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3F0C6" w14:textId="65AFE96A" w:rsidR="00F272A5" w:rsidRPr="00EF33AC" w:rsidRDefault="00F272A5" w:rsidP="00291DAB">
      <w:pPr>
        <w:pStyle w:val="IEEEAuthorName"/>
        <w:rPr>
          <w:rFonts w:ascii="Arial" w:hAnsi="Arial" w:cs="Arial"/>
          <w:bCs/>
          <w:i/>
          <w:iCs/>
          <w:kern w:val="28"/>
          <w:sz w:val="36"/>
          <w:szCs w:val="22"/>
          <w:u w:val="single"/>
          <w:lang w:val="en-US" w:eastAsia="en-US"/>
        </w:rPr>
      </w:pPr>
      <w:r w:rsidRPr="00EF33AC">
        <w:rPr>
          <w:rFonts w:ascii="Arial" w:hAnsi="Arial" w:cs="Arial"/>
          <w:bCs/>
          <w:i/>
          <w:iCs/>
          <w:kern w:val="28"/>
          <w:sz w:val="36"/>
          <w:szCs w:val="22"/>
          <w:u w:val="single"/>
          <w:lang w:val="en-US" w:eastAsia="en-US"/>
        </w:rPr>
        <w:t>Original Research Article</w:t>
      </w:r>
    </w:p>
    <w:p w14:paraId="289A755B" w14:textId="4894E279" w:rsidR="00DF7136" w:rsidRPr="00EF33AC" w:rsidRDefault="00DF7136" w:rsidP="00DF7136">
      <w:pPr>
        <w:rPr>
          <w:lang w:val="en-US" w:eastAsia="en-US"/>
        </w:rPr>
      </w:pPr>
    </w:p>
    <w:p w14:paraId="12C12190" w14:textId="1631507B" w:rsidR="00DF7136" w:rsidRPr="00EF33AC" w:rsidRDefault="00DF7136" w:rsidP="00DF7136">
      <w:pPr>
        <w:rPr>
          <w:lang w:val="en-US" w:eastAsia="en-US"/>
        </w:rPr>
      </w:pPr>
    </w:p>
    <w:p w14:paraId="7CE936E0" w14:textId="19EB386C" w:rsidR="00DF7136" w:rsidRPr="00EF33AC" w:rsidRDefault="00DF7136" w:rsidP="00DF7136">
      <w:pPr>
        <w:rPr>
          <w:lang w:val="en-US" w:eastAsia="en-US"/>
        </w:rPr>
      </w:pPr>
    </w:p>
    <w:p w14:paraId="6FE04340" w14:textId="77777777" w:rsidR="00DF7136" w:rsidRPr="00EF33AC" w:rsidRDefault="00DF7136" w:rsidP="00DF7136">
      <w:pPr>
        <w:rPr>
          <w:lang w:val="en-US" w:eastAsia="en-US"/>
        </w:rPr>
      </w:pPr>
    </w:p>
    <w:p w14:paraId="0FE85DEB" w14:textId="2F602B4F" w:rsidR="005E4187" w:rsidRPr="00EF33AC" w:rsidRDefault="00291DAB" w:rsidP="00291DAB">
      <w:pPr>
        <w:pStyle w:val="IEEEAuthorName"/>
        <w:rPr>
          <w:b/>
          <w:sz w:val="40"/>
          <w:lang w:val="en-US"/>
        </w:rPr>
      </w:pPr>
      <w:r w:rsidRPr="00EF33AC">
        <w:rPr>
          <w:b/>
          <w:sz w:val="40"/>
          <w:lang w:val="en-AU"/>
        </w:rPr>
        <w:t>Spatiotemporal Analysis of Land Use and Land Cover Changes in Bengaluru M</w:t>
      </w:r>
      <w:r w:rsidR="00913959" w:rsidRPr="00EF33AC">
        <w:rPr>
          <w:b/>
          <w:sz w:val="40"/>
          <w:lang w:val="en-AU"/>
        </w:rPr>
        <w:t>etropolitan Region (1990–2023) u</w:t>
      </w:r>
      <w:r w:rsidRPr="00EF33AC">
        <w:rPr>
          <w:b/>
          <w:sz w:val="40"/>
          <w:lang w:val="en-AU"/>
        </w:rPr>
        <w:t>sing GIS and Remote Sensing</w:t>
      </w:r>
    </w:p>
    <w:p w14:paraId="6067ACE0" w14:textId="77777777" w:rsidR="008D0F6F" w:rsidRPr="00EF33AC" w:rsidRDefault="008D0F6F" w:rsidP="008D0F6F">
      <w:pPr>
        <w:rPr>
          <w:lang w:val="en-US" w:eastAsia="en-GB"/>
        </w:rPr>
      </w:pPr>
    </w:p>
    <w:p w14:paraId="38443EF7" w14:textId="77777777" w:rsidR="00323E4B" w:rsidRPr="00EF33AC" w:rsidRDefault="00323E4B" w:rsidP="00F760CA">
      <w:pPr>
        <w:pStyle w:val="NormalWeb"/>
        <w:spacing w:before="0" w:beforeAutospacing="0" w:after="0" w:afterAutospacing="0"/>
        <w:jc w:val="center"/>
      </w:pPr>
    </w:p>
    <w:p w14:paraId="4828BD31" w14:textId="77777777" w:rsidR="00004E38" w:rsidRPr="00EF33AC" w:rsidRDefault="00004E38" w:rsidP="00F760CA">
      <w:pPr>
        <w:pStyle w:val="NormalWeb"/>
        <w:spacing w:before="0" w:beforeAutospacing="0" w:after="0" w:afterAutospacing="0"/>
        <w:jc w:val="center"/>
      </w:pPr>
    </w:p>
    <w:p w14:paraId="2CF39206" w14:textId="77777777" w:rsidR="00004E38" w:rsidRPr="00EF33AC" w:rsidRDefault="00004E38" w:rsidP="00F760CA">
      <w:pPr>
        <w:pStyle w:val="NormalWeb"/>
        <w:spacing w:before="0" w:beforeAutospacing="0" w:after="0" w:afterAutospacing="0"/>
        <w:jc w:val="center"/>
      </w:pPr>
    </w:p>
    <w:p w14:paraId="6B9063D5" w14:textId="77777777" w:rsidR="003F48BC" w:rsidRPr="00EF33AC" w:rsidRDefault="003F48BC" w:rsidP="003F48BC">
      <w:pPr>
        <w:rPr>
          <w:i/>
          <w:iCs/>
          <w:sz w:val="16"/>
          <w:szCs w:val="16"/>
          <w:lang w:val="en-GB" w:eastAsia="en-GB"/>
        </w:rPr>
      </w:pPr>
    </w:p>
    <w:p w14:paraId="1D52CD74" w14:textId="77777777" w:rsidR="008D0F6F" w:rsidRPr="00EF33AC" w:rsidRDefault="008D0F6F" w:rsidP="00E27B83">
      <w:pPr>
        <w:pStyle w:val="IEEEAuthorEmail"/>
      </w:pPr>
    </w:p>
    <w:p w14:paraId="0CA0A459" w14:textId="77777777" w:rsidR="003D38D1" w:rsidRPr="00EF33AC" w:rsidRDefault="0026565E" w:rsidP="00E27B83">
      <w:pPr>
        <w:pStyle w:val="IEEEAbtract"/>
        <w:ind w:firstLine="0"/>
        <w:rPr>
          <w:rStyle w:val="IEEEAbstractHeadingChar"/>
          <w:b/>
          <w:i w:val="0"/>
          <w:iCs/>
          <w:sz w:val="24"/>
          <w:szCs w:val="20"/>
        </w:rPr>
      </w:pPr>
      <w:r w:rsidRPr="00EF33AC">
        <w:rPr>
          <w:rStyle w:val="IEEEAbstractHeadingChar"/>
          <w:b/>
          <w:i w:val="0"/>
          <w:iCs/>
          <w:sz w:val="24"/>
          <w:szCs w:val="20"/>
        </w:rPr>
        <w:t>ABSTRACT</w:t>
      </w:r>
    </w:p>
    <w:p w14:paraId="09CDAF92" w14:textId="77777777" w:rsidR="00D536F4" w:rsidRPr="00EF33AC" w:rsidRDefault="00D536F4" w:rsidP="00D536F4">
      <w:pPr>
        <w:pStyle w:val="IEEEAbtract"/>
        <w:ind w:firstLine="0"/>
        <w:rPr>
          <w:sz w:val="20"/>
          <w:szCs w:val="20"/>
        </w:rPr>
      </w:pPr>
    </w:p>
    <w:p w14:paraId="07221FB7" w14:textId="3E9F9B48" w:rsidR="003B418F" w:rsidRPr="00EF33AC" w:rsidRDefault="003B418F" w:rsidP="003B418F">
      <w:pPr>
        <w:spacing w:after="120" w:line="276" w:lineRule="auto"/>
        <w:ind w:firstLine="720"/>
        <w:jc w:val="both"/>
        <w:rPr>
          <w:i/>
          <w:lang w:val="en-IN" w:eastAsia="en-GB"/>
        </w:rPr>
      </w:pPr>
      <w:r w:rsidRPr="00EF33AC">
        <w:rPr>
          <w:i/>
          <w:lang w:val="en-IN" w:eastAsia="en-GB"/>
        </w:rPr>
        <w:t xml:space="preserve">Bengaluru Metropolitan Region (BMR) has undergone significant land use and land cover (LULC) transformations from 1990 to 2023 due to rapid urbanization and economic expansion. This study employs </w:t>
      </w:r>
      <w:r w:rsidRPr="00EF33AC">
        <w:rPr>
          <w:bCs/>
          <w:i/>
          <w:lang w:val="en-IN" w:eastAsia="en-GB"/>
        </w:rPr>
        <w:t>remote sensing and GIS techniques</w:t>
      </w:r>
      <w:r w:rsidRPr="00EF33AC">
        <w:rPr>
          <w:i/>
          <w:lang w:val="en-IN" w:eastAsia="en-GB"/>
        </w:rPr>
        <w:t xml:space="preserve"> to </w:t>
      </w:r>
      <w:proofErr w:type="spellStart"/>
      <w:r w:rsidRPr="00EF33AC">
        <w:rPr>
          <w:i/>
          <w:lang w:val="en-IN" w:eastAsia="en-GB"/>
        </w:rPr>
        <w:t>analyze</w:t>
      </w:r>
      <w:proofErr w:type="spellEnd"/>
      <w:r w:rsidRPr="00EF33AC">
        <w:rPr>
          <w:i/>
          <w:lang w:val="en-IN" w:eastAsia="en-GB"/>
        </w:rPr>
        <w:t xml:space="preserve"> these spatiotemporal changes using multi-date satellite imagery from </w:t>
      </w:r>
      <w:r w:rsidRPr="00EF33AC">
        <w:rPr>
          <w:bCs/>
          <w:i/>
          <w:lang w:val="en-IN" w:eastAsia="en-GB"/>
        </w:rPr>
        <w:t>Landsat-5 TM, Landsat-7 ETM+, IRS-P6 LISS-III, Landsat-8 OLI, and Sentinel-2A MSI</w:t>
      </w:r>
      <w:r w:rsidRPr="00EF33AC">
        <w:rPr>
          <w:i/>
          <w:lang w:val="en-IN" w:eastAsia="en-GB"/>
        </w:rPr>
        <w:t xml:space="preserve">. A </w:t>
      </w:r>
      <w:r w:rsidRPr="00EF33AC">
        <w:rPr>
          <w:bCs/>
          <w:i/>
          <w:lang w:val="en-IN" w:eastAsia="en-GB"/>
        </w:rPr>
        <w:t>supervised classification approach</w:t>
      </w:r>
      <w:r w:rsidRPr="00EF33AC">
        <w:rPr>
          <w:i/>
          <w:lang w:val="en-IN" w:eastAsia="en-GB"/>
        </w:rPr>
        <w:t xml:space="preserve"> with post-classification accuracy assessment (Overall Accuracy: 85.7–92.1%; Kappa Coefficient: 0.82–0.89) was used to categorize the region into </w:t>
      </w:r>
      <w:r w:rsidRPr="00EF33AC">
        <w:rPr>
          <w:bCs/>
          <w:i/>
          <w:lang w:val="en-IN" w:eastAsia="en-GB"/>
        </w:rPr>
        <w:t>seven LULC classes: built-up area, cropland, vegetation, flooded vegetation, water bodies, bare ground, and rangeland</w:t>
      </w:r>
      <w:r w:rsidRPr="00EF33AC">
        <w:rPr>
          <w:i/>
          <w:lang w:val="en-IN" w:eastAsia="en-GB"/>
        </w:rPr>
        <w:t xml:space="preserve">. The results indicate an </w:t>
      </w:r>
      <w:r w:rsidRPr="00EF33AC">
        <w:rPr>
          <w:bCs/>
          <w:i/>
          <w:lang w:val="en-IN" w:eastAsia="en-GB"/>
        </w:rPr>
        <w:t>explosive expansion of built-up land, which grew from 28,009 hectares in 1</w:t>
      </w:r>
      <w:r w:rsidR="00440271" w:rsidRPr="00EF33AC">
        <w:rPr>
          <w:bCs/>
          <w:i/>
          <w:lang w:val="en-IN" w:eastAsia="en-GB"/>
        </w:rPr>
        <w:t xml:space="preserve">990 to 202,521 hectares in 2023 </w:t>
      </w:r>
      <w:r w:rsidRPr="00EF33AC">
        <w:rPr>
          <w:bCs/>
          <w:i/>
          <w:lang w:val="en-IN" w:eastAsia="en-GB"/>
        </w:rPr>
        <w:t>a sevenfold increase</w:t>
      </w:r>
      <w:r w:rsidRPr="00EF33AC">
        <w:rPr>
          <w:i/>
          <w:lang w:val="en-IN" w:eastAsia="en-GB"/>
        </w:rPr>
        <w:t xml:space="preserve">, largely at the expense of </w:t>
      </w:r>
      <w:r w:rsidRPr="00EF33AC">
        <w:rPr>
          <w:bCs/>
          <w:i/>
          <w:lang w:val="en-IN" w:eastAsia="en-GB"/>
        </w:rPr>
        <w:t>cropland (-36.7%), vegetation (-24.3%), and wetlands (-99%)</w:t>
      </w:r>
      <w:r w:rsidRPr="00EF33AC">
        <w:rPr>
          <w:i/>
          <w:lang w:val="en-IN" w:eastAsia="en-GB"/>
        </w:rPr>
        <w:t xml:space="preserve">. </w:t>
      </w:r>
      <w:r w:rsidRPr="00EF33AC">
        <w:rPr>
          <w:bCs/>
          <w:i/>
          <w:lang w:val="en-IN" w:eastAsia="en-GB"/>
        </w:rPr>
        <w:t>Water bodies, despite initial decline, increased to 17,913 hectares in 2023, reflecting restoration efforts.</w:t>
      </w:r>
    </w:p>
    <w:p w14:paraId="43276D26" w14:textId="4684CA48" w:rsidR="003B418F" w:rsidRPr="00EF33AC" w:rsidRDefault="003B418F" w:rsidP="003B418F">
      <w:pPr>
        <w:spacing w:after="120" w:line="276" w:lineRule="auto"/>
        <w:ind w:firstLine="720"/>
        <w:jc w:val="both"/>
        <w:rPr>
          <w:i/>
          <w:lang w:val="en-IN" w:eastAsia="en-GB"/>
        </w:rPr>
      </w:pPr>
      <w:r w:rsidRPr="00EF33AC">
        <w:rPr>
          <w:i/>
          <w:lang w:val="en-IN" w:eastAsia="en-GB"/>
        </w:rPr>
        <w:t xml:space="preserve">The spatial analysis reveals that </w:t>
      </w:r>
      <w:r w:rsidRPr="00EF33AC">
        <w:rPr>
          <w:bCs/>
          <w:i/>
          <w:lang w:val="en-IN" w:eastAsia="en-GB"/>
        </w:rPr>
        <w:t xml:space="preserve">urban growth has been concentrated around Bengaluru city, expanding radially along major transportation corridors into peri-urban areas, particularly along </w:t>
      </w:r>
      <w:proofErr w:type="spellStart"/>
      <w:r w:rsidRPr="00EF33AC">
        <w:rPr>
          <w:bCs/>
          <w:i/>
          <w:lang w:val="en-IN" w:eastAsia="en-GB"/>
        </w:rPr>
        <w:t>Tumkur</w:t>
      </w:r>
      <w:proofErr w:type="spellEnd"/>
      <w:r w:rsidRPr="00EF33AC">
        <w:rPr>
          <w:bCs/>
          <w:i/>
          <w:lang w:val="en-IN" w:eastAsia="en-GB"/>
        </w:rPr>
        <w:t xml:space="preserve"> Road, Mysore Road, Old Madras Road, and Bellary Road.</w:t>
      </w:r>
      <w:r w:rsidRPr="00EF33AC">
        <w:rPr>
          <w:i/>
          <w:lang w:val="en-IN" w:eastAsia="en-GB"/>
        </w:rPr>
        <w:t xml:space="preserve"> The </w:t>
      </w:r>
      <w:r w:rsidRPr="00EF33AC">
        <w:rPr>
          <w:bCs/>
          <w:i/>
          <w:lang w:val="en-IN" w:eastAsia="en-GB"/>
        </w:rPr>
        <w:t>near-total loss of flooded vegetation (from 290,756 hectares in 1990 to 1,423 hectares in 2023)</w:t>
      </w:r>
      <w:r w:rsidRPr="00EF33AC">
        <w:rPr>
          <w:i/>
          <w:lang w:val="en-IN" w:eastAsia="en-GB"/>
        </w:rPr>
        <w:t xml:space="preserve"> underscores the </w:t>
      </w:r>
      <w:r w:rsidRPr="00EF33AC">
        <w:rPr>
          <w:bCs/>
          <w:i/>
          <w:lang w:val="en-IN" w:eastAsia="en-GB"/>
        </w:rPr>
        <w:t>severe ecological degradation caused by urban sprawl.</w:t>
      </w:r>
      <w:r w:rsidRPr="00EF33AC">
        <w:rPr>
          <w:i/>
          <w:lang w:val="en-IN" w:eastAsia="en-GB"/>
        </w:rPr>
        <w:t xml:space="preserve"> Furthermore, </w:t>
      </w:r>
      <w:r w:rsidR="008836EF" w:rsidRPr="00EF33AC">
        <w:rPr>
          <w:bCs/>
          <w:i/>
          <w:lang w:val="en-IN" w:eastAsia="en-GB"/>
        </w:rPr>
        <w:t xml:space="preserve">Barren land </w:t>
      </w:r>
      <w:r w:rsidRPr="00EF33AC">
        <w:rPr>
          <w:bCs/>
          <w:i/>
          <w:lang w:val="en-IN" w:eastAsia="en-GB"/>
        </w:rPr>
        <w:t>declined from 212,109 hectares in 1990 to just 488 hectares in 2023,</w:t>
      </w:r>
      <w:r w:rsidRPr="00EF33AC">
        <w:rPr>
          <w:i/>
          <w:lang w:val="en-IN" w:eastAsia="en-GB"/>
        </w:rPr>
        <w:t xml:space="preserve"> suggesting </w:t>
      </w:r>
      <w:r w:rsidRPr="00EF33AC">
        <w:rPr>
          <w:bCs/>
          <w:i/>
          <w:lang w:val="en-IN" w:eastAsia="en-GB"/>
        </w:rPr>
        <w:t>almost complete land utilization.</w:t>
      </w:r>
      <w:r w:rsidRPr="00EF33AC">
        <w:rPr>
          <w:i/>
          <w:lang w:val="en-IN" w:eastAsia="en-GB"/>
        </w:rPr>
        <w:t xml:space="preserve"> The </w:t>
      </w:r>
      <w:r w:rsidRPr="00EF33AC">
        <w:rPr>
          <w:bCs/>
          <w:i/>
          <w:lang w:val="en-IN" w:eastAsia="en-GB"/>
        </w:rPr>
        <w:t>continued contraction of rangeland (from 151,118 hectares in 1990 to 162,033 hectares in 2023)</w:t>
      </w:r>
      <w:r w:rsidRPr="00EF33AC">
        <w:rPr>
          <w:i/>
          <w:lang w:val="en-IN" w:eastAsia="en-GB"/>
        </w:rPr>
        <w:t xml:space="preserve"> highlights the transition of open spaces into urbanized land.</w:t>
      </w:r>
    </w:p>
    <w:p w14:paraId="5A931116" w14:textId="77777777" w:rsidR="003B418F" w:rsidRPr="00EF33AC" w:rsidRDefault="003B418F" w:rsidP="003B418F">
      <w:pPr>
        <w:spacing w:after="120" w:line="276" w:lineRule="auto"/>
        <w:ind w:firstLine="720"/>
        <w:jc w:val="both"/>
        <w:rPr>
          <w:i/>
          <w:lang w:val="en-IN" w:eastAsia="en-GB"/>
        </w:rPr>
      </w:pPr>
      <w:r w:rsidRPr="00EF33AC">
        <w:rPr>
          <w:i/>
          <w:lang w:val="en-IN" w:eastAsia="en-GB"/>
        </w:rPr>
        <w:t xml:space="preserve">These LULC shifts have profound implications, including </w:t>
      </w:r>
      <w:r w:rsidRPr="00EF33AC">
        <w:rPr>
          <w:bCs/>
          <w:i/>
          <w:lang w:val="en-IN" w:eastAsia="en-GB"/>
        </w:rPr>
        <w:t>increased impervious surfaces, loss of green spaces, and heightened water stress, exacerbating urban heat island effects and flood risks.</w:t>
      </w:r>
      <w:r w:rsidRPr="00EF33AC">
        <w:rPr>
          <w:i/>
          <w:lang w:val="en-IN" w:eastAsia="en-GB"/>
        </w:rPr>
        <w:t xml:space="preserve"> To address these challenges, the study advocates for </w:t>
      </w:r>
      <w:r w:rsidRPr="00EF33AC">
        <w:rPr>
          <w:bCs/>
          <w:i/>
          <w:lang w:val="en-IN" w:eastAsia="en-GB"/>
        </w:rPr>
        <w:t>polycentric urban development, stricter land use regulations, ecological conservation, and the integration of GIS-based land monitoring into metropolitan planning frameworks.</w:t>
      </w:r>
      <w:r w:rsidRPr="00EF33AC">
        <w:rPr>
          <w:i/>
          <w:lang w:val="en-IN" w:eastAsia="en-GB"/>
        </w:rPr>
        <w:t xml:space="preserve"> The findings provide </w:t>
      </w:r>
      <w:r w:rsidRPr="00EF33AC">
        <w:rPr>
          <w:bCs/>
          <w:i/>
          <w:lang w:val="en-IN" w:eastAsia="en-GB"/>
        </w:rPr>
        <w:t xml:space="preserve">critical </w:t>
      </w:r>
      <w:r w:rsidRPr="00EF33AC">
        <w:rPr>
          <w:bCs/>
          <w:i/>
          <w:lang w:val="en-IN" w:eastAsia="en-GB"/>
        </w:rPr>
        <w:lastRenderedPageBreak/>
        <w:t>insights for policymakers, urban planners, and researchers</w:t>
      </w:r>
      <w:r w:rsidRPr="00EF33AC">
        <w:rPr>
          <w:i/>
          <w:lang w:val="en-IN" w:eastAsia="en-GB"/>
        </w:rPr>
        <w:t xml:space="preserve">, emphasizing the need for </w:t>
      </w:r>
      <w:r w:rsidRPr="00EF33AC">
        <w:rPr>
          <w:bCs/>
          <w:i/>
          <w:lang w:val="en-IN" w:eastAsia="en-GB"/>
        </w:rPr>
        <w:t>evidence-based planning to ensure climate resilience and sustainable urbanization in BMR.</w:t>
      </w:r>
    </w:p>
    <w:p w14:paraId="117969B2" w14:textId="7DCA5A3F" w:rsidR="0026565E" w:rsidRPr="00EF33AC" w:rsidRDefault="003B418F" w:rsidP="003C3DC9">
      <w:pPr>
        <w:rPr>
          <w:lang w:val="en-IN" w:eastAsia="en-GB"/>
        </w:rPr>
      </w:pPr>
      <w:r w:rsidRPr="00EF33AC">
        <w:rPr>
          <w:b/>
          <w:bCs/>
          <w:lang w:val="en-IN" w:eastAsia="en-GB"/>
        </w:rPr>
        <w:t>Keywords:</w:t>
      </w:r>
      <w:r w:rsidRPr="00EF33AC">
        <w:rPr>
          <w:lang w:val="en-IN" w:eastAsia="en-GB"/>
        </w:rPr>
        <w:t xml:space="preserve"> Land Use Land Cover (LULC), Urbanization, Bengaluru Metropolitan Region (BMR), Remote Sensing, GIS, Sustainable Planning and Urban Sprawl.</w:t>
      </w:r>
    </w:p>
    <w:p w14:paraId="56F51886" w14:textId="13BAAD6A" w:rsidR="00B31941" w:rsidRPr="00EF33AC" w:rsidRDefault="00B31941" w:rsidP="003C3DC9">
      <w:pPr>
        <w:rPr>
          <w:lang w:val="en-IN" w:eastAsia="en-GB"/>
        </w:rPr>
      </w:pPr>
    </w:p>
    <w:p w14:paraId="7B9B8216" w14:textId="77777777" w:rsidR="00B31941" w:rsidRPr="00EF33AC" w:rsidRDefault="00B31941" w:rsidP="003C3DC9">
      <w:pPr>
        <w:rPr>
          <w:lang w:val="en-IN" w:eastAsia="en-GB"/>
        </w:rPr>
      </w:pPr>
    </w:p>
    <w:p w14:paraId="4268E02D" w14:textId="352C3331" w:rsidR="006D1DE5" w:rsidRPr="00EF33AC" w:rsidRDefault="001C6E7C" w:rsidP="00FB5A8B">
      <w:pPr>
        <w:pStyle w:val="IEEEParagraph"/>
        <w:ind w:firstLine="0"/>
        <w:jc w:val="left"/>
        <w:rPr>
          <w:b/>
          <w:bCs/>
          <w:sz w:val="24"/>
        </w:rPr>
      </w:pPr>
      <w:r w:rsidRPr="00EF33AC">
        <w:rPr>
          <w:b/>
          <w:bCs/>
          <w:sz w:val="24"/>
        </w:rPr>
        <w:t>I. INTRODUCTION</w:t>
      </w:r>
    </w:p>
    <w:p w14:paraId="7BB4A6CE" w14:textId="77777777" w:rsidR="004F6AF0" w:rsidRPr="00EF33AC" w:rsidRDefault="004F6AF0" w:rsidP="00FB5A8B">
      <w:pPr>
        <w:pStyle w:val="IEEEParagraph"/>
        <w:ind w:firstLine="0"/>
        <w:jc w:val="left"/>
        <w:rPr>
          <w:b/>
          <w:bCs/>
          <w:sz w:val="24"/>
        </w:rPr>
      </w:pPr>
    </w:p>
    <w:p w14:paraId="38643B93" w14:textId="77777777" w:rsidR="006D1DE5" w:rsidRPr="00EF33AC" w:rsidRDefault="006D1DE5" w:rsidP="006D1DE5">
      <w:pPr>
        <w:pStyle w:val="IEEEParagraph"/>
        <w:spacing w:after="120" w:line="276" w:lineRule="auto"/>
        <w:ind w:firstLine="215"/>
        <w:rPr>
          <w:bCs/>
          <w:sz w:val="24"/>
          <w:lang w:val="en-IN"/>
        </w:rPr>
      </w:pPr>
      <w:r w:rsidRPr="00EF33AC">
        <w:rPr>
          <w:bCs/>
          <w:sz w:val="24"/>
          <w:lang w:val="en-IN"/>
        </w:rPr>
        <w:t xml:space="preserve">Urbanization is a major driver of land use and land cover (LULC) changes, fundamentally transforming landscapes, ecosystems, and urban sustainability worldwide. The United Nations (UN) projects that by 2050, approximately 68% of the global population will reside in urban areas, with developing countries experiencing the highest urbanization rates (UN DESA, 2018). In India, urbanization has intensified, with the urban population increasing from 27.8% in 2001 to 31.2% in 2011, and it is projected to reach 40% by 2036 (Census of India, 2011; World Bank, 2024). This rapid expansion necessitates a deeper understanding of LULC transitions, as unplanned urban growth often leads to loss of vegetation, wetland degradation, and increased impervious surfaces, exacerbating climate risks and urban </w:t>
      </w:r>
      <w:proofErr w:type="spellStart"/>
      <w:r w:rsidRPr="00EF33AC">
        <w:rPr>
          <w:bCs/>
          <w:sz w:val="24"/>
          <w:lang w:val="en-IN"/>
        </w:rPr>
        <w:t>livability</w:t>
      </w:r>
      <w:proofErr w:type="spellEnd"/>
      <w:r w:rsidRPr="00EF33AC">
        <w:rPr>
          <w:bCs/>
          <w:sz w:val="24"/>
          <w:lang w:val="en-IN"/>
        </w:rPr>
        <w:t xml:space="preserve"> concerns (Ramachandra &amp; </w:t>
      </w:r>
      <w:proofErr w:type="spellStart"/>
      <w:r w:rsidRPr="00EF33AC">
        <w:rPr>
          <w:bCs/>
          <w:sz w:val="24"/>
          <w:lang w:val="en-IN"/>
        </w:rPr>
        <w:t>Aithal</w:t>
      </w:r>
      <w:proofErr w:type="spellEnd"/>
      <w:r w:rsidRPr="00EF33AC">
        <w:rPr>
          <w:bCs/>
          <w:sz w:val="24"/>
          <w:lang w:val="en-IN"/>
        </w:rPr>
        <w:t>, 2016).</w:t>
      </w:r>
    </w:p>
    <w:p w14:paraId="784E3796" w14:textId="77777777" w:rsidR="006D1DE5" w:rsidRPr="00EF33AC" w:rsidRDefault="006D1DE5" w:rsidP="006D1DE5">
      <w:pPr>
        <w:pStyle w:val="IEEEParagraph"/>
        <w:spacing w:after="120" w:line="276" w:lineRule="auto"/>
        <w:ind w:firstLine="215"/>
        <w:rPr>
          <w:bCs/>
          <w:sz w:val="24"/>
          <w:lang w:val="en-IN"/>
        </w:rPr>
      </w:pPr>
      <w:r w:rsidRPr="00EF33AC">
        <w:rPr>
          <w:bCs/>
          <w:sz w:val="24"/>
          <w:lang w:val="en-IN"/>
        </w:rPr>
        <w:t xml:space="preserve">The Bengaluru Metropolitan Region (BMR) exemplifies the challenges of urban expansion and its impact on land systems. Covering 8,005 km², BMR includes Bangalore Urban, Bangalore Rural, and </w:t>
      </w:r>
      <w:proofErr w:type="spellStart"/>
      <w:r w:rsidRPr="00EF33AC">
        <w:rPr>
          <w:bCs/>
          <w:sz w:val="24"/>
          <w:lang w:val="en-IN"/>
        </w:rPr>
        <w:t>Ramanagara</w:t>
      </w:r>
      <w:proofErr w:type="spellEnd"/>
      <w:r w:rsidRPr="00EF33AC">
        <w:rPr>
          <w:bCs/>
          <w:sz w:val="24"/>
          <w:lang w:val="en-IN"/>
        </w:rPr>
        <w:t xml:space="preserve"> districts, with </w:t>
      </w:r>
      <w:proofErr w:type="spellStart"/>
      <w:r w:rsidRPr="00EF33AC">
        <w:rPr>
          <w:bCs/>
          <w:sz w:val="24"/>
          <w:lang w:val="en-IN"/>
        </w:rPr>
        <w:t>Bruhat</w:t>
      </w:r>
      <w:proofErr w:type="spellEnd"/>
      <w:r w:rsidRPr="00EF33AC">
        <w:rPr>
          <w:bCs/>
          <w:sz w:val="24"/>
          <w:lang w:val="en-IN"/>
        </w:rPr>
        <w:t xml:space="preserve"> Bengaluru </w:t>
      </w:r>
      <w:proofErr w:type="spellStart"/>
      <w:r w:rsidRPr="00EF33AC">
        <w:rPr>
          <w:bCs/>
          <w:sz w:val="24"/>
          <w:lang w:val="en-IN"/>
        </w:rPr>
        <w:t>Mahanagara</w:t>
      </w:r>
      <w:proofErr w:type="spellEnd"/>
      <w:r w:rsidRPr="00EF33AC">
        <w:rPr>
          <w:bCs/>
          <w:sz w:val="24"/>
          <w:lang w:val="en-IN"/>
        </w:rPr>
        <w:t xml:space="preserve"> </w:t>
      </w:r>
      <w:proofErr w:type="spellStart"/>
      <w:r w:rsidRPr="00EF33AC">
        <w:rPr>
          <w:bCs/>
          <w:sz w:val="24"/>
          <w:lang w:val="en-IN"/>
        </w:rPr>
        <w:t>Palike</w:t>
      </w:r>
      <w:proofErr w:type="spellEnd"/>
      <w:r w:rsidRPr="00EF33AC">
        <w:rPr>
          <w:bCs/>
          <w:sz w:val="24"/>
          <w:lang w:val="en-IN"/>
        </w:rPr>
        <w:t xml:space="preserve"> (BBMP) forming the core urban area (BMRDA, 2017). Over the last three decades, Bengaluru’s built-up area has expanded sevenfold, largely replacing croplands, vegetation, and wetlands (Ramachandra, Mondal, </w:t>
      </w:r>
      <w:proofErr w:type="spellStart"/>
      <w:r w:rsidRPr="00EF33AC">
        <w:rPr>
          <w:bCs/>
          <w:sz w:val="24"/>
          <w:lang w:val="en-IN"/>
        </w:rPr>
        <w:t>Setturu</w:t>
      </w:r>
      <w:proofErr w:type="spellEnd"/>
      <w:r w:rsidRPr="00EF33AC">
        <w:rPr>
          <w:bCs/>
          <w:sz w:val="24"/>
          <w:lang w:val="en-IN"/>
        </w:rPr>
        <w:t xml:space="preserve">, &amp; </w:t>
      </w:r>
      <w:proofErr w:type="spellStart"/>
      <w:r w:rsidRPr="00EF33AC">
        <w:rPr>
          <w:bCs/>
          <w:sz w:val="24"/>
          <w:lang w:val="en-IN"/>
        </w:rPr>
        <w:t>Aithal</w:t>
      </w:r>
      <w:proofErr w:type="spellEnd"/>
      <w:r w:rsidRPr="00EF33AC">
        <w:rPr>
          <w:bCs/>
          <w:sz w:val="24"/>
          <w:lang w:val="en-IN"/>
        </w:rPr>
        <w:t xml:space="preserve">, 2023). Studies indicate that this urban sprawl has predominantly followed major transportation corridors such as </w:t>
      </w:r>
      <w:proofErr w:type="spellStart"/>
      <w:r w:rsidRPr="00EF33AC">
        <w:rPr>
          <w:bCs/>
          <w:sz w:val="24"/>
          <w:lang w:val="en-IN"/>
        </w:rPr>
        <w:t>Tumkur</w:t>
      </w:r>
      <w:proofErr w:type="spellEnd"/>
      <w:r w:rsidRPr="00EF33AC">
        <w:rPr>
          <w:bCs/>
          <w:sz w:val="24"/>
          <w:lang w:val="en-IN"/>
        </w:rPr>
        <w:t xml:space="preserve"> Road, Mysore Road, Old Madras Road, and Bellary Road, contributing to the loss of open spaces and natural water bodies (</w:t>
      </w:r>
      <w:proofErr w:type="spellStart"/>
      <w:r w:rsidRPr="00EF33AC">
        <w:rPr>
          <w:bCs/>
          <w:sz w:val="24"/>
          <w:lang w:val="en-IN"/>
        </w:rPr>
        <w:t>Sudhira</w:t>
      </w:r>
      <w:proofErr w:type="spellEnd"/>
      <w:r w:rsidRPr="00EF33AC">
        <w:rPr>
          <w:bCs/>
          <w:sz w:val="24"/>
          <w:lang w:val="en-IN"/>
        </w:rPr>
        <w:t>, Ramachandra, &amp; Jagadish, 2004). A particularly concerning trend is the near-total disappearance of flooded vegetation, which declined by 99% from 1990 to 2023, emphasizing the severe ecological consequences of unregulated urban growth (</w:t>
      </w:r>
      <w:proofErr w:type="spellStart"/>
      <w:r w:rsidRPr="00EF33AC">
        <w:rPr>
          <w:bCs/>
          <w:sz w:val="24"/>
          <w:lang w:val="en-IN"/>
        </w:rPr>
        <w:t>Hollyhead</w:t>
      </w:r>
      <w:proofErr w:type="spellEnd"/>
      <w:r w:rsidRPr="00EF33AC">
        <w:rPr>
          <w:bCs/>
          <w:sz w:val="24"/>
          <w:lang w:val="en-IN"/>
        </w:rPr>
        <w:t>, Ramachandra, &amp; Kumar, 2022).</w:t>
      </w:r>
    </w:p>
    <w:p w14:paraId="6BB776BE" w14:textId="77777777" w:rsidR="006D1DE5" w:rsidRPr="00EF33AC" w:rsidRDefault="006D1DE5" w:rsidP="006D1DE5">
      <w:pPr>
        <w:pStyle w:val="IEEEParagraph"/>
        <w:spacing w:after="120" w:line="276" w:lineRule="auto"/>
        <w:ind w:firstLine="215"/>
        <w:rPr>
          <w:bCs/>
          <w:sz w:val="24"/>
          <w:lang w:val="en-IN"/>
        </w:rPr>
      </w:pPr>
      <w:r w:rsidRPr="00EF33AC">
        <w:rPr>
          <w:bCs/>
          <w:sz w:val="24"/>
          <w:lang w:val="en-IN"/>
        </w:rPr>
        <w:t xml:space="preserve">Geospatial technologies such as Remote Sensing (RS) and Geographic Information Systems (GIS) provide powerful tools for </w:t>
      </w:r>
      <w:proofErr w:type="spellStart"/>
      <w:r w:rsidRPr="00EF33AC">
        <w:rPr>
          <w:bCs/>
          <w:sz w:val="24"/>
          <w:lang w:val="en-IN"/>
        </w:rPr>
        <w:t>analyzing</w:t>
      </w:r>
      <w:proofErr w:type="spellEnd"/>
      <w:r w:rsidRPr="00EF33AC">
        <w:rPr>
          <w:bCs/>
          <w:sz w:val="24"/>
          <w:lang w:val="en-IN"/>
        </w:rPr>
        <w:t xml:space="preserve"> spatiotemporal LULC dynamics. Recent advancements in machine learning classification methods, including Random Forest and Support Vector Machines (SVMs), have significantly improved LULC mapping accuracy (Li, Zhang, Xu, &amp; Wang, 2020). In Bengaluru, previous studies using Landsat and Sentinel imagery have identified substantial land transitions, particularly in peri-urban regions (</w:t>
      </w:r>
      <w:proofErr w:type="spellStart"/>
      <w:r w:rsidRPr="00EF33AC">
        <w:rPr>
          <w:bCs/>
          <w:sz w:val="24"/>
          <w:lang w:val="en-IN"/>
        </w:rPr>
        <w:t>Dehingia</w:t>
      </w:r>
      <w:proofErr w:type="spellEnd"/>
      <w:r w:rsidRPr="00EF33AC">
        <w:rPr>
          <w:bCs/>
          <w:sz w:val="24"/>
          <w:lang w:val="en-IN"/>
        </w:rPr>
        <w:t xml:space="preserve">, Das, </w:t>
      </w:r>
      <w:proofErr w:type="spellStart"/>
      <w:r w:rsidRPr="00EF33AC">
        <w:rPr>
          <w:bCs/>
          <w:sz w:val="24"/>
          <w:lang w:val="en-IN"/>
        </w:rPr>
        <w:t>Rahaman</w:t>
      </w:r>
      <w:proofErr w:type="spellEnd"/>
      <w:r w:rsidRPr="00EF33AC">
        <w:rPr>
          <w:bCs/>
          <w:sz w:val="24"/>
          <w:lang w:val="en-IN"/>
        </w:rPr>
        <w:t xml:space="preserve">, Surendra, &amp; </w:t>
      </w:r>
      <w:proofErr w:type="spellStart"/>
      <w:r w:rsidRPr="00EF33AC">
        <w:rPr>
          <w:bCs/>
          <w:sz w:val="24"/>
          <w:lang w:val="en-IN"/>
        </w:rPr>
        <w:t>Hanjagi</w:t>
      </w:r>
      <w:proofErr w:type="spellEnd"/>
      <w:r w:rsidRPr="00EF33AC">
        <w:rPr>
          <w:bCs/>
          <w:sz w:val="24"/>
          <w:lang w:val="en-IN"/>
        </w:rPr>
        <w:t>, 2022). However, there remains a critical need for longitudinal studies incorporating high-resolution multi-temporal datasets to evaluate long-term urbanization trends and their planning implications.</w:t>
      </w:r>
    </w:p>
    <w:p w14:paraId="78533D99" w14:textId="77777777" w:rsidR="006D1DE5" w:rsidRPr="00EF33AC" w:rsidRDefault="006D1DE5" w:rsidP="006D1DE5">
      <w:pPr>
        <w:pStyle w:val="IEEEParagraph"/>
        <w:spacing w:after="120" w:line="276" w:lineRule="auto"/>
        <w:ind w:firstLine="215"/>
        <w:rPr>
          <w:bCs/>
          <w:sz w:val="24"/>
          <w:lang w:val="en-IN"/>
        </w:rPr>
      </w:pPr>
      <w:r w:rsidRPr="00EF33AC">
        <w:rPr>
          <w:bCs/>
          <w:sz w:val="24"/>
          <w:lang w:val="en-IN"/>
        </w:rPr>
        <w:t xml:space="preserve">This study employs a remote sensing and GIS-based approach to assess LULC changes in BMR from 1990 to 2023. It specifically aims to (1) classify LULC patterns using multi-date satellite imagery, (2) quantify land transformations over time, (3) examine spatial trends of urban expansion, and (4) provide planning insights for sustainable land management. A </w:t>
      </w:r>
      <w:r w:rsidRPr="00EF33AC">
        <w:rPr>
          <w:bCs/>
          <w:sz w:val="24"/>
          <w:lang w:val="en-IN"/>
        </w:rPr>
        <w:lastRenderedPageBreak/>
        <w:t>supervised classification approach was applied using the Maximum Likelihood Algorithm (MLA), and classification accuracy was assessed through Overall Accuracy (85.7–92.1%) and Kappa Coefficient (0.82–0.89). The findings highlight rapid urban expansion, the disappearance of flooded vegetation, increasing land saturation, and partial restoration of water bodies. The study underscores the urgent need for polycentric urban planning, stricter land-use regulations, and GIS-based monitoring frameworks to ensure climate resilience and sustainable development in BMR.</w:t>
      </w:r>
    </w:p>
    <w:p w14:paraId="0AF109BA" w14:textId="1D6517EB" w:rsidR="006D1DE5" w:rsidRPr="00EF33AC" w:rsidRDefault="006D1DE5" w:rsidP="006D1DE5">
      <w:pPr>
        <w:pStyle w:val="IEEEParagraph"/>
        <w:spacing w:after="120" w:line="276" w:lineRule="auto"/>
        <w:ind w:firstLine="215"/>
        <w:rPr>
          <w:bCs/>
          <w:lang w:val="en-IN"/>
        </w:rPr>
      </w:pPr>
      <w:r w:rsidRPr="00EF33AC">
        <w:rPr>
          <w:bCs/>
          <w:sz w:val="24"/>
          <w:lang w:val="en-IN"/>
        </w:rPr>
        <w:t xml:space="preserve">This paper is structured as follows: Section II presents a review of relevant LULC literature; Section III details the study methodology, including data acquisition, classification techniques, and accuracy assessment; </w:t>
      </w:r>
      <w:r w:rsidR="008836EF" w:rsidRPr="00EF33AC">
        <w:rPr>
          <w:bCs/>
          <w:sz w:val="24"/>
          <w:lang w:val="en-IN"/>
        </w:rPr>
        <w:t xml:space="preserve">Section IV describes the Growth Dynamics of BMR, Section </w:t>
      </w:r>
      <w:r w:rsidRPr="00EF33AC">
        <w:rPr>
          <w:bCs/>
          <w:sz w:val="24"/>
          <w:lang w:val="en-IN"/>
        </w:rPr>
        <w:t>V discusses the results</w:t>
      </w:r>
      <w:r w:rsidR="008836EF" w:rsidRPr="00EF33AC">
        <w:rPr>
          <w:bCs/>
          <w:sz w:val="24"/>
          <w:lang w:val="en-IN"/>
        </w:rPr>
        <w:t xml:space="preserve"> and discussions</w:t>
      </w:r>
      <w:r w:rsidRPr="00EF33AC">
        <w:rPr>
          <w:bCs/>
          <w:sz w:val="24"/>
          <w:lang w:val="en-IN"/>
        </w:rPr>
        <w:t>, focusing on spatial urban growth trends and environmental implications; and Section V</w:t>
      </w:r>
      <w:r w:rsidR="008836EF" w:rsidRPr="00EF33AC">
        <w:rPr>
          <w:bCs/>
          <w:sz w:val="24"/>
          <w:lang w:val="en-IN"/>
        </w:rPr>
        <w:t>I</w:t>
      </w:r>
      <w:r w:rsidRPr="00EF33AC">
        <w:rPr>
          <w:bCs/>
          <w:sz w:val="24"/>
          <w:lang w:val="en-IN"/>
        </w:rPr>
        <w:t xml:space="preserve"> </w:t>
      </w:r>
      <w:r w:rsidR="008836EF" w:rsidRPr="00EF33AC">
        <w:rPr>
          <w:bCs/>
          <w:sz w:val="24"/>
          <w:lang w:val="en-IN"/>
        </w:rPr>
        <w:t>gives conclusion</w:t>
      </w:r>
      <w:r w:rsidRPr="00EF33AC">
        <w:rPr>
          <w:bCs/>
          <w:sz w:val="24"/>
          <w:lang w:val="en-IN"/>
        </w:rPr>
        <w:t xml:space="preserve"> for balancing urbanization with sustainable land management. The study’s findings contribute to the growing discourse on evidence-based urban planning, offering actionable insights for policymakers, urban planners, and researchers</w:t>
      </w:r>
      <w:r w:rsidRPr="00EF33AC">
        <w:rPr>
          <w:bCs/>
          <w:lang w:val="en-IN"/>
        </w:rPr>
        <w:t>.</w:t>
      </w:r>
    </w:p>
    <w:p w14:paraId="38F02599" w14:textId="77777777" w:rsidR="008E5996" w:rsidRPr="00EF33AC" w:rsidRDefault="00635C40" w:rsidP="00D067A0">
      <w:pPr>
        <w:pStyle w:val="IEEEHeading1"/>
        <w:numPr>
          <w:ilvl w:val="0"/>
          <w:numId w:val="0"/>
        </w:numPr>
        <w:jc w:val="left"/>
        <w:rPr>
          <w:b/>
          <w:bCs/>
          <w:sz w:val="24"/>
        </w:rPr>
      </w:pPr>
      <w:r w:rsidRPr="00EF33AC">
        <w:rPr>
          <w:b/>
          <w:bCs/>
          <w:sz w:val="24"/>
        </w:rPr>
        <w:t xml:space="preserve">II. </w:t>
      </w:r>
      <w:r w:rsidR="00D6716E" w:rsidRPr="00EF33AC">
        <w:rPr>
          <w:b/>
          <w:bCs/>
          <w:sz w:val="24"/>
        </w:rPr>
        <w:t>LITERATURE REVIEW</w:t>
      </w:r>
    </w:p>
    <w:p w14:paraId="6C3C13F5" w14:textId="45471931" w:rsidR="00580B82" w:rsidRPr="00EF33AC" w:rsidRDefault="00580B82" w:rsidP="00537CFF">
      <w:pPr>
        <w:pStyle w:val="IEEEParagraph"/>
        <w:spacing w:after="120" w:line="276" w:lineRule="auto"/>
        <w:ind w:firstLine="720"/>
        <w:rPr>
          <w:sz w:val="24"/>
        </w:rPr>
      </w:pPr>
      <w:r w:rsidRPr="00EF33AC">
        <w:rPr>
          <w:sz w:val="24"/>
        </w:rPr>
        <w:t xml:space="preserve">Land use and land cover (LULC) changes have been widely studied as indicators of urban expansion and environmental transformation. Globally, rapid urbanization has resulted in significant LULC modifications, particularly in developing regions such as Asia and Africa. The United Nations Department of Economic and Social Affairs (UN DESA, 2018) reported that urban areas are expected to house nearly 68% of the world’s population by 2050, leading to increased impervious surfaces, loss of vegetation, and fragmented water bodies. Studies conducted in metropolitan areas such as Nairobi, Kenya, and Bangkok, Thailand, indicate that urban growth often results in the conversion of natural landscapes into built-up areas, contributing to ecological degradation and increased land-use conflicts (Edwin, </w:t>
      </w:r>
      <w:proofErr w:type="spellStart"/>
      <w:r w:rsidRPr="00EF33AC">
        <w:rPr>
          <w:sz w:val="24"/>
        </w:rPr>
        <w:t>Adiel</w:t>
      </w:r>
      <w:proofErr w:type="spellEnd"/>
      <w:r w:rsidRPr="00EF33AC">
        <w:rPr>
          <w:sz w:val="24"/>
        </w:rPr>
        <w:t xml:space="preserve">, &amp; Cyprian, 2019; Li et al., 2020). Similar trends are observed in Indian metropolitan regions, where cities such as Delhi, Mumbai, and Bengaluru have experienced substantial LULC transformations over the past three decades due to infrastructure expansion, population growth, and economic development (Ramachandra, Mondal, </w:t>
      </w:r>
      <w:proofErr w:type="spellStart"/>
      <w:r w:rsidRPr="00EF33AC">
        <w:rPr>
          <w:sz w:val="24"/>
        </w:rPr>
        <w:t>Setturu</w:t>
      </w:r>
      <w:proofErr w:type="spellEnd"/>
      <w:r w:rsidRPr="00EF33AC">
        <w:rPr>
          <w:sz w:val="24"/>
        </w:rPr>
        <w:t xml:space="preserve">, &amp; </w:t>
      </w:r>
      <w:proofErr w:type="spellStart"/>
      <w:r w:rsidRPr="00EF33AC">
        <w:rPr>
          <w:sz w:val="24"/>
        </w:rPr>
        <w:t>Aithal</w:t>
      </w:r>
      <w:proofErr w:type="spellEnd"/>
      <w:r w:rsidRPr="00EF33AC">
        <w:rPr>
          <w:sz w:val="24"/>
        </w:rPr>
        <w:t>, 2023).</w:t>
      </w:r>
    </w:p>
    <w:p w14:paraId="5A83E26C" w14:textId="32C83286" w:rsidR="00580B82" w:rsidRPr="00EF33AC" w:rsidRDefault="00580B82" w:rsidP="00537CFF">
      <w:pPr>
        <w:pStyle w:val="IEEEParagraph"/>
        <w:spacing w:after="120" w:line="276" w:lineRule="auto"/>
        <w:ind w:firstLine="720"/>
        <w:rPr>
          <w:sz w:val="24"/>
        </w:rPr>
      </w:pPr>
      <w:r w:rsidRPr="00EF33AC">
        <w:rPr>
          <w:sz w:val="24"/>
        </w:rPr>
        <w:t xml:space="preserve">Bengaluru, India’s fastest-growing metropolitan region, has undergone intensive LULC changes, primarily driven by IT sector-led urbanization and population influx. Studies by </w:t>
      </w:r>
      <w:proofErr w:type="spellStart"/>
      <w:r w:rsidRPr="00EF33AC">
        <w:rPr>
          <w:sz w:val="24"/>
        </w:rPr>
        <w:t>Sudhira</w:t>
      </w:r>
      <w:proofErr w:type="spellEnd"/>
      <w:r w:rsidRPr="00EF33AC">
        <w:rPr>
          <w:sz w:val="24"/>
        </w:rPr>
        <w:t xml:space="preserve">, Ramachandra, and Jagadish (2004) highlight that Bengaluru’s urban expansion follows a radial growth pattern, with built-up areas extending outward along major transportation corridors such as </w:t>
      </w:r>
      <w:proofErr w:type="spellStart"/>
      <w:r w:rsidRPr="00EF33AC">
        <w:rPr>
          <w:sz w:val="24"/>
        </w:rPr>
        <w:t>Tumkur</w:t>
      </w:r>
      <w:proofErr w:type="spellEnd"/>
      <w:r w:rsidRPr="00EF33AC">
        <w:rPr>
          <w:sz w:val="24"/>
        </w:rPr>
        <w:t xml:space="preserve"> Road, Mysore Road, Old Madras Road, and Bellary Road. The Bengaluru Metropolitan Region Development Authority (BMRDA, 2017) reported that the city’s built-up area expanded sevenfold between 1990 and 2023, leading to a sharp decline in cropland, vegetation, and wetlands. </w:t>
      </w:r>
      <w:proofErr w:type="spellStart"/>
      <w:r w:rsidRPr="00EF33AC">
        <w:rPr>
          <w:sz w:val="24"/>
        </w:rPr>
        <w:t>Hollyhead</w:t>
      </w:r>
      <w:proofErr w:type="spellEnd"/>
      <w:r w:rsidRPr="00EF33AC">
        <w:rPr>
          <w:sz w:val="24"/>
        </w:rPr>
        <w:t xml:space="preserve"> et al. (2022) examined the environmental consequences of LULC changes in Bengaluru and found that more than 200 lakes had disappeared due to unchecked urbanization, resulting in significant disruptions to groundwater recharge and ecosystem stability. Similarly, </w:t>
      </w:r>
      <w:proofErr w:type="spellStart"/>
      <w:r w:rsidRPr="00EF33AC">
        <w:rPr>
          <w:sz w:val="24"/>
        </w:rPr>
        <w:t>Dehingia</w:t>
      </w:r>
      <w:proofErr w:type="spellEnd"/>
      <w:r w:rsidRPr="00EF33AC">
        <w:rPr>
          <w:sz w:val="24"/>
        </w:rPr>
        <w:t xml:space="preserve">, Das, </w:t>
      </w:r>
      <w:proofErr w:type="spellStart"/>
      <w:r w:rsidRPr="00EF33AC">
        <w:rPr>
          <w:sz w:val="24"/>
        </w:rPr>
        <w:t>Rahaman</w:t>
      </w:r>
      <w:proofErr w:type="spellEnd"/>
      <w:r w:rsidRPr="00EF33AC">
        <w:rPr>
          <w:sz w:val="24"/>
        </w:rPr>
        <w:t xml:space="preserve">, Surendra, and </w:t>
      </w:r>
      <w:proofErr w:type="spellStart"/>
      <w:r w:rsidRPr="00EF33AC">
        <w:rPr>
          <w:sz w:val="24"/>
        </w:rPr>
        <w:t>Hanjagi</w:t>
      </w:r>
      <w:proofErr w:type="spellEnd"/>
      <w:r w:rsidRPr="00EF33AC">
        <w:rPr>
          <w:sz w:val="24"/>
        </w:rPr>
        <w:t xml:space="preserve"> (2022) observed that vegetation cover in Bengaluru declined due to unregulated land-use transitions, impacting the region’s microclimate and increasing urban heat island effects.</w:t>
      </w:r>
    </w:p>
    <w:p w14:paraId="50920A7F" w14:textId="539E56D3" w:rsidR="00580B82" w:rsidRPr="00EF33AC" w:rsidRDefault="00580B82" w:rsidP="00537CFF">
      <w:pPr>
        <w:pStyle w:val="IEEEParagraph"/>
        <w:spacing w:after="120" w:line="276" w:lineRule="auto"/>
        <w:ind w:firstLine="720"/>
        <w:rPr>
          <w:sz w:val="24"/>
        </w:rPr>
      </w:pPr>
      <w:r w:rsidRPr="00EF33AC">
        <w:rPr>
          <w:sz w:val="24"/>
        </w:rPr>
        <w:lastRenderedPageBreak/>
        <w:t xml:space="preserve">The application of Geographic Information Systems (GIS) and remote sensing has significantly improved the accuracy of LULC assessments. Recent studies have demonstrated that high-resolution multi-temporal satellite imagery, when combined with machine learning techniques such as Random Forest and Support Vector Machines (SVMs), enhances the precision of LULC classification (Li et al., 2020). In Bengaluru, Ramachandra and </w:t>
      </w:r>
      <w:proofErr w:type="spellStart"/>
      <w:r w:rsidRPr="00EF33AC">
        <w:rPr>
          <w:sz w:val="24"/>
        </w:rPr>
        <w:t>Aithal</w:t>
      </w:r>
      <w:proofErr w:type="spellEnd"/>
      <w:r w:rsidRPr="00EF33AC">
        <w:rPr>
          <w:sz w:val="24"/>
        </w:rPr>
        <w:t xml:space="preserve"> (2016) employed supervised classification techniques using Landsat, Sentinel, and IRS imagery to track LULC changes, reporting a 99% decline in flooded vegetation between 1990 and 2023. Their study also indicated that bare ground in the metropolitan region had almost disappeared, decreasing from 212,109 hectares in 1990 to just 488 hectares in 2023. This reflects near-total land utilization, with most available spaces being converted into built-up areas or agricultural land.</w:t>
      </w:r>
    </w:p>
    <w:p w14:paraId="3D8624FB" w14:textId="7C75B750" w:rsidR="00580B82" w:rsidRPr="00EF33AC" w:rsidRDefault="00580B82" w:rsidP="00537CFF">
      <w:pPr>
        <w:pStyle w:val="IEEEParagraph"/>
        <w:spacing w:after="120" w:line="276" w:lineRule="auto"/>
        <w:ind w:firstLine="720"/>
        <w:rPr>
          <w:sz w:val="24"/>
        </w:rPr>
      </w:pPr>
      <w:r w:rsidRPr="00EF33AC">
        <w:rPr>
          <w:sz w:val="24"/>
        </w:rPr>
        <w:t xml:space="preserve">The implications of LULC changes in Bengaluru extend to urban planning, land conservation, and sustainable development. NITI Aayog (2021) emphasized that polycentric urban development and stricter land-use regulations are essential for managing metropolitan expansion. </w:t>
      </w:r>
      <w:proofErr w:type="spellStart"/>
      <w:r w:rsidRPr="00EF33AC">
        <w:rPr>
          <w:sz w:val="24"/>
        </w:rPr>
        <w:t>Sundaresan</w:t>
      </w:r>
      <w:proofErr w:type="spellEnd"/>
      <w:r w:rsidRPr="00EF33AC">
        <w:rPr>
          <w:sz w:val="24"/>
        </w:rPr>
        <w:t xml:space="preserve"> (2019) argued that weak enforcement of zoning laws in Bengaluru has led to the unregulated conversion of wetlands and green spaces into urban areas, reinforcing the need for GIS-based spatial monitoring and policy interventions. Additionally, the Smart Cities Mission (2015) and the Atal Mission for Rejuvenation and Urban Transformation (AMRUT, 2021) have advocated for real-time land-use monitoring to track and manage LULC dynamics at five-year intervals, ensuring more effective urban governance.</w:t>
      </w:r>
    </w:p>
    <w:p w14:paraId="2C93EF03" w14:textId="5E4589BF" w:rsidR="00580B82" w:rsidRPr="00EF33AC" w:rsidRDefault="00580B82" w:rsidP="00537CFF">
      <w:pPr>
        <w:pStyle w:val="IEEEParagraph"/>
        <w:spacing w:after="120" w:line="276" w:lineRule="auto"/>
        <w:ind w:firstLine="720"/>
        <w:rPr>
          <w:sz w:val="24"/>
        </w:rPr>
      </w:pPr>
      <w:r w:rsidRPr="00EF33AC">
        <w:rPr>
          <w:sz w:val="24"/>
        </w:rPr>
        <w:t xml:space="preserve">In summary, the literature indicates that Bengaluru’s LULC changes align with broader global urbanization patterns, with built-up areas expanding at the expense of natural ecosystems. GIS and remote sensing techniques provide valuable tools for monitoring and </w:t>
      </w:r>
      <w:proofErr w:type="spellStart"/>
      <w:r w:rsidRPr="00EF33AC">
        <w:rPr>
          <w:sz w:val="24"/>
        </w:rPr>
        <w:t>analyzing</w:t>
      </w:r>
      <w:proofErr w:type="spellEnd"/>
      <w:r w:rsidRPr="00EF33AC">
        <w:rPr>
          <w:sz w:val="24"/>
        </w:rPr>
        <w:t xml:space="preserve"> these changes, offering insights that can inform sustainable urban planning. The findings from this study build upon existing research by employing high-resolution multi-temporal imagery, accuracy assessments, and spatial analysis to provide a refined understanding of Bengaluru’s LULC dynamics. This contributes to evidence-based policymaking aimed at mitigating the adverse effects of uncontrolled urban expansion and ensuring more resilient metropolitan development.</w:t>
      </w:r>
    </w:p>
    <w:p w14:paraId="4C3B6519" w14:textId="77777777" w:rsidR="00D067A0" w:rsidRPr="00EF33AC" w:rsidRDefault="00D067A0" w:rsidP="00D067A0">
      <w:pPr>
        <w:spacing w:before="100" w:beforeAutospacing="1" w:after="100" w:afterAutospacing="1"/>
        <w:jc w:val="both"/>
        <w:rPr>
          <w:rFonts w:eastAsia="Times New Roman"/>
          <w:b/>
          <w:bCs/>
          <w:lang w:eastAsia="en-IN"/>
        </w:rPr>
      </w:pPr>
      <w:r w:rsidRPr="00EF33AC">
        <w:rPr>
          <w:rFonts w:eastAsia="Times New Roman"/>
          <w:b/>
          <w:bCs/>
          <w:lang w:eastAsia="en-IN"/>
        </w:rPr>
        <w:t>III. METHODOLOGY</w:t>
      </w:r>
    </w:p>
    <w:p w14:paraId="35D7E3FB" w14:textId="1A2E9395" w:rsidR="00BB29EC" w:rsidRPr="00EF33AC" w:rsidRDefault="009200FE" w:rsidP="009200FE">
      <w:pPr>
        <w:spacing w:after="120" w:line="276" w:lineRule="auto"/>
        <w:ind w:firstLine="720"/>
        <w:jc w:val="both"/>
        <w:rPr>
          <w:rFonts w:eastAsia="Times New Roman"/>
          <w:lang w:val="en-IN" w:eastAsia="en-IN"/>
        </w:rPr>
      </w:pPr>
      <w:r w:rsidRPr="00EF33AC">
        <w:rPr>
          <w:rFonts w:eastAsia="Times New Roman"/>
          <w:lang w:eastAsia="en-IN"/>
        </w:rPr>
        <w:t xml:space="preserve">This study employs a </w:t>
      </w:r>
      <w:r w:rsidRPr="00EF33AC">
        <w:rPr>
          <w:rFonts w:eastAsia="Times New Roman"/>
          <w:bCs/>
          <w:lang w:eastAsia="en-IN"/>
        </w:rPr>
        <w:t>remote sensing and GIS-based approach</w:t>
      </w:r>
      <w:r w:rsidRPr="00EF33AC">
        <w:rPr>
          <w:rFonts w:eastAsia="Times New Roman"/>
          <w:lang w:eastAsia="en-IN"/>
        </w:rPr>
        <w:t xml:space="preserve"> to </w:t>
      </w:r>
      <w:proofErr w:type="spellStart"/>
      <w:r w:rsidRPr="00EF33AC">
        <w:rPr>
          <w:rFonts w:eastAsia="Times New Roman"/>
          <w:lang w:eastAsia="en-IN"/>
        </w:rPr>
        <w:t>analyze</w:t>
      </w:r>
      <w:proofErr w:type="spellEnd"/>
      <w:r w:rsidRPr="00EF33AC">
        <w:rPr>
          <w:rFonts w:eastAsia="Times New Roman"/>
          <w:lang w:eastAsia="en-IN"/>
        </w:rPr>
        <w:t xml:space="preserve"> </w:t>
      </w:r>
      <w:r w:rsidRPr="00EF33AC">
        <w:rPr>
          <w:rFonts w:eastAsia="Times New Roman"/>
          <w:bCs/>
          <w:lang w:eastAsia="en-IN"/>
        </w:rPr>
        <w:t>land use and land cover (LULC) changes in the Bengaluru Metropolitan Region (BMR) from 1990 to 2023</w:t>
      </w:r>
      <w:r w:rsidRPr="00EF33AC">
        <w:rPr>
          <w:rFonts w:eastAsia="Times New Roman"/>
          <w:lang w:eastAsia="en-IN"/>
        </w:rPr>
        <w:t xml:space="preserve">. </w:t>
      </w:r>
      <w:r w:rsidR="002F4BF3" w:rsidRPr="00EF33AC">
        <w:rPr>
          <w:rFonts w:eastAsia="Times New Roman"/>
          <w:lang w:eastAsia="en-IN"/>
        </w:rPr>
        <w:t>The methodology consists of four</w:t>
      </w:r>
      <w:r w:rsidRPr="00EF33AC">
        <w:rPr>
          <w:rFonts w:eastAsia="Times New Roman"/>
          <w:lang w:eastAsia="en-IN"/>
        </w:rPr>
        <w:t xml:space="preserve"> key components: </w:t>
      </w:r>
      <w:r w:rsidR="006E5499" w:rsidRPr="00EF33AC">
        <w:rPr>
          <w:rFonts w:eastAsia="Times New Roman"/>
          <w:bCs/>
          <w:lang w:eastAsia="en-IN"/>
        </w:rPr>
        <w:t>(1) Data Acquisition, (2) Image classification, (3) Accuracy A</w:t>
      </w:r>
      <w:r w:rsidRPr="00EF33AC">
        <w:rPr>
          <w:rFonts w:eastAsia="Times New Roman"/>
          <w:bCs/>
          <w:lang w:eastAsia="en-IN"/>
        </w:rPr>
        <w:t>ssessm</w:t>
      </w:r>
      <w:r w:rsidR="006E5499" w:rsidRPr="00EF33AC">
        <w:rPr>
          <w:rFonts w:eastAsia="Times New Roman"/>
          <w:bCs/>
          <w:lang w:eastAsia="en-IN"/>
        </w:rPr>
        <w:t>ent, (4) Change D</w:t>
      </w:r>
      <w:r w:rsidR="002F4BF3" w:rsidRPr="00EF33AC">
        <w:rPr>
          <w:rFonts w:eastAsia="Times New Roman"/>
          <w:bCs/>
          <w:lang w:eastAsia="en-IN"/>
        </w:rPr>
        <w:t>etection, and Spatial A</w:t>
      </w:r>
      <w:r w:rsidRPr="00EF33AC">
        <w:rPr>
          <w:rFonts w:eastAsia="Times New Roman"/>
          <w:bCs/>
          <w:lang w:eastAsia="en-IN"/>
        </w:rPr>
        <w:t>nalysis</w:t>
      </w:r>
      <w:r w:rsidRPr="00EF33AC">
        <w:rPr>
          <w:rFonts w:eastAsia="Times New Roman"/>
          <w:lang w:eastAsia="en-IN"/>
        </w:rPr>
        <w:t xml:space="preserve">, structured to meet the study’s objectives. These objectives include </w:t>
      </w:r>
      <w:r w:rsidRPr="00EF33AC">
        <w:rPr>
          <w:rFonts w:eastAsia="Times New Roman"/>
          <w:bCs/>
          <w:lang w:eastAsia="en-IN"/>
        </w:rPr>
        <w:t xml:space="preserve">(a) preparing LULC maps for BMR at five time points (1990, 2000, 2010, 2020, and 2023), (b) quantifying LULC changes over time, particularly urban expansion and loss of agricultural or vegetated areas, (c) </w:t>
      </w:r>
      <w:proofErr w:type="spellStart"/>
      <w:r w:rsidRPr="00EF33AC">
        <w:rPr>
          <w:rFonts w:eastAsia="Times New Roman"/>
          <w:bCs/>
          <w:lang w:eastAsia="en-IN"/>
        </w:rPr>
        <w:t>analyzing</w:t>
      </w:r>
      <w:proofErr w:type="spellEnd"/>
      <w:r w:rsidRPr="00EF33AC">
        <w:rPr>
          <w:rFonts w:eastAsia="Times New Roman"/>
          <w:bCs/>
          <w:lang w:eastAsia="en-IN"/>
        </w:rPr>
        <w:t xml:space="preserve"> spatial patterns of urban growth, and (d) deriving planning insights relevant to sustainable urbanization.</w:t>
      </w:r>
    </w:p>
    <w:p w14:paraId="3ACCF941" w14:textId="569D85A7" w:rsidR="009200FE" w:rsidRPr="00EF33AC" w:rsidRDefault="009200FE" w:rsidP="009200FE">
      <w:pPr>
        <w:spacing w:after="120" w:line="276" w:lineRule="auto"/>
        <w:jc w:val="both"/>
        <w:rPr>
          <w:rFonts w:eastAsia="Times New Roman"/>
          <w:b/>
          <w:bCs/>
          <w:lang w:val="en-IN" w:eastAsia="en-IN"/>
        </w:rPr>
      </w:pPr>
      <w:r w:rsidRPr="00EF33AC">
        <w:rPr>
          <w:rFonts w:eastAsia="Times New Roman"/>
          <w:b/>
          <w:bCs/>
          <w:lang w:val="en-IN" w:eastAsia="en-IN"/>
        </w:rPr>
        <w:t>3.1 Study Area and Spatial Extent</w:t>
      </w:r>
    </w:p>
    <w:p w14:paraId="6482FE4A" w14:textId="72BBE38A" w:rsidR="009200FE" w:rsidRPr="00EF33AC" w:rsidRDefault="009200FE" w:rsidP="009200FE">
      <w:pPr>
        <w:spacing w:after="120" w:line="276" w:lineRule="auto"/>
        <w:ind w:firstLine="720"/>
        <w:jc w:val="both"/>
        <w:rPr>
          <w:rFonts w:eastAsia="Times New Roman"/>
          <w:lang w:val="en-IN" w:eastAsia="en-IN"/>
        </w:rPr>
      </w:pPr>
      <w:r w:rsidRPr="00EF33AC">
        <w:rPr>
          <w:rFonts w:eastAsia="Times New Roman"/>
          <w:lang w:val="en-IN" w:eastAsia="en-IN"/>
        </w:rPr>
        <w:lastRenderedPageBreak/>
        <w:t xml:space="preserve">BMR, located in </w:t>
      </w:r>
      <w:r w:rsidRPr="00EF33AC">
        <w:rPr>
          <w:rFonts w:eastAsia="Times New Roman"/>
          <w:bCs/>
          <w:lang w:val="en-IN" w:eastAsia="en-IN"/>
        </w:rPr>
        <w:t xml:space="preserve">the </w:t>
      </w:r>
      <w:proofErr w:type="spellStart"/>
      <w:r w:rsidRPr="00EF33AC">
        <w:rPr>
          <w:rFonts w:eastAsia="Times New Roman"/>
          <w:bCs/>
          <w:lang w:val="en-IN" w:eastAsia="en-IN"/>
        </w:rPr>
        <w:t>southeastern</w:t>
      </w:r>
      <w:proofErr w:type="spellEnd"/>
      <w:r w:rsidRPr="00EF33AC">
        <w:rPr>
          <w:rFonts w:eastAsia="Times New Roman"/>
          <w:bCs/>
          <w:lang w:val="en-IN" w:eastAsia="en-IN"/>
        </w:rPr>
        <w:t xml:space="preserve"> part of Karnataka, India</w:t>
      </w:r>
      <w:r w:rsidRPr="00EF33AC">
        <w:rPr>
          <w:rFonts w:eastAsia="Times New Roman"/>
          <w:lang w:val="en-IN" w:eastAsia="en-IN"/>
        </w:rPr>
        <w:t xml:space="preserve">, spans </w:t>
      </w:r>
      <w:r w:rsidRPr="00EF33AC">
        <w:rPr>
          <w:rFonts w:eastAsia="Times New Roman"/>
          <w:bCs/>
          <w:lang w:val="en-IN" w:eastAsia="en-IN"/>
        </w:rPr>
        <w:t>800,500 hectares (8,005 km²)</w:t>
      </w:r>
      <w:r w:rsidRPr="00EF33AC">
        <w:rPr>
          <w:rFonts w:eastAsia="Times New Roman"/>
          <w:lang w:val="en-IN" w:eastAsia="en-IN"/>
        </w:rPr>
        <w:t>, making it one of India’s largest metropolitan regions (</w:t>
      </w:r>
      <w:r w:rsidRPr="00EF33AC">
        <w:rPr>
          <w:rFonts w:eastAsia="Times New Roman"/>
          <w:bCs/>
          <w:lang w:val="en-IN" w:eastAsia="en-IN"/>
        </w:rPr>
        <w:t>BMRDA, 2017</w:t>
      </w:r>
      <w:r w:rsidRPr="00EF33AC">
        <w:rPr>
          <w:rFonts w:eastAsia="Times New Roman"/>
          <w:lang w:val="en-IN" w:eastAsia="en-IN"/>
        </w:rPr>
        <w:t xml:space="preserve">). Geographically, it is positioned </w:t>
      </w:r>
      <w:r w:rsidRPr="00EF33AC">
        <w:rPr>
          <w:rFonts w:eastAsia="Times New Roman"/>
          <w:bCs/>
          <w:lang w:val="en-IN" w:eastAsia="en-IN"/>
        </w:rPr>
        <w:t>between 12°14'16” to 13°30'26” north latitude and 77°2'51” to 77°57'45” east longitude</w:t>
      </w:r>
      <w:r w:rsidRPr="00EF33AC">
        <w:rPr>
          <w:rFonts w:eastAsia="Times New Roman"/>
          <w:lang w:val="en-IN" w:eastAsia="en-IN"/>
        </w:rPr>
        <w:t xml:space="preserve">. The region includes </w:t>
      </w:r>
      <w:r w:rsidRPr="00EF33AC">
        <w:rPr>
          <w:rFonts w:eastAsia="Times New Roman"/>
          <w:bCs/>
          <w:lang w:val="en-IN" w:eastAsia="en-IN"/>
        </w:rPr>
        <w:t xml:space="preserve">Bangalore Urban, Bangalore Rural, and </w:t>
      </w:r>
      <w:proofErr w:type="spellStart"/>
      <w:r w:rsidRPr="00EF33AC">
        <w:rPr>
          <w:rFonts w:eastAsia="Times New Roman"/>
          <w:bCs/>
          <w:lang w:val="en-IN" w:eastAsia="en-IN"/>
        </w:rPr>
        <w:t>Ramanagara</w:t>
      </w:r>
      <w:proofErr w:type="spellEnd"/>
      <w:r w:rsidRPr="00EF33AC">
        <w:rPr>
          <w:rFonts w:eastAsia="Times New Roman"/>
          <w:bCs/>
          <w:lang w:val="en-IN" w:eastAsia="en-IN"/>
        </w:rPr>
        <w:t xml:space="preserve"> districts</w:t>
      </w:r>
      <w:r w:rsidRPr="00EF33AC">
        <w:rPr>
          <w:rFonts w:eastAsia="Times New Roman"/>
          <w:lang w:val="en-IN" w:eastAsia="en-IN"/>
        </w:rPr>
        <w:t xml:space="preserve">, with </w:t>
      </w:r>
      <w:proofErr w:type="spellStart"/>
      <w:r w:rsidRPr="00EF33AC">
        <w:rPr>
          <w:rFonts w:eastAsia="Times New Roman"/>
          <w:bCs/>
          <w:lang w:val="en-IN" w:eastAsia="en-IN"/>
        </w:rPr>
        <w:t>Bruhat</w:t>
      </w:r>
      <w:proofErr w:type="spellEnd"/>
      <w:r w:rsidRPr="00EF33AC">
        <w:rPr>
          <w:rFonts w:eastAsia="Times New Roman"/>
          <w:bCs/>
          <w:lang w:val="en-IN" w:eastAsia="en-IN"/>
        </w:rPr>
        <w:t xml:space="preserve"> Bengaluru </w:t>
      </w:r>
      <w:proofErr w:type="spellStart"/>
      <w:r w:rsidRPr="00EF33AC">
        <w:rPr>
          <w:rFonts w:eastAsia="Times New Roman"/>
          <w:bCs/>
          <w:lang w:val="en-IN" w:eastAsia="en-IN"/>
        </w:rPr>
        <w:t>Mahanagara</w:t>
      </w:r>
      <w:proofErr w:type="spellEnd"/>
      <w:r w:rsidRPr="00EF33AC">
        <w:rPr>
          <w:rFonts w:eastAsia="Times New Roman"/>
          <w:bCs/>
          <w:lang w:val="en-IN" w:eastAsia="en-IN"/>
        </w:rPr>
        <w:t xml:space="preserve"> </w:t>
      </w:r>
      <w:proofErr w:type="spellStart"/>
      <w:r w:rsidRPr="00EF33AC">
        <w:rPr>
          <w:rFonts w:eastAsia="Times New Roman"/>
          <w:bCs/>
          <w:lang w:val="en-IN" w:eastAsia="en-IN"/>
        </w:rPr>
        <w:t>Palike</w:t>
      </w:r>
      <w:proofErr w:type="spellEnd"/>
      <w:r w:rsidRPr="00EF33AC">
        <w:rPr>
          <w:rFonts w:eastAsia="Times New Roman"/>
          <w:bCs/>
          <w:lang w:val="en-IN" w:eastAsia="en-IN"/>
        </w:rPr>
        <w:t xml:space="preserve"> (BBMP) as the urban core</w:t>
      </w:r>
      <w:r w:rsidRPr="00EF33AC">
        <w:rPr>
          <w:rFonts w:eastAsia="Times New Roman"/>
          <w:lang w:val="en-IN" w:eastAsia="en-IN"/>
        </w:rPr>
        <w:t xml:space="preserve">. </w:t>
      </w:r>
    </w:p>
    <w:p w14:paraId="6DB11E47" w14:textId="741D4CB4" w:rsidR="009200FE" w:rsidRPr="00EF33AC" w:rsidRDefault="009200FE" w:rsidP="009200FE">
      <w:pPr>
        <w:spacing w:after="120" w:line="276" w:lineRule="auto"/>
        <w:jc w:val="both"/>
        <w:rPr>
          <w:rFonts w:eastAsia="Times New Roman"/>
          <w:b/>
          <w:bCs/>
          <w:lang w:val="en-IN" w:eastAsia="en-IN"/>
        </w:rPr>
      </w:pPr>
      <w:r w:rsidRPr="00EF33AC">
        <w:rPr>
          <w:rFonts w:eastAsia="Times New Roman"/>
          <w:b/>
          <w:bCs/>
          <w:lang w:val="en-IN" w:eastAsia="en-IN"/>
        </w:rPr>
        <w:t>3.2 Data Acquisition</w:t>
      </w:r>
    </w:p>
    <w:p w14:paraId="3EE37CBC" w14:textId="0DFA51B8" w:rsidR="009200FE" w:rsidRPr="00EF33AC" w:rsidRDefault="009200FE" w:rsidP="009200FE">
      <w:pPr>
        <w:spacing w:after="120" w:line="276" w:lineRule="auto"/>
        <w:ind w:firstLine="720"/>
        <w:jc w:val="both"/>
        <w:rPr>
          <w:rFonts w:eastAsia="Times New Roman"/>
          <w:lang w:val="en-IN" w:eastAsia="en-IN"/>
        </w:rPr>
      </w:pPr>
      <w:r w:rsidRPr="00EF33AC">
        <w:rPr>
          <w:rFonts w:eastAsia="Times New Roman"/>
          <w:lang w:val="en-IN" w:eastAsia="en-IN"/>
        </w:rPr>
        <w:t xml:space="preserve">Multi-temporal satellite imagery was obtained from the </w:t>
      </w:r>
      <w:r w:rsidRPr="00EF33AC">
        <w:rPr>
          <w:rFonts w:eastAsia="Times New Roman"/>
          <w:bCs/>
          <w:lang w:val="en-IN" w:eastAsia="en-IN"/>
        </w:rPr>
        <w:t>United States Geological Survey (USGS) Earth Explorer</w:t>
      </w:r>
      <w:r w:rsidRPr="00EF33AC">
        <w:rPr>
          <w:rFonts w:eastAsia="Times New Roman"/>
          <w:lang w:val="en-IN" w:eastAsia="en-IN"/>
        </w:rPr>
        <w:t xml:space="preserve"> and the </w:t>
      </w:r>
      <w:r w:rsidRPr="00EF33AC">
        <w:rPr>
          <w:rFonts w:eastAsia="Times New Roman"/>
          <w:bCs/>
          <w:lang w:val="en-IN" w:eastAsia="en-IN"/>
        </w:rPr>
        <w:t xml:space="preserve">Indian Space Research Organisation’s (ISRO) </w:t>
      </w:r>
      <w:proofErr w:type="spellStart"/>
      <w:r w:rsidRPr="00EF33AC">
        <w:rPr>
          <w:rFonts w:eastAsia="Times New Roman"/>
          <w:bCs/>
          <w:lang w:val="en-IN" w:eastAsia="en-IN"/>
        </w:rPr>
        <w:t>Resourcesat</w:t>
      </w:r>
      <w:proofErr w:type="spellEnd"/>
      <w:r w:rsidRPr="00EF33AC">
        <w:rPr>
          <w:rFonts w:eastAsia="Times New Roman"/>
          <w:lang w:val="en-IN" w:eastAsia="en-IN"/>
        </w:rPr>
        <w:t xml:space="preserve">. The dataset selection ensured </w:t>
      </w:r>
      <w:r w:rsidRPr="00EF33AC">
        <w:rPr>
          <w:rFonts w:eastAsia="Times New Roman"/>
          <w:bCs/>
          <w:lang w:val="en-IN" w:eastAsia="en-IN"/>
        </w:rPr>
        <w:t>temporal consistency</w:t>
      </w:r>
      <w:r w:rsidRPr="00EF33AC">
        <w:rPr>
          <w:rFonts w:eastAsia="Times New Roman"/>
          <w:lang w:val="en-IN" w:eastAsia="en-IN"/>
        </w:rPr>
        <w:t xml:space="preserve"> in resolution and minimal cloud cover. The study relied on data acquired during </w:t>
      </w:r>
      <w:r w:rsidRPr="00EF33AC">
        <w:rPr>
          <w:rFonts w:eastAsia="Times New Roman"/>
          <w:bCs/>
          <w:lang w:val="en-IN" w:eastAsia="en-IN"/>
        </w:rPr>
        <w:t>dry season months</w:t>
      </w:r>
      <w:r w:rsidRPr="00EF33AC">
        <w:rPr>
          <w:rFonts w:eastAsia="Times New Roman"/>
          <w:lang w:val="en-IN" w:eastAsia="en-IN"/>
        </w:rPr>
        <w:t xml:space="preserve"> to reduce atmospheric interference and ensure uniformity in land classification. </w:t>
      </w:r>
      <w:r w:rsidRPr="00EF33AC">
        <w:rPr>
          <w:rFonts w:eastAsia="Times New Roman"/>
          <w:bCs/>
          <w:lang w:val="en-IN" w:eastAsia="en-IN"/>
        </w:rPr>
        <w:t>Ancillary datasets</w:t>
      </w:r>
      <w:r w:rsidRPr="00EF33AC">
        <w:rPr>
          <w:rFonts w:eastAsia="Times New Roman"/>
          <w:lang w:val="en-IN" w:eastAsia="en-IN"/>
        </w:rPr>
        <w:t xml:space="preserve">, including </w:t>
      </w:r>
      <w:r w:rsidRPr="00EF33AC">
        <w:rPr>
          <w:rFonts w:eastAsia="Times New Roman"/>
          <w:bCs/>
          <w:lang w:val="en-IN" w:eastAsia="en-IN"/>
        </w:rPr>
        <w:t>topographic maps from the Survey of India for geo-referencing, OpenStreetMap and Diva-GIS data for road network verification, and census records for population analysis</w:t>
      </w:r>
      <w:r w:rsidRPr="00EF33AC">
        <w:rPr>
          <w:rFonts w:eastAsia="Times New Roman"/>
          <w:lang w:val="en-IN" w:eastAsia="en-IN"/>
        </w:rPr>
        <w:t xml:space="preserve">, were also incorporated. Table-1 provides the </w:t>
      </w:r>
      <w:r w:rsidRPr="00EF33AC">
        <w:rPr>
          <w:rFonts w:eastAsia="Times New Roman"/>
          <w:lang w:eastAsia="en-IN"/>
        </w:rPr>
        <w:t>details of Input Data for LULC Classification.</w:t>
      </w:r>
    </w:p>
    <w:p w14:paraId="00A0705B" w14:textId="48E04CBE" w:rsidR="009200FE" w:rsidRPr="00EF33AC" w:rsidRDefault="009200FE" w:rsidP="009200FE">
      <w:pPr>
        <w:spacing w:after="120" w:line="276" w:lineRule="auto"/>
        <w:jc w:val="center"/>
        <w:rPr>
          <w:rFonts w:eastAsia="Times New Roman"/>
          <w:b/>
          <w:lang w:val="en-IN" w:eastAsia="en-IN"/>
        </w:rPr>
      </w:pPr>
      <w:r w:rsidRPr="00EF33AC">
        <w:rPr>
          <w:rFonts w:eastAsia="Times New Roman"/>
          <w:b/>
          <w:lang w:eastAsia="en-IN"/>
        </w:rPr>
        <w:t>Table 1: Details of Input Data for LULC Classification</w:t>
      </w:r>
    </w:p>
    <w:tbl>
      <w:tblPr>
        <w:tblStyle w:val="TableGrid"/>
        <w:tblW w:w="0" w:type="auto"/>
        <w:tblInd w:w="137" w:type="dxa"/>
        <w:tblLook w:val="04A0" w:firstRow="1" w:lastRow="0" w:firstColumn="1" w:lastColumn="0" w:noHBand="0" w:noVBand="1"/>
      </w:tblPr>
      <w:tblGrid>
        <w:gridCol w:w="887"/>
        <w:gridCol w:w="2097"/>
        <w:gridCol w:w="1410"/>
        <w:gridCol w:w="2127"/>
        <w:gridCol w:w="2040"/>
      </w:tblGrid>
      <w:tr w:rsidR="009200FE" w:rsidRPr="00EF33AC" w14:paraId="105B348B" w14:textId="77777777" w:rsidTr="009200FE">
        <w:trPr>
          <w:trHeight w:val="583"/>
        </w:trPr>
        <w:tc>
          <w:tcPr>
            <w:tcW w:w="887" w:type="dxa"/>
            <w:vAlign w:val="center"/>
            <w:hideMark/>
          </w:tcPr>
          <w:p w14:paraId="1A178670" w14:textId="77777777" w:rsidR="009200FE" w:rsidRPr="00EF33AC" w:rsidRDefault="009200FE" w:rsidP="004B663F">
            <w:pPr>
              <w:spacing w:after="120"/>
              <w:jc w:val="center"/>
              <w:rPr>
                <w:rFonts w:eastAsia="Times New Roman"/>
                <w:b/>
                <w:bCs/>
                <w:lang w:val="en-IN" w:eastAsia="en-IN"/>
              </w:rPr>
            </w:pPr>
            <w:r w:rsidRPr="00EF33AC">
              <w:rPr>
                <w:rFonts w:eastAsia="Times New Roman"/>
                <w:b/>
                <w:bCs/>
                <w:lang w:eastAsia="en-IN"/>
              </w:rPr>
              <w:t>Year</w:t>
            </w:r>
          </w:p>
        </w:tc>
        <w:tc>
          <w:tcPr>
            <w:tcW w:w="2097" w:type="dxa"/>
            <w:vAlign w:val="center"/>
            <w:hideMark/>
          </w:tcPr>
          <w:p w14:paraId="138D4271" w14:textId="77777777" w:rsidR="009200FE" w:rsidRPr="00EF33AC" w:rsidRDefault="009200FE" w:rsidP="004B663F">
            <w:pPr>
              <w:spacing w:after="120"/>
              <w:jc w:val="center"/>
              <w:rPr>
                <w:rFonts w:eastAsia="Times New Roman"/>
                <w:b/>
                <w:bCs/>
                <w:lang w:eastAsia="en-IN"/>
              </w:rPr>
            </w:pPr>
            <w:r w:rsidRPr="00EF33AC">
              <w:rPr>
                <w:rFonts w:eastAsia="Times New Roman"/>
                <w:b/>
                <w:bCs/>
                <w:lang w:eastAsia="en-IN"/>
              </w:rPr>
              <w:t>Sensor Used</w:t>
            </w:r>
          </w:p>
        </w:tc>
        <w:tc>
          <w:tcPr>
            <w:tcW w:w="1410" w:type="dxa"/>
            <w:vAlign w:val="center"/>
            <w:hideMark/>
          </w:tcPr>
          <w:p w14:paraId="2D3AB508" w14:textId="77777777" w:rsidR="009200FE" w:rsidRPr="00EF33AC" w:rsidRDefault="009200FE" w:rsidP="004B663F">
            <w:pPr>
              <w:spacing w:after="120"/>
              <w:jc w:val="center"/>
              <w:rPr>
                <w:rFonts w:eastAsia="Times New Roman"/>
                <w:b/>
                <w:bCs/>
                <w:lang w:eastAsia="en-IN"/>
              </w:rPr>
            </w:pPr>
            <w:r w:rsidRPr="00EF33AC">
              <w:rPr>
                <w:rFonts w:eastAsia="Times New Roman"/>
                <w:b/>
                <w:bCs/>
                <w:lang w:eastAsia="en-IN"/>
              </w:rPr>
              <w:t>Resolution</w:t>
            </w:r>
          </w:p>
        </w:tc>
        <w:tc>
          <w:tcPr>
            <w:tcW w:w="2127" w:type="dxa"/>
            <w:vAlign w:val="center"/>
            <w:hideMark/>
          </w:tcPr>
          <w:p w14:paraId="403FAE6D" w14:textId="77777777" w:rsidR="009200FE" w:rsidRPr="00EF33AC" w:rsidRDefault="009200FE" w:rsidP="004B663F">
            <w:pPr>
              <w:spacing w:after="120"/>
              <w:jc w:val="center"/>
              <w:rPr>
                <w:rFonts w:eastAsia="Times New Roman"/>
                <w:b/>
                <w:bCs/>
                <w:lang w:eastAsia="en-IN"/>
              </w:rPr>
            </w:pPr>
            <w:r w:rsidRPr="00EF33AC">
              <w:rPr>
                <w:rFonts w:eastAsia="Times New Roman"/>
                <w:b/>
                <w:bCs/>
                <w:lang w:eastAsia="en-IN"/>
              </w:rPr>
              <w:t>Acquisition Date</w:t>
            </w:r>
          </w:p>
        </w:tc>
        <w:tc>
          <w:tcPr>
            <w:tcW w:w="2040" w:type="dxa"/>
            <w:vAlign w:val="center"/>
            <w:hideMark/>
          </w:tcPr>
          <w:p w14:paraId="6613601D" w14:textId="77777777" w:rsidR="009200FE" w:rsidRPr="00EF33AC" w:rsidRDefault="009200FE" w:rsidP="004B663F">
            <w:pPr>
              <w:spacing w:after="120"/>
              <w:jc w:val="center"/>
              <w:rPr>
                <w:rFonts w:eastAsia="Times New Roman"/>
                <w:b/>
                <w:bCs/>
                <w:lang w:eastAsia="en-IN"/>
              </w:rPr>
            </w:pPr>
            <w:r w:rsidRPr="00EF33AC">
              <w:rPr>
                <w:rFonts w:eastAsia="Times New Roman"/>
                <w:b/>
                <w:bCs/>
                <w:lang w:eastAsia="en-IN"/>
              </w:rPr>
              <w:t>Cloud Cover (%)</w:t>
            </w:r>
          </w:p>
        </w:tc>
      </w:tr>
      <w:tr w:rsidR="009200FE" w:rsidRPr="00EF33AC" w14:paraId="0C7C1A0E" w14:textId="77777777" w:rsidTr="009200FE">
        <w:trPr>
          <w:trHeight w:val="388"/>
        </w:trPr>
        <w:tc>
          <w:tcPr>
            <w:tcW w:w="887" w:type="dxa"/>
            <w:vAlign w:val="center"/>
            <w:hideMark/>
          </w:tcPr>
          <w:p w14:paraId="15FB8394"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1990</w:t>
            </w:r>
          </w:p>
        </w:tc>
        <w:tc>
          <w:tcPr>
            <w:tcW w:w="2097" w:type="dxa"/>
            <w:vAlign w:val="center"/>
            <w:hideMark/>
          </w:tcPr>
          <w:p w14:paraId="6CF37864"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Landsat-5 TM</w:t>
            </w:r>
          </w:p>
        </w:tc>
        <w:tc>
          <w:tcPr>
            <w:tcW w:w="1410" w:type="dxa"/>
            <w:vAlign w:val="center"/>
            <w:hideMark/>
          </w:tcPr>
          <w:p w14:paraId="535E73F0"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30m</w:t>
            </w:r>
          </w:p>
        </w:tc>
        <w:tc>
          <w:tcPr>
            <w:tcW w:w="2127" w:type="dxa"/>
            <w:vAlign w:val="center"/>
            <w:hideMark/>
          </w:tcPr>
          <w:p w14:paraId="69928F55"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Jan–Feb 1990</w:t>
            </w:r>
          </w:p>
        </w:tc>
        <w:tc>
          <w:tcPr>
            <w:tcW w:w="2040" w:type="dxa"/>
            <w:vAlign w:val="center"/>
            <w:hideMark/>
          </w:tcPr>
          <w:p w14:paraId="3691A538"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&lt;10%</w:t>
            </w:r>
          </w:p>
        </w:tc>
      </w:tr>
      <w:tr w:rsidR="009200FE" w:rsidRPr="00EF33AC" w14:paraId="0965FC10" w14:textId="77777777" w:rsidTr="009200FE">
        <w:trPr>
          <w:trHeight w:val="388"/>
        </w:trPr>
        <w:tc>
          <w:tcPr>
            <w:tcW w:w="887" w:type="dxa"/>
            <w:vAlign w:val="center"/>
            <w:hideMark/>
          </w:tcPr>
          <w:p w14:paraId="10005438"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2000</w:t>
            </w:r>
          </w:p>
        </w:tc>
        <w:tc>
          <w:tcPr>
            <w:tcW w:w="2097" w:type="dxa"/>
            <w:vAlign w:val="center"/>
            <w:hideMark/>
          </w:tcPr>
          <w:p w14:paraId="77ABA69B"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Landsat-7 ETM+</w:t>
            </w:r>
          </w:p>
        </w:tc>
        <w:tc>
          <w:tcPr>
            <w:tcW w:w="1410" w:type="dxa"/>
            <w:vAlign w:val="center"/>
            <w:hideMark/>
          </w:tcPr>
          <w:p w14:paraId="0F238657"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30m</w:t>
            </w:r>
          </w:p>
        </w:tc>
        <w:tc>
          <w:tcPr>
            <w:tcW w:w="2127" w:type="dxa"/>
            <w:vAlign w:val="center"/>
            <w:hideMark/>
          </w:tcPr>
          <w:p w14:paraId="60E57F29"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Jan–Feb 2000</w:t>
            </w:r>
          </w:p>
        </w:tc>
        <w:tc>
          <w:tcPr>
            <w:tcW w:w="2040" w:type="dxa"/>
            <w:vAlign w:val="center"/>
            <w:hideMark/>
          </w:tcPr>
          <w:p w14:paraId="5F4C33A4"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&lt;5%</w:t>
            </w:r>
          </w:p>
        </w:tc>
      </w:tr>
      <w:tr w:rsidR="009200FE" w:rsidRPr="00EF33AC" w14:paraId="373D4652" w14:textId="77777777" w:rsidTr="009200FE">
        <w:trPr>
          <w:trHeight w:val="388"/>
        </w:trPr>
        <w:tc>
          <w:tcPr>
            <w:tcW w:w="887" w:type="dxa"/>
            <w:vAlign w:val="center"/>
            <w:hideMark/>
          </w:tcPr>
          <w:p w14:paraId="2883B15A"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2010</w:t>
            </w:r>
          </w:p>
        </w:tc>
        <w:tc>
          <w:tcPr>
            <w:tcW w:w="2097" w:type="dxa"/>
            <w:vAlign w:val="center"/>
            <w:hideMark/>
          </w:tcPr>
          <w:p w14:paraId="5F37A4BB"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IRS-P6 LISS-III</w:t>
            </w:r>
          </w:p>
        </w:tc>
        <w:tc>
          <w:tcPr>
            <w:tcW w:w="1410" w:type="dxa"/>
            <w:vAlign w:val="center"/>
            <w:hideMark/>
          </w:tcPr>
          <w:p w14:paraId="74B78E5F"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23.5m</w:t>
            </w:r>
          </w:p>
        </w:tc>
        <w:tc>
          <w:tcPr>
            <w:tcW w:w="2127" w:type="dxa"/>
            <w:vAlign w:val="center"/>
            <w:hideMark/>
          </w:tcPr>
          <w:p w14:paraId="40DDB6B1"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Jan–Feb 2010</w:t>
            </w:r>
          </w:p>
        </w:tc>
        <w:tc>
          <w:tcPr>
            <w:tcW w:w="2040" w:type="dxa"/>
            <w:vAlign w:val="center"/>
            <w:hideMark/>
          </w:tcPr>
          <w:p w14:paraId="14B67899"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&lt;10%</w:t>
            </w:r>
          </w:p>
        </w:tc>
      </w:tr>
      <w:tr w:rsidR="009200FE" w:rsidRPr="00EF33AC" w14:paraId="014DA60E" w14:textId="77777777" w:rsidTr="009200FE">
        <w:trPr>
          <w:trHeight w:val="388"/>
        </w:trPr>
        <w:tc>
          <w:tcPr>
            <w:tcW w:w="887" w:type="dxa"/>
            <w:vAlign w:val="center"/>
            <w:hideMark/>
          </w:tcPr>
          <w:p w14:paraId="44BF8F3B"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2020</w:t>
            </w:r>
          </w:p>
        </w:tc>
        <w:tc>
          <w:tcPr>
            <w:tcW w:w="2097" w:type="dxa"/>
            <w:vAlign w:val="center"/>
            <w:hideMark/>
          </w:tcPr>
          <w:p w14:paraId="03E6A34D"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Landsat-8 OLI</w:t>
            </w:r>
          </w:p>
        </w:tc>
        <w:tc>
          <w:tcPr>
            <w:tcW w:w="1410" w:type="dxa"/>
            <w:vAlign w:val="center"/>
            <w:hideMark/>
          </w:tcPr>
          <w:p w14:paraId="421384C8"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30m</w:t>
            </w:r>
          </w:p>
        </w:tc>
        <w:tc>
          <w:tcPr>
            <w:tcW w:w="2127" w:type="dxa"/>
            <w:vAlign w:val="center"/>
            <w:hideMark/>
          </w:tcPr>
          <w:p w14:paraId="01D9D543"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Jan–Feb 2020</w:t>
            </w:r>
          </w:p>
        </w:tc>
        <w:tc>
          <w:tcPr>
            <w:tcW w:w="2040" w:type="dxa"/>
            <w:vAlign w:val="center"/>
            <w:hideMark/>
          </w:tcPr>
          <w:p w14:paraId="1CD70E55"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&lt;5%</w:t>
            </w:r>
          </w:p>
        </w:tc>
      </w:tr>
      <w:tr w:rsidR="009200FE" w:rsidRPr="00EF33AC" w14:paraId="4FE0B6EC" w14:textId="77777777" w:rsidTr="009200FE">
        <w:trPr>
          <w:trHeight w:val="388"/>
        </w:trPr>
        <w:tc>
          <w:tcPr>
            <w:tcW w:w="887" w:type="dxa"/>
            <w:vAlign w:val="center"/>
            <w:hideMark/>
          </w:tcPr>
          <w:p w14:paraId="1AE82308"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2023</w:t>
            </w:r>
          </w:p>
        </w:tc>
        <w:tc>
          <w:tcPr>
            <w:tcW w:w="2097" w:type="dxa"/>
            <w:vAlign w:val="center"/>
            <w:hideMark/>
          </w:tcPr>
          <w:p w14:paraId="5694A95F"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Sentinel-2A MSI</w:t>
            </w:r>
          </w:p>
        </w:tc>
        <w:tc>
          <w:tcPr>
            <w:tcW w:w="1410" w:type="dxa"/>
            <w:vAlign w:val="center"/>
            <w:hideMark/>
          </w:tcPr>
          <w:p w14:paraId="20328116"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10m</w:t>
            </w:r>
          </w:p>
        </w:tc>
        <w:tc>
          <w:tcPr>
            <w:tcW w:w="2127" w:type="dxa"/>
            <w:vAlign w:val="center"/>
            <w:hideMark/>
          </w:tcPr>
          <w:p w14:paraId="4C8EE370"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Jan–Feb 2023</w:t>
            </w:r>
          </w:p>
        </w:tc>
        <w:tc>
          <w:tcPr>
            <w:tcW w:w="2040" w:type="dxa"/>
            <w:vAlign w:val="center"/>
            <w:hideMark/>
          </w:tcPr>
          <w:p w14:paraId="20B80D3E" w14:textId="77777777" w:rsidR="009200FE" w:rsidRPr="00EF33AC" w:rsidRDefault="009200FE" w:rsidP="004B663F">
            <w:pPr>
              <w:spacing w:after="120"/>
              <w:jc w:val="center"/>
              <w:rPr>
                <w:rFonts w:eastAsia="Times New Roman"/>
                <w:lang w:eastAsia="en-IN"/>
              </w:rPr>
            </w:pPr>
            <w:r w:rsidRPr="00EF33AC">
              <w:rPr>
                <w:rFonts w:eastAsia="Times New Roman"/>
                <w:lang w:eastAsia="en-IN"/>
              </w:rPr>
              <w:t>&lt;5%</w:t>
            </w:r>
          </w:p>
        </w:tc>
      </w:tr>
    </w:tbl>
    <w:p w14:paraId="23EEFB50" w14:textId="38F3C9C4" w:rsidR="009200FE" w:rsidRPr="00EF33AC" w:rsidRDefault="009200FE" w:rsidP="004B663F">
      <w:pPr>
        <w:spacing w:after="120" w:line="276" w:lineRule="auto"/>
        <w:jc w:val="center"/>
        <w:rPr>
          <w:rFonts w:eastAsia="Times New Roman"/>
          <w:lang w:val="en-IN" w:eastAsia="en-IN"/>
        </w:rPr>
      </w:pPr>
      <w:r w:rsidRPr="00EF33AC">
        <w:rPr>
          <w:rFonts w:eastAsia="Times New Roman"/>
          <w:lang w:val="en-IN" w:eastAsia="en-IN"/>
        </w:rPr>
        <w:t>(Source: Author Based on Imagery Data)</w:t>
      </w:r>
    </w:p>
    <w:p w14:paraId="6728E232" w14:textId="77777777" w:rsidR="003C3DC9" w:rsidRPr="00EF33AC" w:rsidRDefault="003C3DC9" w:rsidP="006E5499">
      <w:pPr>
        <w:spacing w:after="120" w:line="276" w:lineRule="auto"/>
        <w:jc w:val="both"/>
        <w:rPr>
          <w:rFonts w:eastAsia="Times New Roman"/>
          <w:b/>
          <w:bCs/>
          <w:lang w:val="en-IN" w:eastAsia="en-IN"/>
        </w:rPr>
      </w:pPr>
    </w:p>
    <w:p w14:paraId="52BFD56C" w14:textId="7ED39907" w:rsidR="006E5499" w:rsidRPr="00EF33AC" w:rsidRDefault="006E5499" w:rsidP="006E5499">
      <w:pPr>
        <w:spacing w:after="120" w:line="276" w:lineRule="auto"/>
        <w:jc w:val="both"/>
        <w:rPr>
          <w:rFonts w:eastAsia="Times New Roman"/>
          <w:b/>
          <w:bCs/>
          <w:lang w:val="en-IN" w:eastAsia="en-IN"/>
        </w:rPr>
      </w:pPr>
      <w:r w:rsidRPr="00EF33AC">
        <w:rPr>
          <w:rFonts w:eastAsia="Times New Roman"/>
          <w:b/>
          <w:bCs/>
          <w:lang w:val="en-IN" w:eastAsia="en-IN"/>
        </w:rPr>
        <w:t>3.3 Image Classification and LULC Categories</w:t>
      </w:r>
    </w:p>
    <w:p w14:paraId="66728BA2" w14:textId="77777777" w:rsidR="004B663F" w:rsidRPr="00EF33AC" w:rsidRDefault="006E5499" w:rsidP="006E5499">
      <w:pPr>
        <w:spacing w:after="120" w:line="276" w:lineRule="auto"/>
        <w:ind w:firstLine="720"/>
        <w:jc w:val="both"/>
        <w:rPr>
          <w:rFonts w:eastAsia="Times New Roman"/>
          <w:lang w:val="en-IN" w:eastAsia="en-IN"/>
        </w:rPr>
      </w:pPr>
      <w:r w:rsidRPr="00EF33AC">
        <w:rPr>
          <w:rFonts w:eastAsia="Times New Roman"/>
          <w:lang w:val="en-IN" w:eastAsia="en-IN"/>
        </w:rPr>
        <w:t xml:space="preserve">A </w:t>
      </w:r>
      <w:r w:rsidRPr="00EF33AC">
        <w:rPr>
          <w:rFonts w:eastAsia="Times New Roman"/>
          <w:bCs/>
          <w:lang w:val="en-IN" w:eastAsia="en-IN"/>
        </w:rPr>
        <w:t>supervised classification approach</w:t>
      </w:r>
      <w:r w:rsidRPr="00EF33AC">
        <w:rPr>
          <w:rFonts w:eastAsia="Times New Roman"/>
          <w:lang w:val="en-IN" w:eastAsia="en-IN"/>
        </w:rPr>
        <w:t xml:space="preserve"> was applied using the </w:t>
      </w:r>
      <w:r w:rsidRPr="00EF33AC">
        <w:rPr>
          <w:rFonts w:eastAsia="Times New Roman"/>
          <w:bCs/>
          <w:lang w:val="en-IN" w:eastAsia="en-IN"/>
        </w:rPr>
        <w:t>Maximum Likelihood Algorithm (MLA)</w:t>
      </w:r>
      <w:r w:rsidRPr="00EF33AC">
        <w:rPr>
          <w:rFonts w:eastAsia="Times New Roman"/>
          <w:lang w:val="en-IN" w:eastAsia="en-IN"/>
        </w:rPr>
        <w:t xml:space="preserve"> in </w:t>
      </w:r>
      <w:r w:rsidRPr="00EF33AC">
        <w:rPr>
          <w:rFonts w:eastAsia="Times New Roman"/>
          <w:bCs/>
          <w:lang w:val="en-IN" w:eastAsia="en-IN"/>
        </w:rPr>
        <w:t xml:space="preserve">ArcGIS </w:t>
      </w:r>
      <w:r w:rsidR="004B663F" w:rsidRPr="00EF33AC">
        <w:rPr>
          <w:rFonts w:eastAsia="Times New Roman"/>
          <w:bCs/>
          <w:lang w:val="en-IN" w:eastAsia="en-IN"/>
        </w:rPr>
        <w:t xml:space="preserve">(Version 10.9) </w:t>
      </w:r>
      <w:r w:rsidRPr="00EF33AC">
        <w:rPr>
          <w:rFonts w:eastAsia="Times New Roman"/>
          <w:bCs/>
          <w:lang w:val="en-IN" w:eastAsia="en-IN"/>
        </w:rPr>
        <w:t>and Google Earth Engine</w:t>
      </w:r>
      <w:r w:rsidRPr="00EF33AC">
        <w:rPr>
          <w:rFonts w:eastAsia="Times New Roman"/>
          <w:lang w:val="en-IN" w:eastAsia="en-IN"/>
        </w:rPr>
        <w:t xml:space="preserve">. Training samples were selected based on </w:t>
      </w:r>
      <w:r w:rsidRPr="00EF33AC">
        <w:rPr>
          <w:rFonts w:eastAsia="Times New Roman"/>
          <w:bCs/>
          <w:lang w:val="en-IN" w:eastAsia="en-IN"/>
        </w:rPr>
        <w:t>high-resolution reference imagery and field validation data</w:t>
      </w:r>
      <w:r w:rsidRPr="00EF33AC">
        <w:rPr>
          <w:rFonts w:eastAsia="Times New Roman"/>
          <w:lang w:val="en-IN" w:eastAsia="en-IN"/>
        </w:rPr>
        <w:t xml:space="preserve"> to enhance classification accuracy. </w:t>
      </w:r>
    </w:p>
    <w:p w14:paraId="16A2A1E6" w14:textId="5363B678" w:rsidR="006E5499" w:rsidRPr="00EF33AC" w:rsidRDefault="006E5499" w:rsidP="004B663F">
      <w:pPr>
        <w:spacing w:after="120" w:line="276" w:lineRule="auto"/>
        <w:jc w:val="both"/>
        <w:rPr>
          <w:rFonts w:eastAsia="Times New Roman"/>
          <w:lang w:val="en-IN" w:eastAsia="en-IN"/>
        </w:rPr>
      </w:pPr>
      <w:r w:rsidRPr="00EF33AC">
        <w:rPr>
          <w:rFonts w:eastAsia="Times New Roman"/>
          <w:lang w:val="en-IN" w:eastAsia="en-IN"/>
        </w:rPr>
        <w:t xml:space="preserve">This study categorized the landscape into </w:t>
      </w:r>
      <w:r w:rsidRPr="00EF33AC">
        <w:rPr>
          <w:rFonts w:eastAsia="Times New Roman"/>
          <w:bCs/>
          <w:lang w:val="en-IN" w:eastAsia="en-IN"/>
        </w:rPr>
        <w:t>seven LULC types</w:t>
      </w:r>
      <w:r w:rsidRPr="00EF33AC">
        <w:rPr>
          <w:rFonts w:eastAsia="Times New Roman"/>
          <w:lang w:val="en-IN" w:eastAsia="en-IN"/>
        </w:rPr>
        <w:t xml:space="preserve"> to ensure consistency with the land classification presented in the figures. </w:t>
      </w:r>
    </w:p>
    <w:p w14:paraId="72D74378" w14:textId="77777777" w:rsidR="006E5499" w:rsidRPr="00EF33AC" w:rsidRDefault="006E5499" w:rsidP="006E5499">
      <w:pPr>
        <w:numPr>
          <w:ilvl w:val="0"/>
          <w:numId w:val="33"/>
        </w:numPr>
        <w:spacing w:after="120" w:line="276" w:lineRule="auto"/>
        <w:jc w:val="both"/>
        <w:rPr>
          <w:rFonts w:eastAsia="Times New Roman"/>
          <w:lang w:val="en-IN" w:eastAsia="en-IN"/>
        </w:rPr>
      </w:pPr>
      <w:r w:rsidRPr="00EF33AC">
        <w:rPr>
          <w:rFonts w:eastAsia="Times New Roman"/>
          <w:b/>
          <w:bCs/>
          <w:lang w:val="en-IN" w:eastAsia="en-IN"/>
        </w:rPr>
        <w:t>Water Bodies</w:t>
      </w:r>
      <w:r w:rsidRPr="00EF33AC">
        <w:rPr>
          <w:rFonts w:eastAsia="Times New Roman"/>
          <w:lang w:val="en-IN" w:eastAsia="en-IN"/>
        </w:rPr>
        <w:t xml:space="preserve"> – Lakes, reservoirs, and other surface water features.</w:t>
      </w:r>
    </w:p>
    <w:p w14:paraId="4744350D" w14:textId="77777777" w:rsidR="006E5499" w:rsidRPr="00EF33AC" w:rsidRDefault="006E5499" w:rsidP="006E5499">
      <w:pPr>
        <w:numPr>
          <w:ilvl w:val="0"/>
          <w:numId w:val="33"/>
        </w:numPr>
        <w:spacing w:after="120" w:line="276" w:lineRule="auto"/>
        <w:jc w:val="both"/>
        <w:rPr>
          <w:rFonts w:eastAsia="Times New Roman"/>
          <w:lang w:val="en-IN" w:eastAsia="en-IN"/>
        </w:rPr>
      </w:pPr>
      <w:r w:rsidRPr="00EF33AC">
        <w:rPr>
          <w:rFonts w:eastAsia="Times New Roman"/>
          <w:b/>
          <w:bCs/>
          <w:lang w:val="en-IN" w:eastAsia="en-IN"/>
        </w:rPr>
        <w:t>Vegetation</w:t>
      </w:r>
      <w:r w:rsidRPr="00EF33AC">
        <w:rPr>
          <w:rFonts w:eastAsia="Times New Roman"/>
          <w:lang w:val="en-IN" w:eastAsia="en-IN"/>
        </w:rPr>
        <w:t xml:space="preserve"> – Dense and sparse tree cover, plantations, and forests.</w:t>
      </w:r>
    </w:p>
    <w:p w14:paraId="1EB40147" w14:textId="77777777" w:rsidR="006E5499" w:rsidRPr="00EF33AC" w:rsidRDefault="006E5499" w:rsidP="006E5499">
      <w:pPr>
        <w:numPr>
          <w:ilvl w:val="0"/>
          <w:numId w:val="33"/>
        </w:numPr>
        <w:spacing w:after="120" w:line="276" w:lineRule="auto"/>
        <w:jc w:val="both"/>
        <w:rPr>
          <w:rFonts w:eastAsia="Times New Roman"/>
          <w:lang w:val="en-IN" w:eastAsia="en-IN"/>
        </w:rPr>
      </w:pPr>
      <w:r w:rsidRPr="00EF33AC">
        <w:rPr>
          <w:rFonts w:eastAsia="Times New Roman"/>
          <w:b/>
          <w:bCs/>
          <w:lang w:val="en-IN" w:eastAsia="en-IN"/>
        </w:rPr>
        <w:t>Flooded Vegetation</w:t>
      </w:r>
      <w:r w:rsidRPr="00EF33AC">
        <w:rPr>
          <w:rFonts w:eastAsia="Times New Roman"/>
          <w:lang w:val="en-IN" w:eastAsia="en-IN"/>
        </w:rPr>
        <w:t xml:space="preserve"> – Seasonally flooded agricultural land, marshlands, and wetlands.</w:t>
      </w:r>
    </w:p>
    <w:p w14:paraId="7AA1B431" w14:textId="77777777" w:rsidR="006E5499" w:rsidRPr="00EF33AC" w:rsidRDefault="006E5499" w:rsidP="006E5499">
      <w:pPr>
        <w:numPr>
          <w:ilvl w:val="0"/>
          <w:numId w:val="33"/>
        </w:numPr>
        <w:spacing w:after="120" w:line="276" w:lineRule="auto"/>
        <w:jc w:val="both"/>
        <w:rPr>
          <w:rFonts w:eastAsia="Times New Roman"/>
          <w:lang w:val="en-IN" w:eastAsia="en-IN"/>
        </w:rPr>
      </w:pPr>
      <w:r w:rsidRPr="00EF33AC">
        <w:rPr>
          <w:rFonts w:eastAsia="Times New Roman"/>
          <w:b/>
          <w:bCs/>
          <w:lang w:val="en-IN" w:eastAsia="en-IN"/>
        </w:rPr>
        <w:t>Cropland</w:t>
      </w:r>
      <w:r w:rsidRPr="00EF33AC">
        <w:rPr>
          <w:rFonts w:eastAsia="Times New Roman"/>
          <w:lang w:val="en-IN" w:eastAsia="en-IN"/>
        </w:rPr>
        <w:t xml:space="preserve"> – Agricultural fields, orchards, and horticultural zones.</w:t>
      </w:r>
    </w:p>
    <w:p w14:paraId="288AACDF" w14:textId="77777777" w:rsidR="006E5499" w:rsidRPr="00EF33AC" w:rsidRDefault="006E5499" w:rsidP="006E5499">
      <w:pPr>
        <w:numPr>
          <w:ilvl w:val="0"/>
          <w:numId w:val="33"/>
        </w:numPr>
        <w:spacing w:after="120" w:line="276" w:lineRule="auto"/>
        <w:jc w:val="both"/>
        <w:rPr>
          <w:rFonts w:eastAsia="Times New Roman"/>
          <w:lang w:val="en-IN" w:eastAsia="en-IN"/>
        </w:rPr>
      </w:pPr>
      <w:r w:rsidRPr="00EF33AC">
        <w:rPr>
          <w:rFonts w:eastAsia="Times New Roman"/>
          <w:b/>
          <w:bCs/>
          <w:lang w:val="en-IN" w:eastAsia="en-IN"/>
        </w:rPr>
        <w:t>Built-up Area</w:t>
      </w:r>
      <w:r w:rsidRPr="00EF33AC">
        <w:rPr>
          <w:rFonts w:eastAsia="Times New Roman"/>
          <w:lang w:val="en-IN" w:eastAsia="en-IN"/>
        </w:rPr>
        <w:t xml:space="preserve"> – Residential, commercial, and industrial urban spaces.</w:t>
      </w:r>
    </w:p>
    <w:p w14:paraId="6B169E3B" w14:textId="4888EF59" w:rsidR="006E5499" w:rsidRPr="00EF33AC" w:rsidRDefault="008836EF" w:rsidP="006E5499">
      <w:pPr>
        <w:numPr>
          <w:ilvl w:val="0"/>
          <w:numId w:val="33"/>
        </w:numPr>
        <w:spacing w:after="120" w:line="276" w:lineRule="auto"/>
        <w:jc w:val="both"/>
        <w:rPr>
          <w:rFonts w:eastAsia="Times New Roman"/>
          <w:lang w:val="en-IN" w:eastAsia="en-IN"/>
        </w:rPr>
      </w:pPr>
      <w:r w:rsidRPr="00EF33AC">
        <w:rPr>
          <w:rFonts w:eastAsia="Times New Roman"/>
          <w:b/>
          <w:bCs/>
          <w:lang w:val="en-IN" w:eastAsia="en-IN"/>
        </w:rPr>
        <w:t>Barren Land</w:t>
      </w:r>
      <w:r w:rsidR="006E5499" w:rsidRPr="00EF33AC">
        <w:rPr>
          <w:rFonts w:eastAsia="Times New Roman"/>
          <w:lang w:val="en-IN" w:eastAsia="en-IN"/>
        </w:rPr>
        <w:t xml:space="preserve"> – Open barren lands, exposed soil, and non-vegetated areas.</w:t>
      </w:r>
    </w:p>
    <w:p w14:paraId="5DC1389D" w14:textId="77777777" w:rsidR="006E5499" w:rsidRPr="00EF33AC" w:rsidRDefault="006E5499" w:rsidP="006E5499">
      <w:pPr>
        <w:numPr>
          <w:ilvl w:val="0"/>
          <w:numId w:val="33"/>
        </w:numPr>
        <w:spacing w:after="120" w:line="276" w:lineRule="auto"/>
        <w:jc w:val="both"/>
        <w:rPr>
          <w:rFonts w:eastAsia="Times New Roman"/>
          <w:lang w:val="en-IN" w:eastAsia="en-IN"/>
        </w:rPr>
      </w:pPr>
      <w:r w:rsidRPr="00EF33AC">
        <w:rPr>
          <w:rFonts w:eastAsia="Times New Roman"/>
          <w:b/>
          <w:bCs/>
          <w:lang w:val="en-IN" w:eastAsia="en-IN"/>
        </w:rPr>
        <w:lastRenderedPageBreak/>
        <w:t>Rangeland</w:t>
      </w:r>
      <w:r w:rsidRPr="00EF33AC">
        <w:rPr>
          <w:rFonts w:eastAsia="Times New Roman"/>
          <w:lang w:val="en-IN" w:eastAsia="en-IN"/>
        </w:rPr>
        <w:t xml:space="preserve"> – Grasslands, pastures, and open shrublands.</w:t>
      </w:r>
    </w:p>
    <w:p w14:paraId="58A5D08D" w14:textId="77777777" w:rsidR="006E5499" w:rsidRPr="00EF33AC" w:rsidRDefault="006E5499" w:rsidP="004B663F">
      <w:pPr>
        <w:spacing w:after="120" w:line="276" w:lineRule="auto"/>
        <w:jc w:val="both"/>
        <w:rPr>
          <w:rFonts w:eastAsia="Times New Roman"/>
          <w:lang w:val="en-IN" w:eastAsia="en-IN"/>
        </w:rPr>
      </w:pPr>
      <w:r w:rsidRPr="00EF33AC">
        <w:rPr>
          <w:rFonts w:eastAsia="Times New Roman"/>
          <w:lang w:val="en-IN" w:eastAsia="en-IN"/>
        </w:rPr>
        <w:t xml:space="preserve">Post-classification </w:t>
      </w:r>
      <w:r w:rsidRPr="00EF33AC">
        <w:rPr>
          <w:rFonts w:eastAsia="Times New Roman"/>
          <w:b/>
          <w:bCs/>
          <w:lang w:val="en-IN" w:eastAsia="en-IN"/>
        </w:rPr>
        <w:t>accuracy assessment</w:t>
      </w:r>
      <w:r w:rsidRPr="00EF33AC">
        <w:rPr>
          <w:rFonts w:eastAsia="Times New Roman"/>
          <w:lang w:val="en-IN" w:eastAsia="en-IN"/>
        </w:rPr>
        <w:t xml:space="preserve"> was conducted to validate the classification results.</w:t>
      </w:r>
    </w:p>
    <w:p w14:paraId="53F027A9" w14:textId="77777777" w:rsidR="004F6AF0" w:rsidRPr="00EF33AC" w:rsidRDefault="004F6AF0" w:rsidP="004B663F">
      <w:pPr>
        <w:spacing w:after="120" w:line="276" w:lineRule="auto"/>
        <w:jc w:val="both"/>
        <w:rPr>
          <w:rFonts w:eastAsia="Times New Roman"/>
          <w:lang w:val="en-IN" w:eastAsia="en-IN"/>
        </w:rPr>
      </w:pPr>
    </w:p>
    <w:p w14:paraId="3F2E668C" w14:textId="77777777" w:rsidR="004F6AF0" w:rsidRPr="00EF33AC" w:rsidRDefault="004F6AF0" w:rsidP="004B663F">
      <w:pPr>
        <w:spacing w:after="120" w:line="276" w:lineRule="auto"/>
        <w:jc w:val="both"/>
        <w:rPr>
          <w:rFonts w:eastAsia="Times New Roman"/>
          <w:lang w:val="en-IN" w:eastAsia="en-IN"/>
        </w:rPr>
      </w:pPr>
    </w:p>
    <w:p w14:paraId="23FB9808" w14:textId="0EAEC730" w:rsidR="006E5499" w:rsidRPr="00EF33AC" w:rsidRDefault="006E5499" w:rsidP="006E5499">
      <w:pPr>
        <w:spacing w:after="120" w:line="276" w:lineRule="auto"/>
        <w:jc w:val="both"/>
        <w:rPr>
          <w:rFonts w:eastAsia="Times New Roman"/>
          <w:b/>
          <w:bCs/>
          <w:lang w:val="en-IN" w:eastAsia="en-IN"/>
        </w:rPr>
      </w:pPr>
      <w:r w:rsidRPr="00EF33AC">
        <w:rPr>
          <w:rFonts w:eastAsia="Times New Roman"/>
          <w:b/>
          <w:bCs/>
          <w:lang w:val="en-IN" w:eastAsia="en-IN"/>
        </w:rPr>
        <w:t>3.4 Accuracy Assessment</w:t>
      </w:r>
    </w:p>
    <w:p w14:paraId="71FC4BD5" w14:textId="77777777" w:rsidR="006E5499" w:rsidRPr="00EF33AC" w:rsidRDefault="006E5499" w:rsidP="006E5499">
      <w:pPr>
        <w:spacing w:after="120" w:line="276" w:lineRule="auto"/>
        <w:ind w:firstLine="720"/>
        <w:jc w:val="both"/>
        <w:rPr>
          <w:rFonts w:eastAsia="Times New Roman"/>
          <w:lang w:val="en-IN" w:eastAsia="en-IN"/>
        </w:rPr>
      </w:pPr>
      <w:r w:rsidRPr="00EF33AC">
        <w:rPr>
          <w:rFonts w:eastAsia="Times New Roman"/>
          <w:lang w:val="en-IN" w:eastAsia="en-IN"/>
        </w:rPr>
        <w:t xml:space="preserve">To ensure </w:t>
      </w:r>
      <w:r w:rsidRPr="00EF33AC">
        <w:rPr>
          <w:rFonts w:eastAsia="Times New Roman"/>
          <w:bCs/>
          <w:lang w:val="en-IN" w:eastAsia="en-IN"/>
        </w:rPr>
        <w:t>classification reliability</w:t>
      </w:r>
      <w:r w:rsidRPr="00EF33AC">
        <w:rPr>
          <w:rFonts w:eastAsia="Times New Roman"/>
          <w:lang w:val="en-IN" w:eastAsia="en-IN"/>
        </w:rPr>
        <w:t xml:space="preserve">, an </w:t>
      </w:r>
      <w:r w:rsidRPr="00EF33AC">
        <w:rPr>
          <w:rFonts w:eastAsia="Times New Roman"/>
          <w:bCs/>
          <w:lang w:val="en-IN" w:eastAsia="en-IN"/>
        </w:rPr>
        <w:t>accuracy assessment</w:t>
      </w:r>
      <w:r w:rsidRPr="00EF33AC">
        <w:rPr>
          <w:rFonts w:eastAsia="Times New Roman"/>
          <w:lang w:val="en-IN" w:eastAsia="en-IN"/>
        </w:rPr>
        <w:t xml:space="preserve"> was performed using </w:t>
      </w:r>
      <w:r w:rsidRPr="00EF33AC">
        <w:rPr>
          <w:rFonts w:eastAsia="Times New Roman"/>
          <w:bCs/>
          <w:lang w:val="en-IN" w:eastAsia="en-IN"/>
        </w:rPr>
        <w:t>reference data from Google Earth historical imagery and ground-truth data collected from field surveys and ancillary datasets</w:t>
      </w:r>
      <w:r w:rsidRPr="00EF33AC">
        <w:rPr>
          <w:rFonts w:eastAsia="Times New Roman"/>
          <w:lang w:val="en-IN" w:eastAsia="en-IN"/>
        </w:rPr>
        <w:t xml:space="preserve">. The following </w:t>
      </w:r>
      <w:r w:rsidRPr="00EF33AC">
        <w:rPr>
          <w:rFonts w:eastAsia="Times New Roman"/>
          <w:bCs/>
          <w:lang w:val="en-IN" w:eastAsia="en-IN"/>
        </w:rPr>
        <w:t>metrics were computed</w:t>
      </w:r>
      <w:r w:rsidRPr="00EF33AC">
        <w:rPr>
          <w:rFonts w:eastAsia="Times New Roman"/>
          <w:lang w:val="en-IN" w:eastAsia="en-IN"/>
        </w:rPr>
        <w:t>:</w:t>
      </w:r>
    </w:p>
    <w:p w14:paraId="76F61DEA" w14:textId="77777777" w:rsidR="006E5499" w:rsidRPr="00EF33AC" w:rsidRDefault="006E5499" w:rsidP="006E5499">
      <w:pPr>
        <w:numPr>
          <w:ilvl w:val="0"/>
          <w:numId w:val="34"/>
        </w:numPr>
        <w:spacing w:after="120" w:line="276" w:lineRule="auto"/>
        <w:jc w:val="both"/>
        <w:rPr>
          <w:rFonts w:eastAsia="Times New Roman"/>
          <w:lang w:val="en-IN" w:eastAsia="en-IN"/>
        </w:rPr>
      </w:pPr>
      <w:r w:rsidRPr="00EF33AC">
        <w:rPr>
          <w:rFonts w:eastAsia="Times New Roman"/>
          <w:b/>
          <w:bCs/>
          <w:lang w:val="en-IN" w:eastAsia="en-IN"/>
        </w:rPr>
        <w:t>Overall Accuracy (OA)</w:t>
      </w:r>
      <w:r w:rsidRPr="00EF33AC">
        <w:rPr>
          <w:rFonts w:eastAsia="Times New Roman"/>
          <w:lang w:val="en-IN" w:eastAsia="en-IN"/>
        </w:rPr>
        <w:t xml:space="preserve"> – Measures the percentage of correctly classified pixels.</w:t>
      </w:r>
    </w:p>
    <w:p w14:paraId="5AE69DCE" w14:textId="77777777" w:rsidR="006E5499" w:rsidRPr="00EF33AC" w:rsidRDefault="006E5499" w:rsidP="006E5499">
      <w:pPr>
        <w:numPr>
          <w:ilvl w:val="0"/>
          <w:numId w:val="34"/>
        </w:numPr>
        <w:spacing w:after="120" w:line="276" w:lineRule="auto"/>
        <w:jc w:val="both"/>
        <w:rPr>
          <w:rFonts w:eastAsia="Times New Roman"/>
          <w:lang w:val="en-IN" w:eastAsia="en-IN"/>
        </w:rPr>
      </w:pPr>
      <w:r w:rsidRPr="00EF33AC">
        <w:rPr>
          <w:rFonts w:eastAsia="Times New Roman"/>
          <w:b/>
          <w:bCs/>
          <w:lang w:val="en-IN" w:eastAsia="en-IN"/>
        </w:rPr>
        <w:t>Kappa Coefficient (K)</w:t>
      </w:r>
      <w:r w:rsidRPr="00EF33AC">
        <w:rPr>
          <w:rFonts w:eastAsia="Times New Roman"/>
          <w:lang w:val="en-IN" w:eastAsia="en-IN"/>
        </w:rPr>
        <w:t xml:space="preserve"> – Measures the statistical agreement between classification results and reference data.</w:t>
      </w:r>
    </w:p>
    <w:p w14:paraId="5C40D528" w14:textId="5C3999AF" w:rsidR="006E5499" w:rsidRPr="00EF33AC" w:rsidRDefault="006E5499" w:rsidP="006E5499">
      <w:pPr>
        <w:spacing w:after="120" w:line="276" w:lineRule="auto"/>
        <w:ind w:firstLine="360"/>
        <w:jc w:val="both"/>
        <w:rPr>
          <w:rFonts w:eastAsia="Times New Roman"/>
          <w:lang w:val="en-IN" w:eastAsia="en-IN"/>
        </w:rPr>
      </w:pPr>
      <w:r w:rsidRPr="00EF33AC">
        <w:rPr>
          <w:rFonts w:eastAsia="Times New Roman"/>
          <w:lang w:val="en-IN" w:eastAsia="en-IN"/>
        </w:rPr>
        <w:t xml:space="preserve">The </w:t>
      </w:r>
      <w:r w:rsidRPr="00EF33AC">
        <w:rPr>
          <w:rFonts w:eastAsia="Times New Roman"/>
          <w:bCs/>
          <w:lang w:val="en-IN" w:eastAsia="en-IN"/>
        </w:rPr>
        <w:t>accuracy assessment results</w:t>
      </w:r>
      <w:r w:rsidRPr="00EF33AC">
        <w:rPr>
          <w:rFonts w:eastAsia="Times New Roman"/>
          <w:lang w:val="en-IN" w:eastAsia="en-IN"/>
        </w:rPr>
        <w:t xml:space="preserve"> are summarized </w:t>
      </w:r>
      <w:r w:rsidR="004B663F" w:rsidRPr="00EF33AC">
        <w:rPr>
          <w:rFonts w:eastAsia="Times New Roman"/>
          <w:lang w:val="en-IN" w:eastAsia="en-IN"/>
        </w:rPr>
        <w:t xml:space="preserve">in Table-2 </w:t>
      </w:r>
      <w:r w:rsidRPr="00EF33AC">
        <w:rPr>
          <w:rFonts w:eastAsia="Times New Roman"/>
          <w:lang w:val="en-IN" w:eastAsia="en-IN"/>
        </w:rPr>
        <w:t>below:</w:t>
      </w:r>
    </w:p>
    <w:p w14:paraId="203995EE" w14:textId="3B3364D3" w:rsidR="004B663F" w:rsidRPr="00EF33AC" w:rsidRDefault="004B663F" w:rsidP="004B663F">
      <w:pPr>
        <w:spacing w:after="120" w:line="276" w:lineRule="auto"/>
        <w:jc w:val="center"/>
        <w:rPr>
          <w:rFonts w:eastAsia="Times New Roman"/>
          <w:b/>
          <w:lang w:val="en-IN" w:eastAsia="en-IN"/>
        </w:rPr>
      </w:pPr>
      <w:r w:rsidRPr="00EF33AC">
        <w:rPr>
          <w:rFonts w:eastAsia="Times New Roman"/>
          <w:b/>
          <w:lang w:eastAsia="en-IN"/>
        </w:rPr>
        <w:t>Table 2: Accuracy Assessment Metrics for LULC Classification</w:t>
      </w:r>
    </w:p>
    <w:tbl>
      <w:tblPr>
        <w:tblStyle w:val="TableGrid"/>
        <w:tblW w:w="0" w:type="auto"/>
        <w:jc w:val="center"/>
        <w:tblLook w:val="04A0" w:firstRow="1" w:lastRow="0" w:firstColumn="1" w:lastColumn="0" w:noHBand="0" w:noVBand="1"/>
      </w:tblPr>
      <w:tblGrid>
        <w:gridCol w:w="1696"/>
        <w:gridCol w:w="2835"/>
        <w:gridCol w:w="2416"/>
      </w:tblGrid>
      <w:tr w:rsidR="006E5499" w:rsidRPr="00EF33AC" w14:paraId="13BE2447" w14:textId="77777777" w:rsidTr="004B663F">
        <w:trPr>
          <w:trHeight w:val="20"/>
          <w:jc w:val="center"/>
        </w:trPr>
        <w:tc>
          <w:tcPr>
            <w:tcW w:w="1696" w:type="dxa"/>
            <w:vAlign w:val="center"/>
            <w:hideMark/>
          </w:tcPr>
          <w:p w14:paraId="1A928546" w14:textId="77777777" w:rsidR="006E5499" w:rsidRPr="00EF33AC" w:rsidRDefault="006E5499" w:rsidP="004B663F">
            <w:pPr>
              <w:spacing w:after="120"/>
              <w:ind w:firstLine="29"/>
              <w:jc w:val="center"/>
              <w:rPr>
                <w:rFonts w:eastAsia="Times New Roman"/>
                <w:b/>
                <w:bCs/>
                <w:lang w:val="en-IN" w:eastAsia="en-IN"/>
              </w:rPr>
            </w:pPr>
            <w:r w:rsidRPr="00EF33AC">
              <w:rPr>
                <w:rFonts w:eastAsia="Times New Roman"/>
                <w:b/>
                <w:bCs/>
                <w:lang w:eastAsia="en-IN"/>
              </w:rPr>
              <w:t>Year</w:t>
            </w:r>
          </w:p>
        </w:tc>
        <w:tc>
          <w:tcPr>
            <w:tcW w:w="2835" w:type="dxa"/>
            <w:vAlign w:val="center"/>
            <w:hideMark/>
          </w:tcPr>
          <w:p w14:paraId="020F90D2" w14:textId="77777777" w:rsidR="006E5499" w:rsidRPr="00EF33AC" w:rsidRDefault="006E5499" w:rsidP="004B663F">
            <w:pPr>
              <w:spacing w:after="120"/>
              <w:jc w:val="center"/>
              <w:rPr>
                <w:rFonts w:eastAsia="Times New Roman"/>
                <w:b/>
                <w:bCs/>
                <w:lang w:eastAsia="en-IN"/>
              </w:rPr>
            </w:pPr>
            <w:r w:rsidRPr="00EF33AC">
              <w:rPr>
                <w:rFonts w:eastAsia="Times New Roman"/>
                <w:b/>
                <w:bCs/>
                <w:lang w:eastAsia="en-IN"/>
              </w:rPr>
              <w:t>Overall Accuracy (%)</w:t>
            </w:r>
          </w:p>
        </w:tc>
        <w:tc>
          <w:tcPr>
            <w:tcW w:w="2416" w:type="dxa"/>
            <w:vAlign w:val="center"/>
            <w:hideMark/>
          </w:tcPr>
          <w:p w14:paraId="2A337938" w14:textId="2AB4F1AC" w:rsidR="006E5499" w:rsidRPr="00EF33AC" w:rsidRDefault="006E5499" w:rsidP="004B663F">
            <w:pPr>
              <w:spacing w:after="120"/>
              <w:jc w:val="center"/>
              <w:rPr>
                <w:rFonts w:eastAsia="Times New Roman"/>
                <w:b/>
                <w:bCs/>
                <w:lang w:eastAsia="en-IN"/>
              </w:rPr>
            </w:pPr>
            <w:r w:rsidRPr="00EF33AC">
              <w:rPr>
                <w:rFonts w:eastAsia="Times New Roman"/>
                <w:b/>
                <w:bCs/>
                <w:lang w:eastAsia="en-IN"/>
              </w:rPr>
              <w:t>Kappa Coefficient</w:t>
            </w:r>
          </w:p>
        </w:tc>
      </w:tr>
      <w:tr w:rsidR="006E5499" w:rsidRPr="00EF33AC" w14:paraId="7810D063" w14:textId="77777777" w:rsidTr="004B663F">
        <w:trPr>
          <w:trHeight w:val="20"/>
          <w:jc w:val="center"/>
        </w:trPr>
        <w:tc>
          <w:tcPr>
            <w:tcW w:w="1696" w:type="dxa"/>
            <w:vAlign w:val="center"/>
            <w:hideMark/>
          </w:tcPr>
          <w:p w14:paraId="0082747D" w14:textId="77777777" w:rsidR="006E5499" w:rsidRPr="00EF33AC" w:rsidRDefault="006E5499" w:rsidP="004B663F">
            <w:pPr>
              <w:spacing w:after="120"/>
              <w:ind w:firstLine="29"/>
              <w:jc w:val="center"/>
              <w:rPr>
                <w:rFonts w:eastAsia="Times New Roman"/>
                <w:lang w:eastAsia="en-IN"/>
              </w:rPr>
            </w:pPr>
            <w:r w:rsidRPr="00EF33AC">
              <w:rPr>
                <w:rFonts w:eastAsia="Times New Roman"/>
                <w:lang w:eastAsia="en-IN"/>
              </w:rPr>
              <w:t>1990</w:t>
            </w:r>
          </w:p>
        </w:tc>
        <w:tc>
          <w:tcPr>
            <w:tcW w:w="2835" w:type="dxa"/>
            <w:vAlign w:val="center"/>
            <w:hideMark/>
          </w:tcPr>
          <w:p w14:paraId="27BB97D5" w14:textId="77777777" w:rsidR="006E5499" w:rsidRPr="00EF33AC" w:rsidRDefault="006E5499" w:rsidP="004B663F">
            <w:pPr>
              <w:spacing w:after="120"/>
              <w:jc w:val="center"/>
              <w:rPr>
                <w:rFonts w:eastAsia="Times New Roman"/>
                <w:lang w:eastAsia="en-IN"/>
              </w:rPr>
            </w:pPr>
            <w:r w:rsidRPr="00EF33AC">
              <w:rPr>
                <w:rFonts w:eastAsia="Times New Roman"/>
                <w:lang w:eastAsia="en-IN"/>
              </w:rPr>
              <w:t>85.7</w:t>
            </w:r>
          </w:p>
        </w:tc>
        <w:tc>
          <w:tcPr>
            <w:tcW w:w="2416" w:type="dxa"/>
            <w:vAlign w:val="center"/>
            <w:hideMark/>
          </w:tcPr>
          <w:p w14:paraId="62BC979A" w14:textId="77777777" w:rsidR="006E5499" w:rsidRPr="00EF33AC" w:rsidRDefault="006E5499" w:rsidP="004B663F">
            <w:pPr>
              <w:spacing w:after="120"/>
              <w:ind w:firstLine="18"/>
              <w:jc w:val="center"/>
              <w:rPr>
                <w:rFonts w:eastAsia="Times New Roman"/>
                <w:lang w:eastAsia="en-IN"/>
              </w:rPr>
            </w:pPr>
            <w:r w:rsidRPr="00EF33AC">
              <w:rPr>
                <w:rFonts w:eastAsia="Times New Roman"/>
                <w:lang w:eastAsia="en-IN"/>
              </w:rPr>
              <w:t>0.82</w:t>
            </w:r>
          </w:p>
        </w:tc>
      </w:tr>
      <w:tr w:rsidR="006E5499" w:rsidRPr="00EF33AC" w14:paraId="7B6979C7" w14:textId="77777777" w:rsidTr="004B663F">
        <w:trPr>
          <w:trHeight w:val="20"/>
          <w:jc w:val="center"/>
        </w:trPr>
        <w:tc>
          <w:tcPr>
            <w:tcW w:w="1696" w:type="dxa"/>
            <w:vAlign w:val="center"/>
            <w:hideMark/>
          </w:tcPr>
          <w:p w14:paraId="38175B9A" w14:textId="77777777" w:rsidR="006E5499" w:rsidRPr="00EF33AC" w:rsidRDefault="006E5499" w:rsidP="004B663F">
            <w:pPr>
              <w:spacing w:after="120"/>
              <w:ind w:firstLine="29"/>
              <w:jc w:val="center"/>
              <w:rPr>
                <w:rFonts w:eastAsia="Times New Roman"/>
                <w:lang w:eastAsia="en-IN"/>
              </w:rPr>
            </w:pPr>
            <w:r w:rsidRPr="00EF33AC">
              <w:rPr>
                <w:rFonts w:eastAsia="Times New Roman"/>
                <w:lang w:eastAsia="en-IN"/>
              </w:rPr>
              <w:t>2000</w:t>
            </w:r>
          </w:p>
        </w:tc>
        <w:tc>
          <w:tcPr>
            <w:tcW w:w="2835" w:type="dxa"/>
            <w:vAlign w:val="center"/>
            <w:hideMark/>
          </w:tcPr>
          <w:p w14:paraId="732203AD" w14:textId="77777777" w:rsidR="006E5499" w:rsidRPr="00EF33AC" w:rsidRDefault="006E5499" w:rsidP="004B663F">
            <w:pPr>
              <w:spacing w:after="120"/>
              <w:jc w:val="center"/>
              <w:rPr>
                <w:rFonts w:eastAsia="Times New Roman"/>
                <w:lang w:eastAsia="en-IN"/>
              </w:rPr>
            </w:pPr>
            <w:r w:rsidRPr="00EF33AC">
              <w:rPr>
                <w:rFonts w:eastAsia="Times New Roman"/>
                <w:lang w:eastAsia="en-IN"/>
              </w:rPr>
              <w:t>88.2</w:t>
            </w:r>
          </w:p>
        </w:tc>
        <w:tc>
          <w:tcPr>
            <w:tcW w:w="2416" w:type="dxa"/>
            <w:vAlign w:val="center"/>
            <w:hideMark/>
          </w:tcPr>
          <w:p w14:paraId="7AF3F0CA" w14:textId="77777777" w:rsidR="006E5499" w:rsidRPr="00EF33AC" w:rsidRDefault="006E5499" w:rsidP="004B663F">
            <w:pPr>
              <w:spacing w:after="120"/>
              <w:ind w:firstLine="18"/>
              <w:jc w:val="center"/>
              <w:rPr>
                <w:rFonts w:eastAsia="Times New Roman"/>
                <w:lang w:eastAsia="en-IN"/>
              </w:rPr>
            </w:pPr>
            <w:r w:rsidRPr="00EF33AC">
              <w:rPr>
                <w:rFonts w:eastAsia="Times New Roman"/>
                <w:lang w:eastAsia="en-IN"/>
              </w:rPr>
              <w:t>0.85</w:t>
            </w:r>
          </w:p>
        </w:tc>
      </w:tr>
      <w:tr w:rsidR="006E5499" w:rsidRPr="00EF33AC" w14:paraId="423E7EEB" w14:textId="77777777" w:rsidTr="004B663F">
        <w:trPr>
          <w:trHeight w:val="20"/>
          <w:jc w:val="center"/>
        </w:trPr>
        <w:tc>
          <w:tcPr>
            <w:tcW w:w="1696" w:type="dxa"/>
            <w:vAlign w:val="center"/>
            <w:hideMark/>
          </w:tcPr>
          <w:p w14:paraId="1871C600" w14:textId="77777777" w:rsidR="006E5499" w:rsidRPr="00EF33AC" w:rsidRDefault="006E5499" w:rsidP="004B663F">
            <w:pPr>
              <w:spacing w:after="120"/>
              <w:ind w:firstLine="29"/>
              <w:jc w:val="center"/>
              <w:rPr>
                <w:rFonts w:eastAsia="Times New Roman"/>
                <w:lang w:eastAsia="en-IN"/>
              </w:rPr>
            </w:pPr>
            <w:r w:rsidRPr="00EF33AC">
              <w:rPr>
                <w:rFonts w:eastAsia="Times New Roman"/>
                <w:lang w:eastAsia="en-IN"/>
              </w:rPr>
              <w:t>2010</w:t>
            </w:r>
          </w:p>
        </w:tc>
        <w:tc>
          <w:tcPr>
            <w:tcW w:w="2835" w:type="dxa"/>
            <w:vAlign w:val="center"/>
            <w:hideMark/>
          </w:tcPr>
          <w:p w14:paraId="5FC5A778" w14:textId="77777777" w:rsidR="006E5499" w:rsidRPr="00EF33AC" w:rsidRDefault="006E5499" w:rsidP="004B663F">
            <w:pPr>
              <w:spacing w:after="120"/>
              <w:jc w:val="center"/>
              <w:rPr>
                <w:rFonts w:eastAsia="Times New Roman"/>
                <w:lang w:eastAsia="en-IN"/>
              </w:rPr>
            </w:pPr>
            <w:r w:rsidRPr="00EF33AC">
              <w:rPr>
                <w:rFonts w:eastAsia="Times New Roman"/>
                <w:lang w:eastAsia="en-IN"/>
              </w:rPr>
              <w:t>86.9</w:t>
            </w:r>
          </w:p>
        </w:tc>
        <w:tc>
          <w:tcPr>
            <w:tcW w:w="2416" w:type="dxa"/>
            <w:vAlign w:val="center"/>
            <w:hideMark/>
          </w:tcPr>
          <w:p w14:paraId="3CB68CA6" w14:textId="77777777" w:rsidR="006E5499" w:rsidRPr="00EF33AC" w:rsidRDefault="006E5499" w:rsidP="004B663F">
            <w:pPr>
              <w:spacing w:after="120"/>
              <w:ind w:firstLine="18"/>
              <w:jc w:val="center"/>
              <w:rPr>
                <w:rFonts w:eastAsia="Times New Roman"/>
                <w:lang w:eastAsia="en-IN"/>
              </w:rPr>
            </w:pPr>
            <w:r w:rsidRPr="00EF33AC">
              <w:rPr>
                <w:rFonts w:eastAsia="Times New Roman"/>
                <w:lang w:eastAsia="en-IN"/>
              </w:rPr>
              <w:t>0.83</w:t>
            </w:r>
          </w:p>
        </w:tc>
      </w:tr>
      <w:tr w:rsidR="006E5499" w:rsidRPr="00EF33AC" w14:paraId="2C33D963" w14:textId="77777777" w:rsidTr="004B663F">
        <w:trPr>
          <w:trHeight w:val="20"/>
          <w:jc w:val="center"/>
        </w:trPr>
        <w:tc>
          <w:tcPr>
            <w:tcW w:w="1696" w:type="dxa"/>
            <w:vAlign w:val="center"/>
            <w:hideMark/>
          </w:tcPr>
          <w:p w14:paraId="7297C334" w14:textId="77777777" w:rsidR="006E5499" w:rsidRPr="00EF33AC" w:rsidRDefault="006E5499" w:rsidP="004B663F">
            <w:pPr>
              <w:spacing w:after="120"/>
              <w:ind w:firstLine="29"/>
              <w:jc w:val="center"/>
              <w:rPr>
                <w:rFonts w:eastAsia="Times New Roman"/>
                <w:lang w:eastAsia="en-IN"/>
              </w:rPr>
            </w:pPr>
            <w:r w:rsidRPr="00EF33AC">
              <w:rPr>
                <w:rFonts w:eastAsia="Times New Roman"/>
                <w:lang w:eastAsia="en-IN"/>
              </w:rPr>
              <w:t>2020</w:t>
            </w:r>
          </w:p>
        </w:tc>
        <w:tc>
          <w:tcPr>
            <w:tcW w:w="2835" w:type="dxa"/>
            <w:vAlign w:val="center"/>
            <w:hideMark/>
          </w:tcPr>
          <w:p w14:paraId="432886D2" w14:textId="77777777" w:rsidR="006E5499" w:rsidRPr="00EF33AC" w:rsidRDefault="006E5499" w:rsidP="004B663F">
            <w:pPr>
              <w:spacing w:after="120"/>
              <w:jc w:val="center"/>
              <w:rPr>
                <w:rFonts w:eastAsia="Times New Roman"/>
                <w:lang w:eastAsia="en-IN"/>
              </w:rPr>
            </w:pPr>
            <w:r w:rsidRPr="00EF33AC">
              <w:rPr>
                <w:rFonts w:eastAsia="Times New Roman"/>
                <w:lang w:eastAsia="en-IN"/>
              </w:rPr>
              <w:t>91.3</w:t>
            </w:r>
          </w:p>
        </w:tc>
        <w:tc>
          <w:tcPr>
            <w:tcW w:w="2416" w:type="dxa"/>
            <w:vAlign w:val="center"/>
            <w:hideMark/>
          </w:tcPr>
          <w:p w14:paraId="04C8F38B" w14:textId="77777777" w:rsidR="006E5499" w:rsidRPr="00EF33AC" w:rsidRDefault="006E5499" w:rsidP="004B663F">
            <w:pPr>
              <w:spacing w:after="120"/>
              <w:ind w:firstLine="18"/>
              <w:jc w:val="center"/>
              <w:rPr>
                <w:rFonts w:eastAsia="Times New Roman"/>
                <w:lang w:eastAsia="en-IN"/>
              </w:rPr>
            </w:pPr>
            <w:r w:rsidRPr="00EF33AC">
              <w:rPr>
                <w:rFonts w:eastAsia="Times New Roman"/>
                <w:lang w:eastAsia="en-IN"/>
              </w:rPr>
              <w:t>0.88</w:t>
            </w:r>
          </w:p>
        </w:tc>
      </w:tr>
      <w:tr w:rsidR="006E5499" w:rsidRPr="00EF33AC" w14:paraId="5BDB6759" w14:textId="77777777" w:rsidTr="004B663F">
        <w:trPr>
          <w:trHeight w:val="20"/>
          <w:jc w:val="center"/>
        </w:trPr>
        <w:tc>
          <w:tcPr>
            <w:tcW w:w="1696" w:type="dxa"/>
            <w:vAlign w:val="center"/>
            <w:hideMark/>
          </w:tcPr>
          <w:p w14:paraId="5C278627" w14:textId="77777777" w:rsidR="006E5499" w:rsidRPr="00EF33AC" w:rsidRDefault="006E5499" w:rsidP="004B663F">
            <w:pPr>
              <w:spacing w:after="120"/>
              <w:ind w:firstLine="29"/>
              <w:jc w:val="center"/>
              <w:rPr>
                <w:rFonts w:eastAsia="Times New Roman"/>
                <w:lang w:eastAsia="en-IN"/>
              </w:rPr>
            </w:pPr>
            <w:r w:rsidRPr="00EF33AC">
              <w:rPr>
                <w:rFonts w:eastAsia="Times New Roman"/>
                <w:lang w:eastAsia="en-IN"/>
              </w:rPr>
              <w:t>2023</w:t>
            </w:r>
          </w:p>
        </w:tc>
        <w:tc>
          <w:tcPr>
            <w:tcW w:w="2835" w:type="dxa"/>
            <w:vAlign w:val="center"/>
            <w:hideMark/>
          </w:tcPr>
          <w:p w14:paraId="7352622D" w14:textId="77777777" w:rsidR="006E5499" w:rsidRPr="00EF33AC" w:rsidRDefault="006E5499" w:rsidP="004B663F">
            <w:pPr>
              <w:spacing w:after="120"/>
              <w:jc w:val="center"/>
              <w:rPr>
                <w:rFonts w:eastAsia="Times New Roman"/>
                <w:lang w:eastAsia="en-IN"/>
              </w:rPr>
            </w:pPr>
            <w:r w:rsidRPr="00EF33AC">
              <w:rPr>
                <w:rFonts w:eastAsia="Times New Roman"/>
                <w:lang w:eastAsia="en-IN"/>
              </w:rPr>
              <w:t>92.1</w:t>
            </w:r>
          </w:p>
        </w:tc>
        <w:tc>
          <w:tcPr>
            <w:tcW w:w="2416" w:type="dxa"/>
            <w:vAlign w:val="center"/>
            <w:hideMark/>
          </w:tcPr>
          <w:p w14:paraId="3A8D5AA6" w14:textId="77777777" w:rsidR="006E5499" w:rsidRPr="00EF33AC" w:rsidRDefault="006E5499" w:rsidP="004B663F">
            <w:pPr>
              <w:spacing w:after="120"/>
              <w:ind w:firstLine="18"/>
              <w:jc w:val="center"/>
              <w:rPr>
                <w:rFonts w:eastAsia="Times New Roman"/>
                <w:lang w:eastAsia="en-IN"/>
              </w:rPr>
            </w:pPr>
            <w:r w:rsidRPr="00EF33AC">
              <w:rPr>
                <w:rFonts w:eastAsia="Times New Roman"/>
                <w:lang w:eastAsia="en-IN"/>
              </w:rPr>
              <w:t>0.89</w:t>
            </w:r>
          </w:p>
        </w:tc>
      </w:tr>
    </w:tbl>
    <w:p w14:paraId="5CCC831B" w14:textId="549A27C0" w:rsidR="004B663F" w:rsidRPr="00EF33AC" w:rsidRDefault="004B663F" w:rsidP="004B663F">
      <w:pPr>
        <w:spacing w:after="120" w:line="276" w:lineRule="auto"/>
        <w:jc w:val="center"/>
        <w:rPr>
          <w:rFonts w:eastAsia="Times New Roman"/>
          <w:lang w:eastAsia="en-IN"/>
        </w:rPr>
      </w:pPr>
      <w:r w:rsidRPr="00EF33AC">
        <w:rPr>
          <w:rFonts w:eastAsia="Times New Roman"/>
          <w:lang w:eastAsia="en-IN"/>
        </w:rPr>
        <w:t>(Source: Author based on accuracy assessment)</w:t>
      </w:r>
    </w:p>
    <w:p w14:paraId="621C2592" w14:textId="7D047EC9" w:rsidR="006E5499" w:rsidRPr="00EF33AC" w:rsidRDefault="004B663F" w:rsidP="004B663F">
      <w:pPr>
        <w:spacing w:after="120" w:line="276" w:lineRule="auto"/>
        <w:jc w:val="both"/>
        <w:rPr>
          <w:rFonts w:eastAsia="Times New Roman"/>
          <w:lang w:eastAsia="en-IN"/>
        </w:rPr>
      </w:pPr>
      <w:r w:rsidRPr="00EF33AC">
        <w:rPr>
          <w:rFonts w:eastAsia="Times New Roman"/>
          <w:lang w:eastAsia="en-IN"/>
        </w:rPr>
        <w:t xml:space="preserve">The </w:t>
      </w:r>
      <w:r w:rsidRPr="00EF33AC">
        <w:rPr>
          <w:rFonts w:eastAsia="Times New Roman"/>
          <w:bCs/>
          <w:lang w:eastAsia="en-IN"/>
        </w:rPr>
        <w:t>high overall accuracy and Kappa values (&gt;0.80)</w:t>
      </w:r>
      <w:r w:rsidRPr="00EF33AC">
        <w:rPr>
          <w:rFonts w:eastAsia="Times New Roman"/>
          <w:lang w:eastAsia="en-IN"/>
        </w:rPr>
        <w:t xml:space="preserve"> confirm </w:t>
      </w:r>
      <w:r w:rsidRPr="00EF33AC">
        <w:rPr>
          <w:rFonts w:eastAsia="Times New Roman"/>
          <w:bCs/>
          <w:lang w:eastAsia="en-IN"/>
        </w:rPr>
        <w:t>reliable classification results</w:t>
      </w:r>
      <w:r w:rsidRPr="00EF33AC">
        <w:rPr>
          <w:rFonts w:eastAsia="Times New Roman"/>
          <w:lang w:eastAsia="en-IN"/>
        </w:rPr>
        <w:t>.</w:t>
      </w:r>
    </w:p>
    <w:p w14:paraId="37873DF0" w14:textId="7B37A030" w:rsidR="004B663F" w:rsidRPr="00EF33AC" w:rsidRDefault="004B663F" w:rsidP="004B663F">
      <w:pPr>
        <w:spacing w:after="120" w:line="276" w:lineRule="auto"/>
        <w:jc w:val="both"/>
        <w:rPr>
          <w:rFonts w:eastAsia="Times New Roman"/>
          <w:b/>
          <w:bCs/>
          <w:lang w:val="en-IN" w:eastAsia="en-IN"/>
        </w:rPr>
      </w:pPr>
      <w:r w:rsidRPr="00EF33AC">
        <w:rPr>
          <w:rFonts w:eastAsia="Times New Roman"/>
          <w:b/>
          <w:bCs/>
          <w:lang w:val="en-IN" w:eastAsia="en-IN"/>
        </w:rPr>
        <w:t>3.5 LULC Change Detection and Analysis</w:t>
      </w:r>
    </w:p>
    <w:p w14:paraId="5DF4411C" w14:textId="7E72A569" w:rsidR="004B663F" w:rsidRPr="00EF33AC" w:rsidRDefault="004B663F" w:rsidP="004B663F">
      <w:pPr>
        <w:spacing w:after="120" w:line="276" w:lineRule="auto"/>
        <w:ind w:firstLine="720"/>
        <w:jc w:val="both"/>
      </w:pPr>
      <w:r w:rsidRPr="00EF33AC">
        <w:rPr>
          <w:rFonts w:eastAsia="Times New Roman"/>
          <w:lang w:val="en-IN" w:eastAsia="en-IN"/>
        </w:rPr>
        <w:t xml:space="preserve">A </w:t>
      </w:r>
      <w:r w:rsidRPr="00EF33AC">
        <w:rPr>
          <w:rFonts w:eastAsia="Times New Roman"/>
          <w:bCs/>
          <w:lang w:val="en-IN" w:eastAsia="en-IN"/>
        </w:rPr>
        <w:t>change detection analysis</w:t>
      </w:r>
      <w:r w:rsidRPr="00EF33AC">
        <w:rPr>
          <w:rFonts w:eastAsia="Times New Roman"/>
          <w:lang w:val="en-IN" w:eastAsia="en-IN"/>
        </w:rPr>
        <w:t xml:space="preserve"> was performed using the </w:t>
      </w:r>
      <w:r w:rsidRPr="00EF33AC">
        <w:rPr>
          <w:rFonts w:eastAsia="Times New Roman"/>
          <w:bCs/>
          <w:lang w:val="en-IN" w:eastAsia="en-IN"/>
        </w:rPr>
        <w:t>post-classification comparison (PCC) method</w:t>
      </w:r>
      <w:r w:rsidRPr="00EF33AC">
        <w:rPr>
          <w:rFonts w:eastAsia="Times New Roman"/>
          <w:lang w:val="en-IN" w:eastAsia="en-IN"/>
        </w:rPr>
        <w:t xml:space="preserve">, where classified LULC maps were compared across different time periods (1990, 2000, 2010, 2020, and 2023). </w:t>
      </w:r>
      <w:r w:rsidRPr="00EF33AC">
        <w:rPr>
          <w:rFonts w:eastAsia="Times New Roman"/>
          <w:bCs/>
          <w:lang w:val="en-IN" w:eastAsia="en-IN"/>
        </w:rPr>
        <w:t>Transition matrices</w:t>
      </w:r>
      <w:r w:rsidRPr="00EF33AC">
        <w:rPr>
          <w:rFonts w:eastAsia="Times New Roman"/>
          <w:lang w:val="en-IN" w:eastAsia="en-IN"/>
        </w:rPr>
        <w:t xml:space="preserve"> were generated to quantify shifts in land use patterns, particularly </w:t>
      </w:r>
      <w:r w:rsidRPr="00EF33AC">
        <w:rPr>
          <w:rFonts w:eastAsia="Times New Roman"/>
          <w:bCs/>
          <w:lang w:val="en-IN" w:eastAsia="en-IN"/>
        </w:rPr>
        <w:t>urban expansion, vegetation loss, and wetland degradation</w:t>
      </w:r>
      <w:r w:rsidRPr="00EF33AC">
        <w:rPr>
          <w:rFonts w:eastAsia="Times New Roman"/>
          <w:lang w:val="en-IN" w:eastAsia="en-IN"/>
        </w:rPr>
        <w:t>.</w:t>
      </w:r>
      <w:r w:rsidRPr="00EF33AC">
        <w:rPr>
          <w:lang w:val="en-IN" w:eastAsia="en-IN"/>
        </w:rPr>
        <w:t xml:space="preserve"> </w:t>
      </w:r>
      <w:r w:rsidRPr="00EF33AC">
        <w:t xml:space="preserve">Additionally, the study </w:t>
      </w:r>
      <w:r w:rsidRPr="00EF33AC">
        <w:rPr>
          <w:bCs/>
        </w:rPr>
        <w:t>incorporated administrative boundaries (taluks and planning zones)</w:t>
      </w:r>
      <w:r w:rsidRPr="00EF33AC">
        <w:t xml:space="preserve"> to evaluate the </w:t>
      </w:r>
      <w:r w:rsidRPr="00EF33AC">
        <w:rPr>
          <w:bCs/>
        </w:rPr>
        <w:t>regional implications of LULC changes on planning frameworks and infrastructure development</w:t>
      </w:r>
      <w:r w:rsidRPr="00EF33AC">
        <w:t>.</w:t>
      </w:r>
    </w:p>
    <w:p w14:paraId="21D2408F" w14:textId="77777777" w:rsidR="00C0641F" w:rsidRPr="00EF33AC" w:rsidRDefault="00C0641F" w:rsidP="00C0641F">
      <w:pPr>
        <w:spacing w:before="100" w:beforeAutospacing="1" w:after="100" w:afterAutospacing="1"/>
        <w:jc w:val="both"/>
        <w:rPr>
          <w:rFonts w:eastAsia="Times New Roman"/>
          <w:b/>
          <w:bCs/>
          <w:lang w:eastAsia="en-IN"/>
        </w:rPr>
      </w:pPr>
      <w:r w:rsidRPr="00EF33AC">
        <w:rPr>
          <w:rFonts w:eastAsia="Times New Roman"/>
          <w:b/>
          <w:bCs/>
          <w:lang w:eastAsia="en-IN"/>
        </w:rPr>
        <w:t xml:space="preserve">IV. </w:t>
      </w:r>
      <w:r w:rsidR="004E4DD5" w:rsidRPr="00EF33AC">
        <w:rPr>
          <w:rFonts w:eastAsia="Times New Roman"/>
          <w:b/>
          <w:bCs/>
          <w:lang w:eastAsia="en-IN"/>
        </w:rPr>
        <w:t>GROWTH DYNAMICS</w:t>
      </w:r>
      <w:r w:rsidR="00847FAC" w:rsidRPr="00EF33AC">
        <w:rPr>
          <w:rFonts w:eastAsia="Times New Roman"/>
          <w:b/>
          <w:bCs/>
          <w:lang w:eastAsia="en-IN"/>
        </w:rPr>
        <w:t xml:space="preserve"> </w:t>
      </w:r>
      <w:r w:rsidRPr="00EF33AC">
        <w:rPr>
          <w:rFonts w:eastAsia="Times New Roman"/>
          <w:b/>
          <w:bCs/>
          <w:lang w:eastAsia="en-IN"/>
        </w:rPr>
        <w:t>OF B</w:t>
      </w:r>
      <w:r w:rsidR="001F7132" w:rsidRPr="00EF33AC">
        <w:rPr>
          <w:rFonts w:eastAsia="Times New Roman"/>
          <w:b/>
          <w:bCs/>
          <w:lang w:eastAsia="en-IN"/>
        </w:rPr>
        <w:t xml:space="preserve">ENGALURU </w:t>
      </w:r>
      <w:r w:rsidRPr="00EF33AC">
        <w:rPr>
          <w:rFonts w:eastAsia="Times New Roman"/>
          <w:b/>
          <w:bCs/>
          <w:lang w:eastAsia="en-IN"/>
        </w:rPr>
        <w:t>M</w:t>
      </w:r>
      <w:r w:rsidR="001F7132" w:rsidRPr="00EF33AC">
        <w:rPr>
          <w:rFonts w:eastAsia="Times New Roman"/>
          <w:b/>
          <w:bCs/>
          <w:lang w:eastAsia="en-IN"/>
        </w:rPr>
        <w:t xml:space="preserve">ETROPOLITAN </w:t>
      </w:r>
      <w:r w:rsidRPr="00EF33AC">
        <w:rPr>
          <w:rFonts w:eastAsia="Times New Roman"/>
          <w:b/>
          <w:bCs/>
          <w:lang w:eastAsia="en-IN"/>
        </w:rPr>
        <w:t>R</w:t>
      </w:r>
      <w:r w:rsidR="001F7132" w:rsidRPr="00EF33AC">
        <w:rPr>
          <w:rFonts w:eastAsia="Times New Roman"/>
          <w:b/>
          <w:bCs/>
          <w:lang w:eastAsia="en-IN"/>
        </w:rPr>
        <w:t>EGION (BMR)</w:t>
      </w:r>
    </w:p>
    <w:p w14:paraId="1A037B21" w14:textId="77777777" w:rsidR="001F7132" w:rsidRPr="00EF33AC" w:rsidRDefault="001F7132" w:rsidP="00C0641F">
      <w:pPr>
        <w:spacing w:before="100" w:beforeAutospacing="1" w:after="100" w:afterAutospacing="1"/>
        <w:jc w:val="both"/>
        <w:rPr>
          <w:rFonts w:eastAsia="Times New Roman"/>
          <w:b/>
          <w:bCs/>
          <w:lang w:eastAsia="en-IN"/>
        </w:rPr>
      </w:pPr>
      <w:r w:rsidRPr="00EF33AC">
        <w:rPr>
          <w:rFonts w:eastAsia="Times New Roman"/>
          <w:b/>
          <w:bCs/>
          <w:lang w:eastAsia="en-IN"/>
        </w:rPr>
        <w:t xml:space="preserve">4.1 </w:t>
      </w:r>
      <w:r w:rsidR="00847FAC" w:rsidRPr="00EF33AC">
        <w:rPr>
          <w:rFonts w:eastAsia="Times New Roman"/>
          <w:b/>
          <w:bCs/>
          <w:lang w:eastAsia="en-IN"/>
        </w:rPr>
        <w:t xml:space="preserve">Location and Regional Setting </w:t>
      </w:r>
    </w:p>
    <w:p w14:paraId="64C3E2ED" w14:textId="1EF63EA5" w:rsidR="00C0641F" w:rsidRPr="00EF33AC" w:rsidRDefault="003C3DC9" w:rsidP="004F6AF0">
      <w:pPr>
        <w:spacing w:after="120" w:line="276" w:lineRule="auto"/>
        <w:ind w:firstLine="289"/>
        <w:jc w:val="both"/>
        <w:rPr>
          <w:rFonts w:eastAsia="Times New Roman"/>
          <w:lang w:val="en-IN" w:eastAsia="en-IN"/>
        </w:rPr>
      </w:pPr>
      <w:r w:rsidRPr="00EF33AC">
        <w:rPr>
          <w:rFonts w:eastAsia="Times New Roman"/>
          <w:noProof/>
          <w:lang w:eastAsia="en-IN"/>
        </w:rPr>
        <w:t xml:space="preserve">The </w:t>
      </w:r>
      <w:r w:rsidRPr="00EF33AC">
        <w:rPr>
          <w:rFonts w:eastAsia="Times New Roman"/>
          <w:bCs/>
          <w:noProof/>
          <w:lang w:eastAsia="en-IN"/>
        </w:rPr>
        <w:t>Bengaluru Metropolitan Region (BMR)</w:t>
      </w:r>
      <w:r w:rsidRPr="00EF33AC">
        <w:rPr>
          <w:rFonts w:eastAsia="Times New Roman"/>
          <w:noProof/>
          <w:lang w:eastAsia="en-IN"/>
        </w:rPr>
        <w:t xml:space="preserve">, a statutory planning area in </w:t>
      </w:r>
      <w:r w:rsidRPr="00EF33AC">
        <w:rPr>
          <w:rFonts w:eastAsia="Times New Roman"/>
          <w:bCs/>
          <w:noProof/>
          <w:lang w:eastAsia="en-IN"/>
        </w:rPr>
        <w:t>Karnataka, India</w:t>
      </w:r>
      <w:r w:rsidRPr="00EF33AC">
        <w:rPr>
          <w:rFonts w:eastAsia="Times New Roman"/>
          <w:noProof/>
          <w:lang w:eastAsia="en-IN"/>
        </w:rPr>
        <w:t xml:space="preserve">, spans </w:t>
      </w:r>
      <w:r w:rsidRPr="00EF33AC">
        <w:rPr>
          <w:rFonts w:eastAsia="Times New Roman"/>
          <w:bCs/>
          <w:noProof/>
          <w:lang w:eastAsia="en-IN"/>
        </w:rPr>
        <w:t>800,500 hectares (8,005 km²)</w:t>
      </w:r>
      <w:r w:rsidRPr="00EF33AC">
        <w:rPr>
          <w:rFonts w:eastAsia="Times New Roman"/>
          <w:noProof/>
          <w:lang w:eastAsia="en-IN"/>
        </w:rPr>
        <w:t>, making it one of India’s largest metropolitan regions (</w:t>
      </w:r>
      <w:r w:rsidRPr="00EF33AC">
        <w:rPr>
          <w:rFonts w:eastAsia="Times New Roman"/>
          <w:bCs/>
          <w:noProof/>
          <w:lang w:eastAsia="en-IN"/>
        </w:rPr>
        <w:t>BMRDA, 2017</w:t>
      </w:r>
      <w:r w:rsidRPr="00EF33AC">
        <w:rPr>
          <w:rFonts w:eastAsia="Times New Roman"/>
          <w:noProof/>
          <w:lang w:eastAsia="en-IN"/>
        </w:rPr>
        <w:t xml:space="preserve">). It lies </w:t>
      </w:r>
      <w:r w:rsidRPr="00EF33AC">
        <w:rPr>
          <w:rFonts w:eastAsia="Times New Roman"/>
          <w:bCs/>
          <w:noProof/>
          <w:lang w:eastAsia="en-IN"/>
        </w:rPr>
        <w:t>between 12°14'16” to 13°30'26” north latitude and 77°2'51” to 77°57'45” east longitude</w:t>
      </w:r>
      <w:r w:rsidRPr="00EF33AC">
        <w:rPr>
          <w:rFonts w:eastAsia="Times New Roman"/>
          <w:noProof/>
          <w:lang w:eastAsia="en-IN"/>
        </w:rPr>
        <w:t xml:space="preserve"> and comprises </w:t>
      </w:r>
      <w:r w:rsidRPr="00EF33AC">
        <w:rPr>
          <w:rFonts w:eastAsia="Times New Roman"/>
          <w:bCs/>
          <w:noProof/>
          <w:lang w:eastAsia="en-IN"/>
        </w:rPr>
        <w:t xml:space="preserve">Bangalore Urban, Bangalore Rural, and Ramanagara </w:t>
      </w:r>
      <w:r w:rsidRPr="00EF33AC">
        <w:rPr>
          <w:rFonts w:eastAsia="Times New Roman"/>
          <w:bCs/>
          <w:noProof/>
          <w:lang w:eastAsia="en-IN"/>
        </w:rPr>
        <w:lastRenderedPageBreak/>
        <w:t>districts</w:t>
      </w:r>
      <w:r w:rsidRPr="00EF33AC">
        <w:rPr>
          <w:rFonts w:eastAsia="Times New Roman"/>
          <w:noProof/>
          <w:lang w:eastAsia="en-IN"/>
        </w:rPr>
        <w:t xml:space="preserve">, with </w:t>
      </w:r>
      <w:r w:rsidRPr="00EF33AC">
        <w:rPr>
          <w:rFonts w:eastAsia="Times New Roman"/>
          <w:bCs/>
          <w:noProof/>
          <w:lang w:eastAsia="en-IN"/>
        </w:rPr>
        <w:t>Bruhat Bengaluru Mahanagara Palike (BBMP) as the urban core</w:t>
      </w:r>
      <w:r w:rsidRPr="00EF33AC">
        <w:rPr>
          <w:rFonts w:eastAsia="Times New Roman"/>
          <w:noProof/>
          <w:lang w:eastAsia="en-IN"/>
        </w:rPr>
        <w:t xml:space="preserve">. While BBMP covers </w:t>
      </w:r>
      <w:r w:rsidRPr="00EF33AC">
        <w:rPr>
          <w:rFonts w:eastAsia="Times New Roman"/>
          <w:bCs/>
          <w:noProof/>
          <w:lang w:eastAsia="en-IN"/>
        </w:rPr>
        <w:t>800 km²</w:t>
      </w:r>
      <w:r w:rsidRPr="00EF33AC">
        <w:rPr>
          <w:rFonts w:eastAsia="Times New Roman"/>
          <w:noProof/>
          <w:lang w:eastAsia="en-IN"/>
        </w:rPr>
        <w:t xml:space="preserve">, the remaining area includes </w:t>
      </w:r>
      <w:r w:rsidRPr="00EF33AC">
        <w:rPr>
          <w:rFonts w:eastAsia="Times New Roman"/>
          <w:bCs/>
          <w:noProof/>
          <w:lang w:eastAsia="en-IN"/>
        </w:rPr>
        <w:t>towns such as Yelahanka, Hosakote, Ramanagara, and Kanakapura</w:t>
      </w:r>
      <w:r w:rsidRPr="00EF33AC">
        <w:rPr>
          <w:rFonts w:eastAsia="Times New Roman"/>
          <w:noProof/>
          <w:lang w:eastAsia="en-IN"/>
        </w:rPr>
        <w:t xml:space="preserve">, along with rural settlements. The region features </w:t>
      </w:r>
      <w:r w:rsidRPr="00EF33AC">
        <w:rPr>
          <w:rFonts w:eastAsia="Times New Roman"/>
          <w:bCs/>
          <w:noProof/>
          <w:lang w:eastAsia="en-IN"/>
        </w:rPr>
        <w:t>undulating terrain (~900 m elevation), no major rivers, and a network of man-made lakes historically used for irrigation and water supply</w:t>
      </w:r>
      <w:r w:rsidR="004F6AF0" w:rsidRPr="00EF33AC">
        <w:rPr>
          <w:rFonts w:eastAsia="Times New Roman"/>
          <w:noProof/>
          <w:lang w:eastAsia="en-IN"/>
        </w:rPr>
        <w:t xml:space="preserve"> (Figure 1</w:t>
      </w:r>
      <w:r w:rsidR="0072676C" w:rsidRPr="00EF33AC">
        <w:rPr>
          <w:rFonts w:eastAsia="Times New Roman"/>
          <w:noProof/>
          <w:lang w:eastAsia="en-IN"/>
        </w:rPr>
        <w:t>)</w:t>
      </w:r>
    </w:p>
    <w:p w14:paraId="49E58A25" w14:textId="3EE13E01" w:rsidR="00C0641F" w:rsidRPr="00EF33AC" w:rsidRDefault="004F6AF0" w:rsidP="001F7132">
      <w:pPr>
        <w:spacing w:after="120" w:line="276" w:lineRule="auto"/>
        <w:ind w:firstLine="288"/>
        <w:jc w:val="both"/>
        <w:rPr>
          <w:rFonts w:eastAsia="Times New Roman"/>
          <w:lang w:val="en-IN" w:eastAsia="en-IN"/>
        </w:rPr>
      </w:pPr>
      <w:r w:rsidRPr="00EF33AC">
        <w:rPr>
          <w:rFonts w:eastAsia="Times New Roman"/>
          <w:noProof/>
          <w:lang w:val="en-IN" w:eastAsia="en-IN"/>
        </w:rPr>
        <w:drawing>
          <wp:anchor distT="0" distB="0" distL="114300" distR="114300" simplePos="0" relativeHeight="251662336" behindDoc="1" locked="0" layoutInCell="1" allowOverlap="1" wp14:anchorId="082191B7" wp14:editId="5CFEE434">
            <wp:simplePos x="0" y="0"/>
            <wp:positionH relativeFrom="column">
              <wp:posOffset>571500</wp:posOffset>
            </wp:positionH>
            <wp:positionV relativeFrom="paragraph">
              <wp:posOffset>0</wp:posOffset>
            </wp:positionV>
            <wp:extent cx="4709160" cy="5579110"/>
            <wp:effectExtent l="0" t="0" r="0" b="2540"/>
            <wp:wrapTight wrapText="bothSides">
              <wp:wrapPolygon edited="0">
                <wp:start x="0" y="0"/>
                <wp:lineTo x="0" y="21536"/>
                <wp:lineTo x="21495" y="21536"/>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Admin &amp; JDiction Boundary_001.png"/>
                    <pic:cNvPicPr/>
                  </pic:nvPicPr>
                  <pic:blipFill rotWithShape="1">
                    <a:blip r:embed="rId7" cstate="print">
                      <a:extLst>
                        <a:ext uri="{28A0092B-C50C-407E-A947-70E740481C1C}">
                          <a14:useLocalDpi xmlns:a14="http://schemas.microsoft.com/office/drawing/2010/main" val="0"/>
                        </a:ext>
                      </a:extLst>
                    </a:blip>
                    <a:srcRect l="2127" t="2348" r="1750" b="9282"/>
                    <a:stretch/>
                  </pic:blipFill>
                  <pic:spPr bwMode="auto">
                    <a:xfrm>
                      <a:off x="0" y="0"/>
                      <a:ext cx="4709160" cy="557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18470" w14:textId="77777777" w:rsidR="00C0641F" w:rsidRPr="00EF33AC" w:rsidRDefault="00C0641F" w:rsidP="001F7132">
      <w:pPr>
        <w:spacing w:after="120" w:line="276" w:lineRule="auto"/>
        <w:ind w:firstLine="288"/>
        <w:jc w:val="both"/>
        <w:rPr>
          <w:rFonts w:eastAsia="Times New Roman"/>
          <w:lang w:val="en-IN" w:eastAsia="en-IN"/>
        </w:rPr>
      </w:pPr>
    </w:p>
    <w:p w14:paraId="1D726BBF" w14:textId="77777777" w:rsidR="00C0641F" w:rsidRPr="00EF33AC" w:rsidRDefault="00C0641F" w:rsidP="001F7132">
      <w:pPr>
        <w:spacing w:after="120" w:line="276" w:lineRule="auto"/>
        <w:ind w:firstLine="288"/>
        <w:jc w:val="both"/>
        <w:rPr>
          <w:rFonts w:eastAsia="Times New Roman"/>
          <w:lang w:val="en-IN" w:eastAsia="en-IN"/>
        </w:rPr>
      </w:pPr>
    </w:p>
    <w:p w14:paraId="499C348F" w14:textId="77777777" w:rsidR="00C0641F" w:rsidRPr="00EF33AC" w:rsidRDefault="00C0641F" w:rsidP="001F7132">
      <w:pPr>
        <w:spacing w:after="120" w:line="276" w:lineRule="auto"/>
        <w:ind w:firstLine="288"/>
        <w:jc w:val="both"/>
        <w:rPr>
          <w:rFonts w:eastAsia="Times New Roman"/>
          <w:lang w:val="en-IN" w:eastAsia="en-IN"/>
        </w:rPr>
      </w:pPr>
    </w:p>
    <w:p w14:paraId="4B74E687" w14:textId="77777777" w:rsidR="00667D97" w:rsidRPr="00EF33AC" w:rsidRDefault="00667D97" w:rsidP="009F62B8">
      <w:pPr>
        <w:spacing w:line="276" w:lineRule="auto"/>
        <w:ind w:firstLine="289"/>
        <w:jc w:val="center"/>
        <w:rPr>
          <w:rFonts w:eastAsia="Times New Roman"/>
          <w:b/>
          <w:lang w:val="en-IN" w:eastAsia="en-IN"/>
        </w:rPr>
      </w:pPr>
    </w:p>
    <w:p w14:paraId="3E7EEEFC" w14:textId="77777777" w:rsidR="00667D97" w:rsidRPr="00EF33AC" w:rsidRDefault="00667D97" w:rsidP="009F62B8">
      <w:pPr>
        <w:spacing w:line="276" w:lineRule="auto"/>
        <w:ind w:firstLine="289"/>
        <w:jc w:val="center"/>
        <w:rPr>
          <w:rFonts w:eastAsia="Times New Roman"/>
          <w:b/>
          <w:lang w:val="en-IN" w:eastAsia="en-IN"/>
        </w:rPr>
      </w:pPr>
    </w:p>
    <w:p w14:paraId="0899384E" w14:textId="6A32AB89" w:rsidR="009F62B8" w:rsidRPr="00EF33AC" w:rsidRDefault="009F62B8" w:rsidP="009F62B8">
      <w:pPr>
        <w:spacing w:line="276" w:lineRule="auto"/>
        <w:ind w:firstLine="289"/>
        <w:jc w:val="center"/>
        <w:rPr>
          <w:rFonts w:eastAsia="Times New Roman"/>
          <w:b/>
          <w:lang w:val="en-IN" w:eastAsia="en-IN"/>
        </w:rPr>
      </w:pPr>
      <w:r w:rsidRPr="00EF33AC">
        <w:rPr>
          <w:rFonts w:eastAsia="Times New Roman"/>
          <w:b/>
          <w:lang w:val="en-IN" w:eastAsia="en-IN"/>
        </w:rPr>
        <w:t xml:space="preserve">Figure 1: Location and </w:t>
      </w:r>
      <w:r w:rsidR="00A10E7D" w:rsidRPr="00EF33AC">
        <w:rPr>
          <w:rFonts w:eastAsia="Times New Roman"/>
          <w:b/>
          <w:lang w:val="en-IN" w:eastAsia="en-IN"/>
        </w:rPr>
        <w:t>Administrative</w:t>
      </w:r>
      <w:r w:rsidRPr="00EF33AC">
        <w:rPr>
          <w:rFonts w:eastAsia="Times New Roman"/>
          <w:b/>
          <w:lang w:val="en-IN" w:eastAsia="en-IN"/>
        </w:rPr>
        <w:t xml:space="preserve"> </w:t>
      </w:r>
      <w:r w:rsidR="00A10E7D" w:rsidRPr="00EF33AC">
        <w:rPr>
          <w:rFonts w:eastAsia="Times New Roman"/>
          <w:b/>
          <w:lang w:val="en-IN" w:eastAsia="en-IN"/>
        </w:rPr>
        <w:t>Map</w:t>
      </w:r>
      <w:r w:rsidRPr="00EF33AC">
        <w:rPr>
          <w:rFonts w:eastAsia="Times New Roman"/>
          <w:b/>
          <w:lang w:val="en-IN" w:eastAsia="en-IN"/>
        </w:rPr>
        <w:t xml:space="preserve"> of BMR</w:t>
      </w:r>
    </w:p>
    <w:p w14:paraId="26C346FF" w14:textId="4F8AC551" w:rsidR="004F6AF0" w:rsidRPr="00EF33AC" w:rsidRDefault="009F62B8" w:rsidP="004F6AF0">
      <w:pPr>
        <w:spacing w:line="276" w:lineRule="auto"/>
        <w:ind w:firstLine="289"/>
        <w:jc w:val="center"/>
        <w:rPr>
          <w:rFonts w:eastAsia="Times New Roman"/>
          <w:lang w:val="en-IN" w:eastAsia="en-IN"/>
        </w:rPr>
      </w:pPr>
      <w:r w:rsidRPr="00EF33AC">
        <w:rPr>
          <w:rFonts w:eastAsia="Times New Roman"/>
          <w:lang w:val="en-IN" w:eastAsia="en-IN"/>
        </w:rPr>
        <w:t>(Source: BMR Revised Structure Plan, 2016)</w:t>
      </w:r>
    </w:p>
    <w:p w14:paraId="51CE6016" w14:textId="77777777" w:rsidR="0072676C" w:rsidRPr="00EF33AC" w:rsidRDefault="0072676C" w:rsidP="001F7132">
      <w:pPr>
        <w:spacing w:after="120" w:line="276" w:lineRule="auto"/>
        <w:jc w:val="both"/>
        <w:rPr>
          <w:rFonts w:eastAsia="Times New Roman"/>
          <w:b/>
          <w:bCs/>
          <w:lang w:val="en-IN" w:eastAsia="en-IN"/>
        </w:rPr>
      </w:pPr>
    </w:p>
    <w:p w14:paraId="61A73868" w14:textId="77777777" w:rsidR="00C0641F" w:rsidRPr="00EF33AC" w:rsidRDefault="001F7132" w:rsidP="001F7132">
      <w:pPr>
        <w:spacing w:after="120" w:line="276" w:lineRule="auto"/>
        <w:jc w:val="both"/>
        <w:rPr>
          <w:rFonts w:eastAsia="Times New Roman"/>
          <w:b/>
          <w:bCs/>
          <w:lang w:val="en-IN" w:eastAsia="en-IN"/>
        </w:rPr>
      </w:pPr>
      <w:r w:rsidRPr="00EF33AC">
        <w:rPr>
          <w:rFonts w:eastAsia="Times New Roman"/>
          <w:b/>
          <w:bCs/>
          <w:lang w:val="en-IN" w:eastAsia="en-IN"/>
        </w:rPr>
        <w:t xml:space="preserve">4.2 </w:t>
      </w:r>
      <w:r w:rsidR="00C0641F" w:rsidRPr="00EF33AC">
        <w:rPr>
          <w:rFonts w:eastAsia="Times New Roman"/>
          <w:b/>
          <w:bCs/>
          <w:lang w:val="en-IN" w:eastAsia="en-IN"/>
        </w:rPr>
        <w:t>Demographic Trends</w:t>
      </w:r>
    </w:p>
    <w:p w14:paraId="672BD33B" w14:textId="25311615" w:rsidR="004E4DD5" w:rsidRPr="00EF33AC" w:rsidRDefault="00C0641F" w:rsidP="004E4DD5">
      <w:pPr>
        <w:spacing w:after="120" w:line="276" w:lineRule="auto"/>
        <w:ind w:firstLine="720"/>
        <w:jc w:val="both"/>
        <w:rPr>
          <w:rFonts w:eastAsia="Times New Roman"/>
          <w:lang w:val="en-IN" w:eastAsia="en-IN"/>
        </w:rPr>
      </w:pPr>
      <w:r w:rsidRPr="00EF33AC">
        <w:rPr>
          <w:rFonts w:eastAsia="Times New Roman"/>
          <w:lang w:val="en-IN" w:eastAsia="en-IN"/>
        </w:rPr>
        <w:t xml:space="preserve">BMR has witnessed </w:t>
      </w:r>
      <w:r w:rsidRPr="00EF33AC">
        <w:rPr>
          <w:rFonts w:eastAsia="Times New Roman"/>
          <w:bCs/>
          <w:lang w:val="en-IN" w:eastAsia="en-IN"/>
        </w:rPr>
        <w:t>rapid population growth</w:t>
      </w:r>
      <w:r w:rsidRPr="00EF33AC">
        <w:rPr>
          <w:rFonts w:eastAsia="Times New Roman"/>
          <w:lang w:val="en-IN" w:eastAsia="en-IN"/>
        </w:rPr>
        <w:t xml:space="preserve">, primarily driven by </w:t>
      </w:r>
      <w:r w:rsidRPr="00EF33AC">
        <w:rPr>
          <w:rFonts w:eastAsia="Times New Roman"/>
          <w:bCs/>
          <w:lang w:val="en-IN" w:eastAsia="en-IN"/>
        </w:rPr>
        <w:t>Bengaluru’s economic expansion</w:t>
      </w:r>
      <w:r w:rsidRPr="00EF33AC">
        <w:rPr>
          <w:rFonts w:eastAsia="Times New Roman"/>
          <w:lang w:val="en-IN" w:eastAsia="en-IN"/>
        </w:rPr>
        <w:t xml:space="preserve">. The population was approximately </w:t>
      </w:r>
      <w:r w:rsidRPr="00EF33AC">
        <w:rPr>
          <w:rFonts w:eastAsia="Times New Roman"/>
          <w:bCs/>
          <w:lang w:val="en-IN" w:eastAsia="en-IN"/>
        </w:rPr>
        <w:t>6.5 million in 1991</w:t>
      </w:r>
      <w:r w:rsidRPr="00EF33AC">
        <w:rPr>
          <w:rFonts w:eastAsia="Times New Roman"/>
          <w:lang w:val="en-IN" w:eastAsia="en-IN"/>
        </w:rPr>
        <w:t xml:space="preserve"> and rose to </w:t>
      </w:r>
      <w:r w:rsidRPr="00EF33AC">
        <w:rPr>
          <w:rFonts w:eastAsia="Times New Roman"/>
          <w:bCs/>
          <w:lang w:val="en-IN" w:eastAsia="en-IN"/>
        </w:rPr>
        <w:t>8.42 million in 2001</w:t>
      </w:r>
      <w:r w:rsidRPr="00EF33AC">
        <w:rPr>
          <w:rFonts w:eastAsia="Times New Roman"/>
          <w:lang w:val="en-IN" w:eastAsia="en-IN"/>
        </w:rPr>
        <w:t xml:space="preserve">, with the </w:t>
      </w:r>
      <w:r w:rsidRPr="00EF33AC">
        <w:rPr>
          <w:rFonts w:eastAsia="Times New Roman"/>
          <w:bCs/>
          <w:lang w:val="en-IN" w:eastAsia="en-IN"/>
        </w:rPr>
        <w:t>urban core (BBMP) housing nearly 6 million residents</w:t>
      </w:r>
      <w:r w:rsidRPr="00EF33AC">
        <w:rPr>
          <w:rFonts w:eastAsia="Times New Roman"/>
          <w:lang w:val="en-IN" w:eastAsia="en-IN"/>
        </w:rPr>
        <w:t xml:space="preserve"> (</w:t>
      </w:r>
      <w:r w:rsidR="003C3DC9" w:rsidRPr="00EF33AC">
        <w:rPr>
          <w:rFonts w:eastAsia="Times New Roman"/>
          <w:lang w:val="en-IN" w:eastAsia="en-IN"/>
        </w:rPr>
        <w:t xml:space="preserve">Census and </w:t>
      </w:r>
      <w:r w:rsidRPr="00EF33AC">
        <w:rPr>
          <w:rFonts w:eastAsia="Times New Roman"/>
          <w:lang w:val="en-IN" w:eastAsia="en-IN"/>
        </w:rPr>
        <w:t xml:space="preserve">BMRDA, 2017). </w:t>
      </w:r>
      <w:r w:rsidR="003C3DC9" w:rsidRPr="00EF33AC">
        <w:rPr>
          <w:rFonts w:eastAsia="Times New Roman"/>
          <w:bCs/>
          <w:lang w:val="en-IN" w:eastAsia="en-IN"/>
        </w:rPr>
        <w:t xml:space="preserve">As per Census 2011, </w:t>
      </w:r>
      <w:r w:rsidRPr="00EF33AC">
        <w:rPr>
          <w:rFonts w:eastAsia="Times New Roman"/>
          <w:bCs/>
          <w:lang w:val="en-IN" w:eastAsia="en-IN"/>
        </w:rPr>
        <w:t>BMR’s population reached 11.66 million</w:t>
      </w:r>
      <w:r w:rsidRPr="00EF33AC">
        <w:rPr>
          <w:rFonts w:eastAsia="Times New Roman"/>
          <w:lang w:val="en-IN" w:eastAsia="en-IN"/>
        </w:rPr>
        <w:t xml:space="preserve">, reflecting a </w:t>
      </w:r>
      <w:r w:rsidRPr="00EF33AC">
        <w:rPr>
          <w:rFonts w:eastAsia="Times New Roman"/>
          <w:bCs/>
          <w:lang w:val="en-IN" w:eastAsia="en-IN"/>
        </w:rPr>
        <w:t>38% decadal increase</w:t>
      </w:r>
      <w:r w:rsidRPr="00EF33AC">
        <w:rPr>
          <w:rFonts w:eastAsia="Times New Roman"/>
          <w:lang w:val="en-IN" w:eastAsia="en-IN"/>
        </w:rPr>
        <w:t xml:space="preserve">. Bangalore Urban District alone accounted for </w:t>
      </w:r>
      <w:r w:rsidRPr="00EF33AC">
        <w:rPr>
          <w:rFonts w:eastAsia="Times New Roman"/>
          <w:bCs/>
          <w:lang w:val="en-IN" w:eastAsia="en-IN"/>
        </w:rPr>
        <w:t>9.59 million people</w:t>
      </w:r>
      <w:r w:rsidRPr="00EF33AC">
        <w:rPr>
          <w:rFonts w:eastAsia="Times New Roman"/>
          <w:lang w:val="en-IN" w:eastAsia="en-IN"/>
        </w:rPr>
        <w:t xml:space="preserve"> in 2011, making up </w:t>
      </w:r>
      <w:r w:rsidRPr="00EF33AC">
        <w:rPr>
          <w:rFonts w:eastAsia="Times New Roman"/>
          <w:bCs/>
          <w:lang w:val="en-IN" w:eastAsia="en-IN"/>
        </w:rPr>
        <w:t>20% of Karnataka’s total population</w:t>
      </w:r>
      <w:r w:rsidRPr="00EF33AC">
        <w:rPr>
          <w:rFonts w:eastAsia="Times New Roman"/>
          <w:lang w:val="en-IN" w:eastAsia="en-IN"/>
        </w:rPr>
        <w:t xml:space="preserve"> while occupying less than </w:t>
      </w:r>
      <w:r w:rsidRPr="00EF33AC">
        <w:rPr>
          <w:rFonts w:eastAsia="Times New Roman"/>
          <w:bCs/>
          <w:lang w:val="en-IN" w:eastAsia="en-IN"/>
        </w:rPr>
        <w:t>5% of its area</w:t>
      </w:r>
      <w:r w:rsidRPr="00EF33AC">
        <w:rPr>
          <w:rFonts w:eastAsia="Times New Roman"/>
          <w:lang w:val="en-IN" w:eastAsia="en-IN"/>
        </w:rPr>
        <w:t xml:space="preserve">. </w:t>
      </w:r>
    </w:p>
    <w:p w14:paraId="398581B9" w14:textId="75490993" w:rsidR="0072676C" w:rsidRPr="00EF33AC" w:rsidRDefault="00C0641F" w:rsidP="0072676C">
      <w:pPr>
        <w:spacing w:after="120" w:line="276" w:lineRule="auto"/>
        <w:ind w:firstLine="720"/>
        <w:jc w:val="both"/>
        <w:rPr>
          <w:rFonts w:eastAsia="Times New Roman"/>
          <w:lang w:val="en-IN" w:eastAsia="en-IN"/>
        </w:rPr>
      </w:pPr>
      <w:r w:rsidRPr="00EF33AC">
        <w:rPr>
          <w:rFonts w:eastAsia="Times New Roman"/>
          <w:lang w:val="en-IN" w:eastAsia="en-IN"/>
        </w:rPr>
        <w:lastRenderedPageBreak/>
        <w:t xml:space="preserve">Urbanization has been highly concentrated in </w:t>
      </w:r>
      <w:r w:rsidRPr="00EF33AC">
        <w:rPr>
          <w:rFonts w:eastAsia="Times New Roman"/>
          <w:bCs/>
          <w:lang w:val="en-IN" w:eastAsia="en-IN"/>
        </w:rPr>
        <w:t>BBMP</w:t>
      </w:r>
      <w:r w:rsidRPr="00EF33AC">
        <w:rPr>
          <w:rFonts w:eastAsia="Times New Roman"/>
          <w:lang w:val="en-IN" w:eastAsia="en-IN"/>
        </w:rPr>
        <w:t xml:space="preserve">, which housed </w:t>
      </w:r>
      <w:r w:rsidRPr="00EF33AC">
        <w:rPr>
          <w:rFonts w:eastAsia="Times New Roman"/>
          <w:bCs/>
          <w:lang w:val="en-IN" w:eastAsia="en-IN"/>
        </w:rPr>
        <w:t>77% of BMR’s population by 2011</w:t>
      </w:r>
      <w:r w:rsidRPr="00EF33AC">
        <w:rPr>
          <w:rFonts w:eastAsia="Times New Roman"/>
          <w:lang w:val="en-IN" w:eastAsia="en-IN"/>
        </w:rPr>
        <w:t xml:space="preserve">, growing from </w:t>
      </w:r>
      <w:r w:rsidRPr="00EF33AC">
        <w:rPr>
          <w:rFonts w:eastAsia="Times New Roman"/>
          <w:bCs/>
          <w:lang w:val="en-IN" w:eastAsia="en-IN"/>
        </w:rPr>
        <w:t>48% in 1991 to 73% in 2001</w:t>
      </w:r>
      <w:r w:rsidRPr="00EF33AC">
        <w:rPr>
          <w:rFonts w:eastAsia="Times New Roman"/>
          <w:lang w:val="en-IN" w:eastAsia="en-IN"/>
        </w:rPr>
        <w:t xml:space="preserve">. This demographic trend indicates a strong </w:t>
      </w:r>
      <w:r w:rsidRPr="00EF33AC">
        <w:rPr>
          <w:rFonts w:eastAsia="Times New Roman"/>
          <w:bCs/>
          <w:lang w:val="en-IN" w:eastAsia="en-IN"/>
        </w:rPr>
        <w:t>regional imbalance</w:t>
      </w:r>
      <w:r w:rsidRPr="00EF33AC">
        <w:rPr>
          <w:rFonts w:eastAsia="Times New Roman"/>
          <w:lang w:val="en-IN" w:eastAsia="en-IN"/>
        </w:rPr>
        <w:t xml:space="preserve">, where Bengaluru city continues to </w:t>
      </w:r>
      <w:r w:rsidRPr="00EF33AC">
        <w:rPr>
          <w:rFonts w:eastAsia="Times New Roman"/>
          <w:bCs/>
          <w:lang w:val="en-IN" w:eastAsia="en-IN"/>
        </w:rPr>
        <w:t>dominate population and economic activities</w:t>
      </w:r>
      <w:r w:rsidRPr="00EF33AC">
        <w:rPr>
          <w:rFonts w:eastAsia="Times New Roman"/>
          <w:lang w:val="en-IN" w:eastAsia="en-IN"/>
        </w:rPr>
        <w:t xml:space="preserve"> while surrounding areas lag in development.</w:t>
      </w:r>
    </w:p>
    <w:p w14:paraId="78D7C8C3" w14:textId="77777777" w:rsidR="00C0641F" w:rsidRPr="00EF33AC" w:rsidRDefault="001F7132" w:rsidP="001F7132">
      <w:pPr>
        <w:spacing w:after="120" w:line="276" w:lineRule="auto"/>
        <w:jc w:val="both"/>
        <w:rPr>
          <w:rFonts w:eastAsia="Times New Roman"/>
          <w:b/>
          <w:bCs/>
          <w:lang w:val="en-IN" w:eastAsia="en-IN"/>
        </w:rPr>
      </w:pPr>
      <w:r w:rsidRPr="00EF33AC">
        <w:rPr>
          <w:rFonts w:eastAsia="Times New Roman"/>
          <w:b/>
          <w:bCs/>
          <w:lang w:val="en-IN" w:eastAsia="en-IN"/>
        </w:rPr>
        <w:t xml:space="preserve">4.3 </w:t>
      </w:r>
      <w:r w:rsidR="00C0641F" w:rsidRPr="00EF33AC">
        <w:rPr>
          <w:rFonts w:eastAsia="Times New Roman"/>
          <w:b/>
          <w:bCs/>
          <w:lang w:val="en-IN" w:eastAsia="en-IN"/>
        </w:rPr>
        <w:t>Migration and Urban Expansion</w:t>
      </w:r>
    </w:p>
    <w:p w14:paraId="093DE923" w14:textId="77777777" w:rsidR="00C0641F" w:rsidRPr="00EF33AC" w:rsidRDefault="00C0641F" w:rsidP="001F7132">
      <w:pPr>
        <w:spacing w:after="120" w:line="276" w:lineRule="auto"/>
        <w:ind w:firstLine="720"/>
        <w:jc w:val="both"/>
        <w:rPr>
          <w:rFonts w:eastAsia="Times New Roman"/>
          <w:lang w:val="en-IN" w:eastAsia="en-IN"/>
        </w:rPr>
      </w:pPr>
      <w:r w:rsidRPr="00EF33AC">
        <w:rPr>
          <w:rFonts w:eastAsia="Times New Roman"/>
          <w:lang w:val="en-IN" w:eastAsia="en-IN"/>
        </w:rPr>
        <w:t xml:space="preserve">Bengaluru’s </w:t>
      </w:r>
      <w:r w:rsidRPr="00EF33AC">
        <w:rPr>
          <w:rFonts w:eastAsia="Times New Roman"/>
          <w:bCs/>
          <w:lang w:val="en-IN" w:eastAsia="en-IN"/>
        </w:rPr>
        <w:t>rise as India’s IT and biotechnology hub since the 1990s</w:t>
      </w:r>
      <w:r w:rsidRPr="00EF33AC">
        <w:rPr>
          <w:rFonts w:eastAsia="Times New Roman"/>
          <w:lang w:val="en-IN" w:eastAsia="en-IN"/>
        </w:rPr>
        <w:t xml:space="preserve"> has attracted migrants from across the country. The city’s population grew by </w:t>
      </w:r>
      <w:r w:rsidRPr="00EF33AC">
        <w:rPr>
          <w:rFonts w:eastAsia="Times New Roman"/>
          <w:bCs/>
          <w:lang w:val="en-IN" w:eastAsia="en-IN"/>
        </w:rPr>
        <w:t>47% in the 1990s</w:t>
      </w:r>
      <w:r w:rsidRPr="00EF33AC">
        <w:rPr>
          <w:rFonts w:eastAsia="Times New Roman"/>
          <w:lang w:val="en-IN" w:eastAsia="en-IN"/>
        </w:rPr>
        <w:t xml:space="preserve"> and </w:t>
      </w:r>
      <w:r w:rsidRPr="00EF33AC">
        <w:rPr>
          <w:rFonts w:eastAsia="Times New Roman"/>
          <w:bCs/>
          <w:lang w:val="en-IN" w:eastAsia="en-IN"/>
        </w:rPr>
        <w:t>35% in the 2000s</w:t>
      </w:r>
      <w:r w:rsidRPr="00EF33AC">
        <w:rPr>
          <w:rFonts w:eastAsia="Times New Roman"/>
          <w:lang w:val="en-IN" w:eastAsia="en-IN"/>
        </w:rPr>
        <w:t xml:space="preserve">, significantly higher than national urbanization rates (BMRDA, 2017). Migration has transformed once </w:t>
      </w:r>
      <w:r w:rsidRPr="00EF33AC">
        <w:rPr>
          <w:rFonts w:eastAsia="Times New Roman"/>
          <w:bCs/>
          <w:lang w:val="en-IN" w:eastAsia="en-IN"/>
        </w:rPr>
        <w:t>semi-rural areas into urban townships</w:t>
      </w:r>
      <w:r w:rsidRPr="00EF33AC">
        <w:rPr>
          <w:rFonts w:eastAsia="Times New Roman"/>
          <w:lang w:val="en-IN" w:eastAsia="en-IN"/>
        </w:rPr>
        <w:t xml:space="preserve">; for instance, </w:t>
      </w:r>
      <w:r w:rsidRPr="00EF33AC">
        <w:rPr>
          <w:rFonts w:eastAsia="Times New Roman"/>
          <w:bCs/>
          <w:lang w:val="en-IN" w:eastAsia="en-IN"/>
        </w:rPr>
        <w:t>Electronics City and Whitefield</w:t>
      </w:r>
      <w:r w:rsidR="001F7132" w:rsidRPr="00EF33AC">
        <w:rPr>
          <w:rFonts w:eastAsia="Times New Roman"/>
          <w:lang w:val="en-IN" w:eastAsia="en-IN"/>
        </w:rPr>
        <w:t xml:space="preserve"> formerly agricultural areas </w:t>
      </w:r>
      <w:r w:rsidRPr="00EF33AC">
        <w:rPr>
          <w:rFonts w:eastAsia="Times New Roman"/>
          <w:lang w:val="en-IN" w:eastAsia="en-IN"/>
        </w:rPr>
        <w:t xml:space="preserve">are now </w:t>
      </w:r>
      <w:r w:rsidRPr="00EF33AC">
        <w:rPr>
          <w:rFonts w:eastAsia="Times New Roman"/>
          <w:bCs/>
          <w:lang w:val="en-IN" w:eastAsia="en-IN"/>
        </w:rPr>
        <w:t>key IT corridors</w:t>
      </w:r>
      <w:r w:rsidRPr="00EF33AC">
        <w:rPr>
          <w:rFonts w:eastAsia="Times New Roman"/>
          <w:lang w:val="en-IN" w:eastAsia="en-IN"/>
        </w:rPr>
        <w:t xml:space="preserve">. Census data indicates a </w:t>
      </w:r>
      <w:r w:rsidRPr="00EF33AC">
        <w:rPr>
          <w:rFonts w:eastAsia="Times New Roman"/>
          <w:bCs/>
          <w:lang w:val="en-IN" w:eastAsia="en-IN"/>
        </w:rPr>
        <w:t>young workforce, high literacy rates (&gt;85%), and a service-industry-driven economy</w:t>
      </w:r>
      <w:r w:rsidRPr="00EF33AC">
        <w:rPr>
          <w:rFonts w:eastAsia="Times New Roman"/>
          <w:lang w:val="en-IN" w:eastAsia="en-IN"/>
        </w:rPr>
        <w:t xml:space="preserve">. The expansion of Bengaluru’s employment base has led to </w:t>
      </w:r>
      <w:r w:rsidRPr="00EF33AC">
        <w:rPr>
          <w:rFonts w:eastAsia="Times New Roman"/>
          <w:bCs/>
          <w:lang w:val="en-IN" w:eastAsia="en-IN"/>
        </w:rPr>
        <w:t>peri-urbanization</w:t>
      </w:r>
      <w:r w:rsidRPr="00EF33AC">
        <w:rPr>
          <w:rFonts w:eastAsia="Times New Roman"/>
          <w:lang w:val="en-IN" w:eastAsia="en-IN"/>
        </w:rPr>
        <w:t xml:space="preserve">, with villages in BMR experiencing </w:t>
      </w:r>
      <w:r w:rsidRPr="00EF33AC">
        <w:rPr>
          <w:rFonts w:eastAsia="Times New Roman"/>
          <w:bCs/>
          <w:lang w:val="en-IN" w:eastAsia="en-IN"/>
        </w:rPr>
        <w:t>conversion into residential, commercial, and industrial hubs</w:t>
      </w:r>
      <w:r w:rsidRPr="00EF33AC">
        <w:rPr>
          <w:rFonts w:eastAsia="Times New Roman"/>
          <w:lang w:val="en-IN" w:eastAsia="en-IN"/>
        </w:rPr>
        <w:t xml:space="preserve">. However, </w:t>
      </w:r>
      <w:r w:rsidRPr="00EF33AC">
        <w:rPr>
          <w:rFonts w:eastAsia="Times New Roman"/>
          <w:bCs/>
          <w:lang w:val="en-IN" w:eastAsia="en-IN"/>
        </w:rPr>
        <w:t>rural areas are shrinking</w:t>
      </w:r>
      <w:r w:rsidRPr="00EF33AC">
        <w:rPr>
          <w:rFonts w:eastAsia="Times New Roman"/>
          <w:lang w:val="en-IN" w:eastAsia="en-IN"/>
        </w:rPr>
        <w:t xml:space="preserve"> in population share due to decreasing agricultural viability and rising land values.</w:t>
      </w:r>
    </w:p>
    <w:p w14:paraId="2725A6C7" w14:textId="77777777" w:rsidR="00C0641F" w:rsidRPr="00EF33AC" w:rsidRDefault="001F7132" w:rsidP="001F7132">
      <w:pPr>
        <w:spacing w:after="120" w:line="276" w:lineRule="auto"/>
        <w:jc w:val="both"/>
        <w:rPr>
          <w:rFonts w:eastAsia="Times New Roman"/>
          <w:b/>
          <w:bCs/>
          <w:lang w:val="en-IN" w:eastAsia="en-IN"/>
        </w:rPr>
      </w:pPr>
      <w:r w:rsidRPr="00EF33AC">
        <w:rPr>
          <w:rFonts w:eastAsia="Times New Roman"/>
          <w:b/>
          <w:bCs/>
          <w:lang w:val="en-IN" w:eastAsia="en-IN"/>
        </w:rPr>
        <w:t xml:space="preserve">4.4 </w:t>
      </w:r>
      <w:r w:rsidR="00C0641F" w:rsidRPr="00EF33AC">
        <w:rPr>
          <w:rFonts w:eastAsia="Times New Roman"/>
          <w:b/>
          <w:bCs/>
          <w:lang w:val="en-IN" w:eastAsia="en-IN"/>
        </w:rPr>
        <w:t>Economic Structure and Regional Disparities</w:t>
      </w:r>
    </w:p>
    <w:p w14:paraId="6A7BE992" w14:textId="77777777" w:rsidR="00C0641F" w:rsidRPr="00EF33AC" w:rsidRDefault="00C0641F" w:rsidP="004E4DD5">
      <w:pPr>
        <w:spacing w:after="120" w:line="276" w:lineRule="auto"/>
        <w:ind w:firstLine="720"/>
        <w:jc w:val="both"/>
        <w:rPr>
          <w:rFonts w:eastAsia="Times New Roman"/>
          <w:lang w:val="en-IN" w:eastAsia="en-IN"/>
        </w:rPr>
      </w:pPr>
      <w:r w:rsidRPr="00EF33AC">
        <w:rPr>
          <w:rFonts w:eastAsia="Times New Roman"/>
          <w:lang w:val="en-IN" w:eastAsia="en-IN"/>
        </w:rPr>
        <w:t xml:space="preserve">Bengaluru city is the </w:t>
      </w:r>
      <w:r w:rsidRPr="00EF33AC">
        <w:rPr>
          <w:rFonts w:eastAsia="Times New Roman"/>
          <w:bCs/>
          <w:lang w:val="en-IN" w:eastAsia="en-IN"/>
        </w:rPr>
        <w:t>economic nucleus of BMR</w:t>
      </w:r>
      <w:r w:rsidRPr="00EF33AC">
        <w:rPr>
          <w:rFonts w:eastAsia="Times New Roman"/>
          <w:lang w:val="en-IN" w:eastAsia="en-IN"/>
        </w:rPr>
        <w:t xml:space="preserve">, hosting </w:t>
      </w:r>
      <w:r w:rsidRPr="00EF33AC">
        <w:rPr>
          <w:rFonts w:eastAsia="Times New Roman"/>
          <w:bCs/>
          <w:lang w:val="en-IN" w:eastAsia="en-IN"/>
        </w:rPr>
        <w:t>major IT clusters, research institutions, and multinational corporations</w:t>
      </w:r>
      <w:r w:rsidRPr="00EF33AC">
        <w:rPr>
          <w:rFonts w:eastAsia="Times New Roman"/>
          <w:lang w:val="en-IN" w:eastAsia="en-IN"/>
        </w:rPr>
        <w:t xml:space="preserve">. The </w:t>
      </w:r>
      <w:r w:rsidRPr="00EF33AC">
        <w:rPr>
          <w:rFonts w:eastAsia="Times New Roman"/>
          <w:bCs/>
          <w:lang w:val="en-IN" w:eastAsia="en-IN"/>
        </w:rPr>
        <w:t>tech industry</w:t>
      </w:r>
      <w:r w:rsidRPr="00EF33AC">
        <w:rPr>
          <w:rFonts w:eastAsia="Times New Roman"/>
          <w:lang w:val="en-IN" w:eastAsia="en-IN"/>
        </w:rPr>
        <w:t xml:space="preserve"> in the </w:t>
      </w:r>
      <w:proofErr w:type="spellStart"/>
      <w:r w:rsidRPr="00EF33AC">
        <w:rPr>
          <w:rFonts w:eastAsia="Times New Roman"/>
          <w:bCs/>
          <w:lang w:val="en-IN" w:eastAsia="en-IN"/>
        </w:rPr>
        <w:t>southeastern</w:t>
      </w:r>
      <w:proofErr w:type="spellEnd"/>
      <w:r w:rsidRPr="00EF33AC">
        <w:rPr>
          <w:rFonts w:eastAsia="Times New Roman"/>
          <w:bCs/>
          <w:lang w:val="en-IN" w:eastAsia="en-IN"/>
        </w:rPr>
        <w:t xml:space="preserve"> (Whitefield, Marathahalli) and northern (Hebbal, Devanahalli) corridors</w:t>
      </w:r>
      <w:r w:rsidRPr="00EF33AC">
        <w:rPr>
          <w:rFonts w:eastAsia="Times New Roman"/>
          <w:lang w:val="en-IN" w:eastAsia="en-IN"/>
        </w:rPr>
        <w:t xml:space="preserve"> has </w:t>
      </w:r>
      <w:proofErr w:type="spellStart"/>
      <w:r w:rsidRPr="00EF33AC">
        <w:rPr>
          <w:rFonts w:eastAsia="Times New Roman"/>
          <w:lang w:val="en-IN" w:eastAsia="en-IN"/>
        </w:rPr>
        <w:t>fueled</w:t>
      </w:r>
      <w:proofErr w:type="spellEnd"/>
      <w:r w:rsidRPr="00EF33AC">
        <w:rPr>
          <w:rFonts w:eastAsia="Times New Roman"/>
          <w:lang w:val="en-IN" w:eastAsia="en-IN"/>
        </w:rPr>
        <w:t xml:space="preserve"> high per capita income growth. However, economic benefits have been </w:t>
      </w:r>
      <w:r w:rsidRPr="00EF33AC">
        <w:rPr>
          <w:rFonts w:eastAsia="Times New Roman"/>
          <w:bCs/>
          <w:lang w:val="en-IN" w:eastAsia="en-IN"/>
        </w:rPr>
        <w:t>unevenly distributed</w:t>
      </w:r>
      <w:r w:rsidRPr="00EF33AC">
        <w:rPr>
          <w:rFonts w:eastAsia="Times New Roman"/>
          <w:lang w:val="en-IN" w:eastAsia="en-IN"/>
        </w:rPr>
        <w:t xml:space="preserve">. Peripheral regions remain </w:t>
      </w:r>
      <w:r w:rsidRPr="00EF33AC">
        <w:rPr>
          <w:rFonts w:eastAsia="Times New Roman"/>
          <w:bCs/>
          <w:lang w:val="en-IN" w:eastAsia="en-IN"/>
        </w:rPr>
        <w:t>largely agrarian</w:t>
      </w:r>
      <w:r w:rsidRPr="00EF33AC">
        <w:rPr>
          <w:rFonts w:eastAsia="Times New Roman"/>
          <w:lang w:val="en-IN" w:eastAsia="en-IN"/>
        </w:rPr>
        <w:t xml:space="preserve">, with </w:t>
      </w:r>
      <w:r w:rsidRPr="00EF33AC">
        <w:rPr>
          <w:rFonts w:eastAsia="Times New Roman"/>
          <w:bCs/>
          <w:lang w:val="en-IN" w:eastAsia="en-IN"/>
        </w:rPr>
        <w:t>sericulture, horticulture, and small-scale industries</w:t>
      </w:r>
      <w:r w:rsidRPr="00EF33AC">
        <w:rPr>
          <w:rFonts w:eastAsia="Times New Roman"/>
          <w:lang w:val="en-IN" w:eastAsia="en-IN"/>
        </w:rPr>
        <w:t xml:space="preserve"> dominating (e.g., </w:t>
      </w:r>
      <w:proofErr w:type="spellStart"/>
      <w:r w:rsidRPr="00EF33AC">
        <w:rPr>
          <w:rFonts w:eastAsia="Times New Roman"/>
          <w:bCs/>
          <w:lang w:val="en-IN" w:eastAsia="en-IN"/>
        </w:rPr>
        <w:t>Ramanagara’s</w:t>
      </w:r>
      <w:proofErr w:type="spellEnd"/>
      <w:r w:rsidRPr="00EF33AC">
        <w:rPr>
          <w:rFonts w:eastAsia="Times New Roman"/>
          <w:bCs/>
          <w:lang w:val="en-IN" w:eastAsia="en-IN"/>
        </w:rPr>
        <w:t xml:space="preserve"> silk market, </w:t>
      </w:r>
      <w:proofErr w:type="spellStart"/>
      <w:r w:rsidRPr="00EF33AC">
        <w:rPr>
          <w:rFonts w:eastAsia="Times New Roman"/>
          <w:bCs/>
          <w:lang w:val="en-IN" w:eastAsia="en-IN"/>
        </w:rPr>
        <w:t>Kanakapura’s</w:t>
      </w:r>
      <w:proofErr w:type="spellEnd"/>
      <w:r w:rsidRPr="00EF33AC">
        <w:rPr>
          <w:rFonts w:eastAsia="Times New Roman"/>
          <w:bCs/>
          <w:lang w:val="en-IN" w:eastAsia="en-IN"/>
        </w:rPr>
        <w:t xml:space="preserve"> granite quarries</w:t>
      </w:r>
      <w:r w:rsidRPr="00EF33AC">
        <w:rPr>
          <w:rFonts w:eastAsia="Times New Roman"/>
          <w:lang w:val="en-IN" w:eastAsia="en-IN"/>
        </w:rPr>
        <w:t xml:space="preserve">). The </w:t>
      </w:r>
      <w:r w:rsidRPr="00EF33AC">
        <w:rPr>
          <w:rFonts w:eastAsia="Times New Roman"/>
          <w:bCs/>
          <w:lang w:val="en-IN" w:eastAsia="en-IN"/>
        </w:rPr>
        <w:t>infrastructure divide</w:t>
      </w:r>
      <w:r w:rsidRPr="00EF33AC">
        <w:rPr>
          <w:rFonts w:eastAsia="Times New Roman"/>
          <w:lang w:val="en-IN" w:eastAsia="en-IN"/>
        </w:rPr>
        <w:t xml:space="preserve"> is stark: while Bengaluru has an extensive (but congested) road network, </w:t>
      </w:r>
      <w:r w:rsidRPr="00EF33AC">
        <w:rPr>
          <w:rFonts w:eastAsia="Times New Roman"/>
          <w:bCs/>
          <w:lang w:val="en-IN" w:eastAsia="en-IN"/>
        </w:rPr>
        <w:t>peripheral areas lack reliable public transport, consistent water supply, and quality education and healthcare facilities</w:t>
      </w:r>
      <w:r w:rsidRPr="00EF33AC">
        <w:rPr>
          <w:rFonts w:eastAsia="Times New Roman"/>
          <w:lang w:val="en-IN" w:eastAsia="en-IN"/>
        </w:rPr>
        <w:t xml:space="preserve">. The </w:t>
      </w:r>
      <w:r w:rsidRPr="00EF33AC">
        <w:rPr>
          <w:rFonts w:eastAsia="Times New Roman"/>
          <w:bCs/>
          <w:lang w:val="en-IN" w:eastAsia="en-IN"/>
        </w:rPr>
        <w:t>BMR Structure Plan 2031</w:t>
      </w:r>
      <w:r w:rsidRPr="00EF33AC">
        <w:rPr>
          <w:rFonts w:eastAsia="Times New Roman"/>
          <w:lang w:val="en-IN" w:eastAsia="en-IN"/>
        </w:rPr>
        <w:t xml:space="preserve"> acknowledges this </w:t>
      </w:r>
      <w:r w:rsidRPr="00EF33AC">
        <w:rPr>
          <w:rFonts w:eastAsia="Times New Roman"/>
          <w:bCs/>
          <w:lang w:val="en-IN" w:eastAsia="en-IN"/>
        </w:rPr>
        <w:t>core-periphery disparity</w:t>
      </w:r>
      <w:r w:rsidRPr="00EF33AC">
        <w:rPr>
          <w:rFonts w:eastAsia="Times New Roman"/>
          <w:lang w:val="en-IN" w:eastAsia="en-IN"/>
        </w:rPr>
        <w:t xml:space="preserve"> and warns of </w:t>
      </w:r>
      <w:r w:rsidRPr="00EF33AC">
        <w:rPr>
          <w:rFonts w:eastAsia="Times New Roman"/>
          <w:bCs/>
          <w:lang w:val="en-IN" w:eastAsia="en-IN"/>
        </w:rPr>
        <w:t>over-centralization risks</w:t>
      </w:r>
      <w:r w:rsidRPr="00EF33AC">
        <w:rPr>
          <w:rFonts w:eastAsia="Times New Roman"/>
          <w:lang w:val="en-IN" w:eastAsia="en-IN"/>
        </w:rPr>
        <w:t xml:space="preserve"> (BMRDA, 2017).</w:t>
      </w:r>
    </w:p>
    <w:p w14:paraId="2EBC789B" w14:textId="77777777" w:rsidR="00C0641F" w:rsidRPr="00EF33AC" w:rsidRDefault="001F7132" w:rsidP="001F7132">
      <w:pPr>
        <w:spacing w:after="120" w:line="276" w:lineRule="auto"/>
        <w:jc w:val="both"/>
        <w:rPr>
          <w:rFonts w:eastAsia="Times New Roman"/>
          <w:b/>
          <w:bCs/>
          <w:lang w:val="en-IN" w:eastAsia="en-IN"/>
        </w:rPr>
      </w:pPr>
      <w:r w:rsidRPr="00EF33AC">
        <w:rPr>
          <w:rFonts w:eastAsia="Times New Roman"/>
          <w:b/>
          <w:bCs/>
          <w:lang w:val="en-IN" w:eastAsia="en-IN"/>
        </w:rPr>
        <w:t xml:space="preserve">4.5 </w:t>
      </w:r>
      <w:r w:rsidR="00C0641F" w:rsidRPr="00EF33AC">
        <w:rPr>
          <w:rFonts w:eastAsia="Times New Roman"/>
          <w:b/>
          <w:bCs/>
          <w:lang w:val="en-IN" w:eastAsia="en-IN"/>
        </w:rPr>
        <w:t>Land Use and Urban Growth Patterns</w:t>
      </w:r>
    </w:p>
    <w:p w14:paraId="1B9640B4" w14:textId="55AADAD0" w:rsidR="002A7C20" w:rsidRPr="00EF33AC" w:rsidRDefault="00C0641F" w:rsidP="00667D97">
      <w:pPr>
        <w:spacing w:after="120" w:line="276" w:lineRule="auto"/>
        <w:ind w:firstLine="720"/>
        <w:jc w:val="both"/>
        <w:rPr>
          <w:rFonts w:eastAsia="Times New Roman"/>
          <w:lang w:val="en-IN" w:eastAsia="en-IN"/>
        </w:rPr>
      </w:pPr>
      <w:r w:rsidRPr="00EF33AC">
        <w:rPr>
          <w:rFonts w:eastAsia="Times New Roman"/>
          <w:lang w:val="en-IN" w:eastAsia="en-IN"/>
        </w:rPr>
        <w:t xml:space="preserve">Historically, BMR was </w:t>
      </w:r>
      <w:r w:rsidRPr="00EF33AC">
        <w:rPr>
          <w:rFonts w:eastAsia="Times New Roman"/>
          <w:bCs/>
          <w:lang w:val="en-IN" w:eastAsia="en-IN"/>
        </w:rPr>
        <w:t>predominantly agricultural</w:t>
      </w:r>
      <w:r w:rsidRPr="00EF33AC">
        <w:rPr>
          <w:rFonts w:eastAsia="Times New Roman"/>
          <w:lang w:val="en-IN" w:eastAsia="en-IN"/>
        </w:rPr>
        <w:t xml:space="preserve">, with built-up areas confined to </w:t>
      </w:r>
      <w:r w:rsidRPr="00EF33AC">
        <w:rPr>
          <w:rFonts w:eastAsia="Times New Roman"/>
          <w:bCs/>
          <w:lang w:val="en-IN" w:eastAsia="en-IN"/>
        </w:rPr>
        <w:t>Bengaluru’s core</w:t>
      </w:r>
      <w:r w:rsidRPr="00EF33AC">
        <w:rPr>
          <w:rFonts w:eastAsia="Times New Roman"/>
          <w:lang w:val="en-IN" w:eastAsia="en-IN"/>
        </w:rPr>
        <w:t xml:space="preserve">. In </w:t>
      </w:r>
      <w:r w:rsidR="002A7C20" w:rsidRPr="00EF33AC">
        <w:rPr>
          <w:rFonts w:eastAsia="Times New Roman"/>
          <w:bCs/>
          <w:lang w:val="en-IN" w:eastAsia="en-IN"/>
        </w:rPr>
        <w:t>2001, only 80000 Ha (</w:t>
      </w:r>
      <w:r w:rsidRPr="00EF33AC">
        <w:rPr>
          <w:rFonts w:eastAsia="Times New Roman"/>
          <w:bCs/>
          <w:lang w:val="en-IN" w:eastAsia="en-IN"/>
        </w:rPr>
        <w:t>800 km²</w:t>
      </w:r>
      <w:r w:rsidR="002A7C20" w:rsidRPr="00EF33AC">
        <w:rPr>
          <w:rFonts w:eastAsia="Times New Roman"/>
          <w:bCs/>
          <w:lang w:val="en-IN" w:eastAsia="en-IN"/>
        </w:rPr>
        <w:t>)</w:t>
      </w:r>
      <w:r w:rsidRPr="00EF33AC">
        <w:rPr>
          <w:rFonts w:eastAsia="Times New Roman"/>
          <w:bCs/>
          <w:lang w:val="en-IN" w:eastAsia="en-IN"/>
        </w:rPr>
        <w:t xml:space="preserve"> was urban/built-up</w:t>
      </w:r>
      <w:r w:rsidRPr="00EF33AC">
        <w:rPr>
          <w:rFonts w:eastAsia="Times New Roman"/>
          <w:lang w:val="en-IN" w:eastAsia="en-IN"/>
        </w:rPr>
        <w:t xml:space="preserve">, while </w:t>
      </w:r>
      <w:r w:rsidRPr="00EF33AC">
        <w:rPr>
          <w:rFonts w:eastAsia="Times New Roman"/>
          <w:bCs/>
          <w:lang w:val="en-IN" w:eastAsia="en-IN"/>
        </w:rPr>
        <w:t xml:space="preserve">rural land covered over </w:t>
      </w:r>
      <w:r w:rsidR="002A7C20" w:rsidRPr="00EF33AC">
        <w:rPr>
          <w:rFonts w:eastAsia="Times New Roman"/>
          <w:bCs/>
          <w:lang w:val="en-IN" w:eastAsia="en-IN"/>
        </w:rPr>
        <w:t>700000 Ha (</w:t>
      </w:r>
      <w:r w:rsidRPr="00EF33AC">
        <w:rPr>
          <w:rFonts w:eastAsia="Times New Roman"/>
          <w:bCs/>
          <w:lang w:val="en-IN" w:eastAsia="en-IN"/>
        </w:rPr>
        <w:t>7,000 km²</w:t>
      </w:r>
      <w:r w:rsidR="002A7C20" w:rsidRPr="00EF33AC">
        <w:rPr>
          <w:rFonts w:eastAsia="Times New Roman"/>
          <w:bCs/>
          <w:lang w:val="en-IN" w:eastAsia="en-IN"/>
        </w:rPr>
        <w:t>)</w:t>
      </w:r>
      <w:r w:rsidRPr="00EF33AC">
        <w:rPr>
          <w:rFonts w:eastAsia="Times New Roman"/>
          <w:lang w:val="en-IN" w:eastAsia="en-IN"/>
        </w:rPr>
        <w:t xml:space="preserve"> (BMRDA, 2017). However, rapid </w:t>
      </w:r>
      <w:r w:rsidRPr="00EF33AC">
        <w:rPr>
          <w:rFonts w:eastAsia="Times New Roman"/>
          <w:bCs/>
          <w:lang w:val="en-IN" w:eastAsia="en-IN"/>
        </w:rPr>
        <w:t>urban expansion</w:t>
      </w:r>
      <w:r w:rsidRPr="00EF33AC">
        <w:rPr>
          <w:rFonts w:eastAsia="Times New Roman"/>
          <w:lang w:val="en-IN" w:eastAsia="en-IN"/>
        </w:rPr>
        <w:t xml:space="preserve"> has reshaped the landscape. By </w:t>
      </w:r>
      <w:r w:rsidRPr="00EF33AC">
        <w:rPr>
          <w:rFonts w:eastAsia="Times New Roman"/>
          <w:bCs/>
          <w:lang w:val="en-IN" w:eastAsia="en-IN"/>
        </w:rPr>
        <w:t xml:space="preserve">2020, extensive farmland in Bengaluru Rural and </w:t>
      </w:r>
      <w:proofErr w:type="spellStart"/>
      <w:r w:rsidRPr="00EF33AC">
        <w:rPr>
          <w:rFonts w:eastAsia="Times New Roman"/>
          <w:bCs/>
          <w:lang w:val="en-IN" w:eastAsia="en-IN"/>
        </w:rPr>
        <w:t>Ramanagara</w:t>
      </w:r>
      <w:proofErr w:type="spellEnd"/>
      <w:r w:rsidRPr="00EF33AC">
        <w:rPr>
          <w:rFonts w:eastAsia="Times New Roman"/>
          <w:bCs/>
          <w:lang w:val="en-IN" w:eastAsia="en-IN"/>
        </w:rPr>
        <w:t xml:space="preserve"> had urbanized</w:t>
      </w:r>
      <w:r w:rsidRPr="00EF33AC">
        <w:rPr>
          <w:rFonts w:eastAsia="Times New Roman"/>
          <w:lang w:val="en-IN" w:eastAsia="en-IN"/>
        </w:rPr>
        <w:t xml:space="preserve">, particularly along </w:t>
      </w:r>
      <w:r w:rsidRPr="00EF33AC">
        <w:rPr>
          <w:rFonts w:eastAsia="Times New Roman"/>
          <w:bCs/>
          <w:lang w:val="en-IN" w:eastAsia="en-IN"/>
        </w:rPr>
        <w:t>major highways</w:t>
      </w:r>
      <w:r w:rsidRPr="00EF33AC">
        <w:rPr>
          <w:rFonts w:eastAsia="Times New Roman"/>
          <w:lang w:val="en-IN" w:eastAsia="en-IN"/>
        </w:rPr>
        <w:t xml:space="preserve"> (</w:t>
      </w:r>
      <w:proofErr w:type="spellStart"/>
      <w:r w:rsidRPr="00EF33AC">
        <w:rPr>
          <w:rFonts w:eastAsia="Times New Roman"/>
          <w:lang w:val="en-IN" w:eastAsia="en-IN"/>
        </w:rPr>
        <w:t>Tumkur</w:t>
      </w:r>
      <w:proofErr w:type="spellEnd"/>
      <w:r w:rsidRPr="00EF33AC">
        <w:rPr>
          <w:rFonts w:eastAsia="Times New Roman"/>
          <w:lang w:val="en-IN" w:eastAsia="en-IN"/>
        </w:rPr>
        <w:t xml:space="preserve"> Road NH4, Mysore Road NH275, Old Madras Road NH75, and Bellary Road NH7). The </w:t>
      </w:r>
      <w:r w:rsidRPr="00EF33AC">
        <w:rPr>
          <w:rFonts w:eastAsia="Times New Roman"/>
          <w:bCs/>
          <w:lang w:val="en-IN" w:eastAsia="en-IN"/>
        </w:rPr>
        <w:t>BMR Structure Plan</w:t>
      </w:r>
      <w:r w:rsidRPr="00EF33AC">
        <w:rPr>
          <w:rFonts w:eastAsia="Times New Roman"/>
          <w:lang w:val="en-IN" w:eastAsia="en-IN"/>
        </w:rPr>
        <w:t xml:space="preserve"> outlines </w:t>
      </w:r>
      <w:r w:rsidRPr="00EF33AC">
        <w:rPr>
          <w:rFonts w:eastAsia="Times New Roman"/>
          <w:bCs/>
          <w:lang w:val="en-IN" w:eastAsia="en-IN"/>
        </w:rPr>
        <w:t>planned growth corridors and new townships</w:t>
      </w:r>
      <w:r w:rsidRPr="00EF33AC">
        <w:rPr>
          <w:rFonts w:eastAsia="Times New Roman"/>
          <w:lang w:val="en-IN" w:eastAsia="en-IN"/>
        </w:rPr>
        <w:t xml:space="preserve"> to manage expansion, while </w:t>
      </w:r>
      <w:r w:rsidRPr="00EF33AC">
        <w:rPr>
          <w:rFonts w:eastAsia="Times New Roman"/>
          <w:bCs/>
          <w:lang w:val="en-IN" w:eastAsia="en-IN"/>
        </w:rPr>
        <w:t>green belts</w:t>
      </w:r>
      <w:r w:rsidRPr="00EF33AC">
        <w:rPr>
          <w:rFonts w:eastAsia="Times New Roman"/>
          <w:lang w:val="en-IN" w:eastAsia="en-IN"/>
        </w:rPr>
        <w:t xml:space="preserve"> are designated to </w:t>
      </w:r>
      <w:r w:rsidRPr="00EF33AC">
        <w:rPr>
          <w:rFonts w:eastAsia="Times New Roman"/>
          <w:bCs/>
          <w:lang w:val="en-IN" w:eastAsia="en-IN"/>
        </w:rPr>
        <w:t>contain sprawl</w:t>
      </w:r>
      <w:r w:rsidRPr="00EF33AC">
        <w:rPr>
          <w:rFonts w:eastAsia="Times New Roman"/>
          <w:lang w:val="en-IN" w:eastAsia="en-IN"/>
        </w:rPr>
        <w:t xml:space="preserve">, </w:t>
      </w:r>
      <w:r w:rsidR="00667D97" w:rsidRPr="00EF33AC">
        <w:rPr>
          <w:rFonts w:eastAsia="Times New Roman"/>
          <w:lang w:val="en-IN" w:eastAsia="en-IN"/>
        </w:rPr>
        <w:t>though enforcement remains weak</w:t>
      </w:r>
    </w:p>
    <w:p w14:paraId="3F622236" w14:textId="77777777" w:rsidR="00C0641F" w:rsidRPr="00EF33AC" w:rsidRDefault="001F7132" w:rsidP="001F7132">
      <w:pPr>
        <w:spacing w:after="120" w:line="276" w:lineRule="auto"/>
        <w:jc w:val="both"/>
        <w:rPr>
          <w:rFonts w:eastAsia="Times New Roman"/>
          <w:b/>
          <w:bCs/>
          <w:lang w:val="en-IN" w:eastAsia="en-IN"/>
        </w:rPr>
      </w:pPr>
      <w:r w:rsidRPr="00EF33AC">
        <w:rPr>
          <w:rFonts w:eastAsia="Times New Roman"/>
          <w:b/>
          <w:bCs/>
          <w:lang w:val="en-IN" w:eastAsia="en-IN"/>
        </w:rPr>
        <w:t xml:space="preserve">4.6 </w:t>
      </w:r>
      <w:r w:rsidR="00C0641F" w:rsidRPr="00EF33AC">
        <w:rPr>
          <w:rFonts w:eastAsia="Times New Roman"/>
          <w:b/>
          <w:bCs/>
          <w:lang w:val="en-IN" w:eastAsia="en-IN"/>
        </w:rPr>
        <w:t>Environmental and Planning Challenges</w:t>
      </w:r>
    </w:p>
    <w:p w14:paraId="32C7526D" w14:textId="76DA380E" w:rsidR="00C0641F" w:rsidRPr="00EF33AC" w:rsidRDefault="00C0641F" w:rsidP="004E4DD5">
      <w:pPr>
        <w:spacing w:after="120" w:line="276" w:lineRule="auto"/>
        <w:ind w:firstLine="720"/>
        <w:jc w:val="both"/>
        <w:rPr>
          <w:rFonts w:eastAsia="Times New Roman"/>
          <w:lang w:val="en-IN" w:eastAsia="en-IN"/>
        </w:rPr>
      </w:pPr>
      <w:r w:rsidRPr="00EF33AC">
        <w:rPr>
          <w:rFonts w:eastAsia="Times New Roman"/>
          <w:lang w:val="en-IN" w:eastAsia="en-IN"/>
        </w:rPr>
        <w:t xml:space="preserve">BMR’s </w:t>
      </w:r>
      <w:r w:rsidRPr="00EF33AC">
        <w:rPr>
          <w:rFonts w:eastAsia="Times New Roman"/>
          <w:bCs/>
          <w:lang w:val="en-IN" w:eastAsia="en-IN"/>
        </w:rPr>
        <w:t>environmental assets include forested areas like Bannerghatta National Park and interconnected lake systems</w:t>
      </w:r>
      <w:r w:rsidRPr="00EF33AC">
        <w:rPr>
          <w:rFonts w:eastAsia="Times New Roman"/>
          <w:lang w:val="en-IN" w:eastAsia="en-IN"/>
        </w:rPr>
        <w:t xml:space="preserve">. However, Bengaluru has lost </w:t>
      </w:r>
      <w:r w:rsidRPr="00EF33AC">
        <w:rPr>
          <w:rFonts w:eastAsia="Times New Roman"/>
          <w:bCs/>
          <w:lang w:val="en-IN" w:eastAsia="en-IN"/>
        </w:rPr>
        <w:t>over 80% of its lakes since the 1960s</w:t>
      </w:r>
      <w:r w:rsidRPr="00EF33AC">
        <w:rPr>
          <w:rFonts w:eastAsia="Times New Roman"/>
          <w:lang w:val="en-IN" w:eastAsia="en-IN"/>
        </w:rPr>
        <w:t xml:space="preserve">, with severe implications for </w:t>
      </w:r>
      <w:r w:rsidRPr="00EF33AC">
        <w:rPr>
          <w:rFonts w:eastAsia="Times New Roman"/>
          <w:bCs/>
          <w:lang w:val="en-IN" w:eastAsia="en-IN"/>
        </w:rPr>
        <w:t>groundwater recharge, flooding, and ecosystem stability</w:t>
      </w:r>
      <w:r w:rsidRPr="00EF33AC">
        <w:rPr>
          <w:rFonts w:eastAsia="Times New Roman"/>
          <w:lang w:val="en-IN" w:eastAsia="en-IN"/>
        </w:rPr>
        <w:t xml:space="preserve"> (Ramachandra et al., 2016). Encroachments and pollution have drastically reduced the number of </w:t>
      </w:r>
      <w:r w:rsidRPr="00EF33AC">
        <w:rPr>
          <w:rFonts w:eastAsia="Times New Roman"/>
          <w:bCs/>
          <w:lang w:val="en-IN" w:eastAsia="en-IN"/>
        </w:rPr>
        <w:t>healthy lakes</w:t>
      </w:r>
      <w:r w:rsidRPr="00EF33AC">
        <w:rPr>
          <w:rFonts w:eastAsia="Times New Roman"/>
          <w:lang w:val="en-IN" w:eastAsia="en-IN"/>
        </w:rPr>
        <w:t xml:space="preserve">, threatening BMR’s </w:t>
      </w:r>
      <w:r w:rsidRPr="00EF33AC">
        <w:rPr>
          <w:rFonts w:eastAsia="Times New Roman"/>
          <w:bCs/>
          <w:lang w:val="en-IN" w:eastAsia="en-IN"/>
        </w:rPr>
        <w:t>water security</w:t>
      </w:r>
      <w:r w:rsidRPr="00EF33AC">
        <w:rPr>
          <w:rFonts w:eastAsia="Times New Roman"/>
          <w:lang w:val="en-IN" w:eastAsia="en-IN"/>
        </w:rPr>
        <w:t xml:space="preserve">. Governance remains fragmented; BMR </w:t>
      </w:r>
      <w:r w:rsidRPr="00EF33AC">
        <w:rPr>
          <w:rFonts w:eastAsia="Times New Roman"/>
          <w:lang w:val="en-IN" w:eastAsia="en-IN"/>
        </w:rPr>
        <w:lastRenderedPageBreak/>
        <w:t xml:space="preserve">falls under the </w:t>
      </w:r>
      <w:r w:rsidR="0094028F" w:rsidRPr="00EF33AC">
        <w:rPr>
          <w:rFonts w:eastAsia="Times New Roman"/>
          <w:bCs/>
          <w:lang w:val="en-IN" w:eastAsia="en-IN"/>
        </w:rPr>
        <w:t>BMRDA</w:t>
      </w:r>
      <w:r w:rsidRPr="00EF33AC">
        <w:rPr>
          <w:rFonts w:eastAsia="Times New Roman"/>
          <w:lang w:val="en-IN" w:eastAsia="en-IN"/>
        </w:rPr>
        <w:t xml:space="preserve">, but planning responsibilities are shared across </w:t>
      </w:r>
      <w:r w:rsidRPr="00EF33AC">
        <w:rPr>
          <w:rFonts w:eastAsia="Times New Roman"/>
          <w:bCs/>
          <w:lang w:val="en-IN" w:eastAsia="en-IN"/>
        </w:rPr>
        <w:t>multiple agencies (BBMP, BDA, BMRDA, urban local bodies)</w:t>
      </w:r>
      <w:r w:rsidRPr="00EF33AC">
        <w:rPr>
          <w:rFonts w:eastAsia="Times New Roman"/>
          <w:lang w:val="en-IN" w:eastAsia="en-IN"/>
        </w:rPr>
        <w:t xml:space="preserve">, often leading to </w:t>
      </w:r>
      <w:r w:rsidRPr="00EF33AC">
        <w:rPr>
          <w:rFonts w:eastAsia="Times New Roman"/>
          <w:bCs/>
          <w:lang w:val="en-IN" w:eastAsia="en-IN"/>
        </w:rPr>
        <w:t>uncoordinated development</w:t>
      </w:r>
      <w:r w:rsidRPr="00EF33AC">
        <w:rPr>
          <w:rFonts w:eastAsia="Times New Roman"/>
          <w:lang w:val="en-IN" w:eastAsia="en-IN"/>
        </w:rPr>
        <w:t>.</w:t>
      </w:r>
    </w:p>
    <w:p w14:paraId="691ADBAE" w14:textId="77777777" w:rsidR="004F6AF0" w:rsidRPr="00EF33AC" w:rsidRDefault="004F6AF0" w:rsidP="004E4DD5">
      <w:pPr>
        <w:spacing w:after="120" w:line="276" w:lineRule="auto"/>
        <w:ind w:firstLine="720"/>
        <w:jc w:val="both"/>
        <w:rPr>
          <w:rFonts w:eastAsia="Times New Roman"/>
          <w:lang w:val="en-IN" w:eastAsia="en-IN"/>
        </w:rPr>
      </w:pPr>
    </w:p>
    <w:p w14:paraId="466A97C6" w14:textId="77777777" w:rsidR="004F6AF0" w:rsidRPr="00EF33AC" w:rsidRDefault="004F6AF0" w:rsidP="004E4DD5">
      <w:pPr>
        <w:spacing w:after="120" w:line="276" w:lineRule="auto"/>
        <w:ind w:firstLine="720"/>
        <w:jc w:val="both"/>
        <w:rPr>
          <w:rFonts w:eastAsia="Times New Roman"/>
          <w:lang w:val="en-IN" w:eastAsia="en-IN"/>
        </w:rPr>
      </w:pPr>
    </w:p>
    <w:p w14:paraId="6FA92119" w14:textId="024D608C" w:rsidR="004F6AF0" w:rsidRPr="00EF33AC" w:rsidRDefault="00C0641F" w:rsidP="004F6AF0">
      <w:pPr>
        <w:spacing w:after="120" w:line="276" w:lineRule="auto"/>
        <w:ind w:firstLine="720"/>
        <w:jc w:val="both"/>
        <w:rPr>
          <w:rFonts w:eastAsia="Times New Roman"/>
          <w:lang w:val="en-IN" w:eastAsia="en-IN"/>
        </w:rPr>
      </w:pPr>
      <w:r w:rsidRPr="00EF33AC">
        <w:rPr>
          <w:rFonts w:eastAsia="Times New Roman"/>
          <w:lang w:val="en-IN" w:eastAsia="en-IN"/>
        </w:rPr>
        <w:t xml:space="preserve">BMR is undergoing </w:t>
      </w:r>
      <w:r w:rsidRPr="00EF33AC">
        <w:rPr>
          <w:rFonts w:eastAsia="Times New Roman"/>
          <w:bCs/>
          <w:lang w:val="en-IN" w:eastAsia="en-IN"/>
        </w:rPr>
        <w:t>intense urban transformation</w:t>
      </w:r>
      <w:r w:rsidRPr="00EF33AC">
        <w:rPr>
          <w:rFonts w:eastAsia="Times New Roman"/>
          <w:lang w:val="en-IN" w:eastAsia="en-IN"/>
        </w:rPr>
        <w:t xml:space="preserve">, largely shaped by </w:t>
      </w:r>
      <w:r w:rsidRPr="00EF33AC">
        <w:rPr>
          <w:rFonts w:eastAsia="Times New Roman"/>
          <w:bCs/>
          <w:lang w:val="en-IN" w:eastAsia="en-IN"/>
        </w:rPr>
        <w:t>Bengaluru’s economic pull</w:t>
      </w:r>
      <w:r w:rsidRPr="00EF33AC">
        <w:rPr>
          <w:rFonts w:eastAsia="Times New Roman"/>
          <w:lang w:val="en-IN" w:eastAsia="en-IN"/>
        </w:rPr>
        <w:t xml:space="preserve">. The </w:t>
      </w:r>
      <w:r w:rsidRPr="00EF33AC">
        <w:rPr>
          <w:rFonts w:eastAsia="Times New Roman"/>
          <w:bCs/>
          <w:lang w:val="en-IN" w:eastAsia="en-IN"/>
        </w:rPr>
        <w:t>concentration of population and economic activities in the core</w:t>
      </w:r>
      <w:r w:rsidRPr="00EF33AC">
        <w:rPr>
          <w:rFonts w:eastAsia="Times New Roman"/>
          <w:lang w:val="en-IN" w:eastAsia="en-IN"/>
        </w:rPr>
        <w:t xml:space="preserve"> has resulted in </w:t>
      </w:r>
      <w:r w:rsidRPr="00EF33AC">
        <w:rPr>
          <w:rFonts w:eastAsia="Times New Roman"/>
          <w:bCs/>
          <w:lang w:val="en-IN" w:eastAsia="en-IN"/>
        </w:rPr>
        <w:t>land use changes, rural-to-urban transitions, and environmental concerns</w:t>
      </w:r>
      <w:r w:rsidRPr="00EF33AC">
        <w:rPr>
          <w:rFonts w:eastAsia="Times New Roman"/>
          <w:lang w:val="en-IN" w:eastAsia="en-IN"/>
        </w:rPr>
        <w:t xml:space="preserve">. The </w:t>
      </w:r>
      <w:r w:rsidRPr="00EF33AC">
        <w:rPr>
          <w:rFonts w:eastAsia="Times New Roman"/>
          <w:bCs/>
          <w:lang w:val="en-IN" w:eastAsia="en-IN"/>
        </w:rPr>
        <w:t>imbalance between Bengaluru’s growth and the underdevelopment of surrounding regions</w:t>
      </w:r>
      <w:r w:rsidRPr="00EF33AC">
        <w:rPr>
          <w:rFonts w:eastAsia="Times New Roman"/>
          <w:lang w:val="en-IN" w:eastAsia="en-IN"/>
        </w:rPr>
        <w:t xml:space="preserve"> poses significant planning challenges. This study captures these trends through </w:t>
      </w:r>
      <w:r w:rsidRPr="00EF33AC">
        <w:rPr>
          <w:rFonts w:eastAsia="Times New Roman"/>
          <w:bCs/>
          <w:lang w:val="en-IN" w:eastAsia="en-IN"/>
        </w:rPr>
        <w:t>LULC analysis, highlighting how land use dynamics have evolved in response to demographic and economic shifts</w:t>
      </w:r>
      <w:r w:rsidRPr="00EF33AC">
        <w:rPr>
          <w:rFonts w:eastAsia="Times New Roman"/>
          <w:lang w:val="en-IN" w:eastAsia="en-IN"/>
        </w:rPr>
        <w:t xml:space="preserve">. The findings offer insights for </w:t>
      </w:r>
      <w:r w:rsidRPr="00EF33AC">
        <w:rPr>
          <w:rFonts w:eastAsia="Times New Roman"/>
          <w:bCs/>
          <w:lang w:val="en-IN" w:eastAsia="en-IN"/>
        </w:rPr>
        <w:t>future urban planning</w:t>
      </w:r>
      <w:r w:rsidRPr="00EF33AC">
        <w:rPr>
          <w:rFonts w:eastAsia="Times New Roman"/>
          <w:lang w:val="en-IN" w:eastAsia="en-IN"/>
        </w:rPr>
        <w:t xml:space="preserve">, emphasizing the need for </w:t>
      </w:r>
      <w:r w:rsidRPr="00EF33AC">
        <w:rPr>
          <w:rFonts w:eastAsia="Times New Roman"/>
          <w:bCs/>
          <w:lang w:val="en-IN" w:eastAsia="en-IN"/>
        </w:rPr>
        <w:t>balanced regional growth, environmental sustainability, and improved metropolitan governance</w:t>
      </w:r>
      <w:r w:rsidRPr="00EF33AC">
        <w:rPr>
          <w:rFonts w:eastAsia="Times New Roman"/>
          <w:lang w:val="en-IN" w:eastAsia="en-IN"/>
        </w:rPr>
        <w:t>.</w:t>
      </w:r>
    </w:p>
    <w:p w14:paraId="7BE3A491" w14:textId="77777777" w:rsidR="001F7132" w:rsidRPr="00EF33AC" w:rsidRDefault="001F7132" w:rsidP="0094028F">
      <w:pPr>
        <w:spacing w:after="120" w:line="276" w:lineRule="auto"/>
        <w:jc w:val="both"/>
        <w:rPr>
          <w:rFonts w:eastAsia="Times New Roman"/>
          <w:b/>
          <w:bCs/>
          <w:lang w:eastAsia="en-IN"/>
        </w:rPr>
      </w:pPr>
      <w:r w:rsidRPr="00EF33AC">
        <w:rPr>
          <w:rFonts w:eastAsia="Times New Roman"/>
          <w:b/>
          <w:bCs/>
          <w:lang w:eastAsia="en-IN"/>
        </w:rPr>
        <w:t>V. RESULTS AND DISCUSSIONS</w:t>
      </w:r>
    </w:p>
    <w:p w14:paraId="1DC8AE9C" w14:textId="01CDBB9E" w:rsidR="007A4D0A" w:rsidRPr="00EF33AC" w:rsidRDefault="007A4D0A" w:rsidP="007A4D0A">
      <w:pPr>
        <w:spacing w:after="120" w:line="276" w:lineRule="auto"/>
        <w:jc w:val="both"/>
        <w:rPr>
          <w:rFonts w:eastAsia="Times New Roman"/>
          <w:b/>
          <w:bCs/>
          <w:lang w:eastAsia="en-IN"/>
        </w:rPr>
      </w:pPr>
      <w:r w:rsidRPr="00EF33AC">
        <w:rPr>
          <w:rFonts w:eastAsia="Times New Roman"/>
          <w:b/>
          <w:bCs/>
          <w:lang w:eastAsia="en-IN"/>
        </w:rPr>
        <w:t>5.1 Introduction to Spatiotemporal Analysis of Land Use and Land Cover (LULC)</w:t>
      </w:r>
    </w:p>
    <w:p w14:paraId="658A2BB9" w14:textId="21A70025" w:rsidR="00B0313B" w:rsidRPr="00EF33AC" w:rsidRDefault="00B0313B" w:rsidP="007A4D0A">
      <w:pPr>
        <w:spacing w:after="120" w:line="276" w:lineRule="auto"/>
        <w:ind w:firstLine="720"/>
        <w:jc w:val="both"/>
        <w:rPr>
          <w:rFonts w:eastAsia="Times New Roman"/>
          <w:bCs/>
          <w:lang w:eastAsia="en-IN"/>
        </w:rPr>
      </w:pPr>
      <w:r w:rsidRPr="00EF33AC">
        <w:rPr>
          <w:rFonts w:eastAsia="Times New Roman"/>
          <w:bCs/>
          <w:lang w:eastAsia="en-IN"/>
        </w:rPr>
        <w:t>The spatiotemporal analysis of Land Use and Land Cover (LULC) changes in Bengaluru Metropolitan Region (BMR) from 1990 to 2023</w:t>
      </w:r>
      <w:r w:rsidR="009200FE" w:rsidRPr="00EF33AC">
        <w:rPr>
          <w:rFonts w:eastAsia="Times New Roman"/>
          <w:bCs/>
          <w:lang w:eastAsia="en-IN"/>
        </w:rPr>
        <w:t>, as presented in the T</w:t>
      </w:r>
      <w:r w:rsidRPr="00EF33AC">
        <w:rPr>
          <w:rFonts w:eastAsia="Times New Roman"/>
          <w:bCs/>
          <w:lang w:eastAsia="en-IN"/>
        </w:rPr>
        <w:t>able</w:t>
      </w:r>
      <w:r w:rsidR="009200FE" w:rsidRPr="00EF33AC">
        <w:rPr>
          <w:rFonts w:eastAsia="Times New Roman"/>
          <w:bCs/>
          <w:lang w:eastAsia="en-IN"/>
        </w:rPr>
        <w:t xml:space="preserve"> 3</w:t>
      </w:r>
      <w:r w:rsidR="00BB29EC" w:rsidRPr="00EF33AC">
        <w:rPr>
          <w:rFonts w:eastAsia="Times New Roman"/>
          <w:bCs/>
          <w:lang w:eastAsia="en-IN"/>
        </w:rPr>
        <w:t xml:space="preserve"> and Figures 2, 3 and 4</w:t>
      </w:r>
      <w:r w:rsidRPr="00EF33AC">
        <w:rPr>
          <w:rFonts w:eastAsia="Times New Roman"/>
          <w:bCs/>
          <w:lang w:eastAsia="en-IN"/>
        </w:rPr>
        <w:t xml:space="preserve">, reflects the complex interplay of urbanization, environmental changes, and policy interventions over the past three decades. </w:t>
      </w:r>
      <w:r w:rsidR="00BB29EC" w:rsidRPr="00EF33AC">
        <w:rPr>
          <w:rFonts w:eastAsia="Times New Roman"/>
          <w:bCs/>
          <w:lang w:eastAsia="en-IN"/>
        </w:rPr>
        <w:t xml:space="preserve">This assessment integrates all seven land-use classes: water, vegetation, flooded vegetation, crops, built-up area, bare ground, and rangeland and links them spatially to observed patterns in the LULC maps. </w:t>
      </w:r>
      <w:r w:rsidR="0093463B" w:rsidRPr="00EF33AC">
        <w:rPr>
          <w:rFonts w:eastAsia="Times New Roman"/>
          <w:bCs/>
          <w:lang w:eastAsia="en-IN"/>
        </w:rPr>
        <w:t xml:space="preserve">The findings align with the objectives of </w:t>
      </w:r>
      <w:proofErr w:type="spellStart"/>
      <w:r w:rsidR="0093463B" w:rsidRPr="00EF33AC">
        <w:rPr>
          <w:rFonts w:eastAsia="Times New Roman"/>
          <w:bCs/>
          <w:lang w:eastAsia="en-IN"/>
        </w:rPr>
        <w:t>analyzing</w:t>
      </w:r>
      <w:proofErr w:type="spellEnd"/>
      <w:r w:rsidR="0093463B" w:rsidRPr="00EF33AC">
        <w:rPr>
          <w:rFonts w:eastAsia="Times New Roman"/>
          <w:bCs/>
          <w:lang w:eastAsia="en-IN"/>
        </w:rPr>
        <w:t xml:space="preserve"> LULC transformations, identifying urban expansion drivers, assessing their environmental and planning implications, and proposing policy recommendations.</w:t>
      </w:r>
    </w:p>
    <w:p w14:paraId="703B5EFD" w14:textId="6590E3BD" w:rsidR="0093463B" w:rsidRPr="00EF33AC" w:rsidRDefault="009200FE" w:rsidP="0093463B">
      <w:pPr>
        <w:spacing w:before="100" w:beforeAutospacing="1" w:after="100" w:afterAutospacing="1"/>
        <w:jc w:val="center"/>
        <w:rPr>
          <w:rFonts w:eastAsia="Times New Roman"/>
          <w:b/>
          <w:bCs/>
          <w:lang w:val="en-IN" w:eastAsia="en-IN"/>
        </w:rPr>
      </w:pPr>
      <w:r w:rsidRPr="00EF33AC">
        <w:rPr>
          <w:rFonts w:eastAsia="Times New Roman"/>
          <w:b/>
          <w:bCs/>
          <w:lang w:val="en-IN" w:eastAsia="en-IN"/>
        </w:rPr>
        <w:t>Table 3</w:t>
      </w:r>
      <w:r w:rsidR="0093463B" w:rsidRPr="00EF33AC">
        <w:rPr>
          <w:rFonts w:eastAsia="Times New Roman"/>
          <w:b/>
          <w:bCs/>
          <w:lang w:val="en-IN" w:eastAsia="en-IN"/>
        </w:rPr>
        <w:t>: Analysis of Land Use Land Cover Changes of BMR (1990-2023)</w:t>
      </w:r>
    </w:p>
    <w:tbl>
      <w:tblPr>
        <w:tblStyle w:val="TableGrid"/>
        <w:tblW w:w="0" w:type="auto"/>
        <w:jc w:val="center"/>
        <w:tblLook w:val="04A0" w:firstRow="1" w:lastRow="0" w:firstColumn="1" w:lastColumn="0" w:noHBand="0" w:noVBand="1"/>
      </w:tblPr>
      <w:tblGrid>
        <w:gridCol w:w="483"/>
        <w:gridCol w:w="2521"/>
        <w:gridCol w:w="1056"/>
        <w:gridCol w:w="1056"/>
        <w:gridCol w:w="1125"/>
        <w:gridCol w:w="984"/>
        <w:gridCol w:w="992"/>
      </w:tblGrid>
      <w:tr w:rsidR="0093463B" w:rsidRPr="00EF33AC" w14:paraId="0F1ECA53" w14:textId="77777777" w:rsidTr="00906352">
        <w:trPr>
          <w:trHeight w:val="287"/>
          <w:jc w:val="center"/>
        </w:trPr>
        <w:tc>
          <w:tcPr>
            <w:tcW w:w="483" w:type="dxa"/>
            <w:noWrap/>
            <w:vAlign w:val="center"/>
            <w:hideMark/>
          </w:tcPr>
          <w:p w14:paraId="30B806F9" w14:textId="77777777" w:rsidR="0093463B" w:rsidRPr="00EF33AC" w:rsidRDefault="0093463B" w:rsidP="00906352">
            <w:pPr>
              <w:spacing w:before="100" w:beforeAutospacing="1" w:after="100" w:afterAutospacing="1" w:line="360" w:lineRule="auto"/>
              <w:jc w:val="center"/>
              <w:rPr>
                <w:rFonts w:eastAsia="Times New Roman"/>
                <w:b/>
                <w:bCs/>
                <w:lang w:val="en-IN" w:eastAsia="en-IN"/>
              </w:rPr>
            </w:pPr>
            <w:r w:rsidRPr="00EF33AC">
              <w:rPr>
                <w:rFonts w:eastAsia="Times New Roman"/>
                <w:b/>
                <w:bCs/>
                <w:lang w:eastAsia="en-IN"/>
              </w:rPr>
              <w:t>ID</w:t>
            </w:r>
          </w:p>
        </w:tc>
        <w:tc>
          <w:tcPr>
            <w:tcW w:w="2521" w:type="dxa"/>
            <w:noWrap/>
            <w:vAlign w:val="center"/>
            <w:hideMark/>
          </w:tcPr>
          <w:p w14:paraId="1EF04A10"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LULC Category/Year</w:t>
            </w:r>
          </w:p>
        </w:tc>
        <w:tc>
          <w:tcPr>
            <w:tcW w:w="1056" w:type="dxa"/>
            <w:vAlign w:val="center"/>
          </w:tcPr>
          <w:p w14:paraId="035605DB"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1990</w:t>
            </w:r>
          </w:p>
        </w:tc>
        <w:tc>
          <w:tcPr>
            <w:tcW w:w="1056" w:type="dxa"/>
            <w:noWrap/>
            <w:vAlign w:val="center"/>
          </w:tcPr>
          <w:p w14:paraId="162B6553"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2000</w:t>
            </w:r>
          </w:p>
        </w:tc>
        <w:tc>
          <w:tcPr>
            <w:tcW w:w="1125" w:type="dxa"/>
            <w:noWrap/>
            <w:vAlign w:val="center"/>
          </w:tcPr>
          <w:p w14:paraId="19DACE90"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2010</w:t>
            </w:r>
          </w:p>
        </w:tc>
        <w:tc>
          <w:tcPr>
            <w:tcW w:w="984" w:type="dxa"/>
            <w:noWrap/>
            <w:vAlign w:val="center"/>
          </w:tcPr>
          <w:p w14:paraId="7A3320A2"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2020</w:t>
            </w:r>
          </w:p>
        </w:tc>
        <w:tc>
          <w:tcPr>
            <w:tcW w:w="992" w:type="dxa"/>
            <w:noWrap/>
            <w:vAlign w:val="center"/>
          </w:tcPr>
          <w:p w14:paraId="1677DB25"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2023</w:t>
            </w:r>
          </w:p>
        </w:tc>
      </w:tr>
      <w:tr w:rsidR="0093463B" w:rsidRPr="00EF33AC" w14:paraId="687076EB" w14:textId="77777777" w:rsidTr="00906352">
        <w:trPr>
          <w:trHeight w:val="287"/>
          <w:jc w:val="center"/>
        </w:trPr>
        <w:tc>
          <w:tcPr>
            <w:tcW w:w="483" w:type="dxa"/>
            <w:noWrap/>
            <w:vAlign w:val="center"/>
            <w:hideMark/>
          </w:tcPr>
          <w:p w14:paraId="2B448841"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1</w:t>
            </w:r>
          </w:p>
        </w:tc>
        <w:tc>
          <w:tcPr>
            <w:tcW w:w="2521" w:type="dxa"/>
            <w:noWrap/>
            <w:vAlign w:val="center"/>
            <w:hideMark/>
          </w:tcPr>
          <w:p w14:paraId="7F2BDEA1"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Water Bodies</w:t>
            </w:r>
          </w:p>
        </w:tc>
        <w:tc>
          <w:tcPr>
            <w:tcW w:w="1056" w:type="dxa"/>
            <w:vAlign w:val="center"/>
          </w:tcPr>
          <w:p w14:paraId="5108CF75"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2269</w:t>
            </w:r>
          </w:p>
        </w:tc>
        <w:tc>
          <w:tcPr>
            <w:tcW w:w="1056" w:type="dxa"/>
            <w:noWrap/>
            <w:vAlign w:val="center"/>
          </w:tcPr>
          <w:p w14:paraId="5A0B96D7"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9119</w:t>
            </w:r>
          </w:p>
        </w:tc>
        <w:tc>
          <w:tcPr>
            <w:tcW w:w="1125" w:type="dxa"/>
            <w:noWrap/>
            <w:vAlign w:val="center"/>
          </w:tcPr>
          <w:p w14:paraId="09A6A00F"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5232</w:t>
            </w:r>
          </w:p>
        </w:tc>
        <w:tc>
          <w:tcPr>
            <w:tcW w:w="984" w:type="dxa"/>
            <w:noWrap/>
            <w:vAlign w:val="center"/>
          </w:tcPr>
          <w:p w14:paraId="58570CC8"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9034</w:t>
            </w:r>
          </w:p>
        </w:tc>
        <w:tc>
          <w:tcPr>
            <w:tcW w:w="992" w:type="dxa"/>
            <w:noWrap/>
            <w:vAlign w:val="center"/>
          </w:tcPr>
          <w:p w14:paraId="1E922A60"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17913</w:t>
            </w:r>
          </w:p>
        </w:tc>
      </w:tr>
      <w:tr w:rsidR="0093463B" w:rsidRPr="00EF33AC" w14:paraId="5BE2D2D1" w14:textId="77777777" w:rsidTr="00906352">
        <w:trPr>
          <w:trHeight w:val="287"/>
          <w:jc w:val="center"/>
        </w:trPr>
        <w:tc>
          <w:tcPr>
            <w:tcW w:w="483" w:type="dxa"/>
            <w:noWrap/>
            <w:vAlign w:val="center"/>
            <w:hideMark/>
          </w:tcPr>
          <w:p w14:paraId="3D8F119A"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w:t>
            </w:r>
          </w:p>
        </w:tc>
        <w:tc>
          <w:tcPr>
            <w:tcW w:w="2521" w:type="dxa"/>
            <w:noWrap/>
            <w:vAlign w:val="center"/>
            <w:hideMark/>
          </w:tcPr>
          <w:p w14:paraId="34A320EE" w14:textId="439FCA06"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Vegetation Cover</w:t>
            </w:r>
          </w:p>
        </w:tc>
        <w:tc>
          <w:tcPr>
            <w:tcW w:w="1056" w:type="dxa"/>
            <w:vAlign w:val="center"/>
          </w:tcPr>
          <w:p w14:paraId="71331815"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63977</w:t>
            </w:r>
          </w:p>
        </w:tc>
        <w:tc>
          <w:tcPr>
            <w:tcW w:w="1056" w:type="dxa"/>
            <w:noWrap/>
            <w:vAlign w:val="center"/>
          </w:tcPr>
          <w:p w14:paraId="502FE4B9"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121720</w:t>
            </w:r>
          </w:p>
        </w:tc>
        <w:tc>
          <w:tcPr>
            <w:tcW w:w="1125" w:type="dxa"/>
            <w:noWrap/>
            <w:vAlign w:val="center"/>
          </w:tcPr>
          <w:p w14:paraId="58667A3A"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95698</w:t>
            </w:r>
          </w:p>
        </w:tc>
        <w:tc>
          <w:tcPr>
            <w:tcW w:w="984" w:type="dxa"/>
            <w:noWrap/>
            <w:vAlign w:val="center"/>
          </w:tcPr>
          <w:p w14:paraId="6E6BE7EC"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49988</w:t>
            </w:r>
          </w:p>
        </w:tc>
        <w:tc>
          <w:tcPr>
            <w:tcW w:w="992" w:type="dxa"/>
            <w:noWrap/>
            <w:vAlign w:val="center"/>
          </w:tcPr>
          <w:p w14:paraId="3CAD354E"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79505</w:t>
            </w:r>
          </w:p>
        </w:tc>
      </w:tr>
      <w:tr w:rsidR="0093463B" w:rsidRPr="00EF33AC" w14:paraId="5DC3131A" w14:textId="77777777" w:rsidTr="00906352">
        <w:trPr>
          <w:trHeight w:val="287"/>
          <w:jc w:val="center"/>
        </w:trPr>
        <w:tc>
          <w:tcPr>
            <w:tcW w:w="483" w:type="dxa"/>
            <w:noWrap/>
            <w:vAlign w:val="center"/>
            <w:hideMark/>
          </w:tcPr>
          <w:p w14:paraId="27BE81D4"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3</w:t>
            </w:r>
          </w:p>
        </w:tc>
        <w:tc>
          <w:tcPr>
            <w:tcW w:w="2521" w:type="dxa"/>
            <w:noWrap/>
            <w:vAlign w:val="center"/>
            <w:hideMark/>
          </w:tcPr>
          <w:p w14:paraId="52877D0D"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Flooded Vegetation</w:t>
            </w:r>
          </w:p>
        </w:tc>
        <w:tc>
          <w:tcPr>
            <w:tcW w:w="1056" w:type="dxa"/>
            <w:vAlign w:val="center"/>
          </w:tcPr>
          <w:p w14:paraId="32D5502A"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290756</w:t>
            </w:r>
          </w:p>
        </w:tc>
        <w:tc>
          <w:tcPr>
            <w:tcW w:w="1056" w:type="dxa"/>
            <w:noWrap/>
            <w:vAlign w:val="center"/>
          </w:tcPr>
          <w:p w14:paraId="3C711913"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71969</w:t>
            </w:r>
          </w:p>
        </w:tc>
        <w:tc>
          <w:tcPr>
            <w:tcW w:w="1125" w:type="dxa"/>
            <w:noWrap/>
            <w:vAlign w:val="center"/>
          </w:tcPr>
          <w:p w14:paraId="59DBC21F"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4057</w:t>
            </w:r>
          </w:p>
        </w:tc>
        <w:tc>
          <w:tcPr>
            <w:tcW w:w="984" w:type="dxa"/>
            <w:noWrap/>
            <w:vAlign w:val="center"/>
          </w:tcPr>
          <w:p w14:paraId="5EB2FF65"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295</w:t>
            </w:r>
          </w:p>
        </w:tc>
        <w:tc>
          <w:tcPr>
            <w:tcW w:w="992" w:type="dxa"/>
            <w:noWrap/>
            <w:vAlign w:val="center"/>
          </w:tcPr>
          <w:p w14:paraId="13FCA142"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1423</w:t>
            </w:r>
          </w:p>
        </w:tc>
      </w:tr>
      <w:tr w:rsidR="0093463B" w:rsidRPr="00EF33AC" w14:paraId="70C85904" w14:textId="77777777" w:rsidTr="00906352">
        <w:trPr>
          <w:trHeight w:val="287"/>
          <w:jc w:val="center"/>
        </w:trPr>
        <w:tc>
          <w:tcPr>
            <w:tcW w:w="483" w:type="dxa"/>
            <w:noWrap/>
            <w:vAlign w:val="center"/>
            <w:hideMark/>
          </w:tcPr>
          <w:p w14:paraId="1FC0BA25"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4</w:t>
            </w:r>
          </w:p>
        </w:tc>
        <w:tc>
          <w:tcPr>
            <w:tcW w:w="2521" w:type="dxa"/>
            <w:noWrap/>
            <w:vAlign w:val="center"/>
            <w:hideMark/>
          </w:tcPr>
          <w:p w14:paraId="3FB1CDEC" w14:textId="23B2797F"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Crop Land</w:t>
            </w:r>
          </w:p>
        </w:tc>
        <w:tc>
          <w:tcPr>
            <w:tcW w:w="1056" w:type="dxa"/>
            <w:vAlign w:val="center"/>
          </w:tcPr>
          <w:p w14:paraId="23359E38"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53284</w:t>
            </w:r>
          </w:p>
        </w:tc>
        <w:tc>
          <w:tcPr>
            <w:tcW w:w="1056" w:type="dxa"/>
            <w:noWrap/>
            <w:vAlign w:val="center"/>
          </w:tcPr>
          <w:p w14:paraId="5B0388C2"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399351</w:t>
            </w:r>
          </w:p>
        </w:tc>
        <w:tc>
          <w:tcPr>
            <w:tcW w:w="1125" w:type="dxa"/>
            <w:noWrap/>
            <w:vAlign w:val="center"/>
          </w:tcPr>
          <w:p w14:paraId="31A26015"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88600</w:t>
            </w:r>
          </w:p>
        </w:tc>
        <w:tc>
          <w:tcPr>
            <w:tcW w:w="984" w:type="dxa"/>
            <w:noWrap/>
            <w:vAlign w:val="center"/>
          </w:tcPr>
          <w:p w14:paraId="3D4CC4CB"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322700</w:t>
            </w:r>
          </w:p>
        </w:tc>
        <w:tc>
          <w:tcPr>
            <w:tcW w:w="992" w:type="dxa"/>
            <w:noWrap/>
            <w:vAlign w:val="center"/>
          </w:tcPr>
          <w:p w14:paraId="45267E4E"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337640</w:t>
            </w:r>
          </w:p>
        </w:tc>
      </w:tr>
      <w:tr w:rsidR="0093463B" w:rsidRPr="00EF33AC" w14:paraId="6D2214DE" w14:textId="77777777" w:rsidTr="00906352">
        <w:trPr>
          <w:trHeight w:val="287"/>
          <w:jc w:val="center"/>
        </w:trPr>
        <w:tc>
          <w:tcPr>
            <w:tcW w:w="483" w:type="dxa"/>
            <w:noWrap/>
            <w:vAlign w:val="center"/>
            <w:hideMark/>
          </w:tcPr>
          <w:p w14:paraId="510BD0C2"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5</w:t>
            </w:r>
          </w:p>
        </w:tc>
        <w:tc>
          <w:tcPr>
            <w:tcW w:w="2521" w:type="dxa"/>
            <w:noWrap/>
            <w:vAlign w:val="center"/>
            <w:hideMark/>
          </w:tcPr>
          <w:p w14:paraId="4D54884E" w14:textId="10EBCF7C"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Built-up Area</w:t>
            </w:r>
          </w:p>
        </w:tc>
        <w:tc>
          <w:tcPr>
            <w:tcW w:w="1056" w:type="dxa"/>
            <w:vAlign w:val="center"/>
          </w:tcPr>
          <w:p w14:paraId="3EFDEC68"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28009</w:t>
            </w:r>
          </w:p>
        </w:tc>
        <w:tc>
          <w:tcPr>
            <w:tcW w:w="1056" w:type="dxa"/>
            <w:noWrap/>
            <w:vAlign w:val="center"/>
          </w:tcPr>
          <w:p w14:paraId="2E6323FB"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65868</w:t>
            </w:r>
          </w:p>
        </w:tc>
        <w:tc>
          <w:tcPr>
            <w:tcW w:w="1125" w:type="dxa"/>
            <w:noWrap/>
            <w:vAlign w:val="center"/>
          </w:tcPr>
          <w:p w14:paraId="2C6811A0"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87424</w:t>
            </w:r>
          </w:p>
        </w:tc>
        <w:tc>
          <w:tcPr>
            <w:tcW w:w="984" w:type="dxa"/>
            <w:noWrap/>
            <w:vAlign w:val="center"/>
          </w:tcPr>
          <w:p w14:paraId="2F78FEDE"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177277</w:t>
            </w:r>
          </w:p>
        </w:tc>
        <w:tc>
          <w:tcPr>
            <w:tcW w:w="992" w:type="dxa"/>
            <w:noWrap/>
            <w:vAlign w:val="center"/>
          </w:tcPr>
          <w:p w14:paraId="4FD65906"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202521</w:t>
            </w:r>
          </w:p>
        </w:tc>
      </w:tr>
      <w:tr w:rsidR="0093463B" w:rsidRPr="00EF33AC" w14:paraId="0B3C48EC" w14:textId="77777777" w:rsidTr="00906352">
        <w:trPr>
          <w:trHeight w:val="287"/>
          <w:jc w:val="center"/>
        </w:trPr>
        <w:tc>
          <w:tcPr>
            <w:tcW w:w="483" w:type="dxa"/>
            <w:noWrap/>
            <w:vAlign w:val="center"/>
            <w:hideMark/>
          </w:tcPr>
          <w:p w14:paraId="4F8772BF"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6</w:t>
            </w:r>
          </w:p>
        </w:tc>
        <w:tc>
          <w:tcPr>
            <w:tcW w:w="2521" w:type="dxa"/>
            <w:noWrap/>
            <w:vAlign w:val="center"/>
            <w:hideMark/>
          </w:tcPr>
          <w:p w14:paraId="1A49EB05" w14:textId="06B12D2E" w:rsidR="0093463B" w:rsidRPr="00EF33AC" w:rsidRDefault="00553904"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Barren Land</w:t>
            </w:r>
          </w:p>
        </w:tc>
        <w:tc>
          <w:tcPr>
            <w:tcW w:w="1056" w:type="dxa"/>
            <w:vAlign w:val="center"/>
          </w:tcPr>
          <w:p w14:paraId="20C9EC4B"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212109</w:t>
            </w:r>
          </w:p>
        </w:tc>
        <w:tc>
          <w:tcPr>
            <w:tcW w:w="1056" w:type="dxa"/>
            <w:noWrap/>
            <w:vAlign w:val="center"/>
          </w:tcPr>
          <w:p w14:paraId="7D7ACC0A"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27951</w:t>
            </w:r>
          </w:p>
        </w:tc>
        <w:tc>
          <w:tcPr>
            <w:tcW w:w="1125" w:type="dxa"/>
            <w:noWrap/>
            <w:vAlign w:val="center"/>
          </w:tcPr>
          <w:p w14:paraId="6AF290D2"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211566</w:t>
            </w:r>
          </w:p>
        </w:tc>
        <w:tc>
          <w:tcPr>
            <w:tcW w:w="984" w:type="dxa"/>
            <w:noWrap/>
            <w:vAlign w:val="center"/>
          </w:tcPr>
          <w:p w14:paraId="76AAA56C"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719</w:t>
            </w:r>
          </w:p>
        </w:tc>
        <w:tc>
          <w:tcPr>
            <w:tcW w:w="992" w:type="dxa"/>
            <w:noWrap/>
            <w:vAlign w:val="center"/>
          </w:tcPr>
          <w:p w14:paraId="0B99180C"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488</w:t>
            </w:r>
          </w:p>
        </w:tc>
      </w:tr>
      <w:tr w:rsidR="0093463B" w:rsidRPr="00EF33AC" w14:paraId="54291BEA" w14:textId="77777777" w:rsidTr="00906352">
        <w:trPr>
          <w:trHeight w:val="298"/>
          <w:jc w:val="center"/>
        </w:trPr>
        <w:tc>
          <w:tcPr>
            <w:tcW w:w="483" w:type="dxa"/>
            <w:noWrap/>
            <w:vAlign w:val="center"/>
            <w:hideMark/>
          </w:tcPr>
          <w:p w14:paraId="22C640EE"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7</w:t>
            </w:r>
          </w:p>
        </w:tc>
        <w:tc>
          <w:tcPr>
            <w:tcW w:w="2521" w:type="dxa"/>
            <w:noWrap/>
            <w:vAlign w:val="center"/>
            <w:hideMark/>
          </w:tcPr>
          <w:p w14:paraId="2AB5B0F8"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Range Land</w:t>
            </w:r>
          </w:p>
        </w:tc>
        <w:tc>
          <w:tcPr>
            <w:tcW w:w="1056" w:type="dxa"/>
            <w:vAlign w:val="center"/>
          </w:tcPr>
          <w:p w14:paraId="1752F103"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151118</w:t>
            </w:r>
          </w:p>
        </w:tc>
        <w:tc>
          <w:tcPr>
            <w:tcW w:w="1056" w:type="dxa"/>
            <w:noWrap/>
            <w:vAlign w:val="center"/>
          </w:tcPr>
          <w:p w14:paraId="63F4CE8A"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105544</w:t>
            </w:r>
          </w:p>
        </w:tc>
        <w:tc>
          <w:tcPr>
            <w:tcW w:w="1125" w:type="dxa"/>
            <w:noWrap/>
            <w:vAlign w:val="center"/>
          </w:tcPr>
          <w:p w14:paraId="41A464CA"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308947</w:t>
            </w:r>
          </w:p>
        </w:tc>
        <w:tc>
          <w:tcPr>
            <w:tcW w:w="984" w:type="dxa"/>
            <w:noWrap/>
            <w:vAlign w:val="center"/>
          </w:tcPr>
          <w:p w14:paraId="5ABB7F5C"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241510</w:t>
            </w:r>
          </w:p>
        </w:tc>
        <w:tc>
          <w:tcPr>
            <w:tcW w:w="992" w:type="dxa"/>
            <w:noWrap/>
            <w:vAlign w:val="center"/>
          </w:tcPr>
          <w:p w14:paraId="6611CE6D" w14:textId="77777777" w:rsidR="0093463B" w:rsidRPr="00EF33AC" w:rsidRDefault="0093463B" w:rsidP="00906352">
            <w:pPr>
              <w:spacing w:before="100" w:beforeAutospacing="1" w:after="100" w:afterAutospacing="1" w:line="360" w:lineRule="auto"/>
              <w:jc w:val="center"/>
              <w:rPr>
                <w:rFonts w:eastAsia="Times New Roman"/>
                <w:bCs/>
                <w:lang w:eastAsia="en-IN"/>
              </w:rPr>
            </w:pPr>
            <w:r w:rsidRPr="00EF33AC">
              <w:rPr>
                <w:rFonts w:eastAsia="Times New Roman"/>
                <w:bCs/>
                <w:lang w:eastAsia="en-IN"/>
              </w:rPr>
              <w:t>162033</w:t>
            </w:r>
          </w:p>
        </w:tc>
      </w:tr>
      <w:tr w:rsidR="0093463B" w:rsidRPr="00EF33AC" w14:paraId="7AF2C76C" w14:textId="77777777" w:rsidTr="00906352">
        <w:trPr>
          <w:trHeight w:val="298"/>
          <w:jc w:val="center"/>
        </w:trPr>
        <w:tc>
          <w:tcPr>
            <w:tcW w:w="483" w:type="dxa"/>
            <w:noWrap/>
            <w:vAlign w:val="center"/>
            <w:hideMark/>
          </w:tcPr>
          <w:p w14:paraId="4820C490" w14:textId="77777777" w:rsidR="0093463B" w:rsidRPr="00EF33AC" w:rsidRDefault="0093463B" w:rsidP="00906352">
            <w:pPr>
              <w:spacing w:before="100" w:beforeAutospacing="1" w:after="100" w:afterAutospacing="1" w:line="360" w:lineRule="auto"/>
              <w:jc w:val="center"/>
              <w:rPr>
                <w:rFonts w:eastAsia="Times New Roman"/>
                <w:bCs/>
                <w:lang w:eastAsia="en-IN"/>
              </w:rPr>
            </w:pPr>
          </w:p>
        </w:tc>
        <w:tc>
          <w:tcPr>
            <w:tcW w:w="2521" w:type="dxa"/>
            <w:noWrap/>
            <w:vAlign w:val="center"/>
            <w:hideMark/>
          </w:tcPr>
          <w:p w14:paraId="2C219903"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Total Area in Ha</w:t>
            </w:r>
          </w:p>
        </w:tc>
        <w:tc>
          <w:tcPr>
            <w:tcW w:w="1056" w:type="dxa"/>
            <w:vAlign w:val="center"/>
          </w:tcPr>
          <w:p w14:paraId="1FF7D39F"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801522</w:t>
            </w:r>
          </w:p>
        </w:tc>
        <w:tc>
          <w:tcPr>
            <w:tcW w:w="1056" w:type="dxa"/>
            <w:noWrap/>
            <w:vAlign w:val="center"/>
          </w:tcPr>
          <w:p w14:paraId="017E31D7"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801522</w:t>
            </w:r>
          </w:p>
        </w:tc>
        <w:tc>
          <w:tcPr>
            <w:tcW w:w="1125" w:type="dxa"/>
            <w:noWrap/>
            <w:vAlign w:val="center"/>
          </w:tcPr>
          <w:p w14:paraId="614AA59F"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801522</w:t>
            </w:r>
          </w:p>
        </w:tc>
        <w:tc>
          <w:tcPr>
            <w:tcW w:w="984" w:type="dxa"/>
            <w:noWrap/>
            <w:vAlign w:val="center"/>
          </w:tcPr>
          <w:p w14:paraId="07C0BE86"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801522</w:t>
            </w:r>
          </w:p>
        </w:tc>
        <w:tc>
          <w:tcPr>
            <w:tcW w:w="992" w:type="dxa"/>
            <w:noWrap/>
            <w:vAlign w:val="center"/>
          </w:tcPr>
          <w:p w14:paraId="0859DFFE" w14:textId="77777777" w:rsidR="0093463B" w:rsidRPr="00EF33AC" w:rsidRDefault="0093463B" w:rsidP="00906352">
            <w:pPr>
              <w:spacing w:before="100" w:beforeAutospacing="1" w:after="100" w:afterAutospacing="1" w:line="360" w:lineRule="auto"/>
              <w:jc w:val="center"/>
              <w:rPr>
                <w:rFonts w:eastAsia="Times New Roman"/>
                <w:b/>
                <w:bCs/>
                <w:lang w:eastAsia="en-IN"/>
              </w:rPr>
            </w:pPr>
            <w:r w:rsidRPr="00EF33AC">
              <w:rPr>
                <w:rFonts w:eastAsia="Times New Roman"/>
                <w:b/>
                <w:bCs/>
                <w:lang w:eastAsia="en-IN"/>
              </w:rPr>
              <w:t>801522</w:t>
            </w:r>
          </w:p>
        </w:tc>
      </w:tr>
      <w:tr w:rsidR="0093463B" w:rsidRPr="00EF33AC" w14:paraId="04E812B8" w14:textId="77777777" w:rsidTr="00906352">
        <w:trPr>
          <w:trHeight w:val="298"/>
          <w:jc w:val="center"/>
        </w:trPr>
        <w:tc>
          <w:tcPr>
            <w:tcW w:w="8217" w:type="dxa"/>
            <w:gridSpan w:val="7"/>
            <w:noWrap/>
            <w:vAlign w:val="center"/>
          </w:tcPr>
          <w:p w14:paraId="4ED96442" w14:textId="77777777" w:rsidR="0093463B" w:rsidRPr="00EF33AC" w:rsidRDefault="0093463B" w:rsidP="00906352">
            <w:pPr>
              <w:jc w:val="center"/>
              <w:rPr>
                <w:rFonts w:eastAsia="Times New Roman"/>
                <w:b/>
                <w:bCs/>
                <w:lang w:eastAsia="en-IN"/>
              </w:rPr>
            </w:pPr>
            <w:r w:rsidRPr="00EF33AC">
              <w:rPr>
                <w:rFonts w:eastAsia="Times New Roman"/>
                <w:b/>
                <w:bCs/>
                <w:sz w:val="22"/>
                <w:lang w:eastAsia="en-IN"/>
              </w:rPr>
              <w:t>Note: All Values Represented in Hectares (Ha) (Source: Author using GIS Data)</w:t>
            </w:r>
          </w:p>
        </w:tc>
      </w:tr>
    </w:tbl>
    <w:p w14:paraId="5622CF0B" w14:textId="77777777" w:rsidR="0093463B" w:rsidRPr="00EF33AC" w:rsidRDefault="0093463B" w:rsidP="0093463B">
      <w:pPr>
        <w:spacing w:after="120" w:line="276" w:lineRule="auto"/>
        <w:rPr>
          <w:bCs/>
          <w:lang w:val="en-IN" w:eastAsia="en-IN"/>
        </w:rPr>
      </w:pPr>
    </w:p>
    <w:p w14:paraId="6D7D97A0" w14:textId="77777777" w:rsidR="004F6AF0" w:rsidRPr="00EF33AC" w:rsidRDefault="004F6AF0" w:rsidP="0094028F">
      <w:pPr>
        <w:spacing w:after="120" w:line="276" w:lineRule="auto"/>
        <w:jc w:val="both"/>
        <w:rPr>
          <w:rFonts w:eastAsia="Times New Roman"/>
          <w:b/>
          <w:bCs/>
          <w:lang w:val="en-IN" w:eastAsia="en-IN"/>
        </w:rPr>
      </w:pPr>
    </w:p>
    <w:p w14:paraId="062EBAE2" w14:textId="77777777" w:rsidR="004F6AF0" w:rsidRPr="00EF33AC" w:rsidRDefault="004F6AF0" w:rsidP="0094028F">
      <w:pPr>
        <w:spacing w:after="120" w:line="276" w:lineRule="auto"/>
        <w:jc w:val="both"/>
        <w:rPr>
          <w:rFonts w:eastAsia="Times New Roman"/>
          <w:b/>
          <w:bCs/>
          <w:lang w:val="en-IN" w:eastAsia="en-IN"/>
        </w:rPr>
      </w:pPr>
    </w:p>
    <w:p w14:paraId="49C42DEB" w14:textId="77777777" w:rsidR="004F6AF0" w:rsidRPr="00EF33AC" w:rsidRDefault="004F6AF0" w:rsidP="0094028F">
      <w:pPr>
        <w:spacing w:after="120" w:line="276" w:lineRule="auto"/>
        <w:jc w:val="both"/>
        <w:rPr>
          <w:rFonts w:eastAsia="Times New Roman"/>
          <w:b/>
          <w:bCs/>
          <w:lang w:val="en-IN" w:eastAsia="en-IN"/>
        </w:rPr>
      </w:pPr>
    </w:p>
    <w:p w14:paraId="06226498" w14:textId="77777777" w:rsidR="004F6AF0" w:rsidRPr="00EF33AC" w:rsidRDefault="004F6AF0" w:rsidP="0094028F">
      <w:pPr>
        <w:spacing w:after="120" w:line="276" w:lineRule="auto"/>
        <w:jc w:val="both"/>
        <w:rPr>
          <w:rFonts w:eastAsia="Times New Roman"/>
          <w:b/>
          <w:bCs/>
          <w:lang w:val="en-IN" w:eastAsia="en-IN"/>
        </w:rPr>
      </w:pPr>
    </w:p>
    <w:p w14:paraId="7079D4FC" w14:textId="77777777" w:rsidR="004F6AF0" w:rsidRPr="00EF33AC" w:rsidRDefault="004F6AF0" w:rsidP="0094028F">
      <w:pPr>
        <w:spacing w:after="120" w:line="276" w:lineRule="auto"/>
        <w:jc w:val="both"/>
        <w:rPr>
          <w:rFonts w:eastAsia="Times New Roman"/>
          <w:b/>
          <w:bCs/>
          <w:lang w:val="en-IN" w:eastAsia="en-IN"/>
        </w:rPr>
      </w:pPr>
    </w:p>
    <w:p w14:paraId="0AAF6750" w14:textId="6999D053" w:rsidR="00B0313B" w:rsidRPr="00EF33AC" w:rsidRDefault="007A4D0A" w:rsidP="0094028F">
      <w:pPr>
        <w:spacing w:after="120" w:line="276" w:lineRule="auto"/>
        <w:jc w:val="both"/>
        <w:rPr>
          <w:rFonts w:eastAsia="Times New Roman"/>
          <w:b/>
          <w:bCs/>
          <w:lang w:val="en-IN" w:eastAsia="en-IN"/>
        </w:rPr>
      </w:pPr>
      <w:r w:rsidRPr="00EF33AC">
        <w:rPr>
          <w:rFonts w:eastAsia="Times New Roman"/>
          <w:b/>
          <w:bCs/>
          <w:lang w:val="en-IN" w:eastAsia="en-IN"/>
        </w:rPr>
        <w:t>5.2</w:t>
      </w:r>
      <w:r w:rsidR="004A254E" w:rsidRPr="00EF33AC">
        <w:rPr>
          <w:rFonts w:eastAsia="Times New Roman"/>
          <w:b/>
          <w:bCs/>
          <w:lang w:val="en-IN" w:eastAsia="en-IN"/>
        </w:rPr>
        <w:t xml:space="preserve"> </w:t>
      </w:r>
      <w:r w:rsidR="00D91768" w:rsidRPr="00EF33AC">
        <w:rPr>
          <w:rFonts w:eastAsia="Times New Roman"/>
          <w:b/>
          <w:bCs/>
          <w:lang w:val="en-IN" w:eastAsia="en-IN"/>
        </w:rPr>
        <w:t xml:space="preserve">Comparative Analysis of LULC </w:t>
      </w:r>
      <w:r w:rsidR="004A254E" w:rsidRPr="00EF33AC">
        <w:rPr>
          <w:rFonts w:eastAsia="Times New Roman"/>
          <w:b/>
          <w:bCs/>
          <w:lang w:val="en-IN" w:eastAsia="en-IN"/>
        </w:rPr>
        <w:t>from 1990 to 2000</w:t>
      </w:r>
      <w:r w:rsidR="00B0313B" w:rsidRPr="00EF33AC">
        <w:rPr>
          <w:rFonts w:eastAsia="Times New Roman"/>
          <w:b/>
          <w:bCs/>
          <w:lang w:val="en-IN" w:eastAsia="en-IN"/>
        </w:rPr>
        <w:t>: Early Urban Expansion and Agricultural Intensification</w:t>
      </w:r>
    </w:p>
    <w:p w14:paraId="1FDC2EBF" w14:textId="77777777" w:rsidR="0094028F" w:rsidRPr="00EF33AC" w:rsidRDefault="00BB29EC" w:rsidP="0094028F">
      <w:pPr>
        <w:spacing w:after="120" w:line="276" w:lineRule="auto"/>
        <w:ind w:firstLine="288"/>
        <w:jc w:val="both"/>
        <w:rPr>
          <w:rFonts w:eastAsia="Times New Roman"/>
          <w:bCs/>
          <w:lang w:val="en-IN" w:eastAsia="en-IN"/>
        </w:rPr>
      </w:pPr>
      <w:r w:rsidRPr="00EF33AC">
        <w:rPr>
          <w:rFonts w:eastAsia="Times New Roman"/>
          <w:bCs/>
          <w:lang w:val="en-IN" w:eastAsia="en-IN"/>
        </w:rPr>
        <w:t xml:space="preserve">The 1990-2000 period, illustrated in Figure 2, marks the early phase of urban expansion, particularly in Bengaluru Urban and its surrounding periphery. The built-up area increased significantly from 28,009 Ha in 1990 to 65,868 Ha in 2000, expanding outward from the core city along major corridors leading to Whitefield, Electronic City, and Yelahanka. This early urbanization was concentrated along major roads, indicating a shift towards peri-urban development. </w:t>
      </w:r>
    </w:p>
    <w:p w14:paraId="2CA57A5B" w14:textId="5CFA2A94" w:rsidR="0094028F" w:rsidRPr="00EF33AC" w:rsidRDefault="00BB29EC" w:rsidP="0094028F">
      <w:pPr>
        <w:spacing w:after="120" w:line="276" w:lineRule="auto"/>
        <w:ind w:firstLine="288"/>
        <w:jc w:val="both"/>
        <w:rPr>
          <w:rFonts w:eastAsia="Times New Roman"/>
          <w:bCs/>
          <w:lang w:val="en-IN" w:eastAsia="en-IN"/>
        </w:rPr>
      </w:pPr>
      <w:r w:rsidRPr="00EF33AC">
        <w:rPr>
          <w:rFonts w:eastAsia="Times New Roman"/>
          <w:bCs/>
          <w:lang w:val="en-IN" w:eastAsia="en-IN"/>
        </w:rPr>
        <w:t xml:space="preserve">Simultaneously, the vegetation cover nearly doubled from 63,977 Ha to 121,720 Ha, indicating possible afforestation efforts or classification improvements. However, this increase was accompanied by a sharp decline in flooded vegetation, which dropped drastically from 290,756 Ha in 1990 to 71,969 Ha in 2000. This loss corresponds with the ongoing encroachment on wetlands, especially in the northern and southern parts of BMR, leading to the gradual degradation of Bengaluru’s natural hydrological systems. </w:t>
      </w:r>
    </w:p>
    <w:p w14:paraId="51D991DE" w14:textId="5065269B" w:rsidR="008B630A" w:rsidRPr="00EF33AC" w:rsidRDefault="00BB29EC" w:rsidP="0094028F">
      <w:pPr>
        <w:spacing w:after="120" w:line="276" w:lineRule="auto"/>
        <w:ind w:firstLine="288"/>
        <w:jc w:val="both"/>
        <w:rPr>
          <w:rFonts w:eastAsia="Times New Roman"/>
          <w:bCs/>
          <w:lang w:val="en-IN" w:eastAsia="en-IN"/>
        </w:rPr>
      </w:pPr>
      <w:r w:rsidRPr="00EF33AC">
        <w:rPr>
          <w:rFonts w:eastAsia="Times New Roman"/>
          <w:bCs/>
          <w:lang w:val="en-IN" w:eastAsia="en-IN"/>
        </w:rPr>
        <w:t xml:space="preserve">Agricultural land underwent a substantial shift, as cropland expanded from 53,284 Ha to 399,351 Ha, reflecting intensive agricultural practices. This expansion was more pronounced in the northern and southwestern parts of BMR. Meanwhile, </w:t>
      </w:r>
      <w:r w:rsidR="008836EF" w:rsidRPr="00EF33AC">
        <w:rPr>
          <w:rFonts w:eastAsia="Times New Roman"/>
          <w:bCs/>
          <w:lang w:val="en-IN" w:eastAsia="en-IN"/>
        </w:rPr>
        <w:t>Barren land</w:t>
      </w:r>
      <w:r w:rsidRPr="00EF33AC">
        <w:rPr>
          <w:rFonts w:eastAsia="Times New Roman"/>
          <w:bCs/>
          <w:lang w:val="en-IN" w:eastAsia="en-IN"/>
        </w:rPr>
        <w:t xml:space="preserve"> decreased sharply from 212,109 Ha in 1990 to 27,951 Ha in 2000, indicating increasing land utilization for either agriculture or construction purposes. Rangeland declined from 151,118 Ha to 105,544 Ha, signifying early-stage land conversion. Water bodies showed a slight increase from 2,269 Ha to 9,119 Ha, which could be linked to water retention or rejuvenation projects in certain parts of the region. </w:t>
      </w:r>
    </w:p>
    <w:p w14:paraId="50440ECC" w14:textId="6856940F" w:rsidR="00BB29EC" w:rsidRPr="00EF33AC" w:rsidRDefault="00BB29EC" w:rsidP="0094028F">
      <w:pPr>
        <w:spacing w:after="120" w:line="276" w:lineRule="auto"/>
        <w:ind w:firstLine="288"/>
        <w:jc w:val="both"/>
        <w:rPr>
          <w:rFonts w:eastAsia="Times New Roman"/>
          <w:bCs/>
          <w:lang w:val="en-IN" w:eastAsia="en-IN"/>
        </w:rPr>
      </w:pPr>
      <w:r w:rsidRPr="00EF33AC">
        <w:rPr>
          <w:rFonts w:eastAsia="Times New Roman"/>
          <w:bCs/>
          <w:lang w:val="en-IN" w:eastAsia="en-IN"/>
        </w:rPr>
        <w:t>Overall, the 1990-2000 period marks a phase where the built-up area grew rapidly, agricultural land expanded, and wetlands were significantly reduced, as illustrated in Figure 2.</w:t>
      </w:r>
    </w:p>
    <w:p w14:paraId="359D4CDF" w14:textId="77777777" w:rsidR="008256BE" w:rsidRPr="00EF33AC" w:rsidRDefault="008256BE" w:rsidP="004E4DD5">
      <w:pPr>
        <w:spacing w:line="276" w:lineRule="auto"/>
        <w:jc w:val="center"/>
        <w:rPr>
          <w:rFonts w:eastAsia="Times New Roman"/>
          <w:b/>
          <w:bCs/>
          <w:lang w:val="en-IN" w:eastAsia="en-IN"/>
        </w:rPr>
      </w:pPr>
    </w:p>
    <w:p w14:paraId="6E9ADB01" w14:textId="77777777" w:rsidR="008256BE" w:rsidRPr="00EF33AC" w:rsidRDefault="008256BE" w:rsidP="004E4DD5">
      <w:pPr>
        <w:spacing w:line="276" w:lineRule="auto"/>
        <w:jc w:val="center"/>
        <w:rPr>
          <w:rFonts w:eastAsia="Times New Roman"/>
          <w:b/>
          <w:bCs/>
          <w:lang w:val="en-IN" w:eastAsia="en-IN"/>
        </w:rPr>
      </w:pPr>
    </w:p>
    <w:p w14:paraId="45D0A6F4" w14:textId="77777777" w:rsidR="008256BE" w:rsidRPr="00EF33AC" w:rsidRDefault="008256BE" w:rsidP="004E4DD5">
      <w:pPr>
        <w:spacing w:line="276" w:lineRule="auto"/>
        <w:jc w:val="center"/>
        <w:rPr>
          <w:rFonts w:eastAsia="Times New Roman"/>
          <w:b/>
          <w:bCs/>
          <w:lang w:val="en-IN" w:eastAsia="en-IN"/>
        </w:rPr>
      </w:pPr>
    </w:p>
    <w:p w14:paraId="70A1C690" w14:textId="77777777" w:rsidR="008256BE" w:rsidRPr="00EF33AC" w:rsidRDefault="008256BE" w:rsidP="004E4DD5">
      <w:pPr>
        <w:spacing w:line="276" w:lineRule="auto"/>
        <w:jc w:val="center"/>
        <w:rPr>
          <w:rFonts w:eastAsia="Times New Roman"/>
          <w:b/>
          <w:bCs/>
          <w:lang w:val="en-IN" w:eastAsia="en-IN"/>
        </w:rPr>
      </w:pPr>
    </w:p>
    <w:p w14:paraId="094B800C" w14:textId="77777777" w:rsidR="008256BE" w:rsidRPr="00EF33AC" w:rsidRDefault="008256BE" w:rsidP="004E4DD5">
      <w:pPr>
        <w:spacing w:line="276" w:lineRule="auto"/>
        <w:jc w:val="center"/>
        <w:rPr>
          <w:rFonts w:eastAsia="Times New Roman"/>
          <w:b/>
          <w:bCs/>
          <w:lang w:val="en-IN" w:eastAsia="en-IN"/>
        </w:rPr>
      </w:pPr>
    </w:p>
    <w:p w14:paraId="307BF80B" w14:textId="77777777" w:rsidR="008256BE" w:rsidRPr="00EF33AC" w:rsidRDefault="008256BE" w:rsidP="004E4DD5">
      <w:pPr>
        <w:spacing w:line="276" w:lineRule="auto"/>
        <w:jc w:val="center"/>
        <w:rPr>
          <w:rFonts w:eastAsia="Times New Roman"/>
          <w:b/>
          <w:bCs/>
          <w:lang w:val="en-IN" w:eastAsia="en-IN"/>
        </w:rPr>
      </w:pPr>
    </w:p>
    <w:p w14:paraId="1EE793DE" w14:textId="77777777" w:rsidR="008256BE" w:rsidRPr="00EF33AC" w:rsidRDefault="008256BE" w:rsidP="004E4DD5">
      <w:pPr>
        <w:spacing w:line="276" w:lineRule="auto"/>
        <w:jc w:val="center"/>
        <w:rPr>
          <w:rFonts w:eastAsia="Times New Roman"/>
          <w:b/>
          <w:bCs/>
          <w:lang w:val="en-IN" w:eastAsia="en-IN"/>
        </w:rPr>
      </w:pPr>
    </w:p>
    <w:p w14:paraId="35206545" w14:textId="77777777" w:rsidR="008256BE" w:rsidRPr="00EF33AC" w:rsidRDefault="008256BE" w:rsidP="004E4DD5">
      <w:pPr>
        <w:spacing w:line="276" w:lineRule="auto"/>
        <w:jc w:val="center"/>
        <w:rPr>
          <w:rFonts w:eastAsia="Times New Roman"/>
          <w:b/>
          <w:bCs/>
          <w:lang w:val="en-IN" w:eastAsia="en-IN"/>
        </w:rPr>
      </w:pPr>
    </w:p>
    <w:p w14:paraId="36D9D5B1" w14:textId="77777777" w:rsidR="008256BE" w:rsidRPr="00EF33AC" w:rsidRDefault="008256BE" w:rsidP="004E4DD5">
      <w:pPr>
        <w:spacing w:line="276" w:lineRule="auto"/>
        <w:jc w:val="center"/>
        <w:rPr>
          <w:rFonts w:eastAsia="Times New Roman"/>
          <w:b/>
          <w:bCs/>
          <w:lang w:val="en-IN" w:eastAsia="en-IN"/>
        </w:rPr>
      </w:pPr>
    </w:p>
    <w:p w14:paraId="5DE7C808" w14:textId="77777777" w:rsidR="008256BE" w:rsidRPr="00EF33AC" w:rsidRDefault="008256BE" w:rsidP="004E4DD5">
      <w:pPr>
        <w:spacing w:line="276" w:lineRule="auto"/>
        <w:jc w:val="center"/>
        <w:rPr>
          <w:rFonts w:eastAsia="Times New Roman"/>
          <w:b/>
          <w:bCs/>
          <w:lang w:val="en-IN" w:eastAsia="en-IN"/>
        </w:rPr>
      </w:pPr>
    </w:p>
    <w:p w14:paraId="1FF1C7DB" w14:textId="77777777" w:rsidR="008256BE" w:rsidRPr="00EF33AC" w:rsidRDefault="008256BE" w:rsidP="004E4DD5">
      <w:pPr>
        <w:spacing w:line="276" w:lineRule="auto"/>
        <w:jc w:val="center"/>
        <w:rPr>
          <w:rFonts w:eastAsia="Times New Roman"/>
          <w:b/>
          <w:bCs/>
          <w:lang w:val="en-IN" w:eastAsia="en-IN"/>
        </w:rPr>
      </w:pPr>
    </w:p>
    <w:p w14:paraId="198CD415" w14:textId="77777777" w:rsidR="008256BE" w:rsidRPr="00EF33AC" w:rsidRDefault="008256BE" w:rsidP="004E4DD5">
      <w:pPr>
        <w:spacing w:line="276" w:lineRule="auto"/>
        <w:jc w:val="center"/>
        <w:rPr>
          <w:rFonts w:eastAsia="Times New Roman"/>
          <w:b/>
          <w:bCs/>
          <w:lang w:val="en-IN" w:eastAsia="en-IN"/>
        </w:rPr>
      </w:pPr>
    </w:p>
    <w:p w14:paraId="4AB0F3F5" w14:textId="77777777" w:rsidR="008256BE" w:rsidRPr="00EF33AC" w:rsidRDefault="008256BE" w:rsidP="004E4DD5">
      <w:pPr>
        <w:spacing w:line="276" w:lineRule="auto"/>
        <w:jc w:val="center"/>
        <w:rPr>
          <w:rFonts w:eastAsia="Times New Roman"/>
          <w:b/>
          <w:bCs/>
          <w:lang w:val="en-IN" w:eastAsia="en-IN"/>
        </w:rPr>
      </w:pPr>
    </w:p>
    <w:p w14:paraId="018BDF0A" w14:textId="77777777" w:rsidR="008256BE" w:rsidRPr="00EF33AC" w:rsidRDefault="008256BE" w:rsidP="004E4DD5">
      <w:pPr>
        <w:spacing w:line="276" w:lineRule="auto"/>
        <w:jc w:val="center"/>
        <w:rPr>
          <w:rFonts w:eastAsia="Times New Roman"/>
          <w:b/>
          <w:bCs/>
          <w:lang w:val="en-IN" w:eastAsia="en-IN"/>
        </w:rPr>
      </w:pPr>
    </w:p>
    <w:p w14:paraId="6DF83EB9" w14:textId="77777777" w:rsidR="008256BE" w:rsidRPr="00EF33AC" w:rsidRDefault="008256BE" w:rsidP="004E4DD5">
      <w:pPr>
        <w:spacing w:line="276" w:lineRule="auto"/>
        <w:jc w:val="center"/>
        <w:rPr>
          <w:rFonts w:eastAsia="Times New Roman"/>
          <w:b/>
          <w:bCs/>
          <w:lang w:val="en-IN" w:eastAsia="en-IN"/>
        </w:rPr>
      </w:pPr>
    </w:p>
    <w:p w14:paraId="678B32F8" w14:textId="77777777" w:rsidR="008256BE" w:rsidRPr="00EF33AC" w:rsidRDefault="008256BE" w:rsidP="004E4DD5">
      <w:pPr>
        <w:spacing w:line="276" w:lineRule="auto"/>
        <w:jc w:val="center"/>
        <w:rPr>
          <w:rFonts w:eastAsia="Times New Roman"/>
          <w:b/>
          <w:bCs/>
          <w:lang w:val="en-IN" w:eastAsia="en-IN"/>
        </w:rPr>
      </w:pPr>
    </w:p>
    <w:p w14:paraId="622F51E6" w14:textId="77777777" w:rsidR="008256BE" w:rsidRPr="00EF33AC" w:rsidRDefault="008256BE" w:rsidP="004E4DD5">
      <w:pPr>
        <w:spacing w:line="276" w:lineRule="auto"/>
        <w:jc w:val="center"/>
        <w:rPr>
          <w:rFonts w:eastAsia="Times New Roman"/>
          <w:b/>
          <w:bCs/>
          <w:lang w:val="en-IN" w:eastAsia="en-IN"/>
        </w:rPr>
      </w:pPr>
    </w:p>
    <w:p w14:paraId="4C65BD6B" w14:textId="77777777" w:rsidR="008256BE" w:rsidRPr="00EF33AC" w:rsidRDefault="008256BE" w:rsidP="004E4DD5">
      <w:pPr>
        <w:spacing w:line="276" w:lineRule="auto"/>
        <w:jc w:val="center"/>
        <w:rPr>
          <w:rFonts w:eastAsia="Times New Roman"/>
          <w:b/>
          <w:bCs/>
          <w:lang w:val="en-IN" w:eastAsia="en-IN"/>
        </w:rPr>
      </w:pPr>
    </w:p>
    <w:p w14:paraId="44109B0E" w14:textId="387BAF6C" w:rsidR="00964828" w:rsidRPr="00EF33AC" w:rsidRDefault="003F69DA" w:rsidP="004E4DD5">
      <w:pPr>
        <w:spacing w:line="276" w:lineRule="auto"/>
        <w:jc w:val="center"/>
        <w:rPr>
          <w:rFonts w:eastAsia="Times New Roman"/>
          <w:b/>
          <w:bCs/>
          <w:lang w:val="en-IN" w:eastAsia="en-IN"/>
        </w:rPr>
      </w:pPr>
      <w:r w:rsidRPr="00EF33AC">
        <w:rPr>
          <w:rFonts w:eastAsia="Times New Roman"/>
          <w:b/>
          <w:bCs/>
          <w:noProof/>
          <w:lang w:val="en-IN" w:eastAsia="en-IN"/>
        </w:rPr>
        <w:lastRenderedPageBreak/>
        <w:drawing>
          <wp:anchor distT="0" distB="0" distL="114300" distR="114300" simplePos="0" relativeHeight="251668480" behindDoc="1" locked="0" layoutInCell="1" allowOverlap="1" wp14:anchorId="42A44FD2" wp14:editId="57D42F4B">
            <wp:simplePos x="0" y="0"/>
            <wp:positionH relativeFrom="column">
              <wp:posOffset>-1275080</wp:posOffset>
            </wp:positionH>
            <wp:positionV relativeFrom="paragraph">
              <wp:posOffset>1333500</wp:posOffset>
            </wp:positionV>
            <wp:extent cx="8375015" cy="5713730"/>
            <wp:effectExtent l="0" t="2857" r="4127" b="4128"/>
            <wp:wrapTight wrapText="bothSides">
              <wp:wrapPolygon edited="0">
                <wp:start x="21607" y="11"/>
                <wp:lineTo x="38" y="11"/>
                <wp:lineTo x="38" y="21544"/>
                <wp:lineTo x="21607" y="21544"/>
                <wp:lineTo x="21607" y="1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LC_1990_2000.jpg"/>
                    <pic:cNvPicPr/>
                  </pic:nvPicPr>
                  <pic:blipFill rotWithShape="1">
                    <a:blip r:embed="rId8" cstate="print">
                      <a:extLst>
                        <a:ext uri="{28A0092B-C50C-407E-A947-70E740481C1C}">
                          <a14:useLocalDpi xmlns:a14="http://schemas.microsoft.com/office/drawing/2010/main" val="0"/>
                        </a:ext>
                      </a:extLst>
                    </a:blip>
                    <a:srcRect l="538" t="3730" r="1274" b="2460"/>
                    <a:stretch/>
                  </pic:blipFill>
                  <pic:spPr bwMode="auto">
                    <a:xfrm rot="16200000">
                      <a:off x="0" y="0"/>
                      <a:ext cx="8375015" cy="571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F8B" w:rsidRPr="00EF33AC">
        <w:rPr>
          <w:rFonts w:eastAsia="Times New Roman"/>
          <w:b/>
          <w:bCs/>
          <w:lang w:val="en-IN" w:eastAsia="en-IN"/>
        </w:rPr>
        <w:t xml:space="preserve">Figure 2: </w:t>
      </w:r>
      <w:r w:rsidR="00571DA6" w:rsidRPr="00EF33AC">
        <w:rPr>
          <w:rFonts w:eastAsia="Times New Roman"/>
          <w:b/>
          <w:bCs/>
          <w:lang w:val="en-IN" w:eastAsia="en-IN"/>
        </w:rPr>
        <w:t>Comparative</w:t>
      </w:r>
      <w:r w:rsidR="000A2F8B" w:rsidRPr="00EF33AC">
        <w:rPr>
          <w:rFonts w:eastAsia="Times New Roman"/>
          <w:b/>
          <w:bCs/>
          <w:lang w:val="en-IN" w:eastAsia="en-IN"/>
        </w:rPr>
        <w:t xml:space="preserve"> Analysis of LULC of BMR </w:t>
      </w:r>
      <w:r w:rsidR="00571DA6" w:rsidRPr="00EF33AC">
        <w:rPr>
          <w:rFonts w:eastAsia="Times New Roman"/>
          <w:b/>
          <w:bCs/>
          <w:lang w:val="en-IN" w:eastAsia="en-IN"/>
        </w:rPr>
        <w:t>(</w:t>
      </w:r>
      <w:r w:rsidR="000A2F8B" w:rsidRPr="00EF33AC">
        <w:rPr>
          <w:rFonts w:eastAsia="Times New Roman"/>
          <w:b/>
          <w:bCs/>
          <w:lang w:val="en-IN" w:eastAsia="en-IN"/>
        </w:rPr>
        <w:t>1990-2000</w:t>
      </w:r>
      <w:r w:rsidR="00571DA6" w:rsidRPr="00EF33AC">
        <w:rPr>
          <w:rFonts w:eastAsia="Times New Roman"/>
          <w:b/>
          <w:bCs/>
          <w:lang w:val="en-IN" w:eastAsia="en-IN"/>
        </w:rPr>
        <w:t>)</w:t>
      </w:r>
    </w:p>
    <w:p w14:paraId="4C194393" w14:textId="2C28E8E7" w:rsidR="00964828" w:rsidRPr="00EF33AC" w:rsidRDefault="00571DA6" w:rsidP="004E4DD5">
      <w:pPr>
        <w:jc w:val="center"/>
        <w:rPr>
          <w:rFonts w:eastAsia="Times New Roman"/>
          <w:bCs/>
          <w:lang w:val="en-IN" w:eastAsia="en-IN"/>
        </w:rPr>
      </w:pPr>
      <w:r w:rsidRPr="00EF33AC">
        <w:rPr>
          <w:rFonts w:eastAsia="Times New Roman"/>
          <w:bCs/>
          <w:lang w:val="en-IN" w:eastAsia="en-IN"/>
        </w:rPr>
        <w:t>(Source: Author using GIS)</w:t>
      </w:r>
    </w:p>
    <w:p w14:paraId="509EDC2D" w14:textId="243F52EA" w:rsidR="00D91768" w:rsidRPr="00EF33AC" w:rsidRDefault="007A4D0A" w:rsidP="00D91768">
      <w:pPr>
        <w:spacing w:before="100" w:beforeAutospacing="1" w:after="100" w:afterAutospacing="1"/>
        <w:jc w:val="both"/>
        <w:rPr>
          <w:rFonts w:eastAsia="Times New Roman"/>
          <w:b/>
          <w:bCs/>
          <w:lang w:val="en-IN" w:eastAsia="en-IN"/>
        </w:rPr>
      </w:pPr>
      <w:r w:rsidRPr="00EF33AC">
        <w:rPr>
          <w:rFonts w:eastAsia="Times New Roman"/>
          <w:b/>
          <w:bCs/>
          <w:lang w:val="en-IN" w:eastAsia="en-IN"/>
        </w:rPr>
        <w:lastRenderedPageBreak/>
        <w:t>5.3</w:t>
      </w:r>
      <w:r w:rsidR="004A254E" w:rsidRPr="00EF33AC">
        <w:rPr>
          <w:rFonts w:eastAsia="Times New Roman"/>
          <w:b/>
          <w:bCs/>
          <w:lang w:val="en-IN" w:eastAsia="en-IN"/>
        </w:rPr>
        <w:t xml:space="preserve"> </w:t>
      </w:r>
      <w:r w:rsidR="00D91768" w:rsidRPr="00EF33AC">
        <w:rPr>
          <w:rFonts w:eastAsia="Times New Roman"/>
          <w:b/>
          <w:bCs/>
          <w:lang w:val="en-IN" w:eastAsia="en-IN"/>
        </w:rPr>
        <w:t>Comparative Analysis of LULC from 2010 to 2020: Peak Urbanization &amp; Rapid Landscape Change</w:t>
      </w:r>
    </w:p>
    <w:p w14:paraId="059CF270" w14:textId="6A71EFD0" w:rsidR="00D91768" w:rsidRPr="00EF33AC" w:rsidRDefault="00D91768" w:rsidP="00D91768">
      <w:pPr>
        <w:spacing w:after="120" w:line="276" w:lineRule="auto"/>
        <w:ind w:firstLine="720"/>
        <w:jc w:val="both"/>
        <w:rPr>
          <w:rFonts w:eastAsia="Times New Roman"/>
          <w:bCs/>
          <w:lang w:val="en-IN" w:eastAsia="en-IN"/>
        </w:rPr>
      </w:pPr>
      <w:r w:rsidRPr="00EF33AC">
        <w:rPr>
          <w:rFonts w:eastAsia="Times New Roman"/>
          <w:bCs/>
          <w:lang w:val="en-IN" w:eastAsia="en-IN"/>
        </w:rPr>
        <w:t xml:space="preserve">The 2010-2020 period, as depicted in Figure 3, represents the most aggressive phase of urban expansion in BMR, with the built-up area doubling from 87,424 Ha in 2010 to 177,277 Ha in 2020. This increase reflects extensive real estate and infrastructure development, which extended urbanized zones beyond Bengaluru’s core into satellite towns such as </w:t>
      </w:r>
      <w:proofErr w:type="spellStart"/>
      <w:r w:rsidRPr="00EF33AC">
        <w:rPr>
          <w:rFonts w:eastAsia="Times New Roman"/>
          <w:bCs/>
          <w:lang w:val="en-IN" w:eastAsia="en-IN"/>
        </w:rPr>
        <w:t>Hoskote</w:t>
      </w:r>
      <w:proofErr w:type="spellEnd"/>
      <w:r w:rsidRPr="00EF33AC">
        <w:rPr>
          <w:rFonts w:eastAsia="Times New Roman"/>
          <w:bCs/>
          <w:lang w:val="en-IN" w:eastAsia="en-IN"/>
        </w:rPr>
        <w:t xml:space="preserve">, </w:t>
      </w:r>
      <w:proofErr w:type="spellStart"/>
      <w:r w:rsidRPr="00EF33AC">
        <w:rPr>
          <w:rFonts w:eastAsia="Times New Roman"/>
          <w:bCs/>
          <w:lang w:val="en-IN" w:eastAsia="en-IN"/>
        </w:rPr>
        <w:t>Bidadi</w:t>
      </w:r>
      <w:proofErr w:type="spellEnd"/>
      <w:r w:rsidRPr="00EF33AC">
        <w:rPr>
          <w:rFonts w:eastAsia="Times New Roman"/>
          <w:bCs/>
          <w:lang w:val="en-IN" w:eastAsia="en-IN"/>
        </w:rPr>
        <w:t xml:space="preserve">, and </w:t>
      </w:r>
      <w:proofErr w:type="spellStart"/>
      <w:r w:rsidRPr="00EF33AC">
        <w:rPr>
          <w:rFonts w:eastAsia="Times New Roman"/>
          <w:bCs/>
          <w:lang w:val="en-IN" w:eastAsia="en-IN"/>
        </w:rPr>
        <w:t>Doddaballapur</w:t>
      </w:r>
      <w:proofErr w:type="spellEnd"/>
      <w:r w:rsidRPr="00EF33AC">
        <w:rPr>
          <w:rFonts w:eastAsia="Times New Roman"/>
          <w:bCs/>
          <w:lang w:val="en-IN" w:eastAsia="en-IN"/>
        </w:rPr>
        <w:t xml:space="preserve">. During this time, vegetation cover declined significantly from 95,698 Ha in 2010 to 49,988 Ha in 2020, </w:t>
      </w:r>
      <w:proofErr w:type="spellStart"/>
      <w:r w:rsidRPr="00EF33AC">
        <w:rPr>
          <w:rFonts w:eastAsia="Times New Roman"/>
          <w:bCs/>
          <w:lang w:val="en-IN" w:eastAsia="en-IN"/>
        </w:rPr>
        <w:t>signaling</w:t>
      </w:r>
      <w:proofErr w:type="spellEnd"/>
      <w:r w:rsidRPr="00EF33AC">
        <w:rPr>
          <w:rFonts w:eastAsia="Times New Roman"/>
          <w:bCs/>
          <w:lang w:val="en-IN" w:eastAsia="en-IN"/>
        </w:rPr>
        <w:t xml:space="preserve"> widespread land conversion for urban uses. This reduction was evident in the loss of green spaces in peri-urban and rural areas, reinforcing the challenges of unplanned urban expansion.</w:t>
      </w:r>
    </w:p>
    <w:p w14:paraId="2C00B4D1" w14:textId="24EBEC5D" w:rsidR="00D91768" w:rsidRPr="00EF33AC" w:rsidRDefault="00D91768" w:rsidP="00D91768">
      <w:pPr>
        <w:spacing w:after="120" w:line="276" w:lineRule="auto"/>
        <w:ind w:firstLine="720"/>
        <w:jc w:val="both"/>
        <w:rPr>
          <w:rFonts w:eastAsia="Times New Roman"/>
          <w:bCs/>
          <w:lang w:val="en-IN" w:eastAsia="en-IN"/>
        </w:rPr>
      </w:pPr>
      <w:r w:rsidRPr="00EF33AC">
        <w:rPr>
          <w:rFonts w:eastAsia="Times New Roman"/>
          <w:bCs/>
          <w:lang w:val="en-IN" w:eastAsia="en-IN"/>
        </w:rPr>
        <w:t xml:space="preserve">Wetlands and water retention areas also suffered, as flooded vegetation decreased from 4,057 Ha in 2010 to only 295 Ha in 2020. The near-complete disappearance of these ecosystems corresponds with widespread lake encroachments and urban drainage issues. Cropland saw fluctuations during this period, initially declining but recovering to 322,700 Ha by 2020. This change indicates the persistence of agriculture in peri-urban regions despite increasing land pressures. </w:t>
      </w:r>
      <w:r w:rsidR="008836EF" w:rsidRPr="00EF33AC">
        <w:rPr>
          <w:rFonts w:eastAsia="Times New Roman"/>
          <w:bCs/>
          <w:lang w:val="en-IN" w:eastAsia="en-IN"/>
        </w:rPr>
        <w:t xml:space="preserve">Barren land </w:t>
      </w:r>
      <w:r w:rsidRPr="00EF33AC">
        <w:rPr>
          <w:rFonts w:eastAsia="Times New Roman"/>
          <w:bCs/>
          <w:lang w:val="en-IN" w:eastAsia="en-IN"/>
        </w:rPr>
        <w:t>was nearly eliminated, dropping from 211,566 Ha in 2010 to only 719 Ha in 2020, suggesting that almost all available land had been converted to other uses.</w:t>
      </w:r>
    </w:p>
    <w:p w14:paraId="63DB7CF6" w14:textId="46B4485D" w:rsidR="00D91768" w:rsidRPr="00EF33AC" w:rsidRDefault="00D91768" w:rsidP="00D91768">
      <w:pPr>
        <w:spacing w:after="120" w:line="276" w:lineRule="auto"/>
        <w:ind w:firstLine="720"/>
        <w:jc w:val="both"/>
        <w:rPr>
          <w:rFonts w:eastAsia="Times New Roman"/>
          <w:bCs/>
          <w:lang w:val="en-IN" w:eastAsia="en-IN"/>
        </w:rPr>
      </w:pPr>
      <w:r w:rsidRPr="00EF33AC">
        <w:rPr>
          <w:rFonts w:eastAsia="Times New Roman"/>
          <w:bCs/>
          <w:lang w:val="en-IN" w:eastAsia="en-IN"/>
        </w:rPr>
        <w:t>Similarly, rangeland declined from 308,947 Ha in 2010 to 241,510 Ha in 2020, reinforcing the notion that land previously designated for pasture and open use was increasingly being urbanized. Water bodies showed an increase from 5,232 Ha in 2010 to 9,034 Ha in 2020, possibly due to lake restoration projects. The 2010-2020 period highlights the peak of Bengaluru’s urban expansion, during which land-use conversion was at its most intense, leading to major environmental concerns, as illustrated in Figure 3.</w:t>
      </w:r>
    </w:p>
    <w:p w14:paraId="686C0CAD" w14:textId="1A97688C" w:rsidR="009E405F" w:rsidRPr="00EF33AC" w:rsidRDefault="007A4D0A" w:rsidP="008A70F6">
      <w:pPr>
        <w:spacing w:before="100" w:beforeAutospacing="1" w:after="100" w:afterAutospacing="1"/>
        <w:jc w:val="both"/>
        <w:rPr>
          <w:rFonts w:eastAsia="Times New Roman"/>
          <w:b/>
          <w:bCs/>
          <w:lang w:val="en-IN" w:eastAsia="en-IN"/>
        </w:rPr>
      </w:pPr>
      <w:r w:rsidRPr="00EF33AC">
        <w:rPr>
          <w:rFonts w:eastAsia="Times New Roman"/>
          <w:b/>
          <w:bCs/>
          <w:lang w:val="en-IN" w:eastAsia="en-IN"/>
        </w:rPr>
        <w:t>5.4</w:t>
      </w:r>
      <w:r w:rsidR="00D91768" w:rsidRPr="00EF33AC">
        <w:rPr>
          <w:rFonts w:eastAsia="Times New Roman"/>
          <w:b/>
          <w:bCs/>
          <w:lang w:val="en-IN" w:eastAsia="en-IN"/>
        </w:rPr>
        <w:t xml:space="preserve"> Analysis of LULC in 2023: </w:t>
      </w:r>
      <w:r w:rsidR="00D91768" w:rsidRPr="00EF33AC">
        <w:rPr>
          <w:rFonts w:eastAsia="Times New Roman"/>
          <w:b/>
          <w:bCs/>
          <w:lang w:eastAsia="en-IN"/>
        </w:rPr>
        <w:t>Intensification of Urban Dominance &amp; Sustainability Challenges</w:t>
      </w:r>
    </w:p>
    <w:p w14:paraId="4960275C" w14:textId="77777777" w:rsidR="00D91768" w:rsidRPr="00EF33AC" w:rsidRDefault="00D91768" w:rsidP="00D91768">
      <w:pPr>
        <w:spacing w:after="120" w:line="276" w:lineRule="auto"/>
        <w:ind w:firstLine="720"/>
        <w:jc w:val="both"/>
        <w:rPr>
          <w:rFonts w:eastAsia="Times New Roman"/>
          <w:bCs/>
          <w:lang w:val="en-IN" w:eastAsia="en-IN"/>
        </w:rPr>
      </w:pPr>
      <w:r w:rsidRPr="00EF33AC">
        <w:rPr>
          <w:rFonts w:eastAsia="Times New Roman"/>
          <w:bCs/>
          <w:lang w:val="en-IN" w:eastAsia="en-IN"/>
        </w:rPr>
        <w:t xml:space="preserve">The 2023 LULC scenario, depicted in Figure 4, underscores the continuing dominance of urban land use in BMR. The built-up area reached 202,521 Ha, demonstrating that urban sprawl is now the primary feature of Bengaluru’s landscape. The spread of urbanization has expanded significantly into areas that were previously agricultural or rural. Despite this, vegetation cover has shown a slight recovery to 79,505 Ha, suggesting conservation efforts or afforestation projects in certain peri-urban areas. </w:t>
      </w:r>
    </w:p>
    <w:p w14:paraId="4913FEC3" w14:textId="013F448B" w:rsidR="00D91768" w:rsidRPr="00EF33AC" w:rsidRDefault="00D91768" w:rsidP="00D91768">
      <w:pPr>
        <w:spacing w:after="120" w:line="276" w:lineRule="auto"/>
        <w:ind w:firstLine="720"/>
        <w:jc w:val="both"/>
        <w:rPr>
          <w:rFonts w:eastAsia="Times New Roman"/>
          <w:bCs/>
          <w:lang w:val="en-IN" w:eastAsia="en-IN"/>
        </w:rPr>
      </w:pPr>
      <w:r w:rsidRPr="00EF33AC">
        <w:rPr>
          <w:rFonts w:eastAsia="Times New Roman"/>
          <w:bCs/>
          <w:lang w:val="en-IN" w:eastAsia="en-IN"/>
        </w:rPr>
        <w:t xml:space="preserve">However, the fragmentation of these spaces reduces their ecological benefits. The flooded vegetation category recorded a marginal increase to 1,423 Ha, indicating isolated wetland preservation efforts, although the overall wetland ecosystem remains critically endangered. Cropland remains significant at 337,640 Ha, but its spatial distribution suggests that it is under increasing pressure from urban encroachment. Similarly, rangeland continues to shrink, reducing to 162,033 Ha, reinforcing the trend of decreasing open spaces. The </w:t>
      </w:r>
      <w:r w:rsidR="008836EF" w:rsidRPr="00EF33AC">
        <w:rPr>
          <w:rFonts w:eastAsia="Times New Roman"/>
          <w:bCs/>
          <w:lang w:val="en-IN" w:eastAsia="en-IN"/>
        </w:rPr>
        <w:t xml:space="preserve">Barren land </w:t>
      </w:r>
      <w:r w:rsidRPr="00EF33AC">
        <w:rPr>
          <w:rFonts w:eastAsia="Times New Roman"/>
          <w:bCs/>
          <w:lang w:val="en-IN" w:eastAsia="en-IN"/>
        </w:rPr>
        <w:t>category is almost eliminated, with only 488 Ha remaining, meaning that nearly every available parcel of land in BMR is now developed or actively utilized.</w:t>
      </w:r>
    </w:p>
    <w:p w14:paraId="5BD58E15" w14:textId="7E8AD96C" w:rsidR="00D91768" w:rsidRPr="00EF33AC" w:rsidRDefault="003F69DA" w:rsidP="00D91768">
      <w:pPr>
        <w:spacing w:after="120" w:line="276" w:lineRule="auto"/>
        <w:ind w:firstLine="720"/>
        <w:jc w:val="both"/>
        <w:rPr>
          <w:rFonts w:eastAsia="Times New Roman"/>
          <w:bCs/>
          <w:lang w:val="en-IN" w:eastAsia="en-IN"/>
        </w:rPr>
      </w:pPr>
      <w:r w:rsidRPr="00EF33AC">
        <w:rPr>
          <w:rFonts w:eastAsia="Times New Roman"/>
          <w:bCs/>
          <w:noProof/>
          <w:lang w:val="en-IN" w:eastAsia="en-IN"/>
        </w:rPr>
        <w:lastRenderedPageBreak/>
        <w:drawing>
          <wp:anchor distT="0" distB="0" distL="114300" distR="114300" simplePos="0" relativeHeight="251667456" behindDoc="1" locked="0" layoutInCell="1" allowOverlap="1" wp14:anchorId="5979E83C" wp14:editId="4D7F1609">
            <wp:simplePos x="0" y="0"/>
            <wp:positionH relativeFrom="column">
              <wp:posOffset>-622935</wp:posOffset>
            </wp:positionH>
            <wp:positionV relativeFrom="paragraph">
              <wp:posOffset>2326005</wp:posOffset>
            </wp:positionV>
            <wp:extent cx="7202170" cy="5039995"/>
            <wp:effectExtent l="0" t="4763" r="0" b="0"/>
            <wp:wrapTight wrapText="bothSides">
              <wp:wrapPolygon edited="0">
                <wp:start x="21614" y="20"/>
                <wp:lineTo x="75" y="20"/>
                <wp:lineTo x="75" y="21493"/>
                <wp:lineTo x="21614" y="21493"/>
                <wp:lineTo x="21614" y="2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LC_2010_2020.jpg"/>
                    <pic:cNvPicPr/>
                  </pic:nvPicPr>
                  <pic:blipFill rotWithShape="1">
                    <a:blip r:embed="rId9" cstate="print">
                      <a:extLst>
                        <a:ext uri="{28A0092B-C50C-407E-A947-70E740481C1C}">
                          <a14:useLocalDpi xmlns:a14="http://schemas.microsoft.com/office/drawing/2010/main" val="0"/>
                        </a:ext>
                      </a:extLst>
                    </a:blip>
                    <a:srcRect l="1191" t="3369" r="1883" b="2060"/>
                    <a:stretch/>
                  </pic:blipFill>
                  <pic:spPr bwMode="auto">
                    <a:xfrm rot="16200000">
                      <a:off x="0" y="0"/>
                      <a:ext cx="7202170" cy="503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768" w:rsidRPr="00EF33AC">
        <w:rPr>
          <w:rFonts w:eastAsia="Times New Roman"/>
          <w:bCs/>
          <w:lang w:val="en-IN" w:eastAsia="en-IN"/>
        </w:rPr>
        <w:t>Encouragingly, water bodies have increased to 17,913 Ha, likely due to ongoing lake rejuvenation efforts, particularly in regions that had suffered significant encroachments. However, concerns remain regarding the long-term sustainability of these water bodies amid ongoing land-use pressures. The 2023 scenario, as illustrated in Figure 4, highlights the continued urban dominance in BMR, with limited spaces left for ecological preservation and agricultural resilience.</w:t>
      </w:r>
    </w:p>
    <w:p w14:paraId="112452F9" w14:textId="6DDADA2F" w:rsidR="00161835" w:rsidRPr="00EF33AC" w:rsidRDefault="00161835" w:rsidP="00161835">
      <w:pPr>
        <w:ind w:firstLine="720"/>
        <w:jc w:val="center"/>
        <w:rPr>
          <w:rFonts w:eastAsia="Times New Roman"/>
          <w:b/>
          <w:bCs/>
          <w:lang w:val="en-IN" w:eastAsia="en-IN"/>
        </w:rPr>
      </w:pPr>
      <w:r w:rsidRPr="00EF33AC">
        <w:rPr>
          <w:rFonts w:eastAsia="Times New Roman"/>
          <w:b/>
          <w:bCs/>
          <w:lang w:val="en-IN" w:eastAsia="en-IN"/>
        </w:rPr>
        <w:t>Figure 3: Comparati</w:t>
      </w:r>
      <w:r w:rsidR="009E405F" w:rsidRPr="00EF33AC">
        <w:rPr>
          <w:rFonts w:eastAsia="Times New Roman"/>
          <w:b/>
          <w:bCs/>
          <w:lang w:val="en-IN" w:eastAsia="en-IN"/>
        </w:rPr>
        <w:t>ve Analysis of LULC of BMR (2010-202</w:t>
      </w:r>
      <w:r w:rsidRPr="00EF33AC">
        <w:rPr>
          <w:rFonts w:eastAsia="Times New Roman"/>
          <w:b/>
          <w:bCs/>
          <w:lang w:val="en-IN" w:eastAsia="en-IN"/>
        </w:rPr>
        <w:t>0)</w:t>
      </w:r>
    </w:p>
    <w:p w14:paraId="398FC3AB" w14:textId="06801C71" w:rsidR="00D8449C" w:rsidRPr="00EF33AC" w:rsidRDefault="00161835" w:rsidP="00161835">
      <w:pPr>
        <w:ind w:firstLine="720"/>
        <w:jc w:val="center"/>
        <w:rPr>
          <w:rFonts w:eastAsia="Times New Roman"/>
          <w:bCs/>
          <w:lang w:val="en-IN" w:eastAsia="en-IN"/>
        </w:rPr>
      </w:pPr>
      <w:r w:rsidRPr="00EF33AC">
        <w:rPr>
          <w:rFonts w:eastAsia="Times New Roman"/>
          <w:bCs/>
          <w:lang w:val="en-IN" w:eastAsia="en-IN"/>
        </w:rPr>
        <w:t>(Source: Author using GIS)</w:t>
      </w:r>
    </w:p>
    <w:p w14:paraId="7F690580" w14:textId="46457575" w:rsidR="009E405F" w:rsidRPr="00EF33AC" w:rsidRDefault="00C25C0D" w:rsidP="009E405F">
      <w:pPr>
        <w:ind w:firstLine="720"/>
        <w:jc w:val="center"/>
        <w:rPr>
          <w:rFonts w:eastAsia="Times New Roman"/>
          <w:b/>
          <w:bCs/>
          <w:lang w:val="en-IN" w:eastAsia="en-IN"/>
        </w:rPr>
      </w:pPr>
      <w:r w:rsidRPr="00EF33AC">
        <w:rPr>
          <w:rFonts w:eastAsia="Times New Roman"/>
          <w:b/>
          <w:bCs/>
          <w:noProof/>
          <w:lang w:val="en-IN" w:eastAsia="en-IN"/>
        </w:rPr>
        <w:lastRenderedPageBreak/>
        <w:drawing>
          <wp:anchor distT="0" distB="0" distL="114300" distR="114300" simplePos="0" relativeHeight="251666432" behindDoc="1" locked="0" layoutInCell="1" allowOverlap="1" wp14:anchorId="661CB5EE" wp14:editId="7FF17381">
            <wp:simplePos x="0" y="0"/>
            <wp:positionH relativeFrom="column">
              <wp:posOffset>68580</wp:posOffset>
            </wp:positionH>
            <wp:positionV relativeFrom="paragraph">
              <wp:posOffset>95885</wp:posOffset>
            </wp:positionV>
            <wp:extent cx="5764860" cy="8280000"/>
            <wp:effectExtent l="0" t="0" r="7620" b="6985"/>
            <wp:wrapTight wrapText="bothSides">
              <wp:wrapPolygon edited="0">
                <wp:start x="0" y="0"/>
                <wp:lineTo x="0" y="21569"/>
                <wp:lineTo x="21557" y="21569"/>
                <wp:lineTo x="215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LC_2024.jpg"/>
                    <pic:cNvPicPr/>
                  </pic:nvPicPr>
                  <pic:blipFill rotWithShape="1">
                    <a:blip r:embed="rId10" cstate="print">
                      <a:extLst>
                        <a:ext uri="{28A0092B-C50C-407E-A947-70E740481C1C}">
                          <a14:useLocalDpi xmlns:a14="http://schemas.microsoft.com/office/drawing/2010/main" val="0"/>
                        </a:ext>
                      </a:extLst>
                    </a:blip>
                    <a:srcRect l="2260" t="1222" r="1751" b="1292"/>
                    <a:stretch/>
                  </pic:blipFill>
                  <pic:spPr bwMode="auto">
                    <a:xfrm>
                      <a:off x="0" y="0"/>
                      <a:ext cx="5764860" cy="82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05F" w:rsidRPr="00EF33AC">
        <w:rPr>
          <w:rFonts w:eastAsia="Times New Roman"/>
          <w:b/>
          <w:bCs/>
          <w:lang w:val="en-IN" w:eastAsia="en-IN"/>
        </w:rPr>
        <w:t>Figure 4: LULC Map of BMR-2023</w:t>
      </w:r>
    </w:p>
    <w:p w14:paraId="7B050D7C" w14:textId="77777777" w:rsidR="00D8449C" w:rsidRPr="00EF33AC" w:rsidRDefault="009E405F" w:rsidP="009E405F">
      <w:pPr>
        <w:ind w:firstLine="720"/>
        <w:jc w:val="center"/>
        <w:rPr>
          <w:rFonts w:eastAsia="Times New Roman"/>
          <w:bCs/>
          <w:lang w:val="en-IN" w:eastAsia="en-IN"/>
        </w:rPr>
      </w:pPr>
      <w:r w:rsidRPr="00EF33AC">
        <w:rPr>
          <w:rFonts w:eastAsia="Times New Roman"/>
          <w:bCs/>
          <w:lang w:val="en-IN" w:eastAsia="en-IN"/>
        </w:rPr>
        <w:t>(Source: Author using GIS)</w:t>
      </w:r>
    </w:p>
    <w:p w14:paraId="29056CB1" w14:textId="77777777" w:rsidR="00B07B3D" w:rsidRPr="00EF33AC" w:rsidRDefault="00B07B3D" w:rsidP="0061467B">
      <w:pPr>
        <w:spacing w:after="120" w:line="276" w:lineRule="auto"/>
        <w:rPr>
          <w:bCs/>
          <w:lang w:val="en-IN" w:eastAsia="en-IN"/>
        </w:rPr>
      </w:pPr>
    </w:p>
    <w:p w14:paraId="50279ADE" w14:textId="385C6132" w:rsidR="00D8449C" w:rsidRPr="00EF33AC" w:rsidRDefault="007A4D0A" w:rsidP="0077630E">
      <w:pPr>
        <w:spacing w:before="100" w:beforeAutospacing="1" w:after="100" w:afterAutospacing="1"/>
        <w:jc w:val="both"/>
        <w:rPr>
          <w:rFonts w:eastAsia="Times New Roman"/>
          <w:b/>
          <w:bCs/>
          <w:lang w:val="en-IN" w:eastAsia="en-IN"/>
        </w:rPr>
      </w:pPr>
      <w:r w:rsidRPr="00EF33AC">
        <w:rPr>
          <w:rFonts w:eastAsia="Times New Roman"/>
          <w:b/>
          <w:bCs/>
          <w:lang w:val="en-IN" w:eastAsia="en-IN"/>
        </w:rPr>
        <w:lastRenderedPageBreak/>
        <w:t>5.5</w:t>
      </w:r>
      <w:r w:rsidR="0077630E" w:rsidRPr="00EF33AC">
        <w:rPr>
          <w:rFonts w:eastAsia="Times New Roman"/>
          <w:b/>
          <w:bCs/>
          <w:lang w:val="en-IN" w:eastAsia="en-IN"/>
        </w:rPr>
        <w:t xml:space="preserve"> Implications of LULC Changes</w:t>
      </w:r>
    </w:p>
    <w:p w14:paraId="4587A1FE" w14:textId="77777777" w:rsidR="00EB02C5" w:rsidRPr="00EF33AC" w:rsidRDefault="00EB02C5" w:rsidP="00EB02C5">
      <w:pPr>
        <w:spacing w:before="100" w:beforeAutospacing="1" w:after="100" w:afterAutospacing="1"/>
        <w:ind w:firstLine="720"/>
        <w:jc w:val="both"/>
        <w:rPr>
          <w:rFonts w:eastAsia="Times New Roman"/>
          <w:bCs/>
          <w:lang w:val="en-IN" w:eastAsia="en-IN"/>
        </w:rPr>
      </w:pPr>
      <w:r w:rsidRPr="00EF33AC">
        <w:rPr>
          <w:rFonts w:eastAsia="Times New Roman"/>
          <w:bCs/>
          <w:lang w:val="en-IN" w:eastAsia="en-IN"/>
        </w:rPr>
        <w:t>The spatiotemporal LULC transformations in Bengaluru Metropolitan Region (BMR) from 1990 to 2023 have profound implications for urban sustainability, ecological balance, and planning governance. The sevenfold expansion of built-up areas, primarily replacing cropland (-36.7%), vegetation (-24.3%), and wetlands (-99%), has significantly altered the region’s land composition (Ramachandra et al., 2023). The near elimination of flooded vegetation and reduction of barren land indicate near-total land saturation, leading to increased impervious surfaces, altered hydrological cycles, and heightened flood risks (</w:t>
      </w:r>
      <w:proofErr w:type="spellStart"/>
      <w:r w:rsidRPr="00EF33AC">
        <w:rPr>
          <w:rFonts w:eastAsia="Times New Roman"/>
          <w:bCs/>
          <w:lang w:val="en-IN" w:eastAsia="en-IN"/>
        </w:rPr>
        <w:t>Hollyhead</w:t>
      </w:r>
      <w:proofErr w:type="spellEnd"/>
      <w:r w:rsidRPr="00EF33AC">
        <w:rPr>
          <w:rFonts w:eastAsia="Times New Roman"/>
          <w:bCs/>
          <w:lang w:val="en-IN" w:eastAsia="en-IN"/>
        </w:rPr>
        <w:t xml:space="preserve"> et al., 2022).</w:t>
      </w:r>
    </w:p>
    <w:p w14:paraId="7F5E70A0" w14:textId="77777777" w:rsidR="00EB02C5" w:rsidRPr="00EF33AC" w:rsidRDefault="00EB02C5" w:rsidP="00EB02C5">
      <w:pPr>
        <w:spacing w:before="100" w:beforeAutospacing="1" w:after="100" w:afterAutospacing="1"/>
        <w:ind w:firstLine="720"/>
        <w:jc w:val="both"/>
        <w:rPr>
          <w:rFonts w:eastAsia="Times New Roman"/>
          <w:bCs/>
          <w:lang w:val="en-IN" w:eastAsia="en-IN"/>
        </w:rPr>
      </w:pPr>
      <w:r w:rsidRPr="00EF33AC">
        <w:rPr>
          <w:rFonts w:eastAsia="Times New Roman"/>
          <w:bCs/>
          <w:lang w:val="en-IN" w:eastAsia="en-IN"/>
        </w:rPr>
        <w:t>These shifts have exacerbated water stress due to encroachments on lakes and wetlands, crucial for groundwater recharge (</w:t>
      </w:r>
      <w:proofErr w:type="spellStart"/>
      <w:r w:rsidRPr="00EF33AC">
        <w:rPr>
          <w:rFonts w:eastAsia="Times New Roman"/>
          <w:bCs/>
          <w:lang w:val="en-IN" w:eastAsia="en-IN"/>
        </w:rPr>
        <w:t>Dehingia</w:t>
      </w:r>
      <w:proofErr w:type="spellEnd"/>
      <w:r w:rsidRPr="00EF33AC">
        <w:rPr>
          <w:rFonts w:eastAsia="Times New Roman"/>
          <w:bCs/>
          <w:lang w:val="en-IN" w:eastAsia="en-IN"/>
        </w:rPr>
        <w:t xml:space="preserve"> et al., 2022). Despite partial restoration efforts, unregulated urban sprawl has compromised ecological stability (BMRDA, 2017). The fragmentation of peri-urban agricultural zones raises concerns over food security and land speculation, mirroring trends observed in rapidly growing cities across Asia and Africa (Edwin, </w:t>
      </w:r>
      <w:proofErr w:type="spellStart"/>
      <w:r w:rsidRPr="00EF33AC">
        <w:rPr>
          <w:rFonts w:eastAsia="Times New Roman"/>
          <w:bCs/>
          <w:lang w:val="en-IN" w:eastAsia="en-IN"/>
        </w:rPr>
        <w:t>Adiel</w:t>
      </w:r>
      <w:proofErr w:type="spellEnd"/>
      <w:r w:rsidRPr="00EF33AC">
        <w:rPr>
          <w:rFonts w:eastAsia="Times New Roman"/>
          <w:bCs/>
          <w:lang w:val="en-IN" w:eastAsia="en-IN"/>
        </w:rPr>
        <w:t>, &amp; Cyprian, 2019; Li et al., 2020).</w:t>
      </w:r>
    </w:p>
    <w:p w14:paraId="6513A4C8" w14:textId="77777777" w:rsidR="00EB02C5" w:rsidRPr="00EF33AC" w:rsidRDefault="00EB02C5" w:rsidP="00EB02C5">
      <w:pPr>
        <w:spacing w:before="100" w:beforeAutospacing="1" w:after="100" w:afterAutospacing="1"/>
        <w:ind w:firstLine="720"/>
        <w:jc w:val="both"/>
        <w:rPr>
          <w:rFonts w:eastAsia="Times New Roman"/>
          <w:bCs/>
          <w:lang w:val="en-IN" w:eastAsia="en-IN"/>
        </w:rPr>
      </w:pPr>
      <w:r w:rsidRPr="00EF33AC">
        <w:rPr>
          <w:rFonts w:eastAsia="Times New Roman"/>
          <w:bCs/>
          <w:lang w:val="en-IN" w:eastAsia="en-IN"/>
        </w:rPr>
        <w:t>To mitigate these impacts, integrating GIS-based monitoring frameworks into metropolitan planning is critical (NITI Aayog, 2021). A polycentric urban development strategy should be prioritized, promoting planned satellite towns to alleviate pressure on Bengaluru’s core (</w:t>
      </w:r>
      <w:proofErr w:type="spellStart"/>
      <w:r w:rsidRPr="00EF33AC">
        <w:rPr>
          <w:rFonts w:eastAsia="Times New Roman"/>
          <w:bCs/>
          <w:lang w:val="en-IN" w:eastAsia="en-IN"/>
        </w:rPr>
        <w:t>Sudhira</w:t>
      </w:r>
      <w:proofErr w:type="spellEnd"/>
      <w:r w:rsidRPr="00EF33AC">
        <w:rPr>
          <w:rFonts w:eastAsia="Times New Roman"/>
          <w:bCs/>
          <w:lang w:val="en-IN" w:eastAsia="en-IN"/>
        </w:rPr>
        <w:t xml:space="preserve"> et al., 2004). Strengthening land-use regulations and enforcing wetland conservation laws are essential to counter unregulated expansion (</w:t>
      </w:r>
      <w:proofErr w:type="spellStart"/>
      <w:r w:rsidRPr="00EF33AC">
        <w:rPr>
          <w:rFonts w:eastAsia="Times New Roman"/>
          <w:bCs/>
          <w:lang w:val="en-IN" w:eastAsia="en-IN"/>
        </w:rPr>
        <w:t>Sundaresan</w:t>
      </w:r>
      <w:proofErr w:type="spellEnd"/>
      <w:r w:rsidRPr="00EF33AC">
        <w:rPr>
          <w:rFonts w:eastAsia="Times New Roman"/>
          <w:bCs/>
          <w:lang w:val="en-IN" w:eastAsia="en-IN"/>
        </w:rPr>
        <w:t xml:space="preserve">, 2019). Sustainable urbanization in BMR requires balanced land use, ecological conservation, and adaptive policy interventions, ensuring climate resilience and long-term </w:t>
      </w:r>
      <w:proofErr w:type="spellStart"/>
      <w:r w:rsidRPr="00EF33AC">
        <w:rPr>
          <w:rFonts w:eastAsia="Times New Roman"/>
          <w:bCs/>
          <w:lang w:val="en-IN" w:eastAsia="en-IN"/>
        </w:rPr>
        <w:t>livability</w:t>
      </w:r>
      <w:proofErr w:type="spellEnd"/>
      <w:r w:rsidRPr="00EF33AC">
        <w:rPr>
          <w:rFonts w:eastAsia="Times New Roman"/>
          <w:bCs/>
          <w:lang w:val="en-IN" w:eastAsia="en-IN"/>
        </w:rPr>
        <w:t xml:space="preserve"> (Ramachandra &amp; </w:t>
      </w:r>
      <w:proofErr w:type="spellStart"/>
      <w:r w:rsidRPr="00EF33AC">
        <w:rPr>
          <w:rFonts w:eastAsia="Times New Roman"/>
          <w:bCs/>
          <w:lang w:val="en-IN" w:eastAsia="en-IN"/>
        </w:rPr>
        <w:t>Aithal</w:t>
      </w:r>
      <w:proofErr w:type="spellEnd"/>
      <w:r w:rsidRPr="00EF33AC">
        <w:rPr>
          <w:rFonts w:eastAsia="Times New Roman"/>
          <w:bCs/>
          <w:lang w:val="en-IN" w:eastAsia="en-IN"/>
        </w:rPr>
        <w:t>, 2016).</w:t>
      </w:r>
    </w:p>
    <w:p w14:paraId="6363B0FF" w14:textId="77777777" w:rsidR="00FD30EE" w:rsidRPr="00EF33AC" w:rsidRDefault="00FD30EE" w:rsidP="001F7132">
      <w:pPr>
        <w:spacing w:before="100" w:beforeAutospacing="1" w:after="100" w:afterAutospacing="1"/>
        <w:jc w:val="both"/>
        <w:rPr>
          <w:rFonts w:eastAsia="Times New Roman"/>
          <w:b/>
          <w:bCs/>
          <w:lang w:eastAsia="en-IN"/>
        </w:rPr>
      </w:pPr>
      <w:r w:rsidRPr="00EF33AC">
        <w:rPr>
          <w:rFonts w:eastAsia="Times New Roman"/>
          <w:b/>
          <w:bCs/>
          <w:lang w:eastAsia="en-IN"/>
        </w:rPr>
        <w:t>VI. CONCLUSION</w:t>
      </w:r>
    </w:p>
    <w:p w14:paraId="23550A58" w14:textId="77777777" w:rsidR="00842C39" w:rsidRPr="00EF33AC" w:rsidRDefault="00833F07" w:rsidP="00842C39">
      <w:pPr>
        <w:spacing w:after="120" w:line="276" w:lineRule="auto"/>
        <w:ind w:firstLine="720"/>
        <w:jc w:val="both"/>
        <w:rPr>
          <w:rFonts w:eastAsia="Times New Roman"/>
          <w:bCs/>
          <w:lang w:val="en-IN" w:eastAsia="en-IN"/>
        </w:rPr>
      </w:pPr>
      <w:r w:rsidRPr="00EF33AC">
        <w:rPr>
          <w:rFonts w:eastAsia="Times New Roman"/>
          <w:bCs/>
          <w:lang w:val="en-IN" w:eastAsia="en-IN"/>
        </w:rPr>
        <w:t xml:space="preserve">This study examines the spatiotemporal changes in Land Use and Land Cover (LULC) in Bengaluru Metropolitan Region (BMR) from 1990 to 2023 using remote sensing and GIS techniques. The findings reveal a sevenfold expansion of built-up areas from 28,009 hectares in 1990 to 202,521 hectares in 2023, primarily replacing cropland (-36.7%), vegetation (-24.3%), and wetlands (-99%). The conversion of open spaces and agricultural land into urbanized zones has been most intense along major corridors, including </w:t>
      </w:r>
      <w:proofErr w:type="spellStart"/>
      <w:r w:rsidRPr="00EF33AC">
        <w:rPr>
          <w:rFonts w:eastAsia="Times New Roman"/>
          <w:bCs/>
          <w:lang w:val="en-IN" w:eastAsia="en-IN"/>
        </w:rPr>
        <w:t>Tumkur</w:t>
      </w:r>
      <w:proofErr w:type="spellEnd"/>
      <w:r w:rsidRPr="00EF33AC">
        <w:rPr>
          <w:rFonts w:eastAsia="Times New Roman"/>
          <w:bCs/>
          <w:lang w:val="en-IN" w:eastAsia="en-IN"/>
        </w:rPr>
        <w:t xml:space="preserve"> Road, Mysore Road, Old Madras Road, and Bellary Road. </w:t>
      </w:r>
    </w:p>
    <w:p w14:paraId="4B5D8A0C" w14:textId="77777777" w:rsidR="00842C39" w:rsidRPr="00EF33AC" w:rsidRDefault="00833F07" w:rsidP="00842C39">
      <w:pPr>
        <w:spacing w:after="120" w:line="276" w:lineRule="auto"/>
        <w:ind w:firstLine="720"/>
        <w:jc w:val="both"/>
        <w:rPr>
          <w:rFonts w:eastAsia="Times New Roman"/>
          <w:bCs/>
          <w:lang w:val="en-IN" w:eastAsia="en-IN"/>
        </w:rPr>
      </w:pPr>
      <w:r w:rsidRPr="00EF33AC">
        <w:rPr>
          <w:rFonts w:eastAsia="Times New Roman"/>
          <w:bCs/>
          <w:lang w:val="en-IN" w:eastAsia="en-IN"/>
        </w:rPr>
        <w:t xml:space="preserve">The study identifies three critical LULC transformations: (1) rapid urban expansion, which has drastically altered the spatial composition of BMR; (2) loss of flooded vegetation and wetlands, reflecting severe ecological degradation; and (3) increasing water body restoration efforts, as evidenced by the rise in water bodies from 2,269 hectares in 1990 to 17,913 hectares in 2023. The near-complete disappearance of </w:t>
      </w:r>
      <w:r w:rsidR="008836EF" w:rsidRPr="00EF33AC">
        <w:rPr>
          <w:rFonts w:eastAsia="Times New Roman"/>
          <w:bCs/>
          <w:lang w:val="en-IN" w:eastAsia="en-IN"/>
        </w:rPr>
        <w:t xml:space="preserve">Barren land </w:t>
      </w:r>
      <w:r w:rsidRPr="00EF33AC">
        <w:rPr>
          <w:rFonts w:eastAsia="Times New Roman"/>
          <w:bCs/>
          <w:lang w:val="en-IN" w:eastAsia="en-IN"/>
        </w:rPr>
        <w:t>(from 212,109 hectares in 1990 to just 488 hectares in 2023) suggests that almost all available land has been utilized, leaving little scope for further unplanned expansion.</w:t>
      </w:r>
      <w:r w:rsidR="00842C39" w:rsidRPr="00EF33AC">
        <w:rPr>
          <w:rFonts w:eastAsia="Times New Roman"/>
          <w:bCs/>
          <w:lang w:val="en-IN" w:eastAsia="en-IN"/>
        </w:rPr>
        <w:t xml:space="preserve"> </w:t>
      </w:r>
    </w:p>
    <w:p w14:paraId="3E7EC9E2" w14:textId="5E85BE75" w:rsidR="00833F07" w:rsidRPr="00EF33AC" w:rsidRDefault="00833F07" w:rsidP="00121BEE">
      <w:pPr>
        <w:spacing w:after="120" w:line="276" w:lineRule="auto"/>
        <w:ind w:firstLine="720"/>
        <w:jc w:val="both"/>
        <w:rPr>
          <w:rFonts w:eastAsia="Times New Roman"/>
          <w:bCs/>
          <w:lang w:val="en-IN" w:eastAsia="en-IN"/>
        </w:rPr>
      </w:pPr>
      <w:r w:rsidRPr="00EF33AC">
        <w:rPr>
          <w:rFonts w:eastAsia="Times New Roman"/>
          <w:bCs/>
          <w:lang w:val="en-IN" w:eastAsia="en-IN"/>
        </w:rPr>
        <w:t xml:space="preserve">These LULC shifts have significant implications for urban planning, particularly concerning land conservation, climate resilience, and sustainable growth strategies. The encroachment on wetlands and shrinking green spaces necessitate stricter land-use regulations and spatial monitoring using GIS-based planning tools. To mitigate uncontrolled urban sprawl, the study recommends a polycentric urban development model that promotes balanced growth </w:t>
      </w:r>
      <w:r w:rsidRPr="00EF33AC">
        <w:rPr>
          <w:rFonts w:eastAsia="Times New Roman"/>
          <w:bCs/>
          <w:lang w:val="en-IN" w:eastAsia="en-IN"/>
        </w:rPr>
        <w:lastRenderedPageBreak/>
        <w:t>across BMR’s peri-urban areas. By employing a supervised classification approach and post-classification accuracy assessment (Overall Accuracy: 85.7–92.1%; Kappa Coefficient: 0.82–0.89), the study ensures high reliability of LULC change detection. The results contribute to evidence-based policymaking, enabling planners to monitor urban expansion trends effectively and design long-term land management strategies.</w:t>
      </w:r>
    </w:p>
    <w:p w14:paraId="50E1DC21" w14:textId="1FA3D746" w:rsidR="0061467B" w:rsidRPr="00EF33AC" w:rsidRDefault="00833F07" w:rsidP="00121BEE">
      <w:pPr>
        <w:spacing w:after="120" w:line="276" w:lineRule="auto"/>
        <w:ind w:firstLine="720"/>
        <w:jc w:val="both"/>
        <w:rPr>
          <w:rFonts w:eastAsia="Times New Roman"/>
          <w:bCs/>
          <w:lang w:val="en-IN" w:eastAsia="en-IN"/>
        </w:rPr>
      </w:pPr>
      <w:r w:rsidRPr="00EF33AC">
        <w:rPr>
          <w:rFonts w:eastAsia="Times New Roman"/>
          <w:bCs/>
          <w:lang w:val="en-IN" w:eastAsia="en-IN"/>
        </w:rPr>
        <w:t xml:space="preserve">Future research should focus on predictive </w:t>
      </w:r>
      <w:proofErr w:type="spellStart"/>
      <w:r w:rsidRPr="00EF33AC">
        <w:rPr>
          <w:rFonts w:eastAsia="Times New Roman"/>
          <w:bCs/>
          <w:lang w:val="en-IN" w:eastAsia="en-IN"/>
        </w:rPr>
        <w:t>modeling</w:t>
      </w:r>
      <w:proofErr w:type="spellEnd"/>
      <w:r w:rsidRPr="00EF33AC">
        <w:rPr>
          <w:rFonts w:eastAsia="Times New Roman"/>
          <w:bCs/>
          <w:lang w:val="en-IN" w:eastAsia="en-IN"/>
        </w:rPr>
        <w:t xml:space="preserve"> of land-use changes for 2035 and beyond, incorporating socioeconomic factors and urban growth drivers to refine sustainable metropolitan planning strategies for BMR.</w:t>
      </w:r>
    </w:p>
    <w:p w14:paraId="7E079B51" w14:textId="776DD92C" w:rsidR="00861AD2" w:rsidRPr="00EF33AC" w:rsidRDefault="00861AD2" w:rsidP="00121BEE">
      <w:pPr>
        <w:spacing w:after="120" w:line="276" w:lineRule="auto"/>
        <w:jc w:val="both"/>
        <w:rPr>
          <w:rFonts w:eastAsia="Times New Roman"/>
          <w:b/>
          <w:lang w:val="en-IN" w:eastAsia="en-IN"/>
        </w:rPr>
      </w:pPr>
      <w:r w:rsidRPr="00EF33AC">
        <w:rPr>
          <w:rFonts w:eastAsia="Times New Roman"/>
          <w:b/>
          <w:lang w:val="en-IN" w:eastAsia="en-IN"/>
        </w:rPr>
        <w:t>Disclaimer (Artificial intelligence)</w:t>
      </w:r>
    </w:p>
    <w:p w14:paraId="44EE4CA0" w14:textId="6B864F46" w:rsidR="00861AD2" w:rsidRPr="00EF33AC" w:rsidRDefault="00861AD2" w:rsidP="00121BEE">
      <w:pPr>
        <w:spacing w:after="120" w:line="276" w:lineRule="auto"/>
        <w:jc w:val="both"/>
        <w:rPr>
          <w:rFonts w:eastAsia="Times New Roman"/>
          <w:lang w:val="en-IN" w:eastAsia="en-IN"/>
        </w:rPr>
      </w:pPr>
      <w:r w:rsidRPr="00EF33AC">
        <w:rPr>
          <w:rFonts w:eastAsia="Times New Roman"/>
          <w:lang w:val="en-IN" w:eastAsia="en-IN"/>
        </w:rPr>
        <w:t>Author(s) hereby declare that NO generative AI technologies such as Large Language Models (</w:t>
      </w:r>
      <w:proofErr w:type="spellStart"/>
      <w:r w:rsidRPr="00EF33AC">
        <w:rPr>
          <w:rFonts w:eastAsia="Times New Roman"/>
          <w:lang w:val="en-IN" w:eastAsia="en-IN"/>
        </w:rPr>
        <w:t>ChatGPT</w:t>
      </w:r>
      <w:proofErr w:type="spellEnd"/>
      <w:r w:rsidRPr="00EF33AC">
        <w:rPr>
          <w:rFonts w:eastAsia="Times New Roman"/>
          <w:lang w:val="en-IN" w:eastAsia="en-IN"/>
        </w:rPr>
        <w:t xml:space="preserve">, COPILOT, etc.) and text-to-image generators have been used during the writing or editing of this manuscript. </w:t>
      </w:r>
    </w:p>
    <w:p w14:paraId="3A21484A" w14:textId="77777777" w:rsidR="00121BEE" w:rsidRPr="00EF33AC" w:rsidRDefault="00121BEE" w:rsidP="00121BEE">
      <w:pPr>
        <w:spacing w:after="120" w:line="276" w:lineRule="auto"/>
        <w:jc w:val="both"/>
        <w:rPr>
          <w:rFonts w:eastAsia="Times New Roman"/>
          <w:lang w:val="en-IN" w:eastAsia="en-IN"/>
        </w:rPr>
      </w:pPr>
    </w:p>
    <w:p w14:paraId="46AA82E7" w14:textId="6E3A4916" w:rsidR="00D536F4" w:rsidRPr="00EF33AC" w:rsidRDefault="0061467B" w:rsidP="0061467B">
      <w:pPr>
        <w:pStyle w:val="IEEEParagraph"/>
        <w:tabs>
          <w:tab w:val="left" w:pos="3524"/>
        </w:tabs>
        <w:ind w:hanging="5391"/>
        <w:rPr>
          <w:b/>
          <w:sz w:val="24"/>
          <w:szCs w:val="22"/>
          <w:lang w:val="en-US"/>
        </w:rPr>
      </w:pPr>
      <w:r w:rsidRPr="00EF33AC">
        <w:rPr>
          <w:lang w:val="en-US"/>
        </w:rPr>
        <w:tab/>
      </w:r>
      <w:r w:rsidR="00121BEE" w:rsidRPr="00EF33AC">
        <w:rPr>
          <w:b/>
          <w:sz w:val="24"/>
          <w:szCs w:val="22"/>
          <w:lang w:val="en-US"/>
        </w:rPr>
        <w:t xml:space="preserve">REFERENCES </w:t>
      </w:r>
    </w:p>
    <w:p w14:paraId="166CC10C" w14:textId="77777777" w:rsidR="001E1E80" w:rsidRPr="00EF33AC" w:rsidRDefault="001E1E80" w:rsidP="0061467B">
      <w:pPr>
        <w:pStyle w:val="IEEEParagraph"/>
        <w:ind w:firstLine="0"/>
        <w:rPr>
          <w:b/>
          <w:sz w:val="22"/>
          <w:szCs w:val="22"/>
          <w:lang w:val="en-US"/>
        </w:rPr>
      </w:pPr>
    </w:p>
    <w:p w14:paraId="09EFD0DA" w14:textId="7593D875"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Bangalore Metropolitan Region Development Authority (BMRDA).</w:t>
      </w:r>
      <w:r w:rsidRPr="00EF33AC">
        <w:rPr>
          <w:sz w:val="24"/>
          <w:lang w:val="en-IN" w:eastAsia="en-IN"/>
        </w:rPr>
        <w:t xml:space="preserve"> (2017). </w:t>
      </w:r>
      <w:r w:rsidRPr="00EF33AC">
        <w:rPr>
          <w:i/>
          <w:iCs/>
          <w:sz w:val="24"/>
          <w:lang w:val="en-IN" w:eastAsia="en-IN"/>
        </w:rPr>
        <w:t>Revised Structure Plan – 2031: Bangalore Metropolitan Region (Final Report).</w:t>
      </w:r>
      <w:r w:rsidRPr="00EF33AC">
        <w:rPr>
          <w:sz w:val="24"/>
          <w:lang w:val="en-IN" w:eastAsia="en-IN"/>
        </w:rPr>
        <w:t xml:space="preserve"> Bangalore: BMRDA.</w:t>
      </w:r>
    </w:p>
    <w:p w14:paraId="502BED9F" w14:textId="686A1D17"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Census of India.</w:t>
      </w:r>
      <w:r w:rsidRPr="00EF33AC">
        <w:rPr>
          <w:sz w:val="24"/>
          <w:lang w:val="en-IN" w:eastAsia="en-IN"/>
        </w:rPr>
        <w:t xml:space="preserve"> (2011). </w:t>
      </w:r>
      <w:r w:rsidRPr="00EF33AC">
        <w:rPr>
          <w:i/>
          <w:iCs/>
          <w:sz w:val="24"/>
          <w:lang w:val="en-IN" w:eastAsia="en-IN"/>
        </w:rPr>
        <w:t>Provisional Population Totals, Census 2011 – Karnataka (Series 30).</w:t>
      </w:r>
      <w:r w:rsidRPr="00EF33AC">
        <w:rPr>
          <w:sz w:val="24"/>
          <w:lang w:val="en-IN" w:eastAsia="en-IN"/>
        </w:rPr>
        <w:t xml:space="preserve"> Office of the Registrar General &amp; Census Commissioner, India.</w:t>
      </w:r>
    </w:p>
    <w:p w14:paraId="4047CFF8" w14:textId="303A8ECB" w:rsidR="00842C39" w:rsidRPr="00EF33AC" w:rsidRDefault="00842C39" w:rsidP="00121BEE">
      <w:pPr>
        <w:pStyle w:val="ListParagraph"/>
        <w:numPr>
          <w:ilvl w:val="0"/>
          <w:numId w:val="35"/>
        </w:numPr>
        <w:spacing w:line="276" w:lineRule="auto"/>
        <w:ind w:left="357" w:hanging="357"/>
        <w:rPr>
          <w:sz w:val="24"/>
          <w:lang w:val="en-IN" w:eastAsia="en-IN"/>
        </w:rPr>
      </w:pPr>
      <w:proofErr w:type="spellStart"/>
      <w:r w:rsidRPr="00EF33AC">
        <w:rPr>
          <w:b/>
          <w:bCs/>
          <w:sz w:val="24"/>
          <w:lang w:val="en-IN" w:eastAsia="en-IN"/>
        </w:rPr>
        <w:t>Dehingia</w:t>
      </w:r>
      <w:proofErr w:type="spellEnd"/>
      <w:r w:rsidRPr="00EF33AC">
        <w:rPr>
          <w:b/>
          <w:bCs/>
          <w:sz w:val="24"/>
          <w:lang w:val="en-IN" w:eastAsia="en-IN"/>
        </w:rPr>
        <w:t xml:space="preserve">, H., Das, R. R., </w:t>
      </w:r>
      <w:proofErr w:type="spellStart"/>
      <w:r w:rsidRPr="00EF33AC">
        <w:rPr>
          <w:b/>
          <w:bCs/>
          <w:sz w:val="24"/>
          <w:lang w:val="en-IN" w:eastAsia="en-IN"/>
        </w:rPr>
        <w:t>Rahaman</w:t>
      </w:r>
      <w:proofErr w:type="spellEnd"/>
      <w:r w:rsidRPr="00EF33AC">
        <w:rPr>
          <w:b/>
          <w:bCs/>
          <w:sz w:val="24"/>
          <w:lang w:val="en-IN" w:eastAsia="en-IN"/>
        </w:rPr>
        <w:t xml:space="preserve">, S. A., Surendra, P., &amp; </w:t>
      </w:r>
      <w:proofErr w:type="spellStart"/>
      <w:r w:rsidRPr="00EF33AC">
        <w:rPr>
          <w:b/>
          <w:bCs/>
          <w:sz w:val="24"/>
          <w:lang w:val="en-IN" w:eastAsia="en-IN"/>
        </w:rPr>
        <w:t>Hanjagi</w:t>
      </w:r>
      <w:proofErr w:type="spellEnd"/>
      <w:r w:rsidRPr="00EF33AC">
        <w:rPr>
          <w:b/>
          <w:bCs/>
          <w:sz w:val="24"/>
          <w:lang w:val="en-IN" w:eastAsia="en-IN"/>
        </w:rPr>
        <w:t>, A. D.</w:t>
      </w:r>
      <w:r w:rsidRPr="00EF33AC">
        <w:rPr>
          <w:sz w:val="24"/>
          <w:lang w:val="en-IN" w:eastAsia="en-IN"/>
        </w:rPr>
        <w:t xml:space="preserve"> (2022). </w:t>
      </w:r>
      <w:r w:rsidRPr="00EF33AC">
        <w:rPr>
          <w:i/>
          <w:iCs/>
          <w:sz w:val="24"/>
          <w:lang w:val="en-IN" w:eastAsia="en-IN"/>
        </w:rPr>
        <w:t>Decadal transformation of land use-land cover and future spatial expansion in Bangalore Metropolitan Region, India: Open-source geospatial machine learning approach.</w:t>
      </w:r>
      <w:r w:rsidRPr="00EF33AC">
        <w:rPr>
          <w:sz w:val="24"/>
          <w:lang w:val="en-IN" w:eastAsia="en-IN"/>
        </w:rPr>
        <w:t xml:space="preserve"> International Archives of the Photogrammetry, Remote Sensing and Spatial Information Sciences, XLIII-B3-2022, 589–596.</w:t>
      </w:r>
    </w:p>
    <w:p w14:paraId="1E022374" w14:textId="2E65E968"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 xml:space="preserve">Edwin, K., </w:t>
      </w:r>
      <w:proofErr w:type="spellStart"/>
      <w:r w:rsidRPr="00EF33AC">
        <w:rPr>
          <w:b/>
          <w:bCs/>
          <w:sz w:val="24"/>
          <w:lang w:val="en-IN" w:eastAsia="en-IN"/>
        </w:rPr>
        <w:t>Adiel</w:t>
      </w:r>
      <w:proofErr w:type="spellEnd"/>
      <w:r w:rsidRPr="00EF33AC">
        <w:rPr>
          <w:b/>
          <w:bCs/>
          <w:sz w:val="24"/>
          <w:lang w:val="en-IN" w:eastAsia="en-IN"/>
        </w:rPr>
        <w:t>, M., &amp; Cyprian, N.</w:t>
      </w:r>
      <w:r w:rsidRPr="00EF33AC">
        <w:rPr>
          <w:sz w:val="24"/>
          <w:lang w:val="en-IN" w:eastAsia="en-IN"/>
        </w:rPr>
        <w:t xml:space="preserve"> (2019). </w:t>
      </w:r>
      <w:r w:rsidRPr="00EF33AC">
        <w:rPr>
          <w:i/>
          <w:iCs/>
          <w:sz w:val="24"/>
          <w:lang w:val="en-IN" w:eastAsia="en-IN"/>
        </w:rPr>
        <w:t>Spatial-temporal changes in land use land cover and its impacts on wildlife conservation in Meru Conservation Area, Kenya.</w:t>
      </w:r>
      <w:r w:rsidRPr="00EF33AC">
        <w:rPr>
          <w:sz w:val="24"/>
          <w:lang w:val="en-IN" w:eastAsia="en-IN"/>
        </w:rPr>
        <w:t xml:space="preserve"> Asian Journal of Environment &amp; Ecology, 10(3), 1–10.</w:t>
      </w:r>
    </w:p>
    <w:p w14:paraId="5316E21F" w14:textId="326BB342"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Government of India.</w:t>
      </w:r>
      <w:r w:rsidRPr="00EF33AC">
        <w:rPr>
          <w:sz w:val="24"/>
          <w:lang w:val="en-IN" w:eastAsia="en-IN"/>
        </w:rPr>
        <w:t xml:space="preserve"> (2015). </w:t>
      </w:r>
      <w:r w:rsidRPr="00EF33AC">
        <w:rPr>
          <w:i/>
          <w:iCs/>
          <w:sz w:val="24"/>
          <w:lang w:val="en-IN" w:eastAsia="en-IN"/>
        </w:rPr>
        <w:t>Smart Cities Mission: A step towards smart India.</w:t>
      </w:r>
      <w:r w:rsidRPr="00EF33AC">
        <w:rPr>
          <w:sz w:val="24"/>
          <w:lang w:val="en-IN" w:eastAsia="en-IN"/>
        </w:rPr>
        <w:t xml:space="preserve"> Ministry of Housing and Urban Affairs, Government of India. Retrieved from </w:t>
      </w:r>
      <w:hyperlink r:id="rId11" w:tgtFrame="_new" w:history="1">
        <w:r w:rsidRPr="00EF33AC">
          <w:rPr>
            <w:color w:val="0000FF"/>
            <w:sz w:val="24"/>
            <w:u w:val="single"/>
            <w:lang w:val="en-IN" w:eastAsia="en-IN"/>
          </w:rPr>
          <w:t>https://www.india.gov.in/spotlight/smart-cities-mission-step-towards-smart-india</w:t>
        </w:r>
      </w:hyperlink>
    </w:p>
    <w:p w14:paraId="2FED95F4" w14:textId="786B6E16" w:rsidR="00842C39" w:rsidRPr="00EF33AC" w:rsidRDefault="00842C39" w:rsidP="00121BEE">
      <w:pPr>
        <w:pStyle w:val="ListParagraph"/>
        <w:numPr>
          <w:ilvl w:val="0"/>
          <w:numId w:val="35"/>
        </w:numPr>
        <w:spacing w:line="276" w:lineRule="auto"/>
        <w:ind w:left="357" w:hanging="357"/>
        <w:rPr>
          <w:sz w:val="24"/>
          <w:lang w:val="en-IN" w:eastAsia="en-IN"/>
        </w:rPr>
      </w:pPr>
      <w:proofErr w:type="spellStart"/>
      <w:r w:rsidRPr="00EF33AC">
        <w:rPr>
          <w:b/>
          <w:bCs/>
          <w:sz w:val="24"/>
          <w:lang w:val="en-IN" w:eastAsia="en-IN"/>
        </w:rPr>
        <w:t>Hollyhead</w:t>
      </w:r>
      <w:proofErr w:type="spellEnd"/>
      <w:r w:rsidRPr="00EF33AC">
        <w:rPr>
          <w:b/>
          <w:bCs/>
          <w:sz w:val="24"/>
          <w:lang w:val="en-IN" w:eastAsia="en-IN"/>
        </w:rPr>
        <w:t>, S., Ramachandra, T. V., &amp; Kumar, U.</w:t>
      </w:r>
      <w:r w:rsidRPr="00EF33AC">
        <w:rPr>
          <w:sz w:val="24"/>
          <w:lang w:val="en-IN" w:eastAsia="en-IN"/>
        </w:rPr>
        <w:t xml:space="preserve"> (2022). </w:t>
      </w:r>
      <w:r w:rsidRPr="00EF33AC">
        <w:rPr>
          <w:i/>
          <w:iCs/>
          <w:sz w:val="24"/>
          <w:lang w:val="en-IN" w:eastAsia="en-IN"/>
        </w:rPr>
        <w:t>Impact of land use and land cover changes on urban water resources: A case study of Bengaluru, India.</w:t>
      </w:r>
      <w:r w:rsidRPr="00EF33AC">
        <w:rPr>
          <w:sz w:val="24"/>
          <w:lang w:val="en-IN" w:eastAsia="en-IN"/>
        </w:rPr>
        <w:t xml:space="preserve"> Environmental Management Journal, 56(4), 112–125.</w:t>
      </w:r>
    </w:p>
    <w:p w14:paraId="489E918C" w14:textId="1AF29B7E" w:rsidR="00842C39" w:rsidRPr="00EF33AC" w:rsidRDefault="00842C39" w:rsidP="00121BEE">
      <w:pPr>
        <w:pStyle w:val="ListParagraph"/>
        <w:numPr>
          <w:ilvl w:val="0"/>
          <w:numId w:val="35"/>
        </w:numPr>
        <w:spacing w:line="276" w:lineRule="auto"/>
        <w:ind w:left="357" w:hanging="357"/>
        <w:rPr>
          <w:sz w:val="24"/>
          <w:lang w:val="en-IN" w:eastAsia="en-IN"/>
        </w:rPr>
      </w:pPr>
      <w:proofErr w:type="spellStart"/>
      <w:r w:rsidRPr="00EF33AC">
        <w:rPr>
          <w:b/>
          <w:bCs/>
          <w:sz w:val="24"/>
          <w:lang w:val="en-IN" w:eastAsia="en-IN"/>
        </w:rPr>
        <w:t>Janaagraha</w:t>
      </w:r>
      <w:proofErr w:type="spellEnd"/>
      <w:r w:rsidRPr="00EF33AC">
        <w:rPr>
          <w:b/>
          <w:bCs/>
          <w:sz w:val="24"/>
          <w:lang w:val="en-IN" w:eastAsia="en-IN"/>
        </w:rPr>
        <w:t xml:space="preserve"> Centre for Citizenship and Democracy.</w:t>
      </w:r>
      <w:r w:rsidRPr="00EF33AC">
        <w:rPr>
          <w:sz w:val="24"/>
          <w:lang w:val="en-IN" w:eastAsia="en-IN"/>
        </w:rPr>
        <w:t xml:space="preserve"> (2021). </w:t>
      </w:r>
      <w:r w:rsidRPr="00EF33AC">
        <w:rPr>
          <w:i/>
          <w:iCs/>
          <w:sz w:val="24"/>
          <w:lang w:val="en-IN" w:eastAsia="en-IN"/>
        </w:rPr>
        <w:t>Annual Survey of India’s City-Systems 2020.</w:t>
      </w:r>
      <w:r w:rsidRPr="00EF33AC">
        <w:rPr>
          <w:sz w:val="24"/>
          <w:lang w:val="en-IN" w:eastAsia="en-IN"/>
        </w:rPr>
        <w:t xml:space="preserve"> Bangalore: </w:t>
      </w:r>
      <w:proofErr w:type="spellStart"/>
      <w:r w:rsidRPr="00EF33AC">
        <w:rPr>
          <w:sz w:val="24"/>
          <w:lang w:val="en-IN" w:eastAsia="en-IN"/>
        </w:rPr>
        <w:t>Janaagraha</w:t>
      </w:r>
      <w:proofErr w:type="spellEnd"/>
      <w:r w:rsidRPr="00EF33AC">
        <w:rPr>
          <w:sz w:val="24"/>
          <w:lang w:val="en-IN" w:eastAsia="en-IN"/>
        </w:rPr>
        <w:t>.</w:t>
      </w:r>
    </w:p>
    <w:p w14:paraId="064294E2" w14:textId="1B4CF2A5"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Li, X., Zhang, Y., Xu, X., &amp; Wang, H.</w:t>
      </w:r>
      <w:r w:rsidRPr="00EF33AC">
        <w:rPr>
          <w:sz w:val="24"/>
          <w:lang w:val="en-IN" w:eastAsia="en-IN"/>
        </w:rPr>
        <w:t xml:space="preserve"> (2020). </w:t>
      </w:r>
      <w:r w:rsidRPr="00EF33AC">
        <w:rPr>
          <w:i/>
          <w:iCs/>
          <w:sz w:val="24"/>
          <w:lang w:val="en-IN" w:eastAsia="en-IN"/>
        </w:rPr>
        <w:t>Urban expansion and its environmental impact in Asia: A spatiotemporal perspective.</w:t>
      </w:r>
      <w:r w:rsidRPr="00EF33AC">
        <w:rPr>
          <w:sz w:val="24"/>
          <w:lang w:val="en-IN" w:eastAsia="en-IN"/>
        </w:rPr>
        <w:t xml:space="preserve"> Remote Sensing Applications: Society and Environment, 19, 100351.</w:t>
      </w:r>
    </w:p>
    <w:p w14:paraId="43566098" w14:textId="55659FA3"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McKinsey Global Institute.</w:t>
      </w:r>
      <w:r w:rsidRPr="00EF33AC">
        <w:rPr>
          <w:sz w:val="24"/>
          <w:lang w:val="en-IN" w:eastAsia="en-IN"/>
        </w:rPr>
        <w:t xml:space="preserve"> (2010). </w:t>
      </w:r>
      <w:r w:rsidRPr="00EF33AC">
        <w:rPr>
          <w:i/>
          <w:iCs/>
          <w:sz w:val="24"/>
          <w:lang w:val="en-IN" w:eastAsia="en-IN"/>
        </w:rPr>
        <w:t>India’s urban awakening: Building inclusive cities, sustaining economic growth.</w:t>
      </w:r>
      <w:r w:rsidRPr="00EF33AC">
        <w:rPr>
          <w:sz w:val="24"/>
          <w:lang w:val="en-IN" w:eastAsia="en-IN"/>
        </w:rPr>
        <w:t xml:space="preserve"> McKinsey &amp; Company.</w:t>
      </w:r>
    </w:p>
    <w:p w14:paraId="63C46D6D" w14:textId="7EDFA337"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National Institute of Urban Affairs (NIUA).</w:t>
      </w:r>
      <w:r w:rsidRPr="00EF33AC">
        <w:rPr>
          <w:sz w:val="24"/>
          <w:lang w:val="en-IN" w:eastAsia="en-IN"/>
        </w:rPr>
        <w:t xml:space="preserve"> (2022). </w:t>
      </w:r>
      <w:r w:rsidRPr="00EF33AC">
        <w:rPr>
          <w:i/>
          <w:iCs/>
          <w:sz w:val="24"/>
          <w:lang w:val="en-IN" w:eastAsia="en-IN"/>
        </w:rPr>
        <w:t>About NIUA – Shaping India’s Urban Future.</w:t>
      </w:r>
      <w:r w:rsidRPr="00EF33AC">
        <w:rPr>
          <w:sz w:val="24"/>
          <w:lang w:val="en-IN" w:eastAsia="en-IN"/>
        </w:rPr>
        <w:t xml:space="preserve"> New Delhi: NIUA. Retrieved from </w:t>
      </w:r>
      <w:hyperlink r:id="rId12" w:tgtFrame="_new" w:history="1">
        <w:r w:rsidRPr="00EF33AC">
          <w:rPr>
            <w:color w:val="0000FF"/>
            <w:sz w:val="24"/>
            <w:u w:val="single"/>
            <w:lang w:val="en-IN" w:eastAsia="en-IN"/>
          </w:rPr>
          <w:t>https://niua.in</w:t>
        </w:r>
      </w:hyperlink>
    </w:p>
    <w:p w14:paraId="01A6D002" w14:textId="50CF2D06"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lastRenderedPageBreak/>
        <w:t>NITI Aayog.</w:t>
      </w:r>
      <w:r w:rsidRPr="00EF33AC">
        <w:rPr>
          <w:sz w:val="24"/>
          <w:lang w:val="en-IN" w:eastAsia="en-IN"/>
        </w:rPr>
        <w:t xml:space="preserve"> (2021). </w:t>
      </w:r>
      <w:r w:rsidRPr="00EF33AC">
        <w:rPr>
          <w:i/>
          <w:iCs/>
          <w:sz w:val="24"/>
          <w:lang w:val="en-IN" w:eastAsia="en-IN"/>
        </w:rPr>
        <w:t>Reforms in Urban Planning Capacity in India (Report of the Advisory Committee).</w:t>
      </w:r>
      <w:r w:rsidRPr="00EF33AC">
        <w:rPr>
          <w:sz w:val="24"/>
          <w:lang w:val="en-IN" w:eastAsia="en-IN"/>
        </w:rPr>
        <w:t xml:space="preserve"> New Delhi: NITI Aayog.</w:t>
      </w:r>
    </w:p>
    <w:p w14:paraId="7786954B" w14:textId="75A5E530"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 xml:space="preserve">Ramachandra, T. V., &amp; </w:t>
      </w:r>
      <w:proofErr w:type="spellStart"/>
      <w:r w:rsidRPr="00EF33AC">
        <w:rPr>
          <w:b/>
          <w:bCs/>
          <w:sz w:val="24"/>
          <w:lang w:val="en-IN" w:eastAsia="en-IN"/>
        </w:rPr>
        <w:t>Aithal</w:t>
      </w:r>
      <w:proofErr w:type="spellEnd"/>
      <w:r w:rsidRPr="00EF33AC">
        <w:rPr>
          <w:b/>
          <w:bCs/>
          <w:sz w:val="24"/>
          <w:lang w:val="en-IN" w:eastAsia="en-IN"/>
        </w:rPr>
        <w:t>, B. H.</w:t>
      </w:r>
      <w:r w:rsidRPr="00EF33AC">
        <w:rPr>
          <w:sz w:val="24"/>
          <w:lang w:val="en-IN" w:eastAsia="en-IN"/>
        </w:rPr>
        <w:t xml:space="preserve"> (2016). </w:t>
      </w:r>
      <w:r w:rsidRPr="00EF33AC">
        <w:rPr>
          <w:i/>
          <w:iCs/>
          <w:sz w:val="24"/>
          <w:lang w:val="en-IN" w:eastAsia="en-IN"/>
        </w:rPr>
        <w:t xml:space="preserve">Bengaluru’s reality: Towards </w:t>
      </w:r>
      <w:proofErr w:type="spellStart"/>
      <w:r w:rsidRPr="00EF33AC">
        <w:rPr>
          <w:i/>
          <w:iCs/>
          <w:sz w:val="24"/>
          <w:lang w:val="en-IN" w:eastAsia="en-IN"/>
        </w:rPr>
        <w:t>unlivable</w:t>
      </w:r>
      <w:proofErr w:type="spellEnd"/>
      <w:r w:rsidRPr="00EF33AC">
        <w:rPr>
          <w:i/>
          <w:iCs/>
          <w:sz w:val="24"/>
          <w:lang w:val="en-IN" w:eastAsia="en-IN"/>
        </w:rPr>
        <w:t xml:space="preserve"> status with unplanned urban trajectory.</w:t>
      </w:r>
      <w:r w:rsidRPr="00EF33AC">
        <w:rPr>
          <w:sz w:val="24"/>
          <w:lang w:val="en-IN" w:eastAsia="en-IN"/>
        </w:rPr>
        <w:t xml:space="preserve"> Current Science, 110(12), 2207–2208.</w:t>
      </w:r>
    </w:p>
    <w:p w14:paraId="011A63C6" w14:textId="3722C0CA"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 xml:space="preserve">Ramachandra, T. V., Mondal, T., </w:t>
      </w:r>
      <w:proofErr w:type="spellStart"/>
      <w:r w:rsidRPr="00EF33AC">
        <w:rPr>
          <w:b/>
          <w:bCs/>
          <w:sz w:val="24"/>
          <w:lang w:val="en-IN" w:eastAsia="en-IN"/>
        </w:rPr>
        <w:t>Setturu</w:t>
      </w:r>
      <w:proofErr w:type="spellEnd"/>
      <w:r w:rsidRPr="00EF33AC">
        <w:rPr>
          <w:b/>
          <w:bCs/>
          <w:sz w:val="24"/>
          <w:lang w:val="en-IN" w:eastAsia="en-IN"/>
        </w:rPr>
        <w:t xml:space="preserve">, B., &amp; </w:t>
      </w:r>
      <w:proofErr w:type="spellStart"/>
      <w:r w:rsidRPr="00EF33AC">
        <w:rPr>
          <w:b/>
          <w:bCs/>
          <w:sz w:val="24"/>
          <w:lang w:val="en-IN" w:eastAsia="en-IN"/>
        </w:rPr>
        <w:t>Aithal</w:t>
      </w:r>
      <w:proofErr w:type="spellEnd"/>
      <w:r w:rsidRPr="00EF33AC">
        <w:rPr>
          <w:b/>
          <w:bCs/>
          <w:sz w:val="24"/>
          <w:lang w:val="en-IN" w:eastAsia="en-IN"/>
        </w:rPr>
        <w:t>, B. H.</w:t>
      </w:r>
      <w:r w:rsidRPr="00EF33AC">
        <w:rPr>
          <w:sz w:val="24"/>
          <w:lang w:val="en-IN" w:eastAsia="en-IN"/>
        </w:rPr>
        <w:t xml:space="preserve"> (2023). </w:t>
      </w:r>
      <w:r w:rsidRPr="00EF33AC">
        <w:rPr>
          <w:i/>
          <w:iCs/>
          <w:sz w:val="24"/>
          <w:lang w:val="en-IN" w:eastAsia="en-IN"/>
        </w:rPr>
        <w:t>Environmental consequences in the neighbourhood of rapid unplanned urbanisation in Bangalore City.</w:t>
      </w:r>
      <w:r w:rsidRPr="00EF33AC">
        <w:rPr>
          <w:sz w:val="24"/>
          <w:lang w:val="en-IN" w:eastAsia="en-IN"/>
        </w:rPr>
        <w:t xml:space="preserve"> Advances in Environmental and Engineering Research, 4(4), 052.</w:t>
      </w:r>
    </w:p>
    <w:p w14:paraId="6C7255CE" w14:textId="7CE803EC"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Smart Cities Mission.</w:t>
      </w:r>
      <w:r w:rsidRPr="00EF33AC">
        <w:rPr>
          <w:sz w:val="24"/>
          <w:lang w:val="en-IN" w:eastAsia="en-IN"/>
        </w:rPr>
        <w:t xml:space="preserve"> (2015). </w:t>
      </w:r>
      <w:r w:rsidRPr="00EF33AC">
        <w:rPr>
          <w:i/>
          <w:iCs/>
          <w:sz w:val="24"/>
          <w:lang w:val="en-IN" w:eastAsia="en-IN"/>
        </w:rPr>
        <w:t>A step towards smart India.</w:t>
      </w:r>
      <w:r w:rsidRPr="00EF33AC">
        <w:rPr>
          <w:sz w:val="24"/>
          <w:lang w:val="en-IN" w:eastAsia="en-IN"/>
        </w:rPr>
        <w:t xml:space="preserve"> Ministry of Housing and Urban Affairs, Government of India.</w:t>
      </w:r>
    </w:p>
    <w:p w14:paraId="7952A67C" w14:textId="29F990B3" w:rsidR="00842C39" w:rsidRPr="00EF33AC" w:rsidRDefault="00842C39" w:rsidP="00121BEE">
      <w:pPr>
        <w:pStyle w:val="ListParagraph"/>
        <w:numPr>
          <w:ilvl w:val="0"/>
          <w:numId w:val="35"/>
        </w:numPr>
        <w:spacing w:line="276" w:lineRule="auto"/>
        <w:ind w:left="357" w:hanging="357"/>
        <w:rPr>
          <w:sz w:val="24"/>
          <w:lang w:val="en-IN" w:eastAsia="en-IN"/>
        </w:rPr>
      </w:pPr>
      <w:proofErr w:type="spellStart"/>
      <w:r w:rsidRPr="00EF33AC">
        <w:rPr>
          <w:b/>
          <w:bCs/>
          <w:sz w:val="24"/>
          <w:lang w:val="en-IN" w:eastAsia="en-IN"/>
        </w:rPr>
        <w:t>Sudhira</w:t>
      </w:r>
      <w:proofErr w:type="spellEnd"/>
      <w:r w:rsidRPr="00EF33AC">
        <w:rPr>
          <w:b/>
          <w:bCs/>
          <w:sz w:val="24"/>
          <w:lang w:val="en-IN" w:eastAsia="en-IN"/>
        </w:rPr>
        <w:t>, H. S., Ramachandra, T. V., &amp; Jagadish, K. S.</w:t>
      </w:r>
      <w:r w:rsidRPr="00EF33AC">
        <w:rPr>
          <w:sz w:val="24"/>
          <w:lang w:val="en-IN" w:eastAsia="en-IN"/>
        </w:rPr>
        <w:t xml:space="preserve"> (2004). </w:t>
      </w:r>
      <w:r w:rsidRPr="00EF33AC">
        <w:rPr>
          <w:i/>
          <w:iCs/>
          <w:sz w:val="24"/>
          <w:lang w:val="en-IN" w:eastAsia="en-IN"/>
        </w:rPr>
        <w:t xml:space="preserve">Urban sprawl: Metrics, dynamics, and </w:t>
      </w:r>
      <w:proofErr w:type="spellStart"/>
      <w:r w:rsidRPr="00EF33AC">
        <w:rPr>
          <w:i/>
          <w:iCs/>
          <w:sz w:val="24"/>
          <w:lang w:val="en-IN" w:eastAsia="en-IN"/>
        </w:rPr>
        <w:t>modeling</w:t>
      </w:r>
      <w:proofErr w:type="spellEnd"/>
      <w:r w:rsidRPr="00EF33AC">
        <w:rPr>
          <w:i/>
          <w:iCs/>
          <w:sz w:val="24"/>
          <w:lang w:val="en-IN" w:eastAsia="en-IN"/>
        </w:rPr>
        <w:t xml:space="preserve"> using GIS.</w:t>
      </w:r>
      <w:r w:rsidRPr="00EF33AC">
        <w:rPr>
          <w:sz w:val="24"/>
          <w:lang w:val="en-IN" w:eastAsia="en-IN"/>
        </w:rPr>
        <w:t xml:space="preserve"> International Journal of Applied Earth Observation and Geoinformation, 5(1), 29–39.</w:t>
      </w:r>
    </w:p>
    <w:p w14:paraId="72C9E8F1" w14:textId="249B6178" w:rsidR="00842C39" w:rsidRPr="00EF33AC" w:rsidRDefault="00842C39" w:rsidP="00121BEE">
      <w:pPr>
        <w:pStyle w:val="ListParagraph"/>
        <w:numPr>
          <w:ilvl w:val="0"/>
          <w:numId w:val="35"/>
        </w:numPr>
        <w:spacing w:line="276" w:lineRule="auto"/>
        <w:ind w:left="357" w:hanging="357"/>
        <w:rPr>
          <w:sz w:val="24"/>
          <w:lang w:val="en-IN" w:eastAsia="en-IN"/>
        </w:rPr>
      </w:pPr>
      <w:proofErr w:type="spellStart"/>
      <w:r w:rsidRPr="00EF33AC">
        <w:rPr>
          <w:b/>
          <w:bCs/>
          <w:sz w:val="24"/>
          <w:lang w:val="en-IN" w:eastAsia="en-IN"/>
        </w:rPr>
        <w:t>Sundaresan</w:t>
      </w:r>
      <w:proofErr w:type="spellEnd"/>
      <w:r w:rsidRPr="00EF33AC">
        <w:rPr>
          <w:b/>
          <w:bCs/>
          <w:sz w:val="24"/>
          <w:lang w:val="en-IN" w:eastAsia="en-IN"/>
        </w:rPr>
        <w:t>, J.</w:t>
      </w:r>
      <w:r w:rsidRPr="00EF33AC">
        <w:rPr>
          <w:sz w:val="24"/>
          <w:lang w:val="en-IN" w:eastAsia="en-IN"/>
        </w:rPr>
        <w:t xml:space="preserve"> (2019). </w:t>
      </w:r>
      <w:r w:rsidRPr="00EF33AC">
        <w:rPr>
          <w:i/>
          <w:iCs/>
          <w:sz w:val="24"/>
          <w:lang w:val="en-IN" w:eastAsia="en-IN"/>
        </w:rPr>
        <w:t>Urban planning in vernacular governance: Land use planning and violations in Bangalore, India.</w:t>
      </w:r>
      <w:r w:rsidRPr="00EF33AC">
        <w:rPr>
          <w:sz w:val="24"/>
          <w:lang w:val="en-IN" w:eastAsia="en-IN"/>
        </w:rPr>
        <w:t xml:space="preserve"> Progress in Planning, 127, 1–23.</w:t>
      </w:r>
    </w:p>
    <w:p w14:paraId="46FA562B" w14:textId="122C1364"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Times of India.</w:t>
      </w:r>
      <w:r w:rsidRPr="00EF33AC">
        <w:rPr>
          <w:sz w:val="24"/>
          <w:lang w:val="en-IN" w:eastAsia="en-IN"/>
        </w:rPr>
        <w:t xml:space="preserve"> (2024, March 6). </w:t>
      </w:r>
      <w:r w:rsidRPr="00EF33AC">
        <w:rPr>
          <w:i/>
          <w:iCs/>
          <w:sz w:val="24"/>
          <w:lang w:val="en-IN" w:eastAsia="en-IN"/>
        </w:rPr>
        <w:t>Why Bengaluru is facing acute water shortage.</w:t>
      </w:r>
      <w:r w:rsidRPr="00EF33AC">
        <w:rPr>
          <w:sz w:val="24"/>
          <w:lang w:val="en-IN" w:eastAsia="en-IN"/>
        </w:rPr>
        <w:t xml:space="preserve"> Times News Network. Retrieved from </w:t>
      </w:r>
      <w:hyperlink r:id="rId13" w:tgtFrame="_new" w:history="1">
        <w:r w:rsidRPr="00EF33AC">
          <w:rPr>
            <w:color w:val="0000FF"/>
            <w:sz w:val="24"/>
            <w:u w:val="single"/>
            <w:lang w:val="en-IN" w:eastAsia="en-IN"/>
          </w:rPr>
          <w:t>https://timesofindia.indiatimes.com</w:t>
        </w:r>
      </w:hyperlink>
    </w:p>
    <w:p w14:paraId="0CC889C3" w14:textId="4F0CF0F7"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United Nations Department of Economic and Social Affairs (UN DESA).</w:t>
      </w:r>
      <w:r w:rsidRPr="00EF33AC">
        <w:rPr>
          <w:sz w:val="24"/>
          <w:lang w:val="en-IN" w:eastAsia="en-IN"/>
        </w:rPr>
        <w:t xml:space="preserve"> (2018). </w:t>
      </w:r>
      <w:r w:rsidRPr="00EF33AC">
        <w:rPr>
          <w:i/>
          <w:iCs/>
          <w:sz w:val="24"/>
          <w:lang w:val="en-IN" w:eastAsia="en-IN"/>
        </w:rPr>
        <w:t>World urbanization prospects: 2018 revision.</w:t>
      </w:r>
      <w:r w:rsidRPr="00EF33AC">
        <w:rPr>
          <w:sz w:val="24"/>
          <w:lang w:val="en-IN" w:eastAsia="en-IN"/>
        </w:rPr>
        <w:t xml:space="preserve"> United Nations.</w:t>
      </w:r>
    </w:p>
    <w:p w14:paraId="0459C507" w14:textId="652D93A9"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United Nations, General Assembly.</w:t>
      </w:r>
      <w:r w:rsidRPr="00EF33AC">
        <w:rPr>
          <w:sz w:val="24"/>
          <w:lang w:val="en-IN" w:eastAsia="en-IN"/>
        </w:rPr>
        <w:t xml:space="preserve"> (2015). </w:t>
      </w:r>
      <w:r w:rsidRPr="00EF33AC">
        <w:rPr>
          <w:i/>
          <w:iCs/>
          <w:sz w:val="24"/>
          <w:lang w:val="en-IN" w:eastAsia="en-IN"/>
        </w:rPr>
        <w:t>Transforming our world: The 2030 Agenda for Sustainable Development (A/RES/70/1).</w:t>
      </w:r>
      <w:r w:rsidRPr="00EF33AC">
        <w:rPr>
          <w:sz w:val="24"/>
          <w:lang w:val="en-IN" w:eastAsia="en-IN"/>
        </w:rPr>
        <w:t xml:space="preserve"> New York: United Nations.</w:t>
      </w:r>
    </w:p>
    <w:p w14:paraId="02E84017" w14:textId="59D762BA"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UN-Habitat.</w:t>
      </w:r>
      <w:r w:rsidRPr="00EF33AC">
        <w:rPr>
          <w:sz w:val="24"/>
          <w:lang w:val="en-IN" w:eastAsia="en-IN"/>
        </w:rPr>
        <w:t xml:space="preserve"> (2017). </w:t>
      </w:r>
      <w:r w:rsidRPr="00EF33AC">
        <w:rPr>
          <w:i/>
          <w:iCs/>
          <w:sz w:val="24"/>
          <w:lang w:val="en-IN" w:eastAsia="en-IN"/>
        </w:rPr>
        <w:t>New Urban Agenda.</w:t>
      </w:r>
      <w:r w:rsidRPr="00EF33AC">
        <w:rPr>
          <w:sz w:val="24"/>
          <w:lang w:val="en-IN" w:eastAsia="en-IN"/>
        </w:rPr>
        <w:t xml:space="preserve"> Quito: United Nations Conference on Housing and Sustainable Urban Development.</w:t>
      </w:r>
    </w:p>
    <w:p w14:paraId="22EF5BB8" w14:textId="5F43AB17"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UN-Habitat.</w:t>
      </w:r>
      <w:r w:rsidRPr="00EF33AC">
        <w:rPr>
          <w:sz w:val="24"/>
          <w:lang w:val="en-IN" w:eastAsia="en-IN"/>
        </w:rPr>
        <w:t xml:space="preserve"> (2022). </w:t>
      </w:r>
      <w:r w:rsidRPr="00EF33AC">
        <w:rPr>
          <w:i/>
          <w:iCs/>
          <w:sz w:val="24"/>
          <w:lang w:val="en-IN" w:eastAsia="en-IN"/>
        </w:rPr>
        <w:t>World Cities Report 2022: Envisaging the Future of Cities.</w:t>
      </w:r>
      <w:r w:rsidRPr="00EF33AC">
        <w:rPr>
          <w:sz w:val="24"/>
          <w:lang w:val="en-IN" w:eastAsia="en-IN"/>
        </w:rPr>
        <w:t xml:space="preserve"> Nairobi: United Nations Human Settlements Programme.</w:t>
      </w:r>
    </w:p>
    <w:p w14:paraId="539E5F83" w14:textId="0C6D9D29"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World Bank.</w:t>
      </w:r>
      <w:r w:rsidRPr="00EF33AC">
        <w:rPr>
          <w:sz w:val="24"/>
          <w:lang w:val="en-IN" w:eastAsia="en-IN"/>
        </w:rPr>
        <w:t xml:space="preserve"> (2013). </w:t>
      </w:r>
      <w:r w:rsidRPr="00EF33AC">
        <w:rPr>
          <w:i/>
          <w:iCs/>
          <w:sz w:val="24"/>
          <w:lang w:val="en-IN" w:eastAsia="en-IN"/>
        </w:rPr>
        <w:t>Urbanization beyond municipal boundaries: Nurturing metropolitan economies and connecting peri-urban areas in India.</w:t>
      </w:r>
      <w:r w:rsidRPr="00EF33AC">
        <w:rPr>
          <w:sz w:val="24"/>
          <w:lang w:val="en-IN" w:eastAsia="en-IN"/>
        </w:rPr>
        <w:t xml:space="preserve"> Washington, DC: World Bank.</w:t>
      </w:r>
    </w:p>
    <w:p w14:paraId="7DC301DF" w14:textId="49E63AD8"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World Bank.</w:t>
      </w:r>
      <w:r w:rsidRPr="00EF33AC">
        <w:rPr>
          <w:sz w:val="24"/>
          <w:lang w:val="en-IN" w:eastAsia="en-IN"/>
        </w:rPr>
        <w:t xml:space="preserve"> (2016). </w:t>
      </w:r>
      <w:r w:rsidRPr="00EF33AC">
        <w:rPr>
          <w:i/>
          <w:iCs/>
          <w:sz w:val="24"/>
          <w:lang w:val="en-IN" w:eastAsia="en-IN"/>
        </w:rPr>
        <w:t xml:space="preserve">Leveraging Urbanization in South Asia: Managing Spatial Transformation for Prosperity and </w:t>
      </w:r>
      <w:proofErr w:type="spellStart"/>
      <w:r w:rsidRPr="00EF33AC">
        <w:rPr>
          <w:i/>
          <w:iCs/>
          <w:sz w:val="24"/>
          <w:lang w:val="en-IN" w:eastAsia="en-IN"/>
        </w:rPr>
        <w:t>Livability</w:t>
      </w:r>
      <w:proofErr w:type="spellEnd"/>
      <w:r w:rsidRPr="00EF33AC">
        <w:rPr>
          <w:i/>
          <w:iCs/>
          <w:sz w:val="24"/>
          <w:lang w:val="en-IN" w:eastAsia="en-IN"/>
        </w:rPr>
        <w:t>.</w:t>
      </w:r>
      <w:r w:rsidRPr="00EF33AC">
        <w:rPr>
          <w:sz w:val="24"/>
          <w:lang w:val="en-IN" w:eastAsia="en-IN"/>
        </w:rPr>
        <w:t xml:space="preserve"> Washington, DC: World Bank.</w:t>
      </w:r>
    </w:p>
    <w:p w14:paraId="3D2BCDAF" w14:textId="6105358E" w:rsidR="00842C39" w:rsidRPr="00EF33AC" w:rsidRDefault="00842C39" w:rsidP="00121BEE">
      <w:pPr>
        <w:pStyle w:val="ListParagraph"/>
        <w:numPr>
          <w:ilvl w:val="0"/>
          <w:numId w:val="35"/>
        </w:numPr>
        <w:spacing w:line="276" w:lineRule="auto"/>
        <w:ind w:left="357" w:hanging="357"/>
        <w:rPr>
          <w:sz w:val="24"/>
          <w:lang w:val="en-IN" w:eastAsia="en-IN"/>
        </w:rPr>
      </w:pPr>
      <w:r w:rsidRPr="00EF33AC">
        <w:rPr>
          <w:b/>
          <w:bCs/>
          <w:sz w:val="24"/>
          <w:lang w:val="en-IN" w:eastAsia="en-IN"/>
        </w:rPr>
        <w:t>World Bank.</w:t>
      </w:r>
      <w:r w:rsidRPr="00EF33AC">
        <w:rPr>
          <w:sz w:val="24"/>
          <w:lang w:val="en-IN" w:eastAsia="en-IN"/>
        </w:rPr>
        <w:t xml:space="preserve"> (2024). </w:t>
      </w:r>
      <w:r w:rsidRPr="00EF33AC">
        <w:rPr>
          <w:i/>
          <w:iCs/>
          <w:sz w:val="24"/>
          <w:lang w:val="en-IN" w:eastAsia="en-IN"/>
        </w:rPr>
        <w:t>Gearing up for India’s rapid urban transformation.</w:t>
      </w:r>
      <w:r w:rsidRPr="00EF33AC">
        <w:rPr>
          <w:sz w:val="24"/>
          <w:lang w:val="en-IN" w:eastAsia="en-IN"/>
        </w:rPr>
        <w:t xml:space="preserve"> Retrieved January 30, 2024, from </w:t>
      </w:r>
      <w:hyperlink r:id="rId14" w:tgtFrame="_new" w:history="1">
        <w:r w:rsidRPr="00EF33AC">
          <w:rPr>
            <w:color w:val="0000FF"/>
            <w:sz w:val="24"/>
            <w:u w:val="single"/>
            <w:lang w:val="en-IN" w:eastAsia="en-IN"/>
          </w:rPr>
          <w:t>https://www.worldbank.org/en/news/opinion/2024/01/30/gearing-up-for-india-s-rapid-urban-transformation</w:t>
        </w:r>
      </w:hyperlink>
      <w:r w:rsidR="00121BEE" w:rsidRPr="00EF33AC">
        <w:rPr>
          <w:sz w:val="24"/>
          <w:lang w:val="en-IN" w:eastAsia="en-IN"/>
        </w:rPr>
        <w:t>.</w:t>
      </w:r>
    </w:p>
    <w:p w14:paraId="1FE46AE5" w14:textId="77777777" w:rsidR="00121BEE" w:rsidRPr="00EF33AC" w:rsidRDefault="00121BEE" w:rsidP="004E48CD">
      <w:pPr>
        <w:pStyle w:val="IEEEParagraph"/>
        <w:jc w:val="center"/>
        <w:rPr>
          <w:lang w:val="en-US"/>
        </w:rPr>
      </w:pPr>
    </w:p>
    <w:p w14:paraId="6CAA6010" w14:textId="77777777" w:rsidR="00D60B22" w:rsidRPr="005E3524" w:rsidRDefault="004E48CD" w:rsidP="004E48CD">
      <w:pPr>
        <w:pStyle w:val="IEEEParagraph"/>
        <w:jc w:val="center"/>
        <w:rPr>
          <w:lang w:val="en-US"/>
        </w:rPr>
      </w:pPr>
      <w:r w:rsidRPr="00EF33AC">
        <w:rPr>
          <w:lang w:val="en-US"/>
        </w:rPr>
        <w:t>**************</w:t>
      </w:r>
      <w:bookmarkStart w:id="0" w:name="_GoBack"/>
      <w:bookmarkEnd w:id="0"/>
    </w:p>
    <w:sectPr w:rsidR="00D60B22" w:rsidRPr="005E3524" w:rsidSect="00FB5A8B">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361" w:right="1440" w:bottom="1361" w:left="1440" w:header="720" w:footer="720"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B17FA" w14:textId="77777777" w:rsidR="002431F7" w:rsidRDefault="002431F7" w:rsidP="00B64C40">
      <w:r>
        <w:separator/>
      </w:r>
    </w:p>
  </w:endnote>
  <w:endnote w:type="continuationSeparator" w:id="0">
    <w:p w14:paraId="537D5F06" w14:textId="77777777" w:rsidR="002431F7" w:rsidRDefault="002431F7" w:rsidP="00B6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8988B" w14:textId="77777777" w:rsidR="00004E38" w:rsidRDefault="00004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945390"/>
      <w:docPartObj>
        <w:docPartGallery w:val="Page Numbers (Bottom of Page)"/>
        <w:docPartUnique/>
      </w:docPartObj>
    </w:sdtPr>
    <w:sdtEndPr>
      <w:rPr>
        <w:noProof/>
      </w:rPr>
    </w:sdtEndPr>
    <w:sdtContent>
      <w:p w14:paraId="26F35FE9" w14:textId="77777777" w:rsidR="00B64C40" w:rsidRDefault="00B64C40">
        <w:pPr>
          <w:pStyle w:val="Footer"/>
          <w:jc w:val="center"/>
        </w:pPr>
        <w:r>
          <w:fldChar w:fldCharType="begin"/>
        </w:r>
        <w:r>
          <w:instrText xml:space="preserve"> PAGE   \* MERGEFORMAT </w:instrText>
        </w:r>
        <w:r>
          <w:fldChar w:fldCharType="separate"/>
        </w:r>
        <w:r w:rsidR="005A72BA">
          <w:rPr>
            <w:noProof/>
          </w:rPr>
          <w:t>16</w:t>
        </w:r>
        <w:r>
          <w:rPr>
            <w:noProof/>
          </w:rPr>
          <w:fldChar w:fldCharType="end"/>
        </w:r>
      </w:p>
    </w:sdtContent>
  </w:sdt>
  <w:p w14:paraId="61B34216" w14:textId="77777777" w:rsidR="00B64C40" w:rsidRDefault="00B64C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297C3" w14:textId="77777777" w:rsidR="00004E38" w:rsidRDefault="00004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4503B" w14:textId="77777777" w:rsidR="002431F7" w:rsidRDefault="002431F7" w:rsidP="00B64C40">
      <w:r>
        <w:separator/>
      </w:r>
    </w:p>
  </w:footnote>
  <w:footnote w:type="continuationSeparator" w:id="0">
    <w:p w14:paraId="6AFEF9F4" w14:textId="77777777" w:rsidR="002431F7" w:rsidRDefault="002431F7" w:rsidP="00B64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C84E0" w14:textId="36DD140C" w:rsidR="00004E38" w:rsidRDefault="002431F7">
    <w:pPr>
      <w:pStyle w:val="Header"/>
    </w:pPr>
    <w:r>
      <w:rPr>
        <w:noProof/>
      </w:rPr>
      <w:pict w14:anchorId="2FB46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641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0CB9D" w14:textId="36C44DF2" w:rsidR="00004E38" w:rsidRDefault="002431F7">
    <w:pPr>
      <w:pStyle w:val="Header"/>
    </w:pPr>
    <w:r>
      <w:rPr>
        <w:noProof/>
      </w:rPr>
      <w:pict w14:anchorId="3DBDD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641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40DFC" w14:textId="3B31EB8B" w:rsidR="00004E38" w:rsidRDefault="002431F7">
    <w:pPr>
      <w:pStyle w:val="Header"/>
    </w:pPr>
    <w:r>
      <w:rPr>
        <w:noProof/>
      </w:rPr>
      <w:pict w14:anchorId="65D51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641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F7E237E2"/>
    <w:lvl w:ilvl="0">
      <w:start w:val="1"/>
      <w:numFmt w:val="upperRoman"/>
      <w:pStyle w:val="IEEEHeading1"/>
      <w:lvlText w:val="%1."/>
      <w:lvlJc w:val="left"/>
      <w:pPr>
        <w:tabs>
          <w:tab w:val="num" w:pos="5817"/>
        </w:tabs>
        <w:ind w:left="5817"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bCs w:val="0"/>
        <w:i w:val="0"/>
        <w:iCs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19312E"/>
    <w:multiLevelType w:val="hybridMultilevel"/>
    <w:tmpl w:val="CB1686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E503AA"/>
    <w:multiLevelType w:val="hybridMultilevel"/>
    <w:tmpl w:val="CFB4DB8A"/>
    <w:lvl w:ilvl="0" w:tplc="1A0C9940">
      <w:start w:val="1"/>
      <w:numFmt w:val="decimal"/>
      <w:lvlText w:val="%1)"/>
      <w:lvlJc w:val="left"/>
      <w:pPr>
        <w:ind w:left="720" w:hanging="360"/>
      </w:pPr>
    </w:lvl>
    <w:lvl w:ilvl="1" w:tplc="D892E4CA" w:tentative="1">
      <w:start w:val="1"/>
      <w:numFmt w:val="lowerLetter"/>
      <w:lvlText w:val="%2."/>
      <w:lvlJc w:val="left"/>
      <w:pPr>
        <w:ind w:left="1440" w:hanging="360"/>
      </w:pPr>
    </w:lvl>
    <w:lvl w:ilvl="2" w:tplc="9670F41E" w:tentative="1">
      <w:start w:val="1"/>
      <w:numFmt w:val="lowerRoman"/>
      <w:lvlText w:val="%3."/>
      <w:lvlJc w:val="right"/>
      <w:pPr>
        <w:ind w:left="2160" w:hanging="180"/>
      </w:pPr>
    </w:lvl>
    <w:lvl w:ilvl="3" w:tplc="EDC41AC4" w:tentative="1">
      <w:start w:val="1"/>
      <w:numFmt w:val="decimal"/>
      <w:lvlText w:val="%4."/>
      <w:lvlJc w:val="left"/>
      <w:pPr>
        <w:ind w:left="2880" w:hanging="360"/>
      </w:pPr>
    </w:lvl>
    <w:lvl w:ilvl="4" w:tplc="25AA4266" w:tentative="1">
      <w:start w:val="1"/>
      <w:numFmt w:val="lowerLetter"/>
      <w:lvlText w:val="%5."/>
      <w:lvlJc w:val="left"/>
      <w:pPr>
        <w:ind w:left="3600" w:hanging="360"/>
      </w:pPr>
    </w:lvl>
    <w:lvl w:ilvl="5" w:tplc="AA4A7D0A" w:tentative="1">
      <w:start w:val="1"/>
      <w:numFmt w:val="lowerRoman"/>
      <w:lvlText w:val="%6."/>
      <w:lvlJc w:val="right"/>
      <w:pPr>
        <w:ind w:left="4320" w:hanging="180"/>
      </w:pPr>
    </w:lvl>
    <w:lvl w:ilvl="6" w:tplc="7350460C" w:tentative="1">
      <w:start w:val="1"/>
      <w:numFmt w:val="decimal"/>
      <w:lvlText w:val="%7."/>
      <w:lvlJc w:val="left"/>
      <w:pPr>
        <w:ind w:left="5040" w:hanging="360"/>
      </w:pPr>
    </w:lvl>
    <w:lvl w:ilvl="7" w:tplc="AC56D296" w:tentative="1">
      <w:start w:val="1"/>
      <w:numFmt w:val="lowerLetter"/>
      <w:lvlText w:val="%8."/>
      <w:lvlJc w:val="left"/>
      <w:pPr>
        <w:ind w:left="5760" w:hanging="360"/>
      </w:pPr>
    </w:lvl>
    <w:lvl w:ilvl="8" w:tplc="6A5E1300" w:tentative="1">
      <w:start w:val="1"/>
      <w:numFmt w:val="lowerRoman"/>
      <w:lvlText w:val="%9."/>
      <w:lvlJc w:val="right"/>
      <w:pPr>
        <w:ind w:left="6480" w:hanging="180"/>
      </w:pPr>
    </w:lvl>
  </w:abstractNum>
  <w:abstractNum w:abstractNumId="3" w15:restartNumberingAfterBreak="0">
    <w:nsid w:val="1BF71552"/>
    <w:multiLevelType w:val="hybridMultilevel"/>
    <w:tmpl w:val="32FAE696"/>
    <w:lvl w:ilvl="0" w:tplc="985451FC">
      <w:start w:val="1"/>
      <w:numFmt w:val="decimal"/>
      <w:lvlText w:val="%1."/>
      <w:lvlJc w:val="left"/>
      <w:pPr>
        <w:ind w:left="1417" w:hanging="360"/>
      </w:pPr>
    </w:lvl>
    <w:lvl w:ilvl="1" w:tplc="8252E6AA" w:tentative="1">
      <w:start w:val="1"/>
      <w:numFmt w:val="lowerLetter"/>
      <w:lvlText w:val="%2."/>
      <w:lvlJc w:val="left"/>
      <w:pPr>
        <w:ind w:left="2137" w:hanging="360"/>
      </w:pPr>
    </w:lvl>
    <w:lvl w:ilvl="2" w:tplc="A7BC7ADC" w:tentative="1">
      <w:start w:val="1"/>
      <w:numFmt w:val="lowerRoman"/>
      <w:lvlText w:val="%3."/>
      <w:lvlJc w:val="right"/>
      <w:pPr>
        <w:ind w:left="2857" w:hanging="180"/>
      </w:pPr>
    </w:lvl>
    <w:lvl w:ilvl="3" w:tplc="F0301798" w:tentative="1">
      <w:start w:val="1"/>
      <w:numFmt w:val="decimal"/>
      <w:lvlText w:val="%4."/>
      <w:lvlJc w:val="left"/>
      <w:pPr>
        <w:ind w:left="3577" w:hanging="360"/>
      </w:pPr>
    </w:lvl>
    <w:lvl w:ilvl="4" w:tplc="91469D56" w:tentative="1">
      <w:start w:val="1"/>
      <w:numFmt w:val="lowerLetter"/>
      <w:lvlText w:val="%5."/>
      <w:lvlJc w:val="left"/>
      <w:pPr>
        <w:ind w:left="4297" w:hanging="360"/>
      </w:pPr>
    </w:lvl>
    <w:lvl w:ilvl="5" w:tplc="94947450" w:tentative="1">
      <w:start w:val="1"/>
      <w:numFmt w:val="lowerRoman"/>
      <w:lvlText w:val="%6."/>
      <w:lvlJc w:val="right"/>
      <w:pPr>
        <w:ind w:left="5017" w:hanging="180"/>
      </w:pPr>
    </w:lvl>
    <w:lvl w:ilvl="6" w:tplc="9B688190" w:tentative="1">
      <w:start w:val="1"/>
      <w:numFmt w:val="decimal"/>
      <w:lvlText w:val="%7."/>
      <w:lvlJc w:val="left"/>
      <w:pPr>
        <w:ind w:left="5737" w:hanging="360"/>
      </w:pPr>
    </w:lvl>
    <w:lvl w:ilvl="7" w:tplc="F2E49A36" w:tentative="1">
      <w:start w:val="1"/>
      <w:numFmt w:val="lowerLetter"/>
      <w:lvlText w:val="%8."/>
      <w:lvlJc w:val="left"/>
      <w:pPr>
        <w:ind w:left="6457" w:hanging="360"/>
      </w:pPr>
    </w:lvl>
    <w:lvl w:ilvl="8" w:tplc="8B8E5386" w:tentative="1">
      <w:start w:val="1"/>
      <w:numFmt w:val="lowerRoman"/>
      <w:lvlText w:val="%9."/>
      <w:lvlJc w:val="right"/>
      <w:pPr>
        <w:ind w:left="7177" w:hanging="180"/>
      </w:pPr>
    </w:lvl>
  </w:abstractNum>
  <w:abstractNum w:abstractNumId="4" w15:restartNumberingAfterBreak="0">
    <w:nsid w:val="20C304DA"/>
    <w:multiLevelType w:val="hybridMultilevel"/>
    <w:tmpl w:val="8684FD6C"/>
    <w:lvl w:ilvl="0" w:tplc="9F54F28A">
      <w:start w:val="1"/>
      <w:numFmt w:val="decimal"/>
      <w:lvlText w:val="%1)"/>
      <w:lvlJc w:val="left"/>
      <w:pPr>
        <w:ind w:left="1152" w:hanging="360"/>
      </w:pPr>
    </w:lvl>
    <w:lvl w:ilvl="1" w:tplc="2968E188" w:tentative="1">
      <w:start w:val="1"/>
      <w:numFmt w:val="lowerLetter"/>
      <w:lvlText w:val="%2."/>
      <w:lvlJc w:val="left"/>
      <w:pPr>
        <w:ind w:left="1872" w:hanging="360"/>
      </w:pPr>
    </w:lvl>
    <w:lvl w:ilvl="2" w:tplc="99CE1F66" w:tentative="1">
      <w:start w:val="1"/>
      <w:numFmt w:val="lowerRoman"/>
      <w:lvlText w:val="%3."/>
      <w:lvlJc w:val="right"/>
      <w:pPr>
        <w:ind w:left="2592" w:hanging="180"/>
      </w:pPr>
    </w:lvl>
    <w:lvl w:ilvl="3" w:tplc="D6A2C600" w:tentative="1">
      <w:start w:val="1"/>
      <w:numFmt w:val="decimal"/>
      <w:lvlText w:val="%4."/>
      <w:lvlJc w:val="left"/>
      <w:pPr>
        <w:ind w:left="3312" w:hanging="360"/>
      </w:pPr>
    </w:lvl>
    <w:lvl w:ilvl="4" w:tplc="860028DA" w:tentative="1">
      <w:start w:val="1"/>
      <w:numFmt w:val="lowerLetter"/>
      <w:lvlText w:val="%5."/>
      <w:lvlJc w:val="left"/>
      <w:pPr>
        <w:ind w:left="4032" w:hanging="360"/>
      </w:pPr>
    </w:lvl>
    <w:lvl w:ilvl="5" w:tplc="ABF44412" w:tentative="1">
      <w:start w:val="1"/>
      <w:numFmt w:val="lowerRoman"/>
      <w:lvlText w:val="%6."/>
      <w:lvlJc w:val="right"/>
      <w:pPr>
        <w:ind w:left="4752" w:hanging="180"/>
      </w:pPr>
    </w:lvl>
    <w:lvl w:ilvl="6" w:tplc="B3902254" w:tentative="1">
      <w:start w:val="1"/>
      <w:numFmt w:val="decimal"/>
      <w:lvlText w:val="%7."/>
      <w:lvlJc w:val="left"/>
      <w:pPr>
        <w:ind w:left="5472" w:hanging="360"/>
      </w:pPr>
    </w:lvl>
    <w:lvl w:ilvl="7" w:tplc="4ADA1306" w:tentative="1">
      <w:start w:val="1"/>
      <w:numFmt w:val="lowerLetter"/>
      <w:lvlText w:val="%8."/>
      <w:lvlJc w:val="left"/>
      <w:pPr>
        <w:ind w:left="6192" w:hanging="360"/>
      </w:pPr>
    </w:lvl>
    <w:lvl w:ilvl="8" w:tplc="0F06C452" w:tentative="1">
      <w:start w:val="1"/>
      <w:numFmt w:val="lowerRoman"/>
      <w:lvlText w:val="%9."/>
      <w:lvlJc w:val="right"/>
      <w:pPr>
        <w:ind w:left="6912" w:hanging="180"/>
      </w:pPr>
    </w:lvl>
  </w:abstractNum>
  <w:abstractNum w:abstractNumId="5" w15:restartNumberingAfterBreak="0">
    <w:nsid w:val="21DC3791"/>
    <w:multiLevelType w:val="hybridMultilevel"/>
    <w:tmpl w:val="E52435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328273D7"/>
    <w:multiLevelType w:val="multilevel"/>
    <w:tmpl w:val="9C8E938C"/>
    <w:numStyleLink w:val="IEEEBullet1"/>
  </w:abstractNum>
  <w:abstractNum w:abstractNumId="8" w15:restartNumberingAfterBreak="0">
    <w:nsid w:val="33480E1E"/>
    <w:multiLevelType w:val="hybridMultilevel"/>
    <w:tmpl w:val="8F52C3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4637862"/>
    <w:multiLevelType w:val="multilevel"/>
    <w:tmpl w:val="A63268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850F46"/>
    <w:multiLevelType w:val="hybridMultilevel"/>
    <w:tmpl w:val="3998FFC6"/>
    <w:lvl w:ilvl="0" w:tplc="6EE0162A">
      <w:start w:val="7"/>
      <w:numFmt w:val="decimal"/>
      <w:lvlText w:val="%1)"/>
      <w:lvlJc w:val="left"/>
      <w:pPr>
        <w:ind w:left="697" w:hanging="267"/>
      </w:pPr>
      <w:rPr>
        <w:rFonts w:hint="default"/>
        <w:b w:val="0"/>
      </w:rPr>
    </w:lvl>
    <w:lvl w:ilvl="1" w:tplc="9758B042" w:tentative="1">
      <w:start w:val="1"/>
      <w:numFmt w:val="lowerLetter"/>
      <w:lvlText w:val="%2."/>
      <w:lvlJc w:val="left"/>
      <w:pPr>
        <w:ind w:left="1218" w:hanging="360"/>
      </w:pPr>
    </w:lvl>
    <w:lvl w:ilvl="2" w:tplc="6E448C44" w:tentative="1">
      <w:start w:val="1"/>
      <w:numFmt w:val="lowerRoman"/>
      <w:lvlText w:val="%3."/>
      <w:lvlJc w:val="right"/>
      <w:pPr>
        <w:ind w:left="1938" w:hanging="180"/>
      </w:pPr>
    </w:lvl>
    <w:lvl w:ilvl="3" w:tplc="999674B4" w:tentative="1">
      <w:start w:val="1"/>
      <w:numFmt w:val="decimal"/>
      <w:lvlText w:val="%4."/>
      <w:lvlJc w:val="left"/>
      <w:pPr>
        <w:ind w:left="2658" w:hanging="360"/>
      </w:pPr>
    </w:lvl>
    <w:lvl w:ilvl="4" w:tplc="88F80446" w:tentative="1">
      <w:start w:val="1"/>
      <w:numFmt w:val="lowerLetter"/>
      <w:lvlText w:val="%5."/>
      <w:lvlJc w:val="left"/>
      <w:pPr>
        <w:ind w:left="3378" w:hanging="360"/>
      </w:pPr>
    </w:lvl>
    <w:lvl w:ilvl="5" w:tplc="2D2AFD6C" w:tentative="1">
      <w:start w:val="1"/>
      <w:numFmt w:val="lowerRoman"/>
      <w:lvlText w:val="%6."/>
      <w:lvlJc w:val="right"/>
      <w:pPr>
        <w:ind w:left="4098" w:hanging="180"/>
      </w:pPr>
    </w:lvl>
    <w:lvl w:ilvl="6" w:tplc="B84E3F14" w:tentative="1">
      <w:start w:val="1"/>
      <w:numFmt w:val="decimal"/>
      <w:lvlText w:val="%7."/>
      <w:lvlJc w:val="left"/>
      <w:pPr>
        <w:ind w:left="4818" w:hanging="360"/>
      </w:pPr>
    </w:lvl>
    <w:lvl w:ilvl="7" w:tplc="4D924416" w:tentative="1">
      <w:start w:val="1"/>
      <w:numFmt w:val="lowerLetter"/>
      <w:lvlText w:val="%8."/>
      <w:lvlJc w:val="left"/>
      <w:pPr>
        <w:ind w:left="5538" w:hanging="360"/>
      </w:pPr>
    </w:lvl>
    <w:lvl w:ilvl="8" w:tplc="5F9C5612" w:tentative="1">
      <w:start w:val="1"/>
      <w:numFmt w:val="lowerRoman"/>
      <w:lvlText w:val="%9."/>
      <w:lvlJc w:val="right"/>
      <w:pPr>
        <w:ind w:left="6258" w:hanging="180"/>
      </w:pPr>
    </w:lvl>
  </w:abstractNum>
  <w:abstractNum w:abstractNumId="11" w15:restartNumberingAfterBreak="0">
    <w:nsid w:val="404F5AA1"/>
    <w:multiLevelType w:val="hybridMultilevel"/>
    <w:tmpl w:val="179E74F6"/>
    <w:lvl w:ilvl="0" w:tplc="5C1C26A6">
      <w:start w:val="1"/>
      <w:numFmt w:val="decimal"/>
      <w:lvlText w:val="%1."/>
      <w:lvlJc w:val="left"/>
      <w:pPr>
        <w:ind w:left="936" w:hanging="360"/>
      </w:pPr>
    </w:lvl>
    <w:lvl w:ilvl="1" w:tplc="F08A5CC0" w:tentative="1">
      <w:start w:val="1"/>
      <w:numFmt w:val="lowerLetter"/>
      <w:lvlText w:val="%2."/>
      <w:lvlJc w:val="left"/>
      <w:pPr>
        <w:ind w:left="1656" w:hanging="360"/>
      </w:pPr>
    </w:lvl>
    <w:lvl w:ilvl="2" w:tplc="98A0BAE0" w:tentative="1">
      <w:start w:val="1"/>
      <w:numFmt w:val="lowerRoman"/>
      <w:lvlText w:val="%3."/>
      <w:lvlJc w:val="right"/>
      <w:pPr>
        <w:ind w:left="2376" w:hanging="180"/>
      </w:pPr>
    </w:lvl>
    <w:lvl w:ilvl="3" w:tplc="AF00035E" w:tentative="1">
      <w:start w:val="1"/>
      <w:numFmt w:val="decimal"/>
      <w:lvlText w:val="%4."/>
      <w:lvlJc w:val="left"/>
      <w:pPr>
        <w:ind w:left="3096" w:hanging="360"/>
      </w:pPr>
    </w:lvl>
    <w:lvl w:ilvl="4" w:tplc="7CAC3DBE" w:tentative="1">
      <w:start w:val="1"/>
      <w:numFmt w:val="lowerLetter"/>
      <w:lvlText w:val="%5."/>
      <w:lvlJc w:val="left"/>
      <w:pPr>
        <w:ind w:left="3816" w:hanging="360"/>
      </w:pPr>
    </w:lvl>
    <w:lvl w:ilvl="5" w:tplc="ED78B80A" w:tentative="1">
      <w:start w:val="1"/>
      <w:numFmt w:val="lowerRoman"/>
      <w:lvlText w:val="%6."/>
      <w:lvlJc w:val="right"/>
      <w:pPr>
        <w:ind w:left="4536" w:hanging="180"/>
      </w:pPr>
    </w:lvl>
    <w:lvl w:ilvl="6" w:tplc="F5FAF9B0" w:tentative="1">
      <w:start w:val="1"/>
      <w:numFmt w:val="decimal"/>
      <w:lvlText w:val="%7."/>
      <w:lvlJc w:val="left"/>
      <w:pPr>
        <w:ind w:left="5256" w:hanging="360"/>
      </w:pPr>
    </w:lvl>
    <w:lvl w:ilvl="7" w:tplc="6752214E" w:tentative="1">
      <w:start w:val="1"/>
      <w:numFmt w:val="lowerLetter"/>
      <w:lvlText w:val="%8."/>
      <w:lvlJc w:val="left"/>
      <w:pPr>
        <w:ind w:left="5976" w:hanging="360"/>
      </w:pPr>
    </w:lvl>
    <w:lvl w:ilvl="8" w:tplc="2AF69E12" w:tentative="1">
      <w:start w:val="1"/>
      <w:numFmt w:val="lowerRoman"/>
      <w:lvlText w:val="%9."/>
      <w:lvlJc w:val="right"/>
      <w:pPr>
        <w:ind w:left="6696" w:hanging="180"/>
      </w:pPr>
    </w:lvl>
  </w:abstractNum>
  <w:abstractNum w:abstractNumId="12" w15:restartNumberingAfterBreak="0">
    <w:nsid w:val="435A225D"/>
    <w:multiLevelType w:val="hybridMultilevel"/>
    <w:tmpl w:val="761A231E"/>
    <w:lvl w:ilvl="0" w:tplc="BE9031CE">
      <w:start w:val="1"/>
      <w:numFmt w:val="bullet"/>
      <w:lvlText w:val=""/>
      <w:lvlJc w:val="left"/>
      <w:pPr>
        <w:ind w:left="693" w:hanging="267"/>
      </w:pPr>
      <w:rPr>
        <w:rFonts w:ascii="Wingdings" w:hAnsi="Wingdings" w:hint="default"/>
        <w:b w:val="0"/>
        <w:bCs/>
        <w:i/>
        <w:spacing w:val="0"/>
        <w:w w:val="99"/>
      </w:rPr>
    </w:lvl>
    <w:lvl w:ilvl="1" w:tplc="246CA81A" w:tentative="1">
      <w:start w:val="1"/>
      <w:numFmt w:val="lowerLetter"/>
      <w:lvlText w:val="%2."/>
      <w:lvlJc w:val="left"/>
      <w:pPr>
        <w:ind w:left="1214" w:hanging="360"/>
      </w:pPr>
    </w:lvl>
    <w:lvl w:ilvl="2" w:tplc="5A724F98" w:tentative="1">
      <w:start w:val="1"/>
      <w:numFmt w:val="lowerRoman"/>
      <w:lvlText w:val="%3."/>
      <w:lvlJc w:val="right"/>
      <w:pPr>
        <w:ind w:left="1934" w:hanging="180"/>
      </w:pPr>
    </w:lvl>
    <w:lvl w:ilvl="3" w:tplc="C90C5428" w:tentative="1">
      <w:start w:val="1"/>
      <w:numFmt w:val="decimal"/>
      <w:lvlText w:val="%4."/>
      <w:lvlJc w:val="left"/>
      <w:pPr>
        <w:ind w:left="2654" w:hanging="360"/>
      </w:pPr>
    </w:lvl>
    <w:lvl w:ilvl="4" w:tplc="04604B58" w:tentative="1">
      <w:start w:val="1"/>
      <w:numFmt w:val="lowerLetter"/>
      <w:lvlText w:val="%5."/>
      <w:lvlJc w:val="left"/>
      <w:pPr>
        <w:ind w:left="3374" w:hanging="360"/>
      </w:pPr>
    </w:lvl>
    <w:lvl w:ilvl="5" w:tplc="BCDE2356" w:tentative="1">
      <w:start w:val="1"/>
      <w:numFmt w:val="lowerRoman"/>
      <w:lvlText w:val="%6."/>
      <w:lvlJc w:val="right"/>
      <w:pPr>
        <w:ind w:left="4094" w:hanging="180"/>
      </w:pPr>
    </w:lvl>
    <w:lvl w:ilvl="6" w:tplc="FF60CE72" w:tentative="1">
      <w:start w:val="1"/>
      <w:numFmt w:val="decimal"/>
      <w:lvlText w:val="%7."/>
      <w:lvlJc w:val="left"/>
      <w:pPr>
        <w:ind w:left="4814" w:hanging="360"/>
      </w:pPr>
    </w:lvl>
    <w:lvl w:ilvl="7" w:tplc="74124014" w:tentative="1">
      <w:start w:val="1"/>
      <w:numFmt w:val="lowerLetter"/>
      <w:lvlText w:val="%8."/>
      <w:lvlJc w:val="left"/>
      <w:pPr>
        <w:ind w:left="5534" w:hanging="360"/>
      </w:pPr>
    </w:lvl>
    <w:lvl w:ilvl="8" w:tplc="B7966896" w:tentative="1">
      <w:start w:val="1"/>
      <w:numFmt w:val="lowerRoman"/>
      <w:lvlText w:val="%9."/>
      <w:lvlJc w:val="right"/>
      <w:pPr>
        <w:ind w:left="6254" w:hanging="180"/>
      </w:pPr>
    </w:lvl>
  </w:abstractNum>
  <w:abstractNum w:abstractNumId="13" w15:restartNumberingAfterBreak="0">
    <w:nsid w:val="49982366"/>
    <w:multiLevelType w:val="hybridMultilevel"/>
    <w:tmpl w:val="6BBED50C"/>
    <w:lvl w:ilvl="0" w:tplc="CEC4DD54">
      <w:start w:val="1"/>
      <w:numFmt w:val="upperLetter"/>
      <w:lvlText w:val="%1."/>
      <w:lvlJc w:val="left"/>
      <w:pPr>
        <w:ind w:left="430" w:hanging="289"/>
      </w:pPr>
      <w:rPr>
        <w:rFonts w:ascii="Times New Roman" w:eastAsia="Times New Roman" w:hAnsi="Times New Roman" w:cs="Times New Roman" w:hint="default"/>
        <w:b w:val="0"/>
        <w:bCs/>
        <w:i/>
        <w:spacing w:val="-1"/>
        <w:w w:val="99"/>
        <w:sz w:val="20"/>
        <w:szCs w:val="20"/>
        <w:lang w:val="en-US" w:eastAsia="en-US" w:bidi="ar-SA"/>
      </w:rPr>
    </w:lvl>
    <w:lvl w:ilvl="1" w:tplc="8EEA1EE6">
      <w:start w:val="1"/>
      <w:numFmt w:val="decimal"/>
      <w:lvlText w:val="%2)"/>
      <w:lvlJc w:val="left"/>
      <w:pPr>
        <w:ind w:left="432" w:hanging="267"/>
      </w:pPr>
      <w:rPr>
        <w:rFonts w:hint="default"/>
        <w:i/>
        <w:spacing w:val="0"/>
        <w:w w:val="99"/>
        <w:lang w:val="en-US" w:eastAsia="en-US" w:bidi="ar-SA"/>
      </w:rPr>
    </w:lvl>
    <w:lvl w:ilvl="2" w:tplc="ACF6D758">
      <w:start w:val="1"/>
      <w:numFmt w:val="decimal"/>
      <w:lvlText w:val="%3)"/>
      <w:lvlJc w:val="left"/>
      <w:pPr>
        <w:ind w:left="693" w:hanging="267"/>
      </w:pPr>
      <w:rPr>
        <w:rFonts w:hint="default"/>
        <w:lang w:val="en-US" w:eastAsia="en-US" w:bidi="ar-SA"/>
      </w:rPr>
    </w:lvl>
    <w:lvl w:ilvl="3" w:tplc="FD80DFE0">
      <w:numFmt w:val="bullet"/>
      <w:lvlText w:val="•"/>
      <w:lvlJc w:val="left"/>
      <w:pPr>
        <w:ind w:left="1416" w:hanging="267"/>
      </w:pPr>
      <w:rPr>
        <w:rFonts w:hint="default"/>
        <w:lang w:val="en-US" w:eastAsia="en-US" w:bidi="ar-SA"/>
      </w:rPr>
    </w:lvl>
    <w:lvl w:ilvl="4" w:tplc="2BE67B8C">
      <w:numFmt w:val="bullet"/>
      <w:lvlText w:val="•"/>
      <w:lvlJc w:val="left"/>
      <w:pPr>
        <w:ind w:left="1912" w:hanging="267"/>
      </w:pPr>
      <w:rPr>
        <w:rFonts w:hint="default"/>
        <w:lang w:val="en-US" w:eastAsia="en-US" w:bidi="ar-SA"/>
      </w:rPr>
    </w:lvl>
    <w:lvl w:ilvl="5" w:tplc="24C04110">
      <w:numFmt w:val="bullet"/>
      <w:lvlText w:val="•"/>
      <w:lvlJc w:val="left"/>
      <w:pPr>
        <w:ind w:left="2409" w:hanging="267"/>
      </w:pPr>
      <w:rPr>
        <w:rFonts w:hint="default"/>
        <w:lang w:val="en-US" w:eastAsia="en-US" w:bidi="ar-SA"/>
      </w:rPr>
    </w:lvl>
    <w:lvl w:ilvl="6" w:tplc="71D6A474">
      <w:numFmt w:val="bullet"/>
      <w:lvlText w:val="•"/>
      <w:lvlJc w:val="left"/>
      <w:pPr>
        <w:ind w:left="2906" w:hanging="267"/>
      </w:pPr>
      <w:rPr>
        <w:rFonts w:hint="default"/>
        <w:lang w:val="en-US" w:eastAsia="en-US" w:bidi="ar-SA"/>
      </w:rPr>
    </w:lvl>
    <w:lvl w:ilvl="7" w:tplc="A69A08AA">
      <w:numFmt w:val="bullet"/>
      <w:lvlText w:val="•"/>
      <w:lvlJc w:val="left"/>
      <w:pPr>
        <w:ind w:left="3402" w:hanging="267"/>
      </w:pPr>
      <w:rPr>
        <w:rFonts w:hint="default"/>
        <w:lang w:val="en-US" w:eastAsia="en-US" w:bidi="ar-SA"/>
      </w:rPr>
    </w:lvl>
    <w:lvl w:ilvl="8" w:tplc="CAEEB4FA">
      <w:numFmt w:val="bullet"/>
      <w:lvlText w:val="•"/>
      <w:lvlJc w:val="left"/>
      <w:pPr>
        <w:ind w:left="3899" w:hanging="267"/>
      </w:pPr>
      <w:rPr>
        <w:rFonts w:hint="default"/>
        <w:lang w:val="en-US" w:eastAsia="en-US" w:bidi="ar-SA"/>
      </w:rPr>
    </w:lvl>
  </w:abstractNum>
  <w:abstractNum w:abstractNumId="14"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EBD6B58"/>
    <w:multiLevelType w:val="hybridMultilevel"/>
    <w:tmpl w:val="CC08CF0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83E1D46"/>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8" w15:restartNumberingAfterBreak="0">
    <w:nsid w:val="5B6E4B11"/>
    <w:multiLevelType w:val="hybridMultilevel"/>
    <w:tmpl w:val="CFD0D748"/>
    <w:lvl w:ilvl="0" w:tplc="1C600532">
      <w:start w:val="1"/>
      <w:numFmt w:val="decimal"/>
      <w:lvlText w:val="[%1]"/>
      <w:lvlJc w:val="left"/>
      <w:pPr>
        <w:ind w:left="1670" w:hanging="432"/>
      </w:pPr>
      <w:rPr>
        <w:rFonts w:ascii="Times New Roman" w:eastAsia="Times New Roman" w:hAnsi="Times New Roman" w:cs="Times New Roman" w:hint="default"/>
        <w:spacing w:val="-2"/>
        <w:w w:val="100"/>
        <w:sz w:val="16"/>
        <w:szCs w:val="16"/>
        <w:lang w:val="en-US" w:eastAsia="en-US" w:bidi="ar-SA"/>
      </w:rPr>
    </w:lvl>
    <w:lvl w:ilvl="1" w:tplc="972C0B2A">
      <w:numFmt w:val="bullet"/>
      <w:lvlText w:val="•"/>
      <w:lvlJc w:val="left"/>
      <w:pPr>
        <w:ind w:left="1958" w:hanging="432"/>
      </w:pPr>
      <w:rPr>
        <w:rFonts w:hint="default"/>
        <w:lang w:val="en-US" w:eastAsia="en-US" w:bidi="ar-SA"/>
      </w:rPr>
    </w:lvl>
    <w:lvl w:ilvl="2" w:tplc="BDBED8BE">
      <w:numFmt w:val="bullet"/>
      <w:lvlText w:val="•"/>
      <w:lvlJc w:val="left"/>
      <w:pPr>
        <w:ind w:left="2402" w:hanging="432"/>
      </w:pPr>
      <w:rPr>
        <w:rFonts w:hint="default"/>
        <w:lang w:val="en-US" w:eastAsia="en-US" w:bidi="ar-SA"/>
      </w:rPr>
    </w:lvl>
    <w:lvl w:ilvl="3" w:tplc="8CB8D628">
      <w:numFmt w:val="bullet"/>
      <w:lvlText w:val="•"/>
      <w:lvlJc w:val="left"/>
      <w:pPr>
        <w:ind w:left="2846" w:hanging="432"/>
      </w:pPr>
      <w:rPr>
        <w:rFonts w:hint="default"/>
        <w:lang w:val="en-US" w:eastAsia="en-US" w:bidi="ar-SA"/>
      </w:rPr>
    </w:lvl>
    <w:lvl w:ilvl="4" w:tplc="4BDA4B5C">
      <w:numFmt w:val="bullet"/>
      <w:lvlText w:val="•"/>
      <w:lvlJc w:val="left"/>
      <w:pPr>
        <w:ind w:left="3291" w:hanging="432"/>
      </w:pPr>
      <w:rPr>
        <w:rFonts w:hint="default"/>
        <w:lang w:val="en-US" w:eastAsia="en-US" w:bidi="ar-SA"/>
      </w:rPr>
    </w:lvl>
    <w:lvl w:ilvl="5" w:tplc="5D74994E">
      <w:numFmt w:val="bullet"/>
      <w:lvlText w:val="•"/>
      <w:lvlJc w:val="left"/>
      <w:pPr>
        <w:ind w:left="3735" w:hanging="432"/>
      </w:pPr>
      <w:rPr>
        <w:rFonts w:hint="default"/>
        <w:lang w:val="en-US" w:eastAsia="en-US" w:bidi="ar-SA"/>
      </w:rPr>
    </w:lvl>
    <w:lvl w:ilvl="6" w:tplc="DC309BF4">
      <w:numFmt w:val="bullet"/>
      <w:lvlText w:val="•"/>
      <w:lvlJc w:val="left"/>
      <w:pPr>
        <w:ind w:left="4179" w:hanging="432"/>
      </w:pPr>
      <w:rPr>
        <w:rFonts w:hint="default"/>
        <w:lang w:val="en-US" w:eastAsia="en-US" w:bidi="ar-SA"/>
      </w:rPr>
    </w:lvl>
    <w:lvl w:ilvl="7" w:tplc="6CA471AA">
      <w:numFmt w:val="bullet"/>
      <w:lvlText w:val="•"/>
      <w:lvlJc w:val="left"/>
      <w:pPr>
        <w:ind w:left="4623" w:hanging="432"/>
      </w:pPr>
      <w:rPr>
        <w:rFonts w:hint="default"/>
        <w:lang w:val="en-US" w:eastAsia="en-US" w:bidi="ar-SA"/>
      </w:rPr>
    </w:lvl>
    <w:lvl w:ilvl="8" w:tplc="2B28FDC6">
      <w:numFmt w:val="bullet"/>
      <w:lvlText w:val="•"/>
      <w:lvlJc w:val="left"/>
      <w:pPr>
        <w:ind w:left="5068" w:hanging="432"/>
      </w:pPr>
      <w:rPr>
        <w:rFonts w:hint="default"/>
        <w:lang w:val="en-US" w:eastAsia="en-US" w:bidi="ar-SA"/>
      </w:rPr>
    </w:lvl>
  </w:abstractNum>
  <w:abstractNum w:abstractNumId="19" w15:restartNumberingAfterBreak="0">
    <w:nsid w:val="678E0524"/>
    <w:multiLevelType w:val="hybridMultilevel"/>
    <w:tmpl w:val="B1B01A86"/>
    <w:lvl w:ilvl="0" w:tplc="AD72729E">
      <w:start w:val="1"/>
      <w:numFmt w:val="decimal"/>
      <w:lvlText w:val="%1)"/>
      <w:lvlJc w:val="left"/>
      <w:pPr>
        <w:ind w:left="432" w:hanging="267"/>
      </w:pPr>
      <w:rPr>
        <w:rFonts w:hint="default"/>
        <w:i/>
        <w:spacing w:val="0"/>
        <w:w w:val="99"/>
        <w:lang w:val="en-US" w:eastAsia="en-US" w:bidi="ar-SA"/>
      </w:rPr>
    </w:lvl>
    <w:lvl w:ilvl="1" w:tplc="7A628A66" w:tentative="1">
      <w:start w:val="1"/>
      <w:numFmt w:val="lowerLetter"/>
      <w:lvlText w:val="%2."/>
      <w:lvlJc w:val="left"/>
      <w:pPr>
        <w:ind w:left="1440" w:hanging="360"/>
      </w:pPr>
    </w:lvl>
    <w:lvl w:ilvl="2" w:tplc="DD549044" w:tentative="1">
      <w:start w:val="1"/>
      <w:numFmt w:val="lowerRoman"/>
      <w:lvlText w:val="%3."/>
      <w:lvlJc w:val="right"/>
      <w:pPr>
        <w:ind w:left="2160" w:hanging="180"/>
      </w:pPr>
    </w:lvl>
    <w:lvl w:ilvl="3" w:tplc="F8FECF6C" w:tentative="1">
      <w:start w:val="1"/>
      <w:numFmt w:val="decimal"/>
      <w:lvlText w:val="%4."/>
      <w:lvlJc w:val="left"/>
      <w:pPr>
        <w:ind w:left="2880" w:hanging="360"/>
      </w:pPr>
    </w:lvl>
    <w:lvl w:ilvl="4" w:tplc="19CAB0F8" w:tentative="1">
      <w:start w:val="1"/>
      <w:numFmt w:val="lowerLetter"/>
      <w:lvlText w:val="%5."/>
      <w:lvlJc w:val="left"/>
      <w:pPr>
        <w:ind w:left="3600" w:hanging="360"/>
      </w:pPr>
    </w:lvl>
    <w:lvl w:ilvl="5" w:tplc="A79E07EA" w:tentative="1">
      <w:start w:val="1"/>
      <w:numFmt w:val="lowerRoman"/>
      <w:lvlText w:val="%6."/>
      <w:lvlJc w:val="right"/>
      <w:pPr>
        <w:ind w:left="4320" w:hanging="180"/>
      </w:pPr>
    </w:lvl>
    <w:lvl w:ilvl="6" w:tplc="0B2E675A" w:tentative="1">
      <w:start w:val="1"/>
      <w:numFmt w:val="decimal"/>
      <w:lvlText w:val="%7."/>
      <w:lvlJc w:val="left"/>
      <w:pPr>
        <w:ind w:left="5040" w:hanging="360"/>
      </w:pPr>
    </w:lvl>
    <w:lvl w:ilvl="7" w:tplc="686C57F4" w:tentative="1">
      <w:start w:val="1"/>
      <w:numFmt w:val="lowerLetter"/>
      <w:lvlText w:val="%8."/>
      <w:lvlJc w:val="left"/>
      <w:pPr>
        <w:ind w:left="5760" w:hanging="360"/>
      </w:pPr>
    </w:lvl>
    <w:lvl w:ilvl="8" w:tplc="BD8E7C74" w:tentative="1">
      <w:start w:val="1"/>
      <w:numFmt w:val="lowerRoman"/>
      <w:lvlText w:val="%9."/>
      <w:lvlJc w:val="right"/>
      <w:pPr>
        <w:ind w:left="6480" w:hanging="180"/>
      </w:pPr>
    </w:lvl>
  </w:abstractNum>
  <w:abstractNum w:abstractNumId="20" w15:restartNumberingAfterBreak="0">
    <w:nsid w:val="68390FF2"/>
    <w:multiLevelType w:val="hybridMultilevel"/>
    <w:tmpl w:val="6BBED50C"/>
    <w:lvl w:ilvl="0" w:tplc="DAE89A0A">
      <w:start w:val="1"/>
      <w:numFmt w:val="upperLetter"/>
      <w:lvlText w:val="%1."/>
      <w:lvlJc w:val="left"/>
      <w:pPr>
        <w:ind w:left="430" w:hanging="289"/>
      </w:pPr>
      <w:rPr>
        <w:rFonts w:ascii="Times New Roman" w:eastAsia="Times New Roman" w:hAnsi="Times New Roman" w:cs="Times New Roman" w:hint="default"/>
        <w:b w:val="0"/>
        <w:bCs/>
        <w:i/>
        <w:spacing w:val="-1"/>
        <w:w w:val="99"/>
        <w:sz w:val="20"/>
        <w:szCs w:val="20"/>
        <w:lang w:val="en-US" w:eastAsia="en-US" w:bidi="ar-SA"/>
      </w:rPr>
    </w:lvl>
    <w:lvl w:ilvl="1" w:tplc="16EC9EA4">
      <w:start w:val="1"/>
      <w:numFmt w:val="decimal"/>
      <w:lvlText w:val="%2)"/>
      <w:lvlJc w:val="left"/>
      <w:pPr>
        <w:ind w:left="432" w:hanging="267"/>
      </w:pPr>
      <w:rPr>
        <w:rFonts w:hint="default"/>
        <w:i/>
        <w:spacing w:val="0"/>
        <w:w w:val="99"/>
        <w:lang w:val="en-US" w:eastAsia="en-US" w:bidi="ar-SA"/>
      </w:rPr>
    </w:lvl>
    <w:lvl w:ilvl="2" w:tplc="7948291A">
      <w:start w:val="1"/>
      <w:numFmt w:val="decimal"/>
      <w:lvlText w:val="%3)"/>
      <w:lvlJc w:val="left"/>
      <w:pPr>
        <w:ind w:left="693" w:hanging="267"/>
      </w:pPr>
      <w:rPr>
        <w:rFonts w:hint="default"/>
        <w:lang w:val="en-US" w:eastAsia="en-US" w:bidi="ar-SA"/>
      </w:rPr>
    </w:lvl>
    <w:lvl w:ilvl="3" w:tplc="2E2C97C4">
      <w:numFmt w:val="bullet"/>
      <w:lvlText w:val="•"/>
      <w:lvlJc w:val="left"/>
      <w:pPr>
        <w:ind w:left="1416" w:hanging="267"/>
      </w:pPr>
      <w:rPr>
        <w:rFonts w:hint="default"/>
        <w:lang w:val="en-US" w:eastAsia="en-US" w:bidi="ar-SA"/>
      </w:rPr>
    </w:lvl>
    <w:lvl w:ilvl="4" w:tplc="B2145098">
      <w:numFmt w:val="bullet"/>
      <w:lvlText w:val="•"/>
      <w:lvlJc w:val="left"/>
      <w:pPr>
        <w:ind w:left="1912" w:hanging="267"/>
      </w:pPr>
      <w:rPr>
        <w:rFonts w:hint="default"/>
        <w:lang w:val="en-US" w:eastAsia="en-US" w:bidi="ar-SA"/>
      </w:rPr>
    </w:lvl>
    <w:lvl w:ilvl="5" w:tplc="6666BDC6">
      <w:numFmt w:val="bullet"/>
      <w:lvlText w:val="•"/>
      <w:lvlJc w:val="left"/>
      <w:pPr>
        <w:ind w:left="2409" w:hanging="267"/>
      </w:pPr>
      <w:rPr>
        <w:rFonts w:hint="default"/>
        <w:lang w:val="en-US" w:eastAsia="en-US" w:bidi="ar-SA"/>
      </w:rPr>
    </w:lvl>
    <w:lvl w:ilvl="6" w:tplc="0F06ADF2">
      <w:numFmt w:val="bullet"/>
      <w:lvlText w:val="•"/>
      <w:lvlJc w:val="left"/>
      <w:pPr>
        <w:ind w:left="2906" w:hanging="267"/>
      </w:pPr>
      <w:rPr>
        <w:rFonts w:hint="default"/>
        <w:lang w:val="en-US" w:eastAsia="en-US" w:bidi="ar-SA"/>
      </w:rPr>
    </w:lvl>
    <w:lvl w:ilvl="7" w:tplc="9E5C9FEC">
      <w:numFmt w:val="bullet"/>
      <w:lvlText w:val="•"/>
      <w:lvlJc w:val="left"/>
      <w:pPr>
        <w:ind w:left="3402" w:hanging="267"/>
      </w:pPr>
      <w:rPr>
        <w:rFonts w:hint="default"/>
        <w:lang w:val="en-US" w:eastAsia="en-US" w:bidi="ar-SA"/>
      </w:rPr>
    </w:lvl>
    <w:lvl w:ilvl="8" w:tplc="BA9476AC">
      <w:numFmt w:val="bullet"/>
      <w:lvlText w:val="•"/>
      <w:lvlJc w:val="left"/>
      <w:pPr>
        <w:ind w:left="3899" w:hanging="267"/>
      </w:pPr>
      <w:rPr>
        <w:rFonts w:hint="default"/>
        <w:lang w:val="en-US" w:eastAsia="en-US" w:bidi="ar-SA"/>
      </w:rPr>
    </w:lvl>
  </w:abstractNum>
  <w:abstractNum w:abstractNumId="21"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2" w15:restartNumberingAfterBreak="0">
    <w:nsid w:val="6B2B295E"/>
    <w:multiLevelType w:val="multilevel"/>
    <w:tmpl w:val="4664E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FF563B"/>
    <w:multiLevelType w:val="hybridMultilevel"/>
    <w:tmpl w:val="CFD0D748"/>
    <w:lvl w:ilvl="0" w:tplc="0C3CDDF2">
      <w:start w:val="1"/>
      <w:numFmt w:val="decimal"/>
      <w:lvlText w:val="[%1]"/>
      <w:lvlJc w:val="left"/>
      <w:pPr>
        <w:ind w:left="450" w:hanging="432"/>
      </w:pPr>
      <w:rPr>
        <w:rFonts w:ascii="Times New Roman" w:eastAsia="Times New Roman" w:hAnsi="Times New Roman" w:cs="Times New Roman" w:hint="default"/>
        <w:spacing w:val="-2"/>
        <w:w w:val="100"/>
        <w:sz w:val="16"/>
        <w:szCs w:val="16"/>
        <w:lang w:val="en-US" w:eastAsia="en-US" w:bidi="ar-SA"/>
      </w:rPr>
    </w:lvl>
    <w:lvl w:ilvl="1" w:tplc="1E367650">
      <w:numFmt w:val="bullet"/>
      <w:lvlText w:val="•"/>
      <w:lvlJc w:val="left"/>
      <w:pPr>
        <w:ind w:left="738" w:hanging="432"/>
      </w:pPr>
      <w:rPr>
        <w:rFonts w:hint="default"/>
        <w:lang w:val="en-US" w:eastAsia="en-US" w:bidi="ar-SA"/>
      </w:rPr>
    </w:lvl>
    <w:lvl w:ilvl="2" w:tplc="6CFEB53C">
      <w:numFmt w:val="bullet"/>
      <w:lvlText w:val="•"/>
      <w:lvlJc w:val="left"/>
      <w:pPr>
        <w:ind w:left="1182" w:hanging="432"/>
      </w:pPr>
      <w:rPr>
        <w:rFonts w:hint="default"/>
        <w:lang w:val="en-US" w:eastAsia="en-US" w:bidi="ar-SA"/>
      </w:rPr>
    </w:lvl>
    <w:lvl w:ilvl="3" w:tplc="5464DBA4">
      <w:numFmt w:val="bullet"/>
      <w:lvlText w:val="•"/>
      <w:lvlJc w:val="left"/>
      <w:pPr>
        <w:ind w:left="1626" w:hanging="432"/>
      </w:pPr>
      <w:rPr>
        <w:rFonts w:hint="default"/>
        <w:lang w:val="en-US" w:eastAsia="en-US" w:bidi="ar-SA"/>
      </w:rPr>
    </w:lvl>
    <w:lvl w:ilvl="4" w:tplc="E3863A82">
      <w:numFmt w:val="bullet"/>
      <w:lvlText w:val="•"/>
      <w:lvlJc w:val="left"/>
      <w:pPr>
        <w:ind w:left="2071" w:hanging="432"/>
      </w:pPr>
      <w:rPr>
        <w:rFonts w:hint="default"/>
        <w:lang w:val="en-US" w:eastAsia="en-US" w:bidi="ar-SA"/>
      </w:rPr>
    </w:lvl>
    <w:lvl w:ilvl="5" w:tplc="1A50C012">
      <w:numFmt w:val="bullet"/>
      <w:lvlText w:val="•"/>
      <w:lvlJc w:val="left"/>
      <w:pPr>
        <w:ind w:left="2515" w:hanging="432"/>
      </w:pPr>
      <w:rPr>
        <w:rFonts w:hint="default"/>
        <w:lang w:val="en-US" w:eastAsia="en-US" w:bidi="ar-SA"/>
      </w:rPr>
    </w:lvl>
    <w:lvl w:ilvl="6" w:tplc="E424E7BA">
      <w:numFmt w:val="bullet"/>
      <w:lvlText w:val="•"/>
      <w:lvlJc w:val="left"/>
      <w:pPr>
        <w:ind w:left="2959" w:hanging="432"/>
      </w:pPr>
      <w:rPr>
        <w:rFonts w:hint="default"/>
        <w:lang w:val="en-US" w:eastAsia="en-US" w:bidi="ar-SA"/>
      </w:rPr>
    </w:lvl>
    <w:lvl w:ilvl="7" w:tplc="717E8BD6">
      <w:numFmt w:val="bullet"/>
      <w:lvlText w:val="•"/>
      <w:lvlJc w:val="left"/>
      <w:pPr>
        <w:ind w:left="3403" w:hanging="432"/>
      </w:pPr>
      <w:rPr>
        <w:rFonts w:hint="default"/>
        <w:lang w:val="en-US" w:eastAsia="en-US" w:bidi="ar-SA"/>
      </w:rPr>
    </w:lvl>
    <w:lvl w:ilvl="8" w:tplc="FC6EB24A">
      <w:numFmt w:val="bullet"/>
      <w:lvlText w:val="•"/>
      <w:lvlJc w:val="left"/>
      <w:pPr>
        <w:ind w:left="3848" w:hanging="432"/>
      </w:pPr>
      <w:rPr>
        <w:rFonts w:hint="default"/>
        <w:lang w:val="en-US" w:eastAsia="en-US" w:bidi="ar-SA"/>
      </w:rPr>
    </w:lvl>
  </w:abstractNum>
  <w:abstractNum w:abstractNumId="24" w15:restartNumberingAfterBreak="0">
    <w:nsid w:val="6E395A06"/>
    <w:multiLevelType w:val="hybridMultilevel"/>
    <w:tmpl w:val="845EA4EC"/>
    <w:lvl w:ilvl="0" w:tplc="626884FA">
      <w:start w:val="6"/>
      <w:numFmt w:val="decimal"/>
      <w:lvlText w:val="%1)"/>
      <w:lvlJc w:val="left"/>
      <w:pPr>
        <w:ind w:left="693" w:hanging="267"/>
      </w:pPr>
      <w:rPr>
        <w:rFonts w:hint="default"/>
        <w:b w:val="0"/>
      </w:rPr>
    </w:lvl>
    <w:lvl w:ilvl="1" w:tplc="FF6A3A40" w:tentative="1">
      <w:start w:val="1"/>
      <w:numFmt w:val="lowerLetter"/>
      <w:lvlText w:val="%2."/>
      <w:lvlJc w:val="left"/>
      <w:pPr>
        <w:ind w:left="1214" w:hanging="360"/>
      </w:pPr>
    </w:lvl>
    <w:lvl w:ilvl="2" w:tplc="0D6E9692" w:tentative="1">
      <w:start w:val="1"/>
      <w:numFmt w:val="lowerRoman"/>
      <w:lvlText w:val="%3."/>
      <w:lvlJc w:val="right"/>
      <w:pPr>
        <w:ind w:left="1934" w:hanging="180"/>
      </w:pPr>
    </w:lvl>
    <w:lvl w:ilvl="3" w:tplc="F23EE37C" w:tentative="1">
      <w:start w:val="1"/>
      <w:numFmt w:val="decimal"/>
      <w:lvlText w:val="%4."/>
      <w:lvlJc w:val="left"/>
      <w:pPr>
        <w:ind w:left="2654" w:hanging="360"/>
      </w:pPr>
    </w:lvl>
    <w:lvl w:ilvl="4" w:tplc="B1FC85E6" w:tentative="1">
      <w:start w:val="1"/>
      <w:numFmt w:val="lowerLetter"/>
      <w:lvlText w:val="%5."/>
      <w:lvlJc w:val="left"/>
      <w:pPr>
        <w:ind w:left="3374" w:hanging="360"/>
      </w:pPr>
    </w:lvl>
    <w:lvl w:ilvl="5" w:tplc="2A2E814C" w:tentative="1">
      <w:start w:val="1"/>
      <w:numFmt w:val="lowerRoman"/>
      <w:lvlText w:val="%6."/>
      <w:lvlJc w:val="right"/>
      <w:pPr>
        <w:ind w:left="4094" w:hanging="180"/>
      </w:pPr>
    </w:lvl>
    <w:lvl w:ilvl="6" w:tplc="E1E46EC2" w:tentative="1">
      <w:start w:val="1"/>
      <w:numFmt w:val="decimal"/>
      <w:lvlText w:val="%7."/>
      <w:lvlJc w:val="left"/>
      <w:pPr>
        <w:ind w:left="4814" w:hanging="360"/>
      </w:pPr>
    </w:lvl>
    <w:lvl w:ilvl="7" w:tplc="775462D4" w:tentative="1">
      <w:start w:val="1"/>
      <w:numFmt w:val="lowerLetter"/>
      <w:lvlText w:val="%8."/>
      <w:lvlJc w:val="left"/>
      <w:pPr>
        <w:ind w:left="5534" w:hanging="360"/>
      </w:pPr>
    </w:lvl>
    <w:lvl w:ilvl="8" w:tplc="B62E856E" w:tentative="1">
      <w:start w:val="1"/>
      <w:numFmt w:val="lowerRoman"/>
      <w:lvlText w:val="%9."/>
      <w:lvlJc w:val="right"/>
      <w:pPr>
        <w:ind w:left="6254" w:hanging="180"/>
      </w:pPr>
    </w:lvl>
  </w:abstractNum>
  <w:abstractNum w:abstractNumId="25" w15:restartNumberingAfterBreak="0">
    <w:nsid w:val="714073D4"/>
    <w:multiLevelType w:val="multilevel"/>
    <w:tmpl w:val="C124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131460"/>
    <w:multiLevelType w:val="hybridMultilevel"/>
    <w:tmpl w:val="CFB4DB8A"/>
    <w:lvl w:ilvl="0" w:tplc="C5EA5EA8">
      <w:start w:val="1"/>
      <w:numFmt w:val="decimal"/>
      <w:lvlText w:val="%1)"/>
      <w:lvlJc w:val="left"/>
      <w:pPr>
        <w:ind w:left="720" w:hanging="360"/>
      </w:pPr>
    </w:lvl>
    <w:lvl w:ilvl="1" w:tplc="EAC66672" w:tentative="1">
      <w:start w:val="1"/>
      <w:numFmt w:val="lowerLetter"/>
      <w:lvlText w:val="%2."/>
      <w:lvlJc w:val="left"/>
      <w:pPr>
        <w:ind w:left="1440" w:hanging="360"/>
      </w:pPr>
    </w:lvl>
    <w:lvl w:ilvl="2" w:tplc="8E6A2258" w:tentative="1">
      <w:start w:val="1"/>
      <w:numFmt w:val="lowerRoman"/>
      <w:lvlText w:val="%3."/>
      <w:lvlJc w:val="right"/>
      <w:pPr>
        <w:ind w:left="2160" w:hanging="180"/>
      </w:pPr>
    </w:lvl>
    <w:lvl w:ilvl="3" w:tplc="D6B22D7A" w:tentative="1">
      <w:start w:val="1"/>
      <w:numFmt w:val="decimal"/>
      <w:lvlText w:val="%4."/>
      <w:lvlJc w:val="left"/>
      <w:pPr>
        <w:ind w:left="2880" w:hanging="360"/>
      </w:pPr>
    </w:lvl>
    <w:lvl w:ilvl="4" w:tplc="0E460AEA" w:tentative="1">
      <w:start w:val="1"/>
      <w:numFmt w:val="lowerLetter"/>
      <w:lvlText w:val="%5."/>
      <w:lvlJc w:val="left"/>
      <w:pPr>
        <w:ind w:left="3600" w:hanging="360"/>
      </w:pPr>
    </w:lvl>
    <w:lvl w:ilvl="5" w:tplc="0A047C82" w:tentative="1">
      <w:start w:val="1"/>
      <w:numFmt w:val="lowerRoman"/>
      <w:lvlText w:val="%6."/>
      <w:lvlJc w:val="right"/>
      <w:pPr>
        <w:ind w:left="4320" w:hanging="180"/>
      </w:pPr>
    </w:lvl>
    <w:lvl w:ilvl="6" w:tplc="F4E0D652" w:tentative="1">
      <w:start w:val="1"/>
      <w:numFmt w:val="decimal"/>
      <w:lvlText w:val="%7."/>
      <w:lvlJc w:val="left"/>
      <w:pPr>
        <w:ind w:left="5040" w:hanging="360"/>
      </w:pPr>
    </w:lvl>
    <w:lvl w:ilvl="7" w:tplc="A7F4C93C" w:tentative="1">
      <w:start w:val="1"/>
      <w:numFmt w:val="lowerLetter"/>
      <w:lvlText w:val="%8."/>
      <w:lvlJc w:val="left"/>
      <w:pPr>
        <w:ind w:left="5760" w:hanging="360"/>
      </w:pPr>
    </w:lvl>
    <w:lvl w:ilvl="8" w:tplc="881AEFAC" w:tentative="1">
      <w:start w:val="1"/>
      <w:numFmt w:val="lowerRoman"/>
      <w:lvlText w:val="%9."/>
      <w:lvlJc w:val="right"/>
      <w:pPr>
        <w:ind w:left="6480" w:hanging="180"/>
      </w:pPr>
    </w:lvl>
  </w:abstractNum>
  <w:abstractNum w:abstractNumId="27" w15:restartNumberingAfterBreak="0">
    <w:nsid w:val="73060252"/>
    <w:multiLevelType w:val="hybridMultilevel"/>
    <w:tmpl w:val="B5680922"/>
    <w:lvl w:ilvl="0" w:tplc="AF4A5076">
      <w:start w:val="5"/>
      <w:numFmt w:val="decimal"/>
      <w:lvlText w:val="%1)"/>
      <w:lvlJc w:val="left"/>
      <w:pPr>
        <w:ind w:left="693" w:hanging="267"/>
      </w:pPr>
      <w:rPr>
        <w:rFonts w:hint="default"/>
        <w:b w:val="0"/>
        <w:bCs/>
        <w:i/>
        <w:spacing w:val="0"/>
        <w:w w:val="99"/>
      </w:rPr>
    </w:lvl>
    <w:lvl w:ilvl="1" w:tplc="447E1266" w:tentative="1">
      <w:start w:val="1"/>
      <w:numFmt w:val="lowerLetter"/>
      <w:lvlText w:val="%2."/>
      <w:lvlJc w:val="left"/>
      <w:pPr>
        <w:ind w:left="1214" w:hanging="360"/>
      </w:pPr>
    </w:lvl>
    <w:lvl w:ilvl="2" w:tplc="557E12A4" w:tentative="1">
      <w:start w:val="1"/>
      <w:numFmt w:val="lowerRoman"/>
      <w:lvlText w:val="%3."/>
      <w:lvlJc w:val="right"/>
      <w:pPr>
        <w:ind w:left="1934" w:hanging="180"/>
      </w:pPr>
    </w:lvl>
    <w:lvl w:ilvl="3" w:tplc="9D2AF400" w:tentative="1">
      <w:start w:val="1"/>
      <w:numFmt w:val="decimal"/>
      <w:lvlText w:val="%4."/>
      <w:lvlJc w:val="left"/>
      <w:pPr>
        <w:ind w:left="2654" w:hanging="360"/>
      </w:pPr>
    </w:lvl>
    <w:lvl w:ilvl="4" w:tplc="6BD087BA" w:tentative="1">
      <w:start w:val="1"/>
      <w:numFmt w:val="lowerLetter"/>
      <w:lvlText w:val="%5."/>
      <w:lvlJc w:val="left"/>
      <w:pPr>
        <w:ind w:left="3374" w:hanging="360"/>
      </w:pPr>
    </w:lvl>
    <w:lvl w:ilvl="5" w:tplc="4ECA1838" w:tentative="1">
      <w:start w:val="1"/>
      <w:numFmt w:val="lowerRoman"/>
      <w:lvlText w:val="%6."/>
      <w:lvlJc w:val="right"/>
      <w:pPr>
        <w:ind w:left="4094" w:hanging="180"/>
      </w:pPr>
    </w:lvl>
    <w:lvl w:ilvl="6" w:tplc="59D49F86" w:tentative="1">
      <w:start w:val="1"/>
      <w:numFmt w:val="decimal"/>
      <w:lvlText w:val="%7."/>
      <w:lvlJc w:val="left"/>
      <w:pPr>
        <w:ind w:left="4814" w:hanging="360"/>
      </w:pPr>
    </w:lvl>
    <w:lvl w:ilvl="7" w:tplc="64EC3EFE" w:tentative="1">
      <w:start w:val="1"/>
      <w:numFmt w:val="lowerLetter"/>
      <w:lvlText w:val="%8."/>
      <w:lvlJc w:val="left"/>
      <w:pPr>
        <w:ind w:left="5534" w:hanging="360"/>
      </w:pPr>
    </w:lvl>
    <w:lvl w:ilvl="8" w:tplc="1B0AC8F8" w:tentative="1">
      <w:start w:val="1"/>
      <w:numFmt w:val="lowerRoman"/>
      <w:lvlText w:val="%9."/>
      <w:lvlJc w:val="right"/>
      <w:pPr>
        <w:ind w:left="6254" w:hanging="180"/>
      </w:pPr>
    </w:lvl>
  </w:abstractNum>
  <w:abstractNum w:abstractNumId="28" w15:restartNumberingAfterBreak="0">
    <w:nsid w:val="752B3BAE"/>
    <w:multiLevelType w:val="hybridMultilevel"/>
    <w:tmpl w:val="7D84CC48"/>
    <w:lvl w:ilvl="0" w:tplc="74461016">
      <w:start w:val="1"/>
      <w:numFmt w:val="decimal"/>
      <w:lvlText w:val="%1)"/>
      <w:lvlJc w:val="left"/>
      <w:pPr>
        <w:ind w:left="1118" w:hanging="267"/>
      </w:pPr>
      <w:rPr>
        <w:rFonts w:hint="default"/>
        <w:i/>
        <w:spacing w:val="0"/>
        <w:w w:val="99"/>
        <w:lang w:val="en-US" w:eastAsia="en-US" w:bidi="ar-SA"/>
      </w:rPr>
    </w:lvl>
    <w:lvl w:ilvl="1" w:tplc="95BE255A" w:tentative="1">
      <w:start w:val="1"/>
      <w:numFmt w:val="lowerLetter"/>
      <w:lvlText w:val="%2."/>
      <w:lvlJc w:val="left"/>
      <w:pPr>
        <w:ind w:left="2126" w:hanging="360"/>
      </w:pPr>
    </w:lvl>
    <w:lvl w:ilvl="2" w:tplc="4490DDC0" w:tentative="1">
      <w:start w:val="1"/>
      <w:numFmt w:val="lowerRoman"/>
      <w:lvlText w:val="%3."/>
      <w:lvlJc w:val="right"/>
      <w:pPr>
        <w:ind w:left="2846" w:hanging="180"/>
      </w:pPr>
    </w:lvl>
    <w:lvl w:ilvl="3" w:tplc="B95CB4B6" w:tentative="1">
      <w:start w:val="1"/>
      <w:numFmt w:val="decimal"/>
      <w:lvlText w:val="%4."/>
      <w:lvlJc w:val="left"/>
      <w:pPr>
        <w:ind w:left="3566" w:hanging="360"/>
      </w:pPr>
    </w:lvl>
    <w:lvl w:ilvl="4" w:tplc="59EE94F8" w:tentative="1">
      <w:start w:val="1"/>
      <w:numFmt w:val="lowerLetter"/>
      <w:lvlText w:val="%5."/>
      <w:lvlJc w:val="left"/>
      <w:pPr>
        <w:ind w:left="4286" w:hanging="360"/>
      </w:pPr>
    </w:lvl>
    <w:lvl w:ilvl="5" w:tplc="88BC03A8" w:tentative="1">
      <w:start w:val="1"/>
      <w:numFmt w:val="lowerRoman"/>
      <w:lvlText w:val="%6."/>
      <w:lvlJc w:val="right"/>
      <w:pPr>
        <w:ind w:left="5006" w:hanging="180"/>
      </w:pPr>
    </w:lvl>
    <w:lvl w:ilvl="6" w:tplc="963624D2" w:tentative="1">
      <w:start w:val="1"/>
      <w:numFmt w:val="decimal"/>
      <w:lvlText w:val="%7."/>
      <w:lvlJc w:val="left"/>
      <w:pPr>
        <w:ind w:left="5726" w:hanging="360"/>
      </w:pPr>
    </w:lvl>
    <w:lvl w:ilvl="7" w:tplc="0F965C54" w:tentative="1">
      <w:start w:val="1"/>
      <w:numFmt w:val="lowerLetter"/>
      <w:lvlText w:val="%8."/>
      <w:lvlJc w:val="left"/>
      <w:pPr>
        <w:ind w:left="6446" w:hanging="360"/>
      </w:pPr>
    </w:lvl>
    <w:lvl w:ilvl="8" w:tplc="7436A8E4" w:tentative="1">
      <w:start w:val="1"/>
      <w:numFmt w:val="lowerRoman"/>
      <w:lvlText w:val="%9."/>
      <w:lvlJc w:val="right"/>
      <w:pPr>
        <w:ind w:left="7166" w:hanging="180"/>
      </w:pPr>
    </w:lvl>
  </w:abstractNum>
  <w:abstractNum w:abstractNumId="29" w15:restartNumberingAfterBreak="0">
    <w:nsid w:val="7838562E"/>
    <w:multiLevelType w:val="multilevel"/>
    <w:tmpl w:val="F800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1"/>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7"/>
  </w:num>
  <w:num w:numId="7">
    <w:abstractNumId w:val="0"/>
  </w:num>
  <w:num w:numId="8">
    <w:abstractNumId w:val="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9"/>
  </w:num>
  <w:num w:numId="14">
    <w:abstractNumId w:val="28"/>
  </w:num>
  <w:num w:numId="15">
    <w:abstractNumId w:val="4"/>
  </w:num>
  <w:num w:numId="16">
    <w:abstractNumId w:val="27"/>
  </w:num>
  <w:num w:numId="17">
    <w:abstractNumId w:val="24"/>
  </w:num>
  <w:num w:numId="18">
    <w:abstractNumId w:val="1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3"/>
  </w:num>
  <w:num w:numId="22">
    <w:abstractNumId w:val="3"/>
  </w:num>
  <w:num w:numId="23">
    <w:abstractNumId w:val="11"/>
  </w:num>
  <w:num w:numId="24">
    <w:abstractNumId w:val="2"/>
  </w:num>
  <w:num w:numId="25">
    <w:abstractNumId w:val="26"/>
  </w:num>
  <w:num w:numId="26">
    <w:abstractNumId w:val="12"/>
  </w:num>
  <w:num w:numId="27">
    <w:abstractNumId w:val="20"/>
  </w:num>
  <w:num w:numId="28">
    <w:abstractNumId w:val="5"/>
  </w:num>
  <w:num w:numId="29">
    <w:abstractNumId w:val="25"/>
  </w:num>
  <w:num w:numId="30">
    <w:abstractNumId w:val="9"/>
  </w:num>
  <w:num w:numId="31">
    <w:abstractNumId w:val="15"/>
  </w:num>
  <w:num w:numId="32">
    <w:abstractNumId w:val="1"/>
  </w:num>
  <w:num w:numId="33">
    <w:abstractNumId w:val="22"/>
  </w:num>
  <w:num w:numId="34">
    <w:abstractNumId w:val="29"/>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FBB"/>
    <w:rsid w:val="000002E1"/>
    <w:rsid w:val="000005FC"/>
    <w:rsid w:val="00001DFE"/>
    <w:rsid w:val="00004E38"/>
    <w:rsid w:val="00017719"/>
    <w:rsid w:val="000279F8"/>
    <w:rsid w:val="00027F1D"/>
    <w:rsid w:val="0003296C"/>
    <w:rsid w:val="000357CA"/>
    <w:rsid w:val="0005324E"/>
    <w:rsid w:val="00054421"/>
    <w:rsid w:val="00062E46"/>
    <w:rsid w:val="000674ED"/>
    <w:rsid w:val="000745E1"/>
    <w:rsid w:val="00074AC8"/>
    <w:rsid w:val="00075DD7"/>
    <w:rsid w:val="00081408"/>
    <w:rsid w:val="00081EBE"/>
    <w:rsid w:val="00086EDC"/>
    <w:rsid w:val="000A2F8B"/>
    <w:rsid w:val="000B1598"/>
    <w:rsid w:val="000B36A3"/>
    <w:rsid w:val="000B5668"/>
    <w:rsid w:val="000B7E54"/>
    <w:rsid w:val="000C013C"/>
    <w:rsid w:val="000C22A6"/>
    <w:rsid w:val="000C7AEE"/>
    <w:rsid w:val="000E3F84"/>
    <w:rsid w:val="000F77E5"/>
    <w:rsid w:val="001016A1"/>
    <w:rsid w:val="001056DF"/>
    <w:rsid w:val="00106428"/>
    <w:rsid w:val="00114025"/>
    <w:rsid w:val="001160D2"/>
    <w:rsid w:val="00120C25"/>
    <w:rsid w:val="00121BEE"/>
    <w:rsid w:val="00131BA6"/>
    <w:rsid w:val="001348A5"/>
    <w:rsid w:val="00151B8E"/>
    <w:rsid w:val="00156B17"/>
    <w:rsid w:val="001602D7"/>
    <w:rsid w:val="00161835"/>
    <w:rsid w:val="0018203E"/>
    <w:rsid w:val="001928FB"/>
    <w:rsid w:val="00192A6D"/>
    <w:rsid w:val="00192BC7"/>
    <w:rsid w:val="001937B1"/>
    <w:rsid w:val="001A2508"/>
    <w:rsid w:val="001A50EA"/>
    <w:rsid w:val="001B039B"/>
    <w:rsid w:val="001B4E92"/>
    <w:rsid w:val="001C6E7C"/>
    <w:rsid w:val="001E1E80"/>
    <w:rsid w:val="001F16CD"/>
    <w:rsid w:val="001F47D2"/>
    <w:rsid w:val="001F7132"/>
    <w:rsid w:val="001F758F"/>
    <w:rsid w:val="00215FAB"/>
    <w:rsid w:val="00221B9A"/>
    <w:rsid w:val="0022285A"/>
    <w:rsid w:val="00224C61"/>
    <w:rsid w:val="00226C88"/>
    <w:rsid w:val="00234A75"/>
    <w:rsid w:val="002360A1"/>
    <w:rsid w:val="002431F7"/>
    <w:rsid w:val="002528AC"/>
    <w:rsid w:val="0026565E"/>
    <w:rsid w:val="0027227B"/>
    <w:rsid w:val="00273AC7"/>
    <w:rsid w:val="00273BF8"/>
    <w:rsid w:val="00273D2C"/>
    <w:rsid w:val="00285ECD"/>
    <w:rsid w:val="00290C58"/>
    <w:rsid w:val="00290E1B"/>
    <w:rsid w:val="00291B17"/>
    <w:rsid w:val="00291DAB"/>
    <w:rsid w:val="00292C93"/>
    <w:rsid w:val="002A0168"/>
    <w:rsid w:val="002A10EC"/>
    <w:rsid w:val="002A6742"/>
    <w:rsid w:val="002A7C20"/>
    <w:rsid w:val="002C1A7F"/>
    <w:rsid w:val="002C4239"/>
    <w:rsid w:val="002C559D"/>
    <w:rsid w:val="002D2D42"/>
    <w:rsid w:val="002D38A3"/>
    <w:rsid w:val="002D6671"/>
    <w:rsid w:val="002F4BF3"/>
    <w:rsid w:val="002F4E2A"/>
    <w:rsid w:val="002F72D0"/>
    <w:rsid w:val="003003AB"/>
    <w:rsid w:val="00304372"/>
    <w:rsid w:val="003100F7"/>
    <w:rsid w:val="00311C49"/>
    <w:rsid w:val="00315149"/>
    <w:rsid w:val="0032119E"/>
    <w:rsid w:val="00321304"/>
    <w:rsid w:val="00323634"/>
    <w:rsid w:val="00323E4B"/>
    <w:rsid w:val="00331543"/>
    <w:rsid w:val="00331F84"/>
    <w:rsid w:val="003820EE"/>
    <w:rsid w:val="00382BF5"/>
    <w:rsid w:val="003950A4"/>
    <w:rsid w:val="003B418F"/>
    <w:rsid w:val="003C3DC9"/>
    <w:rsid w:val="003D3863"/>
    <w:rsid w:val="003D38D1"/>
    <w:rsid w:val="003E3577"/>
    <w:rsid w:val="003F2537"/>
    <w:rsid w:val="003F3A61"/>
    <w:rsid w:val="003F48BC"/>
    <w:rsid w:val="003F69DA"/>
    <w:rsid w:val="0040615D"/>
    <w:rsid w:val="00410A5D"/>
    <w:rsid w:val="00414909"/>
    <w:rsid w:val="00416997"/>
    <w:rsid w:val="00425A6A"/>
    <w:rsid w:val="004267D5"/>
    <w:rsid w:val="00426FBB"/>
    <w:rsid w:val="00427F8D"/>
    <w:rsid w:val="00435633"/>
    <w:rsid w:val="00440271"/>
    <w:rsid w:val="00450E21"/>
    <w:rsid w:val="004568B4"/>
    <w:rsid w:val="0047429A"/>
    <w:rsid w:val="0048374C"/>
    <w:rsid w:val="0048771D"/>
    <w:rsid w:val="004A254E"/>
    <w:rsid w:val="004A6605"/>
    <w:rsid w:val="004B5ADD"/>
    <w:rsid w:val="004B663F"/>
    <w:rsid w:val="004C45FA"/>
    <w:rsid w:val="004C663E"/>
    <w:rsid w:val="004D21B3"/>
    <w:rsid w:val="004D3745"/>
    <w:rsid w:val="004E1BD8"/>
    <w:rsid w:val="004E452A"/>
    <w:rsid w:val="004E48CD"/>
    <w:rsid w:val="004E4DD5"/>
    <w:rsid w:val="004E78E3"/>
    <w:rsid w:val="004F6AF0"/>
    <w:rsid w:val="005004BF"/>
    <w:rsid w:val="00502E89"/>
    <w:rsid w:val="00510E95"/>
    <w:rsid w:val="00511656"/>
    <w:rsid w:val="00520685"/>
    <w:rsid w:val="00525FD2"/>
    <w:rsid w:val="00527D56"/>
    <w:rsid w:val="0053221F"/>
    <w:rsid w:val="00536FAE"/>
    <w:rsid w:val="00537CFF"/>
    <w:rsid w:val="00542C85"/>
    <w:rsid w:val="00553510"/>
    <w:rsid w:val="00553904"/>
    <w:rsid w:val="00554186"/>
    <w:rsid w:val="00571DA6"/>
    <w:rsid w:val="00580B82"/>
    <w:rsid w:val="00585769"/>
    <w:rsid w:val="00591130"/>
    <w:rsid w:val="005A3F28"/>
    <w:rsid w:val="005A40BE"/>
    <w:rsid w:val="005A72BA"/>
    <w:rsid w:val="005B13E2"/>
    <w:rsid w:val="005B47D7"/>
    <w:rsid w:val="005B7A07"/>
    <w:rsid w:val="005C5526"/>
    <w:rsid w:val="005C62C6"/>
    <w:rsid w:val="005D12DE"/>
    <w:rsid w:val="005D7B9E"/>
    <w:rsid w:val="005E1602"/>
    <w:rsid w:val="005E3524"/>
    <w:rsid w:val="005E4187"/>
    <w:rsid w:val="005E491D"/>
    <w:rsid w:val="005E68FF"/>
    <w:rsid w:val="005F0834"/>
    <w:rsid w:val="005F6DC3"/>
    <w:rsid w:val="00601A8E"/>
    <w:rsid w:val="0060485B"/>
    <w:rsid w:val="0061467B"/>
    <w:rsid w:val="00616CE4"/>
    <w:rsid w:val="00616D2D"/>
    <w:rsid w:val="0062033E"/>
    <w:rsid w:val="00624482"/>
    <w:rsid w:val="006254E2"/>
    <w:rsid w:val="00634CBC"/>
    <w:rsid w:val="00635C40"/>
    <w:rsid w:val="0064307E"/>
    <w:rsid w:val="0064799C"/>
    <w:rsid w:val="00654156"/>
    <w:rsid w:val="00667D97"/>
    <w:rsid w:val="0067314D"/>
    <w:rsid w:val="00690558"/>
    <w:rsid w:val="006B1EBD"/>
    <w:rsid w:val="006B47CA"/>
    <w:rsid w:val="006C7AAA"/>
    <w:rsid w:val="006D067B"/>
    <w:rsid w:val="006D1C2A"/>
    <w:rsid w:val="006D1DE5"/>
    <w:rsid w:val="006D264F"/>
    <w:rsid w:val="006E2A8D"/>
    <w:rsid w:val="006E5499"/>
    <w:rsid w:val="006E7574"/>
    <w:rsid w:val="006E7C5D"/>
    <w:rsid w:val="00703430"/>
    <w:rsid w:val="007069BE"/>
    <w:rsid w:val="00715D79"/>
    <w:rsid w:val="00717D2A"/>
    <w:rsid w:val="0072676C"/>
    <w:rsid w:val="007420B2"/>
    <w:rsid w:val="00745C86"/>
    <w:rsid w:val="00754FC5"/>
    <w:rsid w:val="0075698B"/>
    <w:rsid w:val="0076204C"/>
    <w:rsid w:val="00762D1B"/>
    <w:rsid w:val="00764603"/>
    <w:rsid w:val="00765B9E"/>
    <w:rsid w:val="0076604D"/>
    <w:rsid w:val="0077630E"/>
    <w:rsid w:val="00781DFE"/>
    <w:rsid w:val="00790909"/>
    <w:rsid w:val="007A4D0A"/>
    <w:rsid w:val="007B5A07"/>
    <w:rsid w:val="007C4F39"/>
    <w:rsid w:val="007D3E71"/>
    <w:rsid w:val="007D3E9C"/>
    <w:rsid w:val="007E2A1B"/>
    <w:rsid w:val="007E5571"/>
    <w:rsid w:val="007E5D6A"/>
    <w:rsid w:val="007E645D"/>
    <w:rsid w:val="007F75CA"/>
    <w:rsid w:val="00801664"/>
    <w:rsid w:val="00807640"/>
    <w:rsid w:val="00821E08"/>
    <w:rsid w:val="008240B4"/>
    <w:rsid w:val="008256BE"/>
    <w:rsid w:val="00831261"/>
    <w:rsid w:val="00832C6C"/>
    <w:rsid w:val="00833F07"/>
    <w:rsid w:val="00834EFD"/>
    <w:rsid w:val="00842C39"/>
    <w:rsid w:val="00843BEA"/>
    <w:rsid w:val="00843C58"/>
    <w:rsid w:val="00844B24"/>
    <w:rsid w:val="0084515F"/>
    <w:rsid w:val="00847FAC"/>
    <w:rsid w:val="0085092D"/>
    <w:rsid w:val="00861AD2"/>
    <w:rsid w:val="00877C7D"/>
    <w:rsid w:val="00877D4C"/>
    <w:rsid w:val="008836EF"/>
    <w:rsid w:val="0089763B"/>
    <w:rsid w:val="008A70F6"/>
    <w:rsid w:val="008B5734"/>
    <w:rsid w:val="008B630A"/>
    <w:rsid w:val="008B6AE3"/>
    <w:rsid w:val="008D01BF"/>
    <w:rsid w:val="008D0F6F"/>
    <w:rsid w:val="008D1045"/>
    <w:rsid w:val="008E4ED9"/>
    <w:rsid w:val="008E5996"/>
    <w:rsid w:val="009008D4"/>
    <w:rsid w:val="00901AE1"/>
    <w:rsid w:val="00913959"/>
    <w:rsid w:val="00915492"/>
    <w:rsid w:val="009200FE"/>
    <w:rsid w:val="009205B4"/>
    <w:rsid w:val="00921405"/>
    <w:rsid w:val="00933818"/>
    <w:rsid w:val="0093463B"/>
    <w:rsid w:val="0094028F"/>
    <w:rsid w:val="00942497"/>
    <w:rsid w:val="00944C25"/>
    <w:rsid w:val="0094723E"/>
    <w:rsid w:val="00955B59"/>
    <w:rsid w:val="00964828"/>
    <w:rsid w:val="00966182"/>
    <w:rsid w:val="00972202"/>
    <w:rsid w:val="009770A3"/>
    <w:rsid w:val="00992262"/>
    <w:rsid w:val="009926BC"/>
    <w:rsid w:val="009A4319"/>
    <w:rsid w:val="009A6C3F"/>
    <w:rsid w:val="009B27C3"/>
    <w:rsid w:val="009B73F2"/>
    <w:rsid w:val="009C12BD"/>
    <w:rsid w:val="009C50FE"/>
    <w:rsid w:val="009D3F64"/>
    <w:rsid w:val="009D5BE5"/>
    <w:rsid w:val="009E405F"/>
    <w:rsid w:val="009E4111"/>
    <w:rsid w:val="009F07D9"/>
    <w:rsid w:val="009F62B8"/>
    <w:rsid w:val="00A01A13"/>
    <w:rsid w:val="00A027AA"/>
    <w:rsid w:val="00A03E75"/>
    <w:rsid w:val="00A10E7D"/>
    <w:rsid w:val="00A32FAF"/>
    <w:rsid w:val="00A44864"/>
    <w:rsid w:val="00A45FCE"/>
    <w:rsid w:val="00A5604F"/>
    <w:rsid w:val="00A625A9"/>
    <w:rsid w:val="00A73DFC"/>
    <w:rsid w:val="00A75671"/>
    <w:rsid w:val="00A765D4"/>
    <w:rsid w:val="00A773CC"/>
    <w:rsid w:val="00A9318B"/>
    <w:rsid w:val="00A94AC1"/>
    <w:rsid w:val="00AA1878"/>
    <w:rsid w:val="00AA5ABC"/>
    <w:rsid w:val="00AB18B7"/>
    <w:rsid w:val="00AB783A"/>
    <w:rsid w:val="00AD335D"/>
    <w:rsid w:val="00AD494A"/>
    <w:rsid w:val="00AD6688"/>
    <w:rsid w:val="00AE417A"/>
    <w:rsid w:val="00AE631A"/>
    <w:rsid w:val="00AF792B"/>
    <w:rsid w:val="00B011F0"/>
    <w:rsid w:val="00B0313B"/>
    <w:rsid w:val="00B07B3D"/>
    <w:rsid w:val="00B11A3C"/>
    <w:rsid w:val="00B15359"/>
    <w:rsid w:val="00B16780"/>
    <w:rsid w:val="00B21ED4"/>
    <w:rsid w:val="00B22ECB"/>
    <w:rsid w:val="00B271C0"/>
    <w:rsid w:val="00B30DFB"/>
    <w:rsid w:val="00B31941"/>
    <w:rsid w:val="00B35B2C"/>
    <w:rsid w:val="00B35B78"/>
    <w:rsid w:val="00B53887"/>
    <w:rsid w:val="00B55D5E"/>
    <w:rsid w:val="00B64255"/>
    <w:rsid w:val="00B64C40"/>
    <w:rsid w:val="00B7318C"/>
    <w:rsid w:val="00B7323D"/>
    <w:rsid w:val="00B9204D"/>
    <w:rsid w:val="00B94516"/>
    <w:rsid w:val="00BA54E0"/>
    <w:rsid w:val="00BB2855"/>
    <w:rsid w:val="00BB29EC"/>
    <w:rsid w:val="00BB4D47"/>
    <w:rsid w:val="00BD19C1"/>
    <w:rsid w:val="00BD25B8"/>
    <w:rsid w:val="00BF6100"/>
    <w:rsid w:val="00C012E1"/>
    <w:rsid w:val="00C0641F"/>
    <w:rsid w:val="00C06BB4"/>
    <w:rsid w:val="00C10D20"/>
    <w:rsid w:val="00C12E0C"/>
    <w:rsid w:val="00C17A29"/>
    <w:rsid w:val="00C21916"/>
    <w:rsid w:val="00C22F9A"/>
    <w:rsid w:val="00C25C0D"/>
    <w:rsid w:val="00C361C5"/>
    <w:rsid w:val="00C369E3"/>
    <w:rsid w:val="00C457CA"/>
    <w:rsid w:val="00C52125"/>
    <w:rsid w:val="00C52F98"/>
    <w:rsid w:val="00C57FB7"/>
    <w:rsid w:val="00C65F3F"/>
    <w:rsid w:val="00C72414"/>
    <w:rsid w:val="00C74056"/>
    <w:rsid w:val="00C8667B"/>
    <w:rsid w:val="00C90766"/>
    <w:rsid w:val="00C941E3"/>
    <w:rsid w:val="00CA388D"/>
    <w:rsid w:val="00CA4CE3"/>
    <w:rsid w:val="00CB6928"/>
    <w:rsid w:val="00CD4F3F"/>
    <w:rsid w:val="00CD6FCB"/>
    <w:rsid w:val="00CE4A6A"/>
    <w:rsid w:val="00CF2D95"/>
    <w:rsid w:val="00CF7642"/>
    <w:rsid w:val="00D00654"/>
    <w:rsid w:val="00D01E44"/>
    <w:rsid w:val="00D05D7E"/>
    <w:rsid w:val="00D067A0"/>
    <w:rsid w:val="00D163AB"/>
    <w:rsid w:val="00D2572E"/>
    <w:rsid w:val="00D311F8"/>
    <w:rsid w:val="00D36B52"/>
    <w:rsid w:val="00D377C8"/>
    <w:rsid w:val="00D41274"/>
    <w:rsid w:val="00D43351"/>
    <w:rsid w:val="00D43BF3"/>
    <w:rsid w:val="00D536F4"/>
    <w:rsid w:val="00D60B22"/>
    <w:rsid w:val="00D6716E"/>
    <w:rsid w:val="00D767BB"/>
    <w:rsid w:val="00D8449C"/>
    <w:rsid w:val="00D91768"/>
    <w:rsid w:val="00D939B0"/>
    <w:rsid w:val="00DB0CCA"/>
    <w:rsid w:val="00DB16E0"/>
    <w:rsid w:val="00DB2DF9"/>
    <w:rsid w:val="00DB3A62"/>
    <w:rsid w:val="00DB7E63"/>
    <w:rsid w:val="00DC2055"/>
    <w:rsid w:val="00DC2AE2"/>
    <w:rsid w:val="00DC6B27"/>
    <w:rsid w:val="00DC796C"/>
    <w:rsid w:val="00DD71E8"/>
    <w:rsid w:val="00DD7F83"/>
    <w:rsid w:val="00DE13BC"/>
    <w:rsid w:val="00DF4674"/>
    <w:rsid w:val="00DF58BA"/>
    <w:rsid w:val="00DF7136"/>
    <w:rsid w:val="00E00491"/>
    <w:rsid w:val="00E0641E"/>
    <w:rsid w:val="00E06664"/>
    <w:rsid w:val="00E06C27"/>
    <w:rsid w:val="00E074E2"/>
    <w:rsid w:val="00E27B83"/>
    <w:rsid w:val="00E304BC"/>
    <w:rsid w:val="00E32853"/>
    <w:rsid w:val="00E4017B"/>
    <w:rsid w:val="00E401F8"/>
    <w:rsid w:val="00E42AB0"/>
    <w:rsid w:val="00E43628"/>
    <w:rsid w:val="00E46425"/>
    <w:rsid w:val="00E47D0E"/>
    <w:rsid w:val="00E65018"/>
    <w:rsid w:val="00E75019"/>
    <w:rsid w:val="00E8667E"/>
    <w:rsid w:val="00E94339"/>
    <w:rsid w:val="00E97563"/>
    <w:rsid w:val="00EB02C5"/>
    <w:rsid w:val="00EB0B63"/>
    <w:rsid w:val="00EB130D"/>
    <w:rsid w:val="00EC265C"/>
    <w:rsid w:val="00EC72F8"/>
    <w:rsid w:val="00ED61CB"/>
    <w:rsid w:val="00EE33D8"/>
    <w:rsid w:val="00EF33AC"/>
    <w:rsid w:val="00F04AB3"/>
    <w:rsid w:val="00F06A72"/>
    <w:rsid w:val="00F114B5"/>
    <w:rsid w:val="00F12E79"/>
    <w:rsid w:val="00F136F0"/>
    <w:rsid w:val="00F140FB"/>
    <w:rsid w:val="00F20BBB"/>
    <w:rsid w:val="00F272A5"/>
    <w:rsid w:val="00F43BD8"/>
    <w:rsid w:val="00F562F3"/>
    <w:rsid w:val="00F74B89"/>
    <w:rsid w:val="00F75133"/>
    <w:rsid w:val="00F760CA"/>
    <w:rsid w:val="00F854B4"/>
    <w:rsid w:val="00F863FB"/>
    <w:rsid w:val="00F86D4D"/>
    <w:rsid w:val="00FA3899"/>
    <w:rsid w:val="00FA4909"/>
    <w:rsid w:val="00FA4A19"/>
    <w:rsid w:val="00FA6751"/>
    <w:rsid w:val="00FB1048"/>
    <w:rsid w:val="00FB5A8B"/>
    <w:rsid w:val="00FB62C4"/>
    <w:rsid w:val="00FB6394"/>
    <w:rsid w:val="00FB7701"/>
    <w:rsid w:val="00FD1AC5"/>
    <w:rsid w:val="00FD1FF4"/>
    <w:rsid w:val="00FD2C6C"/>
    <w:rsid w:val="00FD30EE"/>
    <w:rsid w:val="00FD5C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5B7FC5D"/>
  <w15:chartTrackingRefBased/>
  <w15:docId w15:val="{5B6AD0F4-4052-4C4A-9DA6-A75960EF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AEE"/>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AA1878"/>
    <w:pPr>
      <w:adjustRightInd w:val="0"/>
      <w:snapToGrid w:val="0"/>
      <w:ind w:firstLine="216"/>
      <w:jc w:val="both"/>
    </w:pPr>
    <w:rPr>
      <w:b/>
      <w:sz w:val="18"/>
      <w:lang w:val="en-GB" w:eastAsia="en-GB"/>
    </w:rPr>
  </w:style>
  <w:style w:type="character" w:customStyle="1" w:styleId="IEEEAbtractChar">
    <w:name w:val="IEEE Abtract Char"/>
    <w:link w:val="IEEEAbtract"/>
    <w:rsid w:val="00AA1878"/>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rFonts w:eastAsia="SimSun"/>
      <w:i/>
      <w:szCs w:val="24"/>
      <w:lang w:val="en-AU" w:eastAsia="zh-CN" w:bidi="ar-SA"/>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0C7AEE"/>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FollowedHyperlink">
    <w:name w:val="FollowedHyperlink"/>
    <w:rsid w:val="001B4E92"/>
    <w:rPr>
      <w:color w:val="800080"/>
      <w:u w:val="single"/>
    </w:rPr>
  </w:style>
  <w:style w:type="paragraph" w:styleId="BalloonText">
    <w:name w:val="Balloon Text"/>
    <w:basedOn w:val="Normal"/>
    <w:link w:val="BalloonTextChar"/>
    <w:rsid w:val="00717D2A"/>
    <w:rPr>
      <w:rFonts w:ascii="Tahoma" w:hAnsi="Tahoma" w:cs="Tahoma"/>
      <w:sz w:val="16"/>
      <w:szCs w:val="16"/>
    </w:rPr>
  </w:style>
  <w:style w:type="character" w:customStyle="1" w:styleId="BalloonTextChar">
    <w:name w:val="Balloon Text Char"/>
    <w:link w:val="BalloonText"/>
    <w:rsid w:val="00717D2A"/>
    <w:rPr>
      <w:rFonts w:ascii="Tahoma" w:hAnsi="Tahoma" w:cs="Tahoma"/>
      <w:sz w:val="16"/>
      <w:szCs w:val="16"/>
      <w:lang w:val="en-AU" w:eastAsia="zh-CN"/>
    </w:rPr>
  </w:style>
  <w:style w:type="table" w:customStyle="1" w:styleId="Calendar2">
    <w:name w:val="Calendar 2"/>
    <w:basedOn w:val="TableNormal"/>
    <w:uiPriority w:val="99"/>
    <w:qFormat/>
    <w:rsid w:val="00616D2D"/>
    <w:pPr>
      <w:jc w:val="center"/>
    </w:pPr>
    <w:rPr>
      <w:rFonts w:ascii="Calibri" w:eastAsia="Times New Roman" w:hAnsi="Calibri"/>
      <w:sz w:val="28"/>
      <w:szCs w:val="28"/>
      <w:lang w:val="en-US" w:eastAsia="en-US"/>
    </w:rPr>
    <w:tblPr>
      <w:tblBorders>
        <w:insideV w:val="single" w:sz="4" w:space="0" w:color="9CC2E5"/>
      </w:tblBorders>
    </w:tblPr>
    <w:tblStylePr w:type="firstRow">
      <w:rPr>
        <w:rFonts w:ascii="Times New Roman" w:hAnsi="Times New Roman"/>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C90766"/>
    <w:pPr>
      <w:autoSpaceDE w:val="0"/>
      <w:autoSpaceDN w:val="0"/>
      <w:adjustRightInd w:val="0"/>
    </w:pPr>
    <w:rPr>
      <w:rFonts w:eastAsia="Calibri"/>
      <w:color w:val="000000"/>
      <w:sz w:val="24"/>
      <w:szCs w:val="24"/>
      <w:lang w:val="en-GB" w:eastAsia="en-US"/>
    </w:rPr>
  </w:style>
  <w:style w:type="paragraph" w:styleId="ListParagraph">
    <w:name w:val="List Paragraph"/>
    <w:basedOn w:val="Normal"/>
    <w:uiPriority w:val="34"/>
    <w:qFormat/>
    <w:rsid w:val="00E75019"/>
    <w:pPr>
      <w:widowControl w:val="0"/>
      <w:autoSpaceDE w:val="0"/>
      <w:autoSpaceDN w:val="0"/>
      <w:ind w:left="623" w:hanging="217"/>
      <w:jc w:val="both"/>
    </w:pPr>
    <w:rPr>
      <w:rFonts w:eastAsia="Times New Roman"/>
      <w:sz w:val="22"/>
      <w:szCs w:val="22"/>
      <w:lang w:val="en-US" w:eastAsia="en-US"/>
    </w:rPr>
  </w:style>
  <w:style w:type="character" w:styleId="Hyperlink">
    <w:name w:val="Hyperlink"/>
    <w:rsid w:val="008D0F6F"/>
    <w:rPr>
      <w:color w:val="0563C1"/>
      <w:u w:val="single"/>
    </w:rPr>
  </w:style>
  <w:style w:type="character" w:customStyle="1" w:styleId="UnresolvedMention1">
    <w:name w:val="Unresolved Mention1"/>
    <w:uiPriority w:val="99"/>
    <w:semiHidden/>
    <w:unhideWhenUsed/>
    <w:rsid w:val="008D0F6F"/>
    <w:rPr>
      <w:color w:val="605E5C"/>
      <w:shd w:val="clear" w:color="auto" w:fill="E1DFDD"/>
    </w:rPr>
  </w:style>
  <w:style w:type="paragraph" w:styleId="NormalWeb">
    <w:name w:val="Normal (Web)"/>
    <w:basedOn w:val="Normal"/>
    <w:uiPriority w:val="99"/>
    <w:unhideWhenUsed/>
    <w:rsid w:val="0026565E"/>
    <w:pPr>
      <w:spacing w:before="100" w:beforeAutospacing="1" w:after="100" w:afterAutospacing="1"/>
    </w:pPr>
    <w:rPr>
      <w:rFonts w:eastAsia="Times New Roman"/>
      <w:lang w:val="en-IN" w:eastAsia="en-IN"/>
    </w:rPr>
  </w:style>
  <w:style w:type="paragraph" w:styleId="Header">
    <w:name w:val="header"/>
    <w:basedOn w:val="Normal"/>
    <w:link w:val="HeaderChar"/>
    <w:rsid w:val="00B64C40"/>
    <w:pPr>
      <w:tabs>
        <w:tab w:val="center" w:pos="4513"/>
        <w:tab w:val="right" w:pos="9026"/>
      </w:tabs>
    </w:pPr>
  </w:style>
  <w:style w:type="character" w:customStyle="1" w:styleId="HeaderChar">
    <w:name w:val="Header Char"/>
    <w:basedOn w:val="DefaultParagraphFont"/>
    <w:link w:val="Header"/>
    <w:rsid w:val="00B64C40"/>
    <w:rPr>
      <w:sz w:val="24"/>
      <w:szCs w:val="24"/>
      <w:lang w:val="en-AU" w:eastAsia="zh-CN"/>
    </w:rPr>
  </w:style>
  <w:style w:type="paragraph" w:styleId="Footer">
    <w:name w:val="footer"/>
    <w:basedOn w:val="Normal"/>
    <w:link w:val="FooterChar"/>
    <w:uiPriority w:val="99"/>
    <w:rsid w:val="00B64C40"/>
    <w:pPr>
      <w:tabs>
        <w:tab w:val="center" w:pos="4513"/>
        <w:tab w:val="right" w:pos="9026"/>
      </w:tabs>
    </w:pPr>
  </w:style>
  <w:style w:type="character" w:customStyle="1" w:styleId="FooterChar">
    <w:name w:val="Footer Char"/>
    <w:basedOn w:val="DefaultParagraphFont"/>
    <w:link w:val="Footer"/>
    <w:uiPriority w:val="99"/>
    <w:rsid w:val="00B64C40"/>
    <w:rPr>
      <w:sz w:val="24"/>
      <w:szCs w:val="24"/>
      <w:lang w:val="en-AU" w:eastAsia="zh-CN"/>
    </w:rPr>
  </w:style>
  <w:style w:type="character" w:styleId="Strong">
    <w:name w:val="Strong"/>
    <w:basedOn w:val="DefaultParagraphFont"/>
    <w:uiPriority w:val="22"/>
    <w:qFormat/>
    <w:rsid w:val="00913959"/>
    <w:rPr>
      <w:b/>
      <w:bCs/>
    </w:rPr>
  </w:style>
  <w:style w:type="character" w:styleId="Emphasis">
    <w:name w:val="Emphasis"/>
    <w:basedOn w:val="DefaultParagraphFont"/>
    <w:uiPriority w:val="20"/>
    <w:qFormat/>
    <w:rsid w:val="00C740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0834">
      <w:bodyDiv w:val="1"/>
      <w:marLeft w:val="0"/>
      <w:marRight w:val="0"/>
      <w:marTop w:val="0"/>
      <w:marBottom w:val="0"/>
      <w:divBdr>
        <w:top w:val="none" w:sz="0" w:space="0" w:color="auto"/>
        <w:left w:val="none" w:sz="0" w:space="0" w:color="auto"/>
        <w:bottom w:val="none" w:sz="0" w:space="0" w:color="auto"/>
        <w:right w:val="none" w:sz="0" w:space="0" w:color="auto"/>
      </w:divBdr>
    </w:div>
    <w:div w:id="67465396">
      <w:bodyDiv w:val="1"/>
      <w:marLeft w:val="0"/>
      <w:marRight w:val="0"/>
      <w:marTop w:val="0"/>
      <w:marBottom w:val="0"/>
      <w:divBdr>
        <w:top w:val="none" w:sz="0" w:space="0" w:color="auto"/>
        <w:left w:val="none" w:sz="0" w:space="0" w:color="auto"/>
        <w:bottom w:val="none" w:sz="0" w:space="0" w:color="auto"/>
        <w:right w:val="none" w:sz="0" w:space="0" w:color="auto"/>
      </w:divBdr>
    </w:div>
    <w:div w:id="110369669">
      <w:bodyDiv w:val="1"/>
      <w:marLeft w:val="0"/>
      <w:marRight w:val="0"/>
      <w:marTop w:val="0"/>
      <w:marBottom w:val="0"/>
      <w:divBdr>
        <w:top w:val="none" w:sz="0" w:space="0" w:color="auto"/>
        <w:left w:val="none" w:sz="0" w:space="0" w:color="auto"/>
        <w:bottom w:val="none" w:sz="0" w:space="0" w:color="auto"/>
        <w:right w:val="none" w:sz="0" w:space="0" w:color="auto"/>
      </w:divBdr>
    </w:div>
    <w:div w:id="240531332">
      <w:bodyDiv w:val="1"/>
      <w:marLeft w:val="0"/>
      <w:marRight w:val="0"/>
      <w:marTop w:val="0"/>
      <w:marBottom w:val="0"/>
      <w:divBdr>
        <w:top w:val="none" w:sz="0" w:space="0" w:color="auto"/>
        <w:left w:val="none" w:sz="0" w:space="0" w:color="auto"/>
        <w:bottom w:val="none" w:sz="0" w:space="0" w:color="auto"/>
        <w:right w:val="none" w:sz="0" w:space="0" w:color="auto"/>
      </w:divBdr>
    </w:div>
    <w:div w:id="310252510">
      <w:bodyDiv w:val="1"/>
      <w:marLeft w:val="0"/>
      <w:marRight w:val="0"/>
      <w:marTop w:val="0"/>
      <w:marBottom w:val="0"/>
      <w:divBdr>
        <w:top w:val="none" w:sz="0" w:space="0" w:color="auto"/>
        <w:left w:val="none" w:sz="0" w:space="0" w:color="auto"/>
        <w:bottom w:val="none" w:sz="0" w:space="0" w:color="auto"/>
        <w:right w:val="none" w:sz="0" w:space="0" w:color="auto"/>
      </w:divBdr>
      <w:divsChild>
        <w:div w:id="138039900">
          <w:marLeft w:val="0"/>
          <w:marRight w:val="0"/>
          <w:marTop w:val="0"/>
          <w:marBottom w:val="0"/>
          <w:divBdr>
            <w:top w:val="none" w:sz="0" w:space="0" w:color="auto"/>
            <w:left w:val="none" w:sz="0" w:space="0" w:color="auto"/>
            <w:bottom w:val="none" w:sz="0" w:space="0" w:color="auto"/>
            <w:right w:val="none" w:sz="0" w:space="0" w:color="auto"/>
          </w:divBdr>
          <w:divsChild>
            <w:div w:id="1722897951">
              <w:marLeft w:val="0"/>
              <w:marRight w:val="0"/>
              <w:marTop w:val="0"/>
              <w:marBottom w:val="0"/>
              <w:divBdr>
                <w:top w:val="none" w:sz="0" w:space="0" w:color="auto"/>
                <w:left w:val="none" w:sz="0" w:space="0" w:color="auto"/>
                <w:bottom w:val="none" w:sz="0" w:space="0" w:color="auto"/>
                <w:right w:val="none" w:sz="0" w:space="0" w:color="auto"/>
              </w:divBdr>
              <w:divsChild>
                <w:div w:id="1978219543">
                  <w:marLeft w:val="0"/>
                  <w:marRight w:val="0"/>
                  <w:marTop w:val="0"/>
                  <w:marBottom w:val="0"/>
                  <w:divBdr>
                    <w:top w:val="none" w:sz="0" w:space="0" w:color="auto"/>
                    <w:left w:val="none" w:sz="0" w:space="0" w:color="auto"/>
                    <w:bottom w:val="none" w:sz="0" w:space="0" w:color="auto"/>
                    <w:right w:val="none" w:sz="0" w:space="0" w:color="auto"/>
                  </w:divBdr>
                  <w:divsChild>
                    <w:div w:id="9425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58823">
          <w:marLeft w:val="0"/>
          <w:marRight w:val="0"/>
          <w:marTop w:val="0"/>
          <w:marBottom w:val="0"/>
          <w:divBdr>
            <w:top w:val="none" w:sz="0" w:space="0" w:color="auto"/>
            <w:left w:val="none" w:sz="0" w:space="0" w:color="auto"/>
            <w:bottom w:val="none" w:sz="0" w:space="0" w:color="auto"/>
            <w:right w:val="none" w:sz="0" w:space="0" w:color="auto"/>
          </w:divBdr>
          <w:divsChild>
            <w:div w:id="23556426">
              <w:marLeft w:val="0"/>
              <w:marRight w:val="0"/>
              <w:marTop w:val="0"/>
              <w:marBottom w:val="0"/>
              <w:divBdr>
                <w:top w:val="none" w:sz="0" w:space="0" w:color="auto"/>
                <w:left w:val="none" w:sz="0" w:space="0" w:color="auto"/>
                <w:bottom w:val="none" w:sz="0" w:space="0" w:color="auto"/>
                <w:right w:val="none" w:sz="0" w:space="0" w:color="auto"/>
              </w:divBdr>
              <w:divsChild>
                <w:div w:id="2099667958">
                  <w:marLeft w:val="0"/>
                  <w:marRight w:val="0"/>
                  <w:marTop w:val="0"/>
                  <w:marBottom w:val="0"/>
                  <w:divBdr>
                    <w:top w:val="none" w:sz="0" w:space="0" w:color="auto"/>
                    <w:left w:val="none" w:sz="0" w:space="0" w:color="auto"/>
                    <w:bottom w:val="none" w:sz="0" w:space="0" w:color="auto"/>
                    <w:right w:val="none" w:sz="0" w:space="0" w:color="auto"/>
                  </w:divBdr>
                  <w:divsChild>
                    <w:div w:id="7322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04440">
      <w:bodyDiv w:val="1"/>
      <w:marLeft w:val="0"/>
      <w:marRight w:val="0"/>
      <w:marTop w:val="0"/>
      <w:marBottom w:val="0"/>
      <w:divBdr>
        <w:top w:val="none" w:sz="0" w:space="0" w:color="auto"/>
        <w:left w:val="none" w:sz="0" w:space="0" w:color="auto"/>
        <w:bottom w:val="none" w:sz="0" w:space="0" w:color="auto"/>
        <w:right w:val="none" w:sz="0" w:space="0" w:color="auto"/>
      </w:divBdr>
    </w:div>
    <w:div w:id="455876449">
      <w:bodyDiv w:val="1"/>
      <w:marLeft w:val="0"/>
      <w:marRight w:val="0"/>
      <w:marTop w:val="0"/>
      <w:marBottom w:val="0"/>
      <w:divBdr>
        <w:top w:val="none" w:sz="0" w:space="0" w:color="auto"/>
        <w:left w:val="none" w:sz="0" w:space="0" w:color="auto"/>
        <w:bottom w:val="none" w:sz="0" w:space="0" w:color="auto"/>
        <w:right w:val="none" w:sz="0" w:space="0" w:color="auto"/>
      </w:divBdr>
    </w:div>
    <w:div w:id="471559527">
      <w:bodyDiv w:val="1"/>
      <w:marLeft w:val="0"/>
      <w:marRight w:val="0"/>
      <w:marTop w:val="0"/>
      <w:marBottom w:val="0"/>
      <w:divBdr>
        <w:top w:val="none" w:sz="0" w:space="0" w:color="auto"/>
        <w:left w:val="none" w:sz="0" w:space="0" w:color="auto"/>
        <w:bottom w:val="none" w:sz="0" w:space="0" w:color="auto"/>
        <w:right w:val="none" w:sz="0" w:space="0" w:color="auto"/>
      </w:divBdr>
    </w:div>
    <w:div w:id="527259963">
      <w:bodyDiv w:val="1"/>
      <w:marLeft w:val="0"/>
      <w:marRight w:val="0"/>
      <w:marTop w:val="0"/>
      <w:marBottom w:val="0"/>
      <w:divBdr>
        <w:top w:val="none" w:sz="0" w:space="0" w:color="auto"/>
        <w:left w:val="none" w:sz="0" w:space="0" w:color="auto"/>
        <w:bottom w:val="none" w:sz="0" w:space="0" w:color="auto"/>
        <w:right w:val="none" w:sz="0" w:space="0" w:color="auto"/>
      </w:divBdr>
      <w:divsChild>
        <w:div w:id="709568789">
          <w:marLeft w:val="0"/>
          <w:marRight w:val="0"/>
          <w:marTop w:val="0"/>
          <w:marBottom w:val="0"/>
          <w:divBdr>
            <w:top w:val="none" w:sz="0" w:space="0" w:color="auto"/>
            <w:left w:val="none" w:sz="0" w:space="0" w:color="auto"/>
            <w:bottom w:val="none" w:sz="0" w:space="0" w:color="auto"/>
            <w:right w:val="none" w:sz="0" w:space="0" w:color="auto"/>
          </w:divBdr>
          <w:divsChild>
            <w:div w:id="401870977">
              <w:marLeft w:val="0"/>
              <w:marRight w:val="0"/>
              <w:marTop w:val="0"/>
              <w:marBottom w:val="0"/>
              <w:divBdr>
                <w:top w:val="none" w:sz="0" w:space="0" w:color="auto"/>
                <w:left w:val="none" w:sz="0" w:space="0" w:color="auto"/>
                <w:bottom w:val="none" w:sz="0" w:space="0" w:color="auto"/>
                <w:right w:val="none" w:sz="0" w:space="0" w:color="auto"/>
              </w:divBdr>
              <w:divsChild>
                <w:div w:id="1361976419">
                  <w:marLeft w:val="0"/>
                  <w:marRight w:val="0"/>
                  <w:marTop w:val="0"/>
                  <w:marBottom w:val="0"/>
                  <w:divBdr>
                    <w:top w:val="none" w:sz="0" w:space="0" w:color="auto"/>
                    <w:left w:val="none" w:sz="0" w:space="0" w:color="auto"/>
                    <w:bottom w:val="none" w:sz="0" w:space="0" w:color="auto"/>
                    <w:right w:val="none" w:sz="0" w:space="0" w:color="auto"/>
                  </w:divBdr>
                  <w:divsChild>
                    <w:div w:id="7573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83489">
          <w:marLeft w:val="0"/>
          <w:marRight w:val="0"/>
          <w:marTop w:val="0"/>
          <w:marBottom w:val="0"/>
          <w:divBdr>
            <w:top w:val="none" w:sz="0" w:space="0" w:color="auto"/>
            <w:left w:val="none" w:sz="0" w:space="0" w:color="auto"/>
            <w:bottom w:val="none" w:sz="0" w:space="0" w:color="auto"/>
            <w:right w:val="none" w:sz="0" w:space="0" w:color="auto"/>
          </w:divBdr>
          <w:divsChild>
            <w:div w:id="1209301991">
              <w:marLeft w:val="0"/>
              <w:marRight w:val="0"/>
              <w:marTop w:val="0"/>
              <w:marBottom w:val="0"/>
              <w:divBdr>
                <w:top w:val="none" w:sz="0" w:space="0" w:color="auto"/>
                <w:left w:val="none" w:sz="0" w:space="0" w:color="auto"/>
                <w:bottom w:val="none" w:sz="0" w:space="0" w:color="auto"/>
                <w:right w:val="none" w:sz="0" w:space="0" w:color="auto"/>
              </w:divBdr>
              <w:divsChild>
                <w:div w:id="1079983640">
                  <w:marLeft w:val="0"/>
                  <w:marRight w:val="0"/>
                  <w:marTop w:val="0"/>
                  <w:marBottom w:val="0"/>
                  <w:divBdr>
                    <w:top w:val="none" w:sz="0" w:space="0" w:color="auto"/>
                    <w:left w:val="none" w:sz="0" w:space="0" w:color="auto"/>
                    <w:bottom w:val="none" w:sz="0" w:space="0" w:color="auto"/>
                    <w:right w:val="none" w:sz="0" w:space="0" w:color="auto"/>
                  </w:divBdr>
                  <w:divsChild>
                    <w:div w:id="2825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41088">
      <w:bodyDiv w:val="1"/>
      <w:marLeft w:val="0"/>
      <w:marRight w:val="0"/>
      <w:marTop w:val="0"/>
      <w:marBottom w:val="0"/>
      <w:divBdr>
        <w:top w:val="none" w:sz="0" w:space="0" w:color="auto"/>
        <w:left w:val="none" w:sz="0" w:space="0" w:color="auto"/>
        <w:bottom w:val="none" w:sz="0" w:space="0" w:color="auto"/>
        <w:right w:val="none" w:sz="0" w:space="0" w:color="auto"/>
      </w:divBdr>
    </w:div>
    <w:div w:id="648443216">
      <w:bodyDiv w:val="1"/>
      <w:marLeft w:val="0"/>
      <w:marRight w:val="0"/>
      <w:marTop w:val="0"/>
      <w:marBottom w:val="0"/>
      <w:divBdr>
        <w:top w:val="none" w:sz="0" w:space="0" w:color="auto"/>
        <w:left w:val="none" w:sz="0" w:space="0" w:color="auto"/>
        <w:bottom w:val="none" w:sz="0" w:space="0" w:color="auto"/>
        <w:right w:val="none" w:sz="0" w:space="0" w:color="auto"/>
      </w:divBdr>
    </w:div>
    <w:div w:id="657684793">
      <w:bodyDiv w:val="1"/>
      <w:marLeft w:val="0"/>
      <w:marRight w:val="0"/>
      <w:marTop w:val="0"/>
      <w:marBottom w:val="0"/>
      <w:divBdr>
        <w:top w:val="none" w:sz="0" w:space="0" w:color="auto"/>
        <w:left w:val="none" w:sz="0" w:space="0" w:color="auto"/>
        <w:bottom w:val="none" w:sz="0" w:space="0" w:color="auto"/>
        <w:right w:val="none" w:sz="0" w:space="0" w:color="auto"/>
      </w:divBdr>
    </w:div>
    <w:div w:id="657732291">
      <w:bodyDiv w:val="1"/>
      <w:marLeft w:val="0"/>
      <w:marRight w:val="0"/>
      <w:marTop w:val="0"/>
      <w:marBottom w:val="0"/>
      <w:divBdr>
        <w:top w:val="none" w:sz="0" w:space="0" w:color="auto"/>
        <w:left w:val="none" w:sz="0" w:space="0" w:color="auto"/>
        <w:bottom w:val="none" w:sz="0" w:space="0" w:color="auto"/>
        <w:right w:val="none" w:sz="0" w:space="0" w:color="auto"/>
      </w:divBdr>
    </w:div>
    <w:div w:id="686055721">
      <w:bodyDiv w:val="1"/>
      <w:marLeft w:val="0"/>
      <w:marRight w:val="0"/>
      <w:marTop w:val="0"/>
      <w:marBottom w:val="0"/>
      <w:divBdr>
        <w:top w:val="none" w:sz="0" w:space="0" w:color="auto"/>
        <w:left w:val="none" w:sz="0" w:space="0" w:color="auto"/>
        <w:bottom w:val="none" w:sz="0" w:space="0" w:color="auto"/>
        <w:right w:val="none" w:sz="0" w:space="0" w:color="auto"/>
      </w:divBdr>
    </w:div>
    <w:div w:id="783768884">
      <w:bodyDiv w:val="1"/>
      <w:marLeft w:val="0"/>
      <w:marRight w:val="0"/>
      <w:marTop w:val="0"/>
      <w:marBottom w:val="0"/>
      <w:divBdr>
        <w:top w:val="none" w:sz="0" w:space="0" w:color="auto"/>
        <w:left w:val="none" w:sz="0" w:space="0" w:color="auto"/>
        <w:bottom w:val="none" w:sz="0" w:space="0" w:color="auto"/>
        <w:right w:val="none" w:sz="0" w:space="0" w:color="auto"/>
      </w:divBdr>
    </w:div>
    <w:div w:id="816535453">
      <w:bodyDiv w:val="1"/>
      <w:marLeft w:val="0"/>
      <w:marRight w:val="0"/>
      <w:marTop w:val="0"/>
      <w:marBottom w:val="0"/>
      <w:divBdr>
        <w:top w:val="none" w:sz="0" w:space="0" w:color="auto"/>
        <w:left w:val="none" w:sz="0" w:space="0" w:color="auto"/>
        <w:bottom w:val="none" w:sz="0" w:space="0" w:color="auto"/>
        <w:right w:val="none" w:sz="0" w:space="0" w:color="auto"/>
      </w:divBdr>
    </w:div>
    <w:div w:id="844781890">
      <w:bodyDiv w:val="1"/>
      <w:marLeft w:val="0"/>
      <w:marRight w:val="0"/>
      <w:marTop w:val="0"/>
      <w:marBottom w:val="0"/>
      <w:divBdr>
        <w:top w:val="none" w:sz="0" w:space="0" w:color="auto"/>
        <w:left w:val="none" w:sz="0" w:space="0" w:color="auto"/>
        <w:bottom w:val="none" w:sz="0" w:space="0" w:color="auto"/>
        <w:right w:val="none" w:sz="0" w:space="0" w:color="auto"/>
      </w:divBdr>
    </w:div>
    <w:div w:id="873078330">
      <w:bodyDiv w:val="1"/>
      <w:marLeft w:val="0"/>
      <w:marRight w:val="0"/>
      <w:marTop w:val="0"/>
      <w:marBottom w:val="0"/>
      <w:divBdr>
        <w:top w:val="none" w:sz="0" w:space="0" w:color="auto"/>
        <w:left w:val="none" w:sz="0" w:space="0" w:color="auto"/>
        <w:bottom w:val="none" w:sz="0" w:space="0" w:color="auto"/>
        <w:right w:val="none" w:sz="0" w:space="0" w:color="auto"/>
      </w:divBdr>
    </w:div>
    <w:div w:id="929046360">
      <w:bodyDiv w:val="1"/>
      <w:marLeft w:val="0"/>
      <w:marRight w:val="0"/>
      <w:marTop w:val="0"/>
      <w:marBottom w:val="0"/>
      <w:divBdr>
        <w:top w:val="none" w:sz="0" w:space="0" w:color="auto"/>
        <w:left w:val="none" w:sz="0" w:space="0" w:color="auto"/>
        <w:bottom w:val="none" w:sz="0" w:space="0" w:color="auto"/>
        <w:right w:val="none" w:sz="0" w:space="0" w:color="auto"/>
      </w:divBdr>
    </w:div>
    <w:div w:id="963460556">
      <w:bodyDiv w:val="1"/>
      <w:marLeft w:val="0"/>
      <w:marRight w:val="0"/>
      <w:marTop w:val="0"/>
      <w:marBottom w:val="0"/>
      <w:divBdr>
        <w:top w:val="none" w:sz="0" w:space="0" w:color="auto"/>
        <w:left w:val="none" w:sz="0" w:space="0" w:color="auto"/>
        <w:bottom w:val="none" w:sz="0" w:space="0" w:color="auto"/>
        <w:right w:val="none" w:sz="0" w:space="0" w:color="auto"/>
      </w:divBdr>
    </w:div>
    <w:div w:id="1091857731">
      <w:bodyDiv w:val="1"/>
      <w:marLeft w:val="0"/>
      <w:marRight w:val="0"/>
      <w:marTop w:val="0"/>
      <w:marBottom w:val="0"/>
      <w:divBdr>
        <w:top w:val="none" w:sz="0" w:space="0" w:color="auto"/>
        <w:left w:val="none" w:sz="0" w:space="0" w:color="auto"/>
        <w:bottom w:val="none" w:sz="0" w:space="0" w:color="auto"/>
        <w:right w:val="none" w:sz="0" w:space="0" w:color="auto"/>
      </w:divBdr>
    </w:div>
    <w:div w:id="1272665175">
      <w:bodyDiv w:val="1"/>
      <w:marLeft w:val="0"/>
      <w:marRight w:val="0"/>
      <w:marTop w:val="0"/>
      <w:marBottom w:val="0"/>
      <w:divBdr>
        <w:top w:val="none" w:sz="0" w:space="0" w:color="auto"/>
        <w:left w:val="none" w:sz="0" w:space="0" w:color="auto"/>
        <w:bottom w:val="none" w:sz="0" w:space="0" w:color="auto"/>
        <w:right w:val="none" w:sz="0" w:space="0" w:color="auto"/>
      </w:divBdr>
    </w:div>
    <w:div w:id="1455563467">
      <w:bodyDiv w:val="1"/>
      <w:marLeft w:val="0"/>
      <w:marRight w:val="0"/>
      <w:marTop w:val="0"/>
      <w:marBottom w:val="0"/>
      <w:divBdr>
        <w:top w:val="none" w:sz="0" w:space="0" w:color="auto"/>
        <w:left w:val="none" w:sz="0" w:space="0" w:color="auto"/>
        <w:bottom w:val="none" w:sz="0" w:space="0" w:color="auto"/>
        <w:right w:val="none" w:sz="0" w:space="0" w:color="auto"/>
      </w:divBdr>
    </w:div>
    <w:div w:id="1527979647">
      <w:bodyDiv w:val="1"/>
      <w:marLeft w:val="0"/>
      <w:marRight w:val="0"/>
      <w:marTop w:val="0"/>
      <w:marBottom w:val="0"/>
      <w:divBdr>
        <w:top w:val="none" w:sz="0" w:space="0" w:color="auto"/>
        <w:left w:val="none" w:sz="0" w:space="0" w:color="auto"/>
        <w:bottom w:val="none" w:sz="0" w:space="0" w:color="auto"/>
        <w:right w:val="none" w:sz="0" w:space="0" w:color="auto"/>
      </w:divBdr>
    </w:div>
    <w:div w:id="1530072508">
      <w:bodyDiv w:val="1"/>
      <w:marLeft w:val="0"/>
      <w:marRight w:val="0"/>
      <w:marTop w:val="0"/>
      <w:marBottom w:val="0"/>
      <w:divBdr>
        <w:top w:val="none" w:sz="0" w:space="0" w:color="auto"/>
        <w:left w:val="none" w:sz="0" w:space="0" w:color="auto"/>
        <w:bottom w:val="none" w:sz="0" w:space="0" w:color="auto"/>
        <w:right w:val="none" w:sz="0" w:space="0" w:color="auto"/>
      </w:divBdr>
    </w:div>
    <w:div w:id="1566986130">
      <w:bodyDiv w:val="1"/>
      <w:marLeft w:val="0"/>
      <w:marRight w:val="0"/>
      <w:marTop w:val="0"/>
      <w:marBottom w:val="0"/>
      <w:divBdr>
        <w:top w:val="none" w:sz="0" w:space="0" w:color="auto"/>
        <w:left w:val="none" w:sz="0" w:space="0" w:color="auto"/>
        <w:bottom w:val="none" w:sz="0" w:space="0" w:color="auto"/>
        <w:right w:val="none" w:sz="0" w:space="0" w:color="auto"/>
      </w:divBdr>
    </w:div>
    <w:div w:id="1661155493">
      <w:bodyDiv w:val="1"/>
      <w:marLeft w:val="0"/>
      <w:marRight w:val="0"/>
      <w:marTop w:val="0"/>
      <w:marBottom w:val="0"/>
      <w:divBdr>
        <w:top w:val="none" w:sz="0" w:space="0" w:color="auto"/>
        <w:left w:val="none" w:sz="0" w:space="0" w:color="auto"/>
        <w:bottom w:val="none" w:sz="0" w:space="0" w:color="auto"/>
        <w:right w:val="none" w:sz="0" w:space="0" w:color="auto"/>
      </w:divBdr>
    </w:div>
    <w:div w:id="1680230586">
      <w:bodyDiv w:val="1"/>
      <w:marLeft w:val="0"/>
      <w:marRight w:val="0"/>
      <w:marTop w:val="0"/>
      <w:marBottom w:val="0"/>
      <w:divBdr>
        <w:top w:val="none" w:sz="0" w:space="0" w:color="auto"/>
        <w:left w:val="none" w:sz="0" w:space="0" w:color="auto"/>
        <w:bottom w:val="none" w:sz="0" w:space="0" w:color="auto"/>
        <w:right w:val="none" w:sz="0" w:space="0" w:color="auto"/>
      </w:divBdr>
    </w:div>
    <w:div w:id="1709526878">
      <w:bodyDiv w:val="1"/>
      <w:marLeft w:val="0"/>
      <w:marRight w:val="0"/>
      <w:marTop w:val="0"/>
      <w:marBottom w:val="0"/>
      <w:divBdr>
        <w:top w:val="none" w:sz="0" w:space="0" w:color="auto"/>
        <w:left w:val="none" w:sz="0" w:space="0" w:color="auto"/>
        <w:bottom w:val="none" w:sz="0" w:space="0" w:color="auto"/>
        <w:right w:val="none" w:sz="0" w:space="0" w:color="auto"/>
      </w:divBdr>
    </w:div>
    <w:div w:id="1793014657">
      <w:bodyDiv w:val="1"/>
      <w:marLeft w:val="0"/>
      <w:marRight w:val="0"/>
      <w:marTop w:val="0"/>
      <w:marBottom w:val="0"/>
      <w:divBdr>
        <w:top w:val="none" w:sz="0" w:space="0" w:color="auto"/>
        <w:left w:val="none" w:sz="0" w:space="0" w:color="auto"/>
        <w:bottom w:val="none" w:sz="0" w:space="0" w:color="auto"/>
        <w:right w:val="none" w:sz="0" w:space="0" w:color="auto"/>
      </w:divBdr>
    </w:div>
    <w:div w:id="1797983799">
      <w:bodyDiv w:val="1"/>
      <w:marLeft w:val="0"/>
      <w:marRight w:val="0"/>
      <w:marTop w:val="0"/>
      <w:marBottom w:val="0"/>
      <w:divBdr>
        <w:top w:val="none" w:sz="0" w:space="0" w:color="auto"/>
        <w:left w:val="none" w:sz="0" w:space="0" w:color="auto"/>
        <w:bottom w:val="none" w:sz="0" w:space="0" w:color="auto"/>
        <w:right w:val="none" w:sz="0" w:space="0" w:color="auto"/>
      </w:divBdr>
    </w:div>
    <w:div w:id="1843079696">
      <w:bodyDiv w:val="1"/>
      <w:marLeft w:val="0"/>
      <w:marRight w:val="0"/>
      <w:marTop w:val="0"/>
      <w:marBottom w:val="0"/>
      <w:divBdr>
        <w:top w:val="none" w:sz="0" w:space="0" w:color="auto"/>
        <w:left w:val="none" w:sz="0" w:space="0" w:color="auto"/>
        <w:bottom w:val="none" w:sz="0" w:space="0" w:color="auto"/>
        <w:right w:val="none" w:sz="0" w:space="0" w:color="auto"/>
      </w:divBdr>
    </w:div>
    <w:div w:id="1913930850">
      <w:bodyDiv w:val="1"/>
      <w:marLeft w:val="0"/>
      <w:marRight w:val="0"/>
      <w:marTop w:val="0"/>
      <w:marBottom w:val="0"/>
      <w:divBdr>
        <w:top w:val="none" w:sz="0" w:space="0" w:color="auto"/>
        <w:left w:val="none" w:sz="0" w:space="0" w:color="auto"/>
        <w:bottom w:val="none" w:sz="0" w:space="0" w:color="auto"/>
        <w:right w:val="none" w:sz="0" w:space="0" w:color="auto"/>
      </w:divBdr>
    </w:div>
    <w:div w:id="1940403416">
      <w:bodyDiv w:val="1"/>
      <w:marLeft w:val="0"/>
      <w:marRight w:val="0"/>
      <w:marTop w:val="0"/>
      <w:marBottom w:val="0"/>
      <w:divBdr>
        <w:top w:val="none" w:sz="0" w:space="0" w:color="auto"/>
        <w:left w:val="none" w:sz="0" w:space="0" w:color="auto"/>
        <w:bottom w:val="none" w:sz="0" w:space="0" w:color="auto"/>
        <w:right w:val="none" w:sz="0" w:space="0" w:color="auto"/>
      </w:divBdr>
    </w:div>
    <w:div w:id="2086564166">
      <w:bodyDiv w:val="1"/>
      <w:marLeft w:val="0"/>
      <w:marRight w:val="0"/>
      <w:marTop w:val="0"/>
      <w:marBottom w:val="0"/>
      <w:divBdr>
        <w:top w:val="none" w:sz="0" w:space="0" w:color="auto"/>
        <w:left w:val="none" w:sz="0" w:space="0" w:color="auto"/>
        <w:bottom w:val="none" w:sz="0" w:space="0" w:color="auto"/>
        <w:right w:val="none" w:sz="0" w:space="0" w:color="auto"/>
      </w:divBdr>
    </w:div>
    <w:div w:id="2145929923">
      <w:bodyDiv w:val="1"/>
      <w:marLeft w:val="0"/>
      <w:marRight w:val="0"/>
      <w:marTop w:val="0"/>
      <w:marBottom w:val="0"/>
      <w:divBdr>
        <w:top w:val="none" w:sz="0" w:space="0" w:color="auto"/>
        <w:left w:val="none" w:sz="0" w:space="0" w:color="auto"/>
        <w:bottom w:val="none" w:sz="0" w:space="0" w:color="auto"/>
        <w:right w:val="none" w:sz="0" w:space="0" w:color="auto"/>
      </w:divBdr>
      <w:divsChild>
        <w:div w:id="287973380">
          <w:marLeft w:val="0"/>
          <w:marRight w:val="0"/>
          <w:marTop w:val="0"/>
          <w:marBottom w:val="0"/>
          <w:divBdr>
            <w:top w:val="none" w:sz="0" w:space="0" w:color="auto"/>
            <w:left w:val="none" w:sz="0" w:space="0" w:color="auto"/>
            <w:bottom w:val="none" w:sz="0" w:space="0" w:color="auto"/>
            <w:right w:val="none" w:sz="0" w:space="0" w:color="auto"/>
          </w:divBdr>
          <w:divsChild>
            <w:div w:id="22177399">
              <w:marLeft w:val="0"/>
              <w:marRight w:val="0"/>
              <w:marTop w:val="0"/>
              <w:marBottom w:val="0"/>
              <w:divBdr>
                <w:top w:val="none" w:sz="0" w:space="0" w:color="auto"/>
                <w:left w:val="none" w:sz="0" w:space="0" w:color="auto"/>
                <w:bottom w:val="none" w:sz="0" w:space="0" w:color="auto"/>
                <w:right w:val="none" w:sz="0" w:space="0" w:color="auto"/>
              </w:divBdr>
              <w:divsChild>
                <w:div w:id="1585072120">
                  <w:marLeft w:val="0"/>
                  <w:marRight w:val="0"/>
                  <w:marTop w:val="0"/>
                  <w:marBottom w:val="0"/>
                  <w:divBdr>
                    <w:top w:val="none" w:sz="0" w:space="0" w:color="auto"/>
                    <w:left w:val="none" w:sz="0" w:space="0" w:color="auto"/>
                    <w:bottom w:val="none" w:sz="0" w:space="0" w:color="auto"/>
                    <w:right w:val="none" w:sz="0" w:space="0" w:color="auto"/>
                  </w:divBdr>
                  <w:divsChild>
                    <w:div w:id="183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78">
          <w:marLeft w:val="0"/>
          <w:marRight w:val="0"/>
          <w:marTop w:val="0"/>
          <w:marBottom w:val="0"/>
          <w:divBdr>
            <w:top w:val="none" w:sz="0" w:space="0" w:color="auto"/>
            <w:left w:val="none" w:sz="0" w:space="0" w:color="auto"/>
            <w:bottom w:val="none" w:sz="0" w:space="0" w:color="auto"/>
            <w:right w:val="none" w:sz="0" w:space="0" w:color="auto"/>
          </w:divBdr>
          <w:divsChild>
            <w:div w:id="1733500283">
              <w:marLeft w:val="0"/>
              <w:marRight w:val="0"/>
              <w:marTop w:val="0"/>
              <w:marBottom w:val="0"/>
              <w:divBdr>
                <w:top w:val="none" w:sz="0" w:space="0" w:color="auto"/>
                <w:left w:val="none" w:sz="0" w:space="0" w:color="auto"/>
                <w:bottom w:val="none" w:sz="0" w:space="0" w:color="auto"/>
                <w:right w:val="none" w:sz="0" w:space="0" w:color="auto"/>
              </w:divBdr>
              <w:divsChild>
                <w:div w:id="1894383675">
                  <w:marLeft w:val="0"/>
                  <w:marRight w:val="0"/>
                  <w:marTop w:val="0"/>
                  <w:marBottom w:val="0"/>
                  <w:divBdr>
                    <w:top w:val="none" w:sz="0" w:space="0" w:color="auto"/>
                    <w:left w:val="none" w:sz="0" w:space="0" w:color="auto"/>
                    <w:bottom w:val="none" w:sz="0" w:space="0" w:color="auto"/>
                    <w:right w:val="none" w:sz="0" w:space="0" w:color="auto"/>
                  </w:divBdr>
                  <w:divsChild>
                    <w:div w:id="12565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imesofindia.indiatimes.co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niua.i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dia.gov.in/spotlight/smart-cities-mission-step-towards-smart-indi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worldbank.org/en/news/opinion/2024/01/30/gearing-up-for-india-s-rapid-urban-transformati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18</Pages>
  <Words>5700</Words>
  <Characters>32491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IEEE Paper Word Template in A4 Page Size (V3)</vt:lpstr>
    </vt:vector>
  </TitlesOfParts>
  <Company/>
  <LinksUpToDate>false</LinksUpToDate>
  <CharactersWithSpaces>38115</CharactersWithSpaces>
  <SharedDoc>false</SharedDoc>
  <HLinks>
    <vt:vector size="12" baseType="variant">
      <vt:variant>
        <vt:i4>6946889</vt:i4>
      </vt:variant>
      <vt:variant>
        <vt:i4>3</vt:i4>
      </vt:variant>
      <vt:variant>
        <vt:i4>0</vt:i4>
      </vt:variant>
      <vt:variant>
        <vt:i4>5</vt:i4>
      </vt:variant>
      <vt:variant>
        <vt:lpwstr>mailto:vivekchillalb@gmail.com</vt:lpwstr>
      </vt:variant>
      <vt:variant>
        <vt:lpwstr/>
      </vt:variant>
      <vt:variant>
        <vt:i4>7995478</vt:i4>
      </vt:variant>
      <vt:variant>
        <vt:i4>0</vt:i4>
      </vt:variant>
      <vt:variant>
        <vt:i4>0</vt:i4>
      </vt:variant>
      <vt:variant>
        <vt:i4>5</vt:i4>
      </vt:variant>
      <vt:variant>
        <vt:lpwstr>mailto:gouthamsmkonikar@gmail.com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Word Template in A4 Page Size (V3)</dc:title>
  <dc:subject/>
  <dc:creator>IJET</dc:creator>
  <cp:keywords/>
  <dc:description/>
  <cp:lastModifiedBy>SDI 1183</cp:lastModifiedBy>
  <cp:revision>163</cp:revision>
  <cp:lastPrinted>2025-03-04T04:22:00Z</cp:lastPrinted>
  <dcterms:created xsi:type="dcterms:W3CDTF">2025-03-03T14:56:00Z</dcterms:created>
  <dcterms:modified xsi:type="dcterms:W3CDTF">2025-03-10T10:17:00Z</dcterms:modified>
</cp:coreProperties>
</file>