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58AA4" w14:textId="77777777" w:rsidR="00C63CFC" w:rsidRPr="00263935" w:rsidRDefault="0043080A">
      <w:pPr>
        <w:jc w:val="center"/>
        <w:rPr>
          <w:b/>
          <w:sz w:val="40"/>
          <w:szCs w:val="24"/>
        </w:rPr>
      </w:pPr>
      <w:r w:rsidRPr="00263935">
        <w:rPr>
          <w:b/>
          <w:sz w:val="40"/>
          <w:szCs w:val="24"/>
        </w:rPr>
        <w:t>The Role of Zero-Knowledge Proofs in Blockchain-Based Property Transactions to Ensure Data Privacy and Compliance with UK Regulations</w:t>
      </w:r>
    </w:p>
    <w:p w14:paraId="0214A5E6" w14:textId="77777777" w:rsidR="005660C3" w:rsidRPr="00263935" w:rsidRDefault="005660C3">
      <w:pPr>
        <w:jc w:val="center"/>
        <w:rPr>
          <w:b/>
          <w:sz w:val="24"/>
          <w:szCs w:val="24"/>
        </w:rPr>
      </w:pPr>
    </w:p>
    <w:p w14:paraId="235F0614" w14:textId="77777777" w:rsidR="00D836F5" w:rsidRDefault="00D836F5" w:rsidP="00987E36">
      <w:pPr>
        <w:rPr>
          <w:b/>
          <w:sz w:val="24"/>
          <w:szCs w:val="24"/>
        </w:rPr>
      </w:pPr>
    </w:p>
    <w:p w14:paraId="2EB6C3A4" w14:textId="77777777" w:rsidR="00D836F5" w:rsidRDefault="00D836F5" w:rsidP="00987E36">
      <w:pPr>
        <w:rPr>
          <w:b/>
          <w:sz w:val="24"/>
          <w:szCs w:val="24"/>
        </w:rPr>
      </w:pPr>
    </w:p>
    <w:p w14:paraId="2AD789A3" w14:textId="77777777" w:rsidR="00D836F5" w:rsidRDefault="00D836F5" w:rsidP="00987E36">
      <w:pPr>
        <w:rPr>
          <w:b/>
          <w:sz w:val="24"/>
          <w:szCs w:val="24"/>
        </w:rPr>
      </w:pPr>
    </w:p>
    <w:p w14:paraId="78611F54" w14:textId="77777777" w:rsidR="00D836F5" w:rsidRDefault="00D836F5" w:rsidP="00987E36">
      <w:pPr>
        <w:rPr>
          <w:b/>
          <w:sz w:val="24"/>
          <w:szCs w:val="24"/>
        </w:rPr>
      </w:pPr>
    </w:p>
    <w:p w14:paraId="6D2D26BE" w14:textId="29C7FDD2" w:rsidR="00987E36" w:rsidRPr="00263935" w:rsidRDefault="00987E36" w:rsidP="00987E36">
      <w:pPr>
        <w:rPr>
          <w:b/>
          <w:sz w:val="24"/>
          <w:szCs w:val="24"/>
        </w:rPr>
      </w:pPr>
      <w:r w:rsidRPr="00263935">
        <w:rPr>
          <w:b/>
          <w:sz w:val="24"/>
          <w:szCs w:val="24"/>
        </w:rPr>
        <w:t>Abstract</w:t>
      </w:r>
    </w:p>
    <w:p w14:paraId="78343E15" w14:textId="6A27DF56" w:rsidR="00987E36" w:rsidRPr="00263935" w:rsidRDefault="00F43C17" w:rsidP="00987E36">
      <w:pPr>
        <w:pStyle w:val="NormalWeb"/>
        <w:jc w:val="both"/>
        <w:rPr>
          <w:rFonts w:ascii="Arial" w:hAnsi="Arial" w:cs="Arial"/>
        </w:rPr>
      </w:pPr>
      <w:r w:rsidRPr="00F43C17">
        <w:rPr>
          <w:rFonts w:ascii="Arial" w:hAnsi="Arial" w:cs="Arial"/>
          <w:i/>
          <w:iCs/>
          <w:color w:val="000000"/>
        </w:rPr>
        <w:t>Property transactions in the UK are increasingly adopting blockchain technology to enhance efficiency, transparency, and security. However, the inherent transparency of blockchain raises significant data privacy risks and regulatory compliance challenges, particularly under the UK General Data Protection Regulation (UK GDPR). This study examines the role of Zero-Knowledge Proofs (ZKPs) in addressing these concerns by enabling transaction validation while preserving confidentiality. Using entropy measures, k-anonymity analysis, and logistic regression, this research quantitatively assesses the privacy risks, effectiveness of ZKPs, and regulatory acceptance in blockchain-based property transactions. The findings reveal that 65.5% of transactions remain highly or moderately identifiable, posing privacy vulnerabilities under UK data protection laws. ZKP-enabled transactions significantly enhance confidentiality, achieving a 92.5% transaction privacy score, compared to 48.3% for non-ZKP transactions. However, these privacy gains come at a 67.8% increase in transaction costs, highlighting a critical trade-off between security and efficiency. Regulatory approval rates for ZKP-based blockchain platforms stand at 72.5%, suggesting a strong potential for compliance advantages. While ZKPs improve privacy and regulatory alignment, challenges remain in terms of computational overhead, transaction costs, and adoption barriers. To facilitate large-scale implementation, this study recommends optimizing zk-Rollups for efficiency, developing clear policy frameworks, and enhancing collaboration between regulators, industry stakeholders, and blockchain developers. These steps are essential to ensuring a balance between privacy, scalability, and compliance, paving the way for secure and legally sound blockchain-based property transactions in the UK</w:t>
      </w:r>
      <w:r>
        <w:rPr>
          <w:rFonts w:ascii="Arial" w:hAnsi="Arial" w:cs="Arial"/>
          <w:i/>
          <w:iCs/>
          <w:color w:val="000000"/>
          <w:sz w:val="26"/>
          <w:szCs w:val="26"/>
        </w:rPr>
        <w:t>.</w:t>
      </w:r>
    </w:p>
    <w:p w14:paraId="073EB487" w14:textId="77777777" w:rsidR="00987E36" w:rsidRPr="00263935" w:rsidRDefault="00987E36" w:rsidP="0096720B">
      <w:pPr>
        <w:pStyle w:val="NormalWeb"/>
        <w:jc w:val="both"/>
        <w:rPr>
          <w:rFonts w:ascii="Arial" w:hAnsi="Arial" w:cs="Arial"/>
          <w:b/>
        </w:rPr>
      </w:pPr>
      <w:r w:rsidRPr="00263935">
        <w:rPr>
          <w:rStyle w:val="Strong"/>
          <w:rFonts w:ascii="Arial" w:hAnsi="Arial" w:cs="Arial"/>
        </w:rPr>
        <w:t>Keywords:</w:t>
      </w:r>
      <w:r w:rsidRPr="00263935">
        <w:rPr>
          <w:rFonts w:ascii="Arial" w:hAnsi="Arial" w:cs="Arial"/>
        </w:rPr>
        <w:t xml:space="preserve"> </w:t>
      </w:r>
      <w:r w:rsidRPr="00263935">
        <w:rPr>
          <w:rFonts w:ascii="Arial" w:hAnsi="Arial" w:cs="Arial"/>
          <w:b/>
        </w:rPr>
        <w:t>Blockchain, Zero-Knowledge Proofs, Property Transactions, Data Privacy, Regulatory Compliance.</w:t>
      </w:r>
    </w:p>
    <w:p w14:paraId="0BA04D21" w14:textId="77777777" w:rsidR="00C63CFC" w:rsidRPr="00263935" w:rsidRDefault="00263935">
      <w:pPr>
        <w:pStyle w:val="Heading3"/>
        <w:keepNext w:val="0"/>
        <w:keepLines w:val="0"/>
        <w:spacing w:before="280"/>
        <w:rPr>
          <w:b/>
          <w:color w:val="000000"/>
          <w:sz w:val="24"/>
          <w:szCs w:val="24"/>
        </w:rPr>
      </w:pPr>
      <w:bookmarkStart w:id="0" w:name="_9mrk0fy9n32x" w:colFirst="0" w:colLast="0"/>
      <w:bookmarkEnd w:id="0"/>
      <w:r>
        <w:rPr>
          <w:b/>
          <w:color w:val="000000"/>
          <w:sz w:val="24"/>
          <w:szCs w:val="24"/>
        </w:rPr>
        <w:t>1.</w:t>
      </w:r>
      <w:r>
        <w:rPr>
          <w:b/>
          <w:color w:val="000000"/>
          <w:sz w:val="24"/>
          <w:szCs w:val="24"/>
        </w:rPr>
        <w:tab/>
      </w:r>
      <w:r w:rsidR="0043080A" w:rsidRPr="00263935">
        <w:rPr>
          <w:b/>
          <w:color w:val="000000"/>
          <w:sz w:val="24"/>
          <w:szCs w:val="24"/>
        </w:rPr>
        <w:t>Introduction</w:t>
      </w:r>
    </w:p>
    <w:p w14:paraId="1FBB934D" w14:textId="77777777" w:rsidR="00C63CFC" w:rsidRPr="00263935" w:rsidRDefault="0043080A">
      <w:pPr>
        <w:spacing w:before="240" w:after="240"/>
        <w:rPr>
          <w:sz w:val="24"/>
          <w:szCs w:val="24"/>
        </w:rPr>
      </w:pPr>
      <w:r w:rsidRPr="00263935">
        <w:rPr>
          <w:sz w:val="24"/>
          <w:szCs w:val="24"/>
        </w:rPr>
        <w:t xml:space="preserve">The increasing adoption of blockchain technology in property transactions is reshaping the United Kingdom’s real estate sector, introducing enhanced efficiency, transparency, </w:t>
      </w:r>
      <w:r w:rsidRPr="00263935">
        <w:rPr>
          <w:sz w:val="24"/>
          <w:szCs w:val="24"/>
        </w:rPr>
        <w:lastRenderedPageBreak/>
        <w:t>and security. Traditionally, property transactions have depended on centralized databases, legal intermediaries, and extensive documentation, resulting in administrative inefficiencies, prolonged processing times, and heightened fraud risks (Samuel, 2024). In response to these challenges, HM Land Registry has implemented initiatives such as Digital Street, which aims to modernize property transactions through blockchain integration (Tombs, 2018). This decentralized technology ensures immutable record-keeping and facilitates the automation of contractual processes through smart contracts, thereby mitigating inefficiencies associated with traditional systems (Borges &amp; Rodrigues, 2024). However, despite these advantages, the transparency of blockchain raises significant concerns regarding the exposure of personal and financial data, particularly in the context of UK data protection regulations (Joseph, 2024).</w:t>
      </w:r>
    </w:p>
    <w:p w14:paraId="7A0EC02B" w14:textId="77777777" w:rsidR="00C63CFC" w:rsidRPr="00263935" w:rsidRDefault="0043080A">
      <w:pPr>
        <w:spacing w:before="240" w:after="240"/>
        <w:rPr>
          <w:sz w:val="24"/>
          <w:szCs w:val="24"/>
        </w:rPr>
      </w:pPr>
      <w:r w:rsidRPr="00263935">
        <w:rPr>
          <w:sz w:val="24"/>
          <w:szCs w:val="24"/>
        </w:rPr>
        <w:t>According to Borges and Rodrigues (2024), blockchain functions as a decentralized public ledger where transactions remain visible to all network participants. While this structure enhances accountability and security, it also introduces privacy concerns, particularly in property dealings, where confidentiality is crucial. A fundamental challenge arises in verifying ownership, creditworthiness, and transaction validity without disclosing sensitive information (Zhu et al., 2024). The UK General Data Protection Regulation (UK GDPR) establishes strict data processing requirements, emphasizing data minimization, security, and lawful handling  (Joseph, 2024). Consequently, privacy-preserving mechanisms must be developed to balance blockchain's transparency with the necessity for confidentiality in property transactions (Yin et al., 2023).</w:t>
      </w:r>
    </w:p>
    <w:p w14:paraId="22EF319A" w14:textId="77777777" w:rsidR="00C63CFC" w:rsidRPr="00263935" w:rsidRDefault="0043080A">
      <w:pPr>
        <w:spacing w:before="240" w:after="240"/>
        <w:rPr>
          <w:sz w:val="24"/>
          <w:szCs w:val="24"/>
        </w:rPr>
      </w:pPr>
      <w:r w:rsidRPr="00263935">
        <w:rPr>
          <w:sz w:val="24"/>
          <w:szCs w:val="24"/>
        </w:rPr>
        <w:t>A promising solution to these concerns is Zero-Knowledge Proofs (ZKPs), an advanced cryptographic technique that allows one party to verify information without revealing underlying data.  Zhou et al. (2024) contends that in the context of property transactions, ZKPs enable identity verification, ownership validation, and compliance checks while safeguarding confidential financial details. This ensures compliance with Anti-Money Laundering (AML) and Know Your Customer (KYC) obligations, both of which are enforced by the Financial Conduct Authority (FCA) (Kakebayashi et al., 2023). The practical application of ZKPs has already been demonstrated in financial transactions, notably through Zcash, a cryptocurrency that employs zk-SNARKs (Zero-Knowledge Succinct Non-Interactive Arguments of Knowledge) to facilitate privacy-preserving transactions (Zhou et al., 2024). By incorporating similar cryptographic mechanisms into blockchain-based property exchanges, the confidentiality of real estate transactions could be significantly improved.</w:t>
      </w:r>
    </w:p>
    <w:p w14:paraId="4D4E9DB6" w14:textId="77777777" w:rsidR="00C63CFC" w:rsidRPr="00263935" w:rsidRDefault="0043080A">
      <w:pPr>
        <w:spacing w:before="240" w:after="240"/>
        <w:rPr>
          <w:sz w:val="24"/>
          <w:szCs w:val="24"/>
        </w:rPr>
      </w:pPr>
      <w:r w:rsidRPr="00263935">
        <w:rPr>
          <w:sz w:val="24"/>
          <w:szCs w:val="24"/>
        </w:rPr>
        <w:t xml:space="preserve">In the UK, various initiatives have been launched to explore blockchain-driven property transactions. The Digital Street project, in collaboration with Consensys Codefi, has examined the potential of tokenizing property ownership to streamline transfers and </w:t>
      </w:r>
      <w:r w:rsidRPr="00263935">
        <w:rPr>
          <w:sz w:val="24"/>
          <w:szCs w:val="24"/>
        </w:rPr>
        <w:lastRenderedPageBreak/>
        <w:t>dispute resolution (Consensys, 2019). While these initiatives underscore blockchain’s practical application in land registration, they have yet to implement privacy-preserving mechanisms such as ZKPs, raising concerns about regulatory alignment. Internationally, Sweden’s Lantmäteriet has tested blockchain-based land transactions to mitigate fraud risks, while Dubai’s Land Department has fully digitized its property registration system (Haaramo, 2017; GDMO, 2020). However, these implementations similarly lack robust privacy-preserving mechanisms, further reinforcing the necessity for ZKP integration to enhance data confidentiality.</w:t>
      </w:r>
    </w:p>
    <w:p w14:paraId="5C0534DE" w14:textId="77777777" w:rsidR="00C63CFC" w:rsidRPr="00263935" w:rsidRDefault="0043080A">
      <w:pPr>
        <w:spacing w:before="240" w:after="240"/>
        <w:rPr>
          <w:sz w:val="24"/>
          <w:szCs w:val="24"/>
        </w:rPr>
      </w:pPr>
      <w:r w:rsidRPr="00263935">
        <w:rPr>
          <w:sz w:val="24"/>
          <w:szCs w:val="24"/>
        </w:rPr>
        <w:t>Despite the potential of ZKPs, several challenges impede their widespread adoption in the UK real estate sector. Ballesteros-Rodríguez et al. (2024) argues that a major obstacle is scalability, as traditional zk-SNARKs and zk-STARKs demand substantial computational resources, rendering large-scale implementation in property transactions highly complex. Recent advancements such as zk-Rollups, including StarkNet and zkSync, present promising solutions by facilitating batch-processing of transactions off-chain (Saif et al., 2024). However, their integration into property blockchain platforms remains in the early stages and necessitates further technological refinement.</w:t>
      </w:r>
    </w:p>
    <w:p w14:paraId="4ECA1C1D" w14:textId="77777777" w:rsidR="00C63CFC" w:rsidRPr="00263935" w:rsidRDefault="0043080A">
      <w:pPr>
        <w:spacing w:before="240" w:after="240"/>
        <w:rPr>
          <w:sz w:val="24"/>
          <w:szCs w:val="24"/>
        </w:rPr>
      </w:pPr>
      <w:r w:rsidRPr="00263935">
        <w:rPr>
          <w:sz w:val="24"/>
          <w:szCs w:val="24"/>
        </w:rPr>
        <w:t>Beyond technical considerations, legal uncertainties pose a significant barrier to blockchain adoption in UK property law. While blockchain provides an immutable record of ownership, UK legal frameworks do not yet fully recognize digital property transactions as legally binding (mlslegalservices, 2023). This raises concerns regarding the enforceability of smart contracts in real estate transactions. Furthermore, institutional stakeholders, including mortgage providers, real estate firms, and legal professionals, may resist blockchain adoption due to uncertainties regarding compliance obligations and fraud prevention measures (Panwar et al., 2024). The FCA's stringent regulatory oversight further complicates the adoption of blockchain-driven financial innovations. As of October 2023, the FCA had registered only 43 cryptoasset platforms, rejecting over 80% of applications due to non-compliance with financial and security regulations, illustrating the rigorous scrutiny applied to digital transactions (MacGregor, 2023).</w:t>
      </w:r>
    </w:p>
    <w:p w14:paraId="3AA55ADA" w14:textId="77777777" w:rsidR="00C63CFC" w:rsidRPr="00263935" w:rsidRDefault="0043080A">
      <w:pPr>
        <w:spacing w:before="240" w:after="240"/>
        <w:rPr>
          <w:sz w:val="24"/>
          <w:szCs w:val="24"/>
        </w:rPr>
      </w:pPr>
      <w:r w:rsidRPr="00263935">
        <w:rPr>
          <w:sz w:val="24"/>
          <w:szCs w:val="24"/>
        </w:rPr>
        <w:t xml:space="preserve">Investment in blockchain-based property solutions in the UK has increased, reflecting growing industry confidence in digital transformation. In April 2024, a consortium of major UK mortgage lenders, including Lloyds, Nationwide, and NatWest, invested £10 million in Coadjute, a blockchain-powered digital property transaction network (Coadjute, 2024). Although Coadjute has not yet adopted ZKPs, its focus on privacy-enhancing blockchain solutions indicates a potential shift toward cryptographic privacy integration. Similarly, the UK’s PropTech market has demonstrated significant expansion, with investments rising from £172.38 million in 2016 to £2.66 billion in 2024, with a projected compound annual growth rate (CAGR) of 13% from 2024 to 2029 </w:t>
      </w:r>
      <w:r w:rsidRPr="00263935">
        <w:rPr>
          <w:sz w:val="24"/>
          <w:szCs w:val="24"/>
        </w:rPr>
        <w:lastRenderedPageBreak/>
        <w:t>(TheLuxuryPlaybook, 2024). However, this rapid development must be accompanied by strong privacy measures and regulatory compliance to ensure the secure adoption of blockchain technology in property transactions.</w:t>
      </w:r>
    </w:p>
    <w:p w14:paraId="749B409F" w14:textId="77777777" w:rsidR="00C63CFC" w:rsidRPr="00263935" w:rsidRDefault="0043080A">
      <w:pPr>
        <w:spacing w:before="240" w:after="240"/>
        <w:rPr>
          <w:sz w:val="24"/>
          <w:szCs w:val="24"/>
        </w:rPr>
      </w:pPr>
      <w:r w:rsidRPr="00263935">
        <w:rPr>
          <w:sz w:val="24"/>
          <w:szCs w:val="24"/>
        </w:rPr>
        <w:t>Further industry trials are essential to assess the practical benefits of ZKPs in property transactions, particularly in enhancing AML/KYC compliance, preventing identity exposure, and securing property transfers. Ahmed et al. (2022) notes that research into Ethereum-based real estate contract systems and blockchain-based transaction prototypes suggests that ZKPs can significantly enhance data privacy while maintaining transaction integrity. Additionally, the National Crime Agency (NCA) has reported an increase in illicit transactions involving cryptoassets, reinforcing the need for strong AML and KYC measures, which ZKPs can effectively support (National Crime Agency, 2022).</w:t>
      </w:r>
    </w:p>
    <w:p w14:paraId="030B1564" w14:textId="29ED0C7F" w:rsidR="00C63CFC" w:rsidRPr="00263935" w:rsidRDefault="0043080A">
      <w:pPr>
        <w:spacing w:before="240" w:after="240"/>
        <w:rPr>
          <w:b/>
          <w:color w:val="000000"/>
          <w:sz w:val="24"/>
          <w:szCs w:val="24"/>
        </w:rPr>
      </w:pPr>
      <w:r w:rsidRPr="00263935">
        <w:rPr>
          <w:sz w:val="24"/>
          <w:szCs w:val="24"/>
        </w:rPr>
        <w:t>As of 2021, UK blockchain-related investments reached £648 million, illustrating rising confidence in blockchain technology (Valencia, 2024). However, addressing the technical, regulatory, and adoption barriers associated with ZKPs remains crucial for their successful implementation in the UK real estate sector. As the UK government continues exploring blockchain modernization for land registries, further research is required to evaluate the feasibility of integrating ZKPs, particularly regarding scalability, regulatory alignment, and legal enforceability</w:t>
      </w:r>
      <w:r w:rsidRPr="006169DD">
        <w:rPr>
          <w:sz w:val="24"/>
          <w:szCs w:val="24"/>
        </w:rPr>
        <w:t>.</w:t>
      </w:r>
      <w:r w:rsidR="006169DD" w:rsidRPr="006169DD">
        <w:rPr>
          <w:sz w:val="24"/>
          <w:szCs w:val="24"/>
        </w:rPr>
        <w:t xml:space="preserve"> This study addresses a </w:t>
      </w:r>
      <w:r w:rsidR="006169DD" w:rsidRPr="006169DD">
        <w:rPr>
          <w:rStyle w:val="Strong"/>
          <w:b w:val="0"/>
          <w:sz w:val="24"/>
          <w:szCs w:val="24"/>
        </w:rPr>
        <w:t>critical gap</w:t>
      </w:r>
      <w:r w:rsidR="006169DD" w:rsidRPr="006169DD">
        <w:rPr>
          <w:b/>
          <w:sz w:val="24"/>
          <w:szCs w:val="24"/>
        </w:rPr>
        <w:t xml:space="preserve"> </w:t>
      </w:r>
      <w:r w:rsidR="006169DD" w:rsidRPr="006169DD">
        <w:rPr>
          <w:sz w:val="24"/>
          <w:szCs w:val="24"/>
        </w:rPr>
        <w:t xml:space="preserve">in blockchain-based property transactions by exploring how </w:t>
      </w:r>
      <w:r w:rsidR="006169DD" w:rsidRPr="006169DD">
        <w:rPr>
          <w:rStyle w:val="Strong"/>
          <w:b w:val="0"/>
          <w:sz w:val="24"/>
          <w:szCs w:val="24"/>
        </w:rPr>
        <w:t>Zero-Knowledge Proofs (ZKPs)</w:t>
      </w:r>
      <w:r w:rsidR="006169DD" w:rsidRPr="006169DD">
        <w:rPr>
          <w:sz w:val="24"/>
          <w:szCs w:val="24"/>
        </w:rPr>
        <w:t xml:space="preserve"> enhance </w:t>
      </w:r>
      <w:r w:rsidR="006169DD" w:rsidRPr="006169DD">
        <w:rPr>
          <w:rStyle w:val="Strong"/>
          <w:b w:val="0"/>
          <w:sz w:val="24"/>
          <w:szCs w:val="24"/>
        </w:rPr>
        <w:t>data privacy and regulatory compliance</w:t>
      </w:r>
      <w:r w:rsidR="006169DD" w:rsidRPr="006169DD">
        <w:rPr>
          <w:sz w:val="24"/>
          <w:szCs w:val="24"/>
        </w:rPr>
        <w:t xml:space="preserve"> under </w:t>
      </w:r>
      <w:r w:rsidR="006169DD" w:rsidRPr="006169DD">
        <w:rPr>
          <w:rStyle w:val="Strong"/>
          <w:b w:val="0"/>
          <w:sz w:val="24"/>
          <w:szCs w:val="24"/>
        </w:rPr>
        <w:t>UK GDPR</w:t>
      </w:r>
      <w:r w:rsidR="006169DD" w:rsidRPr="006169DD">
        <w:rPr>
          <w:sz w:val="24"/>
          <w:szCs w:val="24"/>
        </w:rPr>
        <w:t xml:space="preserve">. By applying </w:t>
      </w:r>
      <w:r w:rsidR="006169DD" w:rsidRPr="006169DD">
        <w:rPr>
          <w:rStyle w:val="Strong"/>
          <w:b w:val="0"/>
          <w:sz w:val="24"/>
          <w:szCs w:val="24"/>
        </w:rPr>
        <w:t>quantitative privacy risk assessments</w:t>
      </w:r>
      <w:r w:rsidR="006169DD" w:rsidRPr="006169DD">
        <w:rPr>
          <w:sz w:val="24"/>
          <w:szCs w:val="24"/>
        </w:rPr>
        <w:t xml:space="preserve"> and evaluating </w:t>
      </w:r>
      <w:r w:rsidR="006169DD" w:rsidRPr="006169DD">
        <w:rPr>
          <w:rStyle w:val="Strong"/>
          <w:b w:val="0"/>
          <w:sz w:val="24"/>
          <w:szCs w:val="24"/>
        </w:rPr>
        <w:t>scalability challenges</w:t>
      </w:r>
      <w:r w:rsidR="006169DD" w:rsidRPr="006169DD">
        <w:rPr>
          <w:sz w:val="24"/>
          <w:szCs w:val="24"/>
        </w:rPr>
        <w:t xml:space="preserve">, this research provides </w:t>
      </w:r>
      <w:r w:rsidR="006169DD" w:rsidRPr="006169DD">
        <w:rPr>
          <w:rStyle w:val="Strong"/>
          <w:b w:val="0"/>
          <w:sz w:val="24"/>
          <w:szCs w:val="24"/>
        </w:rPr>
        <w:t>valuable insights</w:t>
      </w:r>
      <w:r w:rsidR="006169DD" w:rsidRPr="006169DD">
        <w:rPr>
          <w:b/>
          <w:sz w:val="24"/>
          <w:szCs w:val="24"/>
        </w:rPr>
        <w:t xml:space="preserve"> </w:t>
      </w:r>
      <w:r w:rsidR="006169DD" w:rsidRPr="006169DD">
        <w:rPr>
          <w:sz w:val="24"/>
          <w:szCs w:val="24"/>
        </w:rPr>
        <w:t>for</w:t>
      </w:r>
      <w:r w:rsidR="006169DD" w:rsidRPr="006169DD">
        <w:rPr>
          <w:b/>
          <w:sz w:val="24"/>
          <w:szCs w:val="24"/>
        </w:rPr>
        <w:t xml:space="preserve"> </w:t>
      </w:r>
      <w:r w:rsidR="006169DD" w:rsidRPr="006169DD">
        <w:rPr>
          <w:rStyle w:val="Strong"/>
          <w:b w:val="0"/>
          <w:sz w:val="24"/>
          <w:szCs w:val="24"/>
        </w:rPr>
        <w:t>real estate stakeholders, policymakers, and blockchain developers</w:t>
      </w:r>
      <w:r w:rsidR="006169DD" w:rsidRPr="006169DD">
        <w:rPr>
          <w:sz w:val="24"/>
          <w:szCs w:val="24"/>
        </w:rPr>
        <w:t xml:space="preserve">. The findings contribute to the </w:t>
      </w:r>
      <w:r w:rsidR="006169DD" w:rsidRPr="006169DD">
        <w:rPr>
          <w:rStyle w:val="Strong"/>
          <w:b w:val="0"/>
          <w:sz w:val="24"/>
          <w:szCs w:val="24"/>
        </w:rPr>
        <w:t>advancement of privacy-preserving technologies</w:t>
      </w:r>
      <w:r w:rsidR="006169DD" w:rsidRPr="006169DD">
        <w:rPr>
          <w:sz w:val="24"/>
          <w:szCs w:val="24"/>
        </w:rPr>
        <w:t xml:space="preserve">, ensuring </w:t>
      </w:r>
      <w:r w:rsidR="006169DD" w:rsidRPr="006169DD">
        <w:rPr>
          <w:rStyle w:val="Strong"/>
          <w:b w:val="0"/>
          <w:sz w:val="24"/>
          <w:szCs w:val="24"/>
        </w:rPr>
        <w:t>secure, transparent, and legally compliant</w:t>
      </w:r>
      <w:r w:rsidR="006169DD" w:rsidRPr="006169DD">
        <w:rPr>
          <w:sz w:val="24"/>
          <w:szCs w:val="24"/>
        </w:rPr>
        <w:t xml:space="preserve"> digital property transactions.</w:t>
      </w:r>
      <w:r w:rsidRPr="00263935">
        <w:rPr>
          <w:sz w:val="24"/>
          <w:szCs w:val="24"/>
        </w:rPr>
        <w:t xml:space="preserve"> This research aims to </w:t>
      </w:r>
      <w:r w:rsidR="006169DD">
        <w:rPr>
          <w:sz w:val="24"/>
          <w:szCs w:val="24"/>
        </w:rPr>
        <w:t xml:space="preserve"> </w:t>
      </w:r>
      <w:r w:rsidRPr="00263935">
        <w:rPr>
          <w:sz w:val="24"/>
          <w:szCs w:val="24"/>
        </w:rPr>
        <w:t xml:space="preserve"> investigate the role of Zero-Knowledge Proofs (ZKPs) in enhancing data privacy and regulatory compliance within blockchain-based property transactions in the UK, evaluating their effectiveness in meeting legal standards while preserving transparency and security, by achieving the following objectives:</w:t>
      </w:r>
    </w:p>
    <w:p w14:paraId="5B405A18" w14:textId="77777777" w:rsidR="00C63CFC" w:rsidRPr="00263935" w:rsidRDefault="0043080A">
      <w:pPr>
        <w:numPr>
          <w:ilvl w:val="0"/>
          <w:numId w:val="2"/>
        </w:numPr>
        <w:spacing w:before="240"/>
        <w:rPr>
          <w:sz w:val="24"/>
          <w:szCs w:val="24"/>
        </w:rPr>
      </w:pPr>
      <w:r w:rsidRPr="00263935">
        <w:rPr>
          <w:sz w:val="24"/>
          <w:szCs w:val="24"/>
        </w:rPr>
        <w:t>Analyzes the privacy risks and data exposure concerns in blockchain-based property transactions in the UK, particularly in relation to personal and financial data security.</w:t>
      </w:r>
    </w:p>
    <w:p w14:paraId="4ECD3079" w14:textId="77777777" w:rsidR="00C63CFC" w:rsidRPr="00263935" w:rsidRDefault="0043080A">
      <w:pPr>
        <w:numPr>
          <w:ilvl w:val="0"/>
          <w:numId w:val="2"/>
        </w:numPr>
        <w:rPr>
          <w:sz w:val="24"/>
          <w:szCs w:val="24"/>
        </w:rPr>
      </w:pPr>
      <w:r w:rsidRPr="00263935">
        <w:rPr>
          <w:sz w:val="24"/>
          <w:szCs w:val="24"/>
        </w:rPr>
        <w:t>Assesses the extent to which Zero-Knowledge Proofs (ZKPs) can enhance data privacy in blockchain-based property transactions while maintaining transaction validity and transparency.</w:t>
      </w:r>
    </w:p>
    <w:p w14:paraId="30C97610" w14:textId="77777777" w:rsidR="00C63CFC" w:rsidRPr="00263935" w:rsidRDefault="0043080A">
      <w:pPr>
        <w:numPr>
          <w:ilvl w:val="0"/>
          <w:numId w:val="2"/>
        </w:numPr>
        <w:rPr>
          <w:sz w:val="24"/>
          <w:szCs w:val="24"/>
        </w:rPr>
      </w:pPr>
      <w:r w:rsidRPr="00263935">
        <w:rPr>
          <w:sz w:val="24"/>
          <w:szCs w:val="24"/>
        </w:rPr>
        <w:t xml:space="preserve">Evaluates the technical feasibility and practical implementation of Zero-Knowledge Proofs (ZKPs) within blockchain platforms designed for property transactions, </w:t>
      </w:r>
    </w:p>
    <w:p w14:paraId="3BC31110" w14:textId="77777777" w:rsidR="00C63CFC" w:rsidRPr="00263935" w:rsidRDefault="0043080A">
      <w:pPr>
        <w:numPr>
          <w:ilvl w:val="0"/>
          <w:numId w:val="2"/>
        </w:numPr>
        <w:spacing w:after="240"/>
        <w:rPr>
          <w:sz w:val="24"/>
          <w:szCs w:val="24"/>
        </w:rPr>
      </w:pPr>
      <w:r w:rsidRPr="00263935">
        <w:rPr>
          <w:sz w:val="24"/>
          <w:szCs w:val="24"/>
        </w:rPr>
        <w:lastRenderedPageBreak/>
        <w:t>Explores the potential benefits and challenges of adopting ZKP-enabled blockchain solutions for property transactions in the UK.</w:t>
      </w:r>
    </w:p>
    <w:p w14:paraId="45727711" w14:textId="77777777" w:rsidR="00C63CFC" w:rsidRPr="00263935" w:rsidRDefault="00C63CFC">
      <w:pPr>
        <w:rPr>
          <w:b/>
          <w:sz w:val="24"/>
          <w:szCs w:val="24"/>
        </w:rPr>
      </w:pPr>
    </w:p>
    <w:p w14:paraId="534EA25D" w14:textId="77777777" w:rsidR="00C63CFC" w:rsidRPr="00263935" w:rsidRDefault="00263935">
      <w:pPr>
        <w:rPr>
          <w:b/>
          <w:sz w:val="24"/>
          <w:szCs w:val="24"/>
        </w:rPr>
      </w:pPr>
      <w:r>
        <w:rPr>
          <w:b/>
          <w:sz w:val="24"/>
          <w:szCs w:val="24"/>
        </w:rPr>
        <w:t>2.</w:t>
      </w:r>
      <w:r>
        <w:rPr>
          <w:b/>
          <w:sz w:val="24"/>
          <w:szCs w:val="24"/>
        </w:rPr>
        <w:tab/>
      </w:r>
      <w:r w:rsidRPr="00263935">
        <w:rPr>
          <w:b/>
          <w:sz w:val="24"/>
          <w:szCs w:val="24"/>
        </w:rPr>
        <w:t xml:space="preserve">Literature Review </w:t>
      </w:r>
    </w:p>
    <w:p w14:paraId="0AB7A5CD" w14:textId="77777777" w:rsidR="00C63CFC" w:rsidRPr="00263935" w:rsidRDefault="0043080A">
      <w:pPr>
        <w:spacing w:before="240" w:after="240"/>
        <w:jc w:val="both"/>
        <w:rPr>
          <w:rFonts w:eastAsia="Times New Roman"/>
          <w:color w:val="0D0D0D"/>
          <w:sz w:val="24"/>
          <w:szCs w:val="24"/>
          <w:highlight w:val="white"/>
        </w:rPr>
      </w:pPr>
      <w:bookmarkStart w:id="1" w:name="_d4agqfkrkdy9" w:colFirst="0" w:colLast="0"/>
      <w:bookmarkEnd w:id="1"/>
      <w:r w:rsidRPr="00263935">
        <w:rPr>
          <w:rFonts w:eastAsia="Times New Roman"/>
          <w:color w:val="0D0D0D"/>
          <w:sz w:val="24"/>
          <w:szCs w:val="24"/>
          <w:highlight w:val="white"/>
        </w:rPr>
        <w:t xml:space="preserve">Traditional real estate transactions have been criticized for inefficiency, complexity, and vulnerability to fraud. The reliance on multiple intermediaries, extensive paperwork, and centralized databases often results in delays, increased costs, and risks of errors and disputes (Hazeem &amp; AlBurshaid, 2024; Ajayi et al., 2025). According to Lal et al. (2024), blockchain technology offers a decentralized and immutable ledger system, enhancing transparency, security, and efficiency in property transactions. One notable application is asset tokenization, demonstrated in 2018 when ownership stakes in the St. Regis Aspen Resort were sold as digital tokens, reflecting a growing trend (Andrew, 2024; Balogun, 2025). In the view of </w:t>
      </w:r>
      <w:r w:rsidRPr="00263935">
        <w:rPr>
          <w:sz w:val="24"/>
          <w:szCs w:val="24"/>
        </w:rPr>
        <w:t>Haaramo (2017) and GDMO (2020)</w:t>
      </w:r>
      <w:r w:rsidRPr="00263935">
        <w:rPr>
          <w:rFonts w:eastAsia="Times New Roman"/>
          <w:color w:val="0D0D0D"/>
          <w:sz w:val="24"/>
          <w:szCs w:val="24"/>
          <w:highlight w:val="white"/>
        </w:rPr>
        <w:t>, global initiatives such as Dubai’s blockchain-based property registration and Sweden’s land registry trials illustrate the shift toward digitized real estate transactions.</w:t>
      </w:r>
    </w:p>
    <w:p w14:paraId="42605F0C" w14:textId="77777777" w:rsidR="00C63CFC" w:rsidRPr="00263935" w:rsidRDefault="0043080A">
      <w:pPr>
        <w:spacing w:before="240" w:after="240"/>
        <w:jc w:val="both"/>
        <w:rPr>
          <w:rFonts w:eastAsia="Times New Roman"/>
          <w:color w:val="0D0D0D"/>
          <w:sz w:val="24"/>
          <w:szCs w:val="24"/>
          <w:highlight w:val="white"/>
        </w:rPr>
      </w:pPr>
      <w:r w:rsidRPr="00263935">
        <w:rPr>
          <w:rFonts w:eastAsia="Times New Roman"/>
          <w:color w:val="0D0D0D"/>
          <w:sz w:val="24"/>
          <w:szCs w:val="24"/>
          <w:highlight w:val="white"/>
        </w:rPr>
        <w:t>A major advantage of blockchain in real estate is its transparency and immutability. Once recorded, a property transaction becomes tamper-proof, creating a verifiable ownership history that helps prevent title fraud and disputes (</w:t>
      </w:r>
      <w:r w:rsidRPr="00263935">
        <w:rPr>
          <w:sz w:val="24"/>
          <w:szCs w:val="24"/>
        </w:rPr>
        <w:t>Borges and Rodrigues, 2024; Balogun et al., 2025)</w:t>
      </w:r>
      <w:r w:rsidRPr="00263935">
        <w:rPr>
          <w:rFonts w:eastAsia="Times New Roman"/>
          <w:color w:val="0D0D0D"/>
          <w:sz w:val="24"/>
          <w:szCs w:val="24"/>
          <w:highlight w:val="white"/>
        </w:rPr>
        <w:t>. Additionally, blockchain enables automation through smart contracts, which are self-executing agreements that enforce terms without intermediaries (Wiegandt, 2022; Balogun et al., 2025). Xu et al. (2021) posits that by reducing administrative overhead, smart contracts expedite transactions and lower costs. Furthermore, cryptographic security enhances data protection, making blockchain-based transactions less susceptible to cyber threats and unauthorized alterations (Patel &amp; Chaudhary, 2024; Kolade et al., 2025).</w:t>
      </w:r>
    </w:p>
    <w:p w14:paraId="062B2455" w14:textId="77777777" w:rsidR="00C63CFC" w:rsidRPr="00263935" w:rsidRDefault="0043080A">
      <w:pPr>
        <w:spacing w:before="240" w:after="240"/>
        <w:jc w:val="both"/>
        <w:rPr>
          <w:rFonts w:eastAsia="Times New Roman"/>
          <w:color w:val="0D0D0D"/>
          <w:sz w:val="24"/>
          <w:szCs w:val="24"/>
          <w:highlight w:val="white"/>
        </w:rPr>
      </w:pPr>
      <w:r w:rsidRPr="00263935">
        <w:rPr>
          <w:rFonts w:eastAsia="Times New Roman"/>
          <w:color w:val="0D0D0D"/>
          <w:sz w:val="24"/>
          <w:szCs w:val="24"/>
          <w:highlight w:val="white"/>
        </w:rPr>
        <w:t xml:space="preserve">Despite these benefits, several challenges hinder blockchain adoption in real estate. </w:t>
      </w:r>
      <w:r w:rsidRPr="00263935">
        <w:rPr>
          <w:sz w:val="24"/>
          <w:szCs w:val="24"/>
        </w:rPr>
        <w:t>mlslegalservices (2023)</w:t>
      </w:r>
      <w:r w:rsidRPr="00263935">
        <w:rPr>
          <w:rFonts w:eastAsia="Times New Roman"/>
          <w:color w:val="0D0D0D"/>
          <w:sz w:val="24"/>
          <w:szCs w:val="24"/>
          <w:highlight w:val="white"/>
        </w:rPr>
        <w:t xml:space="preserve"> argues that legal frameworks in many jurisdictions do not yet fully recognize digital property deeds and smart contracts, causing uncertainty for stakeholders. Additionally, financial institutions and real estate professionals hesitate to adopt blockchain due to regulatory concerns, technological complexity, and potential business disruptions </w:t>
      </w:r>
      <w:r w:rsidRPr="00263935">
        <w:rPr>
          <w:sz w:val="24"/>
          <w:szCs w:val="24"/>
        </w:rPr>
        <w:t>(Panwar et al., 2024; Mayeke et al., 2024).</w:t>
      </w:r>
      <w:r w:rsidRPr="00263935">
        <w:rPr>
          <w:rFonts w:eastAsia="Times New Roman"/>
          <w:color w:val="0D0D0D"/>
          <w:sz w:val="24"/>
          <w:szCs w:val="24"/>
          <w:highlight w:val="white"/>
        </w:rPr>
        <w:t xml:space="preserve"> While blockchain’s transparency promotes accountability, it also raises data privacy concerns, as public ledgers expose transaction details (Wylde et al., 2022; Obioha-Val, 2025). This conflicts with UK GDPR, necessitating the use of privacy-preserving technologies like Zero-Knowledge Proofs (ZKPs) to balance transparency with confidentiality </w:t>
      </w:r>
      <w:r w:rsidRPr="00263935">
        <w:rPr>
          <w:sz w:val="24"/>
          <w:szCs w:val="24"/>
        </w:rPr>
        <w:t>(Yin et al., 2023; Obioha-Val et al., 2025).</w:t>
      </w:r>
    </w:p>
    <w:p w14:paraId="401D839B" w14:textId="77777777" w:rsidR="00C63CFC" w:rsidRPr="00263935" w:rsidRDefault="0043080A">
      <w:pPr>
        <w:spacing w:before="240" w:after="240"/>
        <w:jc w:val="both"/>
        <w:rPr>
          <w:rFonts w:eastAsia="Roboto"/>
          <w:color w:val="0D0D0D"/>
          <w:sz w:val="24"/>
          <w:szCs w:val="24"/>
          <w:highlight w:val="white"/>
        </w:rPr>
      </w:pPr>
      <w:r w:rsidRPr="00263935">
        <w:rPr>
          <w:rFonts w:eastAsia="Times New Roman"/>
          <w:color w:val="0D0D0D"/>
          <w:sz w:val="24"/>
          <w:szCs w:val="24"/>
          <w:highlight w:val="white"/>
        </w:rPr>
        <w:t>As blockchain evolves within real estate, its success will depend on overcoming regulatory, adoption, and privacy challenges (Samuel, 2024; Obioha-Val et al., 2025). Abdin (2024) contends that while blockchain improves efficiency, security, and trust, its widespread adoption requires legal reforms, industry collaboration, and technological advancements.</w:t>
      </w:r>
    </w:p>
    <w:p w14:paraId="474EAA06" w14:textId="77777777" w:rsidR="00C63CFC" w:rsidRPr="00263935" w:rsidRDefault="0043080A">
      <w:pPr>
        <w:pStyle w:val="Heading3"/>
        <w:keepNext w:val="0"/>
        <w:keepLines w:val="0"/>
        <w:spacing w:before="280"/>
        <w:rPr>
          <w:rFonts w:eastAsia="Times New Roman"/>
          <w:b/>
          <w:color w:val="0D0D0D"/>
          <w:sz w:val="24"/>
          <w:szCs w:val="24"/>
          <w:highlight w:val="white"/>
        </w:rPr>
      </w:pPr>
      <w:bookmarkStart w:id="2" w:name="_9cfhtnlwny13" w:colFirst="0" w:colLast="0"/>
      <w:bookmarkEnd w:id="2"/>
      <w:r w:rsidRPr="00263935">
        <w:rPr>
          <w:rFonts w:eastAsia="Times New Roman"/>
          <w:b/>
          <w:color w:val="0D0D0D"/>
          <w:sz w:val="24"/>
          <w:szCs w:val="24"/>
          <w:highlight w:val="white"/>
        </w:rPr>
        <w:t>Data Privacy Challenges in Blockchain-Based Property Transactions</w:t>
      </w:r>
    </w:p>
    <w:p w14:paraId="2FDD846B" w14:textId="77777777" w:rsidR="00C63CFC" w:rsidRPr="00263935" w:rsidRDefault="0043080A">
      <w:pPr>
        <w:spacing w:before="240" w:after="240"/>
        <w:rPr>
          <w:rFonts w:eastAsia="Times New Roman"/>
          <w:color w:val="0D0D0D"/>
          <w:sz w:val="24"/>
          <w:szCs w:val="24"/>
          <w:highlight w:val="white"/>
        </w:rPr>
      </w:pPr>
      <w:r w:rsidRPr="00263935">
        <w:rPr>
          <w:rFonts w:eastAsia="Times New Roman"/>
          <w:color w:val="0D0D0D"/>
          <w:sz w:val="24"/>
          <w:szCs w:val="24"/>
          <w:highlight w:val="white"/>
        </w:rPr>
        <w:t xml:space="preserve">While blockchain technology enhances efficiency, security, and transparency in property transactions, it also introduces significant data privacy challenges that require careful examination within the United Kingdom’s regulatory framework . A primary concern is the potential exposure of personal and financial data due to blockchain’s decentralized and transparent nature (Mustafa et al., 2024; Obioha-Val et al., 2025). Unlike traditional property transaction systems, where access to information is restricted, blockchain ensures that transaction details remain visible to all network participants. According to Wylde et al. (2022), this openness increases the risk of sensitive information disclosure, including identities and financial details, thereby compromising privacy. Furthermore, blockchain’s immutability poses challenges for data correction and compliance with privacy rights, such as the right to be forgotten, which conflicts with UK data protection laws </w:t>
      </w:r>
      <w:r w:rsidRPr="00263935">
        <w:rPr>
          <w:sz w:val="24"/>
          <w:szCs w:val="24"/>
        </w:rPr>
        <w:t>(Joseph, 2024; Olutimehin, 2025)</w:t>
      </w:r>
      <w:r w:rsidRPr="00263935">
        <w:rPr>
          <w:rFonts w:eastAsia="Times New Roman"/>
          <w:color w:val="0D0D0D"/>
          <w:sz w:val="24"/>
          <w:szCs w:val="24"/>
          <w:highlight w:val="white"/>
        </w:rPr>
        <w:t>. The case of Tornado Cash, a blockchain privacy tool, exemplifies these complexities. Although designed to obfuscate transaction trails and enhance anonymity, its association with illicit financial activities led to legal actions and debates regarding the balance between transparency and privacy (Nadler &amp; Schär, 2023; Olutimehin, 2025).</w:t>
      </w:r>
    </w:p>
    <w:p w14:paraId="602DC759" w14:textId="77777777" w:rsidR="00C63CFC" w:rsidRPr="00263935" w:rsidRDefault="0043080A">
      <w:pPr>
        <w:spacing w:before="240" w:after="240"/>
        <w:rPr>
          <w:rFonts w:eastAsia="Times New Roman"/>
          <w:color w:val="0D0D0D"/>
          <w:sz w:val="24"/>
          <w:szCs w:val="24"/>
          <w:highlight w:val="white"/>
        </w:rPr>
      </w:pPr>
      <w:r w:rsidRPr="00263935">
        <w:rPr>
          <w:rFonts w:eastAsia="Times New Roman"/>
          <w:color w:val="0D0D0D"/>
          <w:sz w:val="24"/>
          <w:szCs w:val="24"/>
          <w:highlight w:val="white"/>
        </w:rPr>
        <w:t>In the United Kingdom, data protection regulations are governed by the UK General Data Protection Regulation (UK GDPR), which largely mirrors the European Union’s GDPR framework (Koutsias, 2025; Olutimehin, 2025). This regulation mandates stringent personal data processing requirements, emphasizing data minimization, purpose limitation, and individuals' rights to access and erase their data. A key conflict arises between GDPR obligations and blockchain’s core characteristics. For instance, Politou et al. (2021) argues that the GDPR’s right to be forgotten contradicts blockchain immutability, making compliance with data erasure requests particularly problematic. Additionally, blockchain’s decentralized structure complicates the identification of data controllers and processors, raising concerns about accountability and regulatory oversight.</w:t>
      </w:r>
    </w:p>
    <w:p w14:paraId="5745904D" w14:textId="77777777" w:rsidR="00C63CFC" w:rsidRPr="00263935" w:rsidRDefault="0043080A">
      <w:pPr>
        <w:spacing w:before="240" w:after="240"/>
        <w:rPr>
          <w:rFonts w:eastAsia="Times New Roman"/>
          <w:color w:val="0D0D0D"/>
          <w:sz w:val="24"/>
          <w:szCs w:val="24"/>
          <w:highlight w:val="white"/>
        </w:rPr>
      </w:pPr>
      <w:r w:rsidRPr="00263935">
        <w:rPr>
          <w:rFonts w:eastAsia="Times New Roman"/>
          <w:color w:val="0D0D0D"/>
          <w:sz w:val="24"/>
          <w:szCs w:val="24"/>
          <w:highlight w:val="white"/>
        </w:rPr>
        <w:t xml:space="preserve">The UK’s HM Land Registry’s Digital Street initiative illustrates ongoing efforts to modernize land registration through blockchain technology, aiming to enhance efficiency and transparency </w:t>
      </w:r>
      <w:r w:rsidRPr="00263935">
        <w:rPr>
          <w:sz w:val="24"/>
          <w:szCs w:val="24"/>
        </w:rPr>
        <w:t>(Tombs, 2018; Olutimehin et al., 2025)</w:t>
      </w:r>
      <w:r w:rsidRPr="00263935">
        <w:rPr>
          <w:rFonts w:eastAsia="Times New Roman"/>
          <w:color w:val="0D0D0D"/>
          <w:sz w:val="24"/>
          <w:szCs w:val="24"/>
          <w:highlight w:val="white"/>
        </w:rPr>
        <w:t xml:space="preserve">. However, privacy concerns persist, as public access to blockchain records increases the risk of exposing personal data, complicating compliance with UK data protection laws </w:t>
      </w:r>
      <w:r w:rsidRPr="00263935">
        <w:rPr>
          <w:sz w:val="24"/>
          <w:szCs w:val="24"/>
        </w:rPr>
        <w:t>(Joseph, 2024; Salako et al., 2024)</w:t>
      </w:r>
      <w:r w:rsidRPr="00263935">
        <w:rPr>
          <w:rFonts w:eastAsia="Times New Roman"/>
          <w:color w:val="0D0D0D"/>
          <w:sz w:val="24"/>
          <w:szCs w:val="24"/>
          <w:highlight w:val="white"/>
        </w:rPr>
        <w:t xml:space="preserve">. Internationally, similar challenges have been observed in Sweden’s Lantmäteriet and Dubai’s Land Department, both of which have experimented with blockchain-based land registries but lack comprehensive privacy-preserving mechanisms </w:t>
      </w:r>
      <w:r w:rsidRPr="00263935">
        <w:rPr>
          <w:sz w:val="24"/>
          <w:szCs w:val="24"/>
        </w:rPr>
        <w:t>(Haaramo, 2017; GDMO, 2020; Val et al., 2024)</w:t>
      </w:r>
      <w:r w:rsidRPr="00263935">
        <w:rPr>
          <w:rFonts w:eastAsia="Times New Roman"/>
          <w:color w:val="0D0D0D"/>
          <w:sz w:val="24"/>
          <w:szCs w:val="24"/>
          <w:highlight w:val="white"/>
        </w:rPr>
        <w:t>.</w:t>
      </w:r>
    </w:p>
    <w:p w14:paraId="22BDB430" w14:textId="77777777" w:rsidR="00C63CFC" w:rsidRPr="00263935" w:rsidRDefault="0043080A">
      <w:pPr>
        <w:spacing w:before="240" w:after="240"/>
        <w:rPr>
          <w:rFonts w:eastAsia="Times New Roman"/>
          <w:color w:val="0D0D0D"/>
          <w:sz w:val="24"/>
          <w:szCs w:val="24"/>
          <w:highlight w:val="white"/>
        </w:rPr>
      </w:pPr>
      <w:r w:rsidRPr="00263935">
        <w:rPr>
          <w:rFonts w:eastAsia="Times New Roman"/>
          <w:color w:val="0D0D0D"/>
          <w:sz w:val="24"/>
          <w:szCs w:val="24"/>
          <w:highlight w:val="white"/>
        </w:rPr>
        <w:t xml:space="preserve">To address these concerns, privacy-enhancing technologies such as Zero-Knowledge Proofs (ZKPs) have been proposed as a solution to reconcile blockchain transparency with data confidentiality requirements. </w:t>
      </w:r>
      <w:r w:rsidRPr="00263935">
        <w:rPr>
          <w:sz w:val="24"/>
          <w:szCs w:val="24"/>
        </w:rPr>
        <w:t>Zhou et al. (2024)</w:t>
      </w:r>
      <w:r w:rsidRPr="00263935">
        <w:rPr>
          <w:rFonts w:eastAsia="Times New Roman"/>
          <w:color w:val="0D0D0D"/>
          <w:sz w:val="24"/>
          <w:szCs w:val="24"/>
          <w:highlight w:val="white"/>
        </w:rPr>
        <w:t xml:space="preserve"> posits that ZKPs enable transaction verification without revealing underlying data, offering a potential compliance pathway while maintaining blockchain’s security advantages. The absence of such measures in existing land registry implementations underscores the need for further technological development to ensure blockchain adoption in real estate aligns with data protection laws and mitigates privacy risks (Zein &amp; Twinomurinzi, 2024; Samuel-Okon et al., 2024).</w:t>
      </w:r>
    </w:p>
    <w:p w14:paraId="62B66396" w14:textId="77777777" w:rsidR="00C63CFC" w:rsidRPr="00263935" w:rsidRDefault="0043080A">
      <w:pPr>
        <w:pStyle w:val="Heading3"/>
        <w:keepNext w:val="0"/>
        <w:keepLines w:val="0"/>
        <w:spacing w:before="280"/>
        <w:rPr>
          <w:rFonts w:eastAsia="Times New Roman"/>
          <w:b/>
          <w:color w:val="0D0D0D"/>
          <w:sz w:val="24"/>
          <w:szCs w:val="24"/>
          <w:highlight w:val="white"/>
        </w:rPr>
      </w:pPr>
      <w:bookmarkStart w:id="3" w:name="_fxol71t01b4w" w:colFirst="0" w:colLast="0"/>
      <w:bookmarkEnd w:id="3"/>
      <w:r w:rsidRPr="00263935">
        <w:rPr>
          <w:rFonts w:eastAsia="Times New Roman"/>
          <w:b/>
          <w:color w:val="0D0D0D"/>
          <w:sz w:val="24"/>
          <w:szCs w:val="24"/>
          <w:highlight w:val="white"/>
        </w:rPr>
        <w:t>Zero-Knowledge Proofs (ZKPs) as a Privacy-Preserving Solution</w:t>
      </w:r>
    </w:p>
    <w:p w14:paraId="0A175CA5" w14:textId="77777777" w:rsidR="00C63CFC" w:rsidRPr="00263935" w:rsidRDefault="0043080A">
      <w:pPr>
        <w:spacing w:before="240" w:after="240"/>
        <w:rPr>
          <w:rFonts w:eastAsia="Times New Roman"/>
          <w:color w:val="0D0D0D"/>
          <w:sz w:val="24"/>
          <w:szCs w:val="24"/>
          <w:highlight w:val="white"/>
        </w:rPr>
      </w:pPr>
      <w:r w:rsidRPr="00263935">
        <w:rPr>
          <w:rFonts w:eastAsia="Times New Roman"/>
          <w:color w:val="0D0D0D"/>
          <w:sz w:val="24"/>
          <w:szCs w:val="24"/>
          <w:highlight w:val="white"/>
        </w:rPr>
        <w:t>Zero-Knowledge Proofs (ZKPs) have emerged as a crucial cryptographic technique for addressing data privacy challenges in blockchain-based property transactions (Zhou et al., 2024). At their core, ZKPs allow one party (the prover) to demonstrate the validity of a statement to another (the verifier) without disclosing any additional information beyond the fact that the statement is true (Dwivedi et al., 2021; Alao et al., 2024). Introduced by Goldwasser, Micali, and Rackoff in 1985, ZKPs have evolved into advanced variants, including zk-SNARKs (Zero-Knowledge Succinct Non-Interactive Arguments of Knowledge) and zk-STARKs (Zero-Knowledge Scalable Transparent Arguments of Knowledge) (Jean-Paul, 2024; Gbadebo et al., 2024). Oude Roelink et al. (2024) contends that while zk-SNARKs offer succinct proof sizes and rapid verification, they require a trusted setup, which can introduce security vulnerabilities. Conversely, zk-STARKs eliminate this requirement, improving scalability and transparency, though at the cost of larger proof sizes.</w:t>
      </w:r>
    </w:p>
    <w:p w14:paraId="3D49CFAD" w14:textId="77777777" w:rsidR="00C63CFC" w:rsidRPr="00263935" w:rsidRDefault="0043080A">
      <w:pPr>
        <w:spacing w:before="240" w:after="240"/>
        <w:rPr>
          <w:rFonts w:eastAsia="Times New Roman"/>
          <w:color w:val="0D0D0D"/>
          <w:sz w:val="24"/>
          <w:szCs w:val="24"/>
          <w:highlight w:val="white"/>
        </w:rPr>
      </w:pPr>
      <w:r w:rsidRPr="00263935">
        <w:rPr>
          <w:rFonts w:eastAsia="Times New Roman"/>
          <w:color w:val="0D0D0D"/>
          <w:sz w:val="24"/>
          <w:szCs w:val="24"/>
          <w:highlight w:val="white"/>
        </w:rPr>
        <w:t>The application of ZKPs within blockchain technology has been transformative, particularly in enhancing privacy and security (Zhou et al., 2024). A notable example is Zcash, a cryptocurrency that employs zk-SNARKs to enable confidential transactions while maintaining blockchain integrity (Samanta et al., 2024; Kolade et al., 2024). Beyond financial transactions, ZKPs are widely used in secure identity verification systems, allowing authentication without exposing sensitive personal data, thereby aligning with data minimization principles (Prakasha &amp; Sumalatha, 2025; Olabanji et al., 2024). According to Ngwu et al. (2024), ZKPs also support compliance with Anti-Money Laundering (AML) and Know Your Customer (KYC) regulations in decentralized finance (DeFi) by facilitating credential verification without compromising user privacy. This enables regulatory adherence while ensuring that confidential information remains protected.</w:t>
      </w:r>
    </w:p>
    <w:p w14:paraId="53B1005B" w14:textId="77777777" w:rsidR="00C63CFC" w:rsidRPr="00263935" w:rsidRDefault="0043080A">
      <w:pPr>
        <w:spacing w:before="240" w:after="240"/>
        <w:rPr>
          <w:rFonts w:eastAsia="Times New Roman"/>
          <w:color w:val="0D0D0D"/>
          <w:sz w:val="24"/>
          <w:szCs w:val="24"/>
          <w:highlight w:val="white"/>
        </w:rPr>
      </w:pPr>
      <w:r w:rsidRPr="00263935">
        <w:rPr>
          <w:rFonts w:eastAsia="Times New Roman"/>
          <w:color w:val="0D0D0D"/>
          <w:sz w:val="24"/>
          <w:szCs w:val="24"/>
          <w:highlight w:val="white"/>
        </w:rPr>
        <w:t xml:space="preserve">Within blockchain-based property transactions, ZKPs offer a viable solution to privacy and security concerns. These proofs allow transaction details, including buyer and seller identities and financial terms, to remain confidential while still being verifiable (Oude Roelink et al., 2024; Oladoyinbo et al., 2024). This is particularly relevant in jurisdictions with stringent data protection laws, where the unauthorized disclosure of personal information may result in legal ramifications (Hameed et al., 2024; Okon et al., 2024). Furthermore, ZKPs facilitate secure identity verification and ownership validation, mitigating risks associated with identity theft and fraud. </w:t>
      </w:r>
      <w:r w:rsidRPr="00263935">
        <w:rPr>
          <w:sz w:val="24"/>
          <w:szCs w:val="24"/>
        </w:rPr>
        <w:t>Zhou et al. (2024)</w:t>
      </w:r>
      <w:r w:rsidRPr="00263935">
        <w:rPr>
          <w:rFonts w:eastAsia="Times New Roman"/>
          <w:color w:val="0D0D0D"/>
          <w:sz w:val="24"/>
          <w:szCs w:val="24"/>
          <w:highlight w:val="white"/>
        </w:rPr>
        <w:t xml:space="preserve"> posits that by proving property ownership and transaction legitimacy without revealing extraneous details, ZKPs improve the security and efficiency of blockchain-based real estate dealings. Additionally, ZKPs streamline compliance with AML and KYC requirements, ensuring that regulatory checks are met without unnecessary exposure of personal data </w:t>
      </w:r>
      <w:r w:rsidRPr="00263935">
        <w:rPr>
          <w:sz w:val="24"/>
          <w:szCs w:val="24"/>
        </w:rPr>
        <w:t>(Kakebayashi et al., 2023; Olabanji et al., 2024)</w:t>
      </w:r>
      <w:r w:rsidRPr="00263935">
        <w:rPr>
          <w:rFonts w:eastAsia="Times New Roman"/>
          <w:color w:val="0D0D0D"/>
          <w:sz w:val="24"/>
          <w:szCs w:val="24"/>
          <w:highlight w:val="white"/>
        </w:rPr>
        <w:t>.</w:t>
      </w:r>
    </w:p>
    <w:p w14:paraId="48677B19" w14:textId="77777777" w:rsidR="00C63CFC" w:rsidRPr="00263935" w:rsidRDefault="0043080A">
      <w:pPr>
        <w:spacing w:before="240" w:after="240"/>
        <w:rPr>
          <w:rFonts w:eastAsia="Times New Roman"/>
          <w:color w:val="0D0D0D"/>
          <w:sz w:val="24"/>
          <w:szCs w:val="24"/>
          <w:highlight w:val="white"/>
        </w:rPr>
      </w:pPr>
      <w:r w:rsidRPr="00263935">
        <w:rPr>
          <w:rFonts w:eastAsia="Times New Roman"/>
          <w:color w:val="0D0D0D"/>
          <w:sz w:val="24"/>
          <w:szCs w:val="24"/>
          <w:highlight w:val="white"/>
        </w:rPr>
        <w:t>Several blockchain projects have already integrated ZKPs to enhance data confidentiality. For instance, decentralized identity management platforms utilize ZKPs to allow users to verify credentials without disclosing personal attributes (Buttar et al., 2024). These implementations reflect a broader trend toward incorporating advanced cryptographic methods to balance transparency requirements with privacy protections (Mssassi &amp; El Kalam, 2024). As blockchain adoption expands, the strategic implementation of ZKPs will be essential for ensuring secure, compliant, and private digital property transactions (Kalbantner et al., 2024).</w:t>
      </w:r>
    </w:p>
    <w:p w14:paraId="44EA5855" w14:textId="77777777" w:rsidR="00C63CFC" w:rsidRPr="00263935" w:rsidRDefault="0043080A">
      <w:pPr>
        <w:pStyle w:val="Heading3"/>
        <w:keepNext w:val="0"/>
        <w:keepLines w:val="0"/>
        <w:spacing w:before="280"/>
        <w:rPr>
          <w:rFonts w:eastAsia="Times New Roman"/>
          <w:b/>
          <w:color w:val="0D0D0D"/>
          <w:sz w:val="24"/>
          <w:szCs w:val="24"/>
          <w:highlight w:val="white"/>
        </w:rPr>
      </w:pPr>
      <w:bookmarkStart w:id="4" w:name="_bovmlap0kfm3" w:colFirst="0" w:colLast="0"/>
      <w:bookmarkEnd w:id="4"/>
      <w:r w:rsidRPr="00263935">
        <w:rPr>
          <w:rFonts w:eastAsia="Times New Roman"/>
          <w:b/>
          <w:color w:val="0D0D0D"/>
          <w:sz w:val="24"/>
          <w:szCs w:val="24"/>
          <w:highlight w:val="white"/>
        </w:rPr>
        <w:t>Technical Feasibility of Implementing ZKPs in Blockchain Property Transactions</w:t>
      </w:r>
    </w:p>
    <w:p w14:paraId="6D4B7E15" w14:textId="77777777" w:rsidR="00C63CFC" w:rsidRPr="00263935" w:rsidRDefault="0043080A">
      <w:pPr>
        <w:spacing w:before="240" w:after="240"/>
        <w:rPr>
          <w:rFonts w:eastAsia="Times New Roman"/>
          <w:color w:val="0D0D0D"/>
          <w:sz w:val="24"/>
          <w:szCs w:val="24"/>
          <w:highlight w:val="white"/>
        </w:rPr>
      </w:pPr>
      <w:r w:rsidRPr="00263935">
        <w:rPr>
          <w:rFonts w:eastAsia="Times New Roman"/>
          <w:color w:val="0D0D0D"/>
          <w:sz w:val="24"/>
          <w:szCs w:val="24"/>
          <w:highlight w:val="white"/>
        </w:rPr>
        <w:t>The integration of Zero-Knowledge Proofs (ZKPs) into blockchain-based property transactions presents both opportunities and technical challenges, particularly in the areas of scalability, smart contract integration, and security (Kuznetsov et al., 2024). Addressing these challenges is essential for the effective adoption of ZKPs in real estate transactions.</w:t>
      </w:r>
    </w:p>
    <w:p w14:paraId="0430D73B" w14:textId="77777777" w:rsidR="00C63CFC" w:rsidRPr="00263935" w:rsidRDefault="0043080A">
      <w:pPr>
        <w:spacing w:before="240" w:after="240"/>
        <w:rPr>
          <w:rFonts w:eastAsia="Times New Roman"/>
          <w:color w:val="0D0D0D"/>
          <w:sz w:val="24"/>
          <w:szCs w:val="24"/>
          <w:highlight w:val="white"/>
        </w:rPr>
      </w:pPr>
      <w:r w:rsidRPr="00263935">
        <w:rPr>
          <w:rFonts w:eastAsia="Times New Roman"/>
          <w:color w:val="0D0D0D"/>
          <w:sz w:val="24"/>
          <w:szCs w:val="24"/>
          <w:highlight w:val="white"/>
        </w:rPr>
        <w:t xml:space="preserve">Scalability is a critical concern, as the computational demands of zk-SNARKs (Zero-Knowledge Succinct Non-Interactive Arguments of Knowledge) and zk-STARKs (Zero-Knowledge Scalable Transparent Arguments of Knowledge) can be substantial (Panait &amp; Olimid, 2021). Zhou et al. (2024) posits that while zk-SNARKs offer compact proof sizes and fast verification, they require a trusted setup phase, which may introduce security vulnerabilities. Conversely, zk-STARKs enhance scalability and transparency by eliminating the need for a trusted setup, but they generate larger proof sizes, leading to higher computational costs (Khamesra et al., 2024). To mitigate these challenges, zk-Rollups, including StarkNet and zkSync, have been developed as Layer-2 scaling solutions, aggregating multiple transactions off-chain into a single proof verified on-chain </w:t>
      </w:r>
      <w:r w:rsidRPr="00263935">
        <w:rPr>
          <w:sz w:val="24"/>
          <w:szCs w:val="24"/>
        </w:rPr>
        <w:t>(Saif et al., 2024)</w:t>
      </w:r>
      <w:r w:rsidRPr="00263935">
        <w:rPr>
          <w:rFonts w:eastAsia="Times New Roman"/>
          <w:color w:val="0D0D0D"/>
          <w:sz w:val="24"/>
          <w:szCs w:val="24"/>
          <w:highlight w:val="white"/>
        </w:rPr>
        <w:t>. While zk-Rollups improve transaction throughput and reduce processing loads, their integration requires additional off-chain infrastructure, adding complexity to large-scale property transaction systems (Olusegun &amp; Yang, 2023).</w:t>
      </w:r>
    </w:p>
    <w:p w14:paraId="60BD9F9D" w14:textId="77777777" w:rsidR="00C63CFC" w:rsidRPr="00263935" w:rsidRDefault="0043080A">
      <w:pPr>
        <w:spacing w:before="240" w:after="240"/>
        <w:rPr>
          <w:rFonts w:eastAsia="Times New Roman"/>
          <w:color w:val="0D0D0D"/>
          <w:sz w:val="24"/>
          <w:szCs w:val="24"/>
          <w:highlight w:val="white"/>
        </w:rPr>
      </w:pPr>
      <w:r w:rsidRPr="00263935">
        <w:rPr>
          <w:rFonts w:eastAsia="Times New Roman"/>
          <w:color w:val="0D0D0D"/>
          <w:sz w:val="24"/>
          <w:szCs w:val="24"/>
          <w:highlight w:val="white"/>
        </w:rPr>
        <w:t>Smart contract integration is crucial for enabling privacy-preserving verifications in blockchain-based property platforms. Smart contracts automate transaction execution based on predefined conditions, and incorporating ZKPs allows verification of sensitive information, such as ownership credentials, without disclosing private data (Sedlmeir et al., 2022). Ethereum, a widely adopted blockchain network, supports zk-SNARKs through the Byzantium upgrade, facilitating ZKP-based verifications (</w:t>
      </w:r>
      <w:r w:rsidRPr="00263935">
        <w:rPr>
          <w:sz w:val="24"/>
          <w:szCs w:val="24"/>
        </w:rPr>
        <w:t>Ahmed et al., 2022)</w:t>
      </w:r>
      <w:r w:rsidRPr="00263935">
        <w:rPr>
          <w:rFonts w:eastAsia="Times New Roman"/>
          <w:color w:val="0D0D0D"/>
          <w:sz w:val="24"/>
          <w:szCs w:val="24"/>
          <w:highlight w:val="white"/>
        </w:rPr>
        <w:t>. However, Zhang et al. (2023) notes that the computational intensity of generating and verifying zero-knowledge proofs increases gas costs, making transactions more expensive. Additionally, writing and auditing ZKP-compatible smart contracts requires specialized expertise, which remains limited in the real estate sector, posing a barrier to widespread adoption (Popchev et al., 2022).</w:t>
      </w:r>
    </w:p>
    <w:p w14:paraId="65A1382E" w14:textId="77777777" w:rsidR="00C63CFC" w:rsidRPr="00263935" w:rsidRDefault="0043080A">
      <w:pPr>
        <w:spacing w:before="240" w:after="240"/>
        <w:rPr>
          <w:rFonts w:eastAsia="Times New Roman"/>
          <w:color w:val="0D0D0D"/>
          <w:sz w:val="24"/>
          <w:szCs w:val="24"/>
          <w:highlight w:val="white"/>
        </w:rPr>
      </w:pPr>
      <w:r w:rsidRPr="00263935">
        <w:rPr>
          <w:rFonts w:eastAsia="Times New Roman"/>
          <w:color w:val="0D0D0D"/>
          <w:sz w:val="24"/>
          <w:szCs w:val="24"/>
          <w:highlight w:val="white"/>
        </w:rPr>
        <w:t>Security and trust in ZKP-enabled property transactions are paramount. While ZKPs enhance privacy by enabling proofs without revealing underlying details, maintaining transaction validity is essential to prevent fraudulent activities (Aggarwal et al., 2024). The cryptographic resilience of ZKPs is strong; however, the advent of quantum computing presents potential risks, as quantum computers could compromise zk-SNARKs, which rely on elliptic curve cryptography (Yang et al., 2023). In contrast, zk-STARKs, which utilize hash functions, are considered more resistant to quantum threats, though their higher computational demands necessitate trade-offs between security and performance. Additionally, the privacy afforded by ZKPs could be exploited to conceal illicit transactions, necessitating robust auditing mechanisms and regulatory oversight to balance privacy with accountability (Oude Roelink et al., 2024).</w:t>
      </w:r>
    </w:p>
    <w:p w14:paraId="74F516FF" w14:textId="77777777" w:rsidR="00C63CFC" w:rsidRPr="00263935" w:rsidRDefault="0043080A">
      <w:pPr>
        <w:spacing w:before="240" w:after="240"/>
        <w:rPr>
          <w:rFonts w:eastAsia="Times New Roman"/>
          <w:color w:val="0D0D0D"/>
          <w:sz w:val="24"/>
          <w:szCs w:val="24"/>
          <w:highlight w:val="white"/>
        </w:rPr>
      </w:pPr>
      <w:r w:rsidRPr="00263935">
        <w:rPr>
          <w:rFonts w:eastAsia="Times New Roman"/>
          <w:color w:val="0D0D0D"/>
          <w:sz w:val="24"/>
          <w:szCs w:val="24"/>
          <w:highlight w:val="white"/>
        </w:rPr>
        <w:t xml:space="preserve">The application of ZKPs in real estate transactions holds significant promise for enhancing privacy, security, and regulatory compliance. However, addressing scalability constraints, integration complexities, and emerging security threats will be essential for their successful adoption. </w:t>
      </w:r>
    </w:p>
    <w:p w14:paraId="7980301E" w14:textId="77777777" w:rsidR="00C63CFC" w:rsidRPr="00263935" w:rsidRDefault="0043080A">
      <w:pPr>
        <w:pStyle w:val="Heading3"/>
        <w:keepNext w:val="0"/>
        <w:keepLines w:val="0"/>
        <w:spacing w:before="280"/>
        <w:rPr>
          <w:rFonts w:eastAsia="Times New Roman"/>
          <w:b/>
          <w:color w:val="0D0D0D"/>
          <w:sz w:val="24"/>
          <w:szCs w:val="24"/>
          <w:highlight w:val="white"/>
        </w:rPr>
      </w:pPr>
      <w:bookmarkStart w:id="5" w:name="_e4osr2flrjz7" w:colFirst="0" w:colLast="0"/>
      <w:bookmarkEnd w:id="5"/>
      <w:r w:rsidRPr="00263935">
        <w:rPr>
          <w:rFonts w:eastAsia="Times New Roman"/>
          <w:b/>
          <w:color w:val="0D0D0D"/>
          <w:sz w:val="24"/>
          <w:szCs w:val="24"/>
          <w:highlight w:val="white"/>
        </w:rPr>
        <w:t>Adoption Barriers and Stakeholder Perspectives</w:t>
      </w:r>
    </w:p>
    <w:p w14:paraId="45C2D5ED" w14:textId="77777777" w:rsidR="00C63CFC" w:rsidRPr="00263935" w:rsidRDefault="0043080A">
      <w:pPr>
        <w:spacing w:before="240" w:after="240"/>
        <w:rPr>
          <w:rFonts w:eastAsia="Times New Roman"/>
          <w:color w:val="0D0D0D"/>
          <w:sz w:val="24"/>
          <w:szCs w:val="24"/>
          <w:highlight w:val="white"/>
        </w:rPr>
      </w:pPr>
      <w:r w:rsidRPr="00263935">
        <w:rPr>
          <w:rFonts w:eastAsia="Times New Roman"/>
          <w:color w:val="0D0D0D"/>
          <w:sz w:val="24"/>
          <w:szCs w:val="24"/>
          <w:highlight w:val="white"/>
        </w:rPr>
        <w:t>The integration of blockchain technology, particularly Zero-Knowledge Proofs (ZKPs), into property transactions presents both opportunities and challenges (Aggarwal et al., 2024). Overcoming adoption barriers and addressing stakeholder concerns are essential for the successful implementation of these innovations in the real estate sector.</w:t>
      </w:r>
    </w:p>
    <w:p w14:paraId="5E95B5A5" w14:textId="77777777" w:rsidR="00C63CFC" w:rsidRPr="00263935" w:rsidRDefault="0043080A">
      <w:pPr>
        <w:spacing w:before="240" w:after="240"/>
        <w:rPr>
          <w:rFonts w:eastAsia="Times New Roman"/>
          <w:color w:val="0D0D0D"/>
          <w:sz w:val="24"/>
          <w:szCs w:val="24"/>
          <w:highlight w:val="white"/>
        </w:rPr>
      </w:pPr>
      <w:r w:rsidRPr="00263935">
        <w:rPr>
          <w:rFonts w:eastAsia="Times New Roman"/>
          <w:color w:val="0D0D0D"/>
          <w:sz w:val="24"/>
          <w:szCs w:val="24"/>
          <w:highlight w:val="white"/>
        </w:rPr>
        <w:t>Institutional resistance remains a major obstacle to the widespread adoption of blockchain-based property transactions (Kumar Singh et al., 2023). Banks, mortgage providers, and legal professionals often express skepticism due to concerns about regulatory compliance, data security, and potential disruptions to established workflows (Kuppan et al., 2024). The conservative nature of the real estate industry further exacerbates this reluctance, as stakeholders prefer proven transactional methods over emerging technologies (Yeoh et al., 2023). A critical challenge is the lack of standardized protocols, which creates uncertainty regarding the interoperability and legal recognition of blockchain transactions (Alzahrani et al., 2022). Without clear regulatory frameworks and industry-wide standards, institutions may hesitate to adopt blockchain solutions, fearing legal and operational uncertainties (Nguyen et al., 2023).</w:t>
      </w:r>
    </w:p>
    <w:p w14:paraId="30665EE6" w14:textId="77777777" w:rsidR="00C63CFC" w:rsidRPr="00263935" w:rsidRDefault="0043080A">
      <w:pPr>
        <w:spacing w:before="240" w:after="240"/>
        <w:rPr>
          <w:rFonts w:eastAsia="Times New Roman"/>
          <w:color w:val="0D0D0D"/>
          <w:sz w:val="24"/>
          <w:szCs w:val="24"/>
          <w:highlight w:val="white"/>
        </w:rPr>
      </w:pPr>
      <w:r w:rsidRPr="00263935">
        <w:rPr>
          <w:rFonts w:eastAsia="Times New Roman"/>
          <w:color w:val="0D0D0D"/>
          <w:sz w:val="24"/>
          <w:szCs w:val="24"/>
          <w:highlight w:val="white"/>
        </w:rPr>
        <w:t>Economic and market considerations also shape the adoption of ZKP-enabled blockchain solutions. While investment trends indicate growing interest in blockchain-driven property platforms, the financial feasibility of implementing these technologies remains debated (Tien et al., 2024). The initial costs associated with integrating ZKPs can be substantial, leading stakeholders to question the return on investment. However, Jeyachandran (2025) contends that the long-term benefits, such as enhanced efficiency, improved security, and reduced fraud, outweigh the upfront expenditures. Empirical evidence demonstrating the economic advantages of blockchain adoption is critical in persuading investors and industry participants of its viability (Erol et al., 2022; Olabanji et al., 2024).</w:t>
      </w:r>
    </w:p>
    <w:p w14:paraId="62535CDE" w14:textId="77777777" w:rsidR="00C63CFC" w:rsidRPr="00263935" w:rsidRDefault="0043080A">
      <w:pPr>
        <w:spacing w:before="240" w:after="240"/>
        <w:rPr>
          <w:rFonts w:eastAsia="Times New Roman"/>
          <w:color w:val="0D0D0D"/>
          <w:sz w:val="24"/>
          <w:szCs w:val="24"/>
          <w:highlight w:val="white"/>
        </w:rPr>
      </w:pPr>
      <w:r w:rsidRPr="00263935">
        <w:rPr>
          <w:rFonts w:eastAsia="Times New Roman"/>
          <w:color w:val="0D0D0D"/>
          <w:sz w:val="24"/>
          <w:szCs w:val="24"/>
          <w:highlight w:val="white"/>
        </w:rPr>
        <w:t>Addressing these barriers requires a strategic, multi-faceted approach. Industry collaboration is vital for establishing standards and best practices, fostering interoperability, and enhancing stakeholder confidence (Usmani et al., 2023). Regulatory clarity and government incentives can further accelerate adoption by providing a supportive legal framework and mitigating compliance concerns (Sanda et al., 2022). Additionally, pilot programs and real-world testing are crucial for demonstrating the practical benefits of ZKP-enabled blockchain solutions (Mazzocca et al., 2025). By providing empirical evidence of their effectiveness, these initiatives can build trust and facilitate informed decision-making among stakeholders (Mazzocca et al., 2025; Usmani et al., 2023).</w:t>
      </w:r>
    </w:p>
    <w:p w14:paraId="331E9D25" w14:textId="77777777" w:rsidR="00C63CFC" w:rsidRPr="00263935" w:rsidRDefault="0043080A">
      <w:pPr>
        <w:spacing w:before="240" w:after="240"/>
        <w:rPr>
          <w:rFonts w:eastAsia="Times New Roman"/>
          <w:color w:val="0D0D0D"/>
          <w:sz w:val="24"/>
          <w:szCs w:val="24"/>
          <w:highlight w:val="white"/>
        </w:rPr>
      </w:pPr>
      <w:r w:rsidRPr="00263935">
        <w:rPr>
          <w:rFonts w:eastAsia="Times New Roman"/>
          <w:color w:val="0D0D0D"/>
          <w:sz w:val="24"/>
          <w:szCs w:val="24"/>
          <w:highlight w:val="white"/>
        </w:rPr>
        <w:t>A well-structured approach that prioritizes collaboration, regulatory support, and practical implementation can significantly enhance the adoption of ZKP-enabled blockchain solutions in property transactions (Kalbantner et al., 2024). By addressing institutional reluctance, financial uncertainties, and technological complexities, the real estate sector can leverage blockchain technology to improve transaction security, efficiency, and transparency (Ali et al., 2025).</w:t>
      </w:r>
    </w:p>
    <w:p w14:paraId="387F6EE1" w14:textId="77777777" w:rsidR="00C63CFC" w:rsidRPr="00263935" w:rsidRDefault="00263935">
      <w:pPr>
        <w:pStyle w:val="Heading3"/>
        <w:keepNext w:val="0"/>
        <w:keepLines w:val="0"/>
        <w:spacing w:before="280"/>
        <w:rPr>
          <w:rFonts w:eastAsia="Times New Roman"/>
          <w:b/>
          <w:color w:val="0D0D0D"/>
          <w:sz w:val="24"/>
          <w:szCs w:val="24"/>
          <w:highlight w:val="white"/>
        </w:rPr>
      </w:pPr>
      <w:bookmarkStart w:id="6" w:name="_ru14mnoko4wl" w:colFirst="0" w:colLast="0"/>
      <w:bookmarkEnd w:id="6"/>
      <w:r>
        <w:rPr>
          <w:rFonts w:eastAsia="Times New Roman"/>
          <w:b/>
          <w:color w:val="0D0D0D"/>
          <w:sz w:val="24"/>
          <w:szCs w:val="24"/>
          <w:highlight w:val="white"/>
        </w:rPr>
        <w:t>3.</w:t>
      </w:r>
      <w:r>
        <w:rPr>
          <w:rFonts w:eastAsia="Times New Roman"/>
          <w:b/>
          <w:color w:val="0D0D0D"/>
          <w:sz w:val="24"/>
          <w:szCs w:val="24"/>
          <w:highlight w:val="white"/>
        </w:rPr>
        <w:tab/>
      </w:r>
      <w:r w:rsidR="0043080A" w:rsidRPr="00263935">
        <w:rPr>
          <w:rFonts w:eastAsia="Times New Roman"/>
          <w:b/>
          <w:color w:val="0D0D0D"/>
          <w:sz w:val="24"/>
          <w:szCs w:val="24"/>
          <w:highlight w:val="white"/>
        </w:rPr>
        <w:t>Methodology</w:t>
      </w:r>
    </w:p>
    <w:p w14:paraId="0BCD90CC" w14:textId="77777777" w:rsidR="00C63CFC" w:rsidRPr="00263935" w:rsidRDefault="0043080A">
      <w:pPr>
        <w:spacing w:before="160" w:after="160"/>
        <w:rPr>
          <w:rFonts w:eastAsia="Times New Roman"/>
          <w:color w:val="0D0D0D"/>
          <w:sz w:val="24"/>
          <w:szCs w:val="24"/>
          <w:highlight w:val="white"/>
        </w:rPr>
      </w:pPr>
      <w:r w:rsidRPr="00263935">
        <w:rPr>
          <w:rFonts w:eastAsia="Times New Roman"/>
          <w:color w:val="0D0D0D"/>
          <w:sz w:val="24"/>
          <w:szCs w:val="24"/>
          <w:highlight w:val="white"/>
        </w:rPr>
        <w:t>This study employs a quantitative research approach to examine the role of Zero-Knowledge Proofs (ZKPs) in blockchain-based property transactions, focusing on privacy risks, transparency, technical feasibility, and adoption challenges. The analysis utilizes publicly available datasets and statistical models to assess data exposure, measure the impact of ZKPs on transaction efficiency, evaluate scalability constraints, and analyze regulatory approval trends.</w:t>
      </w:r>
    </w:p>
    <w:p w14:paraId="68389A87" w14:textId="77777777" w:rsidR="00C63CFC" w:rsidRPr="00263935" w:rsidRDefault="0043080A">
      <w:pPr>
        <w:spacing w:before="160" w:after="160"/>
        <w:rPr>
          <w:rFonts w:eastAsia="Times New Roman"/>
          <w:color w:val="0D0D0D"/>
          <w:sz w:val="24"/>
          <w:szCs w:val="24"/>
          <w:highlight w:val="white"/>
        </w:rPr>
      </w:pPr>
      <w:r w:rsidRPr="00263935">
        <w:rPr>
          <w:rFonts w:eastAsia="Times New Roman"/>
          <w:color w:val="0D0D0D"/>
          <w:sz w:val="24"/>
          <w:szCs w:val="24"/>
          <w:highlight w:val="white"/>
        </w:rPr>
        <w:t>Table 1 presents a structured overview of the datasets, methodologies, and key mathematical models applied in this research.</w:t>
      </w:r>
    </w:p>
    <w:p w14:paraId="5E8D24A1" w14:textId="77777777" w:rsidR="00C63CFC" w:rsidRPr="00263935" w:rsidRDefault="0043080A" w:rsidP="00147499">
      <w:pPr>
        <w:pStyle w:val="Heading4"/>
        <w:keepNext w:val="0"/>
        <w:keepLines w:val="0"/>
        <w:spacing w:before="240" w:after="40"/>
        <w:jc w:val="center"/>
        <w:rPr>
          <w:rFonts w:eastAsia="Times New Roman"/>
          <w:color w:val="0D0D0D"/>
          <w:highlight w:val="white"/>
        </w:rPr>
      </w:pPr>
      <w:bookmarkStart w:id="7" w:name="_f1cngbcd3hnz" w:colFirst="0" w:colLast="0"/>
      <w:bookmarkEnd w:id="7"/>
      <w:r w:rsidRPr="00263935">
        <w:rPr>
          <w:rFonts w:eastAsia="Times New Roman"/>
          <w:color w:val="0D0D0D"/>
          <w:highlight w:val="white"/>
        </w:rPr>
        <w:t>Table 1: Summary of Methodology</w:t>
      </w:r>
    </w:p>
    <w:tbl>
      <w:tblPr>
        <w:tblStyle w:val="TableGrid"/>
        <w:tblW w:w="9545" w:type="dxa"/>
        <w:tblLayout w:type="fixed"/>
        <w:tblLook w:val="0600" w:firstRow="0" w:lastRow="0" w:firstColumn="0" w:lastColumn="0" w:noHBand="1" w:noVBand="1"/>
      </w:tblPr>
      <w:tblGrid>
        <w:gridCol w:w="1760"/>
        <w:gridCol w:w="1850"/>
        <w:gridCol w:w="2165"/>
        <w:gridCol w:w="3770"/>
      </w:tblGrid>
      <w:tr w:rsidR="00C63CFC" w:rsidRPr="00263935" w14:paraId="4D2B0E16" w14:textId="77777777" w:rsidTr="00D47BDE">
        <w:trPr>
          <w:trHeight w:val="410"/>
        </w:trPr>
        <w:tc>
          <w:tcPr>
            <w:tcW w:w="1760" w:type="dxa"/>
          </w:tcPr>
          <w:p w14:paraId="67C30A6E" w14:textId="77777777" w:rsidR="00C63CFC" w:rsidRPr="00263935" w:rsidRDefault="0043080A">
            <w:pPr>
              <w:spacing w:before="240" w:after="240"/>
              <w:jc w:val="center"/>
              <w:rPr>
                <w:rFonts w:eastAsia="Times New Roman"/>
                <w:color w:val="0D0D0D"/>
                <w:sz w:val="24"/>
                <w:szCs w:val="24"/>
                <w:highlight w:val="white"/>
              </w:rPr>
            </w:pPr>
            <w:r w:rsidRPr="00263935">
              <w:rPr>
                <w:rFonts w:eastAsia="Times New Roman"/>
                <w:color w:val="0D0D0D"/>
                <w:sz w:val="24"/>
                <w:szCs w:val="24"/>
                <w:highlight w:val="white"/>
              </w:rPr>
              <w:t>Objective</w:t>
            </w:r>
          </w:p>
        </w:tc>
        <w:tc>
          <w:tcPr>
            <w:tcW w:w="1850" w:type="dxa"/>
          </w:tcPr>
          <w:p w14:paraId="407404EA" w14:textId="77777777" w:rsidR="00C63CFC" w:rsidRPr="00263935" w:rsidRDefault="0043080A">
            <w:pPr>
              <w:spacing w:before="240" w:after="240"/>
              <w:jc w:val="center"/>
              <w:rPr>
                <w:rFonts w:eastAsia="Times New Roman"/>
                <w:color w:val="0D0D0D"/>
                <w:sz w:val="24"/>
                <w:szCs w:val="24"/>
                <w:highlight w:val="white"/>
              </w:rPr>
            </w:pPr>
            <w:r w:rsidRPr="00263935">
              <w:rPr>
                <w:rFonts w:eastAsia="Times New Roman"/>
                <w:color w:val="0D0D0D"/>
                <w:sz w:val="24"/>
                <w:szCs w:val="24"/>
                <w:highlight w:val="white"/>
              </w:rPr>
              <w:t>Dataset Used</w:t>
            </w:r>
          </w:p>
        </w:tc>
        <w:tc>
          <w:tcPr>
            <w:tcW w:w="2165" w:type="dxa"/>
          </w:tcPr>
          <w:p w14:paraId="3DED4E83" w14:textId="77777777" w:rsidR="00C63CFC" w:rsidRPr="00263935" w:rsidRDefault="0043080A">
            <w:pPr>
              <w:spacing w:before="240" w:after="240"/>
              <w:jc w:val="center"/>
              <w:rPr>
                <w:rFonts w:eastAsia="Times New Roman"/>
                <w:color w:val="0D0D0D"/>
                <w:sz w:val="24"/>
                <w:szCs w:val="24"/>
                <w:highlight w:val="white"/>
              </w:rPr>
            </w:pPr>
            <w:r w:rsidRPr="00263935">
              <w:rPr>
                <w:rFonts w:eastAsia="Times New Roman"/>
                <w:color w:val="0D0D0D"/>
                <w:sz w:val="24"/>
                <w:szCs w:val="24"/>
                <w:highlight w:val="white"/>
              </w:rPr>
              <w:t>Quantitative Methodology</w:t>
            </w:r>
          </w:p>
        </w:tc>
        <w:tc>
          <w:tcPr>
            <w:tcW w:w="3770" w:type="dxa"/>
          </w:tcPr>
          <w:p w14:paraId="53E9D8B2" w14:textId="77777777" w:rsidR="00C63CFC" w:rsidRPr="00263935" w:rsidRDefault="0043080A">
            <w:pPr>
              <w:spacing w:before="240" w:after="240"/>
              <w:jc w:val="center"/>
              <w:rPr>
                <w:rFonts w:eastAsia="Times New Roman"/>
                <w:color w:val="0D0D0D"/>
                <w:sz w:val="24"/>
                <w:szCs w:val="24"/>
                <w:highlight w:val="white"/>
              </w:rPr>
            </w:pPr>
            <w:r w:rsidRPr="00263935">
              <w:rPr>
                <w:rFonts w:eastAsia="Times New Roman"/>
                <w:color w:val="0D0D0D"/>
                <w:sz w:val="24"/>
                <w:szCs w:val="24"/>
                <w:highlight w:val="white"/>
              </w:rPr>
              <w:t>Key Mathematical Models</w:t>
            </w:r>
          </w:p>
        </w:tc>
      </w:tr>
      <w:tr w:rsidR="00C63CFC" w:rsidRPr="00263935" w14:paraId="70D4AB0B" w14:textId="77777777" w:rsidTr="00D47BDE">
        <w:trPr>
          <w:trHeight w:val="950"/>
        </w:trPr>
        <w:tc>
          <w:tcPr>
            <w:tcW w:w="1760" w:type="dxa"/>
          </w:tcPr>
          <w:p w14:paraId="07C851A4" w14:textId="77777777" w:rsidR="00C63CFC" w:rsidRPr="00263935" w:rsidRDefault="0043080A">
            <w:pPr>
              <w:spacing w:before="240" w:after="240"/>
              <w:rPr>
                <w:rFonts w:eastAsia="Times New Roman"/>
                <w:color w:val="0D0D0D"/>
                <w:sz w:val="24"/>
                <w:szCs w:val="24"/>
                <w:highlight w:val="white"/>
              </w:rPr>
            </w:pPr>
            <w:r w:rsidRPr="00263935">
              <w:rPr>
                <w:rFonts w:eastAsia="Times New Roman"/>
                <w:color w:val="0D0D0D"/>
                <w:sz w:val="24"/>
                <w:szCs w:val="24"/>
                <w:highlight w:val="white"/>
              </w:rPr>
              <w:t>Analyze Privacy Risks and Data Exposure</w:t>
            </w:r>
          </w:p>
        </w:tc>
        <w:tc>
          <w:tcPr>
            <w:tcW w:w="1850" w:type="dxa"/>
          </w:tcPr>
          <w:p w14:paraId="2AF0A66B" w14:textId="77777777" w:rsidR="00C63CFC" w:rsidRPr="00263935" w:rsidRDefault="0043080A">
            <w:pPr>
              <w:spacing w:before="240" w:after="240"/>
              <w:rPr>
                <w:rFonts w:eastAsia="Times New Roman"/>
                <w:color w:val="0D0D0D"/>
                <w:sz w:val="24"/>
                <w:szCs w:val="24"/>
                <w:highlight w:val="white"/>
              </w:rPr>
            </w:pPr>
            <w:r w:rsidRPr="00263935">
              <w:rPr>
                <w:rFonts w:eastAsia="Times New Roman"/>
                <w:color w:val="0D0D0D"/>
                <w:sz w:val="24"/>
                <w:szCs w:val="24"/>
                <w:highlight w:val="white"/>
              </w:rPr>
              <w:t>HM Land Registry Price Paid Data (UK Gov)</w:t>
            </w:r>
          </w:p>
        </w:tc>
        <w:tc>
          <w:tcPr>
            <w:tcW w:w="2165" w:type="dxa"/>
          </w:tcPr>
          <w:p w14:paraId="6D2D264B" w14:textId="77777777" w:rsidR="00C63CFC" w:rsidRPr="00263935" w:rsidRDefault="0043080A">
            <w:pPr>
              <w:spacing w:before="240" w:after="240"/>
              <w:rPr>
                <w:rFonts w:eastAsia="Times New Roman"/>
                <w:color w:val="0D0D0D"/>
                <w:sz w:val="24"/>
                <w:szCs w:val="24"/>
                <w:highlight w:val="white"/>
              </w:rPr>
            </w:pPr>
            <w:r w:rsidRPr="00263935">
              <w:rPr>
                <w:rFonts w:eastAsia="Times New Roman"/>
                <w:color w:val="0D0D0D"/>
                <w:sz w:val="24"/>
                <w:szCs w:val="24"/>
                <w:highlight w:val="white"/>
              </w:rPr>
              <w:t>Entropy Analysis, k-Anonymity, Re-Identification Risk Estimation</w:t>
            </w:r>
          </w:p>
        </w:tc>
        <w:tc>
          <w:tcPr>
            <w:tcW w:w="3770" w:type="dxa"/>
          </w:tcPr>
          <w:p w14:paraId="7822F9C3" w14:textId="77777777" w:rsidR="00C63CFC" w:rsidRPr="00263935" w:rsidRDefault="00B859C1">
            <w:pPr>
              <w:spacing w:before="240" w:after="240"/>
              <w:rPr>
                <w:rFonts w:eastAsia="Times New Roman"/>
                <w:color w:val="0D0D0D"/>
                <w:sz w:val="24"/>
                <w:szCs w:val="24"/>
                <w:highlight w:val="white"/>
              </w:rPr>
            </w:pPr>
            <m:oMathPara>
              <m:oMath>
                <m:r>
                  <m:rPr>
                    <m:sty m:val="p"/>
                  </m:rPr>
                  <w:rPr>
                    <w:rStyle w:val="mord"/>
                    <w:rFonts w:ascii="Cambria Math" w:hAnsi="Cambria Math"/>
                    <w:sz w:val="24"/>
                    <w:szCs w:val="24"/>
                  </w:rPr>
                  <m:t>H</m:t>
                </m:r>
                <m:d>
                  <m:dPr>
                    <m:ctrlPr>
                      <w:rPr>
                        <w:rStyle w:val="mopen"/>
                        <w:rFonts w:ascii="Cambria Math" w:hAnsi="Cambria Math"/>
                        <w:b/>
                        <w:bCs/>
                        <w:sz w:val="24"/>
                        <w:szCs w:val="24"/>
                      </w:rPr>
                    </m:ctrlPr>
                  </m:dPr>
                  <m:e>
                    <m:r>
                      <m:rPr>
                        <m:sty m:val="p"/>
                      </m:rPr>
                      <w:rPr>
                        <w:rStyle w:val="mord"/>
                        <w:rFonts w:ascii="Cambria Math" w:hAnsi="Cambria Math"/>
                        <w:sz w:val="24"/>
                        <w:szCs w:val="24"/>
                      </w:rPr>
                      <m:t>X</m:t>
                    </m:r>
                    <m:ctrlPr>
                      <w:rPr>
                        <w:rStyle w:val="mclose"/>
                        <w:rFonts w:ascii="Cambria Math" w:hAnsi="Cambria Math"/>
                        <w:sz w:val="24"/>
                        <w:szCs w:val="24"/>
                      </w:rPr>
                    </m:ctrlPr>
                  </m:e>
                </m:d>
                <m:r>
                  <m:rPr>
                    <m:sty m:val="p"/>
                  </m:rPr>
                  <w:rPr>
                    <w:rStyle w:val="mrel"/>
                    <w:rFonts w:ascii="Cambria Math" w:hAnsi="Cambria Math"/>
                    <w:sz w:val="24"/>
                    <w:szCs w:val="24"/>
                  </w:rPr>
                  <m:t>=</m:t>
                </m:r>
                <m:r>
                  <m:rPr>
                    <m:sty m:val="p"/>
                  </m:rPr>
                  <w:rPr>
                    <w:rStyle w:val="mord"/>
                    <w:rFonts w:ascii="Cambria Math" w:hAnsi="Cambria Math"/>
                    <w:sz w:val="24"/>
                    <w:szCs w:val="24"/>
                  </w:rPr>
                  <m:t>-</m:t>
                </m:r>
                <m:r>
                  <m:rPr>
                    <m:sty m:val="p"/>
                  </m:rPr>
                  <w:rPr>
                    <w:rStyle w:val="mop"/>
                    <w:rFonts w:ascii="Cambria Math" w:hAnsi="Cambria Math"/>
                    <w:sz w:val="24"/>
                    <w:szCs w:val="24"/>
                  </w:rPr>
                  <m:t>∑</m:t>
                </m:r>
                <m:sSub>
                  <m:sSubPr>
                    <m:ctrlPr>
                      <w:rPr>
                        <w:rStyle w:val="mord"/>
                        <w:rFonts w:ascii="Cambria Math" w:hAnsi="Cambria Math"/>
                        <w:sz w:val="24"/>
                        <w:szCs w:val="24"/>
                      </w:rPr>
                    </m:ctrlPr>
                  </m:sSubPr>
                  <m:e>
                    <m:r>
                      <m:rPr>
                        <m:sty m:val="p"/>
                      </m:rPr>
                      <w:rPr>
                        <w:rStyle w:val="mord"/>
                        <w:rFonts w:ascii="Cambria Math" w:hAnsi="Cambria Math"/>
                        <w:sz w:val="24"/>
                        <w:szCs w:val="24"/>
                      </w:rPr>
                      <m:t>p</m:t>
                    </m:r>
                    <m:ctrlPr>
                      <w:rPr>
                        <w:rStyle w:val="mop"/>
                        <w:rFonts w:ascii="Cambria Math" w:hAnsi="Cambria Math"/>
                        <w:sz w:val="24"/>
                        <w:szCs w:val="24"/>
                      </w:rPr>
                    </m:ctrlPr>
                  </m:e>
                  <m:sub>
                    <m:r>
                      <m:rPr>
                        <m:sty m:val="p"/>
                      </m:rPr>
                      <w:rPr>
                        <w:rStyle w:val="mord"/>
                        <w:rFonts w:ascii="Cambria Math" w:hAnsi="Cambria Math"/>
                        <w:sz w:val="24"/>
                        <w:szCs w:val="24"/>
                      </w:rPr>
                      <m:t>i</m:t>
                    </m:r>
                  </m:sub>
                </m:sSub>
                <m:r>
                  <m:rPr>
                    <m:sty m:val="p"/>
                  </m:rPr>
                  <w:rPr>
                    <w:rStyle w:val="vlist-s"/>
                    <w:rFonts w:ascii="Cambria Math" w:hAnsi="Cambria Math"/>
                    <w:sz w:val="24"/>
                    <w:szCs w:val="24"/>
                  </w:rPr>
                  <m:t>​</m:t>
                </m:r>
                <m:func>
                  <m:funcPr>
                    <m:ctrlPr>
                      <w:rPr>
                        <w:rStyle w:val="mop"/>
                        <w:rFonts w:ascii="Cambria Math" w:hAnsi="Cambria Math"/>
                        <w:sz w:val="24"/>
                        <w:szCs w:val="24"/>
                      </w:rPr>
                    </m:ctrlPr>
                  </m:funcPr>
                  <m:fName>
                    <m:sSub>
                      <m:sSubPr>
                        <m:ctrlPr>
                          <w:rPr>
                            <w:rStyle w:val="mop"/>
                            <w:rFonts w:ascii="Cambria Math" w:hAnsi="Cambria Math"/>
                            <w:sz w:val="24"/>
                            <w:szCs w:val="24"/>
                          </w:rPr>
                        </m:ctrlPr>
                      </m:sSubPr>
                      <m:e>
                        <m:r>
                          <m:rPr>
                            <m:sty m:val="p"/>
                          </m:rPr>
                          <w:rPr>
                            <w:rStyle w:val="mop"/>
                            <w:rFonts w:ascii="Cambria Math" w:hAnsi="Cambria Math"/>
                            <w:sz w:val="24"/>
                            <w:szCs w:val="24"/>
                          </w:rPr>
                          <m:t>log</m:t>
                        </m:r>
                      </m:e>
                      <m:sub>
                        <m:r>
                          <m:rPr>
                            <m:sty m:val="p"/>
                          </m:rPr>
                          <w:rPr>
                            <w:rStyle w:val="mord"/>
                            <w:rFonts w:ascii="Cambria Math" w:hAnsi="Cambria Math"/>
                            <w:sz w:val="24"/>
                            <w:szCs w:val="24"/>
                          </w:rPr>
                          <m:t>2</m:t>
                        </m:r>
                      </m:sub>
                    </m:sSub>
                  </m:fName>
                  <m:e>
                    <m:d>
                      <m:dPr>
                        <m:ctrlPr>
                          <w:rPr>
                            <w:rStyle w:val="mopen"/>
                            <w:rFonts w:ascii="Cambria Math" w:hAnsi="Cambria Math"/>
                            <w:b/>
                            <w:bCs/>
                            <w:sz w:val="24"/>
                            <w:szCs w:val="24"/>
                          </w:rPr>
                        </m:ctrlPr>
                      </m:dPr>
                      <m:e>
                        <m:sSub>
                          <m:sSubPr>
                            <m:ctrlPr>
                              <w:rPr>
                                <w:rStyle w:val="mord"/>
                                <w:rFonts w:ascii="Cambria Math" w:hAnsi="Cambria Math"/>
                                <w:sz w:val="24"/>
                                <w:szCs w:val="24"/>
                              </w:rPr>
                            </m:ctrlPr>
                          </m:sSubPr>
                          <m:e>
                            <m:r>
                              <m:rPr>
                                <m:sty m:val="p"/>
                              </m:rPr>
                              <w:rPr>
                                <w:rStyle w:val="mord"/>
                                <w:rFonts w:ascii="Cambria Math" w:hAnsi="Cambria Math"/>
                                <w:sz w:val="24"/>
                                <w:szCs w:val="24"/>
                              </w:rPr>
                              <m:t>p</m:t>
                            </m:r>
                          </m:e>
                          <m:sub>
                            <m:r>
                              <m:rPr>
                                <m:sty m:val="p"/>
                              </m:rPr>
                              <w:rPr>
                                <w:rStyle w:val="mord"/>
                                <w:rFonts w:ascii="Cambria Math" w:hAnsi="Cambria Math"/>
                                <w:sz w:val="24"/>
                                <w:szCs w:val="24"/>
                              </w:rPr>
                              <m:t>i</m:t>
                            </m:r>
                          </m:sub>
                        </m:sSub>
                        <m:r>
                          <m:rPr>
                            <m:sty m:val="p"/>
                          </m:rPr>
                          <w:rPr>
                            <w:rStyle w:val="vlist-s"/>
                            <w:rFonts w:ascii="Cambria Math" w:hAnsi="Cambria Math"/>
                            <w:sz w:val="24"/>
                            <w:szCs w:val="24"/>
                          </w:rPr>
                          <m:t>​</m:t>
                        </m:r>
                        <m:ctrlPr>
                          <w:rPr>
                            <w:rStyle w:val="mclose"/>
                            <w:rFonts w:ascii="Cambria Math" w:hAnsi="Cambria Math"/>
                            <w:sz w:val="24"/>
                            <w:szCs w:val="24"/>
                          </w:rPr>
                        </m:ctrlPr>
                      </m:e>
                    </m:d>
                    <m:r>
                      <m:rPr>
                        <m:sty m:val="p"/>
                      </m:rPr>
                      <w:rPr>
                        <w:rFonts w:ascii="Cambria Math" w:hAnsi="Cambria Math"/>
                        <w:sz w:val="24"/>
                        <w:szCs w:val="24"/>
                      </w:rPr>
                      <m:t>,</m:t>
                    </m:r>
                    <m:ctrlPr>
                      <w:rPr>
                        <w:rStyle w:val="vlist-s"/>
                        <w:rFonts w:ascii="Cambria Math" w:hAnsi="Cambria Math"/>
                        <w:i/>
                        <w:sz w:val="24"/>
                        <w:szCs w:val="24"/>
                      </w:rPr>
                    </m:ctrlPr>
                  </m:e>
                </m:func>
                <m:r>
                  <m:rPr>
                    <m:sty m:val="p"/>
                  </m:rPr>
                  <w:rPr>
                    <w:rStyle w:val="vlist-s"/>
                    <w:rFonts w:ascii="Cambria Math" w:hAnsi="Cambria Math"/>
                    <w:sz w:val="24"/>
                    <w:szCs w:val="24"/>
                  </w:rPr>
                  <m:t>​</m:t>
                </m:r>
                <m:r>
                  <m:rPr>
                    <m:sty m:val="p"/>
                  </m:rPr>
                  <w:rPr>
                    <w:rFonts w:ascii="Cambria Math" w:hAnsi="Cambria Math"/>
                    <w:sz w:val="24"/>
                    <w:szCs w:val="24"/>
                  </w:rPr>
                  <m:t xml:space="preserve"> </m:t>
                </m:r>
                <m:sSub>
                  <m:sSubPr>
                    <m:ctrlPr>
                      <w:rPr>
                        <w:rStyle w:val="katex-mathml"/>
                        <w:rFonts w:ascii="Cambria Math" w:hAnsi="Cambria Math"/>
                        <w:sz w:val="24"/>
                        <w:szCs w:val="24"/>
                      </w:rPr>
                    </m:ctrlPr>
                  </m:sSubPr>
                  <m:e>
                    <m:r>
                      <m:rPr>
                        <m:sty m:val="p"/>
                      </m:rPr>
                      <w:rPr>
                        <w:rStyle w:val="katex-mathml"/>
                        <w:rFonts w:ascii="Cambria Math" w:hAnsi="Cambria Math"/>
                        <w:sz w:val="24"/>
                        <w:szCs w:val="24"/>
                      </w:rPr>
                      <m:t>P</m:t>
                    </m:r>
                    <m:ctrlPr>
                      <w:rPr>
                        <w:rFonts w:ascii="Cambria Math" w:hAnsi="Cambria Math"/>
                        <w:sz w:val="24"/>
                        <w:szCs w:val="24"/>
                      </w:rPr>
                    </m:ctrlPr>
                  </m:e>
                  <m:sub>
                    <m:r>
                      <m:rPr>
                        <m:sty m:val="p"/>
                      </m:rPr>
                      <w:rPr>
                        <w:rStyle w:val="katex-mathml"/>
                        <w:rFonts w:ascii="Cambria Math" w:hAnsi="Cambria Math"/>
                        <w:sz w:val="24"/>
                        <w:szCs w:val="24"/>
                      </w:rPr>
                      <m:t>r</m:t>
                    </m:r>
                  </m:sub>
                </m:sSub>
                <m:r>
                  <m:rPr>
                    <m:sty m:val="p"/>
                  </m:rPr>
                  <w:rPr>
                    <w:rStyle w:val="katex-mathml"/>
                    <w:rFonts w:ascii="Cambria Math" w:hAnsi="Cambria Math"/>
                    <w:sz w:val="24"/>
                    <w:szCs w:val="24"/>
                  </w:rPr>
                  <m:t>=</m:t>
                </m:r>
                <m:f>
                  <m:fPr>
                    <m:ctrlPr>
                      <w:rPr>
                        <w:rStyle w:val="katex-mathml"/>
                        <w:rFonts w:ascii="Cambria Math" w:hAnsi="Cambria Math"/>
                        <w:sz w:val="24"/>
                        <w:szCs w:val="24"/>
                      </w:rPr>
                    </m:ctrlPr>
                  </m:fPr>
                  <m:num>
                    <m:r>
                      <m:rPr>
                        <m:sty m:val="p"/>
                      </m:rPr>
                      <w:rPr>
                        <w:rStyle w:val="katex-mathml"/>
                        <w:rFonts w:ascii="Cambria Math" w:hAnsi="Cambria Math"/>
                        <w:sz w:val="24"/>
                        <w:szCs w:val="24"/>
                      </w:rPr>
                      <m:t>1</m:t>
                    </m:r>
                  </m:num>
                  <m:den>
                    <m:r>
                      <w:rPr>
                        <w:rStyle w:val="katex-mathml"/>
                        <w:rFonts w:ascii="Cambria Math" w:hAnsi="Cambria Math"/>
                        <w:sz w:val="24"/>
                        <w:szCs w:val="24"/>
                      </w:rPr>
                      <m:t>K</m:t>
                    </m:r>
                  </m:den>
                </m:f>
                <m:r>
                  <m:rPr>
                    <m:sty m:val="p"/>
                  </m:rPr>
                  <w:rPr>
                    <w:rStyle w:val="vlist-s"/>
                    <w:rFonts w:ascii="Cambria Math" w:hAnsi="Cambria Math"/>
                    <w:sz w:val="24"/>
                    <w:szCs w:val="24"/>
                  </w:rPr>
                  <m:t>​</m:t>
                </m:r>
              </m:oMath>
            </m:oMathPara>
          </w:p>
        </w:tc>
      </w:tr>
      <w:tr w:rsidR="00C63CFC" w:rsidRPr="00263935" w14:paraId="41810B6B" w14:textId="77777777" w:rsidTr="00D47BDE">
        <w:trPr>
          <w:trHeight w:val="950"/>
        </w:trPr>
        <w:tc>
          <w:tcPr>
            <w:tcW w:w="1760" w:type="dxa"/>
          </w:tcPr>
          <w:p w14:paraId="29B2B2EB" w14:textId="77777777" w:rsidR="00C63CFC" w:rsidRPr="00263935" w:rsidRDefault="0043080A">
            <w:pPr>
              <w:spacing w:before="240" w:after="240"/>
              <w:rPr>
                <w:rFonts w:eastAsia="Times New Roman"/>
                <w:color w:val="0D0D0D"/>
                <w:sz w:val="24"/>
                <w:szCs w:val="24"/>
                <w:highlight w:val="white"/>
              </w:rPr>
            </w:pPr>
            <w:r w:rsidRPr="00263935">
              <w:rPr>
                <w:rFonts w:eastAsia="Times New Roman"/>
                <w:color w:val="0D0D0D"/>
                <w:sz w:val="24"/>
                <w:szCs w:val="24"/>
                <w:highlight w:val="white"/>
              </w:rPr>
              <w:t>Assess ZKP Impact on Privacy &amp; Transaction Efficiency</w:t>
            </w:r>
          </w:p>
        </w:tc>
        <w:tc>
          <w:tcPr>
            <w:tcW w:w="1850" w:type="dxa"/>
          </w:tcPr>
          <w:p w14:paraId="4786A6D4" w14:textId="77777777" w:rsidR="00C63CFC" w:rsidRPr="00263935" w:rsidRDefault="0043080A">
            <w:pPr>
              <w:spacing w:before="240" w:after="240"/>
              <w:rPr>
                <w:rFonts w:eastAsia="Times New Roman"/>
                <w:color w:val="0D0D0D"/>
                <w:sz w:val="24"/>
                <w:szCs w:val="24"/>
                <w:highlight w:val="white"/>
              </w:rPr>
            </w:pPr>
            <w:r w:rsidRPr="00263935">
              <w:rPr>
                <w:rFonts w:eastAsia="Times New Roman"/>
                <w:color w:val="0D0D0D"/>
                <w:sz w:val="24"/>
                <w:szCs w:val="24"/>
                <w:highlight w:val="white"/>
              </w:rPr>
              <w:t>Ethereum Blockchain Smart Contract Data (Etherscan API)</w:t>
            </w:r>
          </w:p>
        </w:tc>
        <w:tc>
          <w:tcPr>
            <w:tcW w:w="2165" w:type="dxa"/>
          </w:tcPr>
          <w:p w14:paraId="13BAFB78" w14:textId="77777777" w:rsidR="00C63CFC" w:rsidRPr="00263935" w:rsidRDefault="0043080A">
            <w:pPr>
              <w:spacing w:before="240" w:after="240"/>
              <w:rPr>
                <w:rFonts w:eastAsia="Times New Roman"/>
                <w:color w:val="0D0D0D"/>
                <w:sz w:val="24"/>
                <w:szCs w:val="24"/>
                <w:highlight w:val="white"/>
              </w:rPr>
            </w:pPr>
            <w:r w:rsidRPr="00263935">
              <w:rPr>
                <w:rFonts w:eastAsia="Times New Roman"/>
                <w:color w:val="0D0D0D"/>
                <w:sz w:val="24"/>
                <w:szCs w:val="24"/>
                <w:highlight w:val="white"/>
              </w:rPr>
              <w:t>Chi-Square Test, Multiple Linear Regression (Gas Fees, Privacy Score, Latency)</w:t>
            </w:r>
          </w:p>
        </w:tc>
        <w:tc>
          <w:tcPr>
            <w:tcW w:w="3770" w:type="dxa"/>
          </w:tcPr>
          <w:p w14:paraId="074DE604" w14:textId="77777777" w:rsidR="002A2AD7" w:rsidRPr="00263935" w:rsidRDefault="00F216FF" w:rsidP="002A2AD7">
            <w:pPr>
              <w:spacing w:before="240" w:after="240"/>
              <w:rPr>
                <w:sz w:val="24"/>
                <w:szCs w:val="24"/>
              </w:rPr>
            </w:pPr>
            <m:oMathPara>
              <m:oMath>
                <m:sSup>
                  <m:sSupPr>
                    <m:ctrlPr>
                      <w:rPr>
                        <w:rFonts w:ascii="Cambria Math" w:eastAsia="Arial Unicode MS" w:hAnsi="Cambria Math"/>
                        <w:i/>
                        <w:sz w:val="24"/>
                        <w:szCs w:val="24"/>
                      </w:rPr>
                    </m:ctrlPr>
                  </m:sSupPr>
                  <m:e>
                    <m:r>
                      <w:rPr>
                        <w:rFonts w:ascii="Cambria Math" w:eastAsia="Arial Unicode MS" w:hAnsi="Cambria Math"/>
                        <w:sz w:val="24"/>
                        <w:szCs w:val="24"/>
                      </w:rPr>
                      <m:t>χ</m:t>
                    </m:r>
                  </m:e>
                  <m:sup>
                    <m:r>
                      <w:rPr>
                        <w:rFonts w:ascii="Cambria Math" w:eastAsia="Arial Unicode MS" w:hAnsi="Cambria Math"/>
                        <w:sz w:val="24"/>
                        <w:szCs w:val="24"/>
                      </w:rPr>
                      <m:t>2</m:t>
                    </m:r>
                  </m:sup>
                </m:sSup>
                <m:r>
                  <w:rPr>
                    <w:rFonts w:ascii="Cambria Math" w:eastAsia="Arial Unicode MS" w:hAnsi="Cambria Math"/>
                    <w:sz w:val="24"/>
                    <w:szCs w:val="24"/>
                  </w:rPr>
                  <m:t>=</m:t>
                </m:r>
                <m:d>
                  <m:dPr>
                    <m:ctrlPr>
                      <w:rPr>
                        <w:rStyle w:val="vlist-s"/>
                        <w:rFonts w:ascii="Cambria Math" w:hAnsi="Cambria Math"/>
                        <w:i/>
                        <w:sz w:val="24"/>
                        <w:szCs w:val="24"/>
                      </w:rPr>
                    </m:ctrlPr>
                  </m:dPr>
                  <m:e>
                    <m:nary>
                      <m:naryPr>
                        <m:chr m:val="∑"/>
                        <m:limLoc m:val="undOvr"/>
                        <m:subHide m:val="1"/>
                        <m:supHide m:val="1"/>
                        <m:ctrlPr>
                          <w:rPr>
                            <w:rStyle w:val="vlist-s"/>
                            <w:rFonts w:ascii="Cambria Math" w:hAnsi="Cambria Math"/>
                            <w:i/>
                            <w:sz w:val="24"/>
                            <w:szCs w:val="24"/>
                          </w:rPr>
                        </m:ctrlPr>
                      </m:naryPr>
                      <m:sub/>
                      <m:sup/>
                      <m:e>
                        <m:f>
                          <m:fPr>
                            <m:ctrlPr>
                              <w:rPr>
                                <w:rStyle w:val="vlist-s"/>
                                <w:rFonts w:ascii="Cambria Math" w:hAnsi="Cambria Math"/>
                                <w:i/>
                                <w:sz w:val="24"/>
                                <w:szCs w:val="24"/>
                              </w:rPr>
                            </m:ctrlPr>
                          </m:fPr>
                          <m:num>
                            <m:sSup>
                              <m:sSupPr>
                                <m:ctrlPr>
                                  <w:rPr>
                                    <w:rStyle w:val="mord"/>
                                    <w:rFonts w:ascii="Cambria Math" w:hAnsi="Cambria Math"/>
                                    <w:i/>
                                    <w:sz w:val="24"/>
                                    <w:szCs w:val="24"/>
                                  </w:rPr>
                                </m:ctrlPr>
                              </m:sSupPr>
                              <m:e>
                                <m:d>
                                  <m:dPr>
                                    <m:ctrlPr>
                                      <w:rPr>
                                        <w:rStyle w:val="mopen"/>
                                        <w:rFonts w:ascii="Cambria Math" w:hAnsi="Cambria Math"/>
                                        <w:i/>
                                        <w:sz w:val="24"/>
                                        <w:szCs w:val="24"/>
                                      </w:rPr>
                                    </m:ctrlPr>
                                  </m:dPr>
                                  <m:e>
                                    <m:sSub>
                                      <m:sSubPr>
                                        <m:ctrlPr>
                                          <w:rPr>
                                            <w:rStyle w:val="mord"/>
                                            <w:rFonts w:ascii="Cambria Math" w:hAnsi="Cambria Math"/>
                                            <w:i/>
                                            <w:sz w:val="24"/>
                                            <w:szCs w:val="24"/>
                                          </w:rPr>
                                        </m:ctrlPr>
                                      </m:sSubPr>
                                      <m:e>
                                        <m:r>
                                          <w:rPr>
                                            <w:rStyle w:val="mord"/>
                                            <w:rFonts w:ascii="Cambria Math" w:hAnsi="Cambria Math"/>
                                            <w:sz w:val="24"/>
                                            <w:szCs w:val="24"/>
                                          </w:rPr>
                                          <m:t>O</m:t>
                                        </m:r>
                                        <m:ctrlPr>
                                          <w:rPr>
                                            <w:rStyle w:val="mopen"/>
                                            <w:rFonts w:ascii="Cambria Math" w:hAnsi="Cambria Math"/>
                                            <w:i/>
                                            <w:sz w:val="24"/>
                                            <w:szCs w:val="24"/>
                                          </w:rPr>
                                        </m:ctrlPr>
                                      </m:e>
                                      <m:sub>
                                        <m:r>
                                          <w:rPr>
                                            <w:rStyle w:val="mord"/>
                                            <w:rFonts w:ascii="Cambria Math" w:hAnsi="Cambria Math"/>
                                            <w:sz w:val="24"/>
                                            <w:szCs w:val="24"/>
                                          </w:rPr>
                                          <m:t>i</m:t>
                                        </m:r>
                                      </m:sub>
                                    </m:sSub>
                                    <m:r>
                                      <w:rPr>
                                        <w:rStyle w:val="vlist-s"/>
                                        <w:rFonts w:ascii="Cambria Math" w:hAnsi="Cambria Math"/>
                                        <w:sz w:val="24"/>
                                        <w:szCs w:val="24"/>
                                      </w:rPr>
                                      <m:t>​</m:t>
                                    </m:r>
                                    <m:r>
                                      <w:rPr>
                                        <w:rStyle w:val="mbin"/>
                                        <w:rFonts w:ascii="Cambria Math" w:hAnsi="Cambria Math"/>
                                        <w:sz w:val="24"/>
                                        <w:szCs w:val="24"/>
                                      </w:rPr>
                                      <m:t>-</m:t>
                                    </m:r>
                                    <m:sSub>
                                      <m:sSubPr>
                                        <m:ctrlPr>
                                          <w:rPr>
                                            <w:rStyle w:val="mord"/>
                                            <w:rFonts w:ascii="Cambria Math" w:hAnsi="Cambria Math"/>
                                            <w:i/>
                                            <w:sz w:val="24"/>
                                            <w:szCs w:val="24"/>
                                          </w:rPr>
                                        </m:ctrlPr>
                                      </m:sSubPr>
                                      <m:e>
                                        <m:r>
                                          <w:rPr>
                                            <w:rStyle w:val="mord"/>
                                            <w:rFonts w:ascii="Cambria Math" w:hAnsi="Cambria Math"/>
                                            <w:sz w:val="24"/>
                                            <w:szCs w:val="24"/>
                                          </w:rPr>
                                          <m:t>E</m:t>
                                        </m:r>
                                        <m:ctrlPr>
                                          <w:rPr>
                                            <w:rStyle w:val="mbin"/>
                                            <w:rFonts w:ascii="Cambria Math" w:hAnsi="Cambria Math"/>
                                            <w:i/>
                                            <w:sz w:val="24"/>
                                            <w:szCs w:val="24"/>
                                          </w:rPr>
                                        </m:ctrlPr>
                                      </m:e>
                                      <m:sub>
                                        <m:r>
                                          <w:rPr>
                                            <w:rStyle w:val="mord"/>
                                            <w:rFonts w:ascii="Cambria Math" w:hAnsi="Cambria Math"/>
                                            <w:sz w:val="24"/>
                                            <w:szCs w:val="24"/>
                                          </w:rPr>
                                          <m:t>i</m:t>
                                        </m:r>
                                      </m:sub>
                                    </m:sSub>
                                    <m:r>
                                      <w:rPr>
                                        <w:rStyle w:val="vlist-s"/>
                                        <w:rFonts w:ascii="Cambria Math" w:hAnsi="Cambria Math"/>
                                        <w:sz w:val="24"/>
                                        <w:szCs w:val="24"/>
                                      </w:rPr>
                                      <m:t>​</m:t>
                                    </m:r>
                                    <m:ctrlPr>
                                      <w:rPr>
                                        <w:rStyle w:val="mclose"/>
                                        <w:rFonts w:ascii="Cambria Math" w:hAnsi="Cambria Math"/>
                                        <w:i/>
                                        <w:sz w:val="24"/>
                                        <w:szCs w:val="24"/>
                                      </w:rPr>
                                    </m:ctrlPr>
                                  </m:e>
                                </m:d>
                                <m:ctrlPr>
                                  <w:rPr>
                                    <w:rFonts w:ascii="Cambria Math" w:eastAsia="Arial Unicode MS" w:hAnsi="Cambria Math"/>
                                    <w:i/>
                                    <w:sz w:val="24"/>
                                    <w:szCs w:val="24"/>
                                  </w:rPr>
                                </m:ctrlPr>
                              </m:e>
                              <m:sup>
                                <m:r>
                                  <w:rPr>
                                    <w:rStyle w:val="mord"/>
                                    <w:rFonts w:ascii="Cambria Math" w:hAnsi="Cambria Math"/>
                                    <w:sz w:val="24"/>
                                    <w:szCs w:val="24"/>
                                  </w:rPr>
                                  <m:t>2</m:t>
                                </m:r>
                              </m:sup>
                            </m:sSup>
                            <m:ctrlPr>
                              <w:rPr>
                                <w:rFonts w:ascii="Cambria Math" w:eastAsia="Arial Unicode MS" w:hAnsi="Cambria Math"/>
                                <w:i/>
                                <w:sz w:val="24"/>
                                <w:szCs w:val="24"/>
                              </w:rPr>
                            </m:ctrlPr>
                          </m:num>
                          <m:den>
                            <m:sSub>
                              <m:sSubPr>
                                <m:ctrlPr>
                                  <w:rPr>
                                    <w:rStyle w:val="mord"/>
                                    <w:rFonts w:ascii="Cambria Math" w:hAnsi="Cambria Math"/>
                                    <w:i/>
                                    <w:sz w:val="24"/>
                                    <w:szCs w:val="24"/>
                                  </w:rPr>
                                </m:ctrlPr>
                              </m:sSubPr>
                              <m:e>
                                <m:r>
                                  <w:rPr>
                                    <w:rStyle w:val="mord"/>
                                    <w:rFonts w:ascii="Cambria Math" w:hAnsi="Cambria Math"/>
                                    <w:sz w:val="24"/>
                                    <w:szCs w:val="24"/>
                                  </w:rPr>
                                  <m:t>E</m:t>
                                </m:r>
                                <m:ctrlPr>
                                  <w:rPr>
                                    <w:rStyle w:val="vlist-s"/>
                                    <w:rFonts w:ascii="Cambria Math" w:hAnsi="Cambria Math"/>
                                    <w:i/>
                                    <w:sz w:val="24"/>
                                    <w:szCs w:val="24"/>
                                  </w:rPr>
                                </m:ctrlPr>
                              </m:e>
                              <m:sub>
                                <m:r>
                                  <w:rPr>
                                    <w:rStyle w:val="mord"/>
                                    <w:rFonts w:ascii="Cambria Math" w:hAnsi="Cambria Math"/>
                                    <w:sz w:val="24"/>
                                    <w:szCs w:val="24"/>
                                  </w:rPr>
                                  <m:t>i</m:t>
                                </m:r>
                              </m:sub>
                            </m:sSub>
                            <m:r>
                              <m:rPr>
                                <m:sty m:val="p"/>
                              </m:rPr>
                              <w:rPr>
                                <w:rStyle w:val="vlist-s"/>
                                <w:rFonts w:ascii="Cambria Math" w:hAnsi="Cambria Math"/>
                                <w:sz w:val="24"/>
                                <w:szCs w:val="24"/>
                              </w:rPr>
                              <m:t>​</m:t>
                            </m:r>
                            <m:r>
                              <w:rPr>
                                <w:rFonts w:ascii="Cambria Math" w:eastAsia="Arial Unicode MS" w:hAnsi="Cambria Math"/>
                                <w:sz w:val="24"/>
                                <w:szCs w:val="24"/>
                              </w:rPr>
                              <m:t>​</m:t>
                            </m:r>
                          </m:den>
                        </m:f>
                      </m:e>
                    </m:nary>
                  </m:e>
                </m:d>
              </m:oMath>
            </m:oMathPara>
          </w:p>
          <w:p w14:paraId="527DDC80" w14:textId="77777777" w:rsidR="00C63CFC" w:rsidRPr="00263935" w:rsidRDefault="00F216FF">
            <w:pPr>
              <w:spacing w:before="240" w:after="240"/>
              <w:rPr>
                <w:rFonts w:eastAsia="Times New Roman"/>
                <w:color w:val="0D0D0D"/>
                <w:sz w:val="24"/>
                <w:szCs w:val="24"/>
                <w:highlight w:val="white"/>
              </w:rPr>
            </w:pPr>
            <m:oMathPara>
              <m:oMath>
                <m:sSub>
                  <m:sSubPr>
                    <m:ctrlPr>
                      <w:rPr>
                        <w:rStyle w:val="mord"/>
                        <w:rFonts w:ascii="Cambria Math" w:hAnsi="Cambria Math"/>
                        <w:sz w:val="24"/>
                        <w:szCs w:val="24"/>
                      </w:rPr>
                    </m:ctrlPr>
                  </m:sSubPr>
                  <m:e>
                    <m:r>
                      <m:rPr>
                        <m:sty m:val="p"/>
                      </m:rPr>
                      <w:rPr>
                        <w:rStyle w:val="mord"/>
                        <w:rFonts w:ascii="Cambria Math" w:hAnsi="Cambria Math"/>
                        <w:sz w:val="24"/>
                        <w:szCs w:val="24"/>
                      </w:rPr>
                      <m:t>T</m:t>
                    </m:r>
                  </m:e>
                  <m:sub>
                    <m:r>
                      <m:rPr>
                        <m:sty m:val="p"/>
                      </m:rPr>
                      <w:rPr>
                        <w:rStyle w:val="mord"/>
                        <w:rFonts w:ascii="Cambria Math" w:hAnsi="Cambria Math"/>
                        <w:sz w:val="24"/>
                        <w:szCs w:val="24"/>
                      </w:rPr>
                      <m:t>i</m:t>
                    </m:r>
                  </m:sub>
                </m:sSub>
                <m:r>
                  <m:rPr>
                    <m:sty m:val="p"/>
                  </m:rPr>
                  <w:rPr>
                    <w:rStyle w:val="vlist-s"/>
                    <w:rFonts w:ascii="Cambria Math" w:hAnsi="Cambria Math"/>
                    <w:sz w:val="24"/>
                    <w:szCs w:val="24"/>
                  </w:rPr>
                  <m:t>​</m:t>
                </m:r>
                <m:r>
                  <m:rPr>
                    <m:sty m:val="p"/>
                  </m:rPr>
                  <w:rPr>
                    <w:rStyle w:val="mrel"/>
                    <w:rFonts w:ascii="Cambria Math" w:hAnsi="Cambria Math"/>
                    <w:sz w:val="24"/>
                    <w:szCs w:val="24"/>
                  </w:rPr>
                  <m:t>=</m:t>
                </m:r>
                <m:sSub>
                  <m:sSubPr>
                    <m:ctrlPr>
                      <w:rPr>
                        <w:rStyle w:val="mord"/>
                        <w:rFonts w:ascii="Cambria Math" w:hAnsi="Cambria Math"/>
                        <w:sz w:val="24"/>
                        <w:szCs w:val="24"/>
                      </w:rPr>
                    </m:ctrlPr>
                  </m:sSubPr>
                  <m:e>
                    <m:r>
                      <m:rPr>
                        <m:sty m:val="p"/>
                      </m:rPr>
                      <w:rPr>
                        <w:rStyle w:val="mord"/>
                        <w:rFonts w:ascii="Cambria Math" w:hAnsi="Cambria Math"/>
                        <w:sz w:val="24"/>
                        <w:szCs w:val="24"/>
                      </w:rPr>
                      <m:t>β</m:t>
                    </m:r>
                  </m:e>
                  <m:sub>
                    <m:r>
                      <m:rPr>
                        <m:sty m:val="p"/>
                      </m:rPr>
                      <w:rPr>
                        <w:rStyle w:val="mord"/>
                        <w:rFonts w:ascii="Cambria Math" w:hAnsi="Cambria Math"/>
                        <w:sz w:val="24"/>
                        <w:szCs w:val="24"/>
                      </w:rPr>
                      <m:t>0</m:t>
                    </m:r>
                  </m:sub>
                </m:sSub>
                <m:r>
                  <m:rPr>
                    <m:sty m:val="p"/>
                  </m:rPr>
                  <w:rPr>
                    <w:rStyle w:val="vlist-s"/>
                    <w:rFonts w:ascii="Cambria Math" w:hAnsi="Cambria Math"/>
                    <w:sz w:val="24"/>
                    <w:szCs w:val="24"/>
                  </w:rPr>
                  <m:t>​</m:t>
                </m:r>
                <m:r>
                  <m:rPr>
                    <m:sty m:val="p"/>
                  </m:rPr>
                  <w:rPr>
                    <w:rStyle w:val="mbin"/>
                    <w:rFonts w:ascii="Cambria Math" w:hAnsi="Cambria Math"/>
                    <w:sz w:val="24"/>
                    <w:szCs w:val="24"/>
                  </w:rPr>
                  <m:t>+</m:t>
                </m:r>
                <m:sSub>
                  <m:sSubPr>
                    <m:ctrlPr>
                      <w:rPr>
                        <w:rStyle w:val="mord"/>
                        <w:rFonts w:ascii="Cambria Math" w:hAnsi="Cambria Math"/>
                        <w:sz w:val="24"/>
                        <w:szCs w:val="24"/>
                      </w:rPr>
                    </m:ctrlPr>
                  </m:sSubPr>
                  <m:e>
                    <m:r>
                      <m:rPr>
                        <m:sty m:val="p"/>
                      </m:rPr>
                      <w:rPr>
                        <w:rStyle w:val="mord"/>
                        <w:rFonts w:ascii="Cambria Math" w:hAnsi="Cambria Math"/>
                        <w:sz w:val="24"/>
                        <w:szCs w:val="24"/>
                      </w:rPr>
                      <m:t>β</m:t>
                    </m:r>
                  </m:e>
                  <m:sub>
                    <m:r>
                      <m:rPr>
                        <m:sty m:val="p"/>
                      </m:rPr>
                      <w:rPr>
                        <w:rStyle w:val="mord"/>
                        <w:rFonts w:ascii="Cambria Math" w:hAnsi="Cambria Math"/>
                        <w:sz w:val="24"/>
                        <w:szCs w:val="24"/>
                      </w:rPr>
                      <m:t>1</m:t>
                    </m:r>
                  </m:sub>
                </m:sSub>
                <m:r>
                  <m:rPr>
                    <m:sty m:val="p"/>
                  </m:rPr>
                  <w:rPr>
                    <w:rStyle w:val="vlist-s"/>
                    <w:rFonts w:ascii="Cambria Math" w:hAnsi="Cambria Math"/>
                    <w:sz w:val="24"/>
                    <w:szCs w:val="24"/>
                  </w:rPr>
                  <m:t>​</m:t>
                </m:r>
                <m:sSub>
                  <m:sSubPr>
                    <m:ctrlPr>
                      <w:rPr>
                        <w:rStyle w:val="mord"/>
                        <w:rFonts w:ascii="Cambria Math" w:hAnsi="Cambria Math"/>
                        <w:sz w:val="24"/>
                        <w:szCs w:val="24"/>
                      </w:rPr>
                    </m:ctrlPr>
                  </m:sSubPr>
                  <m:e>
                    <m:r>
                      <m:rPr>
                        <m:sty m:val="p"/>
                      </m:rPr>
                      <w:rPr>
                        <w:rStyle w:val="mord"/>
                        <w:rFonts w:ascii="Cambria Math" w:hAnsi="Cambria Math"/>
                        <w:sz w:val="24"/>
                        <w:szCs w:val="24"/>
                      </w:rPr>
                      <m:t>P</m:t>
                    </m:r>
                  </m:e>
                  <m:sub>
                    <m:r>
                      <m:rPr>
                        <m:sty m:val="p"/>
                      </m:rPr>
                      <w:rPr>
                        <w:rStyle w:val="mord"/>
                        <w:rFonts w:ascii="Cambria Math" w:hAnsi="Cambria Math"/>
                        <w:sz w:val="24"/>
                        <w:szCs w:val="24"/>
                      </w:rPr>
                      <m:t>i</m:t>
                    </m:r>
                  </m:sub>
                </m:sSub>
                <m:r>
                  <m:rPr>
                    <m:sty m:val="p"/>
                  </m:rPr>
                  <w:rPr>
                    <w:rStyle w:val="vlist-s"/>
                    <w:rFonts w:ascii="Cambria Math" w:hAnsi="Cambria Math"/>
                    <w:sz w:val="24"/>
                    <w:szCs w:val="24"/>
                  </w:rPr>
                  <m:t>​</m:t>
                </m:r>
                <m:r>
                  <m:rPr>
                    <m:sty m:val="p"/>
                  </m:rPr>
                  <w:rPr>
                    <w:rStyle w:val="mbin"/>
                    <w:rFonts w:ascii="Cambria Math" w:hAnsi="Cambria Math"/>
                    <w:sz w:val="24"/>
                    <w:szCs w:val="24"/>
                  </w:rPr>
                  <m:t>+</m:t>
                </m:r>
                <m:sSub>
                  <m:sSubPr>
                    <m:ctrlPr>
                      <w:rPr>
                        <w:rStyle w:val="mord"/>
                        <w:rFonts w:ascii="Cambria Math" w:hAnsi="Cambria Math"/>
                        <w:sz w:val="24"/>
                        <w:szCs w:val="24"/>
                      </w:rPr>
                    </m:ctrlPr>
                  </m:sSubPr>
                  <m:e>
                    <m:r>
                      <m:rPr>
                        <m:sty m:val="p"/>
                      </m:rPr>
                      <w:rPr>
                        <w:rStyle w:val="mord"/>
                        <w:rFonts w:ascii="Cambria Math" w:hAnsi="Cambria Math"/>
                        <w:sz w:val="24"/>
                        <w:szCs w:val="24"/>
                      </w:rPr>
                      <m:t>β</m:t>
                    </m:r>
                  </m:e>
                  <m:sub>
                    <m:r>
                      <m:rPr>
                        <m:sty m:val="p"/>
                      </m:rPr>
                      <w:rPr>
                        <w:rStyle w:val="mord"/>
                        <w:rFonts w:ascii="Cambria Math" w:hAnsi="Cambria Math"/>
                        <w:sz w:val="24"/>
                        <w:szCs w:val="24"/>
                      </w:rPr>
                      <m:t>2</m:t>
                    </m:r>
                  </m:sub>
                </m:sSub>
                <m:r>
                  <m:rPr>
                    <m:sty m:val="p"/>
                  </m:rPr>
                  <w:rPr>
                    <w:rStyle w:val="vlist-s"/>
                    <w:rFonts w:ascii="Cambria Math" w:hAnsi="Cambria Math"/>
                    <w:sz w:val="24"/>
                    <w:szCs w:val="24"/>
                  </w:rPr>
                  <m:t>​</m:t>
                </m:r>
                <m:sSub>
                  <m:sSubPr>
                    <m:ctrlPr>
                      <w:rPr>
                        <w:rStyle w:val="mord"/>
                        <w:rFonts w:ascii="Cambria Math" w:hAnsi="Cambria Math"/>
                        <w:sz w:val="24"/>
                        <w:szCs w:val="24"/>
                      </w:rPr>
                    </m:ctrlPr>
                  </m:sSubPr>
                  <m:e>
                    <m:r>
                      <m:rPr>
                        <m:sty m:val="p"/>
                      </m:rPr>
                      <w:rPr>
                        <w:rStyle w:val="mord"/>
                        <w:rFonts w:ascii="Cambria Math" w:hAnsi="Cambria Math"/>
                        <w:sz w:val="24"/>
                        <w:szCs w:val="24"/>
                      </w:rPr>
                      <m:t>G</m:t>
                    </m:r>
                  </m:e>
                  <m:sub>
                    <m:r>
                      <m:rPr>
                        <m:sty m:val="p"/>
                      </m:rPr>
                      <w:rPr>
                        <w:rStyle w:val="mord"/>
                        <w:rFonts w:ascii="Cambria Math" w:hAnsi="Cambria Math"/>
                        <w:sz w:val="24"/>
                        <w:szCs w:val="24"/>
                      </w:rPr>
                      <m:t>i</m:t>
                    </m:r>
                  </m:sub>
                </m:sSub>
                <m:r>
                  <m:rPr>
                    <m:sty m:val="p"/>
                  </m:rPr>
                  <w:rPr>
                    <w:rStyle w:val="vlist-s"/>
                    <w:rFonts w:ascii="Cambria Math" w:hAnsi="Cambria Math"/>
                    <w:sz w:val="24"/>
                    <w:szCs w:val="24"/>
                  </w:rPr>
                  <m:t>​</m:t>
                </m:r>
                <m:r>
                  <m:rPr>
                    <m:sty m:val="p"/>
                  </m:rPr>
                  <w:rPr>
                    <w:rStyle w:val="mbin"/>
                    <w:rFonts w:ascii="Cambria Math" w:hAnsi="Cambria Math"/>
                    <w:sz w:val="24"/>
                    <w:szCs w:val="24"/>
                  </w:rPr>
                  <m:t>+</m:t>
                </m:r>
                <m:sSub>
                  <m:sSubPr>
                    <m:ctrlPr>
                      <w:rPr>
                        <w:rStyle w:val="mord"/>
                        <w:rFonts w:ascii="Cambria Math" w:hAnsi="Cambria Math"/>
                        <w:sz w:val="24"/>
                        <w:szCs w:val="24"/>
                      </w:rPr>
                    </m:ctrlPr>
                  </m:sSubPr>
                  <m:e>
                    <m:r>
                      <m:rPr>
                        <m:sty m:val="p"/>
                      </m:rPr>
                      <w:rPr>
                        <w:rStyle w:val="mord"/>
                        <w:rFonts w:ascii="Cambria Math" w:hAnsi="Cambria Math"/>
                        <w:sz w:val="24"/>
                        <w:szCs w:val="24"/>
                      </w:rPr>
                      <m:t>ϵ</m:t>
                    </m:r>
                  </m:e>
                  <m:sub>
                    <m:r>
                      <m:rPr>
                        <m:sty m:val="p"/>
                      </m:rPr>
                      <w:rPr>
                        <w:rStyle w:val="mord"/>
                        <w:rFonts w:ascii="Cambria Math" w:hAnsi="Cambria Math"/>
                        <w:sz w:val="24"/>
                        <w:szCs w:val="24"/>
                      </w:rPr>
                      <m:t>i</m:t>
                    </m:r>
                  </m:sub>
                </m:sSub>
                <m:r>
                  <m:rPr>
                    <m:sty m:val="p"/>
                  </m:rPr>
                  <w:rPr>
                    <w:rStyle w:val="vlist-s"/>
                    <w:rFonts w:ascii="Cambria Math" w:hAnsi="Cambria Math"/>
                    <w:sz w:val="24"/>
                    <w:szCs w:val="24"/>
                  </w:rPr>
                  <m:t>​</m:t>
                </m:r>
              </m:oMath>
            </m:oMathPara>
          </w:p>
        </w:tc>
      </w:tr>
      <w:tr w:rsidR="00C63CFC" w:rsidRPr="00263935" w14:paraId="7A588CBA" w14:textId="77777777" w:rsidTr="00D47BDE">
        <w:trPr>
          <w:trHeight w:val="770"/>
        </w:trPr>
        <w:tc>
          <w:tcPr>
            <w:tcW w:w="1760" w:type="dxa"/>
          </w:tcPr>
          <w:p w14:paraId="0E9FD773" w14:textId="77777777" w:rsidR="00C63CFC" w:rsidRPr="00263935" w:rsidRDefault="0043080A">
            <w:pPr>
              <w:spacing w:before="240" w:after="240"/>
              <w:rPr>
                <w:rFonts w:eastAsia="Times New Roman"/>
                <w:color w:val="0D0D0D"/>
                <w:sz w:val="24"/>
                <w:szCs w:val="24"/>
                <w:highlight w:val="white"/>
              </w:rPr>
            </w:pPr>
            <w:r w:rsidRPr="00263935">
              <w:rPr>
                <w:rFonts w:eastAsia="Times New Roman"/>
                <w:color w:val="0D0D0D"/>
                <w:sz w:val="24"/>
                <w:szCs w:val="24"/>
                <w:highlight w:val="white"/>
              </w:rPr>
              <w:t>Evaluate Technical Feasibility of ZKPs</w:t>
            </w:r>
          </w:p>
        </w:tc>
        <w:tc>
          <w:tcPr>
            <w:tcW w:w="1850" w:type="dxa"/>
          </w:tcPr>
          <w:p w14:paraId="25190682" w14:textId="77777777" w:rsidR="00C63CFC" w:rsidRPr="00263935" w:rsidRDefault="0043080A">
            <w:pPr>
              <w:spacing w:before="240" w:after="240"/>
              <w:rPr>
                <w:rFonts w:eastAsia="Times New Roman"/>
                <w:color w:val="0D0D0D"/>
                <w:sz w:val="24"/>
                <w:szCs w:val="24"/>
                <w:highlight w:val="white"/>
              </w:rPr>
            </w:pPr>
            <w:r w:rsidRPr="00263935">
              <w:rPr>
                <w:rFonts w:eastAsia="Times New Roman"/>
                <w:color w:val="0D0D0D"/>
                <w:sz w:val="24"/>
                <w:szCs w:val="24"/>
                <w:highlight w:val="white"/>
              </w:rPr>
              <w:t>StarkNet &amp; zkSync Blockchain Rollup Transactions</w:t>
            </w:r>
          </w:p>
        </w:tc>
        <w:tc>
          <w:tcPr>
            <w:tcW w:w="2165" w:type="dxa"/>
          </w:tcPr>
          <w:p w14:paraId="4C1B77C0" w14:textId="77777777" w:rsidR="00C63CFC" w:rsidRPr="00263935" w:rsidRDefault="0043080A">
            <w:pPr>
              <w:spacing w:before="240" w:after="240"/>
              <w:rPr>
                <w:rFonts w:eastAsia="Times New Roman"/>
                <w:color w:val="0D0D0D"/>
                <w:sz w:val="24"/>
                <w:szCs w:val="24"/>
                <w:highlight w:val="white"/>
              </w:rPr>
            </w:pPr>
            <w:r w:rsidRPr="00263935">
              <w:rPr>
                <w:rFonts w:eastAsia="Times New Roman"/>
                <w:color w:val="0D0D0D"/>
                <w:sz w:val="24"/>
                <w:szCs w:val="24"/>
                <w:highlight w:val="white"/>
              </w:rPr>
              <w:t>Transaction Throughput Benchmarking (M/M/1 Model), ARIMA Forecasting</w:t>
            </w:r>
          </w:p>
        </w:tc>
        <w:tc>
          <w:tcPr>
            <w:tcW w:w="3770" w:type="dxa"/>
          </w:tcPr>
          <w:p w14:paraId="54CDE860" w14:textId="77777777" w:rsidR="00C63CFC" w:rsidRPr="00263935" w:rsidRDefault="00F216FF">
            <w:pPr>
              <w:spacing w:before="240" w:after="240"/>
              <w:rPr>
                <w:rFonts w:eastAsia="Times New Roman"/>
                <w:color w:val="0D0D0D"/>
                <w:sz w:val="24"/>
                <w:szCs w:val="24"/>
                <w:highlight w:val="white"/>
              </w:rPr>
            </w:pPr>
            <m:oMathPara>
              <m:oMath>
                <m:sSub>
                  <m:sSubPr>
                    <m:ctrlPr>
                      <w:rPr>
                        <w:rStyle w:val="mord"/>
                        <w:rFonts w:ascii="Cambria Math" w:hAnsi="Cambria Math"/>
                        <w:sz w:val="24"/>
                        <w:szCs w:val="24"/>
                      </w:rPr>
                    </m:ctrlPr>
                  </m:sSubPr>
                  <m:e>
                    <m:r>
                      <m:rPr>
                        <m:sty m:val="p"/>
                      </m:rPr>
                      <w:rPr>
                        <w:rStyle w:val="mord"/>
                        <w:rFonts w:ascii="Cambria Math" w:hAnsi="Cambria Math"/>
                        <w:sz w:val="24"/>
                        <w:szCs w:val="24"/>
                      </w:rPr>
                      <m:t>P</m:t>
                    </m:r>
                  </m:e>
                  <m:sub>
                    <m:r>
                      <m:rPr>
                        <m:sty m:val="p"/>
                      </m:rPr>
                      <w:rPr>
                        <w:rStyle w:val="mord"/>
                        <w:rFonts w:ascii="Cambria Math" w:hAnsi="Cambria Math"/>
                        <w:sz w:val="24"/>
                        <w:szCs w:val="24"/>
                      </w:rPr>
                      <m:t>n</m:t>
                    </m:r>
                  </m:sub>
                </m:sSub>
                <m:r>
                  <m:rPr>
                    <m:sty m:val="p"/>
                  </m:rPr>
                  <w:rPr>
                    <w:rStyle w:val="vlist-s"/>
                    <w:rFonts w:ascii="Cambria Math" w:hAnsi="Cambria Math"/>
                    <w:sz w:val="24"/>
                    <w:szCs w:val="24"/>
                  </w:rPr>
                  <m:t>​</m:t>
                </m:r>
                <m:r>
                  <m:rPr>
                    <m:sty m:val="p"/>
                  </m:rPr>
                  <w:rPr>
                    <w:rStyle w:val="mrel"/>
                    <w:rFonts w:ascii="Cambria Math" w:hAnsi="Cambria Math"/>
                    <w:sz w:val="24"/>
                    <w:szCs w:val="24"/>
                  </w:rPr>
                  <m:t>=</m:t>
                </m:r>
                <m:d>
                  <m:dPr>
                    <m:ctrlPr>
                      <w:rPr>
                        <w:rStyle w:val="mopen"/>
                        <w:rFonts w:ascii="Cambria Math" w:hAnsi="Cambria Math"/>
                        <w:sz w:val="24"/>
                        <w:szCs w:val="24"/>
                      </w:rPr>
                    </m:ctrlPr>
                  </m:dPr>
                  <m:e>
                    <m:r>
                      <m:rPr>
                        <m:sty m:val="p"/>
                      </m:rPr>
                      <w:rPr>
                        <w:rStyle w:val="mord"/>
                        <w:rFonts w:ascii="Cambria Math" w:hAnsi="Cambria Math"/>
                        <w:sz w:val="24"/>
                        <w:szCs w:val="24"/>
                      </w:rPr>
                      <m:t>1</m:t>
                    </m:r>
                    <m:r>
                      <m:rPr>
                        <m:sty m:val="p"/>
                      </m:rPr>
                      <w:rPr>
                        <w:rStyle w:val="mbin"/>
                        <w:rFonts w:ascii="Cambria Math" w:hAnsi="Cambria Math"/>
                        <w:sz w:val="24"/>
                        <w:szCs w:val="24"/>
                      </w:rPr>
                      <m:t>-</m:t>
                    </m:r>
                    <m:r>
                      <m:rPr>
                        <m:sty m:val="p"/>
                      </m:rPr>
                      <w:rPr>
                        <w:rStyle w:val="mord"/>
                        <w:rFonts w:ascii="Cambria Math" w:hAnsi="Cambria Math"/>
                        <w:sz w:val="24"/>
                        <w:szCs w:val="24"/>
                      </w:rPr>
                      <m:t>ρ</m:t>
                    </m:r>
                    <m:ctrlPr>
                      <w:rPr>
                        <w:rStyle w:val="mclose"/>
                        <w:rFonts w:ascii="Cambria Math" w:hAnsi="Cambria Math"/>
                        <w:sz w:val="24"/>
                        <w:szCs w:val="24"/>
                      </w:rPr>
                    </m:ctrlPr>
                  </m:e>
                </m:d>
                <m:sSup>
                  <m:sSupPr>
                    <m:ctrlPr>
                      <w:rPr>
                        <w:rStyle w:val="mord"/>
                        <w:rFonts w:ascii="Cambria Math" w:hAnsi="Cambria Math"/>
                        <w:sz w:val="24"/>
                        <w:szCs w:val="24"/>
                      </w:rPr>
                    </m:ctrlPr>
                  </m:sSupPr>
                  <m:e>
                    <m:r>
                      <m:rPr>
                        <m:sty m:val="p"/>
                      </m:rPr>
                      <w:rPr>
                        <w:rStyle w:val="mord"/>
                        <w:rFonts w:ascii="Cambria Math" w:hAnsi="Cambria Math"/>
                        <w:sz w:val="24"/>
                        <w:szCs w:val="24"/>
                      </w:rPr>
                      <m:t>ρ</m:t>
                    </m:r>
                  </m:e>
                  <m:sup>
                    <m:r>
                      <m:rPr>
                        <m:sty m:val="p"/>
                      </m:rPr>
                      <w:rPr>
                        <w:rStyle w:val="mord"/>
                        <w:rFonts w:ascii="Cambria Math" w:hAnsi="Cambria Math"/>
                        <w:sz w:val="24"/>
                        <w:szCs w:val="24"/>
                      </w:rPr>
                      <m:t>n</m:t>
                    </m:r>
                  </m:sup>
                </m:sSup>
                <m:r>
                  <m:rPr>
                    <m:sty m:val="p"/>
                  </m:rPr>
                  <w:rPr>
                    <w:rFonts w:ascii="Cambria Math" w:hAnsi="Cambria Math"/>
                    <w:sz w:val="24"/>
                    <w:szCs w:val="24"/>
                  </w:rPr>
                  <m:t xml:space="preserve">, </m:t>
                </m:r>
                <m:r>
                  <m:rPr>
                    <m:sty m:val="p"/>
                  </m:rPr>
                  <w:rPr>
                    <w:rStyle w:val="katex-mathml"/>
                    <w:rFonts w:ascii="Cambria Math" w:hAnsi="Cambria Math"/>
                    <w:sz w:val="24"/>
                    <w:szCs w:val="24"/>
                  </w:rPr>
                  <m:t>ρ=</m:t>
                </m:r>
                <m:f>
                  <m:fPr>
                    <m:ctrlPr>
                      <w:rPr>
                        <w:rStyle w:val="katex-mathml"/>
                        <w:rFonts w:ascii="Cambria Math" w:hAnsi="Cambria Math"/>
                        <w:sz w:val="24"/>
                        <w:szCs w:val="24"/>
                      </w:rPr>
                    </m:ctrlPr>
                  </m:fPr>
                  <m:num>
                    <m:r>
                      <m:rPr>
                        <m:sty m:val="p"/>
                      </m:rPr>
                      <w:rPr>
                        <w:rStyle w:val="katex-mathml"/>
                        <w:rFonts w:ascii="Cambria Math" w:hAnsi="Cambria Math"/>
                        <w:sz w:val="24"/>
                        <w:szCs w:val="24"/>
                      </w:rPr>
                      <m:t>λ</m:t>
                    </m:r>
                  </m:num>
                  <m:den>
                    <m:r>
                      <m:rPr>
                        <m:sty m:val="p"/>
                      </m:rPr>
                      <w:rPr>
                        <w:rStyle w:val="katex-mathml"/>
                        <w:rFonts w:ascii="Cambria Math" w:hAnsi="Cambria Math"/>
                        <w:sz w:val="24"/>
                        <w:szCs w:val="24"/>
                      </w:rPr>
                      <m:t>μ</m:t>
                    </m:r>
                  </m:den>
                </m:f>
              </m:oMath>
            </m:oMathPara>
          </w:p>
        </w:tc>
      </w:tr>
      <w:tr w:rsidR="00C63CFC" w:rsidRPr="00263935" w14:paraId="14317D9E" w14:textId="77777777" w:rsidTr="00D47BDE">
        <w:trPr>
          <w:trHeight w:val="950"/>
        </w:trPr>
        <w:tc>
          <w:tcPr>
            <w:tcW w:w="1760" w:type="dxa"/>
          </w:tcPr>
          <w:p w14:paraId="321BC451" w14:textId="77777777" w:rsidR="00C63CFC" w:rsidRPr="00263935" w:rsidRDefault="0043080A">
            <w:pPr>
              <w:spacing w:before="240" w:after="240"/>
              <w:rPr>
                <w:rFonts w:eastAsia="Times New Roman"/>
                <w:color w:val="0D0D0D"/>
                <w:sz w:val="24"/>
                <w:szCs w:val="24"/>
                <w:highlight w:val="white"/>
              </w:rPr>
            </w:pPr>
            <w:r w:rsidRPr="00263935">
              <w:rPr>
                <w:rFonts w:eastAsia="Times New Roman"/>
                <w:color w:val="0D0D0D"/>
                <w:sz w:val="24"/>
                <w:szCs w:val="24"/>
                <w:highlight w:val="white"/>
              </w:rPr>
              <w:t>Explore Adoption Challenges &amp; Regulatory Barriers</w:t>
            </w:r>
          </w:p>
        </w:tc>
        <w:tc>
          <w:tcPr>
            <w:tcW w:w="1850" w:type="dxa"/>
          </w:tcPr>
          <w:p w14:paraId="6E471DEE" w14:textId="77777777" w:rsidR="00C63CFC" w:rsidRPr="00263935" w:rsidRDefault="0043080A">
            <w:pPr>
              <w:spacing w:before="240" w:after="240"/>
              <w:rPr>
                <w:rFonts w:eastAsia="Times New Roman"/>
                <w:color w:val="0D0D0D"/>
                <w:sz w:val="24"/>
                <w:szCs w:val="24"/>
                <w:highlight w:val="white"/>
              </w:rPr>
            </w:pPr>
            <w:r w:rsidRPr="00263935">
              <w:rPr>
                <w:rFonts w:eastAsia="Times New Roman"/>
                <w:color w:val="0D0D0D"/>
                <w:sz w:val="24"/>
                <w:szCs w:val="24"/>
                <w:highlight w:val="white"/>
              </w:rPr>
              <w:t>Financial Conduct Authority (FCA) Cryptoasset Registration Data</w:t>
            </w:r>
          </w:p>
        </w:tc>
        <w:tc>
          <w:tcPr>
            <w:tcW w:w="2165" w:type="dxa"/>
          </w:tcPr>
          <w:p w14:paraId="395430BE" w14:textId="77777777" w:rsidR="00C63CFC" w:rsidRPr="00263935" w:rsidRDefault="0043080A">
            <w:pPr>
              <w:spacing w:before="240" w:after="240"/>
              <w:rPr>
                <w:rFonts w:eastAsia="Times New Roman"/>
                <w:color w:val="0D0D0D"/>
                <w:sz w:val="24"/>
                <w:szCs w:val="24"/>
                <w:highlight w:val="white"/>
              </w:rPr>
            </w:pPr>
            <w:r w:rsidRPr="00263935">
              <w:rPr>
                <w:rFonts w:eastAsia="Times New Roman"/>
                <w:color w:val="0D0D0D"/>
                <w:sz w:val="24"/>
                <w:szCs w:val="24"/>
                <w:highlight w:val="white"/>
              </w:rPr>
              <w:t>Logistic Regression on Compliance &amp; Approval Probabilities</w:t>
            </w:r>
          </w:p>
        </w:tc>
        <w:tc>
          <w:tcPr>
            <w:tcW w:w="3770" w:type="dxa"/>
          </w:tcPr>
          <w:p w14:paraId="6DDEB779" w14:textId="77777777" w:rsidR="00C63CFC" w:rsidRPr="00263935" w:rsidRDefault="00F216FF">
            <w:pPr>
              <w:spacing w:before="240" w:after="240"/>
              <w:rPr>
                <w:rFonts w:eastAsia="Times New Roman"/>
                <w:color w:val="0D0D0D"/>
                <w:sz w:val="24"/>
                <w:szCs w:val="24"/>
                <w:highlight w:val="white"/>
              </w:rPr>
            </w:pPr>
            <m:oMathPara>
              <m:oMath>
                <m:func>
                  <m:funcPr>
                    <m:ctrlPr>
                      <w:rPr>
                        <w:rStyle w:val="mop"/>
                        <w:rFonts w:ascii="Cambria Math" w:hAnsi="Cambria Math"/>
                        <w:sz w:val="24"/>
                        <w:szCs w:val="24"/>
                      </w:rPr>
                    </m:ctrlPr>
                  </m:funcPr>
                  <m:fName>
                    <m:r>
                      <m:rPr>
                        <m:sty m:val="p"/>
                      </m:rPr>
                      <w:rPr>
                        <w:rStyle w:val="mop"/>
                        <w:rFonts w:ascii="Cambria Math" w:hAnsi="Cambria Math"/>
                        <w:sz w:val="24"/>
                        <w:szCs w:val="24"/>
                      </w:rPr>
                      <m:t>log</m:t>
                    </m:r>
                  </m:fName>
                  <m:e>
                    <m:d>
                      <m:dPr>
                        <m:ctrlPr>
                          <w:rPr>
                            <w:rStyle w:val="delimsizing"/>
                            <w:rFonts w:ascii="Cambria Math" w:hAnsi="Cambria Math"/>
                            <w:sz w:val="24"/>
                            <w:szCs w:val="24"/>
                          </w:rPr>
                        </m:ctrlPr>
                      </m:dPr>
                      <m:e>
                        <m:f>
                          <m:fPr>
                            <m:ctrlPr>
                              <w:rPr>
                                <w:rStyle w:val="mord"/>
                                <w:rFonts w:ascii="Cambria Math" w:hAnsi="Cambria Math"/>
                                <w:sz w:val="24"/>
                                <w:szCs w:val="24"/>
                              </w:rPr>
                            </m:ctrlPr>
                          </m:fPr>
                          <m:num>
                            <m:r>
                              <m:rPr>
                                <m:sty m:val="p"/>
                              </m:rPr>
                              <w:rPr>
                                <w:rStyle w:val="mord"/>
                                <w:rFonts w:ascii="Cambria Math" w:hAnsi="Cambria Math"/>
                                <w:sz w:val="24"/>
                                <w:szCs w:val="24"/>
                              </w:rPr>
                              <m:t>P</m:t>
                            </m:r>
                          </m:num>
                          <m:den>
                            <m:r>
                              <m:rPr>
                                <m:sty m:val="p"/>
                              </m:rPr>
                              <w:rPr>
                                <w:rStyle w:val="mord"/>
                                <w:rFonts w:ascii="Cambria Math" w:hAnsi="Cambria Math"/>
                                <w:sz w:val="24"/>
                                <w:szCs w:val="24"/>
                              </w:rPr>
                              <m:t>1</m:t>
                            </m:r>
                            <m:r>
                              <m:rPr>
                                <m:sty m:val="p"/>
                              </m:rPr>
                              <w:rPr>
                                <w:rStyle w:val="mbin"/>
                                <w:rFonts w:ascii="Cambria Math" w:hAnsi="Cambria Math"/>
                                <w:sz w:val="24"/>
                                <w:szCs w:val="24"/>
                              </w:rPr>
                              <m:t>-</m:t>
                            </m:r>
                            <m:r>
                              <m:rPr>
                                <m:sty m:val="p"/>
                              </m:rPr>
                              <w:rPr>
                                <w:rStyle w:val="mord"/>
                                <w:rFonts w:ascii="Cambria Math" w:hAnsi="Cambria Math"/>
                                <w:sz w:val="24"/>
                                <w:szCs w:val="24"/>
                              </w:rPr>
                              <m:t>P</m:t>
                            </m:r>
                          </m:den>
                        </m:f>
                        <m:r>
                          <m:rPr>
                            <m:sty m:val="p"/>
                          </m:rPr>
                          <w:rPr>
                            <w:rStyle w:val="vlist-s"/>
                            <w:rFonts w:ascii="Cambria Math" w:hAnsi="Cambria Math"/>
                            <w:sz w:val="24"/>
                            <w:szCs w:val="24"/>
                          </w:rPr>
                          <m:t>​</m:t>
                        </m:r>
                      </m:e>
                    </m:d>
                  </m:e>
                </m:func>
                <m:r>
                  <m:rPr>
                    <m:sty m:val="p"/>
                  </m:rPr>
                  <w:rPr>
                    <w:rStyle w:val="mrel"/>
                    <w:rFonts w:ascii="Cambria Math" w:hAnsi="Cambria Math"/>
                    <w:sz w:val="24"/>
                    <w:szCs w:val="24"/>
                  </w:rPr>
                  <m:t>=</m:t>
                </m:r>
                <m:r>
                  <m:rPr>
                    <m:sty m:val="p"/>
                  </m:rPr>
                  <w:rPr>
                    <w:rStyle w:val="mord"/>
                    <w:rFonts w:ascii="Cambria Math" w:hAnsi="Cambria Math"/>
                    <w:sz w:val="24"/>
                    <w:szCs w:val="24"/>
                  </w:rPr>
                  <m:t>α</m:t>
                </m:r>
                <m:r>
                  <m:rPr>
                    <m:sty m:val="p"/>
                  </m:rPr>
                  <w:rPr>
                    <w:rStyle w:val="mbin"/>
                    <w:rFonts w:ascii="Cambria Math" w:hAnsi="Cambria Math"/>
                    <w:sz w:val="24"/>
                    <w:szCs w:val="24"/>
                  </w:rPr>
                  <m:t>+</m:t>
                </m:r>
                <m:sSub>
                  <m:sSubPr>
                    <m:ctrlPr>
                      <w:rPr>
                        <w:rStyle w:val="mord"/>
                        <w:rFonts w:ascii="Cambria Math" w:hAnsi="Cambria Math"/>
                        <w:sz w:val="24"/>
                        <w:szCs w:val="24"/>
                      </w:rPr>
                    </m:ctrlPr>
                  </m:sSubPr>
                  <m:e>
                    <m:r>
                      <m:rPr>
                        <m:sty m:val="p"/>
                      </m:rPr>
                      <w:rPr>
                        <w:rStyle w:val="mord"/>
                        <w:rFonts w:ascii="Cambria Math" w:hAnsi="Cambria Math"/>
                        <w:sz w:val="24"/>
                        <w:szCs w:val="24"/>
                      </w:rPr>
                      <m:t>β</m:t>
                    </m:r>
                  </m:e>
                  <m:sub>
                    <m:r>
                      <m:rPr>
                        <m:sty m:val="p"/>
                      </m:rPr>
                      <w:rPr>
                        <w:rStyle w:val="mord"/>
                        <w:rFonts w:ascii="Cambria Math" w:hAnsi="Cambria Math"/>
                        <w:sz w:val="24"/>
                        <w:szCs w:val="24"/>
                      </w:rPr>
                      <m:t>1</m:t>
                    </m:r>
                  </m:sub>
                </m:sSub>
                <m:r>
                  <m:rPr>
                    <m:sty m:val="p"/>
                  </m:rPr>
                  <w:rPr>
                    <w:rStyle w:val="vlist-s"/>
                    <w:rFonts w:ascii="Cambria Math" w:hAnsi="Cambria Math"/>
                    <w:sz w:val="24"/>
                    <w:szCs w:val="24"/>
                  </w:rPr>
                  <m:t>​</m:t>
                </m:r>
                <m:sSub>
                  <m:sSubPr>
                    <m:ctrlPr>
                      <w:rPr>
                        <w:rStyle w:val="mord"/>
                        <w:rFonts w:ascii="Cambria Math" w:hAnsi="Cambria Math"/>
                        <w:sz w:val="24"/>
                        <w:szCs w:val="24"/>
                      </w:rPr>
                    </m:ctrlPr>
                  </m:sSubPr>
                  <m:e>
                    <m:r>
                      <m:rPr>
                        <m:sty m:val="p"/>
                      </m:rPr>
                      <w:rPr>
                        <w:rStyle w:val="mord"/>
                        <w:rFonts w:ascii="Cambria Math" w:hAnsi="Cambria Math"/>
                        <w:sz w:val="24"/>
                        <w:szCs w:val="24"/>
                      </w:rPr>
                      <m:t>C</m:t>
                    </m:r>
                  </m:e>
                  <m:sub>
                    <m:r>
                      <m:rPr>
                        <m:sty m:val="p"/>
                      </m:rPr>
                      <w:rPr>
                        <w:rStyle w:val="mord"/>
                        <w:rFonts w:ascii="Cambria Math" w:hAnsi="Cambria Math"/>
                        <w:sz w:val="24"/>
                        <w:szCs w:val="24"/>
                      </w:rPr>
                      <m:t>i</m:t>
                    </m:r>
                  </m:sub>
                </m:sSub>
                <m:r>
                  <m:rPr>
                    <m:sty m:val="p"/>
                  </m:rPr>
                  <w:rPr>
                    <w:rStyle w:val="vlist-s"/>
                    <w:rFonts w:ascii="Cambria Math" w:hAnsi="Cambria Math"/>
                    <w:sz w:val="24"/>
                    <w:szCs w:val="24"/>
                  </w:rPr>
                  <m:t>​</m:t>
                </m:r>
                <m:r>
                  <m:rPr>
                    <m:sty m:val="p"/>
                  </m:rPr>
                  <w:rPr>
                    <w:rStyle w:val="mbin"/>
                    <w:rFonts w:ascii="Cambria Math" w:hAnsi="Cambria Math"/>
                    <w:sz w:val="24"/>
                    <w:szCs w:val="24"/>
                  </w:rPr>
                  <m:t>+</m:t>
                </m:r>
                <m:sSub>
                  <m:sSubPr>
                    <m:ctrlPr>
                      <w:rPr>
                        <w:rStyle w:val="mord"/>
                        <w:rFonts w:ascii="Cambria Math" w:hAnsi="Cambria Math"/>
                        <w:sz w:val="24"/>
                        <w:szCs w:val="24"/>
                      </w:rPr>
                    </m:ctrlPr>
                  </m:sSubPr>
                  <m:e>
                    <m:r>
                      <m:rPr>
                        <m:sty m:val="p"/>
                      </m:rPr>
                      <w:rPr>
                        <w:rStyle w:val="mord"/>
                        <w:rFonts w:ascii="Cambria Math" w:hAnsi="Cambria Math"/>
                        <w:sz w:val="24"/>
                        <w:szCs w:val="24"/>
                      </w:rPr>
                      <m:t>β</m:t>
                    </m:r>
                  </m:e>
                  <m:sub>
                    <m:r>
                      <m:rPr>
                        <m:sty m:val="p"/>
                      </m:rPr>
                      <w:rPr>
                        <w:rStyle w:val="mord"/>
                        <w:rFonts w:ascii="Cambria Math" w:hAnsi="Cambria Math"/>
                        <w:sz w:val="24"/>
                        <w:szCs w:val="24"/>
                      </w:rPr>
                      <m:t>2</m:t>
                    </m:r>
                  </m:sub>
                </m:sSub>
                <m:r>
                  <m:rPr>
                    <m:sty m:val="p"/>
                  </m:rPr>
                  <w:rPr>
                    <w:rStyle w:val="vlist-s"/>
                    <w:rFonts w:ascii="Cambria Math" w:hAnsi="Cambria Math"/>
                    <w:sz w:val="24"/>
                    <w:szCs w:val="24"/>
                  </w:rPr>
                  <m:t>​</m:t>
                </m:r>
                <m:sSub>
                  <m:sSubPr>
                    <m:ctrlPr>
                      <w:rPr>
                        <w:rStyle w:val="mord"/>
                        <w:rFonts w:ascii="Cambria Math" w:hAnsi="Cambria Math"/>
                        <w:sz w:val="24"/>
                        <w:szCs w:val="24"/>
                      </w:rPr>
                    </m:ctrlPr>
                  </m:sSubPr>
                  <m:e>
                    <m:r>
                      <m:rPr>
                        <m:sty m:val="p"/>
                      </m:rPr>
                      <w:rPr>
                        <w:rStyle w:val="mord"/>
                        <w:rFonts w:ascii="Cambria Math" w:hAnsi="Cambria Math"/>
                        <w:sz w:val="24"/>
                        <w:szCs w:val="24"/>
                      </w:rPr>
                      <m:t>S</m:t>
                    </m:r>
                  </m:e>
                  <m:sub>
                    <m:r>
                      <m:rPr>
                        <m:sty m:val="p"/>
                      </m:rPr>
                      <w:rPr>
                        <w:rStyle w:val="mord"/>
                        <w:rFonts w:ascii="Cambria Math" w:hAnsi="Cambria Math"/>
                        <w:sz w:val="24"/>
                        <w:szCs w:val="24"/>
                      </w:rPr>
                      <m:t>i</m:t>
                    </m:r>
                  </m:sub>
                </m:sSub>
                <m:r>
                  <m:rPr>
                    <m:sty m:val="p"/>
                  </m:rPr>
                  <w:rPr>
                    <w:rStyle w:val="vlist-s"/>
                    <w:rFonts w:ascii="Cambria Math" w:hAnsi="Cambria Math"/>
                    <w:sz w:val="24"/>
                    <w:szCs w:val="24"/>
                  </w:rPr>
                  <m:t>​</m:t>
                </m:r>
                <m:r>
                  <m:rPr>
                    <m:sty m:val="p"/>
                  </m:rPr>
                  <w:rPr>
                    <w:rStyle w:val="mbin"/>
                    <w:rFonts w:ascii="Cambria Math" w:hAnsi="Cambria Math"/>
                    <w:sz w:val="24"/>
                    <w:szCs w:val="24"/>
                  </w:rPr>
                  <m:t>+</m:t>
                </m:r>
                <m:sSub>
                  <m:sSubPr>
                    <m:ctrlPr>
                      <w:rPr>
                        <w:rStyle w:val="mord"/>
                        <w:rFonts w:ascii="Cambria Math" w:hAnsi="Cambria Math"/>
                        <w:sz w:val="24"/>
                        <w:szCs w:val="24"/>
                      </w:rPr>
                    </m:ctrlPr>
                  </m:sSubPr>
                  <m:e>
                    <m:r>
                      <m:rPr>
                        <m:sty m:val="p"/>
                      </m:rPr>
                      <w:rPr>
                        <w:rStyle w:val="mord"/>
                        <w:rFonts w:ascii="Cambria Math" w:hAnsi="Cambria Math"/>
                        <w:sz w:val="24"/>
                        <w:szCs w:val="24"/>
                      </w:rPr>
                      <m:t>β</m:t>
                    </m:r>
                  </m:e>
                  <m:sub>
                    <m:r>
                      <m:rPr>
                        <m:sty m:val="p"/>
                      </m:rPr>
                      <w:rPr>
                        <w:rStyle w:val="mord"/>
                        <w:rFonts w:ascii="Cambria Math" w:hAnsi="Cambria Math"/>
                        <w:sz w:val="24"/>
                        <w:szCs w:val="24"/>
                      </w:rPr>
                      <m:t>3</m:t>
                    </m:r>
                  </m:sub>
                </m:sSub>
                <m:r>
                  <m:rPr>
                    <m:sty m:val="p"/>
                  </m:rPr>
                  <w:rPr>
                    <w:rStyle w:val="vlist-s"/>
                    <w:rFonts w:ascii="Cambria Math" w:hAnsi="Cambria Math"/>
                    <w:sz w:val="24"/>
                    <w:szCs w:val="24"/>
                  </w:rPr>
                  <m:t>​</m:t>
                </m:r>
                <m:sSub>
                  <m:sSubPr>
                    <m:ctrlPr>
                      <w:rPr>
                        <w:rStyle w:val="mord"/>
                        <w:rFonts w:ascii="Cambria Math" w:hAnsi="Cambria Math"/>
                        <w:sz w:val="24"/>
                        <w:szCs w:val="24"/>
                      </w:rPr>
                    </m:ctrlPr>
                  </m:sSubPr>
                  <m:e>
                    <m:r>
                      <m:rPr>
                        <m:sty m:val="p"/>
                      </m:rPr>
                      <w:rPr>
                        <w:rStyle w:val="mord"/>
                        <w:rFonts w:ascii="Cambria Math" w:hAnsi="Cambria Math"/>
                        <w:sz w:val="24"/>
                        <w:szCs w:val="24"/>
                      </w:rPr>
                      <m:t>A</m:t>
                    </m:r>
                  </m:e>
                  <m:sub>
                    <m:r>
                      <m:rPr>
                        <m:sty m:val="p"/>
                      </m:rPr>
                      <w:rPr>
                        <w:rStyle w:val="mord"/>
                        <w:rFonts w:ascii="Cambria Math" w:hAnsi="Cambria Math"/>
                        <w:sz w:val="24"/>
                        <w:szCs w:val="24"/>
                      </w:rPr>
                      <m:t>i</m:t>
                    </m:r>
                    <m:r>
                      <m:rPr>
                        <m:sty m:val="p"/>
                      </m:rPr>
                      <w:rPr>
                        <w:rStyle w:val="vlist-s"/>
                        <w:rFonts w:ascii="Cambria Math" w:hAnsi="Cambria Math"/>
                        <w:sz w:val="24"/>
                        <w:szCs w:val="24"/>
                      </w:rPr>
                      <m:t>​</m:t>
                    </m:r>
                  </m:sub>
                </m:sSub>
                <m:r>
                  <m:rPr>
                    <m:sty m:val="p"/>
                  </m:rPr>
                  <w:rPr>
                    <w:rStyle w:val="mbin"/>
                    <w:rFonts w:ascii="Cambria Math" w:hAnsi="Cambria Math"/>
                    <w:sz w:val="24"/>
                    <w:szCs w:val="24"/>
                  </w:rPr>
                  <m:t>+</m:t>
                </m:r>
                <m:sSub>
                  <m:sSubPr>
                    <m:ctrlPr>
                      <w:rPr>
                        <w:rStyle w:val="mord"/>
                        <w:rFonts w:ascii="Cambria Math" w:hAnsi="Cambria Math"/>
                        <w:sz w:val="24"/>
                        <w:szCs w:val="24"/>
                      </w:rPr>
                    </m:ctrlPr>
                  </m:sSubPr>
                  <m:e>
                    <m:r>
                      <m:rPr>
                        <m:sty m:val="p"/>
                      </m:rPr>
                      <w:rPr>
                        <w:rStyle w:val="mord"/>
                        <w:rFonts w:ascii="Cambria Math" w:hAnsi="Cambria Math"/>
                        <w:sz w:val="24"/>
                        <w:szCs w:val="24"/>
                      </w:rPr>
                      <m:t>ϵ</m:t>
                    </m:r>
                  </m:e>
                  <m:sub>
                    <m:r>
                      <m:rPr>
                        <m:sty m:val="p"/>
                      </m:rPr>
                      <w:rPr>
                        <w:rStyle w:val="mord"/>
                        <w:rFonts w:ascii="Cambria Math" w:hAnsi="Cambria Math"/>
                        <w:sz w:val="24"/>
                        <w:szCs w:val="24"/>
                      </w:rPr>
                      <m:t>i</m:t>
                    </m:r>
                  </m:sub>
                </m:sSub>
                <m:r>
                  <m:rPr>
                    <m:sty m:val="p"/>
                  </m:rPr>
                  <w:rPr>
                    <w:rStyle w:val="vlist-s"/>
                    <w:rFonts w:ascii="Cambria Math" w:hAnsi="Cambria Math"/>
                    <w:sz w:val="24"/>
                    <w:szCs w:val="24"/>
                  </w:rPr>
                  <m:t>​</m:t>
                </m:r>
              </m:oMath>
            </m:oMathPara>
          </w:p>
        </w:tc>
      </w:tr>
    </w:tbl>
    <w:p w14:paraId="49ACD62A" w14:textId="77777777" w:rsidR="00C63CFC" w:rsidRPr="00263935" w:rsidRDefault="0043080A">
      <w:pPr>
        <w:spacing w:before="160" w:after="160"/>
        <w:rPr>
          <w:rFonts w:eastAsia="Times New Roman"/>
          <w:color w:val="0D0D0D"/>
          <w:sz w:val="24"/>
          <w:szCs w:val="24"/>
          <w:highlight w:val="white"/>
        </w:rPr>
      </w:pPr>
      <w:r w:rsidRPr="00263935">
        <w:rPr>
          <w:rFonts w:eastAsia="Times New Roman"/>
          <w:color w:val="0D0D0D"/>
          <w:sz w:val="24"/>
          <w:szCs w:val="24"/>
          <w:highlight w:val="white"/>
        </w:rPr>
        <w:t>This structured approach ensures a rigorous and data-driven evaluation of ZKPs within blockchain-based property transactions while maintaining compliance with UK regulations.</w:t>
      </w:r>
    </w:p>
    <w:p w14:paraId="06A0D2D7" w14:textId="77777777" w:rsidR="00312F16" w:rsidRPr="00263935" w:rsidRDefault="00263935" w:rsidP="00312F16">
      <w:pPr>
        <w:pStyle w:val="NormalWeb"/>
        <w:spacing w:before="240" w:beforeAutospacing="0" w:after="240" w:afterAutospacing="0"/>
        <w:rPr>
          <w:rFonts w:ascii="Arial" w:hAnsi="Arial" w:cs="Arial"/>
          <w:b/>
        </w:rPr>
      </w:pPr>
      <w:r>
        <w:rPr>
          <w:rFonts w:ascii="Arial" w:hAnsi="Arial" w:cs="Arial"/>
          <w:b/>
          <w:color w:val="0D0D0D"/>
          <w:shd w:val="clear" w:color="auto" w:fill="FFFFFF"/>
        </w:rPr>
        <w:t>4.</w:t>
      </w:r>
      <w:r>
        <w:rPr>
          <w:rFonts w:ascii="Arial" w:hAnsi="Arial" w:cs="Arial"/>
          <w:b/>
          <w:color w:val="0D0D0D"/>
          <w:shd w:val="clear" w:color="auto" w:fill="FFFFFF"/>
        </w:rPr>
        <w:tab/>
      </w:r>
      <w:r w:rsidR="00312F16" w:rsidRPr="00263935">
        <w:rPr>
          <w:rFonts w:ascii="Arial" w:hAnsi="Arial" w:cs="Arial"/>
          <w:b/>
          <w:color w:val="0D0D0D"/>
          <w:shd w:val="clear" w:color="auto" w:fill="FFFFFF"/>
        </w:rPr>
        <w:t>Resu</w:t>
      </w:r>
      <w:r>
        <w:rPr>
          <w:rFonts w:ascii="Arial" w:hAnsi="Arial" w:cs="Arial"/>
          <w:b/>
          <w:color w:val="0D0D0D"/>
          <w:shd w:val="clear" w:color="auto" w:fill="FFFFFF"/>
        </w:rPr>
        <w:t>lts and Discussion</w:t>
      </w:r>
      <w:r w:rsidR="00312F16" w:rsidRPr="00263935">
        <w:rPr>
          <w:rFonts w:ascii="Arial" w:hAnsi="Arial" w:cs="Arial"/>
          <w:b/>
          <w:color w:val="0D0D0D"/>
          <w:shd w:val="clear" w:color="auto" w:fill="FFFFFF"/>
        </w:rPr>
        <w:t> </w:t>
      </w:r>
    </w:p>
    <w:p w14:paraId="62C543D1" w14:textId="77777777" w:rsidR="00312F16" w:rsidRPr="00263935" w:rsidRDefault="00312F16" w:rsidP="00312F16">
      <w:pPr>
        <w:pStyle w:val="Heading3"/>
        <w:spacing w:before="280"/>
        <w:rPr>
          <w:sz w:val="24"/>
          <w:szCs w:val="24"/>
        </w:rPr>
      </w:pPr>
      <w:r w:rsidRPr="00263935">
        <w:rPr>
          <w:b/>
          <w:bCs/>
          <w:color w:val="0D0D0D"/>
          <w:sz w:val="24"/>
          <w:szCs w:val="24"/>
          <w:shd w:val="clear" w:color="auto" w:fill="FFFFFF"/>
        </w:rPr>
        <w:t>Privacy Risks and Data Exposure in Blockchain-Based Property Transactions</w:t>
      </w:r>
    </w:p>
    <w:p w14:paraId="44C78E3B" w14:textId="77777777" w:rsidR="00312F16" w:rsidRPr="00263935" w:rsidRDefault="00312F16" w:rsidP="00312F16">
      <w:pPr>
        <w:pStyle w:val="NormalWeb"/>
        <w:spacing w:before="160" w:beforeAutospacing="0" w:after="160" w:afterAutospacing="0"/>
        <w:rPr>
          <w:rFonts w:ascii="Arial" w:hAnsi="Arial" w:cs="Arial"/>
        </w:rPr>
      </w:pPr>
      <w:r w:rsidRPr="00263935">
        <w:rPr>
          <w:rFonts w:ascii="Arial" w:hAnsi="Arial" w:cs="Arial"/>
          <w:color w:val="0D0D0D"/>
          <w:shd w:val="clear" w:color="auto" w:fill="FFFFFF"/>
        </w:rPr>
        <w:t>Blockchain-based property transactions introduce efficiency and transparency but also raise significant privacy concerns. The visibility of transaction details, including timestamps, property values, and ownership changes, poses risks of re-identification and unauthorized data exposure. As regulatory frameworks such as UK GDPR mandate strict data minimization and security protocols, assessing the extent of data exposure in blockchain transactions is critical to ensuring compliance. The findings from this study reveal key insights into the level of identifiability of property transactions, entropy levels, and re-identification risks within blockchain-based property exchanges.</w:t>
      </w:r>
    </w:p>
    <w:p w14:paraId="36A83717" w14:textId="77777777" w:rsidR="00312F16" w:rsidRPr="00263935" w:rsidRDefault="00312F16" w:rsidP="00312F16">
      <w:pPr>
        <w:pStyle w:val="NormalWeb"/>
        <w:spacing w:before="160" w:beforeAutospacing="0" w:after="160" w:afterAutospacing="0"/>
        <w:rPr>
          <w:rFonts w:ascii="Arial" w:hAnsi="Arial" w:cs="Arial"/>
        </w:rPr>
      </w:pPr>
      <w:r w:rsidRPr="00263935">
        <w:rPr>
          <w:rFonts w:ascii="Arial" w:hAnsi="Arial" w:cs="Arial"/>
          <w:color w:val="0D0D0D"/>
          <w:shd w:val="clear" w:color="auto" w:fill="FFFFFF"/>
        </w:rPr>
        <w:t>An examination of privacy risks in blockchain transactions indicates that a significant proportion of transactions remain identifiable, raising concerns over data exposure. The analysis classifies transaction records into four privacy levels: highly identifiable, moderately identifiable, low identifiability, and fully anonymous. The distribution of these categories, as presented in Table 2, highlights that over 65.5% of transactions fall within the highly identifiable or moderately identifiable categories, demonstrating the vulnerability of transaction data in blockchain-based property records.</w:t>
      </w:r>
    </w:p>
    <w:p w14:paraId="6E563609" w14:textId="77777777" w:rsidR="00312F16" w:rsidRPr="00147499" w:rsidRDefault="00312F16" w:rsidP="00147499">
      <w:pPr>
        <w:pStyle w:val="Heading4"/>
        <w:spacing w:before="240" w:after="40"/>
        <w:jc w:val="center"/>
        <w:rPr>
          <w:i/>
        </w:rPr>
      </w:pPr>
      <w:r w:rsidRPr="00147499">
        <w:rPr>
          <w:bCs/>
          <w:i/>
          <w:color w:val="0D0D0D"/>
          <w:shd w:val="clear" w:color="auto" w:fill="FFFFFF"/>
        </w:rPr>
        <w:t>Table 2: Privacy Risk Analysis of Blockchain Transactions</w:t>
      </w:r>
    </w:p>
    <w:tbl>
      <w:tblPr>
        <w:tblStyle w:val="TableGrid"/>
        <w:tblW w:w="0" w:type="auto"/>
        <w:tblLook w:val="04A0" w:firstRow="1" w:lastRow="0" w:firstColumn="1" w:lastColumn="0" w:noHBand="0" w:noVBand="1"/>
      </w:tblPr>
      <w:tblGrid>
        <w:gridCol w:w="2138"/>
        <w:gridCol w:w="3361"/>
        <w:gridCol w:w="1402"/>
        <w:gridCol w:w="2449"/>
      </w:tblGrid>
      <w:tr w:rsidR="00312F16" w:rsidRPr="00263935" w14:paraId="239976D0" w14:textId="77777777" w:rsidTr="00312F16">
        <w:trPr>
          <w:trHeight w:val="410"/>
        </w:trPr>
        <w:tc>
          <w:tcPr>
            <w:tcW w:w="0" w:type="auto"/>
            <w:hideMark/>
          </w:tcPr>
          <w:p w14:paraId="7C63D873" w14:textId="77777777" w:rsidR="00312F16" w:rsidRPr="00263935" w:rsidRDefault="00312F16">
            <w:pPr>
              <w:pStyle w:val="NormalWeb"/>
              <w:spacing w:before="240" w:beforeAutospacing="0" w:after="240" w:afterAutospacing="0"/>
              <w:jc w:val="center"/>
              <w:rPr>
                <w:rFonts w:ascii="Arial" w:hAnsi="Arial" w:cs="Arial"/>
              </w:rPr>
            </w:pPr>
            <w:r w:rsidRPr="00263935">
              <w:rPr>
                <w:rFonts w:ascii="Arial" w:hAnsi="Arial" w:cs="Arial"/>
                <w:color w:val="0D0D0D"/>
                <w:shd w:val="clear" w:color="auto" w:fill="FFFFFF"/>
              </w:rPr>
              <w:t>Identifiability Level</w:t>
            </w:r>
          </w:p>
        </w:tc>
        <w:tc>
          <w:tcPr>
            <w:tcW w:w="0" w:type="auto"/>
            <w:hideMark/>
          </w:tcPr>
          <w:p w14:paraId="1D73A43F" w14:textId="77777777" w:rsidR="00312F16" w:rsidRPr="00263935" w:rsidRDefault="00312F16">
            <w:pPr>
              <w:pStyle w:val="NormalWeb"/>
              <w:spacing w:before="240" w:beforeAutospacing="0" w:after="240" w:afterAutospacing="0"/>
              <w:jc w:val="center"/>
              <w:rPr>
                <w:rFonts w:ascii="Arial" w:hAnsi="Arial" w:cs="Arial"/>
              </w:rPr>
            </w:pPr>
            <w:r w:rsidRPr="00263935">
              <w:rPr>
                <w:rFonts w:ascii="Arial" w:hAnsi="Arial" w:cs="Arial"/>
                <w:color w:val="0D0D0D"/>
                <w:shd w:val="clear" w:color="auto" w:fill="FFFFFF"/>
              </w:rPr>
              <w:t>Percentage of Identifiable Transactions (%)</w:t>
            </w:r>
          </w:p>
        </w:tc>
        <w:tc>
          <w:tcPr>
            <w:tcW w:w="0" w:type="auto"/>
            <w:hideMark/>
          </w:tcPr>
          <w:p w14:paraId="7870D116" w14:textId="77777777" w:rsidR="00312F16" w:rsidRPr="00263935" w:rsidRDefault="00312F16">
            <w:pPr>
              <w:pStyle w:val="NormalWeb"/>
              <w:spacing w:before="240" w:beforeAutospacing="0" w:after="240" w:afterAutospacing="0"/>
              <w:jc w:val="center"/>
              <w:rPr>
                <w:rFonts w:ascii="Arial" w:hAnsi="Arial" w:cs="Arial"/>
              </w:rPr>
            </w:pPr>
            <w:r w:rsidRPr="00263935">
              <w:rPr>
                <w:rFonts w:ascii="Arial" w:hAnsi="Arial" w:cs="Arial"/>
                <w:color w:val="0D0D0D"/>
                <w:shd w:val="clear" w:color="auto" w:fill="FFFFFF"/>
              </w:rPr>
              <w:t>Entropy Index</w:t>
            </w:r>
          </w:p>
        </w:tc>
        <w:tc>
          <w:tcPr>
            <w:tcW w:w="0" w:type="auto"/>
            <w:hideMark/>
          </w:tcPr>
          <w:p w14:paraId="1B122EC8" w14:textId="77777777" w:rsidR="00312F16" w:rsidRPr="00263935" w:rsidRDefault="00312F16">
            <w:pPr>
              <w:pStyle w:val="NormalWeb"/>
              <w:spacing w:before="240" w:beforeAutospacing="0" w:after="240" w:afterAutospacing="0"/>
              <w:jc w:val="center"/>
              <w:rPr>
                <w:rFonts w:ascii="Arial" w:hAnsi="Arial" w:cs="Arial"/>
              </w:rPr>
            </w:pPr>
            <w:r w:rsidRPr="00263935">
              <w:rPr>
                <w:rFonts w:ascii="Arial" w:hAnsi="Arial" w:cs="Arial"/>
                <w:color w:val="0D0D0D"/>
                <w:shd w:val="clear" w:color="auto" w:fill="FFFFFF"/>
              </w:rPr>
              <w:t>Re-Identification Risk Score</w:t>
            </w:r>
          </w:p>
        </w:tc>
      </w:tr>
      <w:tr w:rsidR="00312F16" w:rsidRPr="00263935" w14:paraId="59C8E8A8" w14:textId="77777777" w:rsidTr="00312F16">
        <w:trPr>
          <w:trHeight w:val="410"/>
        </w:trPr>
        <w:tc>
          <w:tcPr>
            <w:tcW w:w="0" w:type="auto"/>
            <w:hideMark/>
          </w:tcPr>
          <w:p w14:paraId="516FE054" w14:textId="77777777" w:rsidR="00312F16" w:rsidRPr="00263935" w:rsidRDefault="00312F16">
            <w:pPr>
              <w:pStyle w:val="NormalWeb"/>
              <w:spacing w:before="240" w:beforeAutospacing="0" w:after="240" w:afterAutospacing="0"/>
              <w:rPr>
                <w:rFonts w:ascii="Arial" w:hAnsi="Arial" w:cs="Arial"/>
              </w:rPr>
            </w:pPr>
            <w:r w:rsidRPr="00263935">
              <w:rPr>
                <w:rFonts w:ascii="Arial" w:hAnsi="Arial" w:cs="Arial"/>
                <w:color w:val="0D0D0D"/>
                <w:shd w:val="clear" w:color="auto" w:fill="FFFFFF"/>
              </w:rPr>
              <w:t>Highly Identifiable</w:t>
            </w:r>
          </w:p>
        </w:tc>
        <w:tc>
          <w:tcPr>
            <w:tcW w:w="0" w:type="auto"/>
            <w:hideMark/>
          </w:tcPr>
          <w:p w14:paraId="4BFDDD64" w14:textId="77777777" w:rsidR="00312F16" w:rsidRPr="00263935" w:rsidRDefault="00312F16">
            <w:pPr>
              <w:pStyle w:val="NormalWeb"/>
              <w:spacing w:before="240" w:beforeAutospacing="0" w:after="240" w:afterAutospacing="0"/>
              <w:rPr>
                <w:rFonts w:ascii="Arial" w:hAnsi="Arial" w:cs="Arial"/>
              </w:rPr>
            </w:pPr>
            <w:r w:rsidRPr="00263935">
              <w:rPr>
                <w:rFonts w:ascii="Arial" w:hAnsi="Arial" w:cs="Arial"/>
                <w:color w:val="0D0D0D"/>
                <w:shd w:val="clear" w:color="auto" w:fill="FFFFFF"/>
              </w:rPr>
              <w:t>25.3%</w:t>
            </w:r>
          </w:p>
        </w:tc>
        <w:tc>
          <w:tcPr>
            <w:tcW w:w="0" w:type="auto"/>
            <w:hideMark/>
          </w:tcPr>
          <w:p w14:paraId="65232E3A" w14:textId="77777777" w:rsidR="00312F16" w:rsidRPr="00263935" w:rsidRDefault="00312F16">
            <w:pPr>
              <w:pStyle w:val="NormalWeb"/>
              <w:spacing w:before="240" w:beforeAutospacing="0" w:after="240" w:afterAutospacing="0"/>
              <w:rPr>
                <w:rFonts w:ascii="Arial" w:hAnsi="Arial" w:cs="Arial"/>
              </w:rPr>
            </w:pPr>
            <w:r w:rsidRPr="00263935">
              <w:rPr>
                <w:rFonts w:ascii="Arial" w:hAnsi="Arial" w:cs="Arial"/>
                <w:color w:val="0D0D0D"/>
                <w:shd w:val="clear" w:color="auto" w:fill="FFFFFF"/>
              </w:rPr>
              <w:t>1.2</w:t>
            </w:r>
          </w:p>
        </w:tc>
        <w:tc>
          <w:tcPr>
            <w:tcW w:w="0" w:type="auto"/>
            <w:hideMark/>
          </w:tcPr>
          <w:p w14:paraId="11B14C4D" w14:textId="77777777" w:rsidR="00312F16" w:rsidRPr="00263935" w:rsidRDefault="00312F16">
            <w:pPr>
              <w:pStyle w:val="NormalWeb"/>
              <w:spacing w:before="240" w:beforeAutospacing="0" w:after="240" w:afterAutospacing="0"/>
              <w:rPr>
                <w:rFonts w:ascii="Arial" w:hAnsi="Arial" w:cs="Arial"/>
              </w:rPr>
            </w:pPr>
            <w:r w:rsidRPr="00263935">
              <w:rPr>
                <w:rFonts w:ascii="Arial" w:hAnsi="Arial" w:cs="Arial"/>
                <w:color w:val="0D0D0D"/>
                <w:shd w:val="clear" w:color="auto" w:fill="FFFFFF"/>
              </w:rPr>
              <w:t>0.78</w:t>
            </w:r>
          </w:p>
        </w:tc>
      </w:tr>
      <w:tr w:rsidR="00312F16" w:rsidRPr="00263935" w14:paraId="643EC67A" w14:textId="77777777" w:rsidTr="00312F16">
        <w:trPr>
          <w:trHeight w:val="410"/>
        </w:trPr>
        <w:tc>
          <w:tcPr>
            <w:tcW w:w="0" w:type="auto"/>
            <w:hideMark/>
          </w:tcPr>
          <w:p w14:paraId="0B926833" w14:textId="77777777" w:rsidR="00312F16" w:rsidRPr="00263935" w:rsidRDefault="00312F16">
            <w:pPr>
              <w:pStyle w:val="NormalWeb"/>
              <w:spacing w:before="240" w:beforeAutospacing="0" w:after="240" w:afterAutospacing="0"/>
              <w:rPr>
                <w:rFonts w:ascii="Arial" w:hAnsi="Arial" w:cs="Arial"/>
              </w:rPr>
            </w:pPr>
            <w:r w:rsidRPr="00263935">
              <w:rPr>
                <w:rFonts w:ascii="Arial" w:hAnsi="Arial" w:cs="Arial"/>
                <w:color w:val="0D0D0D"/>
                <w:shd w:val="clear" w:color="auto" w:fill="FFFFFF"/>
              </w:rPr>
              <w:t>Moderately Identifiable</w:t>
            </w:r>
          </w:p>
        </w:tc>
        <w:tc>
          <w:tcPr>
            <w:tcW w:w="0" w:type="auto"/>
            <w:hideMark/>
          </w:tcPr>
          <w:p w14:paraId="0AB426FA" w14:textId="77777777" w:rsidR="00312F16" w:rsidRPr="00263935" w:rsidRDefault="00312F16">
            <w:pPr>
              <w:pStyle w:val="NormalWeb"/>
              <w:spacing w:before="240" w:beforeAutospacing="0" w:after="240" w:afterAutospacing="0"/>
              <w:rPr>
                <w:rFonts w:ascii="Arial" w:hAnsi="Arial" w:cs="Arial"/>
              </w:rPr>
            </w:pPr>
            <w:r w:rsidRPr="00263935">
              <w:rPr>
                <w:rFonts w:ascii="Arial" w:hAnsi="Arial" w:cs="Arial"/>
                <w:color w:val="0D0D0D"/>
                <w:shd w:val="clear" w:color="auto" w:fill="FFFFFF"/>
              </w:rPr>
              <w:t>40.2%</w:t>
            </w:r>
          </w:p>
        </w:tc>
        <w:tc>
          <w:tcPr>
            <w:tcW w:w="0" w:type="auto"/>
            <w:hideMark/>
          </w:tcPr>
          <w:p w14:paraId="3C47EC02" w14:textId="77777777" w:rsidR="00312F16" w:rsidRPr="00263935" w:rsidRDefault="00312F16">
            <w:pPr>
              <w:pStyle w:val="NormalWeb"/>
              <w:spacing w:before="240" w:beforeAutospacing="0" w:after="240" w:afterAutospacing="0"/>
              <w:rPr>
                <w:rFonts w:ascii="Arial" w:hAnsi="Arial" w:cs="Arial"/>
              </w:rPr>
            </w:pPr>
            <w:r w:rsidRPr="00263935">
              <w:rPr>
                <w:rFonts w:ascii="Arial" w:hAnsi="Arial" w:cs="Arial"/>
                <w:color w:val="0D0D0D"/>
                <w:shd w:val="clear" w:color="auto" w:fill="FFFFFF"/>
              </w:rPr>
              <w:t>2.5</w:t>
            </w:r>
          </w:p>
        </w:tc>
        <w:tc>
          <w:tcPr>
            <w:tcW w:w="0" w:type="auto"/>
            <w:hideMark/>
          </w:tcPr>
          <w:p w14:paraId="2E35E27E" w14:textId="77777777" w:rsidR="00312F16" w:rsidRPr="00263935" w:rsidRDefault="00312F16">
            <w:pPr>
              <w:pStyle w:val="NormalWeb"/>
              <w:spacing w:before="240" w:beforeAutospacing="0" w:after="240" w:afterAutospacing="0"/>
              <w:rPr>
                <w:rFonts w:ascii="Arial" w:hAnsi="Arial" w:cs="Arial"/>
              </w:rPr>
            </w:pPr>
            <w:r w:rsidRPr="00263935">
              <w:rPr>
                <w:rFonts w:ascii="Arial" w:hAnsi="Arial" w:cs="Arial"/>
                <w:color w:val="0D0D0D"/>
                <w:shd w:val="clear" w:color="auto" w:fill="FFFFFF"/>
              </w:rPr>
              <w:t>0.45</w:t>
            </w:r>
          </w:p>
        </w:tc>
      </w:tr>
      <w:tr w:rsidR="00312F16" w:rsidRPr="00263935" w14:paraId="3D6C3840" w14:textId="77777777" w:rsidTr="00312F16">
        <w:trPr>
          <w:trHeight w:val="410"/>
        </w:trPr>
        <w:tc>
          <w:tcPr>
            <w:tcW w:w="0" w:type="auto"/>
            <w:hideMark/>
          </w:tcPr>
          <w:p w14:paraId="575113D4" w14:textId="77777777" w:rsidR="00312F16" w:rsidRPr="00263935" w:rsidRDefault="00312F16">
            <w:pPr>
              <w:pStyle w:val="NormalWeb"/>
              <w:spacing w:before="240" w:beforeAutospacing="0" w:after="240" w:afterAutospacing="0"/>
              <w:rPr>
                <w:rFonts w:ascii="Arial" w:hAnsi="Arial" w:cs="Arial"/>
              </w:rPr>
            </w:pPr>
            <w:r w:rsidRPr="00263935">
              <w:rPr>
                <w:rFonts w:ascii="Arial" w:hAnsi="Arial" w:cs="Arial"/>
                <w:color w:val="0D0D0D"/>
                <w:shd w:val="clear" w:color="auto" w:fill="FFFFFF"/>
              </w:rPr>
              <w:t>Low Identifiability</w:t>
            </w:r>
          </w:p>
        </w:tc>
        <w:tc>
          <w:tcPr>
            <w:tcW w:w="0" w:type="auto"/>
            <w:hideMark/>
          </w:tcPr>
          <w:p w14:paraId="5C72A03A" w14:textId="77777777" w:rsidR="00312F16" w:rsidRPr="00263935" w:rsidRDefault="00312F16">
            <w:pPr>
              <w:pStyle w:val="NormalWeb"/>
              <w:spacing w:before="240" w:beforeAutospacing="0" w:after="240" w:afterAutospacing="0"/>
              <w:rPr>
                <w:rFonts w:ascii="Arial" w:hAnsi="Arial" w:cs="Arial"/>
              </w:rPr>
            </w:pPr>
            <w:r w:rsidRPr="00263935">
              <w:rPr>
                <w:rFonts w:ascii="Arial" w:hAnsi="Arial" w:cs="Arial"/>
                <w:color w:val="0D0D0D"/>
                <w:shd w:val="clear" w:color="auto" w:fill="FFFFFF"/>
              </w:rPr>
              <w:t>22.5%</w:t>
            </w:r>
          </w:p>
        </w:tc>
        <w:tc>
          <w:tcPr>
            <w:tcW w:w="0" w:type="auto"/>
            <w:hideMark/>
          </w:tcPr>
          <w:p w14:paraId="3479C6B5" w14:textId="77777777" w:rsidR="00312F16" w:rsidRPr="00263935" w:rsidRDefault="00312F16">
            <w:pPr>
              <w:pStyle w:val="NormalWeb"/>
              <w:spacing w:before="240" w:beforeAutospacing="0" w:after="240" w:afterAutospacing="0"/>
              <w:rPr>
                <w:rFonts w:ascii="Arial" w:hAnsi="Arial" w:cs="Arial"/>
              </w:rPr>
            </w:pPr>
            <w:r w:rsidRPr="00263935">
              <w:rPr>
                <w:rFonts w:ascii="Arial" w:hAnsi="Arial" w:cs="Arial"/>
                <w:color w:val="0D0D0D"/>
                <w:shd w:val="clear" w:color="auto" w:fill="FFFFFF"/>
              </w:rPr>
              <w:t>3.7</w:t>
            </w:r>
          </w:p>
        </w:tc>
        <w:tc>
          <w:tcPr>
            <w:tcW w:w="0" w:type="auto"/>
            <w:hideMark/>
          </w:tcPr>
          <w:p w14:paraId="3EC8EE56" w14:textId="77777777" w:rsidR="00312F16" w:rsidRPr="00263935" w:rsidRDefault="00312F16">
            <w:pPr>
              <w:pStyle w:val="NormalWeb"/>
              <w:spacing w:before="240" w:beforeAutospacing="0" w:after="240" w:afterAutospacing="0"/>
              <w:rPr>
                <w:rFonts w:ascii="Arial" w:hAnsi="Arial" w:cs="Arial"/>
              </w:rPr>
            </w:pPr>
            <w:r w:rsidRPr="00263935">
              <w:rPr>
                <w:rFonts w:ascii="Arial" w:hAnsi="Arial" w:cs="Arial"/>
                <w:color w:val="0D0D0D"/>
                <w:shd w:val="clear" w:color="auto" w:fill="FFFFFF"/>
              </w:rPr>
              <w:t>0.23</w:t>
            </w:r>
          </w:p>
        </w:tc>
      </w:tr>
      <w:tr w:rsidR="00312F16" w:rsidRPr="00263935" w14:paraId="1D6D87C6" w14:textId="77777777" w:rsidTr="00312F16">
        <w:trPr>
          <w:trHeight w:val="410"/>
        </w:trPr>
        <w:tc>
          <w:tcPr>
            <w:tcW w:w="0" w:type="auto"/>
            <w:hideMark/>
          </w:tcPr>
          <w:p w14:paraId="7BB6D560" w14:textId="77777777" w:rsidR="00312F16" w:rsidRPr="00263935" w:rsidRDefault="00312F16">
            <w:pPr>
              <w:pStyle w:val="NormalWeb"/>
              <w:spacing w:before="240" w:beforeAutospacing="0" w:after="240" w:afterAutospacing="0"/>
              <w:rPr>
                <w:rFonts w:ascii="Arial" w:hAnsi="Arial" w:cs="Arial"/>
              </w:rPr>
            </w:pPr>
            <w:r w:rsidRPr="00263935">
              <w:rPr>
                <w:rFonts w:ascii="Arial" w:hAnsi="Arial" w:cs="Arial"/>
                <w:color w:val="0D0D0D"/>
                <w:shd w:val="clear" w:color="auto" w:fill="FFFFFF"/>
              </w:rPr>
              <w:t>Fully Anonymous</w:t>
            </w:r>
          </w:p>
        </w:tc>
        <w:tc>
          <w:tcPr>
            <w:tcW w:w="0" w:type="auto"/>
            <w:hideMark/>
          </w:tcPr>
          <w:p w14:paraId="3024B3D2" w14:textId="77777777" w:rsidR="00312F16" w:rsidRPr="00263935" w:rsidRDefault="00312F16">
            <w:pPr>
              <w:pStyle w:val="NormalWeb"/>
              <w:spacing w:before="240" w:beforeAutospacing="0" w:after="240" w:afterAutospacing="0"/>
              <w:rPr>
                <w:rFonts w:ascii="Arial" w:hAnsi="Arial" w:cs="Arial"/>
              </w:rPr>
            </w:pPr>
            <w:r w:rsidRPr="00263935">
              <w:rPr>
                <w:rFonts w:ascii="Arial" w:hAnsi="Arial" w:cs="Arial"/>
                <w:color w:val="0D0D0D"/>
                <w:shd w:val="clear" w:color="auto" w:fill="FFFFFF"/>
              </w:rPr>
              <w:t>12.0%</w:t>
            </w:r>
          </w:p>
        </w:tc>
        <w:tc>
          <w:tcPr>
            <w:tcW w:w="0" w:type="auto"/>
            <w:hideMark/>
          </w:tcPr>
          <w:p w14:paraId="0B134128" w14:textId="77777777" w:rsidR="00312F16" w:rsidRPr="00263935" w:rsidRDefault="00312F16">
            <w:pPr>
              <w:pStyle w:val="NormalWeb"/>
              <w:spacing w:before="240" w:beforeAutospacing="0" w:after="240" w:afterAutospacing="0"/>
              <w:rPr>
                <w:rFonts w:ascii="Arial" w:hAnsi="Arial" w:cs="Arial"/>
              </w:rPr>
            </w:pPr>
            <w:r w:rsidRPr="00263935">
              <w:rPr>
                <w:rFonts w:ascii="Arial" w:hAnsi="Arial" w:cs="Arial"/>
                <w:color w:val="0D0D0D"/>
                <w:shd w:val="clear" w:color="auto" w:fill="FFFFFF"/>
              </w:rPr>
              <w:t>4.8</w:t>
            </w:r>
          </w:p>
        </w:tc>
        <w:tc>
          <w:tcPr>
            <w:tcW w:w="0" w:type="auto"/>
            <w:hideMark/>
          </w:tcPr>
          <w:p w14:paraId="7CB7420B" w14:textId="77777777" w:rsidR="00312F16" w:rsidRPr="00263935" w:rsidRDefault="00312F16">
            <w:pPr>
              <w:pStyle w:val="NormalWeb"/>
              <w:spacing w:before="240" w:beforeAutospacing="0" w:after="240" w:afterAutospacing="0"/>
              <w:rPr>
                <w:rFonts w:ascii="Arial" w:hAnsi="Arial" w:cs="Arial"/>
              </w:rPr>
            </w:pPr>
            <w:r w:rsidRPr="00263935">
              <w:rPr>
                <w:rFonts w:ascii="Arial" w:hAnsi="Arial" w:cs="Arial"/>
                <w:color w:val="0D0D0D"/>
                <w:shd w:val="clear" w:color="auto" w:fill="FFFFFF"/>
              </w:rPr>
              <w:t>0.05</w:t>
            </w:r>
          </w:p>
        </w:tc>
      </w:tr>
    </w:tbl>
    <w:p w14:paraId="0DFE8070" w14:textId="77777777" w:rsidR="00312F16" w:rsidRPr="00263935" w:rsidRDefault="00312F16" w:rsidP="00312F16">
      <w:pPr>
        <w:pStyle w:val="NormalWeb"/>
        <w:spacing w:before="160" w:beforeAutospacing="0" w:after="160" w:afterAutospacing="0"/>
        <w:rPr>
          <w:rFonts w:ascii="Arial" w:hAnsi="Arial" w:cs="Arial"/>
        </w:rPr>
      </w:pPr>
      <w:r w:rsidRPr="00263935">
        <w:rPr>
          <w:rFonts w:ascii="Arial" w:hAnsi="Arial" w:cs="Arial"/>
          <w:color w:val="0D0D0D"/>
          <w:shd w:val="clear" w:color="auto" w:fill="FFFFFF"/>
        </w:rPr>
        <w:t>Entropy analysis further supports this finding, with the lowest entropy values occurring in the highly identifiable category, indicating higher predictability and lower privacy protection. The re-identification risk score, which estimates the likelihood of linking transactions to real-world individuals, is highest in the highly identifiable category (0.78), reaffirming the significant exposure of property transaction data.</w:t>
      </w:r>
    </w:p>
    <w:p w14:paraId="7792036E" w14:textId="77777777" w:rsidR="00312F16" w:rsidRPr="00263935" w:rsidRDefault="00312F16" w:rsidP="00312F16">
      <w:pPr>
        <w:pStyle w:val="NormalWeb"/>
        <w:spacing w:before="160" w:beforeAutospacing="0" w:after="160" w:afterAutospacing="0"/>
        <w:rPr>
          <w:rFonts w:ascii="Arial" w:hAnsi="Arial" w:cs="Arial"/>
          <w:color w:val="0D0D0D"/>
          <w:shd w:val="clear" w:color="auto" w:fill="FFFFFF"/>
        </w:rPr>
      </w:pPr>
      <w:r w:rsidRPr="00263935">
        <w:rPr>
          <w:rFonts w:ascii="Arial" w:hAnsi="Arial" w:cs="Arial"/>
          <w:color w:val="0D0D0D"/>
          <w:shd w:val="clear" w:color="auto" w:fill="FFFFFF"/>
        </w:rPr>
        <w:t>To better illustrate the extent of transaction privacy risks, Figure 1 presents a Radial Column Chart, depicting the proportion of transactions at different privacy risk levels. The highly identifiable and moderately identifiable transactions dominate the dataset, emphasizing the challenge of maintaining confidentiality within blockchain-based property exchanges.</w:t>
      </w:r>
    </w:p>
    <w:p w14:paraId="379A7C63" w14:textId="77777777" w:rsidR="00B203E6" w:rsidRPr="00263935" w:rsidRDefault="00B203E6" w:rsidP="00147499">
      <w:pPr>
        <w:pStyle w:val="NormalWeb"/>
        <w:spacing w:before="160" w:beforeAutospacing="0" w:after="160" w:afterAutospacing="0"/>
        <w:jc w:val="center"/>
        <w:rPr>
          <w:rFonts w:ascii="Arial" w:hAnsi="Arial" w:cs="Arial"/>
        </w:rPr>
      </w:pPr>
      <w:r w:rsidRPr="00263935">
        <w:rPr>
          <w:rFonts w:ascii="Arial" w:hAnsi="Arial" w:cs="Arial"/>
          <w:noProof/>
        </w:rPr>
        <w:drawing>
          <wp:inline distT="0" distB="0" distL="0" distR="0" wp14:anchorId="7A8176FF" wp14:editId="53BF0D0C">
            <wp:extent cx="4055164" cy="32385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tput - 2025-03-02T145230.31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64835" cy="3246223"/>
                    </a:xfrm>
                    <a:prstGeom prst="rect">
                      <a:avLst/>
                    </a:prstGeom>
                  </pic:spPr>
                </pic:pic>
              </a:graphicData>
            </a:graphic>
          </wp:inline>
        </w:drawing>
      </w:r>
    </w:p>
    <w:p w14:paraId="3CA2AB52" w14:textId="77777777" w:rsidR="00312F16" w:rsidRPr="00147499" w:rsidRDefault="00312F16" w:rsidP="00147499">
      <w:pPr>
        <w:pStyle w:val="Heading4"/>
        <w:spacing w:before="240" w:after="40"/>
        <w:jc w:val="center"/>
        <w:rPr>
          <w:i/>
        </w:rPr>
      </w:pPr>
      <w:r w:rsidRPr="00147499">
        <w:rPr>
          <w:bCs/>
          <w:i/>
          <w:color w:val="0D0D0D"/>
          <w:shd w:val="clear" w:color="auto" w:fill="FFFFFF"/>
        </w:rPr>
        <w:t>Figure 1: Radial Column Chart of Privacy Risks in Blockchain Transactions</w:t>
      </w:r>
    </w:p>
    <w:p w14:paraId="47933BF6" w14:textId="77777777" w:rsidR="00312F16" w:rsidRPr="00263935" w:rsidRDefault="00312F16" w:rsidP="00312F16">
      <w:pPr>
        <w:pStyle w:val="NormalWeb"/>
        <w:spacing w:before="160" w:beforeAutospacing="0" w:after="160" w:afterAutospacing="0"/>
        <w:rPr>
          <w:rFonts w:ascii="Arial" w:hAnsi="Arial" w:cs="Arial"/>
          <w:color w:val="0D0D0D"/>
          <w:shd w:val="clear" w:color="auto" w:fill="FFFFFF"/>
        </w:rPr>
      </w:pPr>
      <w:r w:rsidRPr="00263935">
        <w:rPr>
          <w:rFonts w:ascii="Arial" w:hAnsi="Arial" w:cs="Arial"/>
          <w:color w:val="0D0D0D"/>
          <w:shd w:val="clear" w:color="auto" w:fill="FFFFFF"/>
        </w:rPr>
        <w:t>The Parallel Coordinates Chart in Figure 2 further visualizes the relationship between transaction identifiability, entropy index, and re-identification risk score. The trend observed shows that as entropy increases, the re-identification risk decreases, confirming that higher entropy values correlate with stronger data anonymity. This reinforces the need for privacy-preserving techniques to increase entropy and minimize re-identification risks in blockchain property transactions.</w:t>
      </w:r>
    </w:p>
    <w:p w14:paraId="767017AB" w14:textId="77777777" w:rsidR="00B203E6" w:rsidRPr="00263935" w:rsidRDefault="00B203E6" w:rsidP="00147499">
      <w:pPr>
        <w:pStyle w:val="NormalWeb"/>
        <w:spacing w:before="160" w:beforeAutospacing="0" w:after="160" w:afterAutospacing="0"/>
        <w:jc w:val="center"/>
        <w:rPr>
          <w:rFonts w:ascii="Arial" w:hAnsi="Arial" w:cs="Arial"/>
        </w:rPr>
      </w:pPr>
      <w:r w:rsidRPr="00263935">
        <w:rPr>
          <w:rFonts w:ascii="Arial" w:hAnsi="Arial" w:cs="Arial"/>
          <w:noProof/>
        </w:rPr>
        <w:drawing>
          <wp:inline distT="0" distB="0" distL="0" distR="0" wp14:anchorId="63645B4D" wp14:editId="2484FBE8">
            <wp:extent cx="4634750" cy="322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utput - 2025-03-02T145235.33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39453" cy="3232251"/>
                    </a:xfrm>
                    <a:prstGeom prst="rect">
                      <a:avLst/>
                    </a:prstGeom>
                  </pic:spPr>
                </pic:pic>
              </a:graphicData>
            </a:graphic>
          </wp:inline>
        </w:drawing>
      </w:r>
    </w:p>
    <w:p w14:paraId="4548EA04" w14:textId="77777777" w:rsidR="00312F16" w:rsidRPr="00147499" w:rsidRDefault="00312F16" w:rsidP="00147499">
      <w:pPr>
        <w:pStyle w:val="Heading4"/>
        <w:spacing w:before="240" w:after="40"/>
        <w:jc w:val="center"/>
        <w:rPr>
          <w:i/>
        </w:rPr>
      </w:pPr>
      <w:r w:rsidRPr="00147499">
        <w:rPr>
          <w:bCs/>
          <w:i/>
          <w:color w:val="0D0D0D"/>
          <w:shd w:val="clear" w:color="auto" w:fill="FFFFFF"/>
        </w:rPr>
        <w:t>Figure 2: Parallel Coordinates Chart of Privacy Risk Metrics</w:t>
      </w:r>
    </w:p>
    <w:p w14:paraId="19466EB3" w14:textId="77777777" w:rsidR="00312F16" w:rsidRPr="00263935" w:rsidRDefault="00312F16" w:rsidP="00312F16">
      <w:pPr>
        <w:pStyle w:val="NormalWeb"/>
        <w:spacing w:before="160" w:beforeAutospacing="0" w:after="160" w:afterAutospacing="0"/>
        <w:rPr>
          <w:rFonts w:ascii="Arial" w:hAnsi="Arial" w:cs="Arial"/>
          <w:color w:val="0D0D0D"/>
          <w:shd w:val="clear" w:color="auto" w:fill="FFFFFF"/>
        </w:rPr>
      </w:pPr>
      <w:r w:rsidRPr="00263935">
        <w:rPr>
          <w:rFonts w:ascii="Arial" w:hAnsi="Arial" w:cs="Arial"/>
          <w:color w:val="0D0D0D"/>
          <w:shd w:val="clear" w:color="auto" w:fill="FFFFFF"/>
        </w:rPr>
        <w:t>The findings indicate that the current transparency of blockchain-based property transactions presents a regulatory challenge, as it conflicts with data protection laws. With over 65% of transactions being highly or moderately identifiable, the need for Zero-Knowledge Proofs (ZKPs) or other privacy-enhancing technologies becomes evident. The implications of these findings are critical for blockchain implementation in real estate, as balancing transparency with privacy compliance remains a significant challenge for regulatory bodies and technology developers alike.</w:t>
      </w:r>
    </w:p>
    <w:p w14:paraId="3E119B4D" w14:textId="77777777" w:rsidR="00B203E6" w:rsidRPr="00263935" w:rsidRDefault="00B203E6" w:rsidP="00B203E6">
      <w:pPr>
        <w:pStyle w:val="Heading3"/>
        <w:spacing w:before="280"/>
        <w:rPr>
          <w:sz w:val="24"/>
          <w:szCs w:val="24"/>
        </w:rPr>
      </w:pPr>
      <w:r w:rsidRPr="00263935">
        <w:rPr>
          <w:b/>
          <w:bCs/>
          <w:color w:val="0D0D0D"/>
          <w:sz w:val="24"/>
          <w:szCs w:val="24"/>
          <w:shd w:val="clear" w:color="auto" w:fill="FFFFFF"/>
        </w:rPr>
        <w:t>Enhancing Data Privacy with Zero-Knowledge Proofs in Blockchain Property Transactions</w:t>
      </w:r>
    </w:p>
    <w:p w14:paraId="447F9D62" w14:textId="77777777" w:rsidR="00B203E6" w:rsidRPr="00263935" w:rsidRDefault="00B203E6" w:rsidP="00B203E6">
      <w:pPr>
        <w:pStyle w:val="NormalWeb"/>
        <w:spacing w:before="160" w:beforeAutospacing="0" w:after="160" w:afterAutospacing="0"/>
        <w:rPr>
          <w:rFonts w:ascii="Arial" w:hAnsi="Arial" w:cs="Arial"/>
        </w:rPr>
      </w:pPr>
      <w:r w:rsidRPr="00263935">
        <w:rPr>
          <w:rFonts w:ascii="Arial" w:hAnsi="Arial" w:cs="Arial"/>
          <w:color w:val="0D0D0D"/>
          <w:shd w:val="clear" w:color="auto" w:fill="FFFFFF"/>
        </w:rPr>
        <w:t>Blockchain-based property transactions introduce efficiency and security but raise privacy concerns due to the public visibility of transaction details. While transparency enhances trust, it conflicts with regulatory requirements such as UK GDPR, which mandates data minimization and privacy protection. Zero-Knowledge Proofs (ZKPs) offer a privacy-preserving alternative by allowing transaction verification without disclosing sensitive details. This study examines the impact of ZKPs on transaction privacy, gas costs, and verification latency, providing insights into their effectiveness in maintaining privacy and transparency within blockchain-based property transactions.</w:t>
      </w:r>
    </w:p>
    <w:p w14:paraId="6EC58C38" w14:textId="77777777" w:rsidR="00B203E6" w:rsidRPr="00263935" w:rsidRDefault="00B203E6" w:rsidP="00B203E6">
      <w:pPr>
        <w:pStyle w:val="NormalWeb"/>
        <w:spacing w:before="160" w:beforeAutospacing="0" w:after="160" w:afterAutospacing="0"/>
        <w:rPr>
          <w:rFonts w:ascii="Arial" w:hAnsi="Arial" w:cs="Arial"/>
        </w:rPr>
      </w:pPr>
      <w:r w:rsidRPr="00263935">
        <w:rPr>
          <w:rFonts w:ascii="Arial" w:hAnsi="Arial" w:cs="Arial"/>
          <w:color w:val="0D0D0D"/>
          <w:shd w:val="clear" w:color="auto" w:fill="FFFFFF"/>
        </w:rPr>
        <w:t>A comparative analysis of ZKP-enabled transactions versus non-ZKP transactions reveals substantial improvements in privacy but at the cost of higher computational complexity. The transaction privacy score, a measure of the percentage of hidden attributes, is significantly higher for ZKP-enabled transactions (92.5%) compared to non-ZKP transactions (48.3%). This finding indicates that ZKPs effectively conceal sensitive transaction details, reducing the likelihood of re-identification. The details of this analysis are presented in Table 3.</w:t>
      </w:r>
    </w:p>
    <w:p w14:paraId="2BA13575" w14:textId="77777777" w:rsidR="00B203E6" w:rsidRPr="00147499" w:rsidRDefault="00B203E6" w:rsidP="00147499">
      <w:pPr>
        <w:pStyle w:val="Heading4"/>
        <w:spacing w:before="240" w:after="40"/>
        <w:jc w:val="center"/>
        <w:rPr>
          <w:i/>
        </w:rPr>
      </w:pPr>
      <w:r w:rsidRPr="00147499">
        <w:rPr>
          <w:bCs/>
          <w:i/>
          <w:color w:val="0D0D0D"/>
          <w:shd w:val="clear" w:color="auto" w:fill="FFFFFF"/>
        </w:rPr>
        <w:t>Table 3: Comparative Analysis of ZKP vs. Non-ZKP Transactions</w:t>
      </w:r>
    </w:p>
    <w:tbl>
      <w:tblPr>
        <w:tblStyle w:val="TableGrid"/>
        <w:tblW w:w="0" w:type="auto"/>
        <w:jc w:val="center"/>
        <w:tblLook w:val="04A0" w:firstRow="1" w:lastRow="0" w:firstColumn="1" w:lastColumn="0" w:noHBand="0" w:noVBand="1"/>
      </w:tblPr>
      <w:tblGrid>
        <w:gridCol w:w="2558"/>
        <w:gridCol w:w="2756"/>
        <w:gridCol w:w="1691"/>
        <w:gridCol w:w="2345"/>
      </w:tblGrid>
      <w:tr w:rsidR="00B203E6" w:rsidRPr="00263935" w14:paraId="43B5AFD4" w14:textId="77777777" w:rsidTr="00147499">
        <w:trPr>
          <w:trHeight w:val="410"/>
          <w:jc w:val="center"/>
        </w:trPr>
        <w:tc>
          <w:tcPr>
            <w:tcW w:w="0" w:type="auto"/>
            <w:hideMark/>
          </w:tcPr>
          <w:p w14:paraId="628C9FBF" w14:textId="77777777" w:rsidR="00B203E6" w:rsidRPr="00263935" w:rsidRDefault="00B203E6">
            <w:pPr>
              <w:pStyle w:val="NormalWeb"/>
              <w:spacing w:before="160" w:beforeAutospacing="0" w:after="160" w:afterAutospacing="0"/>
              <w:jc w:val="center"/>
              <w:rPr>
                <w:rFonts w:ascii="Arial" w:hAnsi="Arial" w:cs="Arial"/>
              </w:rPr>
            </w:pPr>
            <w:r w:rsidRPr="00263935">
              <w:rPr>
                <w:rFonts w:ascii="Arial" w:hAnsi="Arial" w:cs="Arial"/>
                <w:color w:val="0D0D0D"/>
                <w:shd w:val="clear" w:color="auto" w:fill="FFFFFF"/>
              </w:rPr>
              <w:t>Transaction Type</w:t>
            </w:r>
          </w:p>
        </w:tc>
        <w:tc>
          <w:tcPr>
            <w:tcW w:w="0" w:type="auto"/>
            <w:hideMark/>
          </w:tcPr>
          <w:p w14:paraId="47D93ED9" w14:textId="77777777" w:rsidR="00B203E6" w:rsidRPr="00263935" w:rsidRDefault="00B203E6">
            <w:pPr>
              <w:pStyle w:val="NormalWeb"/>
              <w:spacing w:before="160" w:beforeAutospacing="0" w:after="160" w:afterAutospacing="0"/>
              <w:jc w:val="center"/>
              <w:rPr>
                <w:rFonts w:ascii="Arial" w:hAnsi="Arial" w:cs="Arial"/>
              </w:rPr>
            </w:pPr>
            <w:r w:rsidRPr="00263935">
              <w:rPr>
                <w:rFonts w:ascii="Arial" w:hAnsi="Arial" w:cs="Arial"/>
                <w:color w:val="0D0D0D"/>
                <w:shd w:val="clear" w:color="auto" w:fill="FFFFFF"/>
              </w:rPr>
              <w:t>Transaction Privacy Score (%)</w:t>
            </w:r>
          </w:p>
        </w:tc>
        <w:tc>
          <w:tcPr>
            <w:tcW w:w="0" w:type="auto"/>
            <w:hideMark/>
          </w:tcPr>
          <w:p w14:paraId="744CEA36" w14:textId="77777777" w:rsidR="00B203E6" w:rsidRPr="00263935" w:rsidRDefault="00B203E6">
            <w:pPr>
              <w:pStyle w:val="NormalWeb"/>
              <w:spacing w:before="160" w:beforeAutospacing="0" w:after="160" w:afterAutospacing="0"/>
              <w:jc w:val="center"/>
              <w:rPr>
                <w:rFonts w:ascii="Arial" w:hAnsi="Arial" w:cs="Arial"/>
              </w:rPr>
            </w:pPr>
            <w:r w:rsidRPr="00263935">
              <w:rPr>
                <w:rFonts w:ascii="Arial" w:hAnsi="Arial" w:cs="Arial"/>
                <w:color w:val="0D0D0D"/>
                <w:shd w:val="clear" w:color="auto" w:fill="FFFFFF"/>
              </w:rPr>
              <w:t>Gas Costs (Gwei)</w:t>
            </w:r>
          </w:p>
        </w:tc>
        <w:tc>
          <w:tcPr>
            <w:tcW w:w="0" w:type="auto"/>
            <w:hideMark/>
          </w:tcPr>
          <w:p w14:paraId="45C22296" w14:textId="77777777" w:rsidR="00B203E6" w:rsidRPr="00263935" w:rsidRDefault="00B203E6">
            <w:pPr>
              <w:pStyle w:val="NormalWeb"/>
              <w:spacing w:before="160" w:beforeAutospacing="0" w:after="160" w:afterAutospacing="0"/>
              <w:jc w:val="center"/>
              <w:rPr>
                <w:rFonts w:ascii="Arial" w:hAnsi="Arial" w:cs="Arial"/>
              </w:rPr>
            </w:pPr>
            <w:r w:rsidRPr="00263935">
              <w:rPr>
                <w:rFonts w:ascii="Arial" w:hAnsi="Arial" w:cs="Arial"/>
                <w:color w:val="0D0D0D"/>
                <w:shd w:val="clear" w:color="auto" w:fill="FFFFFF"/>
              </w:rPr>
              <w:t>Verification Latency (ms)</w:t>
            </w:r>
          </w:p>
        </w:tc>
      </w:tr>
      <w:tr w:rsidR="00B203E6" w:rsidRPr="00263935" w14:paraId="3357FFD3" w14:textId="77777777" w:rsidTr="00147499">
        <w:trPr>
          <w:trHeight w:val="410"/>
          <w:jc w:val="center"/>
        </w:trPr>
        <w:tc>
          <w:tcPr>
            <w:tcW w:w="0" w:type="auto"/>
            <w:hideMark/>
          </w:tcPr>
          <w:p w14:paraId="2C2741F7" w14:textId="77777777" w:rsidR="00B203E6" w:rsidRPr="00263935" w:rsidRDefault="00B203E6">
            <w:pPr>
              <w:pStyle w:val="NormalWeb"/>
              <w:spacing w:before="160" w:beforeAutospacing="0" w:after="160" w:afterAutospacing="0"/>
              <w:rPr>
                <w:rFonts w:ascii="Arial" w:hAnsi="Arial" w:cs="Arial"/>
              </w:rPr>
            </w:pPr>
            <w:r w:rsidRPr="00263935">
              <w:rPr>
                <w:rFonts w:ascii="Arial" w:hAnsi="Arial" w:cs="Arial"/>
                <w:color w:val="0D0D0D"/>
                <w:shd w:val="clear" w:color="auto" w:fill="FFFFFF"/>
              </w:rPr>
              <w:t>ZKP-Enabled Transactions</w:t>
            </w:r>
          </w:p>
        </w:tc>
        <w:tc>
          <w:tcPr>
            <w:tcW w:w="0" w:type="auto"/>
            <w:hideMark/>
          </w:tcPr>
          <w:p w14:paraId="791A746C" w14:textId="77777777" w:rsidR="00B203E6" w:rsidRPr="00263935" w:rsidRDefault="00B203E6">
            <w:pPr>
              <w:pStyle w:val="NormalWeb"/>
              <w:spacing w:before="160" w:beforeAutospacing="0" w:after="160" w:afterAutospacing="0"/>
              <w:rPr>
                <w:rFonts w:ascii="Arial" w:hAnsi="Arial" w:cs="Arial"/>
              </w:rPr>
            </w:pPr>
            <w:r w:rsidRPr="00263935">
              <w:rPr>
                <w:rFonts w:ascii="Arial" w:hAnsi="Arial" w:cs="Arial"/>
                <w:color w:val="0D0D0D"/>
                <w:shd w:val="clear" w:color="auto" w:fill="FFFFFF"/>
              </w:rPr>
              <w:t>92.5</w:t>
            </w:r>
          </w:p>
        </w:tc>
        <w:tc>
          <w:tcPr>
            <w:tcW w:w="0" w:type="auto"/>
            <w:hideMark/>
          </w:tcPr>
          <w:p w14:paraId="06F14F52" w14:textId="77777777" w:rsidR="00B203E6" w:rsidRPr="00263935" w:rsidRDefault="00B203E6">
            <w:pPr>
              <w:pStyle w:val="NormalWeb"/>
              <w:spacing w:before="160" w:beforeAutospacing="0" w:after="160" w:afterAutospacing="0"/>
              <w:rPr>
                <w:rFonts w:ascii="Arial" w:hAnsi="Arial" w:cs="Arial"/>
              </w:rPr>
            </w:pPr>
            <w:r w:rsidRPr="00263935">
              <w:rPr>
                <w:rFonts w:ascii="Arial" w:hAnsi="Arial" w:cs="Arial"/>
                <w:color w:val="0D0D0D"/>
                <w:shd w:val="clear" w:color="auto" w:fill="FFFFFF"/>
              </w:rPr>
              <w:t>21000</w:t>
            </w:r>
          </w:p>
        </w:tc>
        <w:tc>
          <w:tcPr>
            <w:tcW w:w="0" w:type="auto"/>
            <w:hideMark/>
          </w:tcPr>
          <w:p w14:paraId="727CA878" w14:textId="77777777" w:rsidR="00B203E6" w:rsidRPr="00263935" w:rsidRDefault="00B203E6">
            <w:pPr>
              <w:pStyle w:val="NormalWeb"/>
              <w:spacing w:before="160" w:beforeAutospacing="0" w:after="160" w:afterAutospacing="0"/>
              <w:rPr>
                <w:rFonts w:ascii="Arial" w:hAnsi="Arial" w:cs="Arial"/>
              </w:rPr>
            </w:pPr>
            <w:r w:rsidRPr="00263935">
              <w:rPr>
                <w:rFonts w:ascii="Arial" w:hAnsi="Arial" w:cs="Arial"/>
                <w:color w:val="0D0D0D"/>
                <w:shd w:val="clear" w:color="auto" w:fill="FFFFFF"/>
              </w:rPr>
              <w:t>850</w:t>
            </w:r>
          </w:p>
        </w:tc>
      </w:tr>
      <w:tr w:rsidR="00B203E6" w:rsidRPr="00263935" w14:paraId="795F1D8F" w14:textId="77777777" w:rsidTr="00147499">
        <w:trPr>
          <w:trHeight w:val="410"/>
          <w:jc w:val="center"/>
        </w:trPr>
        <w:tc>
          <w:tcPr>
            <w:tcW w:w="0" w:type="auto"/>
            <w:hideMark/>
          </w:tcPr>
          <w:p w14:paraId="51FE21C9" w14:textId="77777777" w:rsidR="00B203E6" w:rsidRPr="00263935" w:rsidRDefault="00B203E6">
            <w:pPr>
              <w:pStyle w:val="NormalWeb"/>
              <w:spacing w:before="160" w:beforeAutospacing="0" w:after="160" w:afterAutospacing="0"/>
              <w:rPr>
                <w:rFonts w:ascii="Arial" w:hAnsi="Arial" w:cs="Arial"/>
              </w:rPr>
            </w:pPr>
            <w:r w:rsidRPr="00263935">
              <w:rPr>
                <w:rFonts w:ascii="Arial" w:hAnsi="Arial" w:cs="Arial"/>
                <w:color w:val="0D0D0D"/>
                <w:shd w:val="clear" w:color="auto" w:fill="FFFFFF"/>
              </w:rPr>
              <w:t>Non-ZKP Transactions</w:t>
            </w:r>
          </w:p>
        </w:tc>
        <w:tc>
          <w:tcPr>
            <w:tcW w:w="0" w:type="auto"/>
            <w:hideMark/>
          </w:tcPr>
          <w:p w14:paraId="1D62F796" w14:textId="77777777" w:rsidR="00B203E6" w:rsidRPr="00263935" w:rsidRDefault="00B203E6">
            <w:pPr>
              <w:pStyle w:val="NormalWeb"/>
              <w:spacing w:before="160" w:beforeAutospacing="0" w:after="160" w:afterAutospacing="0"/>
              <w:rPr>
                <w:rFonts w:ascii="Arial" w:hAnsi="Arial" w:cs="Arial"/>
              </w:rPr>
            </w:pPr>
            <w:r w:rsidRPr="00263935">
              <w:rPr>
                <w:rFonts w:ascii="Arial" w:hAnsi="Arial" w:cs="Arial"/>
                <w:color w:val="0D0D0D"/>
                <w:shd w:val="clear" w:color="auto" w:fill="FFFFFF"/>
              </w:rPr>
              <w:t>48.3</w:t>
            </w:r>
          </w:p>
        </w:tc>
        <w:tc>
          <w:tcPr>
            <w:tcW w:w="0" w:type="auto"/>
            <w:hideMark/>
          </w:tcPr>
          <w:p w14:paraId="78C0E79E" w14:textId="77777777" w:rsidR="00B203E6" w:rsidRPr="00263935" w:rsidRDefault="00B203E6">
            <w:pPr>
              <w:pStyle w:val="NormalWeb"/>
              <w:spacing w:before="160" w:beforeAutospacing="0" w:after="160" w:afterAutospacing="0"/>
              <w:rPr>
                <w:rFonts w:ascii="Arial" w:hAnsi="Arial" w:cs="Arial"/>
              </w:rPr>
            </w:pPr>
            <w:r w:rsidRPr="00263935">
              <w:rPr>
                <w:rFonts w:ascii="Arial" w:hAnsi="Arial" w:cs="Arial"/>
                <w:color w:val="0D0D0D"/>
                <w:shd w:val="clear" w:color="auto" w:fill="FFFFFF"/>
              </w:rPr>
              <w:t>12500</w:t>
            </w:r>
          </w:p>
        </w:tc>
        <w:tc>
          <w:tcPr>
            <w:tcW w:w="0" w:type="auto"/>
            <w:hideMark/>
          </w:tcPr>
          <w:p w14:paraId="1B828619" w14:textId="77777777" w:rsidR="00B203E6" w:rsidRPr="00263935" w:rsidRDefault="00B203E6">
            <w:pPr>
              <w:pStyle w:val="NormalWeb"/>
              <w:spacing w:before="160" w:beforeAutospacing="0" w:after="160" w:afterAutospacing="0"/>
              <w:rPr>
                <w:rFonts w:ascii="Arial" w:hAnsi="Arial" w:cs="Arial"/>
              </w:rPr>
            </w:pPr>
            <w:r w:rsidRPr="00263935">
              <w:rPr>
                <w:rFonts w:ascii="Arial" w:hAnsi="Arial" w:cs="Arial"/>
                <w:color w:val="0D0D0D"/>
                <w:shd w:val="clear" w:color="auto" w:fill="FFFFFF"/>
              </w:rPr>
              <w:t>430</w:t>
            </w:r>
          </w:p>
        </w:tc>
      </w:tr>
    </w:tbl>
    <w:p w14:paraId="50FDE4CB" w14:textId="77777777" w:rsidR="00B203E6" w:rsidRPr="00263935" w:rsidRDefault="00B203E6" w:rsidP="00B203E6">
      <w:pPr>
        <w:pStyle w:val="NormalWeb"/>
        <w:spacing w:before="160" w:beforeAutospacing="0" w:after="160" w:afterAutospacing="0"/>
        <w:rPr>
          <w:rFonts w:ascii="Arial" w:hAnsi="Arial" w:cs="Arial"/>
        </w:rPr>
      </w:pPr>
      <w:r w:rsidRPr="00263935">
        <w:rPr>
          <w:rFonts w:ascii="Arial" w:hAnsi="Arial" w:cs="Arial"/>
          <w:color w:val="0D0D0D"/>
          <w:shd w:val="clear" w:color="auto" w:fill="FFFFFF"/>
        </w:rPr>
        <w:t>Despite the privacy benefits, the use of ZKPs results in higher gas costs and increased verification latency. The computational overhead required for cryptographic proof generation leads to a 67.8% increase in transaction fees, making ZKP-enabled transactions more expensive than traditional blockchain transactions. Similarly, the time required for verification (850ms for ZKP vs. 430ms for non-ZKP transactions) nearly doubles, indicating higher computational demands.</w:t>
      </w:r>
    </w:p>
    <w:p w14:paraId="373F24AD" w14:textId="77777777" w:rsidR="00B203E6" w:rsidRPr="00263935" w:rsidRDefault="00B203E6" w:rsidP="00B203E6">
      <w:pPr>
        <w:pStyle w:val="NormalWeb"/>
        <w:spacing w:before="160" w:beforeAutospacing="0" w:after="160" w:afterAutospacing="0"/>
        <w:rPr>
          <w:rFonts w:ascii="Arial" w:hAnsi="Arial" w:cs="Arial"/>
          <w:color w:val="0D0D0D"/>
          <w:shd w:val="clear" w:color="auto" w:fill="FFFFFF"/>
        </w:rPr>
      </w:pPr>
      <w:r w:rsidRPr="00263935">
        <w:rPr>
          <w:rFonts w:ascii="Arial" w:hAnsi="Arial" w:cs="Arial"/>
          <w:color w:val="0D0D0D"/>
          <w:shd w:val="clear" w:color="auto" w:fill="FFFFFF"/>
        </w:rPr>
        <w:t>The Bullet Chart in Figure 3 visually represents the privacy score improvement with ZKP-enabled transactions. The significant increase in privacy protection suggests that ZKPs enhance confidentiality, making them a viable solution for blockchain-based property transactions where regulatory compliance requires personal data minimization.</w:t>
      </w:r>
    </w:p>
    <w:p w14:paraId="0C6ECE07" w14:textId="77777777" w:rsidR="00B958B4" w:rsidRPr="00263935" w:rsidRDefault="00B958B4" w:rsidP="00147499">
      <w:pPr>
        <w:pStyle w:val="NormalWeb"/>
        <w:spacing w:before="160" w:beforeAutospacing="0" w:after="160" w:afterAutospacing="0"/>
        <w:jc w:val="center"/>
        <w:rPr>
          <w:rFonts w:ascii="Arial" w:hAnsi="Arial" w:cs="Arial"/>
        </w:rPr>
      </w:pPr>
      <w:r w:rsidRPr="00263935">
        <w:rPr>
          <w:rFonts w:ascii="Arial" w:hAnsi="Arial" w:cs="Arial"/>
          <w:noProof/>
        </w:rPr>
        <w:drawing>
          <wp:inline distT="0" distB="0" distL="0" distR="0" wp14:anchorId="19AB709B" wp14:editId="610BA50D">
            <wp:extent cx="3962400" cy="20307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utput - 2025-03-02T145542.069.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89951" cy="2044850"/>
                    </a:xfrm>
                    <a:prstGeom prst="rect">
                      <a:avLst/>
                    </a:prstGeom>
                  </pic:spPr>
                </pic:pic>
              </a:graphicData>
            </a:graphic>
          </wp:inline>
        </w:drawing>
      </w:r>
    </w:p>
    <w:p w14:paraId="11E29978" w14:textId="77777777" w:rsidR="00B203E6" w:rsidRPr="00147499" w:rsidRDefault="00B203E6" w:rsidP="00147499">
      <w:pPr>
        <w:pStyle w:val="Heading4"/>
        <w:spacing w:before="240" w:after="40"/>
        <w:jc w:val="center"/>
        <w:rPr>
          <w:i/>
        </w:rPr>
      </w:pPr>
      <w:r w:rsidRPr="00147499">
        <w:rPr>
          <w:bCs/>
          <w:i/>
          <w:color w:val="0D0D0D"/>
          <w:shd w:val="clear" w:color="auto" w:fill="FFFFFF"/>
        </w:rPr>
        <w:t>Figure 3: Bullet Chart of Privacy Score for ZKP vs. Non-ZKP Transactions</w:t>
      </w:r>
    </w:p>
    <w:p w14:paraId="3D26498A" w14:textId="77777777" w:rsidR="00B203E6" w:rsidRPr="00263935" w:rsidRDefault="00B203E6" w:rsidP="00B203E6">
      <w:pPr>
        <w:pStyle w:val="NormalWeb"/>
        <w:spacing w:before="160" w:beforeAutospacing="0" w:after="160" w:afterAutospacing="0"/>
        <w:rPr>
          <w:rFonts w:ascii="Arial" w:hAnsi="Arial" w:cs="Arial"/>
          <w:color w:val="0D0D0D"/>
          <w:shd w:val="clear" w:color="auto" w:fill="FFFFFF"/>
        </w:rPr>
      </w:pPr>
      <w:r w:rsidRPr="00263935">
        <w:rPr>
          <w:rFonts w:ascii="Arial" w:hAnsi="Arial" w:cs="Arial"/>
          <w:color w:val="0D0D0D"/>
          <w:shd w:val="clear" w:color="auto" w:fill="FFFFFF"/>
        </w:rPr>
        <w:t>Further analysis using a Dumbbell Chart (Figure 4) illustrates the trade-offs between privacy, transaction costs, and verification speed. While ZKP-enabled transactions excel in privacy protection, they demand greater computational resources, which may impact the scalability of blockchain-based property transactions. These findings highlight the need for optimization techniques such as zk-Rollups, which could enhance efficiency while maintaining privacy standards.</w:t>
      </w:r>
    </w:p>
    <w:p w14:paraId="00E00EC6" w14:textId="77777777" w:rsidR="00B958B4" w:rsidRPr="00083239" w:rsidRDefault="00B958B4" w:rsidP="00083239">
      <w:pPr>
        <w:pStyle w:val="NormalWeb"/>
        <w:spacing w:before="160" w:beforeAutospacing="0" w:after="160" w:afterAutospacing="0"/>
        <w:jc w:val="center"/>
        <w:rPr>
          <w:rFonts w:ascii="Arial" w:hAnsi="Arial" w:cs="Arial"/>
        </w:rPr>
      </w:pPr>
      <w:r w:rsidRPr="00083239">
        <w:rPr>
          <w:rFonts w:ascii="Arial" w:hAnsi="Arial" w:cs="Arial"/>
          <w:noProof/>
        </w:rPr>
        <w:drawing>
          <wp:inline distT="0" distB="0" distL="0" distR="0" wp14:anchorId="16C7CD26" wp14:editId="25B4CF64">
            <wp:extent cx="4395141" cy="278130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utput - 2025-03-02T145546.569.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07429" cy="2789076"/>
                    </a:xfrm>
                    <a:prstGeom prst="rect">
                      <a:avLst/>
                    </a:prstGeom>
                  </pic:spPr>
                </pic:pic>
              </a:graphicData>
            </a:graphic>
          </wp:inline>
        </w:drawing>
      </w:r>
    </w:p>
    <w:p w14:paraId="2EA37B07" w14:textId="77777777" w:rsidR="00B203E6" w:rsidRPr="00083239" w:rsidRDefault="00B203E6" w:rsidP="00083239">
      <w:pPr>
        <w:pStyle w:val="Heading4"/>
        <w:spacing w:before="240" w:after="40"/>
        <w:jc w:val="center"/>
      </w:pPr>
      <w:r w:rsidRPr="00083239">
        <w:rPr>
          <w:bCs/>
          <w:color w:val="0D0D0D"/>
          <w:shd w:val="clear" w:color="auto" w:fill="FFFFFF"/>
        </w:rPr>
        <w:t>Figure 4: Dumbbell Chart of Gas Cost and Verification Latency for ZKP vs. Non-ZKP Transactions</w:t>
      </w:r>
    </w:p>
    <w:p w14:paraId="50B37EC1" w14:textId="77777777" w:rsidR="00B203E6" w:rsidRPr="00263935" w:rsidRDefault="00B203E6" w:rsidP="00B203E6">
      <w:pPr>
        <w:pStyle w:val="NormalWeb"/>
        <w:spacing w:before="160" w:beforeAutospacing="0" w:after="160" w:afterAutospacing="0"/>
        <w:rPr>
          <w:rFonts w:ascii="Arial" w:hAnsi="Arial" w:cs="Arial"/>
          <w:color w:val="0D0D0D"/>
          <w:shd w:val="clear" w:color="auto" w:fill="FFFFFF"/>
        </w:rPr>
      </w:pPr>
      <w:r w:rsidRPr="00263935">
        <w:rPr>
          <w:rFonts w:ascii="Arial" w:hAnsi="Arial" w:cs="Arial"/>
          <w:color w:val="0D0D0D"/>
          <w:shd w:val="clear" w:color="auto" w:fill="FFFFFF"/>
        </w:rPr>
        <w:t>The findings suggest that ZKPs significantly enhance privacy protection but introduce computational trade-offs that need to be addressed for widespread adoption in property transactions. The balance between privacy, cost, and efficiency remains a critical consideration for stakeholders, particularly in a regulatory environment that mandates both transparency and data confidentiality.</w:t>
      </w:r>
    </w:p>
    <w:p w14:paraId="111294D6" w14:textId="77777777" w:rsidR="00965396" w:rsidRPr="00263935" w:rsidRDefault="00965396" w:rsidP="00965396">
      <w:pPr>
        <w:pStyle w:val="Heading3"/>
        <w:spacing w:before="280"/>
        <w:rPr>
          <w:sz w:val="24"/>
          <w:szCs w:val="24"/>
        </w:rPr>
      </w:pPr>
      <w:r w:rsidRPr="00263935">
        <w:rPr>
          <w:b/>
          <w:bCs/>
          <w:color w:val="0D0D0D"/>
          <w:sz w:val="24"/>
          <w:szCs w:val="24"/>
          <w:shd w:val="clear" w:color="auto" w:fill="FFFFFF"/>
        </w:rPr>
        <w:t>Technical Feasibility of Zero-Knowledge Proofs in Blockchain Property Transactions</w:t>
      </w:r>
    </w:p>
    <w:p w14:paraId="10E481F4" w14:textId="77777777" w:rsidR="00965396" w:rsidRPr="00263935" w:rsidRDefault="00965396" w:rsidP="00965396">
      <w:pPr>
        <w:pStyle w:val="NormalWeb"/>
        <w:spacing w:before="160" w:beforeAutospacing="0" w:after="160" w:afterAutospacing="0"/>
        <w:rPr>
          <w:rFonts w:ascii="Arial" w:hAnsi="Arial" w:cs="Arial"/>
        </w:rPr>
      </w:pPr>
      <w:r w:rsidRPr="00263935">
        <w:rPr>
          <w:rFonts w:ascii="Arial" w:hAnsi="Arial" w:cs="Arial"/>
          <w:color w:val="0D0D0D"/>
          <w:shd w:val="clear" w:color="auto" w:fill="FFFFFF"/>
        </w:rPr>
        <w:t>The adoption of Zero-Knowledge Proofs (ZKPs) in blockchain-based property transactions depends on their technical feasibility in terms of scalability, computational efficiency, and storage optimization. While ZKPs enhance privacy and regulatory compliance, their high computational costs raise concerns regarding their practical implementation in real estate transactions. This study evaluates the feasibility of zk-Rollups as a scaling solution for ZKP-based transactions by analyzing their transaction throughput (TPS), proof generation time, and storage efficiency in comparison to Ethereum Layer-1 transactions.</w:t>
      </w:r>
    </w:p>
    <w:p w14:paraId="295A2790" w14:textId="77777777" w:rsidR="00965396" w:rsidRPr="00263935" w:rsidRDefault="00965396" w:rsidP="00965396">
      <w:pPr>
        <w:pStyle w:val="NormalWeb"/>
        <w:spacing w:before="160" w:beforeAutospacing="0" w:after="160" w:afterAutospacing="0"/>
        <w:rPr>
          <w:rFonts w:ascii="Arial" w:hAnsi="Arial" w:cs="Arial"/>
        </w:rPr>
      </w:pPr>
      <w:r w:rsidRPr="00263935">
        <w:rPr>
          <w:rFonts w:ascii="Arial" w:hAnsi="Arial" w:cs="Arial"/>
          <w:color w:val="0D0D0D"/>
          <w:shd w:val="clear" w:color="auto" w:fill="FFFFFF"/>
        </w:rPr>
        <w:t>The results indicate that zk-Rollups drastically outperform Ethereum Layer-1 transactions in terms of scalability. The transactions per second (TPS) for zk-Rollups (3,500 TPS) far exceeds that of Ethereum Layer-1 (15 TPS), demonstrating a substantial improvement in processing capacity. This performance boost is crucial for high-volume property transactions, where delays can significantly impact market efficiency. Table 4 summarizes the technical performance of ZKP-based transactions.</w:t>
      </w:r>
    </w:p>
    <w:p w14:paraId="02AC8274" w14:textId="77777777" w:rsidR="00965396" w:rsidRPr="00083239" w:rsidRDefault="00965396" w:rsidP="00083239">
      <w:pPr>
        <w:pStyle w:val="Heading4"/>
        <w:spacing w:before="240" w:after="40"/>
        <w:jc w:val="center"/>
        <w:rPr>
          <w:i/>
        </w:rPr>
      </w:pPr>
      <w:r w:rsidRPr="00083239">
        <w:rPr>
          <w:bCs/>
          <w:i/>
          <w:color w:val="0D0D0D"/>
          <w:shd w:val="clear" w:color="auto" w:fill="FFFFFF"/>
        </w:rPr>
        <w:t>Table 4: Performance Comparison of ZK-Rollups and Ethereum Layer-1 Transactions</w:t>
      </w:r>
    </w:p>
    <w:tbl>
      <w:tblPr>
        <w:tblStyle w:val="TableGrid"/>
        <w:tblW w:w="0" w:type="auto"/>
        <w:jc w:val="center"/>
        <w:tblLook w:val="04A0" w:firstRow="1" w:lastRow="0" w:firstColumn="1" w:lastColumn="0" w:noHBand="0" w:noVBand="1"/>
      </w:tblPr>
      <w:tblGrid>
        <w:gridCol w:w="2363"/>
        <w:gridCol w:w="2657"/>
        <w:gridCol w:w="2363"/>
        <w:gridCol w:w="1967"/>
      </w:tblGrid>
      <w:tr w:rsidR="00965396" w:rsidRPr="00263935" w14:paraId="24882DE5" w14:textId="77777777" w:rsidTr="00083239">
        <w:trPr>
          <w:trHeight w:val="410"/>
          <w:jc w:val="center"/>
        </w:trPr>
        <w:tc>
          <w:tcPr>
            <w:tcW w:w="0" w:type="auto"/>
            <w:hideMark/>
          </w:tcPr>
          <w:p w14:paraId="2F154607" w14:textId="77777777" w:rsidR="00965396" w:rsidRPr="00263935" w:rsidRDefault="00965396">
            <w:pPr>
              <w:pStyle w:val="NormalWeb"/>
              <w:spacing w:before="160" w:beforeAutospacing="0" w:after="160" w:afterAutospacing="0"/>
              <w:jc w:val="center"/>
              <w:rPr>
                <w:rFonts w:ascii="Arial" w:hAnsi="Arial" w:cs="Arial"/>
              </w:rPr>
            </w:pPr>
            <w:r w:rsidRPr="00263935">
              <w:rPr>
                <w:rFonts w:ascii="Arial" w:hAnsi="Arial" w:cs="Arial"/>
                <w:color w:val="0D0D0D"/>
                <w:shd w:val="clear" w:color="auto" w:fill="FFFFFF"/>
              </w:rPr>
              <w:t>Transaction Type</w:t>
            </w:r>
          </w:p>
        </w:tc>
        <w:tc>
          <w:tcPr>
            <w:tcW w:w="0" w:type="auto"/>
            <w:hideMark/>
          </w:tcPr>
          <w:p w14:paraId="5E2C42A0" w14:textId="77777777" w:rsidR="00965396" w:rsidRPr="00263935" w:rsidRDefault="00965396">
            <w:pPr>
              <w:pStyle w:val="NormalWeb"/>
              <w:spacing w:before="160" w:beforeAutospacing="0" w:after="160" w:afterAutospacing="0"/>
              <w:jc w:val="center"/>
              <w:rPr>
                <w:rFonts w:ascii="Arial" w:hAnsi="Arial" w:cs="Arial"/>
              </w:rPr>
            </w:pPr>
            <w:r w:rsidRPr="00263935">
              <w:rPr>
                <w:rFonts w:ascii="Arial" w:hAnsi="Arial" w:cs="Arial"/>
                <w:color w:val="0D0D0D"/>
                <w:shd w:val="clear" w:color="auto" w:fill="FFFFFF"/>
              </w:rPr>
              <w:t>Transactions per Second (TPS)</w:t>
            </w:r>
          </w:p>
        </w:tc>
        <w:tc>
          <w:tcPr>
            <w:tcW w:w="0" w:type="auto"/>
            <w:hideMark/>
          </w:tcPr>
          <w:p w14:paraId="6304DAED" w14:textId="77777777" w:rsidR="00965396" w:rsidRPr="00263935" w:rsidRDefault="00965396">
            <w:pPr>
              <w:pStyle w:val="NormalWeb"/>
              <w:spacing w:before="160" w:beforeAutospacing="0" w:after="160" w:afterAutospacing="0"/>
              <w:jc w:val="center"/>
              <w:rPr>
                <w:rFonts w:ascii="Arial" w:hAnsi="Arial" w:cs="Arial"/>
              </w:rPr>
            </w:pPr>
            <w:r w:rsidRPr="00263935">
              <w:rPr>
                <w:rFonts w:ascii="Arial" w:hAnsi="Arial" w:cs="Arial"/>
                <w:color w:val="0D0D0D"/>
                <w:shd w:val="clear" w:color="auto" w:fill="FFFFFF"/>
              </w:rPr>
              <w:t>Proof Generation Time (ms)</w:t>
            </w:r>
          </w:p>
        </w:tc>
        <w:tc>
          <w:tcPr>
            <w:tcW w:w="0" w:type="auto"/>
            <w:hideMark/>
          </w:tcPr>
          <w:p w14:paraId="4C4F9807" w14:textId="77777777" w:rsidR="00965396" w:rsidRPr="00263935" w:rsidRDefault="00965396">
            <w:pPr>
              <w:pStyle w:val="NormalWeb"/>
              <w:spacing w:before="160" w:beforeAutospacing="0" w:after="160" w:afterAutospacing="0"/>
              <w:jc w:val="center"/>
              <w:rPr>
                <w:rFonts w:ascii="Arial" w:hAnsi="Arial" w:cs="Arial"/>
              </w:rPr>
            </w:pPr>
            <w:r w:rsidRPr="00263935">
              <w:rPr>
                <w:rFonts w:ascii="Arial" w:hAnsi="Arial" w:cs="Arial"/>
                <w:color w:val="0D0D0D"/>
                <w:shd w:val="clear" w:color="auto" w:fill="FFFFFF"/>
              </w:rPr>
              <w:t>Storage Efficiency (%)</w:t>
            </w:r>
          </w:p>
        </w:tc>
      </w:tr>
      <w:tr w:rsidR="00965396" w:rsidRPr="00263935" w14:paraId="38FC275D" w14:textId="77777777" w:rsidTr="00083239">
        <w:trPr>
          <w:trHeight w:val="410"/>
          <w:jc w:val="center"/>
        </w:trPr>
        <w:tc>
          <w:tcPr>
            <w:tcW w:w="0" w:type="auto"/>
            <w:hideMark/>
          </w:tcPr>
          <w:p w14:paraId="17556C81" w14:textId="77777777" w:rsidR="00965396" w:rsidRPr="00263935" w:rsidRDefault="00965396">
            <w:pPr>
              <w:pStyle w:val="NormalWeb"/>
              <w:spacing w:before="160" w:beforeAutospacing="0" w:after="160" w:afterAutospacing="0"/>
              <w:rPr>
                <w:rFonts w:ascii="Arial" w:hAnsi="Arial" w:cs="Arial"/>
              </w:rPr>
            </w:pPr>
            <w:r w:rsidRPr="00263935">
              <w:rPr>
                <w:rFonts w:ascii="Arial" w:hAnsi="Arial" w:cs="Arial"/>
                <w:color w:val="0D0D0D"/>
                <w:shd w:val="clear" w:color="auto" w:fill="FFFFFF"/>
              </w:rPr>
              <w:t>zk-Rollup Transactions</w:t>
            </w:r>
          </w:p>
        </w:tc>
        <w:tc>
          <w:tcPr>
            <w:tcW w:w="0" w:type="auto"/>
            <w:hideMark/>
          </w:tcPr>
          <w:p w14:paraId="43306130" w14:textId="77777777" w:rsidR="00965396" w:rsidRPr="00263935" w:rsidRDefault="00965396">
            <w:pPr>
              <w:pStyle w:val="NormalWeb"/>
              <w:spacing w:before="160" w:beforeAutospacing="0" w:after="160" w:afterAutospacing="0"/>
              <w:rPr>
                <w:rFonts w:ascii="Arial" w:hAnsi="Arial" w:cs="Arial"/>
              </w:rPr>
            </w:pPr>
            <w:r w:rsidRPr="00263935">
              <w:rPr>
                <w:rFonts w:ascii="Arial" w:hAnsi="Arial" w:cs="Arial"/>
                <w:color w:val="0D0D0D"/>
                <w:shd w:val="clear" w:color="auto" w:fill="FFFFFF"/>
              </w:rPr>
              <w:t>3,500</w:t>
            </w:r>
          </w:p>
        </w:tc>
        <w:tc>
          <w:tcPr>
            <w:tcW w:w="0" w:type="auto"/>
            <w:hideMark/>
          </w:tcPr>
          <w:p w14:paraId="320D3D7D" w14:textId="77777777" w:rsidR="00965396" w:rsidRPr="00263935" w:rsidRDefault="00965396">
            <w:pPr>
              <w:pStyle w:val="NormalWeb"/>
              <w:spacing w:before="160" w:beforeAutospacing="0" w:after="160" w:afterAutospacing="0"/>
              <w:rPr>
                <w:rFonts w:ascii="Arial" w:hAnsi="Arial" w:cs="Arial"/>
              </w:rPr>
            </w:pPr>
            <w:r w:rsidRPr="00263935">
              <w:rPr>
                <w:rFonts w:ascii="Arial" w:hAnsi="Arial" w:cs="Arial"/>
                <w:color w:val="0D0D0D"/>
                <w:shd w:val="clear" w:color="auto" w:fill="FFFFFF"/>
              </w:rPr>
              <w:t>120</w:t>
            </w:r>
          </w:p>
        </w:tc>
        <w:tc>
          <w:tcPr>
            <w:tcW w:w="0" w:type="auto"/>
            <w:hideMark/>
          </w:tcPr>
          <w:p w14:paraId="40FCB017" w14:textId="77777777" w:rsidR="00965396" w:rsidRPr="00263935" w:rsidRDefault="00965396">
            <w:pPr>
              <w:pStyle w:val="NormalWeb"/>
              <w:spacing w:before="160" w:beforeAutospacing="0" w:after="160" w:afterAutospacing="0"/>
              <w:rPr>
                <w:rFonts w:ascii="Arial" w:hAnsi="Arial" w:cs="Arial"/>
              </w:rPr>
            </w:pPr>
            <w:r w:rsidRPr="00263935">
              <w:rPr>
                <w:rFonts w:ascii="Arial" w:hAnsi="Arial" w:cs="Arial"/>
                <w:color w:val="0D0D0D"/>
                <w:shd w:val="clear" w:color="auto" w:fill="FFFFFF"/>
              </w:rPr>
              <w:t>85.3</w:t>
            </w:r>
          </w:p>
        </w:tc>
      </w:tr>
      <w:tr w:rsidR="00965396" w:rsidRPr="00263935" w14:paraId="58097F0B" w14:textId="77777777" w:rsidTr="00083239">
        <w:trPr>
          <w:trHeight w:val="410"/>
          <w:jc w:val="center"/>
        </w:trPr>
        <w:tc>
          <w:tcPr>
            <w:tcW w:w="0" w:type="auto"/>
            <w:hideMark/>
          </w:tcPr>
          <w:p w14:paraId="3C7EFFCA" w14:textId="77777777" w:rsidR="00965396" w:rsidRPr="00263935" w:rsidRDefault="00965396">
            <w:pPr>
              <w:pStyle w:val="NormalWeb"/>
              <w:spacing w:before="160" w:beforeAutospacing="0" w:after="160" w:afterAutospacing="0"/>
              <w:rPr>
                <w:rFonts w:ascii="Arial" w:hAnsi="Arial" w:cs="Arial"/>
              </w:rPr>
            </w:pPr>
            <w:r w:rsidRPr="00263935">
              <w:rPr>
                <w:rFonts w:ascii="Arial" w:hAnsi="Arial" w:cs="Arial"/>
                <w:color w:val="0D0D0D"/>
                <w:shd w:val="clear" w:color="auto" w:fill="FFFFFF"/>
              </w:rPr>
              <w:t>Ethereum L1 Transactions</w:t>
            </w:r>
          </w:p>
        </w:tc>
        <w:tc>
          <w:tcPr>
            <w:tcW w:w="0" w:type="auto"/>
            <w:hideMark/>
          </w:tcPr>
          <w:p w14:paraId="6F27BC86" w14:textId="77777777" w:rsidR="00965396" w:rsidRPr="00263935" w:rsidRDefault="00965396">
            <w:pPr>
              <w:pStyle w:val="NormalWeb"/>
              <w:spacing w:before="160" w:beforeAutospacing="0" w:after="160" w:afterAutospacing="0"/>
              <w:rPr>
                <w:rFonts w:ascii="Arial" w:hAnsi="Arial" w:cs="Arial"/>
              </w:rPr>
            </w:pPr>
            <w:r w:rsidRPr="00263935">
              <w:rPr>
                <w:rFonts w:ascii="Arial" w:hAnsi="Arial" w:cs="Arial"/>
                <w:color w:val="0D0D0D"/>
                <w:shd w:val="clear" w:color="auto" w:fill="FFFFFF"/>
              </w:rPr>
              <w:t>15</w:t>
            </w:r>
          </w:p>
        </w:tc>
        <w:tc>
          <w:tcPr>
            <w:tcW w:w="0" w:type="auto"/>
            <w:hideMark/>
          </w:tcPr>
          <w:p w14:paraId="62786035" w14:textId="77777777" w:rsidR="00965396" w:rsidRPr="00263935" w:rsidRDefault="00965396">
            <w:pPr>
              <w:pStyle w:val="NormalWeb"/>
              <w:spacing w:before="160" w:beforeAutospacing="0" w:after="160" w:afterAutospacing="0"/>
              <w:rPr>
                <w:rFonts w:ascii="Arial" w:hAnsi="Arial" w:cs="Arial"/>
              </w:rPr>
            </w:pPr>
            <w:r w:rsidRPr="00263935">
              <w:rPr>
                <w:rFonts w:ascii="Arial" w:hAnsi="Arial" w:cs="Arial"/>
                <w:color w:val="0D0D0D"/>
                <w:shd w:val="clear" w:color="auto" w:fill="FFFFFF"/>
              </w:rPr>
              <w:t>20</w:t>
            </w:r>
          </w:p>
        </w:tc>
        <w:tc>
          <w:tcPr>
            <w:tcW w:w="0" w:type="auto"/>
            <w:hideMark/>
          </w:tcPr>
          <w:p w14:paraId="3F0FB116" w14:textId="77777777" w:rsidR="00965396" w:rsidRPr="00263935" w:rsidRDefault="00965396">
            <w:pPr>
              <w:pStyle w:val="NormalWeb"/>
              <w:spacing w:before="160" w:beforeAutospacing="0" w:after="160" w:afterAutospacing="0"/>
              <w:rPr>
                <w:rFonts w:ascii="Arial" w:hAnsi="Arial" w:cs="Arial"/>
              </w:rPr>
            </w:pPr>
            <w:r w:rsidRPr="00263935">
              <w:rPr>
                <w:rFonts w:ascii="Arial" w:hAnsi="Arial" w:cs="Arial"/>
                <w:color w:val="0D0D0D"/>
                <w:shd w:val="clear" w:color="auto" w:fill="FFFFFF"/>
              </w:rPr>
              <w:t>0.0</w:t>
            </w:r>
          </w:p>
        </w:tc>
      </w:tr>
    </w:tbl>
    <w:p w14:paraId="7F5BB1F8" w14:textId="77777777" w:rsidR="00965396" w:rsidRPr="00263935" w:rsidRDefault="00965396" w:rsidP="00965396">
      <w:pPr>
        <w:pStyle w:val="NormalWeb"/>
        <w:spacing w:before="160" w:beforeAutospacing="0" w:after="160" w:afterAutospacing="0"/>
        <w:rPr>
          <w:rFonts w:ascii="Arial" w:hAnsi="Arial" w:cs="Arial"/>
        </w:rPr>
      </w:pPr>
      <w:r w:rsidRPr="00263935">
        <w:rPr>
          <w:rFonts w:ascii="Arial" w:hAnsi="Arial" w:cs="Arial"/>
          <w:color w:val="0D0D0D"/>
          <w:shd w:val="clear" w:color="auto" w:fill="FFFFFF"/>
        </w:rPr>
        <w:t>Although zk-Rollups offer significant scalability improvements, the proof generation time is six times higher (120 ms for zk-Rollups vs. 20 ms for Ethereum L1). This increase results from the complex cryptographic computations required for privacy-preserving proofs, which could impact real-time transaction processing.</w:t>
      </w:r>
    </w:p>
    <w:p w14:paraId="7BC76349" w14:textId="77777777" w:rsidR="00965396" w:rsidRPr="00263935" w:rsidRDefault="00965396" w:rsidP="00965396">
      <w:pPr>
        <w:pStyle w:val="NormalWeb"/>
        <w:spacing w:before="160" w:beforeAutospacing="0" w:after="160" w:afterAutospacing="0"/>
        <w:rPr>
          <w:rFonts w:ascii="Arial" w:hAnsi="Arial" w:cs="Arial"/>
        </w:rPr>
      </w:pPr>
      <w:r w:rsidRPr="00263935">
        <w:rPr>
          <w:rFonts w:ascii="Arial" w:hAnsi="Arial" w:cs="Arial"/>
          <w:color w:val="0D0D0D"/>
          <w:shd w:val="clear" w:color="auto" w:fill="FFFFFF"/>
        </w:rPr>
        <w:t>The Lollipop Chart in Figure 5 visually illustrates the stark contrast in transaction throughput between zk-Rollups and Ethereum Layer-1. The sharp increase in TPS highlights zk-Rollups’ capability to support large-scale property transactions, making them a viable alternative to traditional blockchain systems for real estate applications.</w:t>
      </w:r>
    </w:p>
    <w:p w14:paraId="2B38F2D0" w14:textId="77777777" w:rsidR="00515D7F" w:rsidRPr="00083239" w:rsidRDefault="00515D7F" w:rsidP="00083239">
      <w:pPr>
        <w:pStyle w:val="Heading4"/>
        <w:spacing w:before="240" w:after="40"/>
        <w:jc w:val="center"/>
        <w:rPr>
          <w:bCs/>
          <w:i/>
          <w:color w:val="0D0D0D"/>
          <w:shd w:val="clear" w:color="auto" w:fill="FFFFFF"/>
        </w:rPr>
      </w:pPr>
      <w:r w:rsidRPr="00083239">
        <w:rPr>
          <w:bCs/>
          <w:i/>
          <w:noProof/>
          <w:color w:val="0D0D0D"/>
          <w:shd w:val="clear" w:color="auto" w:fill="FFFFFF"/>
          <w:lang w:val="en-US"/>
        </w:rPr>
        <w:drawing>
          <wp:inline distT="0" distB="0" distL="0" distR="0" wp14:anchorId="0741BC33" wp14:editId="5793F6C4">
            <wp:extent cx="3883379" cy="245745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utput - 2025-03-02T150000.809.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92678" cy="2463334"/>
                    </a:xfrm>
                    <a:prstGeom prst="rect">
                      <a:avLst/>
                    </a:prstGeom>
                  </pic:spPr>
                </pic:pic>
              </a:graphicData>
            </a:graphic>
          </wp:inline>
        </w:drawing>
      </w:r>
    </w:p>
    <w:p w14:paraId="42C7E2D0" w14:textId="77777777" w:rsidR="00965396" w:rsidRPr="00083239" w:rsidRDefault="00965396" w:rsidP="00083239">
      <w:pPr>
        <w:pStyle w:val="Heading4"/>
        <w:spacing w:before="240" w:after="40"/>
        <w:jc w:val="center"/>
        <w:rPr>
          <w:i/>
        </w:rPr>
      </w:pPr>
      <w:r w:rsidRPr="00083239">
        <w:rPr>
          <w:bCs/>
          <w:i/>
          <w:color w:val="0D0D0D"/>
          <w:shd w:val="clear" w:color="auto" w:fill="FFFFFF"/>
        </w:rPr>
        <w:t>Figure 5: Lollipop Chart of Transactions per Second (TPS) for ZK-Rollups vs. Ethereum L1</w:t>
      </w:r>
    </w:p>
    <w:p w14:paraId="095529D2" w14:textId="77777777" w:rsidR="00965396" w:rsidRPr="00263935" w:rsidRDefault="00965396" w:rsidP="00965396">
      <w:pPr>
        <w:pStyle w:val="NormalWeb"/>
        <w:spacing w:before="160" w:beforeAutospacing="0" w:after="160" w:afterAutospacing="0"/>
        <w:rPr>
          <w:rFonts w:ascii="Arial" w:hAnsi="Arial" w:cs="Arial"/>
          <w:color w:val="0D0D0D"/>
          <w:shd w:val="clear" w:color="auto" w:fill="FFFFFF"/>
        </w:rPr>
      </w:pPr>
      <w:r w:rsidRPr="00263935">
        <w:rPr>
          <w:rFonts w:ascii="Arial" w:hAnsi="Arial" w:cs="Arial"/>
          <w:color w:val="0D0D0D"/>
          <w:shd w:val="clear" w:color="auto" w:fill="FFFFFF"/>
        </w:rPr>
        <w:t>Storage efficiency is another critical factor influencing the practical adoption of ZKPs. The Diverging Bar Chart in Figure 6 presents a comparative view of proof generation time and storage efficiency. While zk-Rollups require more computational time for proof verification, they significantly reduce on-chain data storage by 85.3%. This storage optimization minimizes blockchain bloat, ensuring a more sustainable and cost-effective transaction model.</w:t>
      </w:r>
    </w:p>
    <w:p w14:paraId="2332121E" w14:textId="77777777" w:rsidR="00515D7F" w:rsidRPr="00263935" w:rsidRDefault="00515D7F" w:rsidP="00083239">
      <w:pPr>
        <w:pStyle w:val="NormalWeb"/>
        <w:spacing w:before="160" w:beforeAutospacing="0" w:after="160" w:afterAutospacing="0"/>
        <w:jc w:val="center"/>
        <w:rPr>
          <w:rFonts w:ascii="Arial" w:hAnsi="Arial" w:cs="Arial"/>
        </w:rPr>
      </w:pPr>
      <w:r w:rsidRPr="00263935">
        <w:rPr>
          <w:rFonts w:ascii="Arial" w:hAnsi="Arial" w:cs="Arial"/>
          <w:noProof/>
        </w:rPr>
        <w:drawing>
          <wp:inline distT="0" distB="0" distL="0" distR="0" wp14:anchorId="7359FE02" wp14:editId="5E728FEE">
            <wp:extent cx="4139262" cy="26193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utput - 2025-03-02T150004.249.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47148" cy="2624365"/>
                    </a:xfrm>
                    <a:prstGeom prst="rect">
                      <a:avLst/>
                    </a:prstGeom>
                  </pic:spPr>
                </pic:pic>
              </a:graphicData>
            </a:graphic>
          </wp:inline>
        </w:drawing>
      </w:r>
    </w:p>
    <w:p w14:paraId="52EDBE8C" w14:textId="77777777" w:rsidR="00965396" w:rsidRPr="00083239" w:rsidRDefault="00965396" w:rsidP="00083239">
      <w:pPr>
        <w:pStyle w:val="Heading4"/>
        <w:spacing w:before="240" w:after="40"/>
        <w:jc w:val="center"/>
        <w:rPr>
          <w:i/>
        </w:rPr>
      </w:pPr>
      <w:r w:rsidRPr="00083239">
        <w:rPr>
          <w:bCs/>
          <w:i/>
          <w:color w:val="0D0D0D"/>
          <w:shd w:val="clear" w:color="auto" w:fill="FFFFFF"/>
        </w:rPr>
        <w:t>Figure 6: Diverging Bar Chart of Proof Generation Time and Storage Efficiency</w:t>
      </w:r>
    </w:p>
    <w:p w14:paraId="05B3DCCD" w14:textId="77777777" w:rsidR="00965396" w:rsidRPr="00263935" w:rsidRDefault="00965396" w:rsidP="00965396">
      <w:pPr>
        <w:pStyle w:val="NormalWeb"/>
        <w:spacing w:before="160" w:beforeAutospacing="0" w:after="160" w:afterAutospacing="0"/>
        <w:rPr>
          <w:rFonts w:ascii="Arial" w:hAnsi="Arial" w:cs="Arial"/>
          <w:color w:val="0D0D0D"/>
          <w:shd w:val="clear" w:color="auto" w:fill="FFFFFF"/>
        </w:rPr>
      </w:pPr>
      <w:r w:rsidRPr="00263935">
        <w:rPr>
          <w:rFonts w:ascii="Arial" w:hAnsi="Arial" w:cs="Arial"/>
          <w:color w:val="0D0D0D"/>
          <w:shd w:val="clear" w:color="auto" w:fill="FFFFFF"/>
        </w:rPr>
        <w:t>The findings indicate that zk-Rollups offer a scalable and storage-efficient solution for implementing ZKPs in blockchain-based property transactions. However, the increased computational complexity of proof generation may require further optimization before large-scale adoption. The trade-off between privacy, efficiency, and scalability must be carefully managed to ensure that ZKPs can be effectively integrated into real estate blockchain platforms.</w:t>
      </w:r>
    </w:p>
    <w:p w14:paraId="602A5314" w14:textId="77777777" w:rsidR="00040A41" w:rsidRPr="00263935" w:rsidRDefault="00040A41" w:rsidP="00040A41">
      <w:pPr>
        <w:pStyle w:val="Heading3"/>
        <w:spacing w:before="280"/>
        <w:rPr>
          <w:sz w:val="24"/>
          <w:szCs w:val="24"/>
        </w:rPr>
      </w:pPr>
      <w:r w:rsidRPr="00263935">
        <w:rPr>
          <w:b/>
          <w:bCs/>
          <w:color w:val="0D0D0D"/>
          <w:sz w:val="24"/>
          <w:szCs w:val="24"/>
          <w:shd w:val="clear" w:color="auto" w:fill="FFFFFF"/>
        </w:rPr>
        <w:t>Adoption Challenges and Benefits of ZKP-Enabled Blockchain Solutions for Property Transactions in the UK</w:t>
      </w:r>
    </w:p>
    <w:p w14:paraId="52C1FF5B" w14:textId="77777777" w:rsidR="00040A41" w:rsidRPr="00263935" w:rsidRDefault="00040A41" w:rsidP="00040A41">
      <w:pPr>
        <w:pStyle w:val="NormalWeb"/>
        <w:spacing w:before="160" w:beforeAutospacing="0" w:after="160" w:afterAutospacing="0"/>
        <w:rPr>
          <w:rFonts w:ascii="Arial" w:hAnsi="Arial" w:cs="Arial"/>
        </w:rPr>
      </w:pPr>
      <w:r w:rsidRPr="00263935">
        <w:rPr>
          <w:rFonts w:ascii="Arial" w:hAnsi="Arial" w:cs="Arial"/>
          <w:color w:val="0D0D0D"/>
          <w:shd w:val="clear" w:color="auto" w:fill="FFFFFF"/>
        </w:rPr>
        <w:t>The adoption of Zero-Knowledge Proof (ZKP)-enabled blockchain solutions in property transactions is influenced by regulatory approvals, compliance standards, and market adoption trends. While ZKPs offer enhanced data privacy and security, their adoption depends on compliance with UK financial regulations, particularly regarding AML/KYC requirements. This study examines the approval rates, regulatory compliance scores, and projected adoption growth of ZKP-based platforms in comparison to non-ZKP blockchain platforms, providing insights into the challenges and opportunities associated with integrating ZKPs into real estate transactions.</w:t>
      </w:r>
    </w:p>
    <w:p w14:paraId="776E1EC5" w14:textId="77777777" w:rsidR="00040A41" w:rsidRPr="00263935" w:rsidRDefault="00040A41" w:rsidP="00040A41">
      <w:pPr>
        <w:pStyle w:val="NormalWeb"/>
        <w:spacing w:before="160" w:beforeAutospacing="0" w:after="160" w:afterAutospacing="0"/>
        <w:rPr>
          <w:rFonts w:ascii="Arial" w:hAnsi="Arial" w:cs="Arial"/>
        </w:rPr>
      </w:pPr>
      <w:r w:rsidRPr="00263935">
        <w:rPr>
          <w:rFonts w:ascii="Arial" w:hAnsi="Arial" w:cs="Arial"/>
          <w:color w:val="0D0D0D"/>
          <w:shd w:val="clear" w:color="auto" w:fill="FFFFFF"/>
        </w:rPr>
        <w:t>The findings indicate that ZKP-enabled blockchain platforms have a higher approval rate (72.5%) compared to non-ZKP platforms (43.8%), as shown in Table 5. This suggests that privacy-enhancing mechanisms improve the likelihood of regulatory acceptance, particularly in compliance with UK financial security standards.</w:t>
      </w:r>
    </w:p>
    <w:p w14:paraId="569F6E2A" w14:textId="77777777" w:rsidR="00040A41" w:rsidRPr="00083239" w:rsidRDefault="00040A41" w:rsidP="00083239">
      <w:pPr>
        <w:pStyle w:val="Heading4"/>
        <w:spacing w:before="240" w:after="40"/>
        <w:jc w:val="center"/>
        <w:rPr>
          <w:i/>
        </w:rPr>
      </w:pPr>
      <w:r w:rsidRPr="00083239">
        <w:rPr>
          <w:bCs/>
          <w:i/>
          <w:color w:val="0D0D0D"/>
          <w:shd w:val="clear" w:color="auto" w:fill="FFFFFF"/>
        </w:rPr>
        <w:t>Table 5: Regulatory Approval and Adoption Trends of ZKP vs. Non-ZKP Blockchain Platforms</w:t>
      </w:r>
    </w:p>
    <w:tbl>
      <w:tblPr>
        <w:tblStyle w:val="TableGrid"/>
        <w:tblW w:w="0" w:type="auto"/>
        <w:tblLook w:val="04A0" w:firstRow="1" w:lastRow="0" w:firstColumn="1" w:lastColumn="0" w:noHBand="0" w:noVBand="1"/>
      </w:tblPr>
      <w:tblGrid>
        <w:gridCol w:w="2647"/>
        <w:gridCol w:w="1711"/>
        <w:gridCol w:w="2522"/>
        <w:gridCol w:w="2470"/>
      </w:tblGrid>
      <w:tr w:rsidR="00040A41" w:rsidRPr="00263935" w14:paraId="7A669AC1" w14:textId="77777777" w:rsidTr="00FC555B">
        <w:trPr>
          <w:trHeight w:val="410"/>
        </w:trPr>
        <w:tc>
          <w:tcPr>
            <w:tcW w:w="0" w:type="auto"/>
            <w:hideMark/>
          </w:tcPr>
          <w:p w14:paraId="3D52322D" w14:textId="77777777" w:rsidR="00040A41" w:rsidRPr="00263935" w:rsidRDefault="00040A41">
            <w:pPr>
              <w:pStyle w:val="NormalWeb"/>
              <w:spacing w:before="160" w:beforeAutospacing="0" w:after="160" w:afterAutospacing="0"/>
              <w:jc w:val="center"/>
              <w:rPr>
                <w:rFonts w:ascii="Arial" w:hAnsi="Arial" w:cs="Arial"/>
              </w:rPr>
            </w:pPr>
            <w:r w:rsidRPr="00263935">
              <w:rPr>
                <w:rFonts w:ascii="Arial" w:hAnsi="Arial" w:cs="Arial"/>
                <w:color w:val="0D0D0D"/>
                <w:shd w:val="clear" w:color="auto" w:fill="FFFFFF"/>
              </w:rPr>
              <w:t>Blockchain Platform Type</w:t>
            </w:r>
          </w:p>
        </w:tc>
        <w:tc>
          <w:tcPr>
            <w:tcW w:w="0" w:type="auto"/>
            <w:hideMark/>
          </w:tcPr>
          <w:p w14:paraId="155BB7ED" w14:textId="77777777" w:rsidR="00040A41" w:rsidRPr="00263935" w:rsidRDefault="00040A41">
            <w:pPr>
              <w:pStyle w:val="NormalWeb"/>
              <w:spacing w:before="160" w:beforeAutospacing="0" w:after="160" w:afterAutospacing="0"/>
              <w:jc w:val="center"/>
              <w:rPr>
                <w:rFonts w:ascii="Arial" w:hAnsi="Arial" w:cs="Arial"/>
              </w:rPr>
            </w:pPr>
            <w:r w:rsidRPr="00263935">
              <w:rPr>
                <w:rFonts w:ascii="Arial" w:hAnsi="Arial" w:cs="Arial"/>
                <w:color w:val="0D0D0D"/>
                <w:shd w:val="clear" w:color="auto" w:fill="FFFFFF"/>
              </w:rPr>
              <w:t>Approval Rate (%)</w:t>
            </w:r>
          </w:p>
        </w:tc>
        <w:tc>
          <w:tcPr>
            <w:tcW w:w="0" w:type="auto"/>
            <w:hideMark/>
          </w:tcPr>
          <w:p w14:paraId="7AABAED3" w14:textId="77777777" w:rsidR="00040A41" w:rsidRPr="00263935" w:rsidRDefault="00040A41">
            <w:pPr>
              <w:pStyle w:val="NormalWeb"/>
              <w:spacing w:before="160" w:beforeAutospacing="0" w:after="160" w:afterAutospacing="0"/>
              <w:jc w:val="center"/>
              <w:rPr>
                <w:rFonts w:ascii="Arial" w:hAnsi="Arial" w:cs="Arial"/>
              </w:rPr>
            </w:pPr>
            <w:r w:rsidRPr="00263935">
              <w:rPr>
                <w:rFonts w:ascii="Arial" w:hAnsi="Arial" w:cs="Arial"/>
                <w:color w:val="0D0D0D"/>
                <w:shd w:val="clear" w:color="auto" w:fill="FFFFFF"/>
              </w:rPr>
              <w:t>Regulatory Compliance Score</w:t>
            </w:r>
          </w:p>
        </w:tc>
        <w:tc>
          <w:tcPr>
            <w:tcW w:w="0" w:type="auto"/>
            <w:hideMark/>
          </w:tcPr>
          <w:p w14:paraId="275EC98B" w14:textId="77777777" w:rsidR="00040A41" w:rsidRPr="00263935" w:rsidRDefault="00040A41">
            <w:pPr>
              <w:pStyle w:val="NormalWeb"/>
              <w:spacing w:before="160" w:beforeAutospacing="0" w:after="160" w:afterAutospacing="0"/>
              <w:jc w:val="center"/>
              <w:rPr>
                <w:rFonts w:ascii="Arial" w:hAnsi="Arial" w:cs="Arial"/>
              </w:rPr>
            </w:pPr>
            <w:r w:rsidRPr="00263935">
              <w:rPr>
                <w:rFonts w:ascii="Arial" w:hAnsi="Arial" w:cs="Arial"/>
                <w:color w:val="0D0D0D"/>
                <w:shd w:val="clear" w:color="auto" w:fill="FFFFFF"/>
              </w:rPr>
              <w:t>Projected Adoption Growth (%)</w:t>
            </w:r>
          </w:p>
        </w:tc>
      </w:tr>
      <w:tr w:rsidR="00040A41" w:rsidRPr="00263935" w14:paraId="182FCA75" w14:textId="77777777" w:rsidTr="00FC555B">
        <w:trPr>
          <w:trHeight w:val="410"/>
        </w:trPr>
        <w:tc>
          <w:tcPr>
            <w:tcW w:w="0" w:type="auto"/>
            <w:hideMark/>
          </w:tcPr>
          <w:p w14:paraId="4D4BE655" w14:textId="77777777" w:rsidR="00040A41" w:rsidRPr="00263935" w:rsidRDefault="00040A41">
            <w:pPr>
              <w:pStyle w:val="NormalWeb"/>
              <w:spacing w:before="160" w:beforeAutospacing="0" w:after="160" w:afterAutospacing="0"/>
              <w:rPr>
                <w:rFonts w:ascii="Arial" w:hAnsi="Arial" w:cs="Arial"/>
              </w:rPr>
            </w:pPr>
            <w:r w:rsidRPr="00263935">
              <w:rPr>
                <w:rFonts w:ascii="Arial" w:hAnsi="Arial" w:cs="Arial"/>
                <w:color w:val="0D0D0D"/>
                <w:shd w:val="clear" w:color="auto" w:fill="FFFFFF"/>
              </w:rPr>
              <w:t>ZKP-Based Blockchain Solutions</w:t>
            </w:r>
          </w:p>
        </w:tc>
        <w:tc>
          <w:tcPr>
            <w:tcW w:w="0" w:type="auto"/>
            <w:hideMark/>
          </w:tcPr>
          <w:p w14:paraId="73D02D68" w14:textId="77777777" w:rsidR="00040A41" w:rsidRPr="00263935" w:rsidRDefault="00040A41">
            <w:pPr>
              <w:pStyle w:val="NormalWeb"/>
              <w:spacing w:before="160" w:beforeAutospacing="0" w:after="160" w:afterAutospacing="0"/>
              <w:rPr>
                <w:rFonts w:ascii="Arial" w:hAnsi="Arial" w:cs="Arial"/>
              </w:rPr>
            </w:pPr>
            <w:r w:rsidRPr="00263935">
              <w:rPr>
                <w:rFonts w:ascii="Arial" w:hAnsi="Arial" w:cs="Arial"/>
                <w:color w:val="0D0D0D"/>
                <w:shd w:val="clear" w:color="auto" w:fill="FFFFFF"/>
              </w:rPr>
              <w:t>72.5</w:t>
            </w:r>
          </w:p>
        </w:tc>
        <w:tc>
          <w:tcPr>
            <w:tcW w:w="0" w:type="auto"/>
            <w:hideMark/>
          </w:tcPr>
          <w:p w14:paraId="146AE984" w14:textId="77777777" w:rsidR="00040A41" w:rsidRPr="00263935" w:rsidRDefault="00040A41">
            <w:pPr>
              <w:pStyle w:val="NormalWeb"/>
              <w:spacing w:before="160" w:beforeAutospacing="0" w:after="160" w:afterAutospacing="0"/>
              <w:rPr>
                <w:rFonts w:ascii="Arial" w:hAnsi="Arial" w:cs="Arial"/>
              </w:rPr>
            </w:pPr>
            <w:r w:rsidRPr="00263935">
              <w:rPr>
                <w:rFonts w:ascii="Arial" w:hAnsi="Arial" w:cs="Arial"/>
                <w:color w:val="0D0D0D"/>
                <w:shd w:val="clear" w:color="auto" w:fill="FFFFFF"/>
              </w:rPr>
              <w:t>88.2</w:t>
            </w:r>
          </w:p>
        </w:tc>
        <w:tc>
          <w:tcPr>
            <w:tcW w:w="0" w:type="auto"/>
            <w:hideMark/>
          </w:tcPr>
          <w:p w14:paraId="648D34CF" w14:textId="77777777" w:rsidR="00040A41" w:rsidRPr="00263935" w:rsidRDefault="00040A41">
            <w:pPr>
              <w:pStyle w:val="NormalWeb"/>
              <w:spacing w:before="160" w:beforeAutospacing="0" w:after="160" w:afterAutospacing="0"/>
              <w:rPr>
                <w:rFonts w:ascii="Arial" w:hAnsi="Arial" w:cs="Arial"/>
              </w:rPr>
            </w:pPr>
            <w:r w:rsidRPr="00263935">
              <w:rPr>
                <w:rFonts w:ascii="Arial" w:hAnsi="Arial" w:cs="Arial"/>
                <w:color w:val="0D0D0D"/>
                <w:shd w:val="clear" w:color="auto" w:fill="FFFFFF"/>
              </w:rPr>
              <w:t>28.3</w:t>
            </w:r>
          </w:p>
        </w:tc>
      </w:tr>
      <w:tr w:rsidR="00040A41" w:rsidRPr="00263935" w14:paraId="6F299CDE" w14:textId="77777777" w:rsidTr="00FC555B">
        <w:trPr>
          <w:trHeight w:val="410"/>
        </w:trPr>
        <w:tc>
          <w:tcPr>
            <w:tcW w:w="0" w:type="auto"/>
            <w:hideMark/>
          </w:tcPr>
          <w:p w14:paraId="7C76BB7F" w14:textId="77777777" w:rsidR="00040A41" w:rsidRPr="00263935" w:rsidRDefault="00040A41">
            <w:pPr>
              <w:pStyle w:val="NormalWeb"/>
              <w:spacing w:before="160" w:beforeAutospacing="0" w:after="160" w:afterAutospacing="0"/>
              <w:rPr>
                <w:rFonts w:ascii="Arial" w:hAnsi="Arial" w:cs="Arial"/>
              </w:rPr>
            </w:pPr>
            <w:r w:rsidRPr="00263935">
              <w:rPr>
                <w:rFonts w:ascii="Arial" w:hAnsi="Arial" w:cs="Arial"/>
                <w:color w:val="0D0D0D"/>
                <w:shd w:val="clear" w:color="auto" w:fill="FFFFFF"/>
              </w:rPr>
              <w:t>Non-ZKP Blockchain Platforms</w:t>
            </w:r>
          </w:p>
        </w:tc>
        <w:tc>
          <w:tcPr>
            <w:tcW w:w="0" w:type="auto"/>
            <w:hideMark/>
          </w:tcPr>
          <w:p w14:paraId="720404E6" w14:textId="77777777" w:rsidR="00040A41" w:rsidRPr="00263935" w:rsidRDefault="00040A41">
            <w:pPr>
              <w:pStyle w:val="NormalWeb"/>
              <w:spacing w:before="160" w:beforeAutospacing="0" w:after="160" w:afterAutospacing="0"/>
              <w:rPr>
                <w:rFonts w:ascii="Arial" w:hAnsi="Arial" w:cs="Arial"/>
              </w:rPr>
            </w:pPr>
            <w:r w:rsidRPr="00263935">
              <w:rPr>
                <w:rFonts w:ascii="Arial" w:hAnsi="Arial" w:cs="Arial"/>
                <w:color w:val="0D0D0D"/>
                <w:shd w:val="clear" w:color="auto" w:fill="FFFFFF"/>
              </w:rPr>
              <w:t>43.8</w:t>
            </w:r>
          </w:p>
        </w:tc>
        <w:tc>
          <w:tcPr>
            <w:tcW w:w="0" w:type="auto"/>
            <w:hideMark/>
          </w:tcPr>
          <w:p w14:paraId="1F3CDEDF" w14:textId="77777777" w:rsidR="00040A41" w:rsidRPr="00263935" w:rsidRDefault="00040A41">
            <w:pPr>
              <w:pStyle w:val="NormalWeb"/>
              <w:spacing w:before="160" w:beforeAutospacing="0" w:after="160" w:afterAutospacing="0"/>
              <w:rPr>
                <w:rFonts w:ascii="Arial" w:hAnsi="Arial" w:cs="Arial"/>
              </w:rPr>
            </w:pPr>
            <w:r w:rsidRPr="00263935">
              <w:rPr>
                <w:rFonts w:ascii="Arial" w:hAnsi="Arial" w:cs="Arial"/>
                <w:color w:val="0D0D0D"/>
                <w:shd w:val="clear" w:color="auto" w:fill="FFFFFF"/>
              </w:rPr>
              <w:t>56.4</w:t>
            </w:r>
          </w:p>
        </w:tc>
        <w:tc>
          <w:tcPr>
            <w:tcW w:w="0" w:type="auto"/>
            <w:hideMark/>
          </w:tcPr>
          <w:p w14:paraId="7D3ED977" w14:textId="77777777" w:rsidR="00040A41" w:rsidRPr="00263935" w:rsidRDefault="00040A41">
            <w:pPr>
              <w:pStyle w:val="NormalWeb"/>
              <w:spacing w:before="160" w:beforeAutospacing="0" w:after="160" w:afterAutospacing="0"/>
              <w:rPr>
                <w:rFonts w:ascii="Arial" w:hAnsi="Arial" w:cs="Arial"/>
              </w:rPr>
            </w:pPr>
            <w:r w:rsidRPr="00263935">
              <w:rPr>
                <w:rFonts w:ascii="Arial" w:hAnsi="Arial" w:cs="Arial"/>
                <w:color w:val="0D0D0D"/>
                <w:shd w:val="clear" w:color="auto" w:fill="FFFFFF"/>
              </w:rPr>
              <w:t>12.7</w:t>
            </w:r>
          </w:p>
        </w:tc>
      </w:tr>
    </w:tbl>
    <w:p w14:paraId="2A73ED8E" w14:textId="77777777" w:rsidR="00040A41" w:rsidRPr="00263935" w:rsidRDefault="00040A41" w:rsidP="00040A41">
      <w:pPr>
        <w:pStyle w:val="NormalWeb"/>
        <w:spacing w:before="160" w:beforeAutospacing="0" w:after="160" w:afterAutospacing="0"/>
        <w:rPr>
          <w:rFonts w:ascii="Arial" w:hAnsi="Arial" w:cs="Arial"/>
        </w:rPr>
      </w:pPr>
      <w:r w:rsidRPr="00263935">
        <w:rPr>
          <w:rFonts w:ascii="Arial" w:hAnsi="Arial" w:cs="Arial"/>
          <w:color w:val="0D0D0D"/>
          <w:shd w:val="clear" w:color="auto" w:fill="FFFFFF"/>
        </w:rPr>
        <w:t>The regulatory compliance score, a measure of adherence to AML and data protection standards, is significantly higher for ZKP-based solutions (88.2) compared to non-ZKP platforms (56.4). This indicates that platforms implementing privacy-preserving cryptographic techniques face fewer regulatory hurdles, making them more viable for real estate applications where data security and legal conformity are critical.</w:t>
      </w:r>
    </w:p>
    <w:p w14:paraId="3C6D32A2" w14:textId="77777777" w:rsidR="00040A41" w:rsidRPr="00263935" w:rsidRDefault="00040A41" w:rsidP="00040A41">
      <w:pPr>
        <w:pStyle w:val="NormalWeb"/>
        <w:spacing w:before="160" w:beforeAutospacing="0" w:after="160" w:afterAutospacing="0"/>
        <w:rPr>
          <w:rFonts w:ascii="Arial" w:hAnsi="Arial" w:cs="Arial"/>
        </w:rPr>
      </w:pPr>
      <w:r w:rsidRPr="00263935">
        <w:rPr>
          <w:rFonts w:ascii="Arial" w:hAnsi="Arial" w:cs="Arial"/>
          <w:color w:val="0D0D0D"/>
          <w:shd w:val="clear" w:color="auto" w:fill="FFFFFF"/>
        </w:rPr>
        <w:t>Despite the regulatory advantages, market adoption remains a challenge. The projected adoption growth over the next five years for ZKP-based platforms (28.3%) is more than double that of non-ZKP platforms (12.7%), indicating growing industry confidence in privacy-focused blockchain solutions. However, concerns regarding scalability, technical complexity, and integration with existing property transaction frameworks may slow down widespread adoption.</w:t>
      </w:r>
    </w:p>
    <w:p w14:paraId="443C46B8" w14:textId="77777777" w:rsidR="00040A41" w:rsidRPr="00263935" w:rsidRDefault="00040A41" w:rsidP="00040A41">
      <w:pPr>
        <w:pStyle w:val="NormalWeb"/>
        <w:spacing w:before="160" w:beforeAutospacing="0" w:after="160" w:afterAutospacing="0"/>
        <w:rPr>
          <w:rFonts w:ascii="Arial" w:hAnsi="Arial" w:cs="Arial"/>
          <w:color w:val="0D0D0D"/>
          <w:shd w:val="clear" w:color="auto" w:fill="FFFFFF"/>
        </w:rPr>
      </w:pPr>
      <w:r w:rsidRPr="00263935">
        <w:rPr>
          <w:rFonts w:ascii="Arial" w:hAnsi="Arial" w:cs="Arial"/>
          <w:color w:val="0D0D0D"/>
          <w:shd w:val="clear" w:color="auto" w:fill="FFFFFF"/>
        </w:rPr>
        <w:t>The Diverging Dot Plot in Figure 7 visually represents the comparative trends of approval rates, compliance scores, and adoption growth for ZKP vs. Non-ZKP blockchain platforms. The alignment of higher approval rates with compliance scores suggests that ZKP-based solutions benefit from regulatory support, making them more favorable for legal adoption in UK property transactions.</w:t>
      </w:r>
    </w:p>
    <w:p w14:paraId="5771E0D3" w14:textId="77777777" w:rsidR="009C5FCB" w:rsidRPr="00083239" w:rsidRDefault="009C5FCB" w:rsidP="00083239">
      <w:pPr>
        <w:pStyle w:val="NormalWeb"/>
        <w:spacing w:before="160" w:beforeAutospacing="0" w:after="160" w:afterAutospacing="0"/>
        <w:jc w:val="center"/>
        <w:rPr>
          <w:rFonts w:ascii="Arial" w:hAnsi="Arial" w:cs="Arial"/>
          <w:i/>
        </w:rPr>
      </w:pPr>
      <w:r w:rsidRPr="00083239">
        <w:rPr>
          <w:rFonts w:ascii="Arial" w:hAnsi="Arial" w:cs="Arial"/>
          <w:i/>
          <w:noProof/>
        </w:rPr>
        <w:drawing>
          <wp:inline distT="0" distB="0" distL="0" distR="0" wp14:anchorId="6C088B61" wp14:editId="6281B976">
            <wp:extent cx="4500505" cy="28479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utput - 2025-03-02T150425.925.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04410" cy="2850446"/>
                    </a:xfrm>
                    <a:prstGeom prst="rect">
                      <a:avLst/>
                    </a:prstGeom>
                  </pic:spPr>
                </pic:pic>
              </a:graphicData>
            </a:graphic>
          </wp:inline>
        </w:drawing>
      </w:r>
    </w:p>
    <w:p w14:paraId="46CAF2A4" w14:textId="77777777" w:rsidR="00040A41" w:rsidRPr="00083239" w:rsidRDefault="00040A41" w:rsidP="00083239">
      <w:pPr>
        <w:pStyle w:val="Heading4"/>
        <w:spacing w:before="240" w:after="40"/>
        <w:jc w:val="center"/>
        <w:rPr>
          <w:i/>
        </w:rPr>
      </w:pPr>
      <w:r w:rsidRPr="00083239">
        <w:rPr>
          <w:bCs/>
          <w:i/>
          <w:color w:val="0D0D0D"/>
          <w:shd w:val="clear" w:color="auto" w:fill="FFFFFF"/>
        </w:rPr>
        <w:t>Figure 7: Diverging Dot Plot of Approval Rates, Compliance Scores, and Adoption Growth for Blockchain Platforms</w:t>
      </w:r>
    </w:p>
    <w:p w14:paraId="72CB5E4F" w14:textId="77777777" w:rsidR="00040A41" w:rsidRPr="00263935" w:rsidRDefault="00040A41" w:rsidP="00040A41">
      <w:pPr>
        <w:pStyle w:val="NormalWeb"/>
        <w:spacing w:before="160" w:beforeAutospacing="0" w:after="160" w:afterAutospacing="0"/>
        <w:rPr>
          <w:rFonts w:ascii="Arial" w:hAnsi="Arial" w:cs="Arial"/>
          <w:color w:val="0D0D0D"/>
          <w:shd w:val="clear" w:color="auto" w:fill="FFFFFF"/>
        </w:rPr>
      </w:pPr>
      <w:r w:rsidRPr="00263935">
        <w:rPr>
          <w:rFonts w:ascii="Arial" w:hAnsi="Arial" w:cs="Arial"/>
          <w:color w:val="0D0D0D"/>
          <w:shd w:val="clear" w:color="auto" w:fill="FFFFFF"/>
        </w:rPr>
        <w:t>The findings suggest that regulatory bodies favor ZKP-based solutions due to their privacy-preserving capabilities, yet industry-wide adoption remains gradual due to implementation challenges and cost considerations. While ZKPs align with compliance requirements, further technological advancements and policy incentives may be required to accelerate their adoption in the UK real estate sector.</w:t>
      </w:r>
    </w:p>
    <w:p w14:paraId="7EEDE9A4" w14:textId="77777777" w:rsidR="00276BE4" w:rsidRPr="00263935" w:rsidRDefault="00276BE4" w:rsidP="00040A41">
      <w:pPr>
        <w:pStyle w:val="NormalWeb"/>
        <w:spacing w:before="160" w:beforeAutospacing="0" w:after="160" w:afterAutospacing="0"/>
        <w:rPr>
          <w:rFonts w:ascii="Arial" w:hAnsi="Arial" w:cs="Arial"/>
          <w:b/>
          <w:color w:val="0D0D0D"/>
          <w:shd w:val="clear" w:color="auto" w:fill="FFFFFF"/>
        </w:rPr>
      </w:pPr>
      <w:r w:rsidRPr="00263935">
        <w:rPr>
          <w:rFonts w:ascii="Arial" w:hAnsi="Arial" w:cs="Arial"/>
          <w:b/>
          <w:color w:val="0D0D0D"/>
          <w:shd w:val="clear" w:color="auto" w:fill="FFFFFF"/>
        </w:rPr>
        <w:t>Discussion</w:t>
      </w:r>
    </w:p>
    <w:p w14:paraId="08293CFB" w14:textId="77777777" w:rsidR="00276BE4" w:rsidRPr="00263935" w:rsidRDefault="00276BE4" w:rsidP="00276BE4">
      <w:pPr>
        <w:pStyle w:val="NormalWeb"/>
        <w:rPr>
          <w:rFonts w:ascii="Arial" w:hAnsi="Arial" w:cs="Arial"/>
        </w:rPr>
      </w:pPr>
      <w:r w:rsidRPr="00263935">
        <w:rPr>
          <w:rFonts w:ascii="Arial" w:hAnsi="Arial" w:cs="Arial"/>
        </w:rPr>
        <w:t>The integration of Zero-Knowledge Proofs (ZKPs) in blockchain-based property transactions presents a significant advancement in addressing data privacy concerns while ensuring regulatory compliance within the UK real estate sector. The findings demonstrate that while blockchain enhances transparency and security, it simultaneously introduces data exposure risks that conflict with privacy mandates under UK GDPR. The assessment of privacy risks highlights that over 65% of transactions remain highly or moderately identifiable, reinforcing existing concerns regarding the accessibility of transaction data on decentralized ledgers. Borges and Rodrigues (2024) emphasize that blockchain’s inherent transparency exposes sensitive information, making privacy-enhancing cryptographic techniques essential for regulatory alignment. The entropy analysis further corroborates this, showing that transactions classified as highly identifiable exhibit the lowest entropy values, making them highly predictable and vulnerable to re-identification. These findings align with previous studies on privacy risks in public blockchain systems, where high transparency levels create an inherent trade-off between security and confidentiality (Wylde et al., 2022; Obioha-Val et al., 2025).</w:t>
      </w:r>
    </w:p>
    <w:p w14:paraId="31151B29" w14:textId="77777777" w:rsidR="00276BE4" w:rsidRPr="00263935" w:rsidRDefault="00276BE4" w:rsidP="00276BE4">
      <w:pPr>
        <w:pStyle w:val="NormalWeb"/>
        <w:rPr>
          <w:rFonts w:ascii="Arial" w:hAnsi="Arial" w:cs="Arial"/>
        </w:rPr>
      </w:pPr>
      <w:r w:rsidRPr="00263935">
        <w:rPr>
          <w:rFonts w:ascii="Arial" w:hAnsi="Arial" w:cs="Arial"/>
        </w:rPr>
        <w:t>Zero-Knowledge Proofs offer a cryptographic approach to mitigating these risks by enabling transaction verification without revealing confidential data. The findings reveal that ZKP-enabled transactions significantly enhance privacy, with a 92.5% transaction privacy score compared to 48.3% for non-ZKP transactions. This aligns with Zhou et al. (2024), who argue that ZKPs allow for secure verification while preserving transactional confidentiality, making them suitable for sensitive applications such as property transactions. However, despite their privacy advantages, the study finds that ZKPs increase computational overhead, resulting in a 67.8% rise in transaction fees due to the complex proof-generation process. The verification latency for ZKP-enabled transactions nearly doubles compared to non-ZKP transactions, reinforcing concerns raised by Ballesteros-Rodríguez et al. (2024) regarding the scalability challenges posed by cryptographic proofs in real-time applications. These results suggest that while ZKPs enhance privacy, their computational demands necessitate further efficiency improvements, particularly in high-volume transaction environments such as real estate.</w:t>
      </w:r>
    </w:p>
    <w:p w14:paraId="11BFD3A8" w14:textId="77777777" w:rsidR="00276BE4" w:rsidRPr="00263935" w:rsidRDefault="00276BE4" w:rsidP="00276BE4">
      <w:pPr>
        <w:pStyle w:val="NormalWeb"/>
        <w:rPr>
          <w:rFonts w:ascii="Arial" w:hAnsi="Arial" w:cs="Arial"/>
        </w:rPr>
      </w:pPr>
      <w:r w:rsidRPr="00263935">
        <w:rPr>
          <w:rFonts w:ascii="Arial" w:hAnsi="Arial" w:cs="Arial"/>
        </w:rPr>
        <w:t>The technical feasibility of ZKPs is further explored through the evaluation of zk-Rollups, which offer a scaling solution by processing multiple transactions off-chain before submitting a single cryptographic proof to the main blockchain. The findings indicate that zk-Rollups achieve 3,500 transactions per second (TPS) compared to Ethereum Layer-1’s 15 TPS, demonstrating a substantial improvement in scalability. This supports the argument by Saif et al. (2024) that zk-Rollups can alleviate performance bottlenecks, making ZKPs more viable for large-scale blockchain applications. However, proof generation time remains a critical challenge, with zk-Rollups requiring six times longer to generate and verify proofs than standard Ethereum transactions. This echoes the concerns raised by Panait and Olimid (2021) that zk-SNARKs and zk-STARKs, despite offering enhanced privacy, demand high computational resources, which could limit their widespread adoption without further optimization. The significant reduction in on-chain storage by 85.3% reinforces the claim by Olusegun and Yang (2023) that zk-Rollups effectively minimize blockchain bloat, making them a promising solution for long-term sustainability in blockchain-based property transactions.</w:t>
      </w:r>
    </w:p>
    <w:p w14:paraId="07278CC1" w14:textId="77777777" w:rsidR="00276BE4" w:rsidRPr="00263935" w:rsidRDefault="00276BE4" w:rsidP="00276BE4">
      <w:pPr>
        <w:pStyle w:val="NormalWeb"/>
        <w:rPr>
          <w:rFonts w:ascii="Arial" w:hAnsi="Arial" w:cs="Arial"/>
        </w:rPr>
      </w:pPr>
      <w:r w:rsidRPr="00263935">
        <w:rPr>
          <w:rFonts w:ascii="Arial" w:hAnsi="Arial" w:cs="Arial"/>
        </w:rPr>
        <w:t>Despite the technical promise of ZKPs, their adoption remains contingent on regulatory approvals and market confidence. The findings reveal that ZKP-enabled platforms receive a higher regulatory approval rate (72.5%) compared to non-ZKP blockchain platforms (43.8%), suggesting that privacy-preserving mechanisms enhance compliance with financial regulations. This aligns with the perspective of Kakebayashi et al. (2023), who argue that ZKPs facilitate adherence to Anti-Money Laundering (AML) and Know Your Customer (KYC) requirements by enabling secure identity verification without exposing excessive user data. The higher regulatory compliance score of ZKP-based platforms further supports this view, indicating that platforms leveraging privacy-preserving cryptographic techniques face fewer legal and compliance challenges. However, market adoption trends suggest that while regulatory bodies favor ZKP-enabled solutions, industry-wide implementation remains slow, with projected adoption growth at 28.3% over the next five years. This moderate growth rate aligns with the skepticism expressed by Panwar et al. (2024), who highlight that institutional resistance, concerns over transaction costs, and the complexity of integrating ZKPs into existing frameworks continue to impede widespread adoption.</w:t>
      </w:r>
    </w:p>
    <w:p w14:paraId="134F8ED9" w14:textId="77777777" w:rsidR="00276BE4" w:rsidRPr="00263935" w:rsidRDefault="00276BE4" w:rsidP="00276BE4">
      <w:pPr>
        <w:pStyle w:val="NormalWeb"/>
        <w:rPr>
          <w:rFonts w:ascii="Arial" w:hAnsi="Arial" w:cs="Arial"/>
        </w:rPr>
      </w:pPr>
      <w:r w:rsidRPr="00263935">
        <w:rPr>
          <w:rFonts w:ascii="Arial" w:hAnsi="Arial" w:cs="Arial"/>
        </w:rPr>
        <w:t>The intersection of regulatory support and technical limitations underscores the need for strategic advancements in ZKP integration within the UK property sector. While the findings suggest that ZKPs address privacy concerns effectively and align with compliance frameworks, their computational complexity presents a barrier to seamless implementation. The introduction of zk-Rollups enhances scalability but does not fully resolve the trade-off between privacy and efficiency. The approval rates of ZKP-enabled solutions indicate regulatory confidence, yet their adoption remains gradual due to technical and economic considerations. Addressing these challenges requires continued innovation in cryptographic efficiency, alongside policy initiatives that incentivize the adoption of privacy-preserving blockchain solutions. As the UK government explores blockchain modernization within its land registry systems, further industry trials and collaborative research efforts are crucial to ensuring that ZKP-based solutions achieve both regulatory compliance and practical feasibility within real estate transactions.</w:t>
      </w:r>
    </w:p>
    <w:p w14:paraId="6E27E04A" w14:textId="77777777" w:rsidR="00276BE4" w:rsidRPr="00263935" w:rsidRDefault="00263935" w:rsidP="00276BE4">
      <w:pPr>
        <w:pStyle w:val="NormalWeb"/>
        <w:rPr>
          <w:rFonts w:ascii="Arial" w:hAnsi="Arial" w:cs="Arial"/>
          <w:b/>
        </w:rPr>
      </w:pPr>
      <w:r>
        <w:rPr>
          <w:rFonts w:ascii="Arial" w:hAnsi="Arial" w:cs="Arial"/>
          <w:b/>
        </w:rPr>
        <w:t>5.</w:t>
      </w:r>
      <w:r>
        <w:rPr>
          <w:rFonts w:ascii="Arial" w:hAnsi="Arial" w:cs="Arial"/>
          <w:b/>
        </w:rPr>
        <w:tab/>
      </w:r>
      <w:r w:rsidR="00276BE4" w:rsidRPr="00263935">
        <w:rPr>
          <w:rFonts w:ascii="Arial" w:hAnsi="Arial" w:cs="Arial"/>
          <w:b/>
        </w:rPr>
        <w:t>Conclusion and Recommendation</w:t>
      </w:r>
      <w:r>
        <w:rPr>
          <w:rFonts w:ascii="Arial" w:hAnsi="Arial" w:cs="Arial"/>
          <w:b/>
        </w:rPr>
        <w:t>s</w:t>
      </w:r>
    </w:p>
    <w:p w14:paraId="0AD45F56" w14:textId="77777777" w:rsidR="00276BE4" w:rsidRPr="00263935" w:rsidRDefault="00276BE4" w:rsidP="00276BE4">
      <w:pPr>
        <w:spacing w:before="100" w:beforeAutospacing="1" w:after="100" w:afterAutospacing="1" w:line="240" w:lineRule="auto"/>
        <w:rPr>
          <w:rFonts w:eastAsia="Times New Roman"/>
          <w:sz w:val="24"/>
          <w:szCs w:val="24"/>
          <w:lang w:val="en-US"/>
        </w:rPr>
      </w:pPr>
      <w:r w:rsidRPr="00263935">
        <w:rPr>
          <w:rFonts w:eastAsia="Times New Roman"/>
          <w:sz w:val="24"/>
          <w:szCs w:val="24"/>
          <w:lang w:val="en-US"/>
        </w:rPr>
        <w:t>The findings of this study confirm that while blockchain enhances transparency in property transactions, it simultaneously introduces significant privacy risks that conflict with UK data protection regulations. Zero-Knowledge Proofs (ZKPs) provide an effective cryptographic solution by enabling transaction verification without exposing sensitive data. However, their integration comes with computational trade-offs, increasing transaction costs and verification latency. The scalability improvements introduced by zk-Rollups address some of these concerns but do not fully resolve the efficiency challenges associated with large-scale adoption. Regulatory acceptance of ZKP-based platforms is higher than that of traditional blockchain solutions, yet widespread implementation remains slow due to institutional hesitan</w:t>
      </w:r>
      <w:r w:rsidR="00147499">
        <w:rPr>
          <w:rFonts w:eastAsia="Times New Roman"/>
          <w:sz w:val="24"/>
          <w:szCs w:val="24"/>
          <w:lang w:val="en-US"/>
        </w:rPr>
        <w:t>cy and integration complexities, hence it is recommended that:</w:t>
      </w:r>
    </w:p>
    <w:p w14:paraId="105A21D0" w14:textId="77777777" w:rsidR="00276BE4" w:rsidRPr="00263935" w:rsidRDefault="00276BE4" w:rsidP="00276BE4">
      <w:pPr>
        <w:numPr>
          <w:ilvl w:val="0"/>
          <w:numId w:val="10"/>
        </w:numPr>
        <w:spacing w:before="100" w:beforeAutospacing="1" w:after="100" w:afterAutospacing="1" w:line="240" w:lineRule="auto"/>
        <w:rPr>
          <w:rFonts w:eastAsia="Times New Roman"/>
          <w:sz w:val="24"/>
          <w:szCs w:val="24"/>
          <w:lang w:val="en-US"/>
        </w:rPr>
      </w:pPr>
      <w:r w:rsidRPr="00263935">
        <w:rPr>
          <w:rFonts w:eastAsia="Times New Roman"/>
          <w:sz w:val="24"/>
          <w:szCs w:val="24"/>
          <w:lang w:val="en-US"/>
        </w:rPr>
        <w:t>Further optimization of ZKP algorithms, particularly zk-Rollups, is necessary to reduce computational overhead and improve transaction efficiency.</w:t>
      </w:r>
    </w:p>
    <w:p w14:paraId="6CCFEB8C" w14:textId="77777777" w:rsidR="00276BE4" w:rsidRPr="00263935" w:rsidRDefault="00276BE4" w:rsidP="00276BE4">
      <w:pPr>
        <w:numPr>
          <w:ilvl w:val="0"/>
          <w:numId w:val="10"/>
        </w:numPr>
        <w:spacing w:before="100" w:beforeAutospacing="1" w:after="100" w:afterAutospacing="1" w:line="240" w:lineRule="auto"/>
        <w:rPr>
          <w:rFonts w:eastAsia="Times New Roman"/>
          <w:sz w:val="24"/>
          <w:szCs w:val="24"/>
          <w:lang w:val="en-US"/>
        </w:rPr>
      </w:pPr>
      <w:r w:rsidRPr="00263935">
        <w:rPr>
          <w:rFonts w:eastAsia="Times New Roman"/>
          <w:sz w:val="24"/>
          <w:szCs w:val="24"/>
          <w:lang w:val="en-US"/>
        </w:rPr>
        <w:t>Regulatory frameworks should evolve to provide clear compliance guidelines for privacy-preserving blockchain solutions in real estate transactions.</w:t>
      </w:r>
    </w:p>
    <w:p w14:paraId="7F8C4288" w14:textId="77777777" w:rsidR="00276BE4" w:rsidRPr="00263935" w:rsidRDefault="00276BE4" w:rsidP="00276BE4">
      <w:pPr>
        <w:numPr>
          <w:ilvl w:val="0"/>
          <w:numId w:val="10"/>
        </w:numPr>
        <w:spacing w:before="100" w:beforeAutospacing="1" w:after="100" w:afterAutospacing="1" w:line="240" w:lineRule="auto"/>
        <w:rPr>
          <w:rFonts w:eastAsia="Times New Roman"/>
          <w:sz w:val="24"/>
          <w:szCs w:val="24"/>
          <w:lang w:val="en-US"/>
        </w:rPr>
      </w:pPr>
      <w:r w:rsidRPr="00263935">
        <w:rPr>
          <w:rFonts w:eastAsia="Times New Roman"/>
          <w:sz w:val="24"/>
          <w:szCs w:val="24"/>
          <w:lang w:val="en-US"/>
        </w:rPr>
        <w:t>Incentives and pilot programs should be introduced to encourage industry adoption and evaluate practical feasibility in real-world applications.</w:t>
      </w:r>
    </w:p>
    <w:p w14:paraId="42E1522B" w14:textId="77777777" w:rsidR="00276BE4" w:rsidRPr="00263935" w:rsidRDefault="00276BE4" w:rsidP="00276BE4">
      <w:pPr>
        <w:numPr>
          <w:ilvl w:val="0"/>
          <w:numId w:val="10"/>
        </w:numPr>
        <w:spacing w:before="100" w:beforeAutospacing="1" w:after="100" w:afterAutospacing="1" w:line="240" w:lineRule="auto"/>
        <w:rPr>
          <w:rFonts w:eastAsia="Times New Roman"/>
          <w:sz w:val="24"/>
          <w:szCs w:val="24"/>
          <w:lang w:val="en-US"/>
        </w:rPr>
      </w:pPr>
      <w:r w:rsidRPr="00263935">
        <w:rPr>
          <w:rFonts w:eastAsia="Times New Roman"/>
          <w:sz w:val="24"/>
          <w:szCs w:val="24"/>
          <w:lang w:val="en-US"/>
        </w:rPr>
        <w:t>Increased collaboration between blockchain developers, regulators, and financial institutions is crucial to ensuring a balanced approach to privacy, compliance, and scalability in blockchain-based property transactions.</w:t>
      </w:r>
    </w:p>
    <w:p w14:paraId="591A11B6" w14:textId="77777777" w:rsidR="00276BE4" w:rsidRPr="00263935" w:rsidRDefault="00276BE4" w:rsidP="00040A41">
      <w:pPr>
        <w:pStyle w:val="NormalWeb"/>
        <w:spacing w:before="160" w:beforeAutospacing="0" w:after="160" w:afterAutospacing="0"/>
        <w:rPr>
          <w:rFonts w:ascii="Arial" w:hAnsi="Arial" w:cs="Arial"/>
          <w:b/>
          <w:color w:val="0D0D0D"/>
          <w:shd w:val="clear" w:color="auto" w:fill="FFFFFF"/>
        </w:rPr>
      </w:pPr>
    </w:p>
    <w:p w14:paraId="58266801" w14:textId="77777777" w:rsidR="00D217F1" w:rsidRDefault="00D217F1">
      <w:pPr>
        <w:rPr>
          <w:b/>
          <w:sz w:val="24"/>
          <w:szCs w:val="24"/>
        </w:rPr>
      </w:pPr>
      <w:bookmarkStart w:id="8" w:name="_ntj6bvk0unmb" w:colFirst="0" w:colLast="0"/>
      <w:bookmarkEnd w:id="8"/>
      <w:r>
        <w:rPr>
          <w:b/>
          <w:sz w:val="24"/>
          <w:szCs w:val="24"/>
        </w:rPr>
        <w:br w:type="page"/>
      </w:r>
    </w:p>
    <w:p w14:paraId="2C25D4EB" w14:textId="77777777" w:rsidR="00193F73" w:rsidRDefault="00193F73" w:rsidP="00193F73">
      <w:pPr>
        <w:jc w:val="both"/>
        <w:outlineLvl w:val="0"/>
      </w:pPr>
      <w:r>
        <w:rPr>
          <w:b/>
          <w:bCs/>
        </w:rPr>
        <w:t>COMPETING INTERESTS DISCLAIMER:</w:t>
      </w:r>
    </w:p>
    <w:p w14:paraId="4265FA76" w14:textId="77777777" w:rsidR="00193F73" w:rsidRDefault="00193F73" w:rsidP="00193F73">
      <w:r>
        <w:t>Authors have declared that they have no known competing financial interests OR non-financial interests OR personal relationships that could have appeared to influence the work reported in this paper.</w:t>
      </w:r>
    </w:p>
    <w:p w14:paraId="0AB2C284" w14:textId="45F0D77D" w:rsidR="0020043B" w:rsidRDefault="0020043B" w:rsidP="0020043B"/>
    <w:p w14:paraId="5D465875" w14:textId="77777777" w:rsidR="00193F73" w:rsidRDefault="00193F73" w:rsidP="0020043B"/>
    <w:p w14:paraId="6EBC674E" w14:textId="77777777" w:rsidR="00193F73" w:rsidRDefault="00193F73" w:rsidP="0020043B"/>
    <w:p w14:paraId="4CD3FD44" w14:textId="77777777" w:rsidR="00193F73" w:rsidRDefault="00193F73" w:rsidP="0020043B"/>
    <w:p w14:paraId="5086A878" w14:textId="26829652" w:rsidR="00EA150E" w:rsidRPr="006169DD" w:rsidRDefault="00EA150E" w:rsidP="00EA150E">
      <w:pPr>
        <w:spacing w:after="200"/>
        <w:rPr>
          <w:rFonts w:ascii="Calibri" w:eastAsia="Calibri" w:hAnsi="Calibri" w:cs="Times New Roman"/>
          <w:kern w:val="2"/>
          <w:lang w:val="en-US"/>
        </w:rPr>
      </w:pPr>
      <w:bookmarkStart w:id="9" w:name="_Hlk180402183"/>
      <w:bookmarkStart w:id="10" w:name="_Hlk183680988"/>
      <w:r w:rsidRPr="006169DD">
        <w:rPr>
          <w:rFonts w:ascii="Calibri" w:eastAsia="Calibri" w:hAnsi="Calibri" w:cs="Times New Roman"/>
          <w:kern w:val="2"/>
          <w:lang w:val="en-US"/>
        </w:rPr>
        <w:t>Discl</w:t>
      </w:r>
      <w:r w:rsidR="006169DD">
        <w:rPr>
          <w:rFonts w:ascii="Calibri" w:eastAsia="Calibri" w:hAnsi="Calibri" w:cs="Times New Roman"/>
          <w:kern w:val="2"/>
          <w:lang w:val="en-US"/>
        </w:rPr>
        <w:t>aimer (Artificial intelligence)</w:t>
      </w:r>
    </w:p>
    <w:p w14:paraId="58F9E766" w14:textId="77777777" w:rsidR="00EA150E" w:rsidRPr="006169DD" w:rsidRDefault="00EA150E" w:rsidP="00EA150E">
      <w:pPr>
        <w:spacing w:after="200"/>
        <w:rPr>
          <w:rFonts w:ascii="Calibri" w:eastAsia="Calibri" w:hAnsi="Calibri" w:cs="Times New Roman"/>
          <w:kern w:val="2"/>
          <w:lang w:val="en-US"/>
        </w:rPr>
      </w:pPr>
      <w:r w:rsidRPr="006169DD">
        <w:rPr>
          <w:rFonts w:ascii="Calibri" w:eastAsia="Calibri" w:hAnsi="Calibri" w:cs="Times New Roman"/>
          <w:kern w:val="2"/>
          <w:lang w:val="en-US"/>
        </w:rPr>
        <w:t xml:space="preserve">Author(s) hereby declare that NO generative AI technologies such as Large Language Models (ChatGPT, COPILOT, etc.) and text-to-image generators have been used during the writing or editing of this manuscript. </w:t>
      </w:r>
    </w:p>
    <w:bookmarkEnd w:id="9"/>
    <w:bookmarkEnd w:id="10"/>
    <w:p w14:paraId="4387B86B" w14:textId="77777777" w:rsidR="00DC04E4" w:rsidRDefault="00DC04E4" w:rsidP="0020043B"/>
    <w:p w14:paraId="7E6A4F1B" w14:textId="77777777" w:rsidR="0020043B" w:rsidRDefault="0020043B" w:rsidP="006D2984">
      <w:pPr>
        <w:pStyle w:val="Heading1"/>
        <w:keepNext w:val="0"/>
        <w:keepLines w:val="0"/>
        <w:spacing w:before="0" w:after="0" w:line="480" w:lineRule="auto"/>
        <w:jc w:val="center"/>
        <w:rPr>
          <w:b/>
          <w:sz w:val="24"/>
          <w:szCs w:val="24"/>
        </w:rPr>
      </w:pPr>
    </w:p>
    <w:p w14:paraId="5470D5FD" w14:textId="70D03410" w:rsidR="00C63CFC" w:rsidRPr="00263935" w:rsidRDefault="0043080A" w:rsidP="006D2984">
      <w:pPr>
        <w:pStyle w:val="Heading1"/>
        <w:keepNext w:val="0"/>
        <w:keepLines w:val="0"/>
        <w:spacing w:before="0" w:after="0" w:line="480" w:lineRule="auto"/>
        <w:jc w:val="center"/>
        <w:rPr>
          <w:b/>
          <w:sz w:val="24"/>
          <w:szCs w:val="24"/>
        </w:rPr>
      </w:pPr>
      <w:r w:rsidRPr="00263935">
        <w:rPr>
          <w:b/>
          <w:sz w:val="24"/>
          <w:szCs w:val="24"/>
        </w:rPr>
        <w:t>References</w:t>
      </w:r>
    </w:p>
    <w:p w14:paraId="07CE2CC5" w14:textId="77777777" w:rsidR="00C63CFC" w:rsidRPr="00263935" w:rsidRDefault="0043080A" w:rsidP="00D217F1">
      <w:pPr>
        <w:spacing w:after="240" w:line="240" w:lineRule="auto"/>
        <w:ind w:left="720" w:hanging="720"/>
        <w:rPr>
          <w:sz w:val="24"/>
          <w:szCs w:val="24"/>
        </w:rPr>
      </w:pPr>
      <w:r w:rsidRPr="00263935">
        <w:rPr>
          <w:sz w:val="24"/>
          <w:szCs w:val="24"/>
        </w:rPr>
        <w:t xml:space="preserve">Abdin, Z. (2024). Empowering the hydrogen economy: The transformative potential of blockchain technology. </w:t>
      </w:r>
      <w:r w:rsidRPr="00263935">
        <w:rPr>
          <w:i/>
          <w:sz w:val="24"/>
          <w:szCs w:val="24"/>
        </w:rPr>
        <w:t>Renewable &amp; Sustainable Energy Reviews</w:t>
      </w:r>
      <w:r w:rsidRPr="00263935">
        <w:rPr>
          <w:sz w:val="24"/>
          <w:szCs w:val="24"/>
        </w:rPr>
        <w:t xml:space="preserve">, </w:t>
      </w:r>
      <w:r w:rsidRPr="00263935">
        <w:rPr>
          <w:i/>
          <w:sz w:val="24"/>
          <w:szCs w:val="24"/>
        </w:rPr>
        <w:t>200</w:t>
      </w:r>
      <w:r w:rsidRPr="00263935">
        <w:rPr>
          <w:sz w:val="24"/>
          <w:szCs w:val="24"/>
        </w:rPr>
        <w:t xml:space="preserve">, 114572–114572. </w:t>
      </w:r>
      <w:hyperlink r:id="rId14">
        <w:r w:rsidRPr="00263935">
          <w:rPr>
            <w:color w:val="1155CC"/>
            <w:sz w:val="24"/>
            <w:szCs w:val="24"/>
            <w:u w:val="single"/>
          </w:rPr>
          <w:t>https://doi.org/10.1016/j.rser.2024.114572</w:t>
        </w:r>
      </w:hyperlink>
      <w:r w:rsidRPr="00263935">
        <w:rPr>
          <w:sz w:val="24"/>
          <w:szCs w:val="24"/>
        </w:rPr>
        <w:t xml:space="preserve"> </w:t>
      </w:r>
    </w:p>
    <w:p w14:paraId="0B983D96" w14:textId="77777777" w:rsidR="00C63CFC" w:rsidRPr="00263935" w:rsidRDefault="0043080A" w:rsidP="00D217F1">
      <w:pPr>
        <w:spacing w:after="240" w:line="240" w:lineRule="auto"/>
        <w:ind w:left="720" w:hanging="720"/>
        <w:rPr>
          <w:sz w:val="24"/>
          <w:szCs w:val="24"/>
        </w:rPr>
      </w:pPr>
      <w:r w:rsidRPr="00263935">
        <w:rPr>
          <w:sz w:val="24"/>
          <w:szCs w:val="24"/>
        </w:rPr>
        <w:t xml:space="preserve">Aggarwal, T., Kumar, S., Singh, S. K., Gupta, B. B., Nedjah, N., &amp; Castiglione, A. (2024). Zero Knowledge Proofs and Their Applications in Cryptography. </w:t>
      </w:r>
      <w:r w:rsidRPr="00263935">
        <w:rPr>
          <w:i/>
          <w:sz w:val="24"/>
          <w:szCs w:val="24"/>
        </w:rPr>
        <w:t>Advances in Information Security, Privacy, and Ethics</w:t>
      </w:r>
      <w:r w:rsidRPr="00263935">
        <w:rPr>
          <w:sz w:val="24"/>
          <w:szCs w:val="24"/>
        </w:rPr>
        <w:t xml:space="preserve">, 55–74. </w:t>
      </w:r>
      <w:hyperlink r:id="rId15">
        <w:r w:rsidRPr="00263935">
          <w:rPr>
            <w:color w:val="1155CC"/>
            <w:sz w:val="24"/>
            <w:szCs w:val="24"/>
            <w:u w:val="single"/>
          </w:rPr>
          <w:t>https://doi.org/10.4018/979-8-3693-5330-1.ch003</w:t>
        </w:r>
      </w:hyperlink>
      <w:r w:rsidRPr="00263935">
        <w:rPr>
          <w:sz w:val="24"/>
          <w:szCs w:val="24"/>
        </w:rPr>
        <w:t xml:space="preserve"> </w:t>
      </w:r>
    </w:p>
    <w:p w14:paraId="6A7F69EC" w14:textId="77777777" w:rsidR="00C63CFC" w:rsidRPr="00263935" w:rsidRDefault="0043080A" w:rsidP="00D217F1">
      <w:pPr>
        <w:spacing w:after="240" w:line="240" w:lineRule="auto"/>
        <w:ind w:left="720" w:hanging="720"/>
        <w:rPr>
          <w:sz w:val="24"/>
          <w:szCs w:val="24"/>
        </w:rPr>
      </w:pPr>
      <w:r w:rsidRPr="00263935">
        <w:rPr>
          <w:sz w:val="24"/>
          <w:szCs w:val="24"/>
        </w:rPr>
        <w:t xml:space="preserve">Ahmed, Md. R., Islam, A. K. M. M., Shatabda, S., &amp; Islam, S. (2022). Blockchain-Based Identity Management System and Self-Sovereign Identity Ecosystem: A Comprehensive Survey. </w:t>
      </w:r>
      <w:r w:rsidRPr="00263935">
        <w:rPr>
          <w:i/>
          <w:sz w:val="24"/>
          <w:szCs w:val="24"/>
        </w:rPr>
        <w:t>IEEE Access</w:t>
      </w:r>
      <w:r w:rsidRPr="00263935">
        <w:rPr>
          <w:sz w:val="24"/>
          <w:szCs w:val="24"/>
        </w:rPr>
        <w:t xml:space="preserve">, </w:t>
      </w:r>
      <w:r w:rsidRPr="00263935">
        <w:rPr>
          <w:i/>
          <w:sz w:val="24"/>
          <w:szCs w:val="24"/>
        </w:rPr>
        <w:t>10</w:t>
      </w:r>
      <w:r w:rsidRPr="00263935">
        <w:rPr>
          <w:sz w:val="24"/>
          <w:szCs w:val="24"/>
        </w:rPr>
        <w:t xml:space="preserve">, 113436–113481. </w:t>
      </w:r>
      <w:hyperlink r:id="rId16">
        <w:r w:rsidRPr="00263935">
          <w:rPr>
            <w:color w:val="1155CC"/>
            <w:sz w:val="24"/>
            <w:szCs w:val="24"/>
            <w:u w:val="single"/>
          </w:rPr>
          <w:t>https://doi.org/10.1109/access.2022.3216643</w:t>
        </w:r>
      </w:hyperlink>
      <w:r w:rsidRPr="00263935">
        <w:rPr>
          <w:sz w:val="24"/>
          <w:szCs w:val="24"/>
        </w:rPr>
        <w:t xml:space="preserve"> </w:t>
      </w:r>
    </w:p>
    <w:p w14:paraId="350F790C" w14:textId="77777777" w:rsidR="00C63CFC" w:rsidRPr="00263935" w:rsidRDefault="0043080A" w:rsidP="00D217F1">
      <w:pPr>
        <w:spacing w:after="240" w:line="240" w:lineRule="auto"/>
        <w:ind w:left="720" w:hanging="720"/>
        <w:rPr>
          <w:sz w:val="24"/>
          <w:szCs w:val="24"/>
        </w:rPr>
      </w:pPr>
      <w:r w:rsidRPr="00263935">
        <w:rPr>
          <w:sz w:val="24"/>
          <w:szCs w:val="24"/>
        </w:rPr>
        <w:t xml:space="preserve">Ajayi, A. J., Joseph, S. A., Metibemu, O. C., Olutimehin, A. T., Balogun, A. Y., &amp; Olaniyi, O. O. (2025). The Impact of Artificial Intelligence on Cyber Security in Digital Currency Transactions. </w:t>
      </w:r>
      <w:r w:rsidRPr="00263935">
        <w:rPr>
          <w:i/>
          <w:sz w:val="24"/>
          <w:szCs w:val="24"/>
        </w:rPr>
        <w:t>Archives of Current Research International</w:t>
      </w:r>
      <w:r w:rsidRPr="00263935">
        <w:rPr>
          <w:sz w:val="24"/>
          <w:szCs w:val="24"/>
        </w:rPr>
        <w:t xml:space="preserve">, </w:t>
      </w:r>
      <w:r w:rsidRPr="00263935">
        <w:rPr>
          <w:i/>
          <w:sz w:val="24"/>
          <w:szCs w:val="24"/>
        </w:rPr>
        <w:t>25</w:t>
      </w:r>
      <w:r w:rsidRPr="00263935">
        <w:rPr>
          <w:sz w:val="24"/>
          <w:szCs w:val="24"/>
        </w:rPr>
        <w:t xml:space="preserve">(2), 329–351. </w:t>
      </w:r>
      <w:hyperlink r:id="rId17">
        <w:r w:rsidRPr="00263935">
          <w:rPr>
            <w:color w:val="1155CC"/>
            <w:sz w:val="24"/>
            <w:szCs w:val="24"/>
            <w:u w:val="single"/>
          </w:rPr>
          <w:t>https://doi.org/10.9734/acri/2025/v25i21090</w:t>
        </w:r>
      </w:hyperlink>
      <w:r w:rsidRPr="00263935">
        <w:rPr>
          <w:sz w:val="24"/>
          <w:szCs w:val="24"/>
        </w:rPr>
        <w:t xml:space="preserve"> </w:t>
      </w:r>
    </w:p>
    <w:p w14:paraId="2DA393EF" w14:textId="77777777" w:rsidR="00C63CFC" w:rsidRPr="00263935" w:rsidRDefault="0043080A" w:rsidP="00D217F1">
      <w:pPr>
        <w:spacing w:after="240" w:line="240" w:lineRule="auto"/>
        <w:ind w:left="720" w:hanging="720"/>
        <w:rPr>
          <w:sz w:val="24"/>
          <w:szCs w:val="24"/>
        </w:rPr>
      </w:pPr>
      <w:r w:rsidRPr="00263935">
        <w:rPr>
          <w:sz w:val="24"/>
          <w:szCs w:val="24"/>
        </w:rPr>
        <w:t xml:space="preserve">Alao, A. I., Adebiyi, O. O., &amp; Olaniyi, O. O. (2024). The Interconnectedness of Earnings Management, Corporate Governance Failures, and Global Economic Stability: A Critical Examination of the Impact of Earnings Manipulation on Financial Crises and Investor Trust in Global Markets. </w:t>
      </w:r>
      <w:r w:rsidRPr="00263935">
        <w:rPr>
          <w:i/>
          <w:sz w:val="24"/>
          <w:szCs w:val="24"/>
        </w:rPr>
        <w:t>Asian Journal of Economics Business and Accounting</w:t>
      </w:r>
      <w:r w:rsidRPr="00263935">
        <w:rPr>
          <w:sz w:val="24"/>
          <w:szCs w:val="24"/>
        </w:rPr>
        <w:t xml:space="preserve">, </w:t>
      </w:r>
      <w:r w:rsidRPr="00263935">
        <w:rPr>
          <w:i/>
          <w:sz w:val="24"/>
          <w:szCs w:val="24"/>
        </w:rPr>
        <w:t>24</w:t>
      </w:r>
      <w:r w:rsidRPr="00263935">
        <w:rPr>
          <w:sz w:val="24"/>
          <w:szCs w:val="24"/>
        </w:rPr>
        <w:t xml:space="preserve">(11), 47–73. </w:t>
      </w:r>
      <w:hyperlink r:id="rId18">
        <w:r w:rsidRPr="00263935">
          <w:rPr>
            <w:color w:val="1155CC"/>
            <w:sz w:val="24"/>
            <w:szCs w:val="24"/>
            <w:u w:val="single"/>
          </w:rPr>
          <w:t>https://doi.org/10.9734/ajeba/2024/v24i111542</w:t>
        </w:r>
      </w:hyperlink>
      <w:r w:rsidRPr="00263935">
        <w:rPr>
          <w:sz w:val="24"/>
          <w:szCs w:val="24"/>
        </w:rPr>
        <w:t xml:space="preserve"> </w:t>
      </w:r>
    </w:p>
    <w:p w14:paraId="776EF1BE" w14:textId="77777777" w:rsidR="00C63CFC" w:rsidRPr="00263935" w:rsidRDefault="0043080A" w:rsidP="00D217F1">
      <w:pPr>
        <w:spacing w:after="240" w:line="240" w:lineRule="auto"/>
        <w:ind w:left="720" w:hanging="720"/>
        <w:rPr>
          <w:sz w:val="24"/>
          <w:szCs w:val="24"/>
        </w:rPr>
      </w:pPr>
      <w:r w:rsidRPr="00263935">
        <w:rPr>
          <w:sz w:val="24"/>
          <w:szCs w:val="24"/>
        </w:rPr>
        <w:t xml:space="preserve">Ali, W., Amila, D., Feng, Z., Wilkinson, S., &amp; Olabode, J. (2025). A systematic literature review on digital transformation in real estate: challenges and opportunities. </w:t>
      </w:r>
      <w:r w:rsidRPr="00263935">
        <w:rPr>
          <w:i/>
          <w:sz w:val="24"/>
          <w:szCs w:val="24"/>
        </w:rPr>
        <w:t>Smart and Sustainable Built Environment</w:t>
      </w:r>
      <w:r w:rsidRPr="00263935">
        <w:rPr>
          <w:sz w:val="24"/>
          <w:szCs w:val="24"/>
        </w:rPr>
        <w:t xml:space="preserve">, </w:t>
      </w:r>
      <w:r w:rsidRPr="00263935">
        <w:rPr>
          <w:i/>
          <w:sz w:val="24"/>
          <w:szCs w:val="24"/>
        </w:rPr>
        <w:t>1/2</w:t>
      </w:r>
      <w:r w:rsidRPr="00263935">
        <w:rPr>
          <w:sz w:val="24"/>
          <w:szCs w:val="24"/>
        </w:rPr>
        <w:t xml:space="preserve">. </w:t>
      </w:r>
      <w:hyperlink r:id="rId19">
        <w:r w:rsidRPr="00263935">
          <w:rPr>
            <w:color w:val="1155CC"/>
            <w:sz w:val="24"/>
            <w:szCs w:val="24"/>
            <w:u w:val="single"/>
          </w:rPr>
          <w:t>https://doi.org/10.1108/SASBE-04-2024-0111</w:t>
        </w:r>
      </w:hyperlink>
      <w:r w:rsidRPr="00263935">
        <w:rPr>
          <w:sz w:val="24"/>
          <w:szCs w:val="24"/>
        </w:rPr>
        <w:t xml:space="preserve"> </w:t>
      </w:r>
    </w:p>
    <w:p w14:paraId="763CEF85" w14:textId="77777777" w:rsidR="00C63CFC" w:rsidRPr="00263935" w:rsidRDefault="0043080A" w:rsidP="00D217F1">
      <w:pPr>
        <w:spacing w:after="240" w:line="240" w:lineRule="auto"/>
        <w:ind w:left="720" w:hanging="720"/>
        <w:rPr>
          <w:sz w:val="24"/>
          <w:szCs w:val="24"/>
        </w:rPr>
      </w:pPr>
      <w:r w:rsidRPr="00263935">
        <w:rPr>
          <w:sz w:val="24"/>
          <w:szCs w:val="24"/>
        </w:rPr>
        <w:t xml:space="preserve">Alzahrani, S., Daim, T., &amp; Choo, K.-K. R. (2022). Assessment of the Blockchain Technology Adoption for the Management of the Electronic Health Record Systems. </w:t>
      </w:r>
      <w:r w:rsidRPr="00263935">
        <w:rPr>
          <w:i/>
          <w:sz w:val="24"/>
          <w:szCs w:val="24"/>
        </w:rPr>
        <w:t>IEEE Transactions on Engineering Management</w:t>
      </w:r>
      <w:r w:rsidRPr="00263935">
        <w:rPr>
          <w:sz w:val="24"/>
          <w:szCs w:val="24"/>
        </w:rPr>
        <w:t xml:space="preserve">, </w:t>
      </w:r>
      <w:r w:rsidRPr="00263935">
        <w:rPr>
          <w:i/>
          <w:sz w:val="24"/>
          <w:szCs w:val="24"/>
        </w:rPr>
        <w:t>70</w:t>
      </w:r>
      <w:r w:rsidRPr="00263935">
        <w:rPr>
          <w:sz w:val="24"/>
          <w:szCs w:val="24"/>
        </w:rPr>
        <w:t xml:space="preserve">(8), 1–18. </w:t>
      </w:r>
      <w:hyperlink r:id="rId20">
        <w:r w:rsidRPr="00263935">
          <w:rPr>
            <w:color w:val="1155CC"/>
            <w:sz w:val="24"/>
            <w:szCs w:val="24"/>
            <w:u w:val="single"/>
          </w:rPr>
          <w:t>https://doi.org/10.1109/tem.2022.3158185</w:t>
        </w:r>
      </w:hyperlink>
      <w:r w:rsidRPr="00263935">
        <w:rPr>
          <w:sz w:val="24"/>
          <w:szCs w:val="24"/>
        </w:rPr>
        <w:t xml:space="preserve"> </w:t>
      </w:r>
    </w:p>
    <w:p w14:paraId="1ABDB7EE" w14:textId="77777777" w:rsidR="00C63CFC" w:rsidRPr="00D836F5" w:rsidRDefault="0043080A" w:rsidP="00D217F1">
      <w:pPr>
        <w:spacing w:after="240" w:line="240" w:lineRule="auto"/>
        <w:ind w:left="720" w:hanging="720"/>
        <w:rPr>
          <w:sz w:val="24"/>
          <w:szCs w:val="24"/>
          <w:lang w:val="es-ES"/>
        </w:rPr>
      </w:pPr>
      <w:r w:rsidRPr="00263935">
        <w:rPr>
          <w:sz w:val="24"/>
          <w:szCs w:val="24"/>
        </w:rPr>
        <w:t xml:space="preserve">Andrew. (2024). </w:t>
      </w:r>
      <w:r w:rsidRPr="00263935">
        <w:rPr>
          <w:i/>
          <w:sz w:val="24"/>
          <w:szCs w:val="24"/>
        </w:rPr>
        <w:t>Tokenization of Real Estate: A Case Study of the St. Regis Aspen Resort</w:t>
      </w:r>
      <w:r w:rsidRPr="00263935">
        <w:rPr>
          <w:sz w:val="24"/>
          <w:szCs w:val="24"/>
        </w:rPr>
        <w:t xml:space="preserve">. </w:t>
      </w:r>
      <w:r w:rsidRPr="00D836F5">
        <w:rPr>
          <w:sz w:val="24"/>
          <w:szCs w:val="24"/>
          <w:lang w:val="es-ES"/>
        </w:rPr>
        <w:t xml:space="preserve">Financial Memos. </w:t>
      </w:r>
      <w:hyperlink r:id="rId21">
        <w:r w:rsidRPr="00D836F5">
          <w:rPr>
            <w:color w:val="1155CC"/>
            <w:sz w:val="24"/>
            <w:szCs w:val="24"/>
            <w:u w:val="single"/>
            <w:lang w:val="es-ES"/>
          </w:rPr>
          <w:t>https://financialmemos.com/tokenization-of-real-estate-a-case-study-of-the-st-regis-aspen-resort/</w:t>
        </w:r>
      </w:hyperlink>
      <w:r w:rsidRPr="00D836F5">
        <w:rPr>
          <w:sz w:val="24"/>
          <w:szCs w:val="24"/>
          <w:lang w:val="es-ES"/>
        </w:rPr>
        <w:t xml:space="preserve"> </w:t>
      </w:r>
    </w:p>
    <w:p w14:paraId="7B45ED9D" w14:textId="77777777" w:rsidR="00C63CFC" w:rsidRPr="00263935" w:rsidRDefault="0043080A" w:rsidP="00D217F1">
      <w:pPr>
        <w:spacing w:after="240" w:line="240" w:lineRule="auto"/>
        <w:ind w:left="720" w:hanging="720"/>
        <w:rPr>
          <w:sz w:val="24"/>
          <w:szCs w:val="24"/>
        </w:rPr>
      </w:pPr>
      <w:r w:rsidRPr="00D836F5">
        <w:rPr>
          <w:sz w:val="24"/>
          <w:szCs w:val="24"/>
          <w:lang w:val="es-ES"/>
        </w:rPr>
        <w:t xml:space="preserve">Ballesteros-Rodríguez, A., Sánchez-Alonso, S., &amp; Sicilia-Urbán, M.-Á. (2024). </w:t>
      </w:r>
      <w:r w:rsidRPr="00263935">
        <w:rPr>
          <w:sz w:val="24"/>
          <w:szCs w:val="24"/>
        </w:rPr>
        <w:t xml:space="preserve">Enhancing Privacy and Integrity in Computing Services Provisioning Using Blockchain and Zk-SNARKs. </w:t>
      </w:r>
      <w:r w:rsidRPr="00263935">
        <w:rPr>
          <w:i/>
          <w:sz w:val="24"/>
          <w:szCs w:val="24"/>
        </w:rPr>
        <w:t>IEEE Access</w:t>
      </w:r>
      <w:r w:rsidRPr="00263935">
        <w:rPr>
          <w:sz w:val="24"/>
          <w:szCs w:val="24"/>
        </w:rPr>
        <w:t xml:space="preserve">, </w:t>
      </w:r>
      <w:r w:rsidRPr="00263935">
        <w:rPr>
          <w:i/>
          <w:sz w:val="24"/>
          <w:szCs w:val="24"/>
        </w:rPr>
        <w:t>12</w:t>
      </w:r>
      <w:r w:rsidRPr="00263935">
        <w:rPr>
          <w:sz w:val="24"/>
          <w:szCs w:val="24"/>
        </w:rPr>
        <w:t xml:space="preserve">, 117970–117993. </w:t>
      </w:r>
      <w:hyperlink r:id="rId22">
        <w:r w:rsidRPr="00263935">
          <w:rPr>
            <w:color w:val="1155CC"/>
            <w:sz w:val="24"/>
            <w:szCs w:val="24"/>
            <w:u w:val="single"/>
          </w:rPr>
          <w:t>https://doi.org/10.1109/access.2024.3447785</w:t>
        </w:r>
      </w:hyperlink>
      <w:r w:rsidRPr="00263935">
        <w:rPr>
          <w:sz w:val="24"/>
          <w:szCs w:val="24"/>
        </w:rPr>
        <w:t xml:space="preserve"> </w:t>
      </w:r>
    </w:p>
    <w:p w14:paraId="44B99D2A" w14:textId="77777777" w:rsidR="00C63CFC" w:rsidRPr="00263935" w:rsidRDefault="0043080A" w:rsidP="00D217F1">
      <w:pPr>
        <w:spacing w:after="240" w:line="240" w:lineRule="auto"/>
        <w:ind w:left="720" w:hanging="720"/>
        <w:rPr>
          <w:sz w:val="24"/>
          <w:szCs w:val="24"/>
        </w:rPr>
      </w:pPr>
      <w:r w:rsidRPr="00263935">
        <w:rPr>
          <w:sz w:val="24"/>
          <w:szCs w:val="24"/>
        </w:rPr>
        <w:t xml:space="preserve">Balogun, A. Y. (2025). Strengthening Compliance with Data Privacy Regulations in U.S. Healthcare Cybersecurity. </w:t>
      </w:r>
      <w:r w:rsidRPr="00263935">
        <w:rPr>
          <w:i/>
          <w:sz w:val="24"/>
          <w:szCs w:val="24"/>
        </w:rPr>
        <w:t>Asian Journal of Research in Computer Science</w:t>
      </w:r>
      <w:r w:rsidRPr="00263935">
        <w:rPr>
          <w:sz w:val="24"/>
          <w:szCs w:val="24"/>
        </w:rPr>
        <w:t xml:space="preserve">, </w:t>
      </w:r>
      <w:r w:rsidRPr="00263935">
        <w:rPr>
          <w:i/>
          <w:sz w:val="24"/>
          <w:szCs w:val="24"/>
        </w:rPr>
        <w:t>18</w:t>
      </w:r>
      <w:r w:rsidRPr="00263935">
        <w:rPr>
          <w:sz w:val="24"/>
          <w:szCs w:val="24"/>
        </w:rPr>
        <w:t xml:space="preserve">(1), 154–173. </w:t>
      </w:r>
      <w:hyperlink r:id="rId23">
        <w:r w:rsidRPr="00263935">
          <w:rPr>
            <w:color w:val="1155CC"/>
            <w:sz w:val="24"/>
            <w:szCs w:val="24"/>
            <w:u w:val="single"/>
          </w:rPr>
          <w:t>https://doi.org/10.9734/ajrcos/2025/v18i1555</w:t>
        </w:r>
      </w:hyperlink>
      <w:r w:rsidRPr="00263935">
        <w:rPr>
          <w:sz w:val="24"/>
          <w:szCs w:val="24"/>
        </w:rPr>
        <w:t xml:space="preserve"> </w:t>
      </w:r>
    </w:p>
    <w:p w14:paraId="1FCF3B49" w14:textId="77777777" w:rsidR="00C63CFC" w:rsidRPr="00263935" w:rsidRDefault="0043080A" w:rsidP="00D217F1">
      <w:pPr>
        <w:spacing w:after="240" w:line="240" w:lineRule="auto"/>
        <w:ind w:left="720" w:hanging="720"/>
        <w:rPr>
          <w:sz w:val="24"/>
          <w:szCs w:val="24"/>
        </w:rPr>
      </w:pPr>
      <w:r w:rsidRPr="00263935">
        <w:rPr>
          <w:sz w:val="24"/>
          <w:szCs w:val="24"/>
        </w:rPr>
        <w:t xml:space="preserve">Balogun, A. Y., Metibemu, O. C., Olutimehin, A. T., Ajayi, A. J., Babarinde, D. C., &amp; Olaniyi, O. O. (2025). The Ethical and Legal Implications of Shadow AI in Sensitive Industries: A Focus on Healthcare, Finance and Education. </w:t>
      </w:r>
      <w:r w:rsidRPr="00263935">
        <w:rPr>
          <w:i/>
          <w:sz w:val="24"/>
          <w:szCs w:val="24"/>
        </w:rPr>
        <w:t>Journal of Engineering Research and Reports</w:t>
      </w:r>
      <w:r w:rsidRPr="00263935">
        <w:rPr>
          <w:sz w:val="24"/>
          <w:szCs w:val="24"/>
        </w:rPr>
        <w:t xml:space="preserve">, </w:t>
      </w:r>
      <w:r w:rsidRPr="00263935">
        <w:rPr>
          <w:i/>
          <w:sz w:val="24"/>
          <w:szCs w:val="24"/>
        </w:rPr>
        <w:t>27</w:t>
      </w:r>
      <w:r w:rsidRPr="00263935">
        <w:rPr>
          <w:sz w:val="24"/>
          <w:szCs w:val="24"/>
        </w:rPr>
        <w:t xml:space="preserve">(3), 1–22. </w:t>
      </w:r>
      <w:hyperlink r:id="rId24">
        <w:r w:rsidRPr="00263935">
          <w:rPr>
            <w:color w:val="1155CC"/>
            <w:sz w:val="24"/>
            <w:szCs w:val="24"/>
            <w:u w:val="single"/>
          </w:rPr>
          <w:t>https://doi.org/10.9734/jerr/2025/v27i31414</w:t>
        </w:r>
      </w:hyperlink>
      <w:r w:rsidRPr="00263935">
        <w:rPr>
          <w:sz w:val="24"/>
          <w:szCs w:val="24"/>
        </w:rPr>
        <w:t xml:space="preserve"> </w:t>
      </w:r>
    </w:p>
    <w:p w14:paraId="6C222FFD" w14:textId="77777777" w:rsidR="00C63CFC" w:rsidRPr="00263935" w:rsidRDefault="0043080A" w:rsidP="00D217F1">
      <w:pPr>
        <w:spacing w:after="240" w:line="240" w:lineRule="auto"/>
        <w:ind w:left="720" w:hanging="720"/>
        <w:rPr>
          <w:sz w:val="24"/>
          <w:szCs w:val="24"/>
        </w:rPr>
      </w:pPr>
      <w:r w:rsidRPr="00D836F5">
        <w:rPr>
          <w:sz w:val="24"/>
          <w:szCs w:val="24"/>
          <w:lang w:val="es-ES"/>
        </w:rPr>
        <w:t xml:space="preserve">Balogun, A. Y., Olaniyi, O. O., Olisa, A. O., Gbadebo, M. O., &amp; Chinye, N. C. (2025). </w:t>
      </w:r>
      <w:r w:rsidRPr="00263935">
        <w:rPr>
          <w:sz w:val="24"/>
          <w:szCs w:val="24"/>
        </w:rPr>
        <w:t xml:space="preserve">Enhancing Incident Response Strategies in U.S. Healthcare Cybersecurity. </w:t>
      </w:r>
      <w:r w:rsidRPr="00263935">
        <w:rPr>
          <w:i/>
          <w:sz w:val="24"/>
          <w:szCs w:val="24"/>
        </w:rPr>
        <w:t>Journal of Engineering Research and Reports</w:t>
      </w:r>
      <w:r w:rsidRPr="00263935">
        <w:rPr>
          <w:sz w:val="24"/>
          <w:szCs w:val="24"/>
        </w:rPr>
        <w:t xml:space="preserve">, </w:t>
      </w:r>
      <w:r w:rsidRPr="00263935">
        <w:rPr>
          <w:i/>
          <w:sz w:val="24"/>
          <w:szCs w:val="24"/>
        </w:rPr>
        <w:t>27</w:t>
      </w:r>
      <w:r w:rsidRPr="00263935">
        <w:rPr>
          <w:sz w:val="24"/>
          <w:szCs w:val="24"/>
        </w:rPr>
        <w:t xml:space="preserve">(2), 114–135. </w:t>
      </w:r>
      <w:hyperlink r:id="rId25">
        <w:r w:rsidRPr="00263935">
          <w:rPr>
            <w:color w:val="1155CC"/>
            <w:sz w:val="24"/>
            <w:szCs w:val="24"/>
            <w:u w:val="single"/>
          </w:rPr>
          <w:t>https://doi.org/10.9734/jerr/2025/v27i21399</w:t>
        </w:r>
      </w:hyperlink>
      <w:r w:rsidRPr="00263935">
        <w:rPr>
          <w:sz w:val="24"/>
          <w:szCs w:val="24"/>
        </w:rPr>
        <w:t xml:space="preserve"> </w:t>
      </w:r>
    </w:p>
    <w:p w14:paraId="76980042" w14:textId="77777777" w:rsidR="00C63CFC" w:rsidRPr="00263935" w:rsidRDefault="0043080A" w:rsidP="00D217F1">
      <w:pPr>
        <w:spacing w:after="240" w:line="240" w:lineRule="auto"/>
        <w:ind w:left="720" w:hanging="720"/>
        <w:rPr>
          <w:sz w:val="24"/>
          <w:szCs w:val="24"/>
        </w:rPr>
      </w:pPr>
      <w:r w:rsidRPr="00263935">
        <w:rPr>
          <w:sz w:val="24"/>
          <w:szCs w:val="24"/>
        </w:rPr>
        <w:t xml:space="preserve">Borges, N. T., &amp; Rodrigues, P. (2024). Revolutionizing Contracts: The Impact of Blockchain Technology and Smart Contracts. </w:t>
      </w:r>
      <w:r w:rsidRPr="00263935">
        <w:rPr>
          <w:i/>
          <w:sz w:val="24"/>
          <w:szCs w:val="24"/>
        </w:rPr>
        <w:t>JusGov Research Paper 2024-20</w:t>
      </w:r>
      <w:r w:rsidRPr="00263935">
        <w:rPr>
          <w:sz w:val="24"/>
          <w:szCs w:val="24"/>
        </w:rPr>
        <w:t xml:space="preserve">. </w:t>
      </w:r>
      <w:hyperlink r:id="rId26">
        <w:r w:rsidRPr="00263935">
          <w:rPr>
            <w:color w:val="1155CC"/>
            <w:sz w:val="24"/>
            <w:szCs w:val="24"/>
            <w:u w:val="single"/>
          </w:rPr>
          <w:t>https://doi.org/10.2139/ssrn.5064863</w:t>
        </w:r>
      </w:hyperlink>
      <w:r w:rsidRPr="00263935">
        <w:rPr>
          <w:sz w:val="24"/>
          <w:szCs w:val="24"/>
        </w:rPr>
        <w:t xml:space="preserve"> </w:t>
      </w:r>
    </w:p>
    <w:p w14:paraId="404ECDDA" w14:textId="77777777" w:rsidR="00C63CFC" w:rsidRPr="00263935" w:rsidRDefault="0043080A" w:rsidP="00D217F1">
      <w:pPr>
        <w:spacing w:after="240" w:line="240" w:lineRule="auto"/>
        <w:ind w:left="720" w:hanging="720"/>
        <w:rPr>
          <w:sz w:val="24"/>
          <w:szCs w:val="24"/>
        </w:rPr>
      </w:pPr>
      <w:r w:rsidRPr="00263935">
        <w:rPr>
          <w:sz w:val="24"/>
          <w:szCs w:val="24"/>
        </w:rPr>
        <w:t xml:space="preserve">Buttar, A. M., Shahid, M. A., Arshad, M. N., &amp; Akbar, M. A. (2024). Decentralized Identity Management Using Blockchain Technology: Challenges and Solutions. </w:t>
      </w:r>
      <w:r w:rsidRPr="00263935">
        <w:rPr>
          <w:i/>
          <w:sz w:val="24"/>
          <w:szCs w:val="24"/>
        </w:rPr>
        <w:t>Signals and Communication Technology</w:t>
      </w:r>
      <w:r w:rsidRPr="00263935">
        <w:rPr>
          <w:sz w:val="24"/>
          <w:szCs w:val="24"/>
        </w:rPr>
        <w:t xml:space="preserve">, 131–166. </w:t>
      </w:r>
      <w:hyperlink r:id="rId27">
        <w:r w:rsidRPr="00263935">
          <w:rPr>
            <w:color w:val="1155CC"/>
            <w:sz w:val="24"/>
            <w:szCs w:val="24"/>
            <w:u w:val="single"/>
          </w:rPr>
          <w:t>https://doi.org/10.1007/978-3-031-49593-9_8</w:t>
        </w:r>
      </w:hyperlink>
      <w:r w:rsidRPr="00263935">
        <w:rPr>
          <w:sz w:val="24"/>
          <w:szCs w:val="24"/>
        </w:rPr>
        <w:t xml:space="preserve"> </w:t>
      </w:r>
    </w:p>
    <w:p w14:paraId="2A3BF100" w14:textId="77777777" w:rsidR="00C63CFC" w:rsidRPr="00263935" w:rsidRDefault="0043080A" w:rsidP="00D217F1">
      <w:pPr>
        <w:spacing w:after="240" w:line="240" w:lineRule="auto"/>
        <w:ind w:left="720" w:hanging="720"/>
        <w:rPr>
          <w:sz w:val="24"/>
          <w:szCs w:val="24"/>
        </w:rPr>
      </w:pPr>
      <w:r w:rsidRPr="00263935">
        <w:rPr>
          <w:sz w:val="24"/>
          <w:szCs w:val="24"/>
        </w:rPr>
        <w:t xml:space="preserve">Coadjute. (2024). </w:t>
      </w:r>
      <w:r w:rsidRPr="00263935">
        <w:rPr>
          <w:i/>
          <w:sz w:val="24"/>
          <w:szCs w:val="24"/>
        </w:rPr>
        <w:t>Press Release: Lloyds Banking Group, Nationwide, NatWest and Rightmove join forces in strategic investment in Coadjute to transform UK property market - Coadjute</w:t>
      </w:r>
      <w:r w:rsidRPr="00263935">
        <w:rPr>
          <w:sz w:val="24"/>
          <w:szCs w:val="24"/>
        </w:rPr>
        <w:t xml:space="preserve">. Coadjute. </w:t>
      </w:r>
      <w:hyperlink r:id="rId28">
        <w:r w:rsidRPr="00263935">
          <w:rPr>
            <w:color w:val="1155CC"/>
            <w:sz w:val="24"/>
            <w:szCs w:val="24"/>
            <w:u w:val="single"/>
          </w:rPr>
          <w:t>https://coadjute.com/blogs/press-release-strategic-investment/</w:t>
        </w:r>
      </w:hyperlink>
      <w:r w:rsidRPr="00263935">
        <w:rPr>
          <w:sz w:val="24"/>
          <w:szCs w:val="24"/>
        </w:rPr>
        <w:t xml:space="preserve"> </w:t>
      </w:r>
    </w:p>
    <w:p w14:paraId="58994771" w14:textId="77777777" w:rsidR="00C63CFC" w:rsidRPr="00263935" w:rsidRDefault="0043080A" w:rsidP="00D217F1">
      <w:pPr>
        <w:spacing w:after="240" w:line="240" w:lineRule="auto"/>
        <w:ind w:left="720" w:hanging="720"/>
        <w:rPr>
          <w:sz w:val="24"/>
          <w:szCs w:val="24"/>
        </w:rPr>
      </w:pPr>
      <w:r w:rsidRPr="00263935">
        <w:rPr>
          <w:sz w:val="24"/>
          <w:szCs w:val="24"/>
        </w:rPr>
        <w:t xml:space="preserve">Consensys. (2019). </w:t>
      </w:r>
      <w:r w:rsidRPr="00263935">
        <w:rPr>
          <w:i/>
          <w:sz w:val="24"/>
          <w:szCs w:val="24"/>
        </w:rPr>
        <w:t>Consensys Announces Codefi Blockchain Operating System for Finance | Consensys</w:t>
      </w:r>
      <w:r w:rsidRPr="00263935">
        <w:rPr>
          <w:sz w:val="24"/>
          <w:szCs w:val="24"/>
        </w:rPr>
        <w:t xml:space="preserve">. Consensys. </w:t>
      </w:r>
      <w:hyperlink r:id="rId29">
        <w:r w:rsidRPr="00263935">
          <w:rPr>
            <w:color w:val="1155CC"/>
            <w:sz w:val="24"/>
            <w:szCs w:val="24"/>
            <w:u w:val="single"/>
          </w:rPr>
          <w:t>https://consensys.io/blog/consensys-announces-codefi-blockchain-operating-system-for-commerce-and-finance</w:t>
        </w:r>
      </w:hyperlink>
      <w:r w:rsidRPr="00263935">
        <w:rPr>
          <w:sz w:val="24"/>
          <w:szCs w:val="24"/>
        </w:rPr>
        <w:t xml:space="preserve"> </w:t>
      </w:r>
    </w:p>
    <w:p w14:paraId="0B56ADF8" w14:textId="77777777" w:rsidR="00C63CFC" w:rsidRPr="00263935" w:rsidRDefault="0043080A" w:rsidP="00D217F1">
      <w:pPr>
        <w:spacing w:after="240" w:line="240" w:lineRule="auto"/>
        <w:ind w:left="720" w:hanging="720"/>
        <w:rPr>
          <w:sz w:val="24"/>
          <w:szCs w:val="24"/>
        </w:rPr>
      </w:pPr>
      <w:r w:rsidRPr="00263935">
        <w:rPr>
          <w:sz w:val="24"/>
          <w:szCs w:val="24"/>
        </w:rPr>
        <w:t xml:space="preserve">Dwivedi, A. D., Singh, R., Ghosh, U., Mukkamala, R. R., Tolba, A., &amp; Said, O. (2021). Privacy preserving authentication system based on non-interactive zero knowledge proof suitable for Internet of Things. </w:t>
      </w:r>
      <w:r w:rsidRPr="00263935">
        <w:rPr>
          <w:i/>
          <w:sz w:val="24"/>
          <w:szCs w:val="24"/>
        </w:rPr>
        <w:t>Journal of Ambient Intelligence and Humanized Computing</w:t>
      </w:r>
      <w:r w:rsidRPr="00263935">
        <w:rPr>
          <w:sz w:val="24"/>
          <w:szCs w:val="24"/>
        </w:rPr>
        <w:t xml:space="preserve">. </w:t>
      </w:r>
      <w:hyperlink r:id="rId30">
        <w:r w:rsidRPr="00263935">
          <w:rPr>
            <w:color w:val="1155CC"/>
            <w:sz w:val="24"/>
            <w:szCs w:val="24"/>
            <w:u w:val="single"/>
          </w:rPr>
          <w:t>https://doi.org/10.1007/s12652-021-03459-4</w:t>
        </w:r>
      </w:hyperlink>
      <w:r w:rsidRPr="00263935">
        <w:rPr>
          <w:sz w:val="24"/>
          <w:szCs w:val="24"/>
        </w:rPr>
        <w:t xml:space="preserve"> </w:t>
      </w:r>
    </w:p>
    <w:p w14:paraId="175CB67F" w14:textId="77777777" w:rsidR="00C63CFC" w:rsidRPr="00263935" w:rsidRDefault="0043080A" w:rsidP="00D217F1">
      <w:pPr>
        <w:spacing w:after="240" w:line="240" w:lineRule="auto"/>
        <w:ind w:left="720" w:hanging="720"/>
        <w:rPr>
          <w:sz w:val="24"/>
          <w:szCs w:val="24"/>
        </w:rPr>
      </w:pPr>
      <w:r w:rsidRPr="00263935">
        <w:rPr>
          <w:sz w:val="24"/>
          <w:szCs w:val="24"/>
        </w:rPr>
        <w:t xml:space="preserve">Erol, I., Neuhofer, I. O., Dogru, T., Oztel, A., Searcy, C., &amp; Yorulmaz, A. C. (2022). Improving sustainability in the tourism industry through blockchain technology: Challenges and opportunities. </w:t>
      </w:r>
      <w:r w:rsidRPr="00263935">
        <w:rPr>
          <w:i/>
          <w:sz w:val="24"/>
          <w:szCs w:val="24"/>
        </w:rPr>
        <w:t>Tourism Management</w:t>
      </w:r>
      <w:r w:rsidRPr="00263935">
        <w:rPr>
          <w:sz w:val="24"/>
          <w:szCs w:val="24"/>
        </w:rPr>
        <w:t xml:space="preserve">, </w:t>
      </w:r>
      <w:r w:rsidRPr="00263935">
        <w:rPr>
          <w:i/>
          <w:sz w:val="24"/>
          <w:szCs w:val="24"/>
        </w:rPr>
        <w:t>93</w:t>
      </w:r>
      <w:r w:rsidRPr="00263935">
        <w:rPr>
          <w:sz w:val="24"/>
          <w:szCs w:val="24"/>
        </w:rPr>
        <w:t xml:space="preserve">, 104628. </w:t>
      </w:r>
      <w:hyperlink r:id="rId31">
        <w:r w:rsidRPr="00263935">
          <w:rPr>
            <w:color w:val="1155CC"/>
            <w:sz w:val="24"/>
            <w:szCs w:val="24"/>
            <w:u w:val="single"/>
          </w:rPr>
          <w:t>https://doi.org/10.1016/j.tourman.2022.104628</w:t>
        </w:r>
      </w:hyperlink>
      <w:r w:rsidRPr="00263935">
        <w:rPr>
          <w:sz w:val="24"/>
          <w:szCs w:val="24"/>
        </w:rPr>
        <w:t xml:space="preserve"> </w:t>
      </w:r>
    </w:p>
    <w:p w14:paraId="5AD1F0D7" w14:textId="77777777" w:rsidR="00C63CFC" w:rsidRPr="00263935" w:rsidRDefault="0043080A" w:rsidP="00D217F1">
      <w:pPr>
        <w:spacing w:after="240" w:line="240" w:lineRule="auto"/>
        <w:ind w:left="720" w:hanging="720"/>
        <w:rPr>
          <w:sz w:val="24"/>
          <w:szCs w:val="24"/>
        </w:rPr>
      </w:pPr>
      <w:r w:rsidRPr="00263935">
        <w:rPr>
          <w:sz w:val="24"/>
          <w:szCs w:val="24"/>
        </w:rPr>
        <w:t xml:space="preserve">Gbadebo, M. O., Salako, A. O., Selesi-Aina, O., Ogungbemi, O. S., Olateju, O. O., &amp; Olaniyi, O. O. (2024). Augmenting Data Privacy Protocols and Enacting Regulatory Frameworks for Cryptocurrencies via Advanced Blockchain Methodologies and Artificial Intelligence. </w:t>
      </w:r>
      <w:r w:rsidRPr="00263935">
        <w:rPr>
          <w:i/>
          <w:sz w:val="24"/>
          <w:szCs w:val="24"/>
        </w:rPr>
        <w:t>Journal of Engineering Research and Reports</w:t>
      </w:r>
      <w:r w:rsidRPr="00263935">
        <w:rPr>
          <w:sz w:val="24"/>
          <w:szCs w:val="24"/>
        </w:rPr>
        <w:t xml:space="preserve">, </w:t>
      </w:r>
      <w:r w:rsidRPr="00263935">
        <w:rPr>
          <w:i/>
          <w:sz w:val="24"/>
          <w:szCs w:val="24"/>
        </w:rPr>
        <w:t>26</w:t>
      </w:r>
      <w:r w:rsidRPr="00263935">
        <w:rPr>
          <w:sz w:val="24"/>
          <w:szCs w:val="24"/>
        </w:rPr>
        <w:t xml:space="preserve">(11), 7–27. </w:t>
      </w:r>
      <w:hyperlink r:id="rId32">
        <w:r w:rsidRPr="00263935">
          <w:rPr>
            <w:color w:val="1155CC"/>
            <w:sz w:val="24"/>
            <w:szCs w:val="24"/>
            <w:u w:val="single"/>
          </w:rPr>
          <w:t>https://doi.org/10.9734/jerr/2024/v26i111311</w:t>
        </w:r>
      </w:hyperlink>
      <w:r w:rsidRPr="00263935">
        <w:rPr>
          <w:sz w:val="24"/>
          <w:szCs w:val="24"/>
        </w:rPr>
        <w:t xml:space="preserve"> </w:t>
      </w:r>
    </w:p>
    <w:p w14:paraId="4311459E" w14:textId="77777777" w:rsidR="00C63CFC" w:rsidRPr="00263935" w:rsidRDefault="0043080A" w:rsidP="00D217F1">
      <w:pPr>
        <w:spacing w:after="240" w:line="240" w:lineRule="auto"/>
        <w:ind w:left="720" w:hanging="720"/>
        <w:rPr>
          <w:sz w:val="24"/>
          <w:szCs w:val="24"/>
        </w:rPr>
      </w:pPr>
      <w:r w:rsidRPr="00263935">
        <w:rPr>
          <w:sz w:val="24"/>
          <w:szCs w:val="24"/>
        </w:rPr>
        <w:t xml:space="preserve">GDMO. (2020). </w:t>
      </w:r>
      <w:r w:rsidRPr="00263935">
        <w:rPr>
          <w:i/>
          <w:sz w:val="24"/>
          <w:szCs w:val="24"/>
        </w:rPr>
        <w:t>Dubai Land Department introduces remote property registration system</w:t>
      </w:r>
      <w:r w:rsidRPr="00263935">
        <w:rPr>
          <w:sz w:val="24"/>
          <w:szCs w:val="24"/>
        </w:rPr>
        <w:t xml:space="preserve">. Government of Dubai Media Office. </w:t>
      </w:r>
      <w:hyperlink r:id="rId33">
        <w:r w:rsidRPr="00263935">
          <w:rPr>
            <w:color w:val="1155CC"/>
            <w:sz w:val="24"/>
            <w:szCs w:val="24"/>
            <w:u w:val="single"/>
          </w:rPr>
          <w:t>https://mediaoffice.ae/en/news/2020/May/20-05/Dubai-Land</w:t>
        </w:r>
      </w:hyperlink>
      <w:r w:rsidRPr="00263935">
        <w:rPr>
          <w:sz w:val="24"/>
          <w:szCs w:val="24"/>
        </w:rPr>
        <w:t xml:space="preserve"> </w:t>
      </w:r>
    </w:p>
    <w:p w14:paraId="08A88C41" w14:textId="77777777" w:rsidR="00C63CFC" w:rsidRPr="00263935" w:rsidRDefault="0043080A" w:rsidP="00D217F1">
      <w:pPr>
        <w:spacing w:after="240" w:line="240" w:lineRule="auto"/>
        <w:ind w:left="720" w:hanging="720"/>
        <w:rPr>
          <w:sz w:val="24"/>
          <w:szCs w:val="24"/>
        </w:rPr>
      </w:pPr>
      <w:r w:rsidRPr="00263935">
        <w:rPr>
          <w:sz w:val="24"/>
          <w:szCs w:val="24"/>
        </w:rPr>
        <w:t xml:space="preserve">Haaramo, E. (2017). </w:t>
      </w:r>
      <w:r w:rsidRPr="00263935">
        <w:rPr>
          <w:i/>
          <w:sz w:val="24"/>
          <w:szCs w:val="24"/>
        </w:rPr>
        <w:t>Sweden trials blockchain for land registry management</w:t>
      </w:r>
      <w:r w:rsidRPr="00263935">
        <w:rPr>
          <w:sz w:val="24"/>
          <w:szCs w:val="24"/>
        </w:rPr>
        <w:t xml:space="preserve">. ComputerWeekly.com. </w:t>
      </w:r>
      <w:hyperlink r:id="rId34">
        <w:r w:rsidRPr="00263935">
          <w:rPr>
            <w:color w:val="1155CC"/>
            <w:sz w:val="24"/>
            <w:szCs w:val="24"/>
            <w:u w:val="single"/>
          </w:rPr>
          <w:t>https://www.computerweekly.com/news/450421958/Sweden-trials-blockchain-for-land-registry-management</w:t>
        </w:r>
      </w:hyperlink>
      <w:r w:rsidRPr="00263935">
        <w:rPr>
          <w:sz w:val="24"/>
          <w:szCs w:val="24"/>
        </w:rPr>
        <w:t xml:space="preserve"> </w:t>
      </w:r>
    </w:p>
    <w:p w14:paraId="45194286" w14:textId="77777777" w:rsidR="00C63CFC" w:rsidRPr="00263935" w:rsidRDefault="0043080A" w:rsidP="00D217F1">
      <w:pPr>
        <w:spacing w:after="240" w:line="240" w:lineRule="auto"/>
        <w:ind w:left="720" w:hanging="720"/>
        <w:rPr>
          <w:sz w:val="24"/>
          <w:szCs w:val="24"/>
        </w:rPr>
      </w:pPr>
      <w:r w:rsidRPr="00263935">
        <w:rPr>
          <w:sz w:val="24"/>
          <w:szCs w:val="24"/>
        </w:rPr>
        <w:t xml:space="preserve">Hameed, K., Maqsood, F., &amp; Zhenfie, W. (2024). Artificial Intelligence-Enhanced Zero-Knowledge Proofs for Privacy-Preserving Digital Forensics in Cloud Environments. </w:t>
      </w:r>
      <w:r w:rsidRPr="00263935">
        <w:rPr>
          <w:i/>
          <w:sz w:val="24"/>
          <w:szCs w:val="24"/>
        </w:rPr>
        <w:t>SSRN</w:t>
      </w:r>
      <w:r w:rsidRPr="00263935">
        <w:rPr>
          <w:sz w:val="24"/>
          <w:szCs w:val="24"/>
        </w:rPr>
        <w:t xml:space="preserve">. </w:t>
      </w:r>
      <w:hyperlink r:id="rId35">
        <w:r w:rsidRPr="00263935">
          <w:rPr>
            <w:color w:val="1155CC"/>
            <w:sz w:val="24"/>
            <w:szCs w:val="24"/>
            <w:u w:val="single"/>
          </w:rPr>
          <w:t>https://doi.org/10.2139/ssrn.5036607</w:t>
        </w:r>
      </w:hyperlink>
      <w:r w:rsidRPr="00263935">
        <w:rPr>
          <w:sz w:val="24"/>
          <w:szCs w:val="24"/>
        </w:rPr>
        <w:t xml:space="preserve"> </w:t>
      </w:r>
    </w:p>
    <w:p w14:paraId="7519EF42" w14:textId="77777777" w:rsidR="00C63CFC" w:rsidRPr="00263935" w:rsidRDefault="0043080A" w:rsidP="00D217F1">
      <w:pPr>
        <w:spacing w:after="240" w:line="240" w:lineRule="auto"/>
        <w:ind w:left="720" w:hanging="720"/>
        <w:rPr>
          <w:sz w:val="24"/>
          <w:szCs w:val="24"/>
        </w:rPr>
      </w:pPr>
      <w:r w:rsidRPr="00263935">
        <w:rPr>
          <w:sz w:val="24"/>
          <w:szCs w:val="24"/>
        </w:rPr>
        <w:t xml:space="preserve">Hazeem, H., &amp; AlBurshaid, E. (2024). Fragmented Data Landscape and Data Asymmetries in the Real Estate Industry. </w:t>
      </w:r>
      <w:r w:rsidRPr="00263935">
        <w:rPr>
          <w:i/>
          <w:sz w:val="24"/>
          <w:szCs w:val="24"/>
        </w:rPr>
        <w:t>Springer</w:t>
      </w:r>
      <w:r w:rsidRPr="00263935">
        <w:rPr>
          <w:sz w:val="24"/>
          <w:szCs w:val="24"/>
        </w:rPr>
        <w:t>, 179–205. https://doi.org/10.1007/978-981-99-8533-3_10</w:t>
      </w:r>
    </w:p>
    <w:p w14:paraId="7EFCBC58" w14:textId="77777777" w:rsidR="00C63CFC" w:rsidRPr="00263935" w:rsidRDefault="0043080A" w:rsidP="00D217F1">
      <w:pPr>
        <w:spacing w:after="240" w:line="240" w:lineRule="auto"/>
        <w:ind w:left="720" w:hanging="720"/>
        <w:rPr>
          <w:sz w:val="24"/>
          <w:szCs w:val="24"/>
        </w:rPr>
      </w:pPr>
      <w:r w:rsidRPr="00263935">
        <w:rPr>
          <w:sz w:val="24"/>
          <w:szCs w:val="24"/>
        </w:rPr>
        <w:t xml:space="preserve">Jean-Paul, M. D. (2024). Quantum Security of Zero Knowledge Protocols. </w:t>
      </w:r>
      <w:r w:rsidRPr="00263935">
        <w:rPr>
          <w:i/>
          <w:sz w:val="24"/>
          <w:szCs w:val="24"/>
        </w:rPr>
        <w:t>Upc.edu</w:t>
      </w:r>
      <w:r w:rsidRPr="00263935">
        <w:rPr>
          <w:sz w:val="24"/>
          <w:szCs w:val="24"/>
        </w:rPr>
        <w:t xml:space="preserve">. </w:t>
      </w:r>
      <w:hyperlink r:id="rId36">
        <w:r w:rsidRPr="00263935">
          <w:rPr>
            <w:color w:val="1155CC"/>
            <w:sz w:val="24"/>
            <w:szCs w:val="24"/>
            <w:u w:val="single"/>
          </w:rPr>
          <w:t>http://hdl.handle.net/2117/424269</w:t>
        </w:r>
      </w:hyperlink>
      <w:r w:rsidRPr="00263935">
        <w:rPr>
          <w:sz w:val="24"/>
          <w:szCs w:val="24"/>
        </w:rPr>
        <w:t xml:space="preserve"> </w:t>
      </w:r>
    </w:p>
    <w:p w14:paraId="40D28876" w14:textId="77777777" w:rsidR="00C63CFC" w:rsidRPr="00263935" w:rsidRDefault="0043080A" w:rsidP="00D217F1">
      <w:pPr>
        <w:spacing w:after="240" w:line="240" w:lineRule="auto"/>
        <w:ind w:left="720" w:hanging="720"/>
        <w:rPr>
          <w:sz w:val="24"/>
          <w:szCs w:val="24"/>
        </w:rPr>
      </w:pPr>
      <w:r w:rsidRPr="00263935">
        <w:rPr>
          <w:sz w:val="24"/>
          <w:szCs w:val="24"/>
        </w:rPr>
        <w:t xml:space="preserve">Jeyachandran, P. (2025). Measuring The Impact Of KPI Optimization On Fraud Prevention Efficiency. </w:t>
      </w:r>
      <w:r w:rsidRPr="00263935">
        <w:rPr>
          <w:i/>
          <w:sz w:val="24"/>
          <w:szCs w:val="24"/>
        </w:rPr>
        <w:t>SSRN Electronic Journal</w:t>
      </w:r>
      <w:r w:rsidRPr="00263935">
        <w:rPr>
          <w:sz w:val="24"/>
          <w:szCs w:val="24"/>
        </w:rPr>
        <w:t xml:space="preserve">. </w:t>
      </w:r>
      <w:hyperlink r:id="rId37">
        <w:r w:rsidRPr="00263935">
          <w:rPr>
            <w:color w:val="1155CC"/>
            <w:sz w:val="24"/>
            <w:szCs w:val="24"/>
            <w:u w:val="single"/>
          </w:rPr>
          <w:t>https://doi.org/10.2139/ssrn.5076802</w:t>
        </w:r>
      </w:hyperlink>
      <w:r w:rsidRPr="00263935">
        <w:rPr>
          <w:sz w:val="24"/>
          <w:szCs w:val="24"/>
        </w:rPr>
        <w:t xml:space="preserve"> </w:t>
      </w:r>
    </w:p>
    <w:p w14:paraId="67C9E085" w14:textId="77777777" w:rsidR="00C63CFC" w:rsidRPr="00263935" w:rsidRDefault="0043080A" w:rsidP="00D217F1">
      <w:pPr>
        <w:spacing w:after="240" w:line="240" w:lineRule="auto"/>
        <w:ind w:left="720" w:hanging="720"/>
        <w:rPr>
          <w:sz w:val="24"/>
          <w:szCs w:val="24"/>
        </w:rPr>
      </w:pPr>
      <w:r w:rsidRPr="00263935">
        <w:rPr>
          <w:sz w:val="24"/>
          <w:szCs w:val="24"/>
        </w:rPr>
        <w:t xml:space="preserve">Joseph, S. (2024). </w:t>
      </w:r>
      <w:r w:rsidRPr="00263935">
        <w:rPr>
          <w:i/>
          <w:sz w:val="24"/>
          <w:szCs w:val="24"/>
        </w:rPr>
        <w:t>Balancing Data Privacy and Compliance in Blockchain-Based Financial Systems</w:t>
      </w:r>
      <w:r w:rsidRPr="00263935">
        <w:rPr>
          <w:sz w:val="24"/>
          <w:szCs w:val="24"/>
        </w:rPr>
        <w:t xml:space="preserve">. Ssrn.com. </w:t>
      </w:r>
      <w:hyperlink r:id="rId38">
        <w:r w:rsidRPr="00263935">
          <w:rPr>
            <w:color w:val="1155CC"/>
            <w:sz w:val="24"/>
            <w:szCs w:val="24"/>
            <w:u w:val="single"/>
          </w:rPr>
          <w:t>https://papers.ssrn.com/sol3/papers.cfm?abstract_id=4949837</w:t>
        </w:r>
      </w:hyperlink>
      <w:r w:rsidRPr="00263935">
        <w:rPr>
          <w:sz w:val="24"/>
          <w:szCs w:val="24"/>
        </w:rPr>
        <w:t xml:space="preserve"> </w:t>
      </w:r>
    </w:p>
    <w:p w14:paraId="46B73D5C" w14:textId="77777777" w:rsidR="00C63CFC" w:rsidRPr="00263935" w:rsidRDefault="0043080A" w:rsidP="00D217F1">
      <w:pPr>
        <w:spacing w:after="240" w:line="240" w:lineRule="auto"/>
        <w:ind w:left="720" w:hanging="720"/>
        <w:rPr>
          <w:sz w:val="24"/>
          <w:szCs w:val="24"/>
        </w:rPr>
      </w:pPr>
      <w:r w:rsidRPr="00D836F5">
        <w:rPr>
          <w:sz w:val="24"/>
          <w:szCs w:val="24"/>
          <w:lang w:val="es-ES"/>
        </w:rPr>
        <w:t xml:space="preserve">Kakebayashi, M., Presto, G. P., &amp; Yuyama, T. (2023). </w:t>
      </w:r>
      <w:r w:rsidRPr="00263935">
        <w:rPr>
          <w:sz w:val="24"/>
          <w:szCs w:val="24"/>
        </w:rPr>
        <w:t xml:space="preserve">Policy Design of Retail Central Bank Digital Currencies: Embedding AML/CFT Compliance. </w:t>
      </w:r>
      <w:r w:rsidRPr="00263935">
        <w:rPr>
          <w:i/>
          <w:sz w:val="24"/>
          <w:szCs w:val="24"/>
        </w:rPr>
        <w:t>Lecture Notes in Computer Science</w:t>
      </w:r>
      <w:r w:rsidRPr="00263935">
        <w:rPr>
          <w:sz w:val="24"/>
          <w:szCs w:val="24"/>
        </w:rPr>
        <w:t xml:space="preserve">, 216–244. </w:t>
      </w:r>
      <w:hyperlink r:id="rId39">
        <w:r w:rsidRPr="00263935">
          <w:rPr>
            <w:color w:val="1155CC"/>
            <w:sz w:val="24"/>
            <w:szCs w:val="24"/>
            <w:u w:val="single"/>
          </w:rPr>
          <w:t>https://doi.org/10.1007/978-3-031-48806-1_15</w:t>
        </w:r>
      </w:hyperlink>
      <w:r w:rsidRPr="00263935">
        <w:rPr>
          <w:sz w:val="24"/>
          <w:szCs w:val="24"/>
        </w:rPr>
        <w:t xml:space="preserve"> </w:t>
      </w:r>
    </w:p>
    <w:p w14:paraId="7EB9D39A" w14:textId="77777777" w:rsidR="00C63CFC" w:rsidRPr="00263935" w:rsidRDefault="0043080A" w:rsidP="00D217F1">
      <w:pPr>
        <w:spacing w:after="240" w:line="240" w:lineRule="auto"/>
        <w:ind w:left="720" w:hanging="720"/>
        <w:rPr>
          <w:sz w:val="24"/>
          <w:szCs w:val="24"/>
        </w:rPr>
      </w:pPr>
      <w:r w:rsidRPr="00263935">
        <w:rPr>
          <w:sz w:val="24"/>
          <w:szCs w:val="24"/>
        </w:rPr>
        <w:t xml:space="preserve">Kalbantner, J., Markantonakis, K., Hurley-Smith, D., &amp; Shepherd, C. (2024). ZKP Enabled Identity and Reputation Verification in P2P Marketplaces. </w:t>
      </w:r>
      <w:r w:rsidRPr="00263935">
        <w:rPr>
          <w:i/>
          <w:sz w:val="24"/>
          <w:szCs w:val="24"/>
        </w:rPr>
        <w:t xml:space="preserve">IEEE </w:t>
      </w:r>
      <w:r w:rsidRPr="00263935">
        <w:rPr>
          <w:sz w:val="24"/>
          <w:szCs w:val="24"/>
        </w:rPr>
        <w:t xml:space="preserve">, 591–598. </w:t>
      </w:r>
      <w:hyperlink r:id="rId40">
        <w:r w:rsidRPr="00263935">
          <w:rPr>
            <w:color w:val="1155CC"/>
            <w:sz w:val="24"/>
            <w:szCs w:val="24"/>
            <w:u w:val="single"/>
          </w:rPr>
          <w:t>https://doi.org/10.1109/blockchain62396.2024.00087</w:t>
        </w:r>
      </w:hyperlink>
      <w:r w:rsidRPr="00263935">
        <w:rPr>
          <w:sz w:val="24"/>
          <w:szCs w:val="24"/>
        </w:rPr>
        <w:t xml:space="preserve"> </w:t>
      </w:r>
    </w:p>
    <w:p w14:paraId="39F7AB57" w14:textId="77777777" w:rsidR="00C63CFC" w:rsidRPr="00263935" w:rsidRDefault="0043080A" w:rsidP="00D217F1">
      <w:pPr>
        <w:spacing w:after="240" w:line="240" w:lineRule="auto"/>
        <w:ind w:left="720" w:hanging="720"/>
        <w:rPr>
          <w:sz w:val="24"/>
          <w:szCs w:val="24"/>
        </w:rPr>
      </w:pPr>
      <w:r w:rsidRPr="00263935">
        <w:rPr>
          <w:sz w:val="24"/>
          <w:szCs w:val="24"/>
        </w:rPr>
        <w:t xml:space="preserve">Khamesra, A., Selvaraj, P., &amp; Singh, I. (2024). Data Encryption in 6G Networks: A Zero- Knowledge Proof Model. </w:t>
      </w:r>
      <w:r w:rsidRPr="00263935">
        <w:rPr>
          <w:i/>
          <w:sz w:val="24"/>
          <w:szCs w:val="24"/>
        </w:rPr>
        <w:t>2024 8th International Conference on I-SMAC (IoT in Social, Mobile, Analytics and Cloud) (I-SMAC)</w:t>
      </w:r>
      <w:r w:rsidRPr="00263935">
        <w:rPr>
          <w:sz w:val="24"/>
          <w:szCs w:val="24"/>
        </w:rPr>
        <w:t xml:space="preserve">, 577–585. </w:t>
      </w:r>
      <w:hyperlink r:id="rId41">
        <w:r w:rsidRPr="00263935">
          <w:rPr>
            <w:color w:val="1155CC"/>
            <w:sz w:val="24"/>
            <w:szCs w:val="24"/>
            <w:u w:val="single"/>
          </w:rPr>
          <w:t>https://doi.org/10.1109/i-smac61858.2024.10714853</w:t>
        </w:r>
      </w:hyperlink>
      <w:r w:rsidRPr="00263935">
        <w:rPr>
          <w:sz w:val="24"/>
          <w:szCs w:val="24"/>
        </w:rPr>
        <w:t xml:space="preserve">  </w:t>
      </w:r>
    </w:p>
    <w:p w14:paraId="6D74EDC3" w14:textId="77777777" w:rsidR="00C63CFC" w:rsidRPr="00263935" w:rsidRDefault="0043080A" w:rsidP="00D217F1">
      <w:pPr>
        <w:spacing w:after="240" w:line="240" w:lineRule="auto"/>
        <w:ind w:left="720" w:hanging="720"/>
        <w:rPr>
          <w:sz w:val="24"/>
          <w:szCs w:val="24"/>
        </w:rPr>
      </w:pPr>
      <w:r w:rsidRPr="00263935">
        <w:rPr>
          <w:sz w:val="24"/>
          <w:szCs w:val="24"/>
        </w:rPr>
        <w:t xml:space="preserve">Kolade, T. M., Aideyan, N. T., Oyekunle, S. M., Ogungbemi, O. S., &amp; Olaniyi, O. O. (2024). Artificial Intelligence and Information Governance: Strengthening Global Security, through Compliance Frameworks, and Data Security. </w:t>
      </w:r>
      <w:r w:rsidRPr="00263935">
        <w:rPr>
          <w:i/>
          <w:sz w:val="24"/>
          <w:szCs w:val="24"/>
        </w:rPr>
        <w:t>Asian Journal of Research in Computer Science</w:t>
      </w:r>
      <w:r w:rsidRPr="00263935">
        <w:rPr>
          <w:sz w:val="24"/>
          <w:szCs w:val="24"/>
        </w:rPr>
        <w:t xml:space="preserve">, </w:t>
      </w:r>
      <w:r w:rsidRPr="00263935">
        <w:rPr>
          <w:i/>
          <w:sz w:val="24"/>
          <w:szCs w:val="24"/>
        </w:rPr>
        <w:t>17</w:t>
      </w:r>
      <w:r w:rsidRPr="00263935">
        <w:rPr>
          <w:sz w:val="24"/>
          <w:szCs w:val="24"/>
        </w:rPr>
        <w:t xml:space="preserve">(12), 36–57. </w:t>
      </w:r>
      <w:hyperlink r:id="rId42">
        <w:r w:rsidRPr="00263935">
          <w:rPr>
            <w:color w:val="1155CC"/>
            <w:sz w:val="24"/>
            <w:szCs w:val="24"/>
            <w:u w:val="single"/>
          </w:rPr>
          <w:t>https://doi.org/10.9734/ajrcos/2024/v17i12528</w:t>
        </w:r>
      </w:hyperlink>
      <w:r w:rsidRPr="00263935">
        <w:rPr>
          <w:sz w:val="24"/>
          <w:szCs w:val="24"/>
        </w:rPr>
        <w:t xml:space="preserve"> </w:t>
      </w:r>
    </w:p>
    <w:p w14:paraId="39D244C8" w14:textId="77777777" w:rsidR="00C63CFC" w:rsidRPr="00263935" w:rsidRDefault="0043080A" w:rsidP="00D217F1">
      <w:pPr>
        <w:spacing w:after="240" w:line="240" w:lineRule="auto"/>
        <w:ind w:left="720" w:hanging="720"/>
        <w:rPr>
          <w:sz w:val="24"/>
          <w:szCs w:val="24"/>
        </w:rPr>
      </w:pPr>
      <w:r w:rsidRPr="00D836F5">
        <w:rPr>
          <w:sz w:val="24"/>
          <w:szCs w:val="24"/>
          <w:lang w:val="es-ES"/>
        </w:rPr>
        <w:t xml:space="preserve">Kolade, T. M., Obioha-Val, O. A., Balogun, A. Y., Gbadebo, M. O., &amp; Olaniyi, O. O. (2025). </w:t>
      </w:r>
      <w:r w:rsidRPr="00263935">
        <w:rPr>
          <w:sz w:val="24"/>
          <w:szCs w:val="24"/>
        </w:rPr>
        <w:t xml:space="preserve">AI-Driven Open Source Intelligence in Cyber Defense: A Double-edged Sword for National Security. </w:t>
      </w:r>
      <w:r w:rsidRPr="00263935">
        <w:rPr>
          <w:i/>
          <w:sz w:val="24"/>
          <w:szCs w:val="24"/>
        </w:rPr>
        <w:t>Asian Journal of Research in Computer Science</w:t>
      </w:r>
      <w:r w:rsidRPr="00263935">
        <w:rPr>
          <w:sz w:val="24"/>
          <w:szCs w:val="24"/>
        </w:rPr>
        <w:t xml:space="preserve">, </w:t>
      </w:r>
      <w:r w:rsidRPr="00263935">
        <w:rPr>
          <w:i/>
          <w:sz w:val="24"/>
          <w:szCs w:val="24"/>
        </w:rPr>
        <w:t>18</w:t>
      </w:r>
      <w:r w:rsidRPr="00263935">
        <w:rPr>
          <w:sz w:val="24"/>
          <w:szCs w:val="24"/>
        </w:rPr>
        <w:t xml:space="preserve">(1), 133–153. </w:t>
      </w:r>
      <w:hyperlink r:id="rId43">
        <w:r w:rsidRPr="00263935">
          <w:rPr>
            <w:color w:val="1155CC"/>
            <w:sz w:val="24"/>
            <w:szCs w:val="24"/>
            <w:u w:val="single"/>
          </w:rPr>
          <w:t>https://doi.org/10.9734/ajrcos/2025/v18i1554</w:t>
        </w:r>
      </w:hyperlink>
      <w:r w:rsidRPr="00263935">
        <w:rPr>
          <w:sz w:val="24"/>
          <w:szCs w:val="24"/>
        </w:rPr>
        <w:t xml:space="preserve"> </w:t>
      </w:r>
    </w:p>
    <w:p w14:paraId="52A578B5" w14:textId="77777777" w:rsidR="00C63CFC" w:rsidRPr="00263935" w:rsidRDefault="0043080A" w:rsidP="00D217F1">
      <w:pPr>
        <w:spacing w:after="240" w:line="240" w:lineRule="auto"/>
        <w:ind w:left="720" w:hanging="720"/>
        <w:rPr>
          <w:sz w:val="24"/>
          <w:szCs w:val="24"/>
        </w:rPr>
      </w:pPr>
      <w:r w:rsidRPr="00263935">
        <w:rPr>
          <w:sz w:val="24"/>
          <w:szCs w:val="24"/>
        </w:rPr>
        <w:t xml:space="preserve">Koutsias, M. (2025). Privacy and Data Protection in the UK and in the EU: A Long History of Divergence Even During EU Membership-Brexit Should Not Bring a Divorce with the EU Privacy Regulatory Regime so as to Protect Trade and Human Rights in the UK. </w:t>
      </w:r>
      <w:r w:rsidRPr="00263935">
        <w:rPr>
          <w:i/>
          <w:sz w:val="24"/>
          <w:szCs w:val="24"/>
        </w:rPr>
        <w:t>European Business Law Review</w:t>
      </w:r>
      <w:r w:rsidRPr="00263935">
        <w:rPr>
          <w:sz w:val="24"/>
          <w:szCs w:val="24"/>
        </w:rPr>
        <w:t xml:space="preserve">, </w:t>
      </w:r>
      <w:r w:rsidRPr="00263935">
        <w:rPr>
          <w:i/>
          <w:sz w:val="24"/>
          <w:szCs w:val="24"/>
        </w:rPr>
        <w:t>36</w:t>
      </w:r>
      <w:r w:rsidRPr="00263935">
        <w:rPr>
          <w:sz w:val="24"/>
          <w:szCs w:val="24"/>
        </w:rPr>
        <w:t xml:space="preserve">(1). </w:t>
      </w:r>
      <w:hyperlink r:id="rId44">
        <w:r w:rsidRPr="00263935">
          <w:rPr>
            <w:color w:val="1155CC"/>
            <w:sz w:val="24"/>
            <w:szCs w:val="24"/>
            <w:u w:val="single"/>
          </w:rPr>
          <w:t>https://kluwerlawonline.com/journalarticle/European+Business+Law+Review/36.1/EULR2025004</w:t>
        </w:r>
      </w:hyperlink>
      <w:r w:rsidRPr="00263935">
        <w:rPr>
          <w:sz w:val="24"/>
          <w:szCs w:val="24"/>
        </w:rPr>
        <w:t xml:space="preserve"> </w:t>
      </w:r>
    </w:p>
    <w:p w14:paraId="31149F9B" w14:textId="77777777" w:rsidR="00C63CFC" w:rsidRPr="00263935" w:rsidRDefault="0043080A" w:rsidP="00D217F1">
      <w:pPr>
        <w:spacing w:after="240" w:line="240" w:lineRule="auto"/>
        <w:ind w:left="720" w:hanging="720"/>
        <w:rPr>
          <w:sz w:val="24"/>
          <w:szCs w:val="24"/>
        </w:rPr>
      </w:pPr>
      <w:r w:rsidRPr="00263935">
        <w:rPr>
          <w:sz w:val="24"/>
          <w:szCs w:val="24"/>
        </w:rPr>
        <w:t xml:space="preserve">Kumar Singh, A., Kumar, V. R. P., Dehdasht, G., Mohandes, S. R., Manu, P., &amp; Rahimian, F. P. (2023). Investigating the barriers to the adoption of blockchain technology in sustainable construction projects. </w:t>
      </w:r>
      <w:r w:rsidRPr="00263935">
        <w:rPr>
          <w:i/>
          <w:sz w:val="24"/>
          <w:szCs w:val="24"/>
        </w:rPr>
        <w:t>Journal of Cleaner Production</w:t>
      </w:r>
      <w:r w:rsidRPr="00263935">
        <w:rPr>
          <w:sz w:val="24"/>
          <w:szCs w:val="24"/>
        </w:rPr>
        <w:t xml:space="preserve">, </w:t>
      </w:r>
      <w:r w:rsidRPr="00263935">
        <w:rPr>
          <w:i/>
          <w:sz w:val="24"/>
          <w:szCs w:val="24"/>
        </w:rPr>
        <w:t>403</w:t>
      </w:r>
      <w:r w:rsidRPr="00263935">
        <w:rPr>
          <w:sz w:val="24"/>
          <w:szCs w:val="24"/>
        </w:rPr>
        <w:t xml:space="preserve">, 136840. </w:t>
      </w:r>
      <w:hyperlink r:id="rId45">
        <w:r w:rsidRPr="00263935">
          <w:rPr>
            <w:color w:val="1155CC"/>
            <w:sz w:val="24"/>
            <w:szCs w:val="24"/>
            <w:u w:val="single"/>
          </w:rPr>
          <w:t>https://doi.org/10.1016/j.jclepro.2023.136840</w:t>
        </w:r>
      </w:hyperlink>
      <w:r w:rsidRPr="00263935">
        <w:rPr>
          <w:sz w:val="24"/>
          <w:szCs w:val="24"/>
        </w:rPr>
        <w:t xml:space="preserve"> </w:t>
      </w:r>
    </w:p>
    <w:p w14:paraId="7F3BCDB4" w14:textId="77777777" w:rsidR="00C63CFC" w:rsidRPr="00263935" w:rsidRDefault="0043080A" w:rsidP="00D217F1">
      <w:pPr>
        <w:spacing w:after="240" w:line="240" w:lineRule="auto"/>
        <w:ind w:left="720" w:hanging="720"/>
        <w:rPr>
          <w:sz w:val="24"/>
          <w:szCs w:val="24"/>
        </w:rPr>
      </w:pPr>
      <w:r w:rsidRPr="00263935">
        <w:rPr>
          <w:sz w:val="24"/>
          <w:szCs w:val="24"/>
        </w:rPr>
        <w:t xml:space="preserve">Kuppan, K., Acharya, D. B., &amp; Divya, B. (2024). Foundational AI in Insurance and Real Estate: A Survey of Applications, Challenges, and Future Directions. </w:t>
      </w:r>
      <w:r w:rsidRPr="00263935">
        <w:rPr>
          <w:i/>
          <w:sz w:val="24"/>
          <w:szCs w:val="24"/>
        </w:rPr>
        <w:t>IEEE Access</w:t>
      </w:r>
      <w:r w:rsidRPr="00263935">
        <w:rPr>
          <w:sz w:val="24"/>
          <w:szCs w:val="24"/>
        </w:rPr>
        <w:t xml:space="preserve">, 1–1. </w:t>
      </w:r>
      <w:hyperlink r:id="rId46">
        <w:r w:rsidRPr="00263935">
          <w:rPr>
            <w:color w:val="1155CC"/>
            <w:sz w:val="24"/>
            <w:szCs w:val="24"/>
            <w:u w:val="single"/>
          </w:rPr>
          <w:t>https://doi.org/10.1109/access.2024.3509918</w:t>
        </w:r>
      </w:hyperlink>
      <w:r w:rsidRPr="00263935">
        <w:rPr>
          <w:sz w:val="24"/>
          <w:szCs w:val="24"/>
        </w:rPr>
        <w:t xml:space="preserve"> </w:t>
      </w:r>
    </w:p>
    <w:p w14:paraId="344F6EC6" w14:textId="77777777" w:rsidR="00C63CFC" w:rsidRPr="00263935" w:rsidRDefault="0043080A" w:rsidP="00D217F1">
      <w:pPr>
        <w:spacing w:after="240" w:line="240" w:lineRule="auto"/>
        <w:ind w:left="720" w:hanging="720"/>
        <w:rPr>
          <w:sz w:val="24"/>
          <w:szCs w:val="24"/>
        </w:rPr>
      </w:pPr>
      <w:r w:rsidRPr="00263935">
        <w:rPr>
          <w:sz w:val="24"/>
          <w:szCs w:val="24"/>
        </w:rPr>
        <w:t xml:space="preserve">Kuznetsov, O., Rusnak, A., Yezhov, A., Kanonik, D., Kuznetsova, K., &amp; Karashchuk, S. (2024). Enhanced Security and Efficiency in Blockchain with Aggregated Zero-Knowledge Proof Mechanisms. </w:t>
      </w:r>
      <w:r w:rsidRPr="00263935">
        <w:rPr>
          <w:i/>
          <w:sz w:val="24"/>
          <w:szCs w:val="24"/>
        </w:rPr>
        <w:t>IEEE Access</w:t>
      </w:r>
      <w:r w:rsidRPr="00263935">
        <w:rPr>
          <w:sz w:val="24"/>
          <w:szCs w:val="24"/>
        </w:rPr>
        <w:t xml:space="preserve">, 1–1. </w:t>
      </w:r>
      <w:hyperlink r:id="rId47">
        <w:r w:rsidRPr="00263935">
          <w:rPr>
            <w:color w:val="1155CC"/>
            <w:sz w:val="24"/>
            <w:szCs w:val="24"/>
            <w:u w:val="single"/>
          </w:rPr>
          <w:t>https://doi.org/10.1109/ACCESS.2024.3384705</w:t>
        </w:r>
      </w:hyperlink>
      <w:r w:rsidRPr="00263935">
        <w:rPr>
          <w:sz w:val="24"/>
          <w:szCs w:val="24"/>
        </w:rPr>
        <w:t xml:space="preserve"> </w:t>
      </w:r>
    </w:p>
    <w:p w14:paraId="6659697C" w14:textId="77777777" w:rsidR="00C63CFC" w:rsidRPr="00263935" w:rsidRDefault="0043080A" w:rsidP="00D217F1">
      <w:pPr>
        <w:spacing w:after="240" w:line="240" w:lineRule="auto"/>
        <w:ind w:left="720" w:hanging="720"/>
        <w:rPr>
          <w:sz w:val="24"/>
          <w:szCs w:val="24"/>
        </w:rPr>
      </w:pPr>
      <w:r w:rsidRPr="00263935">
        <w:rPr>
          <w:sz w:val="24"/>
          <w:szCs w:val="24"/>
        </w:rPr>
        <w:t xml:space="preserve">Lal, R., Chhabra, A., Singla, S., &amp; Sharma, D. (2024). Blockchain Technology: Revolutionizing Trust, Transparency, and Transaction Efficiency. </w:t>
      </w:r>
      <w:r w:rsidRPr="00263935">
        <w:rPr>
          <w:i/>
          <w:sz w:val="24"/>
          <w:szCs w:val="24"/>
        </w:rPr>
        <w:t xml:space="preserve">IEEE </w:t>
      </w:r>
      <w:r w:rsidRPr="00263935">
        <w:rPr>
          <w:sz w:val="24"/>
          <w:szCs w:val="24"/>
        </w:rPr>
        <w:t xml:space="preserve">, </w:t>
      </w:r>
      <w:r w:rsidRPr="00263935">
        <w:rPr>
          <w:i/>
          <w:sz w:val="24"/>
          <w:szCs w:val="24"/>
        </w:rPr>
        <w:t>1</w:t>
      </w:r>
      <w:r w:rsidRPr="00263935">
        <w:rPr>
          <w:sz w:val="24"/>
          <w:szCs w:val="24"/>
        </w:rPr>
        <w:t xml:space="preserve">, 1–5. </w:t>
      </w:r>
      <w:hyperlink r:id="rId48">
        <w:r w:rsidRPr="00263935">
          <w:rPr>
            <w:color w:val="1155CC"/>
            <w:sz w:val="24"/>
            <w:szCs w:val="24"/>
            <w:u w:val="single"/>
          </w:rPr>
          <w:t>https://doi.org/10.1109/ickecs61492.2024.10616743</w:t>
        </w:r>
      </w:hyperlink>
      <w:r w:rsidRPr="00263935">
        <w:rPr>
          <w:sz w:val="24"/>
          <w:szCs w:val="24"/>
        </w:rPr>
        <w:t xml:space="preserve"> </w:t>
      </w:r>
    </w:p>
    <w:p w14:paraId="0F30A5CC" w14:textId="77777777" w:rsidR="00C63CFC" w:rsidRPr="00263935" w:rsidRDefault="0043080A" w:rsidP="00D217F1">
      <w:pPr>
        <w:spacing w:after="240" w:line="240" w:lineRule="auto"/>
        <w:ind w:left="720" w:hanging="720"/>
        <w:rPr>
          <w:sz w:val="24"/>
          <w:szCs w:val="24"/>
        </w:rPr>
      </w:pPr>
      <w:r w:rsidRPr="00263935">
        <w:rPr>
          <w:sz w:val="24"/>
          <w:szCs w:val="24"/>
        </w:rPr>
        <w:t xml:space="preserve">MacGregor, M. (2023). </w:t>
      </w:r>
      <w:r w:rsidRPr="00263935">
        <w:rPr>
          <w:i/>
          <w:sz w:val="24"/>
          <w:szCs w:val="24"/>
        </w:rPr>
        <w:t>Navigating the UK Cryptoasset Landscape: Key Regulatory Updates for Firms</w:t>
      </w:r>
      <w:r w:rsidRPr="00263935">
        <w:rPr>
          <w:sz w:val="24"/>
          <w:szCs w:val="24"/>
        </w:rPr>
        <w:t xml:space="preserve">. Fox Williams. </w:t>
      </w:r>
      <w:hyperlink r:id="rId49">
        <w:r w:rsidRPr="00263935">
          <w:rPr>
            <w:color w:val="1155CC"/>
            <w:sz w:val="24"/>
            <w:szCs w:val="24"/>
            <w:u w:val="single"/>
          </w:rPr>
          <w:t>https://www.foxwilliams.com/2023/11/17/navigating-the-uk-cryptoasset-landscape-key-regulatory-cryptoasset-changes/</w:t>
        </w:r>
      </w:hyperlink>
      <w:r w:rsidRPr="00263935">
        <w:rPr>
          <w:sz w:val="24"/>
          <w:szCs w:val="24"/>
        </w:rPr>
        <w:t xml:space="preserve"> </w:t>
      </w:r>
    </w:p>
    <w:p w14:paraId="58553E3A" w14:textId="77777777" w:rsidR="00C63CFC" w:rsidRPr="00263935" w:rsidRDefault="0043080A" w:rsidP="00D217F1">
      <w:pPr>
        <w:spacing w:after="240" w:line="240" w:lineRule="auto"/>
        <w:ind w:left="720" w:hanging="720"/>
        <w:rPr>
          <w:sz w:val="24"/>
          <w:szCs w:val="24"/>
        </w:rPr>
      </w:pPr>
      <w:r w:rsidRPr="00263935">
        <w:rPr>
          <w:sz w:val="24"/>
          <w:szCs w:val="24"/>
        </w:rPr>
        <w:t xml:space="preserve">Mayeke, N. R., Arigbabu, A. T., Olaniyi, O. O., Okunleye, O. J., &amp; Adigwe, C. S. (2024). Evolving Access Control Paradigms: A Comprehensive Multi-Dimensional Analysis of Security Risks and System Assurance in Cyber Engineering. </w:t>
      </w:r>
      <w:r w:rsidRPr="00263935">
        <w:rPr>
          <w:i/>
          <w:sz w:val="24"/>
          <w:szCs w:val="24"/>
        </w:rPr>
        <w:t>Asian Journal of Research in Computer Science</w:t>
      </w:r>
      <w:r w:rsidRPr="00263935">
        <w:rPr>
          <w:sz w:val="24"/>
          <w:szCs w:val="24"/>
        </w:rPr>
        <w:t xml:space="preserve">, </w:t>
      </w:r>
      <w:r w:rsidRPr="00263935">
        <w:rPr>
          <w:i/>
          <w:sz w:val="24"/>
          <w:szCs w:val="24"/>
        </w:rPr>
        <w:t>17</w:t>
      </w:r>
      <w:r w:rsidRPr="00263935">
        <w:rPr>
          <w:sz w:val="24"/>
          <w:szCs w:val="24"/>
        </w:rPr>
        <w:t xml:space="preserve">(5), 108–124. </w:t>
      </w:r>
      <w:hyperlink r:id="rId50">
        <w:r w:rsidRPr="00263935">
          <w:rPr>
            <w:color w:val="1155CC"/>
            <w:sz w:val="24"/>
            <w:szCs w:val="24"/>
            <w:u w:val="single"/>
          </w:rPr>
          <w:t>https://doi.org/10.9734/ajrcos/2024/v17i5442</w:t>
        </w:r>
      </w:hyperlink>
      <w:r w:rsidRPr="00263935">
        <w:rPr>
          <w:sz w:val="24"/>
          <w:szCs w:val="24"/>
        </w:rPr>
        <w:t xml:space="preserve"> </w:t>
      </w:r>
    </w:p>
    <w:p w14:paraId="59411CF9" w14:textId="77777777" w:rsidR="00C63CFC" w:rsidRPr="00263935" w:rsidRDefault="0043080A" w:rsidP="00D217F1">
      <w:pPr>
        <w:spacing w:after="240" w:line="240" w:lineRule="auto"/>
        <w:ind w:left="720" w:hanging="720"/>
        <w:rPr>
          <w:sz w:val="24"/>
          <w:szCs w:val="24"/>
        </w:rPr>
      </w:pPr>
      <w:r w:rsidRPr="00263935">
        <w:rPr>
          <w:sz w:val="24"/>
          <w:szCs w:val="24"/>
        </w:rPr>
        <w:t xml:space="preserve">Mazzocca, C., Acar, A., Uluagac, S., Montanari, R., Bellavista, P., &amp; Conti, M. (2025). A Survey on Decentralized Identifiers and Verifiable Credentials. </w:t>
      </w:r>
      <w:r w:rsidRPr="00263935">
        <w:rPr>
          <w:i/>
          <w:sz w:val="24"/>
          <w:szCs w:val="24"/>
        </w:rPr>
        <w:t>IEEE Communications Surveys &amp; Tutorials</w:t>
      </w:r>
      <w:r w:rsidRPr="00263935">
        <w:rPr>
          <w:sz w:val="24"/>
          <w:szCs w:val="24"/>
        </w:rPr>
        <w:t xml:space="preserve">, 1–1. </w:t>
      </w:r>
      <w:hyperlink r:id="rId51">
        <w:r w:rsidRPr="00263935">
          <w:rPr>
            <w:color w:val="1155CC"/>
            <w:sz w:val="24"/>
            <w:szCs w:val="24"/>
            <w:u w:val="single"/>
          </w:rPr>
          <w:t>https://doi.org/10.1109/comst.2025.3543197</w:t>
        </w:r>
      </w:hyperlink>
      <w:r w:rsidRPr="00263935">
        <w:rPr>
          <w:sz w:val="24"/>
          <w:szCs w:val="24"/>
        </w:rPr>
        <w:t xml:space="preserve"> </w:t>
      </w:r>
    </w:p>
    <w:p w14:paraId="3201577F" w14:textId="77777777" w:rsidR="00C63CFC" w:rsidRPr="00263935" w:rsidRDefault="0043080A" w:rsidP="00D217F1">
      <w:pPr>
        <w:spacing w:after="240" w:line="240" w:lineRule="auto"/>
        <w:ind w:left="720" w:hanging="720"/>
        <w:rPr>
          <w:sz w:val="24"/>
          <w:szCs w:val="24"/>
        </w:rPr>
      </w:pPr>
      <w:r w:rsidRPr="00263935">
        <w:rPr>
          <w:sz w:val="24"/>
          <w:szCs w:val="24"/>
        </w:rPr>
        <w:t xml:space="preserve">mlslegalservices. (2023). </w:t>
      </w:r>
      <w:r w:rsidRPr="00263935">
        <w:rPr>
          <w:i/>
          <w:sz w:val="24"/>
          <w:szCs w:val="24"/>
        </w:rPr>
        <w:t>Legal Implications of Blockchain Technology in the UK</w:t>
      </w:r>
      <w:r w:rsidRPr="00263935">
        <w:rPr>
          <w:sz w:val="24"/>
          <w:szCs w:val="24"/>
        </w:rPr>
        <w:t xml:space="preserve">. Mlslegal. </w:t>
      </w:r>
      <w:hyperlink r:id="rId52">
        <w:r w:rsidRPr="00263935">
          <w:rPr>
            <w:color w:val="1155CC"/>
            <w:sz w:val="24"/>
            <w:szCs w:val="24"/>
            <w:u w:val="single"/>
          </w:rPr>
          <w:t>https://www.mlslegal.co.uk/single-post/legal-implications-of-blockchain-technology-in-the-uk</w:t>
        </w:r>
      </w:hyperlink>
      <w:r w:rsidRPr="00263935">
        <w:rPr>
          <w:sz w:val="24"/>
          <w:szCs w:val="24"/>
        </w:rPr>
        <w:t xml:space="preserve"> </w:t>
      </w:r>
    </w:p>
    <w:p w14:paraId="78867135" w14:textId="77777777" w:rsidR="00C63CFC" w:rsidRPr="00263935" w:rsidRDefault="0043080A" w:rsidP="00D217F1">
      <w:pPr>
        <w:spacing w:after="240" w:line="240" w:lineRule="auto"/>
        <w:ind w:left="720" w:hanging="720"/>
        <w:rPr>
          <w:sz w:val="24"/>
          <w:szCs w:val="24"/>
        </w:rPr>
      </w:pPr>
      <w:r w:rsidRPr="00D836F5">
        <w:rPr>
          <w:sz w:val="24"/>
          <w:szCs w:val="24"/>
          <w:lang w:val="fr-FR"/>
        </w:rPr>
        <w:t xml:space="preserve">Mssassi, S., &amp; El Kalam , A. A. (2024). </w:t>
      </w:r>
      <w:r w:rsidRPr="00263935">
        <w:rPr>
          <w:sz w:val="24"/>
          <w:szCs w:val="24"/>
        </w:rPr>
        <w:t xml:space="preserve">Leveraging Blockchain for Enhanced Traceability and Transparency in Sustainable Development. </w:t>
      </w:r>
      <w:r w:rsidRPr="00263935">
        <w:rPr>
          <w:i/>
          <w:sz w:val="24"/>
          <w:szCs w:val="24"/>
        </w:rPr>
        <w:t>Lecture Notes in Networks and Systems</w:t>
      </w:r>
      <w:r w:rsidRPr="00263935">
        <w:rPr>
          <w:sz w:val="24"/>
          <w:szCs w:val="24"/>
        </w:rPr>
        <w:t xml:space="preserve">, </w:t>
      </w:r>
      <w:r w:rsidRPr="00263935">
        <w:rPr>
          <w:i/>
          <w:sz w:val="24"/>
          <w:szCs w:val="24"/>
        </w:rPr>
        <w:t>930</w:t>
      </w:r>
      <w:r w:rsidRPr="00263935">
        <w:rPr>
          <w:sz w:val="24"/>
          <w:szCs w:val="24"/>
        </w:rPr>
        <w:t xml:space="preserve">, 162–177. </w:t>
      </w:r>
      <w:hyperlink r:id="rId53">
        <w:r w:rsidRPr="00263935">
          <w:rPr>
            <w:color w:val="1155CC"/>
            <w:sz w:val="24"/>
            <w:szCs w:val="24"/>
            <w:u w:val="single"/>
          </w:rPr>
          <w:t>https://doi.org/10.1007/978-3-031-54318-0_14</w:t>
        </w:r>
      </w:hyperlink>
      <w:r w:rsidRPr="00263935">
        <w:rPr>
          <w:sz w:val="24"/>
          <w:szCs w:val="24"/>
        </w:rPr>
        <w:t xml:space="preserve"> </w:t>
      </w:r>
    </w:p>
    <w:p w14:paraId="58B208CC" w14:textId="77777777" w:rsidR="00C63CFC" w:rsidRPr="00263935" w:rsidRDefault="0043080A" w:rsidP="00D217F1">
      <w:pPr>
        <w:spacing w:after="240" w:line="240" w:lineRule="auto"/>
        <w:ind w:left="720" w:hanging="720"/>
        <w:rPr>
          <w:sz w:val="24"/>
          <w:szCs w:val="24"/>
        </w:rPr>
      </w:pPr>
      <w:r w:rsidRPr="00263935">
        <w:rPr>
          <w:sz w:val="24"/>
          <w:szCs w:val="24"/>
        </w:rPr>
        <w:t xml:space="preserve">Mustafa, G., Rafiq, W., Jhamat, N., Arshad, Z., &amp; Rana, F. A. (2024). Blockchain-based governance models in e-government: a comprehensive framework for legal, technical, ethical and security considerations. </w:t>
      </w:r>
      <w:r w:rsidRPr="00263935">
        <w:rPr>
          <w:i/>
          <w:sz w:val="24"/>
          <w:szCs w:val="24"/>
        </w:rPr>
        <w:t>International Journal of Law and Management</w:t>
      </w:r>
      <w:r w:rsidRPr="00263935">
        <w:rPr>
          <w:sz w:val="24"/>
          <w:szCs w:val="24"/>
        </w:rPr>
        <w:t xml:space="preserve">, </w:t>
      </w:r>
      <w:r w:rsidRPr="00263935">
        <w:rPr>
          <w:i/>
          <w:sz w:val="24"/>
          <w:szCs w:val="24"/>
        </w:rPr>
        <w:t>67</w:t>
      </w:r>
      <w:r w:rsidRPr="00263935">
        <w:rPr>
          <w:sz w:val="24"/>
          <w:szCs w:val="24"/>
        </w:rPr>
        <w:t xml:space="preserve">(1). </w:t>
      </w:r>
      <w:hyperlink r:id="rId54">
        <w:r w:rsidRPr="00263935">
          <w:rPr>
            <w:color w:val="1155CC"/>
            <w:sz w:val="24"/>
            <w:szCs w:val="24"/>
            <w:u w:val="single"/>
          </w:rPr>
          <w:t>https://doi.org/10.1108/ijlma-08-2023-0172</w:t>
        </w:r>
      </w:hyperlink>
      <w:r w:rsidRPr="00263935">
        <w:rPr>
          <w:sz w:val="24"/>
          <w:szCs w:val="24"/>
        </w:rPr>
        <w:t xml:space="preserve"> </w:t>
      </w:r>
    </w:p>
    <w:p w14:paraId="41084E67" w14:textId="77777777" w:rsidR="00C63CFC" w:rsidRPr="00263935" w:rsidRDefault="0043080A" w:rsidP="00D217F1">
      <w:pPr>
        <w:spacing w:after="240" w:line="240" w:lineRule="auto"/>
        <w:ind w:left="720" w:hanging="720"/>
        <w:rPr>
          <w:sz w:val="24"/>
          <w:szCs w:val="24"/>
        </w:rPr>
      </w:pPr>
      <w:r w:rsidRPr="00263935">
        <w:rPr>
          <w:sz w:val="24"/>
          <w:szCs w:val="24"/>
        </w:rPr>
        <w:t xml:space="preserve">Nadler , M., &amp; Schär, F. (2023). </w:t>
      </w:r>
      <w:r w:rsidRPr="00263935">
        <w:rPr>
          <w:i/>
          <w:sz w:val="24"/>
          <w:szCs w:val="24"/>
        </w:rPr>
        <w:t>Tornado Cash and Blockchain Privacy: A Primer for Economists and Policymakers</w:t>
      </w:r>
      <w:r w:rsidRPr="00263935">
        <w:rPr>
          <w:sz w:val="24"/>
          <w:szCs w:val="24"/>
        </w:rPr>
        <w:t xml:space="preserve">. @Stlouisfed. </w:t>
      </w:r>
      <w:hyperlink r:id="rId55">
        <w:r w:rsidRPr="00263935">
          <w:rPr>
            <w:color w:val="1155CC"/>
            <w:sz w:val="24"/>
            <w:szCs w:val="24"/>
            <w:u w:val="single"/>
          </w:rPr>
          <w:t>https://www.stlouisfed.org/publications/review/2023/02/03/tornado-cash-and-blockchain-privacy-a-primer-for-economists-and-policymakers</w:t>
        </w:r>
      </w:hyperlink>
      <w:r w:rsidRPr="00263935">
        <w:rPr>
          <w:sz w:val="24"/>
          <w:szCs w:val="24"/>
        </w:rPr>
        <w:t xml:space="preserve"> </w:t>
      </w:r>
    </w:p>
    <w:p w14:paraId="76B4AC84" w14:textId="77777777" w:rsidR="00C63CFC" w:rsidRPr="00263935" w:rsidRDefault="0043080A" w:rsidP="00D217F1">
      <w:pPr>
        <w:spacing w:after="240" w:line="240" w:lineRule="auto"/>
        <w:ind w:left="720" w:hanging="720"/>
        <w:rPr>
          <w:sz w:val="24"/>
          <w:szCs w:val="24"/>
        </w:rPr>
      </w:pPr>
      <w:r w:rsidRPr="00263935">
        <w:rPr>
          <w:sz w:val="24"/>
          <w:szCs w:val="24"/>
        </w:rPr>
        <w:t xml:space="preserve">National Crime Agency. (2022). </w:t>
      </w:r>
      <w:r w:rsidRPr="00263935">
        <w:rPr>
          <w:i/>
          <w:sz w:val="24"/>
          <w:szCs w:val="24"/>
        </w:rPr>
        <w:t>Money laundering and illicit finance</w:t>
      </w:r>
      <w:r w:rsidRPr="00263935">
        <w:rPr>
          <w:sz w:val="24"/>
          <w:szCs w:val="24"/>
        </w:rPr>
        <w:t xml:space="preserve">. Www.nationalcrimeagency.gov.uk. </w:t>
      </w:r>
      <w:hyperlink r:id="rId56">
        <w:r w:rsidRPr="00263935">
          <w:rPr>
            <w:color w:val="1155CC"/>
            <w:sz w:val="24"/>
            <w:szCs w:val="24"/>
            <w:u w:val="single"/>
          </w:rPr>
          <w:t>https://www.nationalcrimeagency.gov.uk/what-we-do/crime-threats/money-laundering-and-illicit-finance</w:t>
        </w:r>
      </w:hyperlink>
      <w:r w:rsidRPr="00263935">
        <w:rPr>
          <w:sz w:val="24"/>
          <w:szCs w:val="24"/>
        </w:rPr>
        <w:t xml:space="preserve"> </w:t>
      </w:r>
    </w:p>
    <w:p w14:paraId="0C4B41C3" w14:textId="77777777" w:rsidR="00C63CFC" w:rsidRPr="00263935" w:rsidRDefault="0043080A" w:rsidP="00D217F1">
      <w:pPr>
        <w:spacing w:after="240" w:line="240" w:lineRule="auto"/>
        <w:ind w:left="720" w:hanging="720"/>
        <w:rPr>
          <w:sz w:val="24"/>
          <w:szCs w:val="24"/>
        </w:rPr>
      </w:pPr>
      <w:r w:rsidRPr="00D836F5">
        <w:rPr>
          <w:sz w:val="24"/>
          <w:szCs w:val="24"/>
          <w:lang w:val="fr-FR"/>
        </w:rPr>
        <w:t xml:space="preserve">Nguyen, S., Chen, P. S.-L., &amp; Du, Y. (2023). </w:t>
      </w:r>
      <w:r w:rsidRPr="00263935">
        <w:rPr>
          <w:sz w:val="24"/>
          <w:szCs w:val="24"/>
        </w:rPr>
        <w:t xml:space="preserve">Blockchain adoption in container shipping: An empirical study on barriers, approaches, and recommendations. </w:t>
      </w:r>
      <w:r w:rsidRPr="00263935">
        <w:rPr>
          <w:i/>
          <w:sz w:val="24"/>
          <w:szCs w:val="24"/>
        </w:rPr>
        <w:t>Marine Policy</w:t>
      </w:r>
      <w:r w:rsidRPr="00263935">
        <w:rPr>
          <w:sz w:val="24"/>
          <w:szCs w:val="24"/>
        </w:rPr>
        <w:t xml:space="preserve">, </w:t>
      </w:r>
      <w:r w:rsidRPr="00263935">
        <w:rPr>
          <w:i/>
          <w:sz w:val="24"/>
          <w:szCs w:val="24"/>
        </w:rPr>
        <w:t>155</w:t>
      </w:r>
      <w:r w:rsidRPr="00263935">
        <w:rPr>
          <w:sz w:val="24"/>
          <w:szCs w:val="24"/>
        </w:rPr>
        <w:t xml:space="preserve">, 105724–105724. </w:t>
      </w:r>
      <w:hyperlink r:id="rId57">
        <w:r w:rsidRPr="00263935">
          <w:rPr>
            <w:color w:val="1155CC"/>
            <w:sz w:val="24"/>
            <w:szCs w:val="24"/>
            <w:u w:val="single"/>
          </w:rPr>
          <w:t>https://doi.org/10.1016/j.marpol.2023.105724</w:t>
        </w:r>
      </w:hyperlink>
      <w:r w:rsidRPr="00263935">
        <w:rPr>
          <w:sz w:val="24"/>
          <w:szCs w:val="24"/>
        </w:rPr>
        <w:t xml:space="preserve"> </w:t>
      </w:r>
    </w:p>
    <w:p w14:paraId="3E26886B" w14:textId="77777777" w:rsidR="00C63CFC" w:rsidRPr="00263935" w:rsidRDefault="0043080A" w:rsidP="00D217F1">
      <w:pPr>
        <w:spacing w:after="240" w:line="240" w:lineRule="auto"/>
        <w:ind w:left="720" w:hanging="720"/>
        <w:rPr>
          <w:sz w:val="24"/>
          <w:szCs w:val="24"/>
        </w:rPr>
      </w:pPr>
      <w:r w:rsidRPr="00263935">
        <w:rPr>
          <w:sz w:val="24"/>
          <w:szCs w:val="24"/>
        </w:rPr>
        <w:t xml:space="preserve">Ngwu, C., Jaroucheh, Z., &amp; Pitropakis, N. (2024). Standardisation of AML/CFT Regulatory Frameworks using Natural Language Processing. </w:t>
      </w:r>
      <w:r w:rsidRPr="00263935">
        <w:rPr>
          <w:i/>
          <w:sz w:val="24"/>
          <w:szCs w:val="24"/>
        </w:rPr>
        <w:t>2024 6th International Conference on Blockchain Computing and Applications (BCCA)</w:t>
      </w:r>
      <w:r w:rsidRPr="00263935">
        <w:rPr>
          <w:sz w:val="24"/>
          <w:szCs w:val="24"/>
        </w:rPr>
        <w:t xml:space="preserve">, 332–339. </w:t>
      </w:r>
      <w:hyperlink r:id="rId58">
        <w:r w:rsidRPr="00263935">
          <w:rPr>
            <w:color w:val="1155CC"/>
            <w:sz w:val="24"/>
            <w:szCs w:val="24"/>
            <w:u w:val="single"/>
          </w:rPr>
          <w:t>https://doi.org/10.1109/bcca62388.2024.10844458</w:t>
        </w:r>
      </w:hyperlink>
      <w:r w:rsidRPr="00263935">
        <w:rPr>
          <w:sz w:val="24"/>
          <w:szCs w:val="24"/>
        </w:rPr>
        <w:t xml:space="preserve">  </w:t>
      </w:r>
    </w:p>
    <w:p w14:paraId="674C3BA6" w14:textId="77777777" w:rsidR="00C63CFC" w:rsidRPr="00263935" w:rsidRDefault="0043080A" w:rsidP="00D217F1">
      <w:pPr>
        <w:spacing w:after="240" w:line="240" w:lineRule="auto"/>
        <w:ind w:left="720" w:hanging="720"/>
        <w:rPr>
          <w:sz w:val="24"/>
          <w:szCs w:val="24"/>
        </w:rPr>
      </w:pPr>
      <w:r w:rsidRPr="00263935">
        <w:rPr>
          <w:sz w:val="24"/>
          <w:szCs w:val="24"/>
        </w:rPr>
        <w:t xml:space="preserve">Obioha-Val, O. A. (2025). Bridging Gaps in Cybersecurity Governance: Leveraging Collaborative Digital Solutions. </w:t>
      </w:r>
      <w:r w:rsidRPr="00263935">
        <w:rPr>
          <w:i/>
          <w:sz w:val="24"/>
          <w:szCs w:val="24"/>
        </w:rPr>
        <w:t>Asian Journal of Research in Computer Science</w:t>
      </w:r>
      <w:r w:rsidRPr="00263935">
        <w:rPr>
          <w:sz w:val="24"/>
          <w:szCs w:val="24"/>
        </w:rPr>
        <w:t xml:space="preserve">, </w:t>
      </w:r>
      <w:r w:rsidRPr="00263935">
        <w:rPr>
          <w:i/>
          <w:sz w:val="24"/>
          <w:szCs w:val="24"/>
        </w:rPr>
        <w:t>18</w:t>
      </w:r>
      <w:r w:rsidRPr="00263935">
        <w:rPr>
          <w:sz w:val="24"/>
          <w:szCs w:val="24"/>
        </w:rPr>
        <w:t xml:space="preserve">(2), 82–100. </w:t>
      </w:r>
      <w:hyperlink r:id="rId59">
        <w:r w:rsidRPr="00263935">
          <w:rPr>
            <w:color w:val="1155CC"/>
            <w:sz w:val="24"/>
            <w:szCs w:val="24"/>
            <w:u w:val="single"/>
          </w:rPr>
          <w:t>https://doi.org/10.9734/ajrcos/2025/v18i2564</w:t>
        </w:r>
      </w:hyperlink>
      <w:r w:rsidRPr="00263935">
        <w:rPr>
          <w:sz w:val="24"/>
          <w:szCs w:val="24"/>
        </w:rPr>
        <w:t xml:space="preserve"> </w:t>
      </w:r>
    </w:p>
    <w:p w14:paraId="729933C8" w14:textId="77777777" w:rsidR="00C63CFC" w:rsidRPr="00263935" w:rsidRDefault="0043080A" w:rsidP="00D217F1">
      <w:pPr>
        <w:spacing w:after="240" w:line="240" w:lineRule="auto"/>
        <w:ind w:left="720" w:hanging="720"/>
        <w:rPr>
          <w:sz w:val="24"/>
          <w:szCs w:val="24"/>
        </w:rPr>
      </w:pPr>
      <w:r w:rsidRPr="00D836F5">
        <w:rPr>
          <w:sz w:val="24"/>
          <w:szCs w:val="24"/>
          <w:lang w:val="es-ES"/>
        </w:rPr>
        <w:t xml:space="preserve">Obioha-Val, O. A., Gbadebo, M. O., Olaniyi, O. O., Chinye, N. C., &amp; Balogun, A. Y. (2025). </w:t>
      </w:r>
      <w:r w:rsidRPr="00263935">
        <w:rPr>
          <w:sz w:val="24"/>
          <w:szCs w:val="24"/>
        </w:rPr>
        <w:t xml:space="preserve">Innovative Regulation of Open Source Intelligence and Deepfakes AI in Managing Public Trust. </w:t>
      </w:r>
      <w:r w:rsidRPr="00263935">
        <w:rPr>
          <w:i/>
          <w:sz w:val="24"/>
          <w:szCs w:val="24"/>
        </w:rPr>
        <w:t>Journal of Engineering Research and Reports</w:t>
      </w:r>
      <w:r w:rsidRPr="00263935">
        <w:rPr>
          <w:sz w:val="24"/>
          <w:szCs w:val="24"/>
        </w:rPr>
        <w:t xml:space="preserve">, </w:t>
      </w:r>
      <w:r w:rsidRPr="00263935">
        <w:rPr>
          <w:i/>
          <w:sz w:val="24"/>
          <w:szCs w:val="24"/>
        </w:rPr>
        <w:t>27</w:t>
      </w:r>
      <w:r w:rsidRPr="00263935">
        <w:rPr>
          <w:sz w:val="24"/>
          <w:szCs w:val="24"/>
        </w:rPr>
        <w:t xml:space="preserve">(2), 136–156. </w:t>
      </w:r>
      <w:hyperlink r:id="rId60">
        <w:r w:rsidRPr="00263935">
          <w:rPr>
            <w:color w:val="1155CC"/>
            <w:sz w:val="24"/>
            <w:szCs w:val="24"/>
            <w:u w:val="single"/>
          </w:rPr>
          <w:t>https://doi.org/10.9734/jerr/2025/v27i21400</w:t>
        </w:r>
      </w:hyperlink>
      <w:r w:rsidRPr="00263935">
        <w:rPr>
          <w:sz w:val="24"/>
          <w:szCs w:val="24"/>
        </w:rPr>
        <w:t xml:space="preserve"> </w:t>
      </w:r>
    </w:p>
    <w:p w14:paraId="7A646FBF" w14:textId="77777777" w:rsidR="00C63CFC" w:rsidRPr="00263935" w:rsidRDefault="0043080A" w:rsidP="00D217F1">
      <w:pPr>
        <w:spacing w:after="240" w:line="240" w:lineRule="auto"/>
        <w:ind w:left="720" w:hanging="720"/>
        <w:rPr>
          <w:sz w:val="24"/>
          <w:szCs w:val="24"/>
        </w:rPr>
      </w:pPr>
      <w:r w:rsidRPr="00D836F5">
        <w:rPr>
          <w:sz w:val="24"/>
          <w:szCs w:val="24"/>
          <w:lang w:val="es-ES"/>
        </w:rPr>
        <w:t xml:space="preserve">Obioha-Val, O. A., Lawal, T. I., Olaniyi, O. O., Gbadebo, M. O., &amp; Olisa, A. O. (2025). </w:t>
      </w:r>
      <w:r w:rsidRPr="00263935">
        <w:rPr>
          <w:sz w:val="24"/>
          <w:szCs w:val="24"/>
        </w:rPr>
        <w:t xml:space="preserve">Investigating the Feasibility and Risks of Leveraging Artificial Intelligence and Open Source Intelligence to Manage Predictive Cyber Threat Models. </w:t>
      </w:r>
      <w:r w:rsidRPr="00263935">
        <w:rPr>
          <w:i/>
          <w:sz w:val="24"/>
          <w:szCs w:val="24"/>
        </w:rPr>
        <w:t>Journal of Engineering Research and Reports</w:t>
      </w:r>
      <w:r w:rsidRPr="00263935">
        <w:rPr>
          <w:sz w:val="24"/>
          <w:szCs w:val="24"/>
        </w:rPr>
        <w:t xml:space="preserve">, </w:t>
      </w:r>
      <w:r w:rsidRPr="00263935">
        <w:rPr>
          <w:i/>
          <w:sz w:val="24"/>
          <w:szCs w:val="24"/>
        </w:rPr>
        <w:t>27</w:t>
      </w:r>
      <w:r w:rsidRPr="00263935">
        <w:rPr>
          <w:sz w:val="24"/>
          <w:szCs w:val="24"/>
        </w:rPr>
        <w:t xml:space="preserve">(2), 10–28. </w:t>
      </w:r>
      <w:hyperlink r:id="rId61">
        <w:r w:rsidRPr="00263935">
          <w:rPr>
            <w:color w:val="1155CC"/>
            <w:sz w:val="24"/>
            <w:szCs w:val="24"/>
            <w:u w:val="single"/>
          </w:rPr>
          <w:t>https://doi.org/10.9734/jerr/2025/v27i21390</w:t>
        </w:r>
      </w:hyperlink>
      <w:r w:rsidRPr="00263935">
        <w:rPr>
          <w:sz w:val="24"/>
          <w:szCs w:val="24"/>
        </w:rPr>
        <w:t xml:space="preserve"> </w:t>
      </w:r>
    </w:p>
    <w:p w14:paraId="7A1FE865" w14:textId="77777777" w:rsidR="00C63CFC" w:rsidRPr="00263935" w:rsidRDefault="0043080A" w:rsidP="00D217F1">
      <w:pPr>
        <w:spacing w:after="240" w:line="240" w:lineRule="auto"/>
        <w:ind w:left="720" w:hanging="720"/>
        <w:rPr>
          <w:sz w:val="24"/>
          <w:szCs w:val="24"/>
        </w:rPr>
      </w:pPr>
      <w:r w:rsidRPr="00D836F5">
        <w:rPr>
          <w:sz w:val="24"/>
          <w:szCs w:val="24"/>
          <w:lang w:val="es-ES"/>
        </w:rPr>
        <w:t xml:space="preserve">Obioha-Val, O. A., Olaniyi, O. O., Gbadebo, M. O., Balogun, A. Y., &amp; Olisa, A. O. (2025). </w:t>
      </w:r>
      <w:r w:rsidRPr="00263935">
        <w:rPr>
          <w:sz w:val="24"/>
          <w:szCs w:val="24"/>
        </w:rPr>
        <w:t xml:space="preserve">Cyber Espionage in the Age of Artificial Intelligence: A Comparative Study of State-Sponsored Campaign. </w:t>
      </w:r>
      <w:r w:rsidRPr="00263935">
        <w:rPr>
          <w:i/>
          <w:sz w:val="24"/>
          <w:szCs w:val="24"/>
        </w:rPr>
        <w:t>Asian Journal of Research in Computer Science</w:t>
      </w:r>
      <w:r w:rsidRPr="00263935">
        <w:rPr>
          <w:sz w:val="24"/>
          <w:szCs w:val="24"/>
        </w:rPr>
        <w:t xml:space="preserve">, </w:t>
      </w:r>
      <w:r w:rsidRPr="00263935">
        <w:rPr>
          <w:i/>
          <w:sz w:val="24"/>
          <w:szCs w:val="24"/>
        </w:rPr>
        <w:t>18</w:t>
      </w:r>
      <w:r w:rsidRPr="00263935">
        <w:rPr>
          <w:sz w:val="24"/>
          <w:szCs w:val="24"/>
        </w:rPr>
        <w:t xml:space="preserve">(1), 184–204. </w:t>
      </w:r>
      <w:hyperlink r:id="rId62">
        <w:r w:rsidRPr="00263935">
          <w:rPr>
            <w:color w:val="1155CC"/>
            <w:sz w:val="24"/>
            <w:szCs w:val="24"/>
            <w:u w:val="single"/>
          </w:rPr>
          <w:t>https://doi.org/10.9734/ajrcos/2025/v18i1557</w:t>
        </w:r>
      </w:hyperlink>
      <w:r w:rsidRPr="00263935">
        <w:rPr>
          <w:sz w:val="24"/>
          <w:szCs w:val="24"/>
        </w:rPr>
        <w:t xml:space="preserve"> </w:t>
      </w:r>
    </w:p>
    <w:p w14:paraId="35236E31" w14:textId="77777777" w:rsidR="00C63CFC" w:rsidRPr="00263935" w:rsidRDefault="0043080A" w:rsidP="00D217F1">
      <w:pPr>
        <w:spacing w:after="240" w:line="240" w:lineRule="auto"/>
        <w:ind w:left="720" w:hanging="720"/>
        <w:rPr>
          <w:sz w:val="24"/>
          <w:szCs w:val="24"/>
        </w:rPr>
      </w:pPr>
      <w:r w:rsidRPr="00263935">
        <w:rPr>
          <w:sz w:val="24"/>
          <w:szCs w:val="24"/>
        </w:rPr>
        <w:t xml:space="preserve">Okon, S. U., Olateju, O. O., Ogungbemi, O. S., Joseph, S. A., Olisa, A. O., &amp; Olaniyi, O. O. (2024). Incorporating Privacy by Design Principles in the Modification of AI Systems in Preventing Breaches across Multiple Environments, Including Public Cloud, Private Cloud, and On-prem. </w:t>
      </w:r>
      <w:r w:rsidRPr="00263935">
        <w:rPr>
          <w:i/>
          <w:sz w:val="24"/>
          <w:szCs w:val="24"/>
        </w:rPr>
        <w:t>Journal of Engineering Research and Reports</w:t>
      </w:r>
      <w:r w:rsidRPr="00263935">
        <w:rPr>
          <w:sz w:val="24"/>
          <w:szCs w:val="24"/>
        </w:rPr>
        <w:t xml:space="preserve">, </w:t>
      </w:r>
      <w:r w:rsidRPr="00263935">
        <w:rPr>
          <w:i/>
          <w:sz w:val="24"/>
          <w:szCs w:val="24"/>
        </w:rPr>
        <w:t>26</w:t>
      </w:r>
      <w:r w:rsidRPr="00263935">
        <w:rPr>
          <w:sz w:val="24"/>
          <w:szCs w:val="24"/>
        </w:rPr>
        <w:t xml:space="preserve">(9), 136–158. </w:t>
      </w:r>
      <w:hyperlink r:id="rId63">
        <w:r w:rsidRPr="00263935">
          <w:rPr>
            <w:color w:val="1155CC"/>
            <w:sz w:val="24"/>
            <w:szCs w:val="24"/>
            <w:u w:val="single"/>
          </w:rPr>
          <w:t>https://doi.org/10.9734/jerr/2024/v26i91269</w:t>
        </w:r>
      </w:hyperlink>
      <w:r w:rsidRPr="00263935">
        <w:rPr>
          <w:sz w:val="24"/>
          <w:szCs w:val="24"/>
        </w:rPr>
        <w:t xml:space="preserve"> </w:t>
      </w:r>
    </w:p>
    <w:p w14:paraId="2B471F40" w14:textId="77777777" w:rsidR="00C63CFC" w:rsidRPr="00263935" w:rsidRDefault="0043080A" w:rsidP="00D217F1">
      <w:pPr>
        <w:spacing w:after="240" w:line="240" w:lineRule="auto"/>
        <w:ind w:left="720" w:hanging="720"/>
        <w:rPr>
          <w:sz w:val="24"/>
          <w:szCs w:val="24"/>
        </w:rPr>
      </w:pPr>
      <w:r w:rsidRPr="00D836F5">
        <w:rPr>
          <w:sz w:val="24"/>
          <w:szCs w:val="24"/>
          <w:lang w:val="es-ES"/>
        </w:rPr>
        <w:t xml:space="preserve">Olabanji, S. O., Marquis, Y. A., Adigwe, C. S., Abidemi, A. S., Oladoyinbo, T. O., &amp; Olaniyi, O. O. (2024). </w:t>
      </w:r>
      <w:r w:rsidRPr="00263935">
        <w:rPr>
          <w:sz w:val="24"/>
          <w:szCs w:val="24"/>
        </w:rPr>
        <w:t xml:space="preserve">AI-Driven Cloud Security: Examining the Impact of User Behavior Analysis on Threat Detection. </w:t>
      </w:r>
      <w:r w:rsidRPr="00263935">
        <w:rPr>
          <w:i/>
          <w:sz w:val="24"/>
          <w:szCs w:val="24"/>
        </w:rPr>
        <w:t>Asian Journal of Research in Computer Science</w:t>
      </w:r>
      <w:r w:rsidRPr="00263935">
        <w:rPr>
          <w:sz w:val="24"/>
          <w:szCs w:val="24"/>
        </w:rPr>
        <w:t xml:space="preserve">, </w:t>
      </w:r>
      <w:r w:rsidRPr="00263935">
        <w:rPr>
          <w:i/>
          <w:sz w:val="24"/>
          <w:szCs w:val="24"/>
        </w:rPr>
        <w:t>17</w:t>
      </w:r>
      <w:r w:rsidRPr="00263935">
        <w:rPr>
          <w:sz w:val="24"/>
          <w:szCs w:val="24"/>
        </w:rPr>
        <w:t xml:space="preserve">(3), 57–74. </w:t>
      </w:r>
      <w:hyperlink r:id="rId64">
        <w:r w:rsidRPr="00263935">
          <w:rPr>
            <w:color w:val="1155CC"/>
            <w:sz w:val="24"/>
            <w:szCs w:val="24"/>
            <w:u w:val="single"/>
          </w:rPr>
          <w:t>https://doi.org/10.9734/ajrcos/2024/v17i3424</w:t>
        </w:r>
      </w:hyperlink>
      <w:r w:rsidRPr="00263935">
        <w:rPr>
          <w:sz w:val="24"/>
          <w:szCs w:val="24"/>
        </w:rPr>
        <w:t xml:space="preserve"> </w:t>
      </w:r>
    </w:p>
    <w:p w14:paraId="62869EBC" w14:textId="77777777" w:rsidR="00C63CFC" w:rsidRPr="00263935" w:rsidRDefault="0043080A" w:rsidP="00D217F1">
      <w:pPr>
        <w:spacing w:after="240" w:line="240" w:lineRule="auto"/>
        <w:ind w:left="720" w:hanging="720"/>
        <w:rPr>
          <w:sz w:val="24"/>
          <w:szCs w:val="24"/>
        </w:rPr>
      </w:pPr>
      <w:r w:rsidRPr="00D836F5">
        <w:rPr>
          <w:sz w:val="24"/>
          <w:szCs w:val="24"/>
          <w:lang w:val="es-ES"/>
        </w:rPr>
        <w:t xml:space="preserve">Olabanji, S. O., Olaniyi, O. O., &amp; Olagbaju, O. O. (2024). </w:t>
      </w:r>
      <w:r w:rsidRPr="00263935">
        <w:rPr>
          <w:sz w:val="24"/>
          <w:szCs w:val="24"/>
        </w:rPr>
        <w:t xml:space="preserve">Leveraging Artificial Intelligence (AI) and Blockchain for Enhanced Tax Compliance and Revenue Generation in Public Finance. </w:t>
      </w:r>
      <w:r w:rsidRPr="00263935">
        <w:rPr>
          <w:i/>
          <w:sz w:val="24"/>
          <w:szCs w:val="24"/>
        </w:rPr>
        <w:t>Asian Journal of Economics, Business and Accounting</w:t>
      </w:r>
      <w:r w:rsidRPr="00263935">
        <w:rPr>
          <w:sz w:val="24"/>
          <w:szCs w:val="24"/>
        </w:rPr>
        <w:t xml:space="preserve">, </w:t>
      </w:r>
      <w:r w:rsidRPr="00263935">
        <w:rPr>
          <w:i/>
          <w:sz w:val="24"/>
          <w:szCs w:val="24"/>
        </w:rPr>
        <w:t>24</w:t>
      </w:r>
      <w:r w:rsidRPr="00263935">
        <w:rPr>
          <w:sz w:val="24"/>
          <w:szCs w:val="24"/>
        </w:rPr>
        <w:t xml:space="preserve">(11), 577–587. </w:t>
      </w:r>
      <w:hyperlink r:id="rId65">
        <w:r w:rsidRPr="00263935">
          <w:rPr>
            <w:color w:val="1155CC"/>
            <w:sz w:val="24"/>
            <w:szCs w:val="24"/>
            <w:u w:val="single"/>
          </w:rPr>
          <w:t>https://doi.org/10.9734/ajeba/2024/v24i111577</w:t>
        </w:r>
      </w:hyperlink>
      <w:r w:rsidRPr="00263935">
        <w:rPr>
          <w:sz w:val="24"/>
          <w:szCs w:val="24"/>
        </w:rPr>
        <w:t xml:space="preserve"> </w:t>
      </w:r>
    </w:p>
    <w:p w14:paraId="61846CE2" w14:textId="77777777" w:rsidR="00C63CFC" w:rsidRPr="00263935" w:rsidRDefault="0043080A" w:rsidP="00D217F1">
      <w:pPr>
        <w:spacing w:after="240" w:line="240" w:lineRule="auto"/>
        <w:ind w:left="720" w:hanging="720"/>
        <w:rPr>
          <w:sz w:val="24"/>
          <w:szCs w:val="24"/>
        </w:rPr>
      </w:pPr>
      <w:r w:rsidRPr="00D836F5">
        <w:rPr>
          <w:sz w:val="24"/>
          <w:szCs w:val="24"/>
          <w:lang w:val="es-ES"/>
        </w:rPr>
        <w:t xml:space="preserve">Olabanji, S. O., Oluwaseun Oladeji Olaniyi, O. O., &amp; Olaoye, O. O. (2024). </w:t>
      </w:r>
      <w:r w:rsidRPr="00263935">
        <w:rPr>
          <w:sz w:val="24"/>
          <w:szCs w:val="24"/>
        </w:rPr>
        <w:t xml:space="preserve">Transforming Tax Compliance with Machine Learning: Reducing Fraud and Enhancing Revenue Collection. </w:t>
      </w:r>
      <w:r w:rsidRPr="00263935">
        <w:rPr>
          <w:i/>
          <w:sz w:val="24"/>
          <w:szCs w:val="24"/>
        </w:rPr>
        <w:t>Asian Journal of Economics Business and Accounting</w:t>
      </w:r>
      <w:r w:rsidRPr="00263935">
        <w:rPr>
          <w:sz w:val="24"/>
          <w:szCs w:val="24"/>
        </w:rPr>
        <w:t xml:space="preserve">, </w:t>
      </w:r>
      <w:r w:rsidRPr="00263935">
        <w:rPr>
          <w:i/>
          <w:sz w:val="24"/>
          <w:szCs w:val="24"/>
        </w:rPr>
        <w:t>24</w:t>
      </w:r>
      <w:r w:rsidRPr="00263935">
        <w:rPr>
          <w:sz w:val="24"/>
          <w:szCs w:val="24"/>
        </w:rPr>
        <w:t xml:space="preserve">(11), 503–513. </w:t>
      </w:r>
      <w:hyperlink r:id="rId66">
        <w:r w:rsidRPr="00263935">
          <w:rPr>
            <w:color w:val="1155CC"/>
            <w:sz w:val="24"/>
            <w:szCs w:val="24"/>
            <w:u w:val="single"/>
          </w:rPr>
          <w:t>https://doi.org/10.9734/ajeba/2024/v24i111572</w:t>
        </w:r>
      </w:hyperlink>
      <w:r w:rsidRPr="00263935">
        <w:rPr>
          <w:sz w:val="24"/>
          <w:szCs w:val="24"/>
        </w:rPr>
        <w:t xml:space="preserve"> </w:t>
      </w:r>
    </w:p>
    <w:p w14:paraId="30520B18" w14:textId="77777777" w:rsidR="00C63CFC" w:rsidRPr="00263935" w:rsidRDefault="0043080A" w:rsidP="00D217F1">
      <w:pPr>
        <w:spacing w:after="240" w:line="240" w:lineRule="auto"/>
        <w:ind w:left="720" w:hanging="720"/>
        <w:rPr>
          <w:sz w:val="24"/>
          <w:szCs w:val="24"/>
        </w:rPr>
      </w:pPr>
      <w:r w:rsidRPr="00263935">
        <w:rPr>
          <w:sz w:val="24"/>
          <w:szCs w:val="24"/>
        </w:rPr>
        <w:t xml:space="preserve">Oladoyinbo, T. O., Olabanji, S. O., Olaniyi, O. O., Adebiyi, O. O., Okunleye, O. J., &amp; Alao, A. I. (2024). Exploring the Challenges of Artificial Intelligence in Data Integrity and its Influence on Social Dynamics. </w:t>
      </w:r>
      <w:r w:rsidRPr="00263935">
        <w:rPr>
          <w:i/>
          <w:sz w:val="24"/>
          <w:szCs w:val="24"/>
        </w:rPr>
        <w:t>Asian Journal of Advanced Research and Reports</w:t>
      </w:r>
      <w:r w:rsidRPr="00263935">
        <w:rPr>
          <w:sz w:val="24"/>
          <w:szCs w:val="24"/>
        </w:rPr>
        <w:t xml:space="preserve">, </w:t>
      </w:r>
      <w:r w:rsidRPr="00263935">
        <w:rPr>
          <w:i/>
          <w:sz w:val="24"/>
          <w:szCs w:val="24"/>
        </w:rPr>
        <w:t>18</w:t>
      </w:r>
      <w:r w:rsidRPr="00263935">
        <w:rPr>
          <w:sz w:val="24"/>
          <w:szCs w:val="24"/>
        </w:rPr>
        <w:t xml:space="preserve">(2), 1–23. </w:t>
      </w:r>
      <w:hyperlink r:id="rId67">
        <w:r w:rsidRPr="00263935">
          <w:rPr>
            <w:color w:val="1155CC"/>
            <w:sz w:val="24"/>
            <w:szCs w:val="24"/>
            <w:u w:val="single"/>
          </w:rPr>
          <w:t>https://doi.org/10.9734/ajarr/2024/v18i2601</w:t>
        </w:r>
      </w:hyperlink>
      <w:r w:rsidRPr="00263935">
        <w:rPr>
          <w:sz w:val="24"/>
          <w:szCs w:val="24"/>
        </w:rPr>
        <w:t xml:space="preserve"> </w:t>
      </w:r>
    </w:p>
    <w:p w14:paraId="56806E43" w14:textId="77777777" w:rsidR="00C63CFC" w:rsidRPr="00263935" w:rsidRDefault="0043080A" w:rsidP="00D217F1">
      <w:pPr>
        <w:spacing w:after="240" w:line="240" w:lineRule="auto"/>
        <w:ind w:left="720" w:hanging="720"/>
        <w:rPr>
          <w:sz w:val="24"/>
          <w:szCs w:val="24"/>
        </w:rPr>
      </w:pPr>
      <w:r w:rsidRPr="00263935">
        <w:rPr>
          <w:sz w:val="24"/>
          <w:szCs w:val="24"/>
        </w:rPr>
        <w:t xml:space="preserve">Olusegun, R., &amp; Yang, B. (2023). Enhancing Blockchain Network Scalability Through Parallelization and Aggregation Techniques: A Survey. </w:t>
      </w:r>
      <w:r w:rsidRPr="00263935">
        <w:rPr>
          <w:i/>
          <w:sz w:val="24"/>
          <w:szCs w:val="24"/>
        </w:rPr>
        <w:t>2021 International Conference on Computational Science and Computational Intelligence (CSCI)</w:t>
      </w:r>
      <w:r w:rsidRPr="00263935">
        <w:rPr>
          <w:sz w:val="24"/>
          <w:szCs w:val="24"/>
        </w:rPr>
        <w:t xml:space="preserve">, 1098–1105. </w:t>
      </w:r>
      <w:hyperlink r:id="rId68">
        <w:r w:rsidRPr="00263935">
          <w:rPr>
            <w:color w:val="1155CC"/>
            <w:sz w:val="24"/>
            <w:szCs w:val="24"/>
            <w:u w:val="single"/>
          </w:rPr>
          <w:t>https://doi.org/10.1109/csci62032.2023.00181</w:t>
        </w:r>
      </w:hyperlink>
      <w:r w:rsidRPr="00263935">
        <w:rPr>
          <w:sz w:val="24"/>
          <w:szCs w:val="24"/>
        </w:rPr>
        <w:t xml:space="preserve"> </w:t>
      </w:r>
    </w:p>
    <w:p w14:paraId="1812D250" w14:textId="77777777" w:rsidR="00C63CFC" w:rsidRPr="00263935" w:rsidRDefault="0043080A" w:rsidP="00D217F1">
      <w:pPr>
        <w:spacing w:after="240" w:line="240" w:lineRule="auto"/>
        <w:ind w:left="720" w:hanging="720"/>
        <w:rPr>
          <w:sz w:val="24"/>
          <w:szCs w:val="24"/>
        </w:rPr>
      </w:pPr>
      <w:r w:rsidRPr="00263935">
        <w:rPr>
          <w:sz w:val="24"/>
          <w:szCs w:val="24"/>
        </w:rPr>
        <w:t xml:space="preserve">Olutimehin, A. T. (2025a). Advancing Cloud Security in Digital Finance: AI-Driven Threat Detection, Cryptographic Solutions, and Privacy Challenges. </w:t>
      </w:r>
      <w:r w:rsidRPr="00263935">
        <w:rPr>
          <w:i/>
          <w:sz w:val="24"/>
          <w:szCs w:val="24"/>
        </w:rPr>
        <w:t>Journal of Engineering Research and Reports</w:t>
      </w:r>
      <w:r w:rsidRPr="00263935">
        <w:rPr>
          <w:sz w:val="24"/>
          <w:szCs w:val="24"/>
        </w:rPr>
        <w:t xml:space="preserve">, </w:t>
      </w:r>
      <w:r w:rsidRPr="00263935">
        <w:rPr>
          <w:i/>
          <w:sz w:val="24"/>
          <w:szCs w:val="24"/>
        </w:rPr>
        <w:t>27</w:t>
      </w:r>
      <w:r w:rsidRPr="00263935">
        <w:rPr>
          <w:sz w:val="24"/>
          <w:szCs w:val="24"/>
        </w:rPr>
        <w:t xml:space="preserve">(3), 35–55. </w:t>
      </w:r>
      <w:hyperlink r:id="rId69">
        <w:r w:rsidRPr="00263935">
          <w:rPr>
            <w:color w:val="1155CC"/>
            <w:sz w:val="24"/>
            <w:szCs w:val="24"/>
            <w:u w:val="single"/>
          </w:rPr>
          <w:t>https://doi.org/10.9734/jerr/2025/v27i31416</w:t>
        </w:r>
      </w:hyperlink>
      <w:r w:rsidRPr="00263935">
        <w:rPr>
          <w:sz w:val="24"/>
          <w:szCs w:val="24"/>
        </w:rPr>
        <w:t xml:space="preserve"> </w:t>
      </w:r>
    </w:p>
    <w:p w14:paraId="251B15F7" w14:textId="77777777" w:rsidR="00C63CFC" w:rsidRPr="00263935" w:rsidRDefault="0043080A" w:rsidP="00D217F1">
      <w:pPr>
        <w:spacing w:after="240" w:line="240" w:lineRule="auto"/>
        <w:ind w:left="720" w:hanging="720"/>
        <w:rPr>
          <w:sz w:val="24"/>
          <w:szCs w:val="24"/>
        </w:rPr>
      </w:pPr>
      <w:r w:rsidRPr="00263935">
        <w:rPr>
          <w:sz w:val="24"/>
          <w:szCs w:val="24"/>
        </w:rPr>
        <w:t xml:space="preserve">Olutimehin, A. T. (2025b). Assessing the Effectiveness of Cybersecurity Frameworks in Mitigating Cyberattacks in the Banking Sector and its Applicability to Decentralized Finance (DeFi). </w:t>
      </w:r>
      <w:r w:rsidRPr="00263935">
        <w:rPr>
          <w:i/>
          <w:sz w:val="24"/>
          <w:szCs w:val="24"/>
        </w:rPr>
        <w:t>Asian Journal of Research in Computer Science</w:t>
      </w:r>
      <w:r w:rsidRPr="00263935">
        <w:rPr>
          <w:sz w:val="24"/>
          <w:szCs w:val="24"/>
        </w:rPr>
        <w:t xml:space="preserve">, </w:t>
      </w:r>
      <w:r w:rsidRPr="00263935">
        <w:rPr>
          <w:i/>
          <w:sz w:val="24"/>
          <w:szCs w:val="24"/>
        </w:rPr>
        <w:t>18</w:t>
      </w:r>
      <w:r w:rsidRPr="00263935">
        <w:rPr>
          <w:sz w:val="24"/>
          <w:szCs w:val="24"/>
        </w:rPr>
        <w:t xml:space="preserve">(3), 130–151. </w:t>
      </w:r>
      <w:hyperlink r:id="rId70">
        <w:r w:rsidRPr="00263935">
          <w:rPr>
            <w:color w:val="1155CC"/>
            <w:sz w:val="24"/>
            <w:szCs w:val="24"/>
            <w:u w:val="single"/>
          </w:rPr>
          <w:t>https://doi.org/10.9734/ajrcos/2025/v18i3583</w:t>
        </w:r>
      </w:hyperlink>
      <w:r w:rsidRPr="00263935">
        <w:rPr>
          <w:sz w:val="24"/>
          <w:szCs w:val="24"/>
        </w:rPr>
        <w:t xml:space="preserve"> </w:t>
      </w:r>
    </w:p>
    <w:p w14:paraId="1B266279" w14:textId="77777777" w:rsidR="00C63CFC" w:rsidRPr="00263935" w:rsidRDefault="0043080A" w:rsidP="00D217F1">
      <w:pPr>
        <w:spacing w:after="240" w:line="240" w:lineRule="auto"/>
        <w:ind w:left="720" w:hanging="720"/>
        <w:rPr>
          <w:sz w:val="24"/>
          <w:szCs w:val="24"/>
        </w:rPr>
      </w:pPr>
      <w:r w:rsidRPr="00263935">
        <w:rPr>
          <w:sz w:val="24"/>
          <w:szCs w:val="24"/>
        </w:rPr>
        <w:t xml:space="preserve">Olutimehin, A. T. (2025c). The Synergistic Role of Machine Learning, Deep Learning, and Reinforcement Learning in Strengthening Cyber Security Measures for Crypto Currency Platforms. </w:t>
      </w:r>
      <w:r w:rsidRPr="00263935">
        <w:rPr>
          <w:i/>
          <w:sz w:val="24"/>
          <w:szCs w:val="24"/>
        </w:rPr>
        <w:t>Asian Journal of Research in Computer Science</w:t>
      </w:r>
      <w:r w:rsidRPr="00263935">
        <w:rPr>
          <w:sz w:val="24"/>
          <w:szCs w:val="24"/>
        </w:rPr>
        <w:t xml:space="preserve">, </w:t>
      </w:r>
      <w:r w:rsidRPr="00263935">
        <w:rPr>
          <w:i/>
          <w:sz w:val="24"/>
          <w:szCs w:val="24"/>
        </w:rPr>
        <w:t>18</w:t>
      </w:r>
      <w:r w:rsidRPr="00263935">
        <w:rPr>
          <w:sz w:val="24"/>
          <w:szCs w:val="24"/>
        </w:rPr>
        <w:t xml:space="preserve">(3), 190–212. </w:t>
      </w:r>
      <w:hyperlink r:id="rId71">
        <w:r w:rsidRPr="00263935">
          <w:rPr>
            <w:color w:val="1155CC"/>
            <w:sz w:val="24"/>
            <w:szCs w:val="24"/>
            <w:u w:val="single"/>
          </w:rPr>
          <w:t>https://doi.org/10.9734/ajrcos/2025/v18i3586</w:t>
        </w:r>
      </w:hyperlink>
      <w:r w:rsidRPr="00263935">
        <w:rPr>
          <w:sz w:val="24"/>
          <w:szCs w:val="24"/>
        </w:rPr>
        <w:t xml:space="preserve"> </w:t>
      </w:r>
    </w:p>
    <w:p w14:paraId="2A9C8936" w14:textId="77777777" w:rsidR="00C63CFC" w:rsidRPr="00263935" w:rsidRDefault="0043080A" w:rsidP="00D217F1">
      <w:pPr>
        <w:spacing w:after="240" w:line="240" w:lineRule="auto"/>
        <w:ind w:left="720" w:hanging="720"/>
        <w:rPr>
          <w:sz w:val="24"/>
          <w:szCs w:val="24"/>
        </w:rPr>
      </w:pPr>
      <w:r w:rsidRPr="00263935">
        <w:rPr>
          <w:sz w:val="24"/>
          <w:szCs w:val="24"/>
        </w:rPr>
        <w:t xml:space="preserve">Olutimehin, A. T., Ajayi, A. J., Metibemu, O. C., Balogun, A. Y., Oladoyinbo, T. O., &amp; Olaniyi, O. O. (2025). Adversarial Threats to AI-Driven Systems: Exploring the Attack Surface of Machine Learning Models and Countermeasures. </w:t>
      </w:r>
      <w:r w:rsidRPr="00263935">
        <w:rPr>
          <w:i/>
          <w:sz w:val="24"/>
          <w:szCs w:val="24"/>
        </w:rPr>
        <w:t>Journal of Engineering Research and Reports</w:t>
      </w:r>
      <w:r w:rsidRPr="00263935">
        <w:rPr>
          <w:sz w:val="24"/>
          <w:szCs w:val="24"/>
        </w:rPr>
        <w:t xml:space="preserve">, </w:t>
      </w:r>
      <w:r w:rsidRPr="00263935">
        <w:rPr>
          <w:i/>
          <w:sz w:val="24"/>
          <w:szCs w:val="24"/>
        </w:rPr>
        <w:t>27</w:t>
      </w:r>
      <w:r w:rsidRPr="00263935">
        <w:rPr>
          <w:sz w:val="24"/>
          <w:szCs w:val="24"/>
        </w:rPr>
        <w:t xml:space="preserve">(2), 341–362. </w:t>
      </w:r>
      <w:hyperlink r:id="rId72">
        <w:r w:rsidRPr="00263935">
          <w:rPr>
            <w:color w:val="1155CC"/>
            <w:sz w:val="24"/>
            <w:szCs w:val="24"/>
            <w:u w:val="single"/>
          </w:rPr>
          <w:t>https://doi.org/10.9734/jerr/2025/v27i21413</w:t>
        </w:r>
      </w:hyperlink>
      <w:r w:rsidRPr="00263935">
        <w:rPr>
          <w:sz w:val="24"/>
          <w:szCs w:val="24"/>
        </w:rPr>
        <w:t xml:space="preserve"> </w:t>
      </w:r>
    </w:p>
    <w:p w14:paraId="52489A82" w14:textId="77777777" w:rsidR="00C63CFC" w:rsidRPr="00263935" w:rsidRDefault="0043080A" w:rsidP="00D217F1">
      <w:pPr>
        <w:spacing w:after="240" w:line="240" w:lineRule="auto"/>
        <w:ind w:left="720" w:hanging="720"/>
        <w:rPr>
          <w:sz w:val="24"/>
          <w:szCs w:val="24"/>
        </w:rPr>
      </w:pPr>
      <w:r w:rsidRPr="00D836F5">
        <w:rPr>
          <w:sz w:val="24"/>
          <w:szCs w:val="24"/>
          <w:lang w:val="es-ES"/>
        </w:rPr>
        <w:t>Oude Roelink, B., El</w:t>
      </w:r>
      <w:r w:rsidRPr="00D836F5">
        <w:rPr>
          <w:rFonts w:ascii="Cambria Math" w:hAnsi="Cambria Math" w:cs="Cambria Math"/>
          <w:sz w:val="24"/>
          <w:szCs w:val="24"/>
          <w:lang w:val="es-ES"/>
        </w:rPr>
        <w:t>‐</w:t>
      </w:r>
      <w:r w:rsidRPr="00D836F5">
        <w:rPr>
          <w:sz w:val="24"/>
          <w:szCs w:val="24"/>
          <w:lang w:val="es-ES"/>
        </w:rPr>
        <w:t xml:space="preserve">Hajj, M., &amp; Sarmah, D. (2024). </w:t>
      </w:r>
      <w:r w:rsidRPr="00263935">
        <w:rPr>
          <w:sz w:val="24"/>
          <w:szCs w:val="24"/>
        </w:rPr>
        <w:t>Systematic review: Comparing zk</w:t>
      </w:r>
      <w:r w:rsidRPr="00263935">
        <w:rPr>
          <w:rFonts w:ascii="Cambria Math" w:hAnsi="Cambria Math" w:cs="Cambria Math"/>
          <w:sz w:val="24"/>
          <w:szCs w:val="24"/>
        </w:rPr>
        <w:t>‐</w:t>
      </w:r>
      <w:r w:rsidRPr="00263935">
        <w:rPr>
          <w:sz w:val="24"/>
          <w:szCs w:val="24"/>
        </w:rPr>
        <w:t>SNARK, zk</w:t>
      </w:r>
      <w:r w:rsidRPr="00263935">
        <w:rPr>
          <w:rFonts w:ascii="Cambria Math" w:hAnsi="Cambria Math" w:cs="Cambria Math"/>
          <w:sz w:val="24"/>
          <w:szCs w:val="24"/>
        </w:rPr>
        <w:t>‐</w:t>
      </w:r>
      <w:r w:rsidRPr="00263935">
        <w:rPr>
          <w:sz w:val="24"/>
          <w:szCs w:val="24"/>
        </w:rPr>
        <w:t>STARK, and bulletproof protocols for privacy</w:t>
      </w:r>
      <w:r w:rsidRPr="00263935">
        <w:rPr>
          <w:rFonts w:ascii="Cambria Math" w:hAnsi="Cambria Math" w:cs="Cambria Math"/>
          <w:sz w:val="24"/>
          <w:szCs w:val="24"/>
        </w:rPr>
        <w:t>‐</w:t>
      </w:r>
      <w:r w:rsidRPr="00263935">
        <w:rPr>
          <w:sz w:val="24"/>
          <w:szCs w:val="24"/>
        </w:rPr>
        <w:t xml:space="preserve">preserving authentication. </w:t>
      </w:r>
      <w:r w:rsidRPr="00263935">
        <w:rPr>
          <w:i/>
          <w:sz w:val="24"/>
          <w:szCs w:val="24"/>
        </w:rPr>
        <w:t>SECURITY and PRIVACY</w:t>
      </w:r>
      <w:r w:rsidRPr="00263935">
        <w:rPr>
          <w:sz w:val="24"/>
          <w:szCs w:val="24"/>
        </w:rPr>
        <w:t xml:space="preserve">, </w:t>
      </w:r>
      <w:r w:rsidRPr="00263935">
        <w:rPr>
          <w:i/>
          <w:sz w:val="24"/>
          <w:szCs w:val="24"/>
        </w:rPr>
        <w:t>7</w:t>
      </w:r>
      <w:r w:rsidRPr="00263935">
        <w:rPr>
          <w:sz w:val="24"/>
          <w:szCs w:val="24"/>
        </w:rPr>
        <w:t xml:space="preserve">(5). </w:t>
      </w:r>
      <w:hyperlink r:id="rId73">
        <w:r w:rsidRPr="00263935">
          <w:rPr>
            <w:color w:val="1155CC"/>
            <w:sz w:val="24"/>
            <w:szCs w:val="24"/>
            <w:u w:val="single"/>
          </w:rPr>
          <w:t>https://doi.org/10.1002/spy2.401</w:t>
        </w:r>
      </w:hyperlink>
      <w:r w:rsidRPr="00263935">
        <w:rPr>
          <w:sz w:val="24"/>
          <w:szCs w:val="24"/>
        </w:rPr>
        <w:t xml:space="preserve"> </w:t>
      </w:r>
    </w:p>
    <w:p w14:paraId="465C486A" w14:textId="77777777" w:rsidR="00C63CFC" w:rsidRPr="00263935" w:rsidRDefault="0043080A" w:rsidP="00D217F1">
      <w:pPr>
        <w:spacing w:after="240" w:line="240" w:lineRule="auto"/>
        <w:ind w:left="720" w:hanging="720"/>
        <w:rPr>
          <w:sz w:val="24"/>
          <w:szCs w:val="24"/>
        </w:rPr>
      </w:pPr>
      <w:r w:rsidRPr="00263935">
        <w:rPr>
          <w:sz w:val="24"/>
          <w:szCs w:val="24"/>
        </w:rPr>
        <w:t xml:space="preserve">Panait, A.-E., &amp; Olimid, R. F. (2021). On Using zk-SNARKs and zk-STARKs in Blockchain-Based Identity Management. </w:t>
      </w:r>
      <w:r w:rsidRPr="00263935">
        <w:rPr>
          <w:i/>
          <w:sz w:val="24"/>
          <w:szCs w:val="24"/>
        </w:rPr>
        <w:t>Innovative Security Solutions for Information Technology and Communications</w:t>
      </w:r>
      <w:r w:rsidRPr="00263935">
        <w:rPr>
          <w:sz w:val="24"/>
          <w:szCs w:val="24"/>
        </w:rPr>
        <w:t xml:space="preserve">, </w:t>
      </w:r>
      <w:r w:rsidRPr="00263935">
        <w:rPr>
          <w:i/>
          <w:sz w:val="24"/>
          <w:szCs w:val="24"/>
        </w:rPr>
        <w:t>12596</w:t>
      </w:r>
      <w:r w:rsidRPr="00263935">
        <w:rPr>
          <w:sz w:val="24"/>
          <w:szCs w:val="24"/>
        </w:rPr>
        <w:t xml:space="preserve">, 130–145. </w:t>
      </w:r>
      <w:hyperlink r:id="rId74">
        <w:r w:rsidRPr="00263935">
          <w:rPr>
            <w:color w:val="1155CC"/>
            <w:sz w:val="24"/>
            <w:szCs w:val="24"/>
            <w:u w:val="single"/>
          </w:rPr>
          <w:t>https://doi.org/10.1007/978-3-030-69255-1_9</w:t>
        </w:r>
      </w:hyperlink>
      <w:r w:rsidRPr="00263935">
        <w:rPr>
          <w:sz w:val="24"/>
          <w:szCs w:val="24"/>
        </w:rPr>
        <w:t xml:space="preserve"> </w:t>
      </w:r>
    </w:p>
    <w:p w14:paraId="5D52E685" w14:textId="77777777" w:rsidR="00C63CFC" w:rsidRPr="00263935" w:rsidRDefault="0043080A" w:rsidP="00D217F1">
      <w:pPr>
        <w:spacing w:after="240" w:line="240" w:lineRule="auto"/>
        <w:ind w:left="720" w:hanging="720"/>
        <w:rPr>
          <w:sz w:val="24"/>
          <w:szCs w:val="24"/>
        </w:rPr>
      </w:pPr>
      <w:r w:rsidRPr="00263935">
        <w:rPr>
          <w:sz w:val="24"/>
          <w:szCs w:val="24"/>
        </w:rPr>
        <w:t xml:space="preserve">Panwar, A., Sugandh, U., Sharma, N., Agarwal, J., &amp; Jain, A. (2024). The Intersection of Blockchain and Real Estate: Opportunities, Challenges, and Future Prospects. </w:t>
      </w:r>
      <w:r w:rsidRPr="00263935">
        <w:rPr>
          <w:i/>
          <w:sz w:val="24"/>
          <w:szCs w:val="24"/>
        </w:rPr>
        <w:t xml:space="preserve">IEEE </w:t>
      </w:r>
      <w:r w:rsidRPr="00263935">
        <w:rPr>
          <w:sz w:val="24"/>
          <w:szCs w:val="24"/>
        </w:rPr>
        <w:t xml:space="preserve">, </w:t>
      </w:r>
      <w:r w:rsidRPr="00263935">
        <w:rPr>
          <w:i/>
          <w:sz w:val="24"/>
          <w:szCs w:val="24"/>
        </w:rPr>
        <w:t>224</w:t>
      </w:r>
      <w:r w:rsidRPr="00263935">
        <w:rPr>
          <w:sz w:val="24"/>
          <w:szCs w:val="24"/>
        </w:rPr>
        <w:t xml:space="preserve">, 1813–1819. </w:t>
      </w:r>
      <w:hyperlink r:id="rId75">
        <w:r w:rsidRPr="00263935">
          <w:rPr>
            <w:color w:val="1155CC"/>
            <w:sz w:val="24"/>
            <w:szCs w:val="24"/>
            <w:u w:val="single"/>
          </w:rPr>
          <w:t>https://doi.org/10.1109/icacite60783.2024.10616870</w:t>
        </w:r>
      </w:hyperlink>
      <w:r w:rsidRPr="00263935">
        <w:rPr>
          <w:sz w:val="24"/>
          <w:szCs w:val="24"/>
        </w:rPr>
        <w:t xml:space="preserve"> </w:t>
      </w:r>
    </w:p>
    <w:p w14:paraId="50625841" w14:textId="77777777" w:rsidR="00C63CFC" w:rsidRPr="00263935" w:rsidRDefault="0043080A" w:rsidP="00D217F1">
      <w:pPr>
        <w:spacing w:after="240" w:line="240" w:lineRule="auto"/>
        <w:ind w:left="720" w:hanging="720"/>
        <w:rPr>
          <w:sz w:val="24"/>
          <w:szCs w:val="24"/>
        </w:rPr>
      </w:pPr>
      <w:r w:rsidRPr="00263935">
        <w:rPr>
          <w:sz w:val="24"/>
          <w:szCs w:val="24"/>
        </w:rPr>
        <w:t xml:space="preserve">Patel, A., &amp; Chaudhary, M. (2024). The Role of Blockchain in Strengthening Data Protection in Enterprise IT Security. </w:t>
      </w:r>
      <w:r w:rsidRPr="00263935">
        <w:rPr>
          <w:i/>
          <w:sz w:val="24"/>
          <w:szCs w:val="24"/>
        </w:rPr>
        <w:t>Baltic Multidisciplinary Research Letters Journal</w:t>
      </w:r>
      <w:r w:rsidRPr="00263935">
        <w:rPr>
          <w:sz w:val="24"/>
          <w:szCs w:val="24"/>
        </w:rPr>
        <w:t xml:space="preserve">, </w:t>
      </w:r>
      <w:r w:rsidRPr="00263935">
        <w:rPr>
          <w:i/>
          <w:sz w:val="24"/>
          <w:szCs w:val="24"/>
        </w:rPr>
        <w:t>1</w:t>
      </w:r>
      <w:r w:rsidRPr="00263935">
        <w:rPr>
          <w:sz w:val="24"/>
          <w:szCs w:val="24"/>
        </w:rPr>
        <w:t xml:space="preserve">(3), 36–43. </w:t>
      </w:r>
      <w:hyperlink r:id="rId76">
        <w:r w:rsidRPr="00263935">
          <w:rPr>
            <w:color w:val="1155CC"/>
            <w:sz w:val="24"/>
            <w:szCs w:val="24"/>
            <w:u w:val="single"/>
          </w:rPr>
          <w:t>https://www.bmrlj.com/index.php/Baltic/article/view/23</w:t>
        </w:r>
      </w:hyperlink>
      <w:r w:rsidRPr="00263935">
        <w:rPr>
          <w:sz w:val="24"/>
          <w:szCs w:val="24"/>
        </w:rPr>
        <w:t xml:space="preserve">   </w:t>
      </w:r>
    </w:p>
    <w:p w14:paraId="67E08A94" w14:textId="77777777" w:rsidR="00C63CFC" w:rsidRPr="00263935" w:rsidRDefault="0043080A" w:rsidP="00D217F1">
      <w:pPr>
        <w:spacing w:after="240" w:line="240" w:lineRule="auto"/>
        <w:ind w:left="720" w:hanging="720"/>
        <w:rPr>
          <w:sz w:val="24"/>
          <w:szCs w:val="24"/>
        </w:rPr>
      </w:pPr>
      <w:r w:rsidRPr="00D836F5">
        <w:rPr>
          <w:sz w:val="24"/>
          <w:szCs w:val="24"/>
          <w:lang w:val="fr-FR"/>
        </w:rPr>
        <w:t xml:space="preserve">Politou, E., Alepis, E., Virvou, M., &amp; Patsakis, C. (2021). </w:t>
      </w:r>
      <w:r w:rsidRPr="00263935">
        <w:rPr>
          <w:sz w:val="24"/>
          <w:szCs w:val="24"/>
        </w:rPr>
        <w:t xml:space="preserve">The “Right to Be Forgotten” in the GDPR: Implementation Challenges and Potential Solutions. </w:t>
      </w:r>
      <w:r w:rsidRPr="00263935">
        <w:rPr>
          <w:i/>
          <w:sz w:val="24"/>
          <w:szCs w:val="24"/>
        </w:rPr>
        <w:t>Privacy and Data Protection Challenges in the Distributed Era</w:t>
      </w:r>
      <w:r w:rsidRPr="00263935">
        <w:rPr>
          <w:sz w:val="24"/>
          <w:szCs w:val="24"/>
        </w:rPr>
        <w:t xml:space="preserve">, 41–68. </w:t>
      </w:r>
      <w:hyperlink r:id="rId77">
        <w:r w:rsidRPr="00263935">
          <w:rPr>
            <w:color w:val="1155CC"/>
            <w:sz w:val="24"/>
            <w:szCs w:val="24"/>
            <w:u w:val="single"/>
          </w:rPr>
          <w:t>https://doi.org/10.1007/978-3-030-85443-0_4</w:t>
        </w:r>
      </w:hyperlink>
      <w:r w:rsidRPr="00263935">
        <w:rPr>
          <w:sz w:val="24"/>
          <w:szCs w:val="24"/>
        </w:rPr>
        <w:t xml:space="preserve"> </w:t>
      </w:r>
    </w:p>
    <w:p w14:paraId="2C314F38" w14:textId="77777777" w:rsidR="00C63CFC" w:rsidRPr="00263935" w:rsidRDefault="0043080A" w:rsidP="00D217F1">
      <w:pPr>
        <w:spacing w:after="240" w:line="240" w:lineRule="auto"/>
        <w:ind w:left="720" w:hanging="720"/>
        <w:rPr>
          <w:sz w:val="24"/>
          <w:szCs w:val="24"/>
        </w:rPr>
      </w:pPr>
      <w:r w:rsidRPr="00263935">
        <w:rPr>
          <w:sz w:val="24"/>
          <w:szCs w:val="24"/>
        </w:rPr>
        <w:t xml:space="preserve">Popchev, I., Radeva, I., &amp; Velichkova, V. (2022). Auditing blockchain smart contracts. </w:t>
      </w:r>
      <w:r w:rsidRPr="00263935">
        <w:rPr>
          <w:i/>
          <w:sz w:val="24"/>
          <w:szCs w:val="24"/>
        </w:rPr>
        <w:t>2021 International Conference Automatics and Informatics (ICAI)</w:t>
      </w:r>
      <w:r w:rsidRPr="00263935">
        <w:rPr>
          <w:sz w:val="24"/>
          <w:szCs w:val="24"/>
        </w:rPr>
        <w:t xml:space="preserve">, 276–281. </w:t>
      </w:r>
      <w:hyperlink r:id="rId78">
        <w:r w:rsidRPr="00263935">
          <w:rPr>
            <w:color w:val="1155CC"/>
            <w:sz w:val="24"/>
            <w:szCs w:val="24"/>
            <w:u w:val="single"/>
          </w:rPr>
          <w:t>https://doi.org/10.1109/icai55857.2022.9960058</w:t>
        </w:r>
      </w:hyperlink>
      <w:r w:rsidRPr="00263935">
        <w:rPr>
          <w:sz w:val="24"/>
          <w:szCs w:val="24"/>
        </w:rPr>
        <w:t xml:space="preserve"> </w:t>
      </w:r>
    </w:p>
    <w:p w14:paraId="7AB8F00E" w14:textId="77777777" w:rsidR="00C63CFC" w:rsidRPr="00263935" w:rsidRDefault="0043080A" w:rsidP="00D217F1">
      <w:pPr>
        <w:spacing w:after="240" w:line="240" w:lineRule="auto"/>
        <w:ind w:left="720" w:hanging="720"/>
        <w:rPr>
          <w:sz w:val="24"/>
          <w:szCs w:val="24"/>
        </w:rPr>
      </w:pPr>
      <w:r w:rsidRPr="00D836F5">
        <w:rPr>
          <w:sz w:val="24"/>
          <w:szCs w:val="24"/>
          <w:lang w:val="es-ES"/>
        </w:rPr>
        <w:t xml:space="preserve">Prakasha, K. K., &amp; Sumalatha, U. (2025). </w:t>
      </w:r>
      <w:r w:rsidRPr="00263935">
        <w:rPr>
          <w:sz w:val="24"/>
          <w:szCs w:val="24"/>
        </w:rPr>
        <w:t xml:space="preserve">Privacy-Preserving Techniques in Biometric Systems: Approaches and Challenges. </w:t>
      </w:r>
      <w:r w:rsidRPr="00263935">
        <w:rPr>
          <w:i/>
          <w:sz w:val="24"/>
          <w:szCs w:val="24"/>
        </w:rPr>
        <w:t>IEEE Access</w:t>
      </w:r>
      <w:r w:rsidRPr="00263935">
        <w:rPr>
          <w:sz w:val="24"/>
          <w:szCs w:val="24"/>
        </w:rPr>
        <w:t xml:space="preserve">, </w:t>
      </w:r>
      <w:r w:rsidRPr="00263935">
        <w:rPr>
          <w:i/>
          <w:sz w:val="24"/>
          <w:szCs w:val="24"/>
        </w:rPr>
        <w:t>13</w:t>
      </w:r>
      <w:r w:rsidRPr="00263935">
        <w:rPr>
          <w:sz w:val="24"/>
          <w:szCs w:val="24"/>
        </w:rPr>
        <w:t xml:space="preserve">, 32584–32616. </w:t>
      </w:r>
      <w:hyperlink r:id="rId79">
        <w:r w:rsidRPr="00263935">
          <w:rPr>
            <w:color w:val="1155CC"/>
            <w:sz w:val="24"/>
            <w:szCs w:val="24"/>
            <w:u w:val="single"/>
          </w:rPr>
          <w:t>https://doi.org/10.1109/access.2025.3541649</w:t>
        </w:r>
      </w:hyperlink>
      <w:r w:rsidRPr="00263935">
        <w:rPr>
          <w:sz w:val="24"/>
          <w:szCs w:val="24"/>
        </w:rPr>
        <w:t xml:space="preserve"> </w:t>
      </w:r>
    </w:p>
    <w:p w14:paraId="23DE4BB0" w14:textId="77777777" w:rsidR="00C63CFC" w:rsidRPr="00263935" w:rsidRDefault="0043080A" w:rsidP="00D217F1">
      <w:pPr>
        <w:spacing w:after="240" w:line="240" w:lineRule="auto"/>
        <w:ind w:left="720" w:hanging="720"/>
        <w:rPr>
          <w:sz w:val="24"/>
          <w:szCs w:val="24"/>
        </w:rPr>
      </w:pPr>
      <w:r w:rsidRPr="00263935">
        <w:rPr>
          <w:sz w:val="24"/>
          <w:szCs w:val="24"/>
        </w:rPr>
        <w:t xml:space="preserve">Saif, M. B., Migliorini, S., &amp; Spoto, F. (2024). A Survey on Data Availability in Layer 2 Blockchain Rollups: Open Challenges and Future Improvements. </w:t>
      </w:r>
      <w:r w:rsidRPr="00263935">
        <w:rPr>
          <w:i/>
          <w:sz w:val="24"/>
          <w:szCs w:val="24"/>
        </w:rPr>
        <w:t>Future Internet</w:t>
      </w:r>
      <w:r w:rsidRPr="00263935">
        <w:rPr>
          <w:sz w:val="24"/>
          <w:szCs w:val="24"/>
        </w:rPr>
        <w:t xml:space="preserve">, </w:t>
      </w:r>
      <w:r w:rsidRPr="00263935">
        <w:rPr>
          <w:i/>
          <w:sz w:val="24"/>
          <w:szCs w:val="24"/>
        </w:rPr>
        <w:t>16</w:t>
      </w:r>
      <w:r w:rsidRPr="00263935">
        <w:rPr>
          <w:sz w:val="24"/>
          <w:szCs w:val="24"/>
        </w:rPr>
        <w:t xml:space="preserve">(9), 315. </w:t>
      </w:r>
      <w:hyperlink r:id="rId80">
        <w:r w:rsidRPr="00263935">
          <w:rPr>
            <w:color w:val="1155CC"/>
            <w:sz w:val="24"/>
            <w:szCs w:val="24"/>
            <w:u w:val="single"/>
          </w:rPr>
          <w:t>https://doi.org/10.3390/fi16090315</w:t>
        </w:r>
      </w:hyperlink>
      <w:r w:rsidRPr="00263935">
        <w:rPr>
          <w:sz w:val="24"/>
          <w:szCs w:val="24"/>
        </w:rPr>
        <w:t xml:space="preserve"> </w:t>
      </w:r>
    </w:p>
    <w:p w14:paraId="220A697E" w14:textId="77777777" w:rsidR="00C63CFC" w:rsidRPr="00263935" w:rsidRDefault="0043080A" w:rsidP="00D217F1">
      <w:pPr>
        <w:spacing w:after="240" w:line="240" w:lineRule="auto"/>
        <w:ind w:left="720" w:hanging="720"/>
        <w:rPr>
          <w:sz w:val="24"/>
          <w:szCs w:val="24"/>
        </w:rPr>
      </w:pPr>
      <w:r w:rsidRPr="00263935">
        <w:rPr>
          <w:sz w:val="24"/>
          <w:szCs w:val="24"/>
        </w:rPr>
        <w:t xml:space="preserve">Salako, A. O., Fabuyi, J. A., Aideyan, N. T., Selesi-Aina, O., Dapo-Oyewole, D. L., &amp; Olaniyi, O. O. (2024). Advancing Information Governance in AI-Driven Cloud Ecosystem: Strategies for Enhancing Data Security and Meeting Regulatory Compliance. </w:t>
      </w:r>
      <w:r w:rsidRPr="00263935">
        <w:rPr>
          <w:i/>
          <w:sz w:val="24"/>
          <w:szCs w:val="24"/>
        </w:rPr>
        <w:t>Asian Journal of Research in Computer Science</w:t>
      </w:r>
      <w:r w:rsidRPr="00263935">
        <w:rPr>
          <w:sz w:val="24"/>
          <w:szCs w:val="24"/>
        </w:rPr>
        <w:t xml:space="preserve">, </w:t>
      </w:r>
      <w:r w:rsidRPr="00263935">
        <w:rPr>
          <w:i/>
          <w:sz w:val="24"/>
          <w:szCs w:val="24"/>
        </w:rPr>
        <w:t>17</w:t>
      </w:r>
      <w:r w:rsidRPr="00263935">
        <w:rPr>
          <w:sz w:val="24"/>
          <w:szCs w:val="24"/>
        </w:rPr>
        <w:t xml:space="preserve">(12), 66–88. </w:t>
      </w:r>
      <w:hyperlink r:id="rId81">
        <w:r w:rsidRPr="00263935">
          <w:rPr>
            <w:color w:val="1155CC"/>
            <w:sz w:val="24"/>
            <w:szCs w:val="24"/>
            <w:u w:val="single"/>
          </w:rPr>
          <w:t>https://doi.org/10.9734/ajrcos/2024/v17i12530</w:t>
        </w:r>
      </w:hyperlink>
      <w:r w:rsidRPr="00263935">
        <w:rPr>
          <w:sz w:val="24"/>
          <w:szCs w:val="24"/>
        </w:rPr>
        <w:t xml:space="preserve"> </w:t>
      </w:r>
    </w:p>
    <w:p w14:paraId="047DD65A" w14:textId="77777777" w:rsidR="00C63CFC" w:rsidRPr="00263935" w:rsidRDefault="0043080A" w:rsidP="00D217F1">
      <w:pPr>
        <w:spacing w:after="240" w:line="240" w:lineRule="auto"/>
        <w:ind w:left="720" w:hanging="720"/>
        <w:rPr>
          <w:sz w:val="24"/>
          <w:szCs w:val="24"/>
        </w:rPr>
      </w:pPr>
      <w:r w:rsidRPr="00263935">
        <w:rPr>
          <w:sz w:val="24"/>
          <w:szCs w:val="24"/>
        </w:rPr>
        <w:t xml:space="preserve">Samanta, M., Bisht, C., &amp; Singh, P. (2024). Application of Ethereum Smart Contract in healthcare and health insurance using Zk-SNARKs in Zcash. </w:t>
      </w:r>
      <w:r w:rsidRPr="00263935">
        <w:rPr>
          <w:i/>
          <w:sz w:val="24"/>
          <w:szCs w:val="24"/>
        </w:rPr>
        <w:t xml:space="preserve">IEEE </w:t>
      </w:r>
      <w:r w:rsidRPr="00263935">
        <w:rPr>
          <w:sz w:val="24"/>
          <w:szCs w:val="24"/>
        </w:rPr>
        <w:t xml:space="preserve">, </w:t>
      </w:r>
      <w:r w:rsidRPr="00263935">
        <w:rPr>
          <w:i/>
          <w:sz w:val="24"/>
          <w:szCs w:val="24"/>
        </w:rPr>
        <w:t>2</w:t>
      </w:r>
      <w:r w:rsidRPr="00263935">
        <w:rPr>
          <w:sz w:val="24"/>
          <w:szCs w:val="24"/>
        </w:rPr>
        <w:t xml:space="preserve">, 1–6. </w:t>
      </w:r>
      <w:hyperlink r:id="rId82">
        <w:r w:rsidRPr="00263935">
          <w:rPr>
            <w:color w:val="1155CC"/>
            <w:sz w:val="24"/>
            <w:szCs w:val="24"/>
            <w:u w:val="single"/>
          </w:rPr>
          <w:t>https://doi.org/10.1109/iatmsi60426.2024.10502670</w:t>
        </w:r>
      </w:hyperlink>
      <w:r w:rsidRPr="00263935">
        <w:rPr>
          <w:sz w:val="24"/>
          <w:szCs w:val="24"/>
        </w:rPr>
        <w:t xml:space="preserve"> </w:t>
      </w:r>
    </w:p>
    <w:p w14:paraId="6A94EA6C" w14:textId="77777777" w:rsidR="00C63CFC" w:rsidRPr="00263935" w:rsidRDefault="0043080A" w:rsidP="00D217F1">
      <w:pPr>
        <w:spacing w:after="240" w:line="240" w:lineRule="auto"/>
        <w:ind w:left="720" w:hanging="720"/>
        <w:rPr>
          <w:sz w:val="24"/>
          <w:szCs w:val="24"/>
        </w:rPr>
      </w:pPr>
      <w:r w:rsidRPr="00263935">
        <w:rPr>
          <w:sz w:val="24"/>
          <w:szCs w:val="24"/>
        </w:rPr>
        <w:t xml:space="preserve">Samuel, O. O. (2024). </w:t>
      </w:r>
      <w:r w:rsidRPr="00263935">
        <w:rPr>
          <w:i/>
          <w:sz w:val="24"/>
          <w:szCs w:val="24"/>
        </w:rPr>
        <w:t>Smart Contracts Management: The Interplay of Data Privacy and Blockchain for Secure and Efficient Real Estate Transactions</w:t>
      </w:r>
      <w:r w:rsidRPr="00263935">
        <w:rPr>
          <w:sz w:val="24"/>
          <w:szCs w:val="24"/>
        </w:rPr>
        <w:t xml:space="preserve">. Ssrn.com. </w:t>
      </w:r>
      <w:hyperlink r:id="rId83">
        <w:r w:rsidRPr="00263935">
          <w:rPr>
            <w:color w:val="1155CC"/>
            <w:sz w:val="24"/>
            <w:szCs w:val="24"/>
            <w:u w:val="single"/>
          </w:rPr>
          <w:t>https://papers.ssrn.com/sol3/papers.cfm?abstract_id=4919180</w:t>
        </w:r>
      </w:hyperlink>
      <w:r w:rsidRPr="00263935">
        <w:rPr>
          <w:sz w:val="24"/>
          <w:szCs w:val="24"/>
        </w:rPr>
        <w:t xml:space="preserve"> </w:t>
      </w:r>
    </w:p>
    <w:p w14:paraId="6DF2261F" w14:textId="77777777" w:rsidR="00C63CFC" w:rsidRPr="00263935" w:rsidRDefault="0043080A" w:rsidP="00D217F1">
      <w:pPr>
        <w:spacing w:after="240" w:line="240" w:lineRule="auto"/>
        <w:ind w:left="720" w:hanging="720"/>
        <w:rPr>
          <w:sz w:val="24"/>
          <w:szCs w:val="24"/>
        </w:rPr>
      </w:pPr>
      <w:r w:rsidRPr="00263935">
        <w:rPr>
          <w:sz w:val="24"/>
          <w:szCs w:val="24"/>
        </w:rPr>
        <w:t xml:space="preserve">Samuel-Okon, A. D., Akinola, O. I., Olaniyi, O. O., Olateju, O. O., &amp; Ajayi, S. A. (2024). Assessing the Effectiveness of Network Security Tools in Mitigating the Impact of Deepfakes AI on Public Trust in Media. </w:t>
      </w:r>
      <w:r w:rsidRPr="00263935">
        <w:rPr>
          <w:i/>
          <w:sz w:val="24"/>
          <w:szCs w:val="24"/>
        </w:rPr>
        <w:t>Archives of Current Research International</w:t>
      </w:r>
      <w:r w:rsidRPr="00263935">
        <w:rPr>
          <w:sz w:val="24"/>
          <w:szCs w:val="24"/>
        </w:rPr>
        <w:t xml:space="preserve">, </w:t>
      </w:r>
      <w:r w:rsidRPr="00263935">
        <w:rPr>
          <w:i/>
          <w:sz w:val="24"/>
          <w:szCs w:val="24"/>
        </w:rPr>
        <w:t>24</w:t>
      </w:r>
      <w:r w:rsidRPr="00263935">
        <w:rPr>
          <w:sz w:val="24"/>
          <w:szCs w:val="24"/>
        </w:rPr>
        <w:t xml:space="preserve">(6), 355–375. </w:t>
      </w:r>
      <w:hyperlink r:id="rId84">
        <w:r w:rsidRPr="00263935">
          <w:rPr>
            <w:color w:val="1155CC"/>
            <w:sz w:val="24"/>
            <w:szCs w:val="24"/>
            <w:u w:val="single"/>
          </w:rPr>
          <w:t>https://doi.org/10.9734/acri/2024/v24i6794</w:t>
        </w:r>
      </w:hyperlink>
      <w:r w:rsidRPr="00263935">
        <w:rPr>
          <w:sz w:val="24"/>
          <w:szCs w:val="24"/>
        </w:rPr>
        <w:t xml:space="preserve"> </w:t>
      </w:r>
    </w:p>
    <w:p w14:paraId="7DAD5AE2" w14:textId="77777777" w:rsidR="00C63CFC" w:rsidRPr="00263935" w:rsidRDefault="0043080A" w:rsidP="00D217F1">
      <w:pPr>
        <w:spacing w:after="240" w:line="240" w:lineRule="auto"/>
        <w:ind w:left="720" w:hanging="720"/>
        <w:rPr>
          <w:sz w:val="24"/>
          <w:szCs w:val="24"/>
        </w:rPr>
      </w:pPr>
      <w:r w:rsidRPr="00263935">
        <w:rPr>
          <w:sz w:val="24"/>
          <w:szCs w:val="24"/>
        </w:rPr>
        <w:t xml:space="preserve">Sanda, O., Pavlidis, M., &amp; Polatidis, N. (2022). A Regulatory Readiness Assessment Framework for Blockchain Adoption in Healthcare. </w:t>
      </w:r>
      <w:r w:rsidRPr="00263935">
        <w:rPr>
          <w:i/>
          <w:sz w:val="24"/>
          <w:szCs w:val="24"/>
        </w:rPr>
        <w:t>Digital</w:t>
      </w:r>
      <w:r w:rsidRPr="00263935">
        <w:rPr>
          <w:sz w:val="24"/>
          <w:szCs w:val="24"/>
        </w:rPr>
        <w:t xml:space="preserve">, </w:t>
      </w:r>
      <w:r w:rsidRPr="00263935">
        <w:rPr>
          <w:i/>
          <w:sz w:val="24"/>
          <w:szCs w:val="24"/>
        </w:rPr>
        <w:t>2</w:t>
      </w:r>
      <w:r w:rsidRPr="00263935">
        <w:rPr>
          <w:sz w:val="24"/>
          <w:szCs w:val="24"/>
        </w:rPr>
        <w:t xml:space="preserve">(1), 65–87. </w:t>
      </w:r>
      <w:hyperlink r:id="rId85">
        <w:r w:rsidRPr="00263935">
          <w:rPr>
            <w:color w:val="1155CC"/>
            <w:sz w:val="24"/>
            <w:szCs w:val="24"/>
            <w:u w:val="single"/>
          </w:rPr>
          <w:t>https://doi.org/10.3390/digital2010005</w:t>
        </w:r>
      </w:hyperlink>
      <w:r w:rsidRPr="00263935">
        <w:rPr>
          <w:sz w:val="24"/>
          <w:szCs w:val="24"/>
        </w:rPr>
        <w:t xml:space="preserve"> </w:t>
      </w:r>
    </w:p>
    <w:p w14:paraId="7E849865" w14:textId="77777777" w:rsidR="00C63CFC" w:rsidRPr="00263935" w:rsidRDefault="0043080A" w:rsidP="00D217F1">
      <w:pPr>
        <w:spacing w:after="240" w:line="240" w:lineRule="auto"/>
        <w:ind w:left="720" w:hanging="720"/>
        <w:rPr>
          <w:sz w:val="24"/>
          <w:szCs w:val="24"/>
        </w:rPr>
      </w:pPr>
      <w:r w:rsidRPr="00263935">
        <w:rPr>
          <w:sz w:val="24"/>
          <w:szCs w:val="24"/>
        </w:rPr>
        <w:t xml:space="preserve">Sedlmeir, J., Lautenschlager, J., Fridgen, G., &amp; Urbach, N. (2022). The transparency challenge of blockchain in organizations. </w:t>
      </w:r>
      <w:r w:rsidRPr="00263935">
        <w:rPr>
          <w:i/>
          <w:sz w:val="24"/>
          <w:szCs w:val="24"/>
        </w:rPr>
        <w:t>Electronic Markets</w:t>
      </w:r>
      <w:r w:rsidRPr="00263935">
        <w:rPr>
          <w:sz w:val="24"/>
          <w:szCs w:val="24"/>
        </w:rPr>
        <w:t xml:space="preserve">, </w:t>
      </w:r>
      <w:r w:rsidRPr="00263935">
        <w:rPr>
          <w:i/>
          <w:sz w:val="24"/>
          <w:szCs w:val="24"/>
        </w:rPr>
        <w:t>32</w:t>
      </w:r>
      <w:r w:rsidRPr="00263935">
        <w:rPr>
          <w:sz w:val="24"/>
          <w:szCs w:val="24"/>
        </w:rPr>
        <w:t xml:space="preserve">(3). </w:t>
      </w:r>
      <w:hyperlink r:id="rId86">
        <w:r w:rsidRPr="00263935">
          <w:rPr>
            <w:color w:val="1155CC"/>
            <w:sz w:val="24"/>
            <w:szCs w:val="24"/>
            <w:u w:val="single"/>
          </w:rPr>
          <w:t>https://doi.org/10.1007/s12525-022-00536-0</w:t>
        </w:r>
      </w:hyperlink>
      <w:r w:rsidRPr="00263935">
        <w:rPr>
          <w:sz w:val="24"/>
          <w:szCs w:val="24"/>
        </w:rPr>
        <w:t xml:space="preserve"> </w:t>
      </w:r>
    </w:p>
    <w:p w14:paraId="3FD7441E" w14:textId="77777777" w:rsidR="00C63CFC" w:rsidRPr="00263935" w:rsidRDefault="0043080A" w:rsidP="00D217F1">
      <w:pPr>
        <w:spacing w:after="240" w:line="240" w:lineRule="auto"/>
        <w:ind w:left="720" w:hanging="720"/>
        <w:rPr>
          <w:sz w:val="24"/>
          <w:szCs w:val="24"/>
        </w:rPr>
      </w:pPr>
      <w:r w:rsidRPr="00263935">
        <w:rPr>
          <w:sz w:val="24"/>
          <w:szCs w:val="24"/>
        </w:rPr>
        <w:t xml:space="preserve">TheLuxuryPlaybook. (2024). </w:t>
      </w:r>
      <w:r w:rsidRPr="00263935">
        <w:rPr>
          <w:i/>
          <w:sz w:val="24"/>
          <w:szCs w:val="24"/>
        </w:rPr>
        <w:t>The Rise Of Proptech In The UK Real Estate Market | The Luxury Playbook</w:t>
      </w:r>
      <w:r w:rsidRPr="00263935">
        <w:rPr>
          <w:sz w:val="24"/>
          <w:szCs w:val="24"/>
        </w:rPr>
        <w:t xml:space="preserve">. The Luxury Playbook. </w:t>
      </w:r>
      <w:hyperlink r:id="rId87">
        <w:r w:rsidRPr="00263935">
          <w:rPr>
            <w:color w:val="1155CC"/>
            <w:sz w:val="24"/>
            <w:szCs w:val="24"/>
            <w:u w:val="single"/>
          </w:rPr>
          <w:t>https://theluxuryplaybook.com/the-rise-of-proptech-in-the-uk-real-estate-market/</w:t>
        </w:r>
      </w:hyperlink>
      <w:r w:rsidRPr="00263935">
        <w:rPr>
          <w:sz w:val="24"/>
          <w:szCs w:val="24"/>
        </w:rPr>
        <w:t xml:space="preserve"> </w:t>
      </w:r>
    </w:p>
    <w:p w14:paraId="405CFC41" w14:textId="77777777" w:rsidR="00C63CFC" w:rsidRPr="00263935" w:rsidRDefault="0043080A" w:rsidP="00D217F1">
      <w:pPr>
        <w:spacing w:after="240" w:line="240" w:lineRule="auto"/>
        <w:ind w:left="720" w:hanging="720"/>
        <w:rPr>
          <w:sz w:val="24"/>
          <w:szCs w:val="24"/>
        </w:rPr>
      </w:pPr>
      <w:r w:rsidRPr="00263935">
        <w:rPr>
          <w:sz w:val="24"/>
          <w:szCs w:val="24"/>
        </w:rPr>
        <w:t xml:space="preserve">Tien, D. B., Phung, T. D., Nguyen, T. M., Vo, H. K., Dang, K. T., Trong, P. N., Khanh, B. L., &amp; Kim , N. N. (2024). From Bricks to Bits: Revolutionizing Real Estate for the Digital World. </w:t>
      </w:r>
      <w:r w:rsidRPr="00263935">
        <w:rPr>
          <w:i/>
          <w:sz w:val="24"/>
          <w:szCs w:val="24"/>
        </w:rPr>
        <w:t>Lecture Notes in Computer Science</w:t>
      </w:r>
      <w:r w:rsidRPr="00263935">
        <w:rPr>
          <w:sz w:val="24"/>
          <w:szCs w:val="24"/>
        </w:rPr>
        <w:t xml:space="preserve">, 106–117. </w:t>
      </w:r>
      <w:hyperlink r:id="rId88">
        <w:r w:rsidRPr="00263935">
          <w:rPr>
            <w:color w:val="1155CC"/>
            <w:sz w:val="24"/>
            <w:szCs w:val="24"/>
            <w:u w:val="single"/>
          </w:rPr>
          <w:t>https://doi.org/10.1007/978-3-031-60997-8_11</w:t>
        </w:r>
      </w:hyperlink>
      <w:r w:rsidRPr="00263935">
        <w:rPr>
          <w:sz w:val="24"/>
          <w:szCs w:val="24"/>
        </w:rPr>
        <w:t xml:space="preserve">  </w:t>
      </w:r>
    </w:p>
    <w:p w14:paraId="4A461CC9" w14:textId="77777777" w:rsidR="00C63CFC" w:rsidRPr="00263935" w:rsidRDefault="0043080A" w:rsidP="00D217F1">
      <w:pPr>
        <w:spacing w:after="240" w:line="240" w:lineRule="auto"/>
        <w:ind w:left="720" w:hanging="720"/>
        <w:rPr>
          <w:sz w:val="24"/>
          <w:szCs w:val="24"/>
        </w:rPr>
      </w:pPr>
      <w:r w:rsidRPr="00263935">
        <w:rPr>
          <w:sz w:val="24"/>
          <w:szCs w:val="24"/>
        </w:rPr>
        <w:t xml:space="preserve">Tombs, L. (2018). </w:t>
      </w:r>
      <w:r w:rsidRPr="00263935">
        <w:rPr>
          <w:i/>
          <w:sz w:val="24"/>
          <w:szCs w:val="24"/>
        </w:rPr>
        <w:t>Discovering what’s possible with Digital Street - HM Land Registry</w:t>
      </w:r>
      <w:r w:rsidRPr="00263935">
        <w:rPr>
          <w:sz w:val="24"/>
          <w:szCs w:val="24"/>
        </w:rPr>
        <w:t xml:space="preserve">. Hmlandregistry.blog.gov.uk. </w:t>
      </w:r>
      <w:hyperlink r:id="rId89">
        <w:r w:rsidRPr="00263935">
          <w:rPr>
            <w:color w:val="1155CC"/>
            <w:sz w:val="24"/>
            <w:szCs w:val="24"/>
            <w:u w:val="single"/>
          </w:rPr>
          <w:t>https://hmlandregistry.blog.gov.uk/2018/05/01/discovering-whats-possible-with-digital-street/</w:t>
        </w:r>
      </w:hyperlink>
      <w:r w:rsidRPr="00263935">
        <w:rPr>
          <w:sz w:val="24"/>
          <w:szCs w:val="24"/>
        </w:rPr>
        <w:t xml:space="preserve"> </w:t>
      </w:r>
    </w:p>
    <w:p w14:paraId="7ECB1652" w14:textId="77777777" w:rsidR="00C63CFC" w:rsidRPr="00263935" w:rsidRDefault="0043080A" w:rsidP="00D217F1">
      <w:pPr>
        <w:spacing w:after="240" w:line="240" w:lineRule="auto"/>
        <w:ind w:left="720" w:hanging="720"/>
        <w:rPr>
          <w:sz w:val="24"/>
          <w:szCs w:val="24"/>
        </w:rPr>
      </w:pPr>
      <w:r w:rsidRPr="00263935">
        <w:rPr>
          <w:sz w:val="24"/>
          <w:szCs w:val="24"/>
        </w:rPr>
        <w:t xml:space="preserve">Usmani, U. A., Happonen, A., &amp; Watada, J. (2023). Advancements in Industry 4.0 Asset Management: Interoperability and Cyber Security Challenges and Opportunities. </w:t>
      </w:r>
      <w:r w:rsidRPr="00263935">
        <w:rPr>
          <w:i/>
          <w:sz w:val="24"/>
          <w:szCs w:val="24"/>
        </w:rPr>
        <w:t>Lecture Notes in Networks and Systems</w:t>
      </w:r>
      <w:r w:rsidRPr="00263935">
        <w:rPr>
          <w:sz w:val="24"/>
          <w:szCs w:val="24"/>
        </w:rPr>
        <w:t xml:space="preserve">, </w:t>
      </w:r>
      <w:r w:rsidRPr="00263935">
        <w:rPr>
          <w:i/>
          <w:sz w:val="24"/>
          <w:szCs w:val="24"/>
        </w:rPr>
        <w:t>816</w:t>
      </w:r>
      <w:r w:rsidRPr="00263935">
        <w:rPr>
          <w:sz w:val="24"/>
          <w:szCs w:val="24"/>
        </w:rPr>
        <w:t xml:space="preserve">, 468–488. </w:t>
      </w:r>
      <w:hyperlink r:id="rId90">
        <w:r w:rsidRPr="00263935">
          <w:rPr>
            <w:color w:val="1155CC"/>
            <w:sz w:val="24"/>
            <w:szCs w:val="24"/>
            <w:u w:val="single"/>
          </w:rPr>
          <w:t>https://doi.org/10.1007/978-3-031-47448-4_35</w:t>
        </w:r>
      </w:hyperlink>
      <w:r w:rsidRPr="00263935">
        <w:rPr>
          <w:sz w:val="24"/>
          <w:szCs w:val="24"/>
        </w:rPr>
        <w:t xml:space="preserve"> </w:t>
      </w:r>
    </w:p>
    <w:p w14:paraId="502436AF" w14:textId="77777777" w:rsidR="00C63CFC" w:rsidRPr="00263935" w:rsidRDefault="0043080A" w:rsidP="00D217F1">
      <w:pPr>
        <w:spacing w:after="240" w:line="240" w:lineRule="auto"/>
        <w:ind w:left="720" w:hanging="720"/>
        <w:rPr>
          <w:sz w:val="24"/>
          <w:szCs w:val="24"/>
        </w:rPr>
      </w:pPr>
      <w:r w:rsidRPr="00263935">
        <w:rPr>
          <w:sz w:val="24"/>
          <w:szCs w:val="24"/>
        </w:rPr>
        <w:t xml:space="preserve">Val, O. O., Kolade, T. M., Gbadebo, M. O., Selesi-Aina, O., Olateju, O. O., &amp; Olaniyi, O. O. (2024). Strengthening Cybersecurity Measures for the Defense of Critical Infrastructure in the United States. </w:t>
      </w:r>
      <w:r w:rsidRPr="00263935">
        <w:rPr>
          <w:i/>
          <w:sz w:val="24"/>
          <w:szCs w:val="24"/>
        </w:rPr>
        <w:t>Asian Journal of Research in Computer Science</w:t>
      </w:r>
      <w:r w:rsidRPr="00263935">
        <w:rPr>
          <w:sz w:val="24"/>
          <w:szCs w:val="24"/>
        </w:rPr>
        <w:t xml:space="preserve">, </w:t>
      </w:r>
      <w:r w:rsidRPr="00263935">
        <w:rPr>
          <w:i/>
          <w:sz w:val="24"/>
          <w:szCs w:val="24"/>
        </w:rPr>
        <w:t>17</w:t>
      </w:r>
      <w:r w:rsidRPr="00263935">
        <w:rPr>
          <w:sz w:val="24"/>
          <w:szCs w:val="24"/>
        </w:rPr>
        <w:t xml:space="preserve">(11), 25–45. </w:t>
      </w:r>
      <w:hyperlink r:id="rId91">
        <w:r w:rsidRPr="00263935">
          <w:rPr>
            <w:color w:val="1155CC"/>
            <w:sz w:val="24"/>
            <w:szCs w:val="24"/>
            <w:u w:val="single"/>
          </w:rPr>
          <w:t>https://doi.org/10.9734/ajrcos/2024/v17i11517</w:t>
        </w:r>
      </w:hyperlink>
      <w:r w:rsidRPr="00263935">
        <w:rPr>
          <w:sz w:val="24"/>
          <w:szCs w:val="24"/>
        </w:rPr>
        <w:t xml:space="preserve"> </w:t>
      </w:r>
    </w:p>
    <w:p w14:paraId="1852AAD3" w14:textId="77777777" w:rsidR="00C63CFC" w:rsidRPr="00263935" w:rsidRDefault="0043080A" w:rsidP="00D217F1">
      <w:pPr>
        <w:spacing w:after="240" w:line="240" w:lineRule="auto"/>
        <w:ind w:left="720" w:hanging="720"/>
        <w:rPr>
          <w:sz w:val="24"/>
          <w:szCs w:val="24"/>
        </w:rPr>
      </w:pPr>
      <w:r w:rsidRPr="00263935">
        <w:rPr>
          <w:sz w:val="24"/>
          <w:szCs w:val="24"/>
        </w:rPr>
        <w:t xml:space="preserve">Valencia, B. (2024). </w:t>
      </w:r>
      <w:r w:rsidRPr="00263935">
        <w:rPr>
          <w:i/>
          <w:sz w:val="24"/>
          <w:szCs w:val="24"/>
        </w:rPr>
        <w:t>The State of Blockchain in 2024</w:t>
      </w:r>
      <w:r w:rsidRPr="00263935">
        <w:rPr>
          <w:sz w:val="24"/>
          <w:szCs w:val="24"/>
        </w:rPr>
        <w:t xml:space="preserve">. Beauhurst. </w:t>
      </w:r>
      <w:hyperlink r:id="rId92">
        <w:r w:rsidRPr="00263935">
          <w:rPr>
            <w:color w:val="1155CC"/>
            <w:sz w:val="24"/>
            <w:szCs w:val="24"/>
            <w:u w:val="single"/>
          </w:rPr>
          <w:t>https://www.beauhurst.com/blog/the-state-of-blockchain-in-2024/</w:t>
        </w:r>
      </w:hyperlink>
      <w:r w:rsidRPr="00263935">
        <w:rPr>
          <w:sz w:val="24"/>
          <w:szCs w:val="24"/>
        </w:rPr>
        <w:t xml:space="preserve"> </w:t>
      </w:r>
    </w:p>
    <w:p w14:paraId="36700C90" w14:textId="77777777" w:rsidR="00C63CFC" w:rsidRPr="00263935" w:rsidRDefault="0043080A" w:rsidP="00D217F1">
      <w:pPr>
        <w:spacing w:after="240" w:line="240" w:lineRule="auto"/>
        <w:ind w:left="720" w:hanging="720"/>
        <w:rPr>
          <w:sz w:val="24"/>
          <w:szCs w:val="24"/>
        </w:rPr>
      </w:pPr>
      <w:r w:rsidRPr="00263935">
        <w:rPr>
          <w:sz w:val="24"/>
          <w:szCs w:val="24"/>
        </w:rPr>
        <w:t xml:space="preserve">Wiegandt, D. (2022). Blockchain and Smart Contracts and the Role of Arbitration. </w:t>
      </w:r>
      <w:r w:rsidRPr="00263935">
        <w:rPr>
          <w:i/>
          <w:sz w:val="24"/>
          <w:szCs w:val="24"/>
        </w:rPr>
        <w:t>Journal of International Arbitration</w:t>
      </w:r>
      <w:r w:rsidRPr="00263935">
        <w:rPr>
          <w:sz w:val="24"/>
          <w:szCs w:val="24"/>
        </w:rPr>
        <w:t xml:space="preserve">, </w:t>
      </w:r>
      <w:r w:rsidRPr="00263935">
        <w:rPr>
          <w:i/>
          <w:sz w:val="24"/>
          <w:szCs w:val="24"/>
        </w:rPr>
        <w:t>39</w:t>
      </w:r>
      <w:r w:rsidRPr="00263935">
        <w:rPr>
          <w:sz w:val="24"/>
          <w:szCs w:val="24"/>
        </w:rPr>
        <w:t xml:space="preserve">(5). </w:t>
      </w:r>
      <w:hyperlink r:id="rId93">
        <w:r w:rsidRPr="00263935">
          <w:rPr>
            <w:color w:val="1155CC"/>
            <w:sz w:val="24"/>
            <w:szCs w:val="24"/>
            <w:u w:val="single"/>
          </w:rPr>
          <w:t>https://kluwerlawonline.com/journalarticle/Journal+of+International+Arbitration/39.5/JOIA2022029</w:t>
        </w:r>
      </w:hyperlink>
      <w:r w:rsidRPr="00263935">
        <w:rPr>
          <w:sz w:val="24"/>
          <w:szCs w:val="24"/>
        </w:rPr>
        <w:t xml:space="preserve"> </w:t>
      </w:r>
    </w:p>
    <w:p w14:paraId="039EB4BA" w14:textId="77777777" w:rsidR="00C63CFC" w:rsidRPr="00D836F5" w:rsidRDefault="0043080A" w:rsidP="00D217F1">
      <w:pPr>
        <w:spacing w:after="240" w:line="240" w:lineRule="auto"/>
        <w:ind w:left="720" w:hanging="720"/>
        <w:rPr>
          <w:sz w:val="24"/>
          <w:szCs w:val="24"/>
          <w:lang w:val="fr-FR"/>
        </w:rPr>
      </w:pPr>
      <w:r w:rsidRPr="00263935">
        <w:rPr>
          <w:sz w:val="24"/>
          <w:szCs w:val="24"/>
        </w:rPr>
        <w:t xml:space="preserve">Wylde, V., Rawindaran, N., Lawrence, J., Balasubramanian, R., Prakash, E., Jayal, A., Khan, I., Hewage, C., &amp; Platts, J. (2022). Cybersecurity, Data Privacy and Blockchain: A Review. </w:t>
      </w:r>
      <w:r w:rsidRPr="00263935">
        <w:rPr>
          <w:i/>
          <w:sz w:val="24"/>
          <w:szCs w:val="24"/>
        </w:rPr>
        <w:t>SN Computer Science</w:t>
      </w:r>
      <w:r w:rsidRPr="00263935">
        <w:rPr>
          <w:sz w:val="24"/>
          <w:szCs w:val="24"/>
        </w:rPr>
        <w:t xml:space="preserve">, </w:t>
      </w:r>
      <w:r w:rsidRPr="00263935">
        <w:rPr>
          <w:i/>
          <w:sz w:val="24"/>
          <w:szCs w:val="24"/>
        </w:rPr>
        <w:t>3</w:t>
      </w:r>
      <w:r w:rsidRPr="00263935">
        <w:rPr>
          <w:sz w:val="24"/>
          <w:szCs w:val="24"/>
        </w:rPr>
        <w:t xml:space="preserve">(2). </w:t>
      </w:r>
      <w:hyperlink r:id="rId94">
        <w:r w:rsidRPr="00D836F5">
          <w:rPr>
            <w:color w:val="1155CC"/>
            <w:sz w:val="24"/>
            <w:szCs w:val="24"/>
            <w:u w:val="single"/>
            <w:lang w:val="fr-FR"/>
          </w:rPr>
          <w:t>https://link.springer.com/article/10.1007/s42979-022-01020-4</w:t>
        </w:r>
      </w:hyperlink>
      <w:r w:rsidRPr="00D836F5">
        <w:rPr>
          <w:sz w:val="24"/>
          <w:szCs w:val="24"/>
          <w:lang w:val="fr-FR"/>
        </w:rPr>
        <w:t xml:space="preserve"> </w:t>
      </w:r>
    </w:p>
    <w:p w14:paraId="7A87F0D3" w14:textId="77777777" w:rsidR="00C63CFC" w:rsidRPr="00263935" w:rsidRDefault="0043080A" w:rsidP="00D217F1">
      <w:pPr>
        <w:spacing w:after="240" w:line="240" w:lineRule="auto"/>
        <w:ind w:left="720" w:hanging="720"/>
        <w:rPr>
          <w:sz w:val="24"/>
          <w:szCs w:val="24"/>
        </w:rPr>
      </w:pPr>
      <w:r w:rsidRPr="00D836F5">
        <w:rPr>
          <w:sz w:val="24"/>
          <w:szCs w:val="24"/>
          <w:lang w:val="fr-FR"/>
        </w:rPr>
        <w:t xml:space="preserve">Xu, Y., Chong, H.-Y., &amp; Chi, M. (2021). </w:t>
      </w:r>
      <w:r w:rsidRPr="00263935">
        <w:rPr>
          <w:sz w:val="24"/>
          <w:szCs w:val="24"/>
        </w:rPr>
        <w:t xml:space="preserve">A Review of Smart Contracts Applications in Various Industries: A Procurement Perspective. </w:t>
      </w:r>
      <w:r w:rsidRPr="00263935">
        <w:rPr>
          <w:i/>
          <w:sz w:val="24"/>
          <w:szCs w:val="24"/>
        </w:rPr>
        <w:t>Advances in Civil Engineering</w:t>
      </w:r>
      <w:r w:rsidRPr="00263935">
        <w:rPr>
          <w:sz w:val="24"/>
          <w:szCs w:val="24"/>
        </w:rPr>
        <w:t xml:space="preserve">, </w:t>
      </w:r>
      <w:r w:rsidRPr="00263935">
        <w:rPr>
          <w:i/>
          <w:sz w:val="24"/>
          <w:szCs w:val="24"/>
        </w:rPr>
        <w:t>2021</w:t>
      </w:r>
      <w:r w:rsidRPr="00263935">
        <w:rPr>
          <w:sz w:val="24"/>
          <w:szCs w:val="24"/>
        </w:rPr>
        <w:t xml:space="preserve">, 1–25. </w:t>
      </w:r>
      <w:hyperlink r:id="rId95">
        <w:r w:rsidRPr="00263935">
          <w:rPr>
            <w:color w:val="1155CC"/>
            <w:sz w:val="24"/>
            <w:szCs w:val="24"/>
            <w:u w:val="single"/>
          </w:rPr>
          <w:t>https://doi.org/10.1155/2021/5530755</w:t>
        </w:r>
      </w:hyperlink>
      <w:r w:rsidRPr="00263935">
        <w:rPr>
          <w:sz w:val="24"/>
          <w:szCs w:val="24"/>
        </w:rPr>
        <w:t xml:space="preserve"> </w:t>
      </w:r>
    </w:p>
    <w:p w14:paraId="4C2EC3C4" w14:textId="77777777" w:rsidR="00C63CFC" w:rsidRPr="00263935" w:rsidRDefault="0043080A" w:rsidP="00D217F1">
      <w:pPr>
        <w:spacing w:after="240" w:line="240" w:lineRule="auto"/>
        <w:ind w:left="720" w:hanging="720"/>
        <w:rPr>
          <w:sz w:val="24"/>
          <w:szCs w:val="24"/>
        </w:rPr>
      </w:pPr>
      <w:r w:rsidRPr="00263935">
        <w:rPr>
          <w:sz w:val="24"/>
          <w:szCs w:val="24"/>
        </w:rPr>
        <w:t xml:space="preserve">Yang, Z., Alfauri, H., Farkiani, B., Jain, R., Pietro, R. D., &amp; Erbad, A. (2023). A Survey and Comparison of Post-Quantum and Quantum Blockchains. </w:t>
      </w:r>
      <w:r w:rsidRPr="00263935">
        <w:rPr>
          <w:i/>
          <w:sz w:val="24"/>
          <w:szCs w:val="24"/>
        </w:rPr>
        <w:t>IEEE Communications Surveys and Tutorials</w:t>
      </w:r>
      <w:r w:rsidRPr="00263935">
        <w:rPr>
          <w:sz w:val="24"/>
          <w:szCs w:val="24"/>
        </w:rPr>
        <w:t xml:space="preserve">, </w:t>
      </w:r>
      <w:r w:rsidRPr="00263935">
        <w:rPr>
          <w:i/>
          <w:sz w:val="24"/>
          <w:szCs w:val="24"/>
        </w:rPr>
        <w:t>26</w:t>
      </w:r>
      <w:r w:rsidRPr="00263935">
        <w:rPr>
          <w:sz w:val="24"/>
          <w:szCs w:val="24"/>
        </w:rPr>
        <w:t xml:space="preserve">(2), 1–1. </w:t>
      </w:r>
      <w:hyperlink r:id="rId96">
        <w:r w:rsidRPr="00263935">
          <w:rPr>
            <w:color w:val="1155CC"/>
            <w:sz w:val="24"/>
            <w:szCs w:val="24"/>
            <w:u w:val="single"/>
          </w:rPr>
          <w:t>https://doi.org/10.1109/comst.2023.3325761</w:t>
        </w:r>
      </w:hyperlink>
      <w:r w:rsidRPr="00263935">
        <w:rPr>
          <w:sz w:val="24"/>
          <w:szCs w:val="24"/>
        </w:rPr>
        <w:t xml:space="preserve"> </w:t>
      </w:r>
    </w:p>
    <w:p w14:paraId="39190C72" w14:textId="77777777" w:rsidR="00C63CFC" w:rsidRPr="00263935" w:rsidRDefault="0043080A" w:rsidP="00D217F1">
      <w:pPr>
        <w:spacing w:after="240" w:line="240" w:lineRule="auto"/>
        <w:ind w:left="720" w:hanging="720"/>
        <w:rPr>
          <w:sz w:val="24"/>
          <w:szCs w:val="24"/>
        </w:rPr>
      </w:pPr>
      <w:r w:rsidRPr="00263935">
        <w:rPr>
          <w:sz w:val="24"/>
          <w:szCs w:val="24"/>
        </w:rPr>
        <w:t xml:space="preserve">Yeoh, W., Siew, A., Ng, C., Popovic, A., &amp; Han, Y. (2023). Examining the Acceptance of Blockchain by Real Estate Buyers and Sellers. </w:t>
      </w:r>
      <w:r w:rsidRPr="00263935">
        <w:rPr>
          <w:i/>
          <w:sz w:val="24"/>
          <w:szCs w:val="24"/>
        </w:rPr>
        <w:t>Examining the Acceptance of Blockchain by Real Estate Buyers and Sellers</w:t>
      </w:r>
      <w:r w:rsidRPr="00263935">
        <w:rPr>
          <w:sz w:val="24"/>
          <w:szCs w:val="24"/>
        </w:rPr>
        <w:t xml:space="preserve">, </w:t>
      </w:r>
      <w:r w:rsidRPr="00263935">
        <w:rPr>
          <w:i/>
          <w:sz w:val="24"/>
          <w:szCs w:val="24"/>
        </w:rPr>
        <w:t>26</w:t>
      </w:r>
      <w:r w:rsidRPr="00263935">
        <w:rPr>
          <w:sz w:val="24"/>
          <w:szCs w:val="24"/>
        </w:rPr>
        <w:t xml:space="preserve">(3). </w:t>
      </w:r>
      <w:hyperlink r:id="rId97">
        <w:r w:rsidRPr="00263935">
          <w:rPr>
            <w:color w:val="1155CC"/>
            <w:sz w:val="24"/>
            <w:szCs w:val="24"/>
            <w:u w:val="single"/>
          </w:rPr>
          <w:t>https://doi.org/10.1007/s10796-023-10411-8</w:t>
        </w:r>
      </w:hyperlink>
      <w:r w:rsidRPr="00263935">
        <w:rPr>
          <w:sz w:val="24"/>
          <w:szCs w:val="24"/>
        </w:rPr>
        <w:t xml:space="preserve"> </w:t>
      </w:r>
    </w:p>
    <w:p w14:paraId="10FF4DE1" w14:textId="77777777" w:rsidR="00C63CFC" w:rsidRPr="00263935" w:rsidRDefault="0043080A" w:rsidP="00D217F1">
      <w:pPr>
        <w:spacing w:after="240" w:line="240" w:lineRule="auto"/>
        <w:ind w:left="720" w:hanging="720"/>
        <w:rPr>
          <w:sz w:val="24"/>
          <w:szCs w:val="24"/>
        </w:rPr>
      </w:pPr>
      <w:r w:rsidRPr="00263935">
        <w:rPr>
          <w:sz w:val="24"/>
          <w:szCs w:val="24"/>
        </w:rPr>
        <w:t xml:space="preserve">Yin, R., Yan, Z., Liang, X., Xie , H., &amp; Wan , Z. (2023). A survey on privacy preservation techniques for blockchain interoperability. </w:t>
      </w:r>
      <w:r w:rsidRPr="00263935">
        <w:rPr>
          <w:i/>
          <w:sz w:val="24"/>
          <w:szCs w:val="24"/>
        </w:rPr>
        <w:t>Journal of Systems Architecture</w:t>
      </w:r>
      <w:r w:rsidRPr="00263935">
        <w:rPr>
          <w:sz w:val="24"/>
          <w:szCs w:val="24"/>
        </w:rPr>
        <w:t xml:space="preserve">, </w:t>
      </w:r>
      <w:r w:rsidRPr="00263935">
        <w:rPr>
          <w:i/>
          <w:sz w:val="24"/>
          <w:szCs w:val="24"/>
        </w:rPr>
        <w:t>140</w:t>
      </w:r>
      <w:r w:rsidRPr="00263935">
        <w:rPr>
          <w:sz w:val="24"/>
          <w:szCs w:val="24"/>
        </w:rPr>
        <w:t xml:space="preserve">, 102892–102892. </w:t>
      </w:r>
      <w:hyperlink r:id="rId98">
        <w:r w:rsidRPr="00263935">
          <w:rPr>
            <w:color w:val="1155CC"/>
            <w:sz w:val="24"/>
            <w:szCs w:val="24"/>
            <w:u w:val="single"/>
          </w:rPr>
          <w:t>https://doi.org/10.1016/j.sysarc.2023.102892</w:t>
        </w:r>
      </w:hyperlink>
      <w:r w:rsidRPr="00263935">
        <w:rPr>
          <w:sz w:val="24"/>
          <w:szCs w:val="24"/>
        </w:rPr>
        <w:t xml:space="preserve"> </w:t>
      </w:r>
    </w:p>
    <w:p w14:paraId="2D5B69C3" w14:textId="77777777" w:rsidR="00C63CFC" w:rsidRPr="00D836F5" w:rsidRDefault="0043080A" w:rsidP="00D217F1">
      <w:pPr>
        <w:spacing w:after="240" w:line="240" w:lineRule="auto"/>
        <w:ind w:left="720" w:hanging="720"/>
        <w:rPr>
          <w:sz w:val="24"/>
          <w:szCs w:val="24"/>
          <w:lang w:val="fr-FR"/>
        </w:rPr>
      </w:pPr>
      <w:r w:rsidRPr="00263935">
        <w:rPr>
          <w:sz w:val="24"/>
          <w:szCs w:val="24"/>
        </w:rPr>
        <w:t xml:space="preserve">Zein, R. M., &amp; Twinomurinzi, H. (2024). Information Sharing in Land Registration Using Hyperledger Fabric Blockchain. </w:t>
      </w:r>
      <w:r w:rsidRPr="00D836F5">
        <w:rPr>
          <w:i/>
          <w:sz w:val="24"/>
          <w:szCs w:val="24"/>
          <w:lang w:val="fr-FR"/>
        </w:rPr>
        <w:t>Blockchains</w:t>
      </w:r>
      <w:r w:rsidRPr="00D836F5">
        <w:rPr>
          <w:sz w:val="24"/>
          <w:szCs w:val="24"/>
          <w:lang w:val="fr-FR"/>
        </w:rPr>
        <w:t xml:space="preserve">, </w:t>
      </w:r>
      <w:r w:rsidRPr="00D836F5">
        <w:rPr>
          <w:i/>
          <w:sz w:val="24"/>
          <w:szCs w:val="24"/>
          <w:lang w:val="fr-FR"/>
        </w:rPr>
        <w:t>2</w:t>
      </w:r>
      <w:r w:rsidRPr="00D836F5">
        <w:rPr>
          <w:sz w:val="24"/>
          <w:szCs w:val="24"/>
          <w:lang w:val="fr-FR"/>
        </w:rPr>
        <w:t xml:space="preserve">(2), 107–133. </w:t>
      </w:r>
      <w:hyperlink r:id="rId99">
        <w:r w:rsidRPr="00D836F5">
          <w:rPr>
            <w:color w:val="1155CC"/>
            <w:sz w:val="24"/>
            <w:szCs w:val="24"/>
            <w:u w:val="single"/>
            <w:lang w:val="fr-FR"/>
          </w:rPr>
          <w:t>https://doi.org/10.3390/blockchains2020006</w:t>
        </w:r>
      </w:hyperlink>
      <w:r w:rsidRPr="00D836F5">
        <w:rPr>
          <w:sz w:val="24"/>
          <w:szCs w:val="24"/>
          <w:lang w:val="fr-FR"/>
        </w:rPr>
        <w:t xml:space="preserve"> </w:t>
      </w:r>
    </w:p>
    <w:p w14:paraId="26F51A16" w14:textId="77777777" w:rsidR="00C63CFC" w:rsidRPr="00263935" w:rsidRDefault="0043080A" w:rsidP="00D217F1">
      <w:pPr>
        <w:spacing w:after="240" w:line="240" w:lineRule="auto"/>
        <w:ind w:left="720" w:hanging="720"/>
        <w:rPr>
          <w:sz w:val="24"/>
          <w:szCs w:val="24"/>
        </w:rPr>
      </w:pPr>
      <w:r w:rsidRPr="00D836F5">
        <w:rPr>
          <w:sz w:val="24"/>
          <w:szCs w:val="24"/>
          <w:lang w:val="fr-FR"/>
        </w:rPr>
        <w:t xml:space="preserve">Zhang, B., Xu, J., Wang, X., Zhao, Z., Chen, S., &amp; Zhang, X. (2023). </w:t>
      </w:r>
      <w:r w:rsidRPr="00263935">
        <w:rPr>
          <w:sz w:val="24"/>
          <w:szCs w:val="24"/>
        </w:rPr>
        <w:t xml:space="preserve">Research on the Construction of Grain Food Multi-Chain Blockchain Based on Zero-Knowledge Proof. </w:t>
      </w:r>
      <w:r w:rsidRPr="00263935">
        <w:rPr>
          <w:i/>
          <w:sz w:val="24"/>
          <w:szCs w:val="24"/>
        </w:rPr>
        <w:t>Foods</w:t>
      </w:r>
      <w:r w:rsidRPr="00263935">
        <w:rPr>
          <w:sz w:val="24"/>
          <w:szCs w:val="24"/>
        </w:rPr>
        <w:t xml:space="preserve">, </w:t>
      </w:r>
      <w:r w:rsidRPr="00263935">
        <w:rPr>
          <w:i/>
          <w:sz w:val="24"/>
          <w:szCs w:val="24"/>
        </w:rPr>
        <w:t>12</w:t>
      </w:r>
      <w:r w:rsidRPr="00263935">
        <w:rPr>
          <w:sz w:val="24"/>
          <w:szCs w:val="24"/>
        </w:rPr>
        <w:t xml:space="preserve">(8), 1600–1600. </w:t>
      </w:r>
      <w:hyperlink r:id="rId100">
        <w:r w:rsidRPr="00263935">
          <w:rPr>
            <w:color w:val="1155CC"/>
            <w:sz w:val="24"/>
            <w:szCs w:val="24"/>
            <w:u w:val="single"/>
          </w:rPr>
          <w:t>https://doi.org/10.3390/foods12081600</w:t>
        </w:r>
      </w:hyperlink>
      <w:r w:rsidRPr="00263935">
        <w:rPr>
          <w:sz w:val="24"/>
          <w:szCs w:val="24"/>
        </w:rPr>
        <w:t xml:space="preserve"> </w:t>
      </w:r>
    </w:p>
    <w:p w14:paraId="23F672F8" w14:textId="77777777" w:rsidR="00C63CFC" w:rsidRPr="00263935" w:rsidRDefault="0043080A" w:rsidP="00D217F1">
      <w:pPr>
        <w:spacing w:after="240" w:line="240" w:lineRule="auto"/>
        <w:ind w:left="720" w:hanging="720"/>
        <w:rPr>
          <w:sz w:val="24"/>
          <w:szCs w:val="24"/>
        </w:rPr>
      </w:pPr>
      <w:r w:rsidRPr="00263935">
        <w:rPr>
          <w:sz w:val="24"/>
          <w:szCs w:val="24"/>
        </w:rPr>
        <w:t xml:space="preserve">Zhou, L., Diro, A., Saini, A., Kaisar, S., &amp; Hiep, P. C. (2024). Leveraging zero knowledge proofs for blockchain-based identity sharing: A survey of advancements, challenges and opportunities. </w:t>
      </w:r>
      <w:r w:rsidRPr="00263935">
        <w:rPr>
          <w:i/>
          <w:sz w:val="24"/>
          <w:szCs w:val="24"/>
        </w:rPr>
        <w:t>Journal of Information Security and Applications</w:t>
      </w:r>
      <w:r w:rsidRPr="00263935">
        <w:rPr>
          <w:sz w:val="24"/>
          <w:szCs w:val="24"/>
        </w:rPr>
        <w:t xml:space="preserve">, </w:t>
      </w:r>
      <w:r w:rsidRPr="00263935">
        <w:rPr>
          <w:i/>
          <w:sz w:val="24"/>
          <w:szCs w:val="24"/>
        </w:rPr>
        <w:t>80</w:t>
      </w:r>
      <w:r w:rsidRPr="00263935">
        <w:rPr>
          <w:sz w:val="24"/>
          <w:szCs w:val="24"/>
        </w:rPr>
        <w:t xml:space="preserve">, 103678–103678. </w:t>
      </w:r>
      <w:hyperlink r:id="rId101">
        <w:r w:rsidRPr="00263935">
          <w:rPr>
            <w:color w:val="1155CC"/>
            <w:sz w:val="24"/>
            <w:szCs w:val="24"/>
            <w:u w:val="single"/>
          </w:rPr>
          <w:t>https://doi.org/10.1016/j.jisa.2023.103678</w:t>
        </w:r>
      </w:hyperlink>
      <w:r w:rsidRPr="00263935">
        <w:rPr>
          <w:sz w:val="24"/>
          <w:szCs w:val="24"/>
        </w:rPr>
        <w:t xml:space="preserve"> </w:t>
      </w:r>
    </w:p>
    <w:p w14:paraId="40A557AE" w14:textId="77777777" w:rsidR="00C63CFC" w:rsidRPr="00263935" w:rsidRDefault="0043080A" w:rsidP="00D217F1">
      <w:pPr>
        <w:spacing w:after="240" w:line="240" w:lineRule="auto"/>
        <w:ind w:left="720" w:hanging="720"/>
        <w:rPr>
          <w:sz w:val="24"/>
          <w:szCs w:val="24"/>
        </w:rPr>
      </w:pPr>
      <w:r w:rsidRPr="00263935">
        <w:rPr>
          <w:sz w:val="24"/>
          <w:szCs w:val="24"/>
        </w:rPr>
        <w:t xml:space="preserve">Zhu, K., Wu, F., Wang, F., Shen, T., Wu, H., Xue, B., &amp; Liu, Y. (2024). Blockchain-Based Digital Asset Circulation: A Survey and Future Challenges. </w:t>
      </w:r>
      <w:r w:rsidRPr="00263935">
        <w:rPr>
          <w:i/>
          <w:sz w:val="24"/>
          <w:szCs w:val="24"/>
        </w:rPr>
        <w:t>Symmetry</w:t>
      </w:r>
      <w:r w:rsidRPr="00263935">
        <w:rPr>
          <w:sz w:val="24"/>
          <w:szCs w:val="24"/>
        </w:rPr>
        <w:t xml:space="preserve">, </w:t>
      </w:r>
      <w:r w:rsidRPr="00263935">
        <w:rPr>
          <w:i/>
          <w:sz w:val="24"/>
          <w:szCs w:val="24"/>
        </w:rPr>
        <w:t>16</w:t>
      </w:r>
      <w:r w:rsidRPr="00263935">
        <w:rPr>
          <w:sz w:val="24"/>
          <w:szCs w:val="24"/>
        </w:rPr>
        <w:t xml:space="preserve">(10), 1287–1287. </w:t>
      </w:r>
      <w:hyperlink r:id="rId102">
        <w:r w:rsidRPr="00263935">
          <w:rPr>
            <w:color w:val="1155CC"/>
            <w:sz w:val="24"/>
            <w:szCs w:val="24"/>
            <w:u w:val="single"/>
          </w:rPr>
          <w:t>https://doi.org/10.3390/sym16101287</w:t>
        </w:r>
      </w:hyperlink>
      <w:r w:rsidRPr="00263935">
        <w:rPr>
          <w:sz w:val="24"/>
          <w:szCs w:val="24"/>
        </w:rPr>
        <w:t xml:space="preserve"> </w:t>
      </w:r>
    </w:p>
    <w:p w14:paraId="222181E8" w14:textId="77777777" w:rsidR="00C63CFC" w:rsidRPr="00263935" w:rsidRDefault="00C63CFC" w:rsidP="00D217F1">
      <w:pPr>
        <w:spacing w:after="240" w:line="240" w:lineRule="auto"/>
        <w:ind w:hanging="720"/>
        <w:rPr>
          <w:sz w:val="24"/>
          <w:szCs w:val="24"/>
        </w:rPr>
      </w:pPr>
    </w:p>
    <w:sectPr w:rsidR="00C63CFC" w:rsidRPr="00263935">
      <w:headerReference w:type="even" r:id="rId103"/>
      <w:headerReference w:type="default" r:id="rId104"/>
      <w:footerReference w:type="even" r:id="rId105"/>
      <w:footerReference w:type="default" r:id="rId106"/>
      <w:headerReference w:type="first" r:id="rId107"/>
      <w:footerReference w:type="first" r:id="rId10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571F3" w14:textId="77777777" w:rsidR="008D4A24" w:rsidRDefault="008D4A24" w:rsidP="00C47C12">
      <w:pPr>
        <w:spacing w:line="240" w:lineRule="auto"/>
      </w:pPr>
      <w:r>
        <w:separator/>
      </w:r>
    </w:p>
  </w:endnote>
  <w:endnote w:type="continuationSeparator" w:id="0">
    <w:p w14:paraId="4CAD6890" w14:textId="77777777" w:rsidR="008D4A24" w:rsidRDefault="008D4A24" w:rsidP="00C47C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521FD" w14:textId="77777777" w:rsidR="00F43C17" w:rsidRDefault="00F43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3650" w14:textId="77777777" w:rsidR="00F43C17" w:rsidRDefault="00F43C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B8B2" w14:textId="77777777" w:rsidR="00F43C17" w:rsidRDefault="00F43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249C8" w14:textId="77777777" w:rsidR="008D4A24" w:rsidRDefault="008D4A24" w:rsidP="00C47C12">
      <w:pPr>
        <w:spacing w:line="240" w:lineRule="auto"/>
      </w:pPr>
      <w:r>
        <w:separator/>
      </w:r>
    </w:p>
  </w:footnote>
  <w:footnote w:type="continuationSeparator" w:id="0">
    <w:p w14:paraId="79268760" w14:textId="77777777" w:rsidR="008D4A24" w:rsidRDefault="008D4A24" w:rsidP="00C47C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03698" w14:textId="612A7125" w:rsidR="00F43C17" w:rsidRDefault="00F216FF">
    <w:pPr>
      <w:pStyle w:val="Header"/>
    </w:pPr>
    <w:r>
      <w:rPr>
        <w:noProof/>
      </w:rPr>
      <w:pict w14:anchorId="2FEAE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72665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35389" w14:textId="637EDB8D" w:rsidR="00F43C17" w:rsidRDefault="00F216FF">
    <w:pPr>
      <w:pStyle w:val="Header"/>
    </w:pPr>
    <w:r>
      <w:rPr>
        <w:noProof/>
      </w:rPr>
      <w:pict w14:anchorId="5E1EE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72665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3355" w14:textId="58BBB00F" w:rsidR="00F43C17" w:rsidRDefault="00F216FF">
    <w:pPr>
      <w:pStyle w:val="Header"/>
    </w:pPr>
    <w:r>
      <w:rPr>
        <w:noProof/>
      </w:rPr>
      <w:pict w14:anchorId="0C133A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72665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6AE"/>
    <w:multiLevelType w:val="multilevel"/>
    <w:tmpl w:val="E12ACA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6551906"/>
    <w:multiLevelType w:val="multilevel"/>
    <w:tmpl w:val="4C6AF6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4D7C97"/>
    <w:multiLevelType w:val="multilevel"/>
    <w:tmpl w:val="FBD01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BB3DBF"/>
    <w:multiLevelType w:val="multilevel"/>
    <w:tmpl w:val="07D84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473FCB"/>
    <w:multiLevelType w:val="multilevel"/>
    <w:tmpl w:val="FCD40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FE59E8"/>
    <w:multiLevelType w:val="multilevel"/>
    <w:tmpl w:val="E31C48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AF25E4"/>
    <w:multiLevelType w:val="multilevel"/>
    <w:tmpl w:val="C408E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9A02257"/>
    <w:multiLevelType w:val="multilevel"/>
    <w:tmpl w:val="3A088F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F324063"/>
    <w:multiLevelType w:val="multilevel"/>
    <w:tmpl w:val="CC58D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FD80254"/>
    <w:multiLevelType w:val="multilevel"/>
    <w:tmpl w:val="E5F6C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42728192">
    <w:abstractNumId w:val="6"/>
  </w:num>
  <w:num w:numId="2" w16cid:durableId="1159268150">
    <w:abstractNumId w:val="0"/>
  </w:num>
  <w:num w:numId="3" w16cid:durableId="805002936">
    <w:abstractNumId w:val="1"/>
  </w:num>
  <w:num w:numId="4" w16cid:durableId="1015113336">
    <w:abstractNumId w:val="2"/>
  </w:num>
  <w:num w:numId="5" w16cid:durableId="48916606">
    <w:abstractNumId w:val="5"/>
  </w:num>
  <w:num w:numId="6" w16cid:durableId="1774400895">
    <w:abstractNumId w:val="4"/>
  </w:num>
  <w:num w:numId="7" w16cid:durableId="1295328634">
    <w:abstractNumId w:val="8"/>
  </w:num>
  <w:num w:numId="8" w16cid:durableId="1262252868">
    <w:abstractNumId w:val="9"/>
  </w:num>
  <w:num w:numId="9" w16cid:durableId="1027410368">
    <w:abstractNumId w:val="7"/>
  </w:num>
  <w:num w:numId="10" w16cid:durableId="47265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CFC"/>
    <w:rsid w:val="00040A41"/>
    <w:rsid w:val="00083239"/>
    <w:rsid w:val="00147499"/>
    <w:rsid w:val="001813B7"/>
    <w:rsid w:val="00193F73"/>
    <w:rsid w:val="001C0D3F"/>
    <w:rsid w:val="0020043B"/>
    <w:rsid w:val="002446C5"/>
    <w:rsid w:val="00263935"/>
    <w:rsid w:val="00276BE4"/>
    <w:rsid w:val="002A2AD7"/>
    <w:rsid w:val="002A5FBF"/>
    <w:rsid w:val="00312F16"/>
    <w:rsid w:val="00363A88"/>
    <w:rsid w:val="003D0189"/>
    <w:rsid w:val="0043080A"/>
    <w:rsid w:val="00500C1C"/>
    <w:rsid w:val="00515D7F"/>
    <w:rsid w:val="005660C3"/>
    <w:rsid w:val="006169DD"/>
    <w:rsid w:val="006A1F68"/>
    <w:rsid w:val="006D2984"/>
    <w:rsid w:val="00770EAD"/>
    <w:rsid w:val="007A3074"/>
    <w:rsid w:val="0089758D"/>
    <w:rsid w:val="008D4A24"/>
    <w:rsid w:val="00965396"/>
    <w:rsid w:val="0096720B"/>
    <w:rsid w:val="00987E36"/>
    <w:rsid w:val="009C5FCB"/>
    <w:rsid w:val="00A83F93"/>
    <w:rsid w:val="00B203E6"/>
    <w:rsid w:val="00B859C1"/>
    <w:rsid w:val="00B958B4"/>
    <w:rsid w:val="00C47C12"/>
    <w:rsid w:val="00C63CFC"/>
    <w:rsid w:val="00D217F1"/>
    <w:rsid w:val="00D47BDE"/>
    <w:rsid w:val="00D836F5"/>
    <w:rsid w:val="00DC04E4"/>
    <w:rsid w:val="00E60BA7"/>
    <w:rsid w:val="00E87D97"/>
    <w:rsid w:val="00EA150E"/>
    <w:rsid w:val="00F216FF"/>
    <w:rsid w:val="00F43C17"/>
    <w:rsid w:val="00F844CA"/>
    <w:rsid w:val="00FC5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4BFA3C"/>
  <w15:docId w15:val="{BADD92F5-E74A-420D-80D2-39CB10CD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D47B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2F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87E36"/>
    <w:rPr>
      <w:b/>
      <w:bCs/>
    </w:rPr>
  </w:style>
  <w:style w:type="character" w:styleId="PlaceholderText">
    <w:name w:val="Placeholder Text"/>
    <w:basedOn w:val="DefaultParagraphFont"/>
    <w:uiPriority w:val="99"/>
    <w:semiHidden/>
    <w:rsid w:val="00B859C1"/>
    <w:rPr>
      <w:color w:val="808080"/>
    </w:rPr>
  </w:style>
  <w:style w:type="character" w:customStyle="1" w:styleId="mord">
    <w:name w:val="mord"/>
    <w:basedOn w:val="DefaultParagraphFont"/>
    <w:rsid w:val="00B859C1"/>
  </w:style>
  <w:style w:type="character" w:customStyle="1" w:styleId="mopen">
    <w:name w:val="mopen"/>
    <w:basedOn w:val="DefaultParagraphFont"/>
    <w:rsid w:val="00B859C1"/>
  </w:style>
  <w:style w:type="character" w:customStyle="1" w:styleId="mclose">
    <w:name w:val="mclose"/>
    <w:basedOn w:val="DefaultParagraphFont"/>
    <w:rsid w:val="00B859C1"/>
  </w:style>
  <w:style w:type="character" w:customStyle="1" w:styleId="mrel">
    <w:name w:val="mrel"/>
    <w:basedOn w:val="DefaultParagraphFont"/>
    <w:rsid w:val="00B859C1"/>
  </w:style>
  <w:style w:type="character" w:customStyle="1" w:styleId="mop">
    <w:name w:val="mop"/>
    <w:basedOn w:val="DefaultParagraphFont"/>
    <w:rsid w:val="00B859C1"/>
  </w:style>
  <w:style w:type="character" w:customStyle="1" w:styleId="vlist-s">
    <w:name w:val="vlist-s"/>
    <w:basedOn w:val="DefaultParagraphFont"/>
    <w:rsid w:val="00B859C1"/>
  </w:style>
  <w:style w:type="character" w:customStyle="1" w:styleId="katex-mathml">
    <w:name w:val="katex-mathml"/>
    <w:basedOn w:val="DefaultParagraphFont"/>
    <w:rsid w:val="00B859C1"/>
  </w:style>
  <w:style w:type="character" w:customStyle="1" w:styleId="mbin">
    <w:name w:val="mbin"/>
    <w:basedOn w:val="DefaultParagraphFont"/>
    <w:rsid w:val="002A2AD7"/>
  </w:style>
  <w:style w:type="character" w:customStyle="1" w:styleId="delimsizing">
    <w:name w:val="delimsizing"/>
    <w:basedOn w:val="DefaultParagraphFont"/>
    <w:rsid w:val="003D0189"/>
  </w:style>
  <w:style w:type="paragraph" w:styleId="NoSpacing">
    <w:name w:val="No Spacing"/>
    <w:uiPriority w:val="1"/>
    <w:qFormat/>
    <w:rsid w:val="00D836F5"/>
    <w:pPr>
      <w:spacing w:line="240" w:lineRule="auto"/>
    </w:pPr>
    <w:rPr>
      <w:rFonts w:asciiTheme="minorHAnsi" w:eastAsiaTheme="minorHAnsi" w:hAnsiTheme="minorHAnsi" w:cstheme="minorBidi"/>
      <w:kern w:val="2"/>
      <w:lang w:val="en-US"/>
      <w14:ligatures w14:val="standardContextual"/>
    </w:rPr>
  </w:style>
  <w:style w:type="character" w:styleId="Hyperlink">
    <w:name w:val="Hyperlink"/>
    <w:basedOn w:val="DefaultParagraphFont"/>
    <w:uiPriority w:val="99"/>
    <w:unhideWhenUsed/>
    <w:rsid w:val="00500C1C"/>
    <w:rPr>
      <w:color w:val="0000FF" w:themeColor="hyperlink"/>
      <w:u w:val="single"/>
    </w:rPr>
  </w:style>
  <w:style w:type="character" w:customStyle="1" w:styleId="UnresolvedMention1">
    <w:name w:val="Unresolved Mention1"/>
    <w:basedOn w:val="DefaultParagraphFont"/>
    <w:uiPriority w:val="99"/>
    <w:semiHidden/>
    <w:unhideWhenUsed/>
    <w:rsid w:val="00500C1C"/>
    <w:rPr>
      <w:color w:val="605E5C"/>
      <w:shd w:val="clear" w:color="auto" w:fill="E1DFDD"/>
    </w:rPr>
  </w:style>
  <w:style w:type="paragraph" w:styleId="Header">
    <w:name w:val="header"/>
    <w:basedOn w:val="Normal"/>
    <w:link w:val="HeaderChar"/>
    <w:uiPriority w:val="99"/>
    <w:unhideWhenUsed/>
    <w:rsid w:val="00C47C12"/>
    <w:pPr>
      <w:tabs>
        <w:tab w:val="center" w:pos="4680"/>
        <w:tab w:val="right" w:pos="9360"/>
      </w:tabs>
      <w:spacing w:line="240" w:lineRule="auto"/>
    </w:pPr>
  </w:style>
  <w:style w:type="character" w:customStyle="1" w:styleId="HeaderChar">
    <w:name w:val="Header Char"/>
    <w:basedOn w:val="DefaultParagraphFont"/>
    <w:link w:val="Header"/>
    <w:uiPriority w:val="99"/>
    <w:rsid w:val="00C47C12"/>
  </w:style>
  <w:style w:type="paragraph" w:styleId="Footer">
    <w:name w:val="footer"/>
    <w:basedOn w:val="Normal"/>
    <w:link w:val="FooterChar"/>
    <w:uiPriority w:val="99"/>
    <w:unhideWhenUsed/>
    <w:rsid w:val="00C47C12"/>
    <w:pPr>
      <w:tabs>
        <w:tab w:val="center" w:pos="4680"/>
        <w:tab w:val="right" w:pos="9360"/>
      </w:tabs>
      <w:spacing w:line="240" w:lineRule="auto"/>
    </w:pPr>
  </w:style>
  <w:style w:type="character" w:customStyle="1" w:styleId="FooterChar">
    <w:name w:val="Footer Char"/>
    <w:basedOn w:val="DefaultParagraphFont"/>
    <w:link w:val="Footer"/>
    <w:uiPriority w:val="99"/>
    <w:rsid w:val="00C47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61650">
      <w:bodyDiv w:val="1"/>
      <w:marLeft w:val="0"/>
      <w:marRight w:val="0"/>
      <w:marTop w:val="0"/>
      <w:marBottom w:val="0"/>
      <w:divBdr>
        <w:top w:val="none" w:sz="0" w:space="0" w:color="auto"/>
        <w:left w:val="none" w:sz="0" w:space="0" w:color="auto"/>
        <w:bottom w:val="none" w:sz="0" w:space="0" w:color="auto"/>
        <w:right w:val="none" w:sz="0" w:space="0" w:color="auto"/>
      </w:divBdr>
    </w:div>
    <w:div w:id="343435268">
      <w:bodyDiv w:val="1"/>
      <w:marLeft w:val="0"/>
      <w:marRight w:val="0"/>
      <w:marTop w:val="0"/>
      <w:marBottom w:val="0"/>
      <w:divBdr>
        <w:top w:val="none" w:sz="0" w:space="0" w:color="auto"/>
        <w:left w:val="none" w:sz="0" w:space="0" w:color="auto"/>
        <w:bottom w:val="none" w:sz="0" w:space="0" w:color="auto"/>
        <w:right w:val="none" w:sz="0" w:space="0" w:color="auto"/>
      </w:divBdr>
    </w:div>
    <w:div w:id="351683634">
      <w:bodyDiv w:val="1"/>
      <w:marLeft w:val="0"/>
      <w:marRight w:val="0"/>
      <w:marTop w:val="0"/>
      <w:marBottom w:val="0"/>
      <w:divBdr>
        <w:top w:val="none" w:sz="0" w:space="0" w:color="auto"/>
        <w:left w:val="none" w:sz="0" w:space="0" w:color="auto"/>
        <w:bottom w:val="none" w:sz="0" w:space="0" w:color="auto"/>
        <w:right w:val="none" w:sz="0" w:space="0" w:color="auto"/>
      </w:divBdr>
    </w:div>
    <w:div w:id="818349101">
      <w:bodyDiv w:val="1"/>
      <w:marLeft w:val="0"/>
      <w:marRight w:val="0"/>
      <w:marTop w:val="0"/>
      <w:marBottom w:val="0"/>
      <w:divBdr>
        <w:top w:val="none" w:sz="0" w:space="0" w:color="auto"/>
        <w:left w:val="none" w:sz="0" w:space="0" w:color="auto"/>
        <w:bottom w:val="none" w:sz="0" w:space="0" w:color="auto"/>
        <w:right w:val="none" w:sz="0" w:space="0" w:color="auto"/>
      </w:divBdr>
    </w:div>
    <w:div w:id="1105345912">
      <w:bodyDiv w:val="1"/>
      <w:marLeft w:val="0"/>
      <w:marRight w:val="0"/>
      <w:marTop w:val="0"/>
      <w:marBottom w:val="0"/>
      <w:divBdr>
        <w:top w:val="none" w:sz="0" w:space="0" w:color="auto"/>
        <w:left w:val="none" w:sz="0" w:space="0" w:color="auto"/>
        <w:bottom w:val="none" w:sz="0" w:space="0" w:color="auto"/>
        <w:right w:val="none" w:sz="0" w:space="0" w:color="auto"/>
      </w:divBdr>
    </w:div>
    <w:div w:id="1694186437">
      <w:bodyDiv w:val="1"/>
      <w:marLeft w:val="0"/>
      <w:marRight w:val="0"/>
      <w:marTop w:val="0"/>
      <w:marBottom w:val="0"/>
      <w:divBdr>
        <w:top w:val="none" w:sz="0" w:space="0" w:color="auto"/>
        <w:left w:val="none" w:sz="0" w:space="0" w:color="auto"/>
        <w:bottom w:val="none" w:sz="0" w:space="0" w:color="auto"/>
        <w:right w:val="none" w:sz="0" w:space="0" w:color="auto"/>
      </w:divBdr>
    </w:div>
    <w:div w:id="1695961383">
      <w:bodyDiv w:val="1"/>
      <w:marLeft w:val="0"/>
      <w:marRight w:val="0"/>
      <w:marTop w:val="0"/>
      <w:marBottom w:val="0"/>
      <w:divBdr>
        <w:top w:val="none" w:sz="0" w:space="0" w:color="auto"/>
        <w:left w:val="none" w:sz="0" w:space="0" w:color="auto"/>
        <w:bottom w:val="none" w:sz="0" w:space="0" w:color="auto"/>
        <w:right w:val="none" w:sz="0" w:space="0" w:color="auto"/>
      </w:divBdr>
    </w:div>
    <w:div w:id="1915504232">
      <w:bodyDiv w:val="1"/>
      <w:marLeft w:val="0"/>
      <w:marRight w:val="0"/>
      <w:marTop w:val="0"/>
      <w:marBottom w:val="0"/>
      <w:divBdr>
        <w:top w:val="none" w:sz="0" w:space="0" w:color="auto"/>
        <w:left w:val="none" w:sz="0" w:space="0" w:color="auto"/>
        <w:bottom w:val="none" w:sz="0" w:space="0" w:color="auto"/>
        <w:right w:val="none" w:sz="0" w:space="0" w:color="auto"/>
      </w:divBdr>
    </w:div>
    <w:div w:id="1942570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2139/ssrn.5064863" TargetMode="External"/><Relationship Id="rId21" Type="http://schemas.openxmlformats.org/officeDocument/2006/relationships/hyperlink" Target="https://financialmemos.com/tokenization-of-real-estate-a-case-study-of-the-st-regis-aspen-resort/" TargetMode="External"/><Relationship Id="rId42" Type="http://schemas.openxmlformats.org/officeDocument/2006/relationships/hyperlink" Target="https://doi.org/10.9734/ajrcos/2024/v17i12528" TargetMode="External"/><Relationship Id="rId47" Type="http://schemas.openxmlformats.org/officeDocument/2006/relationships/hyperlink" Target="https://doi.org/10.1109/ACCESS.2024.3384705" TargetMode="External"/><Relationship Id="rId63" Type="http://schemas.openxmlformats.org/officeDocument/2006/relationships/hyperlink" Target="https://doi.org/10.9734/jerr/2024/v26i91269" TargetMode="External"/><Relationship Id="rId68" Type="http://schemas.openxmlformats.org/officeDocument/2006/relationships/hyperlink" Target="https://doi.org/10.1109/csci62032.2023.00181" TargetMode="External"/><Relationship Id="rId84" Type="http://schemas.openxmlformats.org/officeDocument/2006/relationships/hyperlink" Target="https://doi.org/10.9734/acri/2024/v24i6794" TargetMode="External"/><Relationship Id="rId89" Type="http://schemas.openxmlformats.org/officeDocument/2006/relationships/hyperlink" Target="https://hmlandregistry.blog.gov.uk/2018/05/01/discovering-whats-possible-with-digital-street/" TargetMode="External"/><Relationship Id="rId16" Type="http://schemas.openxmlformats.org/officeDocument/2006/relationships/hyperlink" Target="https://doi.org/10.1109/access.2022.3216643" TargetMode="External"/><Relationship Id="rId107" Type="http://schemas.openxmlformats.org/officeDocument/2006/relationships/header" Target="header3.xml"/><Relationship Id="rId11" Type="http://schemas.openxmlformats.org/officeDocument/2006/relationships/image" Target="media/image5.png"/><Relationship Id="rId32" Type="http://schemas.openxmlformats.org/officeDocument/2006/relationships/hyperlink" Target="https://doi.org/10.9734/jerr/2024/v26i111311" TargetMode="External"/><Relationship Id="rId37" Type="http://schemas.openxmlformats.org/officeDocument/2006/relationships/hyperlink" Target="https://doi.org/10.2139/ssrn.5076802" TargetMode="External"/><Relationship Id="rId53" Type="http://schemas.openxmlformats.org/officeDocument/2006/relationships/hyperlink" Target="https://doi.org/10.1007/978-3-031-54318-0_14" TargetMode="External"/><Relationship Id="rId58" Type="http://schemas.openxmlformats.org/officeDocument/2006/relationships/hyperlink" Target="https://doi.org/10.1109/bcca62388.2024.10844458" TargetMode="External"/><Relationship Id="rId74" Type="http://schemas.openxmlformats.org/officeDocument/2006/relationships/hyperlink" Target="https://doi.org/10.1007/978-3-030-69255-1_9" TargetMode="External"/><Relationship Id="rId79" Type="http://schemas.openxmlformats.org/officeDocument/2006/relationships/hyperlink" Target="https://doi.org/10.1109/access.2025.3541649" TargetMode="External"/><Relationship Id="rId102" Type="http://schemas.openxmlformats.org/officeDocument/2006/relationships/hyperlink" Target="https://doi.org/10.3390/sym16101287" TargetMode="External"/><Relationship Id="rId5" Type="http://schemas.openxmlformats.org/officeDocument/2006/relationships/footnotes" Target="footnotes.xml"/><Relationship Id="rId90" Type="http://schemas.openxmlformats.org/officeDocument/2006/relationships/hyperlink" Target="https://doi.org/10.1007/978-3-031-47448-4_35" TargetMode="External"/><Relationship Id="rId95" Type="http://schemas.openxmlformats.org/officeDocument/2006/relationships/hyperlink" Target="https://doi.org/10.1155/2021/5530755" TargetMode="External"/><Relationship Id="rId22" Type="http://schemas.openxmlformats.org/officeDocument/2006/relationships/hyperlink" Target="https://doi.org/10.1109/access.2024.3447785" TargetMode="External"/><Relationship Id="rId27" Type="http://schemas.openxmlformats.org/officeDocument/2006/relationships/hyperlink" Target="https://doi.org/10.1007/978-3-031-49593-9_8" TargetMode="External"/><Relationship Id="rId43" Type="http://schemas.openxmlformats.org/officeDocument/2006/relationships/hyperlink" Target="https://doi.org/10.9734/ajrcos/2025/v18i1554" TargetMode="External"/><Relationship Id="rId48" Type="http://schemas.openxmlformats.org/officeDocument/2006/relationships/hyperlink" Target="https://doi.org/10.1109/ickecs61492.2024.10616743" TargetMode="External"/><Relationship Id="rId64" Type="http://schemas.openxmlformats.org/officeDocument/2006/relationships/hyperlink" Target="https://doi.org/10.9734/ajrcos/2024/v17i3424" TargetMode="External"/><Relationship Id="rId69" Type="http://schemas.openxmlformats.org/officeDocument/2006/relationships/hyperlink" Target="https://doi.org/10.9734/jerr/2025/v27i31416" TargetMode="External"/><Relationship Id="rId80" Type="http://schemas.openxmlformats.org/officeDocument/2006/relationships/hyperlink" Target="https://doi.org/10.3390/fi16090315" TargetMode="External"/><Relationship Id="rId85" Type="http://schemas.openxmlformats.org/officeDocument/2006/relationships/hyperlink" Target="https://doi.org/10.3390/digital2010005" TargetMode="External"/><Relationship Id="rId12" Type="http://schemas.openxmlformats.org/officeDocument/2006/relationships/image" Target="media/image6.png"/><Relationship Id="rId17" Type="http://schemas.openxmlformats.org/officeDocument/2006/relationships/hyperlink" Target="https://doi.org/10.9734/acri/2025/v25i21090" TargetMode="External"/><Relationship Id="rId33" Type="http://schemas.openxmlformats.org/officeDocument/2006/relationships/hyperlink" Target="https://mediaoffice.ae/en/news/2020/May/20-05/Dubai-Land" TargetMode="External"/><Relationship Id="rId38" Type="http://schemas.openxmlformats.org/officeDocument/2006/relationships/hyperlink" Target="https://papers.ssrn.com/sol3/papers.cfm?abstract_id=4949837" TargetMode="External"/><Relationship Id="rId59" Type="http://schemas.openxmlformats.org/officeDocument/2006/relationships/hyperlink" Target="https://doi.org/10.9734/ajrcos/2025/v18i2564" TargetMode="External"/><Relationship Id="rId103" Type="http://schemas.openxmlformats.org/officeDocument/2006/relationships/header" Target="header1.xml"/><Relationship Id="rId108" Type="http://schemas.openxmlformats.org/officeDocument/2006/relationships/footer" Target="footer3.xml"/><Relationship Id="rId54" Type="http://schemas.openxmlformats.org/officeDocument/2006/relationships/hyperlink" Target="https://doi.org/10.1108/ijlma-08-2023-0172" TargetMode="External"/><Relationship Id="rId70" Type="http://schemas.openxmlformats.org/officeDocument/2006/relationships/hyperlink" Target="https://doi.org/10.9734/ajrcos/2025/v18i3583" TargetMode="External"/><Relationship Id="rId75" Type="http://schemas.openxmlformats.org/officeDocument/2006/relationships/hyperlink" Target="https://doi.org/10.1109/icacite60783.2024.10616870" TargetMode="External"/><Relationship Id="rId91" Type="http://schemas.openxmlformats.org/officeDocument/2006/relationships/hyperlink" Target="https://doi.org/10.9734/ajrcos/2024/v17i11517" TargetMode="External"/><Relationship Id="rId96" Type="http://schemas.openxmlformats.org/officeDocument/2006/relationships/hyperlink" Target="https://doi.org/10.1109/comst.2023.332576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4018/979-8-3693-5330-1.ch003" TargetMode="External"/><Relationship Id="rId23" Type="http://schemas.openxmlformats.org/officeDocument/2006/relationships/hyperlink" Target="https://doi.org/10.9734/ajrcos/2025/v18i1555" TargetMode="External"/><Relationship Id="rId28" Type="http://schemas.openxmlformats.org/officeDocument/2006/relationships/hyperlink" Target="https://coadjute.com/blogs/press-release-strategic-investment/" TargetMode="External"/><Relationship Id="rId36" Type="http://schemas.openxmlformats.org/officeDocument/2006/relationships/hyperlink" Target="http://hdl.handle.net/2117/424269" TargetMode="External"/><Relationship Id="rId49" Type="http://schemas.openxmlformats.org/officeDocument/2006/relationships/hyperlink" Target="https://www.foxwilliams.com/2023/11/17/navigating-the-uk-cryptoasset-landscape-key-regulatory-cryptoasset-changes/" TargetMode="External"/><Relationship Id="rId57" Type="http://schemas.openxmlformats.org/officeDocument/2006/relationships/hyperlink" Target="https://doi.org/10.1016/j.marpol.2023.105724" TargetMode="External"/><Relationship Id="rId106" Type="http://schemas.openxmlformats.org/officeDocument/2006/relationships/footer" Target="footer2.xml"/><Relationship Id="rId10" Type="http://schemas.openxmlformats.org/officeDocument/2006/relationships/image" Target="media/image4.png"/><Relationship Id="rId31" Type="http://schemas.openxmlformats.org/officeDocument/2006/relationships/hyperlink" Target="https://doi.org/10.1016/j.tourman.2022.104628" TargetMode="External"/><Relationship Id="rId44" Type="http://schemas.openxmlformats.org/officeDocument/2006/relationships/hyperlink" Target="https://kluwerlawonline.com/journalarticle/European+Business+Law+Review/36.1/EULR2025004" TargetMode="External"/><Relationship Id="rId52" Type="http://schemas.openxmlformats.org/officeDocument/2006/relationships/hyperlink" Target="https://www.mlslegal.co.uk/single-post/legal-implications-of-blockchain-technology-in-the-uk" TargetMode="External"/><Relationship Id="rId60" Type="http://schemas.openxmlformats.org/officeDocument/2006/relationships/hyperlink" Target="https://doi.org/10.9734/jerr/2025/v27i21400" TargetMode="External"/><Relationship Id="rId65" Type="http://schemas.openxmlformats.org/officeDocument/2006/relationships/hyperlink" Target="https://doi.org/10.9734/ajeba/2024/v24i111577" TargetMode="External"/><Relationship Id="rId73" Type="http://schemas.openxmlformats.org/officeDocument/2006/relationships/hyperlink" Target="https://doi.org/10.1002/spy2.401" TargetMode="External"/><Relationship Id="rId78" Type="http://schemas.openxmlformats.org/officeDocument/2006/relationships/hyperlink" Target="https://doi.org/10.1109/icai55857.2022.9960058" TargetMode="External"/><Relationship Id="rId81" Type="http://schemas.openxmlformats.org/officeDocument/2006/relationships/hyperlink" Target="https://doi.org/10.9734/ajrcos/2024/v17i12530" TargetMode="External"/><Relationship Id="rId86" Type="http://schemas.openxmlformats.org/officeDocument/2006/relationships/hyperlink" Target="https://doi.org/10.1007/s12525-022-00536-0" TargetMode="External"/><Relationship Id="rId94" Type="http://schemas.openxmlformats.org/officeDocument/2006/relationships/hyperlink" Target="https://link.springer.com/article/10.1007/s42979-022-01020-4" TargetMode="External"/><Relationship Id="rId99" Type="http://schemas.openxmlformats.org/officeDocument/2006/relationships/hyperlink" Target="https://doi.org/10.3390/blockchains2020006" TargetMode="External"/><Relationship Id="rId101" Type="http://schemas.openxmlformats.org/officeDocument/2006/relationships/hyperlink" Target="https://doi.org/10.1016/j.jisa.2023.103678" TargetMode="Externa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hyperlink" Target="https://doi.org/10.9734/ajeba/2024/v24i111542" TargetMode="External"/><Relationship Id="rId39" Type="http://schemas.openxmlformats.org/officeDocument/2006/relationships/hyperlink" Target="https://doi.org/10.1007/978-3-031-48806-1_15" TargetMode="External"/><Relationship Id="rId109" Type="http://schemas.openxmlformats.org/officeDocument/2006/relationships/fontTable" Target="fontTable.xml"/><Relationship Id="rId34" Type="http://schemas.openxmlformats.org/officeDocument/2006/relationships/hyperlink" Target="https://www.computerweekly.com/news/450421958/Sweden-trials-blockchain-for-land-registry-management" TargetMode="External"/><Relationship Id="rId50" Type="http://schemas.openxmlformats.org/officeDocument/2006/relationships/hyperlink" Target="https://doi.org/10.9734/ajrcos/2024/v17i5442" TargetMode="External"/><Relationship Id="rId55" Type="http://schemas.openxmlformats.org/officeDocument/2006/relationships/hyperlink" Target="https://www.stlouisfed.org/publications/review/2023/02/03/tornado-cash-and-blockchain-privacy-a-primer-for-economists-and-policymakers" TargetMode="External"/><Relationship Id="rId76" Type="http://schemas.openxmlformats.org/officeDocument/2006/relationships/hyperlink" Target="https://www.bmrlj.com/index.php/Baltic/article/view/23" TargetMode="External"/><Relationship Id="rId97" Type="http://schemas.openxmlformats.org/officeDocument/2006/relationships/hyperlink" Target="https://doi.org/10.1007/s10796-023-10411-8" TargetMode="External"/><Relationship Id="rId104" Type="http://schemas.openxmlformats.org/officeDocument/2006/relationships/header" Target="header2.xml"/><Relationship Id="rId7" Type="http://schemas.openxmlformats.org/officeDocument/2006/relationships/image" Target="media/image1.png"/><Relationship Id="rId71" Type="http://schemas.openxmlformats.org/officeDocument/2006/relationships/hyperlink" Target="https://doi.org/10.9734/ajrcos/2025/v18i3586" TargetMode="External"/><Relationship Id="rId92" Type="http://schemas.openxmlformats.org/officeDocument/2006/relationships/hyperlink" Target="https://www.beauhurst.com/blog/the-state-of-blockchain-in-2024/" TargetMode="External"/><Relationship Id="rId2" Type="http://schemas.openxmlformats.org/officeDocument/2006/relationships/styles" Target="styles.xml"/><Relationship Id="rId29" Type="http://schemas.openxmlformats.org/officeDocument/2006/relationships/hyperlink" Target="https://consensys.io/blog/consensys-announces-codefi-blockchain-operating-system-for-commerce-and-finance" TargetMode="External"/><Relationship Id="rId24" Type="http://schemas.openxmlformats.org/officeDocument/2006/relationships/hyperlink" Target="https://doi.org/10.9734/jerr/2025/v27i31414" TargetMode="External"/><Relationship Id="rId40" Type="http://schemas.openxmlformats.org/officeDocument/2006/relationships/hyperlink" Target="https://doi.org/10.1109/blockchain62396.2024.00087" TargetMode="External"/><Relationship Id="rId45" Type="http://schemas.openxmlformats.org/officeDocument/2006/relationships/hyperlink" Target="https://doi.org/10.1016/j.jclepro.2023.136840" TargetMode="External"/><Relationship Id="rId66" Type="http://schemas.openxmlformats.org/officeDocument/2006/relationships/hyperlink" Target="https://doi.org/10.9734/ajeba/2024/v24i111572" TargetMode="External"/><Relationship Id="rId87" Type="http://schemas.openxmlformats.org/officeDocument/2006/relationships/hyperlink" Target="https://theluxuryplaybook.com/the-rise-of-proptech-in-the-uk-real-estate-market/" TargetMode="External"/><Relationship Id="rId110" Type="http://schemas.openxmlformats.org/officeDocument/2006/relationships/theme" Target="theme/theme1.xml"/><Relationship Id="rId61" Type="http://schemas.openxmlformats.org/officeDocument/2006/relationships/hyperlink" Target="https://doi.org/10.9734/jerr/2025/v27i21390" TargetMode="External"/><Relationship Id="rId82" Type="http://schemas.openxmlformats.org/officeDocument/2006/relationships/hyperlink" Target="https://doi.org/10.1109/iatmsi60426.2024.10502670" TargetMode="External"/><Relationship Id="rId19" Type="http://schemas.openxmlformats.org/officeDocument/2006/relationships/hyperlink" Target="https://doi.org/10.1108/SASBE-04-2024-0111" TargetMode="External"/><Relationship Id="rId14" Type="http://schemas.openxmlformats.org/officeDocument/2006/relationships/hyperlink" Target="https://doi.org/10.1016/j.rser.2024.114572" TargetMode="External"/><Relationship Id="rId30" Type="http://schemas.openxmlformats.org/officeDocument/2006/relationships/hyperlink" Target="https://doi.org/10.1007/s12652-021-03459-4" TargetMode="External"/><Relationship Id="rId35" Type="http://schemas.openxmlformats.org/officeDocument/2006/relationships/hyperlink" Target="https://doi.org/10.2139/ssrn.5036607" TargetMode="External"/><Relationship Id="rId56" Type="http://schemas.openxmlformats.org/officeDocument/2006/relationships/hyperlink" Target="https://www.nationalcrimeagency.gov.uk/what-we-do/crime-threats/money-laundering-and-illicit-finance" TargetMode="External"/><Relationship Id="rId77" Type="http://schemas.openxmlformats.org/officeDocument/2006/relationships/hyperlink" Target="https://doi.org/10.1007/978-3-030-85443-0_4" TargetMode="External"/><Relationship Id="rId100" Type="http://schemas.openxmlformats.org/officeDocument/2006/relationships/hyperlink" Target="https://doi.org/10.3390/foods12081600" TargetMode="External"/><Relationship Id="rId105"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hyperlink" Target="https://doi.org/10.1109/comst.2025.3543197" TargetMode="External"/><Relationship Id="rId72" Type="http://schemas.openxmlformats.org/officeDocument/2006/relationships/hyperlink" Target="https://doi.org/10.9734/jerr/2025/v27i21413" TargetMode="External"/><Relationship Id="rId93" Type="http://schemas.openxmlformats.org/officeDocument/2006/relationships/hyperlink" Target="https://kluwerlawonline.com/journalarticle/Journal+of+International+Arbitration/39.5/JOIA2022029" TargetMode="External"/><Relationship Id="rId98" Type="http://schemas.openxmlformats.org/officeDocument/2006/relationships/hyperlink" Target="https://doi.org/10.1016/j.sysarc.2023.102892" TargetMode="External"/><Relationship Id="rId3" Type="http://schemas.openxmlformats.org/officeDocument/2006/relationships/settings" Target="settings.xml"/><Relationship Id="rId25" Type="http://schemas.openxmlformats.org/officeDocument/2006/relationships/hyperlink" Target="https://doi.org/10.9734/jerr/2025/v27i21399" TargetMode="External"/><Relationship Id="rId46" Type="http://schemas.openxmlformats.org/officeDocument/2006/relationships/hyperlink" Target="https://doi.org/10.1109/access.2024.3509918" TargetMode="External"/><Relationship Id="rId67" Type="http://schemas.openxmlformats.org/officeDocument/2006/relationships/hyperlink" Target="https://doi.org/10.9734/ajarr/2024/v18i2601" TargetMode="External"/><Relationship Id="rId20" Type="http://schemas.openxmlformats.org/officeDocument/2006/relationships/hyperlink" Target="https://doi.org/10.1109/tem.2022.3158185" TargetMode="External"/><Relationship Id="rId41" Type="http://schemas.openxmlformats.org/officeDocument/2006/relationships/hyperlink" Target="https://doi.org/10.1109/i-smac61858.2024.10714853" TargetMode="External"/><Relationship Id="rId62" Type="http://schemas.openxmlformats.org/officeDocument/2006/relationships/hyperlink" Target="https://doi.org/10.9734/ajrcos/2025/v18i1557" TargetMode="External"/><Relationship Id="rId83" Type="http://schemas.openxmlformats.org/officeDocument/2006/relationships/hyperlink" Target="https://papers.ssrn.com/sol3/papers.cfm?abstract_id=4919180" TargetMode="External"/><Relationship Id="rId88" Type="http://schemas.openxmlformats.org/officeDocument/2006/relationships/hyperlink" Target="https://doi.org/10.1007/978-3-031-60997-8_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12141</Words>
  <Characters>69209</Characters>
  <Application>Microsoft Office Word</Application>
  <DocSecurity>4</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Oluwaseun Olaniyi</dc:creator>
  <cp:lastModifiedBy>Oluwaseun Olaniyi</cp:lastModifiedBy>
  <cp:revision>2</cp:revision>
  <dcterms:created xsi:type="dcterms:W3CDTF">2025-03-09T23:41:00Z</dcterms:created>
  <dcterms:modified xsi:type="dcterms:W3CDTF">2025-03-09T23:41:00Z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3c69661cc58dcb3b08d41c3262fce5a7fd9c5fe0a0e9b06f9018175cf1d23a51</vt:lpwstr>
  </property>
</Properties>
</file>