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7804A" w14:textId="77777777" w:rsidR="00333AFA" w:rsidRDefault="002233CD">
      <w:pPr>
        <w:pStyle w:val="ab"/>
        <w:spacing w:after="0"/>
        <w:jc w:val="both"/>
        <w:rPr>
          <w:rFonts w:ascii="Arial" w:eastAsia="宋体" w:hAnsi="Arial" w:cs="Arial"/>
          <w:lang w:eastAsia="zh-CN"/>
        </w:rPr>
      </w:pPr>
      <w:r>
        <w:rPr>
          <w:rFonts w:ascii="Arial" w:eastAsia="宋体" w:hAnsi="Arial" w:cs="Arial" w:hint="eastAsia"/>
          <w:lang w:eastAsia="zh-CN"/>
        </w:rPr>
        <w:t xml:space="preserve">     </w:t>
      </w:r>
    </w:p>
    <w:p w14:paraId="336155F9" w14:textId="587BEA08" w:rsidR="00333AFA" w:rsidRDefault="002233CD">
      <w:pPr>
        <w:pStyle w:val="Author"/>
        <w:spacing w:line="240" w:lineRule="auto"/>
        <w:jc w:val="both"/>
        <w:rPr>
          <w:rFonts w:ascii="Arial" w:hAnsi="Arial" w:cs="Arial"/>
          <w:bCs/>
          <w:iCs/>
          <w:kern w:val="28"/>
          <w:sz w:val="36"/>
        </w:rPr>
      </w:pPr>
      <w:r>
        <w:rPr>
          <w:rFonts w:ascii="Arial" w:hAnsi="Arial" w:cs="Arial" w:hint="eastAsia"/>
          <w:bCs/>
          <w:iCs/>
          <w:kern w:val="28"/>
          <w:sz w:val="36"/>
        </w:rPr>
        <w:t xml:space="preserve">Comparative </w:t>
      </w:r>
      <w:r w:rsidR="005F67A5">
        <w:rPr>
          <w:rFonts w:ascii="Arial" w:hAnsi="Arial" w:cs="Arial"/>
          <w:bCs/>
          <w:iCs/>
          <w:kern w:val="28"/>
          <w:sz w:val="36"/>
        </w:rPr>
        <w:t>S</w:t>
      </w:r>
      <w:r>
        <w:rPr>
          <w:rFonts w:ascii="Arial" w:hAnsi="Arial" w:cs="Arial" w:hint="eastAsia"/>
          <w:bCs/>
          <w:iCs/>
          <w:kern w:val="28"/>
          <w:sz w:val="36"/>
        </w:rPr>
        <w:t xml:space="preserve">tudy on </w:t>
      </w:r>
      <w:bookmarkStart w:id="0" w:name="_Hlk191648552"/>
      <w:r w:rsidR="005F67A5">
        <w:rPr>
          <w:rFonts w:ascii="Arial" w:hAnsi="Arial" w:cs="Arial"/>
          <w:bCs/>
          <w:iCs/>
          <w:kern w:val="28"/>
          <w:sz w:val="36"/>
        </w:rPr>
        <w:t>S</w:t>
      </w:r>
      <w:r>
        <w:rPr>
          <w:rFonts w:ascii="Arial" w:hAnsi="Arial" w:cs="Arial" w:hint="eastAsia"/>
          <w:bCs/>
          <w:iCs/>
          <w:kern w:val="28"/>
          <w:sz w:val="36"/>
        </w:rPr>
        <w:t xml:space="preserve">tatic </w:t>
      </w:r>
      <w:r w:rsidR="005F67A5">
        <w:rPr>
          <w:rFonts w:ascii="Arial" w:hAnsi="Arial" w:cs="Arial"/>
          <w:bCs/>
          <w:iCs/>
          <w:kern w:val="28"/>
          <w:sz w:val="36"/>
        </w:rPr>
        <w:t>V</w:t>
      </w:r>
      <w:r>
        <w:rPr>
          <w:rFonts w:ascii="Arial" w:hAnsi="Arial" w:cs="Arial" w:hint="eastAsia"/>
          <w:bCs/>
          <w:iCs/>
          <w:kern w:val="28"/>
          <w:sz w:val="36"/>
        </w:rPr>
        <w:t xml:space="preserve">oltage </w:t>
      </w:r>
      <w:r w:rsidR="005F67A5">
        <w:rPr>
          <w:rFonts w:ascii="Arial" w:hAnsi="Arial" w:cs="Arial"/>
          <w:bCs/>
          <w:iCs/>
          <w:kern w:val="28"/>
          <w:sz w:val="36"/>
        </w:rPr>
        <w:t>S</w:t>
      </w:r>
      <w:r>
        <w:rPr>
          <w:rFonts w:ascii="Arial" w:hAnsi="Arial" w:cs="Arial" w:hint="eastAsia"/>
          <w:bCs/>
          <w:iCs/>
          <w:kern w:val="28"/>
          <w:sz w:val="36"/>
        </w:rPr>
        <w:t xml:space="preserve">tability </w:t>
      </w:r>
      <w:r w:rsidR="005F67A5">
        <w:rPr>
          <w:rFonts w:ascii="Arial" w:hAnsi="Arial" w:cs="Arial"/>
          <w:bCs/>
          <w:iCs/>
          <w:kern w:val="28"/>
          <w:sz w:val="36"/>
        </w:rPr>
        <w:t>I</w:t>
      </w:r>
      <w:r>
        <w:rPr>
          <w:rFonts w:ascii="Arial" w:hAnsi="Arial" w:cs="Arial" w:hint="eastAsia"/>
          <w:bCs/>
          <w:iCs/>
          <w:kern w:val="28"/>
          <w:sz w:val="36"/>
        </w:rPr>
        <w:t>nd</w:t>
      </w:r>
      <w:r>
        <w:rPr>
          <w:rFonts w:ascii="Arial" w:hAnsi="Arial" w:cs="Arial"/>
          <w:bCs/>
          <w:iCs/>
          <w:kern w:val="28"/>
          <w:sz w:val="36"/>
        </w:rPr>
        <w:t xml:space="preserve">ices </w:t>
      </w:r>
      <w:r>
        <w:rPr>
          <w:rFonts w:ascii="Arial" w:hAnsi="Arial" w:cs="Arial" w:hint="eastAsia"/>
          <w:bCs/>
          <w:iCs/>
          <w:kern w:val="28"/>
          <w:sz w:val="36"/>
        </w:rPr>
        <w:t>of</w:t>
      </w:r>
      <w:r>
        <w:rPr>
          <w:rFonts w:ascii="Arial" w:hAnsi="Arial" w:cs="Arial"/>
          <w:bCs/>
          <w:iCs/>
          <w:kern w:val="28"/>
          <w:sz w:val="36"/>
        </w:rPr>
        <w:t xml:space="preserve"> </w:t>
      </w:r>
      <w:r w:rsidR="005F67A5">
        <w:rPr>
          <w:rFonts w:ascii="Arial" w:hAnsi="Arial" w:cs="Arial"/>
          <w:bCs/>
          <w:iCs/>
          <w:kern w:val="28"/>
          <w:sz w:val="36"/>
        </w:rPr>
        <w:t>N</w:t>
      </w:r>
      <w:r>
        <w:rPr>
          <w:rFonts w:ascii="Arial" w:hAnsi="Arial" w:cs="Arial" w:hint="eastAsia"/>
          <w:bCs/>
          <w:iCs/>
          <w:kern w:val="28"/>
          <w:sz w:val="36"/>
        </w:rPr>
        <w:t>ew</w:t>
      </w:r>
      <w:r>
        <w:rPr>
          <w:rFonts w:ascii="Arial" w:hAnsi="Arial" w:cs="Arial"/>
          <w:bCs/>
          <w:iCs/>
          <w:kern w:val="28"/>
          <w:sz w:val="36"/>
        </w:rPr>
        <w:t xml:space="preserve"> </w:t>
      </w:r>
      <w:r w:rsidR="005F67A5">
        <w:rPr>
          <w:rFonts w:ascii="Arial" w:hAnsi="Arial" w:cs="Arial"/>
          <w:bCs/>
          <w:iCs/>
          <w:kern w:val="28"/>
          <w:sz w:val="36"/>
        </w:rPr>
        <w:t>E</w:t>
      </w:r>
      <w:r>
        <w:rPr>
          <w:rFonts w:ascii="Arial" w:hAnsi="Arial" w:cs="Arial" w:hint="eastAsia"/>
          <w:bCs/>
          <w:iCs/>
          <w:kern w:val="28"/>
          <w:sz w:val="36"/>
        </w:rPr>
        <w:t xml:space="preserve">nergy </w:t>
      </w:r>
      <w:r w:rsidR="005F67A5">
        <w:rPr>
          <w:rFonts w:ascii="Arial" w:hAnsi="Arial" w:cs="Arial"/>
          <w:bCs/>
          <w:iCs/>
          <w:kern w:val="28"/>
          <w:sz w:val="36"/>
        </w:rPr>
        <w:t>P</w:t>
      </w:r>
      <w:r>
        <w:rPr>
          <w:rFonts w:ascii="Arial" w:hAnsi="Arial" w:cs="Arial" w:hint="eastAsia"/>
          <w:bCs/>
          <w:iCs/>
          <w:kern w:val="28"/>
          <w:sz w:val="36"/>
        </w:rPr>
        <w:t xml:space="preserve">ower </w:t>
      </w:r>
      <w:r w:rsidR="005F67A5">
        <w:rPr>
          <w:rFonts w:ascii="Arial" w:hAnsi="Arial" w:cs="Arial"/>
          <w:bCs/>
          <w:iCs/>
          <w:kern w:val="28"/>
          <w:sz w:val="36"/>
        </w:rPr>
        <w:t>S</w:t>
      </w:r>
      <w:r>
        <w:rPr>
          <w:rFonts w:ascii="Arial" w:hAnsi="Arial" w:cs="Arial" w:hint="eastAsia"/>
          <w:bCs/>
          <w:iCs/>
          <w:kern w:val="28"/>
          <w:sz w:val="36"/>
        </w:rPr>
        <w:t>tation</w:t>
      </w:r>
      <w:r>
        <w:rPr>
          <w:rFonts w:ascii="Arial" w:hAnsi="Arial" w:cs="Arial"/>
          <w:bCs/>
          <w:iCs/>
          <w:kern w:val="28"/>
          <w:sz w:val="36"/>
        </w:rPr>
        <w:t xml:space="preserve"> </w:t>
      </w:r>
      <w:r w:rsidR="005F67A5">
        <w:rPr>
          <w:rFonts w:ascii="Arial" w:hAnsi="Arial" w:cs="Arial"/>
          <w:bCs/>
          <w:iCs/>
          <w:kern w:val="28"/>
          <w:sz w:val="36"/>
        </w:rPr>
        <w:t>G</w:t>
      </w:r>
      <w:r>
        <w:rPr>
          <w:rFonts w:ascii="Arial" w:hAnsi="Arial" w:cs="Arial" w:hint="eastAsia"/>
          <w:bCs/>
          <w:iCs/>
          <w:kern w:val="28"/>
          <w:sz w:val="36"/>
        </w:rPr>
        <w:t>rid-</w:t>
      </w:r>
      <w:r w:rsidR="005F67A5">
        <w:rPr>
          <w:rFonts w:ascii="Arial" w:hAnsi="Arial" w:cs="Arial"/>
          <w:bCs/>
          <w:iCs/>
          <w:kern w:val="28"/>
          <w:sz w:val="36"/>
        </w:rPr>
        <w:t>C</w:t>
      </w:r>
      <w:r>
        <w:rPr>
          <w:rFonts w:ascii="Arial" w:hAnsi="Arial" w:cs="Arial" w:hint="eastAsia"/>
          <w:bCs/>
          <w:iCs/>
          <w:kern w:val="28"/>
          <w:sz w:val="36"/>
        </w:rPr>
        <w:t xml:space="preserve">onnected </w:t>
      </w:r>
      <w:r w:rsidR="005F67A5">
        <w:rPr>
          <w:rFonts w:ascii="Arial" w:hAnsi="Arial" w:cs="Arial"/>
          <w:bCs/>
          <w:iCs/>
          <w:kern w:val="28"/>
          <w:sz w:val="36"/>
        </w:rPr>
        <w:t>S</w:t>
      </w:r>
      <w:r>
        <w:rPr>
          <w:rFonts w:ascii="Arial" w:hAnsi="Arial" w:cs="Arial" w:hint="eastAsia"/>
          <w:bCs/>
          <w:iCs/>
          <w:kern w:val="28"/>
          <w:sz w:val="36"/>
        </w:rPr>
        <w:t>ystem</w:t>
      </w:r>
    </w:p>
    <w:bookmarkEnd w:id="0"/>
    <w:p w14:paraId="7CE17540" w14:textId="5286783F" w:rsidR="00F71103" w:rsidRDefault="00F71103">
      <w:pPr>
        <w:pStyle w:val="Affiliation"/>
        <w:spacing w:after="0" w:line="240" w:lineRule="auto"/>
        <w:rPr>
          <w:rFonts w:ascii="Arial" w:eastAsia="宋体" w:hAnsi="Arial" w:cs="Arial"/>
          <w:i/>
          <w:lang w:eastAsia="zh-CN"/>
        </w:rPr>
      </w:pPr>
    </w:p>
    <w:p w14:paraId="0BBFE008" w14:textId="77777777" w:rsidR="00656B2E" w:rsidRDefault="00656B2E">
      <w:pPr>
        <w:pStyle w:val="Affiliation"/>
        <w:spacing w:after="0" w:line="240" w:lineRule="auto"/>
        <w:rPr>
          <w:rFonts w:ascii="Arial" w:eastAsia="宋体" w:hAnsi="Arial" w:cs="Arial"/>
          <w:i/>
          <w:lang w:eastAsia="zh-CN"/>
        </w:rPr>
      </w:pPr>
    </w:p>
    <w:p w14:paraId="1D7BDED4" w14:textId="77777777" w:rsidR="00333AFA" w:rsidRDefault="00333AFA">
      <w:pPr>
        <w:pStyle w:val="Affiliation"/>
        <w:spacing w:after="0" w:line="240" w:lineRule="auto"/>
        <w:jc w:val="both"/>
        <w:rPr>
          <w:rFonts w:ascii="Arial" w:hAnsi="Arial" w:cs="Arial"/>
        </w:rPr>
      </w:pPr>
    </w:p>
    <w:p w14:paraId="342022EA" w14:textId="77777777" w:rsidR="00333AFA" w:rsidRDefault="004500EC">
      <w:pPr>
        <w:pStyle w:val="Copyright"/>
        <w:spacing w:after="0" w:line="240" w:lineRule="auto"/>
        <w:jc w:val="both"/>
        <w:rPr>
          <w:rFonts w:ascii="Arial" w:hAnsi="Arial" w:cs="Arial"/>
        </w:rPr>
        <w:sectPr w:rsidR="00333AFA" w:rsidSect="00656B2E">
          <w:headerReference w:type="even" r:id="rId9"/>
          <w:headerReference w:type="default" r:id="rId10"/>
          <w:headerReference w:type="first" r:id="rId11"/>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0A9AA3A">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2233CD">
        <w:rPr>
          <w:rFonts w:ascii="Arial" w:hAnsi="Arial" w:cs="Arial"/>
        </w:rPr>
        <w:t>.</w:t>
      </w:r>
    </w:p>
    <w:p w14:paraId="4FE831D0" w14:textId="77777777" w:rsidR="00333AFA" w:rsidRDefault="002233CD">
      <w:pPr>
        <w:pStyle w:val="AbstHead"/>
        <w:spacing w:after="0"/>
        <w:jc w:val="both"/>
        <w:rPr>
          <w:rFonts w:ascii="Arial" w:hAnsi="Arial" w:cs="Arial"/>
        </w:rPr>
      </w:pPr>
      <w:r>
        <w:rPr>
          <w:rFonts w:ascii="Arial" w:hAnsi="Arial" w:cs="Arial"/>
        </w:rPr>
        <w:t>ABSTRACT</w:t>
      </w:r>
    </w:p>
    <w:p w14:paraId="19CBEB5B" w14:textId="77777777" w:rsidR="00333AFA" w:rsidRDefault="00333A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333AFA" w14:paraId="00A38857" w14:textId="77777777">
        <w:tc>
          <w:tcPr>
            <w:tcW w:w="9576" w:type="dxa"/>
            <w:shd w:val="clear" w:color="auto" w:fill="F2F2F2"/>
          </w:tcPr>
          <w:p w14:paraId="3F10C006" w14:textId="45FCDB8F" w:rsidR="00333AFA" w:rsidRDefault="00C517AE">
            <w:pPr>
              <w:pStyle w:val="Body"/>
              <w:spacing w:after="0"/>
              <w:rPr>
                <w:rFonts w:ascii="Arial" w:eastAsia="Calibri" w:hAnsi="Arial" w:cs="Arial"/>
                <w:szCs w:val="22"/>
              </w:rPr>
            </w:pPr>
            <w:r w:rsidRPr="00C517AE">
              <w:rPr>
                <w:highlight w:val="yellow"/>
              </w:rPr>
              <w:t>Stability indices are crucial in power systems as they assess system stability under different operating conditions and help prevent voltage collapse and system instability.</w:t>
            </w:r>
            <w:r>
              <w:t xml:space="preserve"> </w:t>
            </w:r>
            <w:r w:rsidR="002233CD">
              <w:rPr>
                <w:rFonts w:ascii="Arial" w:eastAsia="Calibri" w:hAnsi="Arial" w:cs="Arial"/>
                <w:szCs w:val="22"/>
              </w:rPr>
              <w:t>As a key technical index, the voltage stability of new energy power station is directly related to the stable operation and safety of the whole power system. This paper primarily discusses the comparative study of static voltage stability indices for evaluating the integration of wind farms and photovoltaic power stations into the IEEE 14-bus system. The selected static voltage stability indices in this study include the load margin index, SVSMR (Static Voltage Stability Margin Ratio), and NVSI (New Voltage Stability Index) at the grid connection points of renewable energy stations. The paper uses PSAT to model the integration of wind farms and photovoltaic power stations into the IEEE 14-bus system, and evaluates and compares the static voltage stability indices applicable to renewable energy grid integration systems. Simulation results show that the above indices are effective in assessing the static voltage stability of renewable energy grid-connected systems.</w:t>
            </w:r>
          </w:p>
        </w:tc>
      </w:tr>
    </w:tbl>
    <w:p w14:paraId="1CB22323" w14:textId="77777777" w:rsidR="00333AFA" w:rsidRDefault="00333AFA">
      <w:pPr>
        <w:pStyle w:val="Body"/>
        <w:spacing w:after="0"/>
        <w:rPr>
          <w:rFonts w:ascii="Arial" w:hAnsi="Arial" w:cs="Arial"/>
          <w:i/>
        </w:rPr>
      </w:pPr>
    </w:p>
    <w:p w14:paraId="78FAABA9" w14:textId="77777777" w:rsidR="00333AFA" w:rsidRDefault="002233CD">
      <w:pPr>
        <w:pStyle w:val="Body"/>
        <w:spacing w:after="0"/>
        <w:rPr>
          <w:rFonts w:ascii="Arial" w:eastAsia="宋体" w:hAnsi="Arial" w:cs="Arial"/>
          <w:i/>
          <w:lang w:eastAsia="zh-CN"/>
        </w:rPr>
      </w:pPr>
      <w:r>
        <w:rPr>
          <w:rFonts w:ascii="Arial" w:hAnsi="Arial" w:cs="Arial"/>
          <w:i/>
        </w:rPr>
        <w:t xml:space="preserve">Keywords: </w:t>
      </w:r>
      <w:r>
        <w:rPr>
          <w:rFonts w:ascii="Arial" w:hAnsi="Arial" w:cs="Arial" w:hint="eastAsia"/>
          <w:i/>
        </w:rPr>
        <w:t>New energy power station</w:t>
      </w:r>
      <w:r>
        <w:rPr>
          <w:rFonts w:ascii="Arial" w:eastAsia="宋体" w:hAnsi="Arial" w:cs="Arial" w:hint="eastAsia"/>
          <w:i/>
          <w:lang w:eastAsia="zh-CN"/>
        </w:rPr>
        <w:t xml:space="preserve">, </w:t>
      </w:r>
      <w:r>
        <w:rPr>
          <w:rFonts w:ascii="Arial" w:hAnsi="Arial" w:cs="Arial" w:hint="eastAsia"/>
          <w:i/>
        </w:rPr>
        <w:t>Grid-connected system</w:t>
      </w:r>
      <w:r>
        <w:rPr>
          <w:rFonts w:ascii="Arial" w:eastAsia="宋体" w:hAnsi="Arial" w:cs="Arial" w:hint="eastAsia"/>
          <w:i/>
          <w:lang w:eastAsia="zh-CN"/>
        </w:rPr>
        <w:t>,</w:t>
      </w:r>
      <w:r>
        <w:rPr>
          <w:rFonts w:ascii="Arial" w:hAnsi="Arial" w:cs="Arial" w:hint="eastAsia"/>
          <w:i/>
        </w:rPr>
        <w:t xml:space="preserve"> Static voltage stability</w:t>
      </w:r>
      <w:r>
        <w:rPr>
          <w:rFonts w:ascii="Arial" w:eastAsia="宋体" w:hAnsi="Arial" w:cs="Arial" w:hint="eastAsia"/>
          <w:i/>
          <w:lang w:eastAsia="zh-CN"/>
        </w:rPr>
        <w:t>,</w:t>
      </w:r>
      <w:r>
        <w:rPr>
          <w:rFonts w:ascii="Arial" w:hAnsi="Arial" w:cs="Arial" w:hint="eastAsia"/>
          <w:i/>
        </w:rPr>
        <w:t xml:space="preserve"> Voltage stability index</w:t>
      </w:r>
      <w:r>
        <w:rPr>
          <w:rFonts w:ascii="Arial" w:eastAsia="宋体" w:hAnsi="Arial" w:cs="Arial" w:hint="eastAsia"/>
          <w:i/>
          <w:lang w:eastAsia="zh-CN"/>
        </w:rPr>
        <w:t>.</w:t>
      </w:r>
    </w:p>
    <w:p w14:paraId="439875B5" w14:textId="77777777" w:rsidR="00333AFA" w:rsidRDefault="00333AFA">
      <w:pPr>
        <w:pStyle w:val="Body"/>
        <w:spacing w:after="0"/>
        <w:rPr>
          <w:rFonts w:ascii="Arial" w:hAnsi="Arial" w:cs="Arial"/>
          <w:i/>
        </w:rPr>
      </w:pPr>
    </w:p>
    <w:p w14:paraId="4AE87400" w14:textId="77777777" w:rsidR="00333AFA" w:rsidRDefault="002233CD">
      <w:pPr>
        <w:pStyle w:val="AbstHead"/>
        <w:spacing w:after="0"/>
        <w:jc w:val="both"/>
        <w:rPr>
          <w:rFonts w:ascii="Arial" w:hAnsi="Arial" w:cs="Arial"/>
        </w:rPr>
      </w:pPr>
      <w:r>
        <w:rPr>
          <w:rFonts w:ascii="Arial" w:hAnsi="Arial" w:cs="Arial"/>
        </w:rPr>
        <w:t xml:space="preserve">1. INTRODUCTION </w:t>
      </w:r>
    </w:p>
    <w:p w14:paraId="52B6F645" w14:textId="77777777" w:rsidR="00333AFA" w:rsidRDefault="00333AFA">
      <w:pPr>
        <w:pStyle w:val="AbstHead"/>
        <w:spacing w:after="0"/>
        <w:jc w:val="both"/>
        <w:rPr>
          <w:rFonts w:ascii="Arial" w:hAnsi="Arial" w:cs="Arial"/>
        </w:rPr>
      </w:pPr>
    </w:p>
    <w:p w14:paraId="50129FD7" w14:textId="160F72B3" w:rsidR="00333AFA" w:rsidRDefault="002233CD">
      <w:pPr>
        <w:pStyle w:val="Body"/>
        <w:spacing w:after="0"/>
        <w:rPr>
          <w:rFonts w:ascii="Arial" w:hAnsi="Arial" w:cs="Arial"/>
        </w:rPr>
      </w:pPr>
      <w:r>
        <w:rPr>
          <w:rFonts w:ascii="Arial" w:hAnsi="Arial" w:cs="Arial" w:hint="eastAsia"/>
        </w:rPr>
        <w:t>In recent years, with the transformation of the global energy structure, new energy power stations have achieved rapid development in the past few decades</w:t>
      </w:r>
      <w:r>
        <w:rPr>
          <w:rFonts w:ascii="Arial" w:hAnsi="Arial" w:cs="Arial"/>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_Ref191465533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w:t>
      </w:r>
      <w:r w:rsidRPr="0007619C">
        <w:rPr>
          <w:rFonts w:ascii="Arial" w:hAnsi="Arial" w:cs="Arial"/>
          <w:color w:val="000000" w:themeColor="text1"/>
        </w:rPr>
        <w:fldChar w:fldCharType="end"/>
      </w:r>
      <w:r w:rsidRPr="0007619C">
        <w:rPr>
          <w:rFonts w:ascii="Arial" w:hAnsi="Arial" w:cs="Arial" w:hint="eastAsia"/>
          <w:color w:val="000000" w:themeColor="text1"/>
        </w:rPr>
        <w:t>–</w:t>
      </w:r>
      <w:r w:rsidRPr="0007619C">
        <w:rPr>
          <w:rFonts w:ascii="Arial" w:hAnsi="Arial" w:cs="Arial"/>
          <w:color w:val="000000" w:themeColor="text1"/>
        </w:rPr>
        <w:fldChar w:fldCharType="begin"/>
      </w:r>
      <w:r w:rsidRPr="0007619C">
        <w:rPr>
          <w:rFonts w:ascii="Arial" w:hAnsi="Arial" w:cs="Arial"/>
          <w:color w:val="000000" w:themeColor="text1"/>
        </w:rPr>
        <w:instrText xml:space="preserve"> </w:instrText>
      </w:r>
      <w:r w:rsidRPr="0007619C">
        <w:rPr>
          <w:rFonts w:ascii="Arial" w:hAnsi="Arial" w:cs="Arial" w:hint="eastAsia"/>
          <w:color w:val="000000" w:themeColor="text1"/>
        </w:rPr>
        <w:instrText>REF _Ref191476427 \r \h</w:instrText>
      </w:r>
      <w:r w:rsidRPr="0007619C">
        <w:rPr>
          <w:rFonts w:ascii="Arial" w:hAnsi="Arial" w:cs="Arial"/>
          <w:color w:val="000000" w:themeColor="text1"/>
        </w:rPr>
        <w:instrText xml:space="preserve">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3]</w:t>
      </w:r>
      <w:r w:rsidRPr="0007619C">
        <w:rPr>
          <w:rFonts w:ascii="Arial" w:hAnsi="Arial" w:cs="Arial"/>
          <w:color w:val="000000" w:themeColor="text1"/>
        </w:rPr>
        <w:fldChar w:fldCharType="end"/>
      </w:r>
      <w:r>
        <w:rPr>
          <w:rFonts w:ascii="Arial" w:hAnsi="Arial" w:cs="Arial" w:hint="eastAsia"/>
        </w:rPr>
        <w:t>.</w:t>
      </w:r>
      <w:r>
        <w:rPr>
          <w:rFonts w:ascii="Arial" w:hAnsi="Arial" w:cs="Arial"/>
        </w:rPr>
        <w:t xml:space="preserve"> </w:t>
      </w:r>
      <w:r>
        <w:rPr>
          <w:rFonts w:ascii="Arial" w:hAnsi="Arial" w:cs="Arial" w:hint="eastAsia"/>
        </w:rPr>
        <w:t>Wind and solar power, in particular, are seen as green, clean energy solutions that are favored by governments and investors</w:t>
      </w:r>
      <w:r>
        <w:rPr>
          <w:rFonts w:ascii="Arial" w:hAnsi="Arial" w:cs="Arial"/>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w:instrText>
      </w:r>
      <w:r w:rsidRPr="0007619C">
        <w:rPr>
          <w:rFonts w:ascii="Arial" w:hAnsi="Arial" w:cs="Arial" w:hint="eastAsia"/>
          <w:color w:val="000000" w:themeColor="text1"/>
        </w:rPr>
        <w:instrText>REF _Ref191476788 \r \h</w:instrText>
      </w:r>
      <w:r w:rsidRPr="0007619C">
        <w:rPr>
          <w:rFonts w:ascii="Arial" w:hAnsi="Arial" w:cs="Arial"/>
          <w:color w:val="000000" w:themeColor="text1"/>
        </w:rPr>
        <w:instrText xml:space="preserve">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[4,</w:t>
      </w:r>
      <w:r w:rsidRPr="0007619C">
        <w:rPr>
          <w:rFonts w:ascii="Arial" w:hAnsi="Arial" w:cs="Arial"/>
          <w:color w:val="000000" w:themeColor="text1"/>
        </w:rPr>
        <w:fldChar w:fldCharType="end"/>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_Ref191476789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5]</w:t>
      </w:r>
      <w:r w:rsidRPr="0007619C">
        <w:rPr>
          <w:rFonts w:ascii="Arial" w:hAnsi="Arial" w:cs="Arial"/>
          <w:color w:val="000000" w:themeColor="text1"/>
        </w:rPr>
        <w:fldChar w:fldCharType="end"/>
      </w:r>
      <w:r>
        <w:rPr>
          <w:rFonts w:ascii="Arial" w:hAnsi="Arial" w:cs="Arial" w:hint="eastAsia"/>
        </w:rPr>
        <w:t>.</w:t>
      </w:r>
      <w:r>
        <w:rPr>
          <w:rFonts w:ascii="Arial" w:eastAsia="宋体" w:hAnsi="Arial" w:cs="Arial"/>
          <w:lang w:eastAsia="zh-CN"/>
        </w:rPr>
        <w:t xml:space="preserve"> </w:t>
      </w:r>
      <w:r>
        <w:rPr>
          <w:rFonts w:ascii="Arial" w:hAnsi="Arial" w:cs="Arial" w:hint="eastAsia"/>
        </w:rPr>
        <w:t>However, with the continuous expansion of the scale of new energy power stations, their impact on the static voltage stability of the grid system has become increasingly prominent.</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 gradual increase of the workload, the system voltage gradually drops to a certain critical value, and a sharp drop in voltage will bring the risk of voltage collapse. Therefore, the prevention of voltage collapse accident has become a problem of great concern to the dispatcher.</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gap between the current operating state of the power system and the voltage breakdown threshold, as well as the operating stability margin and load increase capacity of the system are critical, and therefore need to be evaluated with the help of specific voltage stability indic</w:t>
      </w:r>
      <w:r>
        <w:rPr>
          <w:rFonts w:ascii="Arial" w:hAnsi="Arial" w:cs="Arial"/>
        </w:rPr>
        <w:t>e</w:t>
      </w:r>
      <w:r>
        <w:rPr>
          <w:rFonts w:ascii="Arial" w:hAnsi="Arial" w:cs="Arial" w:hint="eastAsia"/>
        </w:rPr>
        <w:t>s</w:t>
      </w:r>
      <w:r>
        <w:rPr>
          <w:rFonts w:ascii="Arial" w:hAnsi="Arial" w:cs="Arial"/>
          <w:color w:val="0070C0"/>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_Ref191476839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[6]</w:t>
      </w:r>
      <w:r w:rsidRPr="0007619C">
        <w:rPr>
          <w:rFonts w:ascii="Arial" w:hAnsi="Arial" w:cs="Arial"/>
          <w:color w:val="000000" w:themeColor="text1"/>
        </w:rPr>
        <w:fldChar w:fldCharType="end"/>
      </w:r>
      <w:r>
        <w:rPr>
          <w:rFonts w:ascii="Arial" w:hAnsi="Arial" w:cs="Arial" w:hint="eastAsia"/>
        </w:rPr>
        <w:t xml:space="preserve">. </w:t>
      </w:r>
      <w:r w:rsidR="00C517AE" w:rsidRPr="00C517AE">
        <w:rPr>
          <w:highlight w:val="yellow"/>
        </w:rPr>
        <w:t>Stability indices are crucial in power systems as they help optimize grid planning and operation, improve the rationality of voltage control and reactive power compensation, and enhance the system's resistance to disturbances, thereby ensuring the safety and reliability of the power system.</w:t>
      </w:r>
      <w:r w:rsidR="00C517AE">
        <w:t xml:space="preserve"> </w:t>
      </w:r>
      <w:r>
        <w:rPr>
          <w:rFonts w:ascii="Arial" w:hAnsi="Arial" w:cs="Arial" w:hint="eastAsia"/>
        </w:rPr>
        <w:t>At present, various margin indic</w:t>
      </w:r>
      <w:r>
        <w:rPr>
          <w:rFonts w:ascii="Arial" w:hAnsi="Arial" w:cs="Arial"/>
        </w:rPr>
        <w:t>e</w:t>
      </w:r>
      <w:r>
        <w:rPr>
          <w:rFonts w:ascii="Arial" w:hAnsi="Arial" w:cs="Arial" w:hint="eastAsia"/>
        </w:rPr>
        <w:t>s that describe the working condition of the power system include load margin index, SVSMR index, NVSI index of new energy power station junction point, etc. This paper focuses on analyzing and comparing these three indic</w:t>
      </w:r>
      <w:r>
        <w:rPr>
          <w:rFonts w:ascii="Arial" w:hAnsi="Arial" w:cs="Arial"/>
        </w:rPr>
        <w:t>e</w:t>
      </w:r>
      <w:r>
        <w:rPr>
          <w:rFonts w:ascii="Arial" w:hAnsi="Arial" w:cs="Arial" w:hint="eastAsia"/>
        </w:rPr>
        <w:t xml:space="preserve">s. </w:t>
      </w:r>
    </w:p>
    <w:p w14:paraId="758ACEB9" w14:textId="77777777" w:rsidR="00333AFA" w:rsidRDefault="00333AFA">
      <w:pPr>
        <w:pStyle w:val="Body"/>
        <w:spacing w:after="0"/>
        <w:rPr>
          <w:rFonts w:ascii="Arial" w:hAnsi="Arial" w:cs="Arial"/>
        </w:rPr>
      </w:pPr>
    </w:p>
    <w:p w14:paraId="69298451" w14:textId="77777777" w:rsidR="00333AFA" w:rsidRDefault="002233CD">
      <w:pPr>
        <w:pStyle w:val="AbstHead"/>
        <w:numPr>
          <w:ilvl w:val="0"/>
          <w:numId w:val="2"/>
        </w:numPr>
        <w:spacing w:after="0"/>
        <w:jc w:val="both"/>
        <w:rPr>
          <w:rFonts w:ascii="Arial" w:hAnsi="Arial" w:cs="Arial"/>
        </w:rPr>
      </w:pPr>
      <w:r>
        <w:rPr>
          <w:rFonts w:ascii="Arial" w:hAnsi="Arial" w:cs="Arial"/>
        </w:rPr>
        <w:lastRenderedPageBreak/>
        <w:t xml:space="preserve">Static voltage Stability indices of </w:t>
      </w:r>
      <w:bookmarkStart w:id="1" w:name="_Hlk191648786"/>
      <w:r>
        <w:rPr>
          <w:rFonts w:ascii="Arial" w:hAnsi="Arial" w:cs="Arial"/>
        </w:rPr>
        <w:t>new energy power station grid-connected system</w:t>
      </w:r>
      <w:bookmarkEnd w:id="1"/>
    </w:p>
    <w:p w14:paraId="78C61407" w14:textId="77777777" w:rsidR="00333AFA" w:rsidRDefault="00333AFA">
      <w:pPr>
        <w:pStyle w:val="AbstHead"/>
        <w:spacing w:after="0"/>
        <w:jc w:val="both"/>
        <w:rPr>
          <w:rFonts w:ascii="Arial" w:hAnsi="Arial" w:cs="Arial"/>
        </w:rPr>
      </w:pPr>
    </w:p>
    <w:p w14:paraId="61FB535E" w14:textId="77777777" w:rsidR="00333AFA" w:rsidRDefault="002233CD">
      <w:pPr>
        <w:pStyle w:val="Body"/>
        <w:spacing w:after="0"/>
        <w:rPr>
          <w:rFonts w:ascii="Arial" w:hAnsi="Arial" w:cs="Arial"/>
        </w:rPr>
      </w:pPr>
      <w:r>
        <w:rPr>
          <w:rFonts w:ascii="Arial" w:hAnsi="Arial" w:cs="Arial"/>
        </w:rPr>
        <w:t>The grid status indices include eigenvalue indices, singular value indices, impedance value indices, and sensitivity indices, which can effectively reflect the current operating condition of the grid</w:t>
      </w:r>
      <w:r w:rsidRPr="0007619C">
        <w:rPr>
          <w:rFonts w:ascii="Arial" w:hAnsi="Arial" w:cs="Arial"/>
          <w:color w:val="000000" w:themeColor="text1"/>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_Ref191474790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[7]</w:t>
      </w:r>
      <w:r w:rsidRPr="0007619C">
        <w:rPr>
          <w:rFonts w:ascii="Arial" w:hAnsi="Arial" w:cs="Arial"/>
          <w:color w:val="000000" w:themeColor="text1"/>
        </w:rPr>
        <w:fldChar w:fldCharType="end"/>
      </w:r>
      <w:r>
        <w:rPr>
          <w:rFonts w:ascii="Arial" w:hAnsi="Arial" w:cs="Arial"/>
        </w:rPr>
        <w:t>. Various margin indices describing the current operating condition of the power system include load margin indices, SVSMR (Static Voltage Stability Margin Ratio) indices, and the NVSI (New Energy Station Network Voltage Stability Index) for grid connection points of renewable energy power stations. This paper focuses on three indices, namely load margin, SVSMR and NVSI.</w:t>
      </w:r>
    </w:p>
    <w:p w14:paraId="01BA1CB0" w14:textId="77777777" w:rsidR="00333AFA" w:rsidRDefault="00333AFA">
      <w:pPr>
        <w:pStyle w:val="Body"/>
        <w:spacing w:after="0"/>
        <w:rPr>
          <w:rFonts w:ascii="Arial" w:hAnsi="Arial" w:cs="Arial"/>
        </w:rPr>
      </w:pPr>
    </w:p>
    <w:p w14:paraId="5BEB2FC0" w14:textId="77777777" w:rsidR="00333AFA" w:rsidRDefault="002233CD">
      <w:pPr>
        <w:pStyle w:val="Body"/>
        <w:numPr>
          <w:ilvl w:val="1"/>
          <w:numId w:val="2"/>
        </w:numPr>
        <w:spacing w:after="0"/>
        <w:rPr>
          <w:rFonts w:ascii="Arial" w:hAnsi="Arial" w:cs="Arial"/>
          <w:b/>
          <w:sz w:val="22"/>
        </w:rPr>
      </w:pPr>
      <w:r>
        <w:rPr>
          <w:rFonts w:ascii="Arial" w:hAnsi="Arial" w:cs="Arial" w:hint="eastAsia"/>
          <w:b/>
          <w:sz w:val="22"/>
        </w:rPr>
        <w:t xml:space="preserve">Load </w:t>
      </w:r>
      <w:r>
        <w:rPr>
          <w:rFonts w:ascii="Arial" w:eastAsia="宋体" w:hAnsi="Arial" w:cs="Arial" w:hint="eastAsia"/>
          <w:b/>
          <w:sz w:val="22"/>
          <w:lang w:eastAsia="zh-CN"/>
        </w:rPr>
        <w:t>M</w:t>
      </w:r>
      <w:r>
        <w:rPr>
          <w:rFonts w:ascii="Arial" w:hAnsi="Arial" w:cs="Arial" w:hint="eastAsia"/>
          <w:b/>
          <w:sz w:val="22"/>
        </w:rPr>
        <w:t xml:space="preserve">argin </w:t>
      </w:r>
      <w:r>
        <w:rPr>
          <w:rFonts w:ascii="Arial" w:eastAsia="宋体" w:hAnsi="Arial" w:cs="Arial" w:hint="eastAsia"/>
          <w:b/>
          <w:sz w:val="22"/>
          <w:lang w:eastAsia="zh-CN"/>
        </w:rPr>
        <w:t>I</w:t>
      </w:r>
      <w:r>
        <w:rPr>
          <w:rFonts w:ascii="Arial" w:hAnsi="Arial" w:cs="Arial" w:hint="eastAsia"/>
          <w:b/>
          <w:sz w:val="22"/>
        </w:rPr>
        <w:t>ndex</w:t>
      </w:r>
      <w:r>
        <w:rPr>
          <w:rFonts w:ascii="Arial" w:hAnsi="Arial" w:cs="Arial"/>
          <w:b/>
          <w:sz w:val="22"/>
        </w:rPr>
        <w:t xml:space="preserve"> </w:t>
      </w:r>
    </w:p>
    <w:p w14:paraId="6893D235" w14:textId="77777777" w:rsidR="00333AFA" w:rsidRDefault="002233CD">
      <w:pPr>
        <w:pStyle w:val="Body"/>
        <w:spacing w:after="0"/>
        <w:rPr>
          <w:rFonts w:ascii="Arial" w:hAnsi="Arial" w:cs="Arial"/>
        </w:rPr>
      </w:pPr>
      <w:r>
        <w:rPr>
          <w:rFonts w:ascii="Arial" w:hAnsi="Arial" w:cs="Arial"/>
        </w:rPr>
        <w:t xml:space="preserve">  </w:t>
      </w:r>
    </w:p>
    <w:p w14:paraId="09F43CF5" w14:textId="77777777" w:rsidR="00333AFA" w:rsidRDefault="002233CD">
      <w:pPr>
        <w:pStyle w:val="Body"/>
        <w:spacing w:after="0"/>
        <w:rPr>
          <w:rFonts w:ascii="Arial" w:hAnsi="Arial" w:cs="Arial"/>
        </w:rPr>
      </w:pPr>
      <w:r>
        <w:rPr>
          <w:rFonts w:ascii="Arial" w:hAnsi="Arial" w:cs="Arial"/>
        </w:rPr>
        <w:t xml:space="preserve">Load margin refers to the change in load from the current operating state of the system to the critical voltage point. It functions as a "health index" for the power system. The higher the load margin, the more capable the system is of handling unexpected situations, such as a sudden increase in electricity demand. Conversely, the lower the load margin, the poorer the voltage stability becomes. When the load margin falls below zero, the system experiences voltage instability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_Ref191476870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[8]</w:t>
      </w:r>
      <w:r w:rsidRPr="0007619C">
        <w:rPr>
          <w:rFonts w:ascii="Arial" w:hAnsi="Arial" w:cs="Arial"/>
          <w:color w:val="000000" w:themeColor="text1"/>
        </w:rPr>
        <w:fldChar w:fldCharType="end"/>
      </w:r>
      <w:r>
        <w:rPr>
          <w:rFonts w:ascii="Arial" w:hAnsi="Arial" w:cs="Arial"/>
        </w:rPr>
        <w:t xml:space="preserve">. It measures the "buffer" between the power system's ability to carry load during a specific period and the actual load, making it one of the most fundamental indicators in static voltage stability analysis of power systems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_Ref191476895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[9–11]</w:t>
      </w:r>
      <w:r w:rsidRPr="0007619C">
        <w:rPr>
          <w:rFonts w:ascii="Arial" w:hAnsi="Arial" w:cs="Arial"/>
          <w:color w:val="000000" w:themeColor="text1"/>
        </w:rPr>
        <w:fldChar w:fldCharType="end"/>
      </w:r>
      <w:r>
        <w:rPr>
          <w:rFonts w:ascii="Arial" w:hAnsi="Arial" w:cs="Arial"/>
        </w:rPr>
        <w:t>.</w:t>
      </w:r>
    </w:p>
    <w:p w14:paraId="79D34696" w14:textId="77777777" w:rsidR="00333AFA" w:rsidRDefault="002233CD">
      <w:pPr>
        <w:pStyle w:val="Body"/>
        <w:spacing w:after="0"/>
        <w:rPr>
          <w:rFonts w:ascii="Arial" w:hAnsi="Arial" w:cs="Arial"/>
        </w:rPr>
      </w:pPr>
      <w:r>
        <w:rPr>
          <w:rFonts w:ascii="Arial" w:hAnsi="Arial" w:cs="Arial"/>
        </w:rPr>
        <w:t xml:space="preserve">The load margin index equation is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_Ref191641337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[12]</w:t>
      </w:r>
      <w:r w:rsidRPr="0007619C">
        <w:rPr>
          <w:rFonts w:ascii="Arial" w:hAnsi="Arial" w:cs="Arial"/>
          <w:color w:val="000000" w:themeColor="text1"/>
        </w:rPr>
        <w:fldChar w:fldCharType="end"/>
      </w:r>
    </w:p>
    <w:p w14:paraId="3947E28D" w14:textId="77777777" w:rsidR="00333AFA" w:rsidRDefault="002233CD">
      <w:pPr>
        <w:pStyle w:val="Body"/>
        <w:tabs>
          <w:tab w:val="center" w:pos="4100"/>
        </w:tabs>
        <w:spacing w:after="0"/>
        <w:ind w:rightChars="-148" w:right="-296"/>
        <w:jc w:val="center"/>
        <w:rPr>
          <w:rFonts w:ascii="Arial" w:hAnsi="Arial" w:cs="Arial"/>
        </w:rPr>
      </w:pPr>
      <w:r>
        <w:tab/>
      </w:r>
      <w:r>
        <w:rPr>
          <w:rFonts w:ascii="Arial" w:hAnsi="Arial" w:cs="Arial"/>
          <w:position w:val="-30"/>
        </w:rPr>
        <w:object w:dxaOrig="1165" w:dyaOrig="601" w14:anchorId="47F44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5pt;height:30.05pt" o:ole="">
            <v:imagedata r:id="rId12" o:title=""/>
          </v:shape>
          <o:OLEObject Type="Embed" ProgID="Equation.DSMT4" ShapeID="_x0000_i1026" DrawAspect="Content" ObjectID="_1802887127" r:id="rId13"/>
        </w:object>
      </w:r>
      <w:r>
        <w:tab/>
      </w:r>
      <w:r>
        <w:tab/>
      </w:r>
      <w:r>
        <w:tab/>
      </w:r>
      <w:r>
        <w:tab/>
      </w:r>
      <w:r>
        <w:tab/>
      </w:r>
      <w:r>
        <w:tab/>
      </w:r>
      <w:r>
        <w:tab/>
      </w:r>
      <w:r>
        <w:tab/>
      </w:r>
      <w:r>
        <w:tab/>
        <w:t>(1)</w:t>
      </w:r>
    </w:p>
    <w:p w14:paraId="15CB1105" w14:textId="5C471723" w:rsidR="00333AFA" w:rsidRDefault="002233CD">
      <w:pPr>
        <w:pStyle w:val="Body"/>
        <w:spacing w:after="0"/>
        <w:rPr>
          <w:rFonts w:ascii="Arial" w:eastAsia="宋体" w:hAnsi="Arial" w:cs="Arial"/>
          <w:lang w:eastAsia="zh-CN"/>
        </w:rPr>
      </w:pPr>
      <w:r>
        <w:rPr>
          <w:rFonts w:ascii="Arial" w:hAnsi="Arial" w:cs="Arial"/>
        </w:rPr>
        <w:t xml:space="preserve">The PSAT software can be used to perform Continuous Power Flow (CPF) calculations, which uses the </w:t>
      </w:r>
      <w:r>
        <w:rPr>
          <w:rFonts w:ascii="Arial" w:hAnsi="Arial" w:cs="Arial"/>
          <w:i/>
          <w:iCs/>
        </w:rPr>
        <w:t>λ</w:t>
      </w:r>
      <w:r>
        <w:rPr>
          <w:rFonts w:ascii="Arial" w:eastAsia="黑体" w:hAnsi="Arial" w:cs="Arial"/>
          <w:b/>
          <w:bCs/>
          <w:i/>
          <w:iCs/>
          <w:lang w:eastAsia="zh-CN"/>
        </w:rPr>
        <w:t>-</w:t>
      </w:r>
      <w:r>
        <w:rPr>
          <w:rFonts w:ascii="Arial" w:eastAsia="黑体" w:hAnsi="Arial" w:cs="Arial"/>
          <w:i/>
          <w:iCs/>
          <w:lang w:eastAsia="zh-CN"/>
        </w:rPr>
        <w:t>V</w:t>
      </w:r>
      <w:r>
        <w:rPr>
          <w:rFonts w:ascii="Arial" w:hAnsi="Arial" w:cs="Arial"/>
          <w:i/>
          <w:iCs/>
        </w:rPr>
        <w:t xml:space="preserve"> </w:t>
      </w:r>
      <w:r>
        <w:rPr>
          <w:rFonts w:ascii="Arial" w:hAnsi="Arial" w:cs="Arial"/>
        </w:rPr>
        <w:t>curve, as shown in Fig.</w:t>
      </w:r>
      <w:r>
        <w:rPr>
          <w:rFonts w:ascii="Arial" w:eastAsia="宋体" w:hAnsi="Arial" w:cs="Arial" w:hint="eastAsia"/>
          <w:lang w:eastAsia="zh-CN"/>
        </w:rPr>
        <w:t>1</w:t>
      </w:r>
      <w:r>
        <w:rPr>
          <w:rFonts w:ascii="Arial" w:hAnsi="Arial" w:cs="Arial"/>
        </w:rPr>
        <w:t>.</w:t>
      </w:r>
      <w:r>
        <w:rPr>
          <w:rFonts w:ascii="Arial" w:eastAsia="宋体" w:hAnsi="Arial" w:cs="Arial" w:hint="eastAsia"/>
          <w:lang w:eastAsia="zh-CN"/>
        </w:rPr>
        <w:t xml:space="preserve"> </w:t>
      </w:r>
      <w:r w:rsidR="008726CB" w:rsidRPr="008726CB">
        <w:rPr>
          <w:highlight w:val="yellow"/>
        </w:rPr>
        <w:t>Its horizontal axis represents the loading factor, and the vertical axis represents the node voltage.</w:t>
      </w:r>
      <w:r w:rsidR="008726CB">
        <w:t xml:space="preserve"> </w:t>
      </w:r>
    </w:p>
    <w:p w14:paraId="2A589F78" w14:textId="77777777" w:rsidR="00333AFA" w:rsidRDefault="002233CD">
      <w:pPr>
        <w:autoSpaceDE w:val="0"/>
        <w:autoSpaceDN w:val="0"/>
        <w:adjustRightInd w:val="0"/>
        <w:jc w:val="center"/>
        <w:rPr>
          <w:rFonts w:ascii="Times New Roman" w:hAnsi="Times New Roman"/>
        </w:rPr>
      </w:pPr>
      <w:r>
        <w:rPr>
          <w:rFonts w:ascii="Times New Roman" w:hAnsi="Times New Roman"/>
        </w:rPr>
        <w:object w:dxaOrig="4071" w:dyaOrig="3005" w14:anchorId="0211FA00">
          <v:shape id="_x0000_i1027" type="#_x0000_t75" alt="" style="width:203.5pt;height:150.25pt" o:ole="">
            <v:imagedata r:id="rId14" o:title=""/>
          </v:shape>
          <o:OLEObject Type="Embed" ProgID="Visio.Drawing.15" ShapeID="_x0000_i1027" DrawAspect="Content" ObjectID="_1802887128" r:id="rId15"/>
        </w:object>
      </w:r>
    </w:p>
    <w:p w14:paraId="24EA9058" w14:textId="77777777" w:rsidR="00333AFA" w:rsidRDefault="00333AFA">
      <w:pPr>
        <w:autoSpaceDE w:val="0"/>
        <w:autoSpaceDN w:val="0"/>
        <w:adjustRightInd w:val="0"/>
        <w:jc w:val="center"/>
        <w:rPr>
          <w:rFonts w:ascii="Times New Roman" w:hAnsi="Times New Roman"/>
        </w:rPr>
      </w:pPr>
    </w:p>
    <w:p w14:paraId="55B039F6" w14:textId="77777777" w:rsidR="00333AFA" w:rsidRDefault="002233CD">
      <w:pPr>
        <w:pStyle w:val="DL"/>
        <w:rPr>
          <w:rFonts w:ascii="Arial" w:eastAsia="黑体" w:hAnsi="Arial" w:cs="Arial"/>
          <w:b/>
          <w:bCs/>
          <w:sz w:val="16"/>
          <w:szCs w:val="16"/>
          <w:lang w:eastAsia="zh-CN"/>
        </w:rPr>
      </w:pPr>
      <w:r>
        <w:rPr>
          <w:rFonts w:ascii="Arial" w:hAnsi="Arial" w:cs="Arial"/>
          <w:b/>
          <w:bCs/>
          <w:sz w:val="20"/>
        </w:rPr>
        <w:t>Fi</w:t>
      </w:r>
      <w:r>
        <w:rPr>
          <w:rFonts w:ascii="Arial" w:eastAsia="宋体" w:hAnsi="Arial" w:cs="Arial" w:hint="eastAsia"/>
          <w:b/>
          <w:bCs/>
          <w:sz w:val="20"/>
          <w:lang w:eastAsia="zh-CN"/>
        </w:rPr>
        <w:t>g.1.</w:t>
      </w:r>
      <w:r>
        <w:rPr>
          <w:rFonts w:ascii="Arial" w:eastAsia="黑体" w:hAnsi="Arial" w:cs="Arial"/>
          <w:b/>
          <w:bCs/>
          <w:position w:val="-6"/>
          <w:sz w:val="16"/>
          <w:szCs w:val="16"/>
          <w:lang w:eastAsia="zh-CN"/>
        </w:rPr>
        <w:t xml:space="preserve"> </w:t>
      </w:r>
      <w:r>
        <w:rPr>
          <w:rFonts w:ascii="Arial" w:hAnsi="Arial" w:cs="Arial"/>
          <w:b/>
          <w:bCs/>
          <w:i/>
          <w:iCs/>
        </w:rPr>
        <w:t>λ</w:t>
      </w:r>
      <w:r>
        <w:rPr>
          <w:rFonts w:ascii="Arial" w:eastAsia="黑体" w:hAnsi="Arial" w:cs="Arial"/>
          <w:b/>
          <w:bCs/>
          <w:i/>
          <w:iCs/>
          <w:lang w:eastAsia="zh-CN"/>
        </w:rPr>
        <w:t>-</w:t>
      </w:r>
      <w:r>
        <w:rPr>
          <w:rFonts w:ascii="Arial" w:eastAsia="黑体" w:hAnsi="Arial" w:cs="Arial"/>
          <w:b/>
          <w:bCs/>
          <w:i/>
          <w:iCs/>
          <w:sz w:val="20"/>
          <w:lang w:eastAsia="zh-CN"/>
        </w:rPr>
        <w:t>V</w:t>
      </w:r>
      <w:r>
        <w:rPr>
          <w:rFonts w:ascii="Arial" w:eastAsia="黑体" w:hAnsi="Arial" w:cs="Arial" w:hint="eastAsia"/>
          <w:b/>
          <w:bCs/>
          <w:sz w:val="20"/>
          <w:lang w:eastAsia="zh-CN"/>
        </w:rPr>
        <w:t xml:space="preserve"> Curve</w:t>
      </w:r>
      <w:r>
        <w:rPr>
          <w:rFonts w:ascii="Arial" w:eastAsia="黑体" w:hAnsi="Arial" w:cs="Arial"/>
          <w:b/>
          <w:bCs/>
          <w:sz w:val="16"/>
          <w:szCs w:val="16"/>
          <w:lang w:eastAsia="zh-CN"/>
        </w:rPr>
        <w:t xml:space="preserve"> </w:t>
      </w:r>
    </w:p>
    <w:p w14:paraId="64AC82D5" w14:textId="77777777" w:rsidR="00333AFA" w:rsidRDefault="00333AFA">
      <w:pPr>
        <w:pStyle w:val="Body"/>
        <w:spacing w:after="0"/>
        <w:rPr>
          <w:rFonts w:ascii="Arial" w:eastAsia="宋体" w:hAnsi="Arial" w:cs="Arial"/>
          <w:lang w:eastAsia="zh-CN"/>
        </w:rPr>
      </w:pPr>
    </w:p>
    <w:p w14:paraId="492417DE" w14:textId="77777777" w:rsidR="00333AFA" w:rsidRDefault="002233CD">
      <w:pPr>
        <w:pStyle w:val="Body"/>
        <w:spacing w:after="0"/>
        <w:rPr>
          <w:rFonts w:ascii="Arial" w:eastAsia="宋体" w:hAnsi="Arial" w:cs="Arial"/>
          <w:lang w:eastAsia="zh-CN"/>
        </w:rPr>
      </w:pPr>
      <w:r>
        <w:rPr>
          <w:rFonts w:ascii="Arial" w:eastAsia="宋体" w:hAnsi="Arial" w:cs="Arial" w:hint="eastAsia"/>
          <w:lang w:eastAsia="zh-CN"/>
        </w:rPr>
        <w:t>Here, the term "load parameter" refers to the load multiplier, which is measured in per unit (p.u.).</w:t>
      </w:r>
    </w:p>
    <w:p w14:paraId="08B48E79" w14:textId="77777777" w:rsidR="00333AFA" w:rsidRDefault="002233CD">
      <w:pPr>
        <w:pStyle w:val="af2"/>
        <w:tabs>
          <w:tab w:val="center" w:pos="4150"/>
          <w:tab w:val="right" w:pos="8820"/>
        </w:tabs>
        <w:ind w:firstLine="0"/>
        <w:rPr>
          <w:rFonts w:ascii="Times New Roman" w:eastAsia="宋体" w:hAnsi="Times New Roman"/>
          <w:lang w:eastAsia="zh-CN"/>
        </w:rPr>
      </w:pPr>
      <w:r>
        <w:rPr>
          <w:rFonts w:eastAsia="宋体" w:hint="eastAsia"/>
          <w:position w:val="-20"/>
          <w:lang w:eastAsia="zh-CN"/>
        </w:rPr>
        <w:tab/>
      </w:r>
      <w:r>
        <w:rPr>
          <w:position w:val="-26"/>
        </w:rPr>
        <w:object w:dxaOrig="626" w:dyaOrig="601" w14:anchorId="06B0943E">
          <v:shape id="_x0000_i1028" type="#_x0000_t75" style="width:30.7pt;height:30.05pt" o:ole="">
            <v:imagedata r:id="rId16" o:title=""/>
          </v:shape>
          <o:OLEObject Type="Embed" ProgID="Equation.DSMT4" ShapeID="_x0000_i1028" DrawAspect="Content" ObjectID="_1802887129" r:id="rId17"/>
        </w:object>
      </w:r>
      <w:r>
        <w:rPr>
          <w:rFonts w:eastAsia="宋体" w:hint="eastAsia"/>
          <w:position w:val="-20"/>
          <w:lang w:eastAsia="zh-CN"/>
        </w:rPr>
        <w:tab/>
      </w:r>
      <w:r>
        <w:rPr>
          <w:rFonts w:ascii="Arial" w:hAnsi="Arial" w:cs="Arial"/>
          <w:lang w:eastAsia="zh-CN"/>
        </w:rPr>
        <w:t>(2)</w:t>
      </w:r>
    </w:p>
    <w:p w14:paraId="11CA5DE0" w14:textId="77777777" w:rsidR="00333AFA" w:rsidRDefault="002233CD">
      <w:pPr>
        <w:pStyle w:val="Body"/>
        <w:spacing w:after="0"/>
        <w:rPr>
          <w:rFonts w:ascii="Arial" w:eastAsia="宋体" w:hAnsi="Arial" w:cs="Arial"/>
          <w:lang w:eastAsia="zh-CN"/>
        </w:rPr>
      </w:pPr>
      <w:r>
        <w:rPr>
          <w:rFonts w:ascii="Arial" w:eastAsia="宋体" w:hAnsi="Arial" w:cs="Arial"/>
          <w:lang w:eastAsia="zh-CN"/>
        </w:rPr>
        <w:t xml:space="preserve">where, </w:t>
      </w:r>
      <w:r>
        <w:rPr>
          <w:rFonts w:ascii="Arial" w:hAnsi="Arial" w:cs="Arial"/>
          <w:i/>
          <w:iCs/>
        </w:rPr>
        <w:t>P</w:t>
      </w:r>
      <w:r>
        <w:rPr>
          <w:rFonts w:ascii="Arial" w:hAnsi="Arial" w:cs="Arial"/>
          <w:vertAlign w:val="subscript"/>
        </w:rPr>
        <w:t>0</w:t>
      </w:r>
      <w:r>
        <w:rPr>
          <w:rFonts w:ascii="Arial" w:eastAsia="宋体" w:hAnsi="Arial" w:cs="Arial"/>
          <w:lang w:eastAsia="zh-CN"/>
        </w:rPr>
        <w:t xml:space="preserve"> refers to </w:t>
      </w:r>
      <w:r>
        <w:rPr>
          <w:rFonts w:ascii="Arial" w:eastAsia="宋体" w:hAnsi="Arial" w:cs="Arial" w:hint="eastAsia"/>
          <w:lang w:eastAsia="zh-CN"/>
        </w:rPr>
        <w:t>load active power at initial operating point, p.u.</w:t>
      </w:r>
    </w:p>
    <w:p w14:paraId="1B800A68" w14:textId="77777777" w:rsidR="00333AFA" w:rsidRDefault="002233CD">
      <w:pPr>
        <w:pStyle w:val="Body"/>
        <w:spacing w:after="0"/>
        <w:rPr>
          <w:rFonts w:ascii="Arial" w:hAnsi="Arial" w:cs="Arial"/>
        </w:rPr>
      </w:pPr>
      <w:r>
        <w:rPr>
          <w:rFonts w:ascii="Arial" w:hAnsi="Arial" w:cs="Arial" w:hint="eastAsia"/>
        </w:rPr>
        <w:t>When</w:t>
      </w:r>
      <w:r>
        <w:rPr>
          <w:rFonts w:ascii="Arial" w:hAnsi="Arial" w:cs="Arial"/>
        </w:rPr>
        <w:t xml:space="preserve"> </w:t>
      </w:r>
      <w:r>
        <w:rPr>
          <w:rFonts w:ascii="Arial" w:hAnsi="Arial" w:cs="Arial"/>
          <w:i/>
          <w:iCs/>
        </w:rPr>
        <w:t>λ</w:t>
      </w:r>
      <w:r>
        <w:rPr>
          <w:rFonts w:ascii="Arial" w:eastAsia="黑体" w:hAnsi="Arial" w:cs="Arial"/>
          <w:b/>
          <w:bCs/>
          <w:i/>
          <w:iCs/>
          <w:lang w:eastAsia="zh-CN"/>
        </w:rPr>
        <w:t>-</w:t>
      </w:r>
      <w:r>
        <w:rPr>
          <w:rFonts w:ascii="Arial" w:eastAsia="黑体" w:hAnsi="Arial" w:cs="Arial"/>
          <w:i/>
          <w:iCs/>
          <w:lang w:eastAsia="zh-CN"/>
        </w:rPr>
        <w:t>V</w:t>
      </w:r>
      <w:r>
        <w:rPr>
          <w:rFonts w:ascii="Arial" w:hAnsi="Arial" w:cs="Arial" w:hint="eastAsia"/>
        </w:rPr>
        <w:t xml:space="preserve"> curve is adopted, the load margin index equation is as follows</w:t>
      </w:r>
      <w:r>
        <w:rPr>
          <w:rFonts w:ascii="Arial" w:hAnsi="Arial" w:cs="Arial"/>
        </w:rPr>
        <w:t>.</w:t>
      </w:r>
    </w:p>
    <w:p w14:paraId="1A1BFBD2" w14:textId="2B40C3F1" w:rsidR="00333AFA" w:rsidRDefault="002233CD">
      <w:pPr>
        <w:pStyle w:val="af2"/>
        <w:tabs>
          <w:tab w:val="center" w:pos="4150"/>
        </w:tabs>
        <w:ind w:firstLine="0"/>
        <w:rPr>
          <w:rFonts w:ascii="Times New Roman" w:eastAsia="宋体" w:hAnsi="Times New Roman"/>
          <w:lang w:eastAsia="zh-CN"/>
        </w:rPr>
      </w:pPr>
      <w:r>
        <w:rPr>
          <w:rFonts w:eastAsia="宋体" w:hint="eastAsia"/>
          <w:lang w:eastAsia="zh-CN"/>
        </w:rPr>
        <w:lastRenderedPageBreak/>
        <w:tab/>
      </w:r>
      <w:r w:rsidR="004739A6">
        <w:rPr>
          <w:position w:val="-26"/>
        </w:rPr>
        <w:object w:dxaOrig="1140" w:dyaOrig="600" w14:anchorId="3F33B185">
          <v:shape id="_x0000_i1029" type="#_x0000_t75" style="width:56.95pt;height:30.05pt" o:ole="">
            <v:imagedata r:id="rId18" o:title=""/>
          </v:shape>
          <o:OLEObject Type="Embed" ProgID="Equation.DSMT4" ShapeID="_x0000_i1029" DrawAspect="Content" ObjectID="_1802887130" r:id="rId19"/>
        </w:object>
      </w:r>
      <w:r>
        <w:rPr>
          <w:rFonts w:eastAsia="宋体" w:hint="eastAsia"/>
          <w:lang w:eastAsia="zh-CN"/>
        </w:rPr>
        <w:tab/>
      </w:r>
      <w:r>
        <w:rPr>
          <w:rFonts w:eastAsia="宋体"/>
          <w:lang w:eastAsia="zh-CN"/>
        </w:rPr>
        <w:t xml:space="preserve">     </w:t>
      </w:r>
      <w:r>
        <w:rPr>
          <w:rFonts w:ascii="Arial" w:hAnsi="Arial" w:cs="Arial"/>
          <w:lang w:eastAsia="zh-CN"/>
        </w:rPr>
        <w:t>(3)</w:t>
      </w:r>
    </w:p>
    <w:p w14:paraId="00CBA0B4" w14:textId="77777777" w:rsidR="00333AFA" w:rsidRDefault="00333AFA">
      <w:pPr>
        <w:pStyle w:val="af2"/>
        <w:tabs>
          <w:tab w:val="clear" w:pos="8397"/>
          <w:tab w:val="center" w:pos="1537"/>
          <w:tab w:val="center" w:pos="4150"/>
          <w:tab w:val="right" w:pos="8400"/>
        </w:tabs>
        <w:ind w:firstLine="0"/>
        <w:jc w:val="left"/>
        <w:rPr>
          <w:rFonts w:ascii="Times New Roman" w:eastAsia="宋体" w:hAnsi="Times New Roman"/>
          <w:lang w:eastAsia="zh-CN"/>
        </w:rPr>
      </w:pPr>
    </w:p>
    <w:p w14:paraId="1EE0DA35" w14:textId="77777777" w:rsidR="00333AFA" w:rsidRDefault="002233CD">
      <w:pPr>
        <w:pStyle w:val="Body"/>
        <w:numPr>
          <w:ilvl w:val="1"/>
          <w:numId w:val="2"/>
        </w:numPr>
        <w:tabs>
          <w:tab w:val="right" w:pos="10103"/>
        </w:tabs>
        <w:spacing w:after="0"/>
        <w:rPr>
          <w:rFonts w:ascii="Arial" w:hAnsi="Arial" w:cs="Arial"/>
          <w:b/>
          <w:sz w:val="22"/>
          <w:lang w:eastAsia="zh-CN"/>
        </w:rPr>
      </w:pPr>
      <w:r>
        <w:rPr>
          <w:rFonts w:ascii="Arial" w:hAnsi="Arial" w:cs="Arial" w:hint="eastAsia"/>
          <w:b/>
          <w:sz w:val="22"/>
          <w:lang w:eastAsia="zh-CN"/>
        </w:rPr>
        <w:t>SVSMR Ind</w:t>
      </w:r>
      <w:r>
        <w:rPr>
          <w:rFonts w:ascii="Arial" w:hAnsi="Arial" w:cs="Arial"/>
          <w:b/>
          <w:sz w:val="22"/>
          <w:lang w:eastAsia="zh-CN"/>
        </w:rPr>
        <w:t>ex</w:t>
      </w:r>
    </w:p>
    <w:p w14:paraId="331FDB4D" w14:textId="77777777" w:rsidR="00333AFA" w:rsidRDefault="00333AFA">
      <w:pPr>
        <w:pStyle w:val="Body"/>
        <w:tabs>
          <w:tab w:val="right" w:pos="10103"/>
        </w:tabs>
        <w:spacing w:after="0"/>
        <w:rPr>
          <w:rFonts w:ascii="Arial" w:hAnsi="Arial" w:cs="Arial"/>
          <w:b/>
          <w:sz w:val="22"/>
          <w:lang w:eastAsia="zh-CN"/>
        </w:rPr>
      </w:pPr>
    </w:p>
    <w:p w14:paraId="682CF937" w14:textId="77777777" w:rsidR="00333AFA" w:rsidRDefault="002233CD">
      <w:pPr>
        <w:pStyle w:val="Body"/>
        <w:spacing w:after="0"/>
        <w:rPr>
          <w:rFonts w:ascii="Arial" w:hAnsi="Arial" w:cs="Arial"/>
          <w:lang w:eastAsia="zh-CN"/>
        </w:rPr>
      </w:pPr>
      <w:r>
        <w:rPr>
          <w:rFonts w:ascii="Arial" w:hAnsi="Arial" w:cs="Arial"/>
          <w:lang w:eastAsia="zh-CN"/>
        </w:rPr>
        <w:t>SVSMR index can be used to evaluate the static voltage stability of new energy multi-site access grid. It divides the transmission system of multi-site new energy power station according to the transmission power distribution at different locations, adopts the calculation method of static voltage stability limit, and studies the static voltage stability of multi-site access grid. At the same time, the index can also be used to study a simple single point of new energy delivery system.</w:t>
      </w:r>
    </w:p>
    <w:p w14:paraId="2061AC2E" w14:textId="77777777" w:rsidR="00333AFA" w:rsidRDefault="002233CD">
      <w:pPr>
        <w:pStyle w:val="Body"/>
        <w:spacing w:after="0"/>
        <w:rPr>
          <w:rFonts w:ascii="Arial" w:hAnsi="Arial" w:cs="Arial"/>
          <w:lang w:eastAsia="zh-CN"/>
        </w:rPr>
      </w:pPr>
      <w:r>
        <w:rPr>
          <w:rFonts w:ascii="Arial" w:hAnsi="Arial" w:cs="Arial"/>
          <w:lang w:eastAsia="zh-CN"/>
        </w:rPr>
        <w:t xml:space="preserve">The steps for calculating SVSMR indicators are as follows </w:t>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_Ref191642132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[13,</w:t>
      </w:r>
      <w:r w:rsidRPr="0007619C">
        <w:rPr>
          <w:rFonts w:ascii="Arial" w:hAnsi="Arial" w:cs="Arial"/>
          <w:color w:val="000000" w:themeColor="text1"/>
          <w:lang w:eastAsia="zh-CN"/>
        </w:rPr>
        <w:fldChar w:fldCharType="end"/>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_Ref191642134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14]</w:t>
      </w:r>
      <w:r w:rsidRPr="0007619C">
        <w:rPr>
          <w:rFonts w:ascii="Arial" w:hAnsi="Arial" w:cs="Arial"/>
          <w:color w:val="000000" w:themeColor="text1"/>
          <w:lang w:eastAsia="zh-CN"/>
        </w:rPr>
        <w:fldChar w:fldCharType="end"/>
      </w:r>
      <w:r>
        <w:rPr>
          <w:rFonts w:ascii="Arial" w:hAnsi="Arial" w:cs="Arial"/>
          <w:lang w:eastAsia="zh-CN"/>
        </w:rPr>
        <w:t>.</w:t>
      </w:r>
    </w:p>
    <w:p w14:paraId="5E171FCD" w14:textId="712B3114" w:rsidR="00333AFA" w:rsidRDefault="002233CD">
      <w:pPr>
        <w:pStyle w:val="Body"/>
        <w:tabs>
          <w:tab w:val="center" w:pos="4150"/>
        </w:tabs>
        <w:spacing w:after="0" w:line="360" w:lineRule="auto"/>
        <w:ind w:rightChars="-196" w:right="-392"/>
        <w:jc w:val="center"/>
        <w:rPr>
          <w:rFonts w:ascii="Times New Roman" w:hAnsi="Times New Roman"/>
          <w:lang w:eastAsia="zh-CN"/>
        </w:rPr>
      </w:pPr>
      <w:r>
        <w:rPr>
          <w:rFonts w:eastAsia="宋体" w:hint="eastAsia"/>
          <w:lang w:eastAsia="zh-CN"/>
        </w:rPr>
        <w:tab/>
      </w:r>
      <w:r>
        <w:rPr>
          <w:position w:val="-20"/>
        </w:rPr>
        <w:object w:dxaOrig="1152" w:dyaOrig="538" w14:anchorId="28A0FB37">
          <v:shape id="_x0000_i1030" type="#_x0000_t75" style="width:57.6pt;height:26.9pt" o:ole="">
            <v:imagedata r:id="rId20" o:title=""/>
          </v:shape>
          <o:OLEObject Type="Embed" ProgID="Equation.DSMT4" ShapeID="_x0000_i1030" DrawAspect="Content" ObjectID="_1802887131" r:id="rId21"/>
        </w:object>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ascii="Arial" w:hAnsi="Arial" w:cs="Arial"/>
          <w:lang w:eastAsia="zh-CN"/>
        </w:rPr>
        <w:t>(</w:t>
      </w:r>
      <w:r w:rsidR="004739A6">
        <w:rPr>
          <w:rFonts w:ascii="Arial" w:hAnsi="Arial" w:cs="Arial"/>
          <w:lang w:eastAsia="zh-CN"/>
        </w:rPr>
        <w:t>4</w:t>
      </w:r>
      <w:r>
        <w:rPr>
          <w:rFonts w:ascii="Arial" w:hAnsi="Arial" w:cs="Arial"/>
          <w:lang w:eastAsia="zh-CN"/>
        </w:rPr>
        <w:t>)</w:t>
      </w:r>
    </w:p>
    <w:p w14:paraId="382BD311" w14:textId="77777777" w:rsidR="00333AFA" w:rsidRDefault="002233CD">
      <w:pPr>
        <w:pStyle w:val="Body"/>
        <w:spacing w:after="0"/>
        <w:rPr>
          <w:rFonts w:ascii="Arial" w:hAnsi="Arial" w:cs="Arial"/>
          <w:lang w:eastAsia="zh-CN"/>
        </w:rPr>
      </w:pPr>
      <w:r>
        <w:rPr>
          <w:rFonts w:ascii="Arial" w:hAnsi="Arial" w:cs="Arial"/>
          <w:lang w:eastAsia="zh-CN"/>
        </w:rPr>
        <w:t xml:space="preserve">where, </w:t>
      </w:r>
      <w:r>
        <w:rPr>
          <w:rFonts w:ascii="Arial" w:hAnsi="Arial" w:cs="Arial"/>
          <w:i/>
          <w:iCs/>
        </w:rPr>
        <w:t>P</w:t>
      </w:r>
      <w:r>
        <w:rPr>
          <w:rFonts w:ascii="Arial" w:hAnsi="Arial" w:cs="Arial"/>
          <w:i/>
          <w:iCs/>
          <w:vertAlign w:val="subscript"/>
        </w:rPr>
        <w:t>cr</w:t>
      </w:r>
      <w:r>
        <w:rPr>
          <w:rFonts w:eastAsia="Helvetica" w:cs="Helvetica"/>
          <w:color w:val="191B1F"/>
          <w:sz w:val="18"/>
          <w:szCs w:val="18"/>
          <w:shd w:val="clear" w:color="auto" w:fill="FFFFFF"/>
        </w:rPr>
        <w:t xml:space="preserve"> refers to </w:t>
      </w:r>
      <w:r>
        <w:rPr>
          <w:rFonts w:ascii="Arial" w:hAnsi="Arial" w:cs="Arial"/>
          <w:lang w:eastAsia="zh-CN"/>
        </w:rPr>
        <w:t>static voltage stability limit power, p.u.,</w:t>
      </w:r>
      <w:r>
        <w:rPr>
          <w:rFonts w:ascii="Times New Roman" w:hAnsi="Times New Roman" w:hint="eastAsia"/>
          <w:lang w:eastAsia="zh-CN"/>
        </w:rPr>
        <w:t xml:space="preserve"> </w:t>
      </w:r>
      <w:r>
        <w:rPr>
          <w:rFonts w:ascii="Arial" w:hAnsi="Arial" w:cs="Arial"/>
          <w:i/>
          <w:iCs/>
        </w:rPr>
        <w:t>P</w:t>
      </w:r>
      <w:r>
        <w:rPr>
          <w:rFonts w:ascii="Arial" w:hAnsi="Arial" w:cs="Arial"/>
          <w:i/>
          <w:iCs/>
          <w:vertAlign w:val="subscript"/>
        </w:rPr>
        <w:t xml:space="preserve">PV </w:t>
      </w:r>
      <w:r>
        <w:rPr>
          <w:rFonts w:eastAsia="Helvetica" w:cs="Helvetica"/>
          <w:color w:val="191B1F"/>
          <w:sz w:val="18"/>
          <w:szCs w:val="18"/>
          <w:shd w:val="clear" w:color="auto" w:fill="FFFFFF"/>
        </w:rPr>
        <w:t xml:space="preserve">refers to </w:t>
      </w:r>
      <w:r>
        <w:rPr>
          <w:rFonts w:ascii="Arial" w:hAnsi="Arial" w:cs="Arial"/>
          <w:lang w:eastAsia="zh-CN"/>
        </w:rPr>
        <w:t>current new energy output, p.u.</w:t>
      </w:r>
    </w:p>
    <w:p w14:paraId="044CF39E" w14:textId="77777777" w:rsidR="00333AFA" w:rsidRDefault="002233CD">
      <w:pPr>
        <w:pStyle w:val="Body"/>
        <w:spacing w:after="0"/>
        <w:rPr>
          <w:rFonts w:ascii="Arial" w:hAnsi="Arial" w:cs="Arial"/>
          <w:lang w:eastAsia="zh-CN"/>
        </w:rPr>
      </w:pPr>
      <w:r>
        <w:rPr>
          <w:rFonts w:ascii="Arial" w:hAnsi="Arial" w:cs="Arial"/>
          <w:lang w:eastAsia="zh-CN"/>
        </w:rPr>
        <w:t>The analytical equation of static voltage stability limit power is as follows.</w:t>
      </w:r>
    </w:p>
    <w:p w14:paraId="172AAFF8" w14:textId="0DE39AD5" w:rsidR="00333AFA" w:rsidRDefault="002233CD">
      <w:pPr>
        <w:pStyle w:val="af2"/>
        <w:tabs>
          <w:tab w:val="clear" w:pos="8397"/>
          <w:tab w:val="center" w:pos="4150"/>
          <w:tab w:val="left" w:pos="7800"/>
          <w:tab w:val="right" w:pos="8800"/>
        </w:tabs>
        <w:ind w:rightChars="-296" w:right="-592" w:firstLine="0"/>
        <w:rPr>
          <w:rFonts w:ascii="Times New Roman" w:hAnsi="Times New Roman"/>
        </w:rPr>
      </w:pPr>
      <w:r>
        <w:rPr>
          <w:rFonts w:eastAsia="宋体" w:hint="eastAsia"/>
          <w:lang w:eastAsia="zh-CN"/>
        </w:rPr>
        <w:tab/>
      </w:r>
      <w:r>
        <w:rPr>
          <w:position w:val="-28"/>
        </w:rPr>
        <w:object w:dxaOrig="2204" w:dyaOrig="639" w14:anchorId="42D2343D">
          <v:shape id="_x0000_i1031" type="#_x0000_t75" style="width:110.2pt;height:31.3pt" o:ole="">
            <v:imagedata r:id="rId22" o:title=""/>
          </v:shape>
          <o:OLEObject Type="Embed" ProgID="Equation.DSMT4" ShapeID="_x0000_i1031" DrawAspect="Content" ObjectID="_1802887132" r:id="rId23"/>
        </w:object>
      </w:r>
      <w:r>
        <w:rPr>
          <w:rFonts w:hint="eastAsia"/>
          <w:lang w:eastAsia="zh-CN"/>
        </w:rPr>
        <w:t xml:space="preserve"> </w:t>
      </w:r>
      <w:r>
        <w:rPr>
          <w:rFonts w:hint="eastAsia"/>
          <w:lang w:eastAsia="zh-CN"/>
        </w:rPr>
        <w:tab/>
      </w:r>
      <w:r>
        <w:rPr>
          <w:rFonts w:ascii="Arial" w:hAnsi="Arial" w:cs="Arial"/>
          <w:lang w:eastAsia="zh-CN"/>
        </w:rPr>
        <w:t>(</w:t>
      </w:r>
      <w:r w:rsidR="004739A6">
        <w:rPr>
          <w:rFonts w:ascii="Arial" w:hAnsi="Arial" w:cs="Arial"/>
          <w:lang w:eastAsia="zh-CN"/>
        </w:rPr>
        <w:t>5</w:t>
      </w:r>
      <w:r>
        <w:rPr>
          <w:rFonts w:ascii="Arial" w:hAnsi="Arial" w:cs="Arial"/>
          <w:lang w:eastAsia="zh-CN"/>
        </w:rPr>
        <w:t>)</w:t>
      </w:r>
    </w:p>
    <w:p w14:paraId="5BAD8014" w14:textId="4107B116" w:rsidR="00333AFA" w:rsidRDefault="002233CD">
      <w:pPr>
        <w:pStyle w:val="Body"/>
        <w:tabs>
          <w:tab w:val="center" w:pos="4150"/>
        </w:tabs>
        <w:spacing w:after="0" w:line="360" w:lineRule="auto"/>
        <w:ind w:rightChars="-196" w:right="-392"/>
        <w:jc w:val="center"/>
        <w:rPr>
          <w:rFonts w:ascii="Times New Roman" w:hAnsi="Times New Roman"/>
          <w:lang w:eastAsia="zh-CN"/>
        </w:rPr>
      </w:pPr>
      <w:r>
        <w:rPr>
          <w:rFonts w:eastAsia="宋体" w:hint="eastAsia"/>
          <w:lang w:eastAsia="zh-CN"/>
        </w:rPr>
        <w:tab/>
        <w:t xml:space="preserve">       </w:t>
      </w:r>
      <w:r>
        <w:rPr>
          <w:position w:val="-24"/>
        </w:rPr>
        <w:object w:dxaOrig="2216" w:dyaOrig="626" w14:anchorId="152AD809">
          <v:shape id="_x0000_i1032" type="#_x0000_t75" style="width:110.2pt;height:30.7pt" o:ole="">
            <v:imagedata r:id="rId24" o:title=""/>
          </v:shape>
          <o:OLEObject Type="Embed" ProgID="Equation.DSMT4" ShapeID="_x0000_i1032" DrawAspect="Content" ObjectID="_1802887133" r:id="rId25"/>
        </w:object>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eastAsia="宋体" w:hint="eastAsia"/>
          <w:lang w:eastAsia="zh-CN"/>
        </w:rPr>
        <w:tab/>
      </w:r>
      <w:r>
        <w:rPr>
          <w:rFonts w:ascii="Arial" w:hAnsi="Arial" w:cs="Arial"/>
          <w:lang w:eastAsia="zh-CN"/>
        </w:rPr>
        <w:t>(</w:t>
      </w:r>
      <w:r w:rsidR="004739A6">
        <w:rPr>
          <w:rFonts w:ascii="Arial" w:hAnsi="Arial" w:cs="Arial"/>
          <w:lang w:eastAsia="zh-CN"/>
        </w:rPr>
        <w:t>6</w:t>
      </w:r>
      <w:r>
        <w:rPr>
          <w:rFonts w:ascii="Arial" w:hAnsi="Arial" w:cs="Arial"/>
          <w:lang w:eastAsia="zh-CN"/>
        </w:rPr>
        <w:t>)</w:t>
      </w:r>
    </w:p>
    <w:p w14:paraId="2A1767F1" w14:textId="77777777" w:rsidR="00333AFA" w:rsidRDefault="00333AFA">
      <w:pPr>
        <w:pStyle w:val="Body"/>
        <w:spacing w:after="0"/>
        <w:rPr>
          <w:rFonts w:ascii="Times New Roman" w:eastAsiaTheme="minorEastAsia" w:hAnsi="Times New Roman"/>
          <w:lang w:eastAsia="zh-CN"/>
        </w:rPr>
      </w:pPr>
    </w:p>
    <w:p w14:paraId="5EFB58DF"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 xml:space="preserve">NVSI </w:t>
      </w:r>
      <w:r>
        <w:rPr>
          <w:rFonts w:ascii="Arial" w:hAnsi="Arial" w:cs="Arial" w:hint="eastAsia"/>
          <w:b/>
          <w:sz w:val="22"/>
          <w:lang w:eastAsia="zh-CN"/>
        </w:rPr>
        <w:t>I</w:t>
      </w:r>
      <w:r>
        <w:rPr>
          <w:rFonts w:ascii="Arial" w:hAnsi="Arial" w:cs="Arial"/>
          <w:b/>
          <w:sz w:val="22"/>
          <w:lang w:eastAsia="zh-CN"/>
        </w:rPr>
        <w:t xml:space="preserve">ndex of </w:t>
      </w:r>
      <w:r>
        <w:rPr>
          <w:rFonts w:ascii="Arial" w:hAnsi="Arial" w:cs="Arial" w:hint="eastAsia"/>
          <w:b/>
          <w:sz w:val="22"/>
          <w:lang w:eastAsia="zh-CN"/>
        </w:rPr>
        <w:t>C</w:t>
      </w:r>
      <w:r>
        <w:rPr>
          <w:rFonts w:ascii="Arial" w:hAnsi="Arial" w:cs="Arial"/>
          <w:b/>
          <w:sz w:val="22"/>
          <w:lang w:eastAsia="zh-CN"/>
        </w:rPr>
        <w:t xml:space="preserve">onnecting </w:t>
      </w:r>
      <w:r>
        <w:rPr>
          <w:rFonts w:ascii="Arial" w:hAnsi="Arial" w:cs="Arial" w:hint="eastAsia"/>
          <w:b/>
          <w:sz w:val="22"/>
          <w:lang w:eastAsia="zh-CN"/>
        </w:rPr>
        <w:t>P</w:t>
      </w:r>
      <w:r>
        <w:rPr>
          <w:rFonts w:ascii="Arial" w:hAnsi="Arial" w:cs="Arial"/>
          <w:b/>
          <w:sz w:val="22"/>
          <w:lang w:eastAsia="zh-CN"/>
        </w:rPr>
        <w:t xml:space="preserve">oints of </w:t>
      </w:r>
      <w:r>
        <w:rPr>
          <w:rFonts w:ascii="Arial" w:hAnsi="Arial" w:cs="Arial" w:hint="eastAsia"/>
          <w:b/>
          <w:sz w:val="22"/>
          <w:lang w:eastAsia="zh-CN"/>
        </w:rPr>
        <w:t>N</w:t>
      </w:r>
      <w:r>
        <w:rPr>
          <w:rFonts w:ascii="Arial" w:hAnsi="Arial" w:cs="Arial"/>
          <w:b/>
          <w:sz w:val="22"/>
          <w:lang w:eastAsia="zh-CN"/>
        </w:rPr>
        <w:t xml:space="preserve">ew </w:t>
      </w:r>
      <w:r>
        <w:rPr>
          <w:rFonts w:ascii="Arial" w:hAnsi="Arial" w:cs="Arial" w:hint="eastAsia"/>
          <w:b/>
          <w:sz w:val="22"/>
          <w:lang w:eastAsia="zh-CN"/>
        </w:rPr>
        <w:t>E</w:t>
      </w:r>
      <w:r>
        <w:rPr>
          <w:rFonts w:ascii="Arial" w:hAnsi="Arial" w:cs="Arial"/>
          <w:b/>
          <w:sz w:val="22"/>
          <w:lang w:eastAsia="zh-CN"/>
        </w:rPr>
        <w:t xml:space="preserve">nergy </w:t>
      </w:r>
      <w:r>
        <w:rPr>
          <w:rFonts w:ascii="Arial" w:hAnsi="Arial" w:cs="Arial" w:hint="eastAsia"/>
          <w:b/>
          <w:sz w:val="22"/>
          <w:lang w:eastAsia="zh-CN"/>
        </w:rPr>
        <w:t>P</w:t>
      </w:r>
      <w:r>
        <w:rPr>
          <w:rFonts w:ascii="Arial" w:hAnsi="Arial" w:cs="Arial"/>
          <w:b/>
          <w:sz w:val="22"/>
          <w:lang w:eastAsia="zh-CN"/>
        </w:rPr>
        <w:t xml:space="preserve">ower </w:t>
      </w:r>
      <w:r>
        <w:rPr>
          <w:rFonts w:ascii="Arial" w:hAnsi="Arial" w:cs="Arial" w:hint="eastAsia"/>
          <w:b/>
          <w:sz w:val="22"/>
          <w:lang w:eastAsia="zh-CN"/>
        </w:rPr>
        <w:t>S</w:t>
      </w:r>
      <w:r>
        <w:rPr>
          <w:rFonts w:ascii="Arial" w:hAnsi="Arial" w:cs="Arial"/>
          <w:b/>
          <w:sz w:val="22"/>
          <w:lang w:eastAsia="zh-CN"/>
        </w:rPr>
        <w:t>tations</w:t>
      </w:r>
    </w:p>
    <w:p w14:paraId="6B8D586C" w14:textId="77777777" w:rsidR="00333AFA" w:rsidRDefault="00333AFA">
      <w:pPr>
        <w:pStyle w:val="Body"/>
        <w:spacing w:after="0"/>
        <w:rPr>
          <w:rFonts w:ascii="Arial" w:hAnsi="Arial" w:cs="Arial"/>
          <w:b/>
          <w:sz w:val="22"/>
          <w:lang w:eastAsia="zh-CN"/>
        </w:rPr>
      </w:pPr>
    </w:p>
    <w:p w14:paraId="28861947" w14:textId="77777777" w:rsidR="00333AFA" w:rsidRDefault="002233CD">
      <w:pPr>
        <w:pStyle w:val="Body"/>
        <w:spacing w:after="0"/>
        <w:rPr>
          <w:rFonts w:ascii="Arial" w:hAnsi="Arial" w:cs="Arial"/>
          <w:lang w:eastAsia="zh-CN"/>
        </w:rPr>
      </w:pPr>
      <w:r>
        <w:rPr>
          <w:rFonts w:ascii="Arial" w:hAnsi="Arial" w:cs="Arial"/>
          <w:lang w:eastAsia="zh-CN"/>
        </w:rPr>
        <w:t>NVSI is a new energy power plant grid-connected index suitable for wind power, photovoltaic and other new energy power to the grid, which can real-time monitor the impact of changes in wind power on the voltage stability of new energy power plants.</w:t>
      </w:r>
    </w:p>
    <w:p w14:paraId="3B847DF4" w14:textId="77777777" w:rsidR="00333AFA" w:rsidRDefault="002233CD">
      <w:pPr>
        <w:pStyle w:val="Body"/>
        <w:tabs>
          <w:tab w:val="right" w:pos="10103"/>
        </w:tabs>
        <w:spacing w:after="0"/>
        <w:rPr>
          <w:rFonts w:ascii="Arial" w:hAnsi="Arial" w:cs="Arial"/>
          <w:lang w:eastAsia="zh-CN"/>
        </w:rPr>
      </w:pPr>
      <w:r>
        <w:rPr>
          <w:rFonts w:ascii="Arial" w:hAnsi="Arial" w:cs="Arial"/>
          <w:lang w:eastAsia="zh-CN"/>
        </w:rPr>
        <w:t>Based on this, the short-term wind and solar power generation forecasts, combined with the NVSI index, are used to analyze the grid operation status of the renewable energy power plant for the following day and assess whether the transmitted power from the renewable energy station can meet the demand of the power grid.</w:t>
      </w:r>
    </w:p>
    <w:p w14:paraId="64E0C637" w14:textId="77777777" w:rsidR="00333AFA" w:rsidRDefault="002233CD">
      <w:pPr>
        <w:pStyle w:val="Body"/>
        <w:spacing w:after="0"/>
        <w:rPr>
          <w:rFonts w:ascii="Arial" w:hAnsi="Arial" w:cs="Arial"/>
          <w:lang w:eastAsia="zh-CN"/>
        </w:rPr>
      </w:pPr>
      <w:r>
        <w:rPr>
          <w:rFonts w:ascii="Arial" w:hAnsi="Arial" w:cs="Arial"/>
          <w:lang w:eastAsia="zh-CN"/>
        </w:rPr>
        <w:t>This indicator will play an important role in ensuring the successful and effective integration of renewable energy stations into the grid, as well as in maintaining the safe, stable, and reliable operation of both the renewable energy stations and the power grid.</w:t>
      </w:r>
    </w:p>
    <w:p w14:paraId="1E211E40" w14:textId="77777777" w:rsidR="00333AFA" w:rsidRDefault="002233CD">
      <w:pPr>
        <w:pStyle w:val="Body"/>
        <w:spacing w:after="0"/>
        <w:rPr>
          <w:rFonts w:ascii="Arial" w:hAnsi="Arial" w:cs="Arial"/>
          <w:lang w:eastAsia="zh-CN"/>
        </w:rPr>
      </w:pPr>
      <w:r>
        <w:rPr>
          <w:rFonts w:ascii="Arial" w:hAnsi="Arial" w:cs="Arial"/>
          <w:lang w:eastAsia="zh-CN"/>
        </w:rPr>
        <w:t xml:space="preserve">The equation for the grid integration index of renewable energy stations (NVSI) is </w:t>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_Ref191642179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[15]</w:t>
      </w:r>
      <w:r w:rsidRPr="0007619C">
        <w:rPr>
          <w:rFonts w:ascii="Arial" w:hAnsi="Arial" w:cs="Arial"/>
          <w:color w:val="000000" w:themeColor="text1"/>
          <w:lang w:eastAsia="zh-CN"/>
        </w:rPr>
        <w:fldChar w:fldCharType="end"/>
      </w:r>
    </w:p>
    <w:p w14:paraId="779230CC" w14:textId="79484CFA" w:rsidR="00333AFA" w:rsidRDefault="002233CD">
      <w:pPr>
        <w:pStyle w:val="Body"/>
        <w:tabs>
          <w:tab w:val="center" w:pos="1537"/>
          <w:tab w:val="center" w:pos="4150"/>
          <w:tab w:val="left" w:pos="8000"/>
          <w:tab w:val="right" w:pos="8400"/>
          <w:tab w:val="right" w:pos="10103"/>
        </w:tabs>
        <w:spacing w:after="0" w:line="360" w:lineRule="auto"/>
        <w:ind w:rightChars="-95" w:right="-190"/>
        <w:jc w:val="center"/>
        <w:rPr>
          <w:lang w:eastAsia="zh-CN"/>
        </w:rPr>
      </w:pPr>
      <w:r>
        <w:rPr>
          <w:rFonts w:eastAsia="宋体" w:hint="eastAsia"/>
          <w:lang w:eastAsia="zh-CN"/>
        </w:rPr>
        <w:tab/>
      </w:r>
      <w:r>
        <w:rPr>
          <w:rFonts w:eastAsia="宋体" w:hint="eastAsia"/>
          <w:lang w:eastAsia="zh-CN"/>
        </w:rPr>
        <w:tab/>
      </w:r>
      <w:r>
        <w:rPr>
          <w:position w:val="-38"/>
        </w:rPr>
        <w:object w:dxaOrig="5096" w:dyaOrig="789" w14:anchorId="27AE9CE0">
          <v:shape id="_x0000_i1033" type="#_x0000_t75" style="width:254.2pt;height:38.8pt" o:ole="">
            <v:imagedata r:id="rId26" o:title=""/>
          </v:shape>
          <o:OLEObject Type="Embed" ProgID="Equation.DSMT4" ShapeID="_x0000_i1033" DrawAspect="Content" ObjectID="_1802887134" r:id="rId27"/>
        </w:object>
      </w:r>
      <w:r>
        <w:rPr>
          <w:color w:val="0000FF"/>
          <w:vertAlign w:val="superscript"/>
        </w:rPr>
        <w:fldChar w:fldCharType="begin"/>
      </w:r>
      <w:r>
        <w:rPr>
          <w:color w:val="0000FF"/>
          <w:vertAlign w:val="superscript"/>
        </w:rPr>
        <w:instrText xml:space="preserve"> REF _Ref4190 \r \h </w:instrText>
      </w:r>
      <w:r>
        <w:rPr>
          <w:color w:val="0000FF"/>
          <w:vertAlign w:val="superscript"/>
        </w:rPr>
      </w:r>
      <w:r>
        <w:rPr>
          <w:color w:val="0000FF"/>
          <w:vertAlign w:val="superscript"/>
        </w:rPr>
        <w:fldChar w:fldCharType="end"/>
      </w:r>
      <w:r>
        <w:rPr>
          <w:rFonts w:eastAsia="宋体" w:hint="eastAsia"/>
          <w:color w:val="0000FF"/>
          <w:vertAlign w:val="superscript"/>
          <w:lang w:eastAsia="zh-CN"/>
        </w:rPr>
        <w:tab/>
      </w:r>
      <w:r>
        <w:rPr>
          <w:rFonts w:eastAsia="宋体" w:hint="eastAsia"/>
          <w:color w:val="0000FF"/>
          <w:vertAlign w:val="superscript"/>
          <w:lang w:eastAsia="zh-CN"/>
        </w:rPr>
        <w:tab/>
      </w:r>
      <w:r>
        <w:rPr>
          <w:rFonts w:hint="eastAsia"/>
          <w:lang w:eastAsia="zh-CN"/>
        </w:rPr>
        <w:t>(</w:t>
      </w:r>
      <w:r w:rsidR="004739A6">
        <w:rPr>
          <w:lang w:eastAsia="zh-CN"/>
        </w:rPr>
        <w:t>7</w:t>
      </w:r>
      <w:r>
        <w:rPr>
          <w:rFonts w:hint="eastAsia"/>
          <w:lang w:eastAsia="zh-CN"/>
        </w:rPr>
        <w:t>)</w:t>
      </w:r>
    </w:p>
    <w:p w14:paraId="3E67011D" w14:textId="77777777" w:rsidR="00333AFA" w:rsidRDefault="002233CD">
      <w:pPr>
        <w:pStyle w:val="Body"/>
        <w:spacing w:after="0"/>
        <w:rPr>
          <w:rFonts w:ascii="Arial" w:hAnsi="Arial" w:cs="Arial"/>
          <w:lang w:eastAsia="zh-CN"/>
        </w:rPr>
      </w:pPr>
      <w:r>
        <w:rPr>
          <w:rFonts w:hint="eastAsia"/>
          <w:lang w:eastAsia="zh-CN"/>
        </w:rPr>
        <w:t xml:space="preserve">                          </w:t>
      </w:r>
    </w:p>
    <w:p w14:paraId="10A28AE2" w14:textId="77777777" w:rsidR="00333AFA" w:rsidRDefault="002233CD">
      <w:pPr>
        <w:pStyle w:val="Head1"/>
        <w:numPr>
          <w:ilvl w:val="0"/>
          <w:numId w:val="2"/>
        </w:numPr>
        <w:spacing w:after="0"/>
        <w:jc w:val="both"/>
        <w:rPr>
          <w:rFonts w:ascii="Arial" w:hAnsi="Arial" w:cs="Arial"/>
        </w:rPr>
      </w:pPr>
      <w:r>
        <w:rPr>
          <w:rFonts w:ascii="Arial" w:hAnsi="Arial" w:cs="Arial"/>
        </w:rPr>
        <w:t>Modeling and Index Calculation of new energy power station grid-connected system</w:t>
      </w:r>
    </w:p>
    <w:p w14:paraId="46B6AF4E" w14:textId="77777777" w:rsidR="00333AFA" w:rsidRDefault="00333AFA">
      <w:pPr>
        <w:pStyle w:val="Head1"/>
        <w:spacing w:after="0"/>
        <w:jc w:val="both"/>
        <w:rPr>
          <w:rFonts w:ascii="Arial" w:hAnsi="Arial" w:cs="Arial"/>
        </w:rPr>
      </w:pPr>
    </w:p>
    <w:p w14:paraId="69702DCF" w14:textId="77777777" w:rsidR="00333AFA" w:rsidRDefault="002233CD">
      <w:pPr>
        <w:pStyle w:val="Body"/>
        <w:spacing w:after="0"/>
        <w:rPr>
          <w:rFonts w:ascii="Arial" w:hAnsi="Arial" w:cs="Arial"/>
        </w:rPr>
      </w:pPr>
      <w:r>
        <w:rPr>
          <w:rFonts w:ascii="Arial" w:hAnsi="Arial" w:cs="Arial"/>
        </w:rPr>
        <w:t xml:space="preserve">This chapter uses PSAT to establish the model of wind farms and photovoltaic power stations connected to the IEEE 14-node system. The model is used to set different photovoltaic and wind turbine </w:t>
      </w:r>
      <w:r>
        <w:rPr>
          <w:rFonts w:ascii="Arial" w:eastAsia="宋体" w:hAnsi="Arial" w:cs="Arial" w:hint="eastAsia"/>
          <w:lang w:eastAsia="zh-CN"/>
        </w:rPr>
        <w:t>outputs</w:t>
      </w:r>
      <w:r>
        <w:rPr>
          <w:rFonts w:ascii="Arial" w:hAnsi="Arial" w:cs="Arial"/>
        </w:rPr>
        <w:t xml:space="preserve">, adjust the grid load multiplier, and calculate the load margin index, SVSMR index, and NVSI index. </w:t>
      </w:r>
    </w:p>
    <w:p w14:paraId="0F9A3C50" w14:textId="77777777" w:rsidR="00333AFA" w:rsidRDefault="00333AFA">
      <w:pPr>
        <w:pStyle w:val="Body"/>
        <w:spacing w:after="0"/>
        <w:rPr>
          <w:rFonts w:ascii="Arial" w:hAnsi="Arial" w:cs="Arial"/>
        </w:rPr>
      </w:pPr>
    </w:p>
    <w:p w14:paraId="2B0881EF"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lastRenderedPageBreak/>
        <w:t>Modeling of New Energy Power Station Grid-connected System</w:t>
      </w:r>
    </w:p>
    <w:p w14:paraId="006D827F" w14:textId="77777777" w:rsidR="00333AFA" w:rsidRDefault="00333AFA">
      <w:pPr>
        <w:pStyle w:val="Body"/>
        <w:spacing w:after="0"/>
        <w:rPr>
          <w:rFonts w:ascii="Arial" w:hAnsi="Arial" w:cs="Arial"/>
        </w:rPr>
      </w:pPr>
    </w:p>
    <w:p w14:paraId="0433FF5B" w14:textId="75D70DA2" w:rsidR="00333AFA" w:rsidRDefault="002233CD">
      <w:pPr>
        <w:pStyle w:val="Body"/>
        <w:spacing w:after="0"/>
        <w:rPr>
          <w:rFonts w:ascii="Arial" w:hAnsi="Arial" w:cs="Arial"/>
        </w:rPr>
      </w:pPr>
      <w:r w:rsidRPr="00491C36">
        <w:rPr>
          <w:rFonts w:ascii="Arial" w:hAnsi="Arial" w:cs="Arial"/>
          <w:highlight w:val="yellow"/>
        </w:rPr>
        <w:t>The simulation model of the photovoltaic power station and wind farm connected to the IEEE 14-node system is shown in Fig.2.</w:t>
      </w:r>
      <w:r w:rsidRPr="00491C36">
        <w:rPr>
          <w:rFonts w:ascii="Arial" w:hAnsi="Arial" w:cs="Arial"/>
          <w:color w:val="1F497D" w:themeColor="text2"/>
          <w:highlight w:val="yellow"/>
        </w:rPr>
        <w:t xml:space="preserve"> </w:t>
      </w:r>
      <w:r w:rsidRPr="00491C36">
        <w:rPr>
          <w:rFonts w:ascii="Arial" w:hAnsi="Arial" w:cs="Arial"/>
          <w:color w:val="000000" w:themeColor="text1"/>
          <w:highlight w:val="yellow"/>
        </w:rPr>
        <w:fldChar w:fldCharType="begin"/>
      </w:r>
      <w:r w:rsidRPr="00491C36">
        <w:rPr>
          <w:rFonts w:ascii="Arial" w:hAnsi="Arial" w:cs="Arial"/>
          <w:color w:val="000000" w:themeColor="text1"/>
          <w:highlight w:val="yellow"/>
        </w:rPr>
        <w:instrText xml:space="preserve"> REF _Ref191642179 \r \h  \* MERGEFORMAT </w:instrText>
      </w:r>
      <w:r w:rsidRPr="00491C36">
        <w:rPr>
          <w:rFonts w:ascii="Arial" w:hAnsi="Arial" w:cs="Arial"/>
          <w:color w:val="000000" w:themeColor="text1"/>
          <w:highlight w:val="yellow"/>
        </w:rPr>
      </w:r>
      <w:r w:rsidRPr="00491C36">
        <w:rPr>
          <w:rFonts w:ascii="Arial" w:hAnsi="Arial" w:cs="Arial"/>
          <w:color w:val="000000" w:themeColor="text1"/>
          <w:highlight w:val="yellow"/>
        </w:rPr>
        <w:fldChar w:fldCharType="separate"/>
      </w:r>
      <w:r w:rsidRPr="00491C36">
        <w:rPr>
          <w:rFonts w:ascii="Arial" w:hAnsi="Arial" w:cs="Arial"/>
          <w:color w:val="000000" w:themeColor="text1"/>
          <w:highlight w:val="yellow"/>
        </w:rPr>
        <w:t>[16–2</w:t>
      </w:r>
      <w:r w:rsidR="00FF2704">
        <w:rPr>
          <w:rFonts w:ascii="Arial" w:hAnsi="Arial" w:cs="Arial"/>
          <w:color w:val="000000" w:themeColor="text1"/>
          <w:highlight w:val="yellow"/>
        </w:rPr>
        <w:t>2</w:t>
      </w:r>
      <w:r w:rsidRPr="00491C36">
        <w:rPr>
          <w:rFonts w:ascii="Arial" w:hAnsi="Arial" w:cs="Arial"/>
          <w:color w:val="000000" w:themeColor="text1"/>
          <w:highlight w:val="yellow"/>
        </w:rPr>
        <w:t>]</w:t>
      </w:r>
      <w:r w:rsidRPr="00491C36">
        <w:rPr>
          <w:rFonts w:ascii="Arial" w:hAnsi="Arial" w:cs="Arial"/>
          <w:color w:val="000000" w:themeColor="text1"/>
          <w:highlight w:val="yellow"/>
        </w:rPr>
        <w:fldChar w:fldCharType="end"/>
      </w:r>
    </w:p>
    <w:p w14:paraId="59D808E5" w14:textId="77777777" w:rsidR="00333AFA" w:rsidRDefault="002233CD">
      <w:pPr>
        <w:pStyle w:val="Body"/>
        <w:spacing w:after="0"/>
        <w:jc w:val="center"/>
        <w:rPr>
          <w:rFonts w:ascii="Times New Roman" w:hAnsi="Times New Roman"/>
        </w:rPr>
      </w:pPr>
      <w:r>
        <w:rPr>
          <w:rFonts w:ascii="Times New Roman" w:hAnsi="Times New Roman"/>
        </w:rPr>
        <w:object w:dxaOrig="7275" w:dyaOrig="5948" w14:anchorId="70C4FB6A">
          <v:shape id="_x0000_i1034" type="#_x0000_t75" style="width:363.75pt;height:297.4pt" o:ole="">
            <v:imagedata r:id="rId28" o:title=""/>
          </v:shape>
          <o:OLEObject Type="Embed" ProgID="Visio.Drawing.15" ShapeID="_x0000_i1034" DrawAspect="Content" ObjectID="_1802887135" r:id="rId29"/>
        </w:object>
      </w:r>
    </w:p>
    <w:p w14:paraId="4FDA1F6D" w14:textId="77777777" w:rsidR="00333AFA" w:rsidRDefault="00333AFA">
      <w:pPr>
        <w:pStyle w:val="Body"/>
        <w:spacing w:after="0"/>
        <w:jc w:val="center"/>
        <w:rPr>
          <w:rFonts w:ascii="Times New Roman" w:hAnsi="Times New Roman"/>
        </w:rPr>
      </w:pPr>
    </w:p>
    <w:p w14:paraId="7DF47834" w14:textId="1F4B775E" w:rsidR="00333AFA" w:rsidRDefault="002233CD" w:rsidP="000D296D">
      <w:pPr>
        <w:pStyle w:val="Body"/>
        <w:spacing w:after="0"/>
        <w:jc w:val="center"/>
        <w:rPr>
          <w:rFonts w:ascii="Arial" w:hAnsi="Arial" w:cs="Arial"/>
          <w:b/>
          <w:bCs/>
        </w:rPr>
      </w:pPr>
      <w:r w:rsidRPr="000D296D">
        <w:rPr>
          <w:rFonts w:ascii="Arial" w:hAnsi="Arial" w:cs="Arial"/>
          <w:b/>
          <w:bCs/>
          <w:highlight w:val="yellow"/>
        </w:rPr>
        <w:t>Fi</w:t>
      </w:r>
      <w:r w:rsidRPr="000D296D">
        <w:rPr>
          <w:rFonts w:ascii="Arial" w:eastAsia="宋体" w:hAnsi="Arial" w:cs="Arial" w:hint="eastAsia"/>
          <w:b/>
          <w:bCs/>
          <w:highlight w:val="yellow"/>
          <w:lang w:eastAsia="zh-CN"/>
        </w:rPr>
        <w:t xml:space="preserve">g.2. </w:t>
      </w:r>
      <w:r w:rsidR="000D296D" w:rsidRPr="000D296D">
        <w:rPr>
          <w:rFonts w:ascii="Arial" w:hAnsi="Arial" w:cs="Arial"/>
          <w:b/>
          <w:bCs/>
          <w:highlight w:val="yellow"/>
        </w:rPr>
        <w:t>System simulation diagram with photovoltaic access</w:t>
      </w:r>
    </w:p>
    <w:p w14:paraId="26B45A67" w14:textId="77777777" w:rsidR="00333AFA" w:rsidRDefault="00333AFA">
      <w:pPr>
        <w:pStyle w:val="Body"/>
        <w:spacing w:after="0"/>
        <w:jc w:val="center"/>
        <w:rPr>
          <w:rFonts w:ascii="Times New Roman" w:hAnsi="Times New Roman"/>
        </w:rPr>
      </w:pPr>
    </w:p>
    <w:p w14:paraId="6FFCF077" w14:textId="77777777" w:rsidR="00333AFA" w:rsidRDefault="002233CD">
      <w:pPr>
        <w:pStyle w:val="Body"/>
        <w:spacing w:after="0"/>
        <w:rPr>
          <w:rFonts w:ascii="Arial" w:hAnsi="Arial" w:cs="Arial"/>
        </w:rPr>
      </w:pPr>
      <w:r>
        <w:rPr>
          <w:rFonts w:ascii="Arial" w:hAnsi="Arial" w:cs="Arial"/>
        </w:rPr>
        <w:t>The active power output values for the new energy power stations in this model are taken from the active power output data of a photovoltaic power station and wind farm on a specific day, with a time resolution of 15 minutes. For the wind farm data in this chapter, only data with a 30-minute interval is selected. In addition, since photovoltaic output mainly depends on solar radiation, the line graphs for the SVSMR and NVSI indices of the photovoltaic power station only include the periods when photovoltaic output is available, i.e., from 7:00 to 18:00.</w:t>
      </w:r>
    </w:p>
    <w:p w14:paraId="55A1F745" w14:textId="77777777" w:rsidR="00333AFA" w:rsidRDefault="00333AFA">
      <w:pPr>
        <w:pStyle w:val="Body"/>
        <w:spacing w:after="0"/>
        <w:rPr>
          <w:rFonts w:ascii="Arial" w:hAnsi="Arial" w:cs="Arial"/>
        </w:rPr>
      </w:pPr>
    </w:p>
    <w:p w14:paraId="4197FD97"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Load Margin Index Calculation</w:t>
      </w:r>
    </w:p>
    <w:p w14:paraId="7EE8566E" w14:textId="77777777" w:rsidR="00333AFA" w:rsidRDefault="00333AFA">
      <w:pPr>
        <w:pStyle w:val="Body"/>
        <w:spacing w:after="0"/>
        <w:rPr>
          <w:rFonts w:ascii="Arial" w:hAnsi="Arial" w:cs="Arial"/>
          <w:b/>
          <w:sz w:val="22"/>
          <w:lang w:eastAsia="zh-CN"/>
        </w:rPr>
      </w:pPr>
    </w:p>
    <w:p w14:paraId="3248AC3A" w14:textId="0D4BC7FA" w:rsidR="00333AFA" w:rsidRDefault="002233CD">
      <w:pPr>
        <w:pStyle w:val="Body"/>
        <w:spacing w:after="0"/>
        <w:rPr>
          <w:rFonts w:ascii="Arial" w:hAnsi="Arial" w:cs="Arial"/>
        </w:rPr>
      </w:pPr>
      <w:r>
        <w:rPr>
          <w:rFonts w:ascii="Arial" w:hAnsi="Arial" w:cs="Arial"/>
        </w:rPr>
        <w:t xml:space="preserve">The load margin index value is calculated using Equation </w:t>
      </w:r>
      <w:r w:rsidR="004739A6">
        <w:rPr>
          <w:rFonts w:ascii="Arial" w:hAnsi="Arial" w:cs="Arial"/>
        </w:rPr>
        <w:t>3</w:t>
      </w:r>
      <w:r>
        <w:rPr>
          <w:rFonts w:ascii="Arial" w:hAnsi="Arial" w:cs="Arial"/>
        </w:rPr>
        <w:t>, and the result is plotted as a line chart in Origin, as shown in Fig.3.</w:t>
      </w:r>
    </w:p>
    <w:p w14:paraId="29040710" w14:textId="77777777" w:rsidR="00333AFA" w:rsidRDefault="002233CD">
      <w:pPr>
        <w:pStyle w:val="Body"/>
        <w:spacing w:after="0"/>
        <w:jc w:val="center"/>
        <w:rPr>
          <w:rFonts w:ascii="Times New Roman" w:eastAsia="宋体" w:hAnsi="Times New Roman"/>
          <w:lang w:eastAsia="zh-CN"/>
        </w:rPr>
      </w:pPr>
      <w:r>
        <w:rPr>
          <w:rFonts w:ascii="Times New Roman" w:eastAsia="宋体" w:hAnsi="Times New Roman"/>
          <w:noProof/>
          <w:lang w:eastAsia="zh-CN"/>
        </w:rPr>
        <w:lastRenderedPageBreak/>
        <w:drawing>
          <wp:inline distT="0" distB="0" distL="0" distR="0" wp14:anchorId="4FEDFAA2" wp14:editId="77B4ECB1">
            <wp:extent cx="5114290" cy="189801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114544" cy="1898458"/>
                    </a:xfrm>
                    <a:prstGeom prst="rect">
                      <a:avLst/>
                    </a:prstGeom>
                    <a:noFill/>
                    <a:ln>
                      <a:noFill/>
                    </a:ln>
                  </pic:spPr>
                </pic:pic>
              </a:graphicData>
            </a:graphic>
          </wp:inline>
        </w:drawing>
      </w:r>
    </w:p>
    <w:p w14:paraId="1A8FAA0F" w14:textId="77777777" w:rsidR="00333AFA" w:rsidRDefault="00333AFA">
      <w:pPr>
        <w:pStyle w:val="Body"/>
        <w:spacing w:after="0"/>
        <w:jc w:val="center"/>
        <w:rPr>
          <w:rFonts w:ascii="Times New Roman" w:eastAsia="宋体" w:hAnsi="Times New Roman"/>
          <w:lang w:eastAsia="zh-CN"/>
        </w:rPr>
      </w:pPr>
    </w:p>
    <w:p w14:paraId="147BD299" w14:textId="77777777" w:rsidR="00333AFA" w:rsidRDefault="002233CD">
      <w:pPr>
        <w:pStyle w:val="Body"/>
        <w:spacing w:after="0"/>
        <w:jc w:val="center"/>
        <w:rPr>
          <w:rFonts w:ascii="Arial" w:hAnsi="Arial" w:cs="Arial"/>
          <w:b/>
          <w:bCs/>
          <w:lang w:eastAsia="zh-CN"/>
        </w:rPr>
      </w:pPr>
      <w:r>
        <w:rPr>
          <w:rFonts w:ascii="Arial" w:hAnsi="Arial" w:cs="Arial"/>
          <w:b/>
          <w:bCs/>
        </w:rPr>
        <w:t>Fig</w:t>
      </w:r>
      <w:r>
        <w:rPr>
          <w:rFonts w:ascii="Arial" w:eastAsia="宋体" w:hAnsi="Arial" w:cs="Arial" w:hint="eastAsia"/>
          <w:b/>
          <w:bCs/>
          <w:lang w:eastAsia="zh-CN"/>
        </w:rPr>
        <w:t xml:space="preserve">.3. </w:t>
      </w:r>
      <w:r>
        <w:rPr>
          <w:rFonts w:ascii="Arial" w:hAnsi="Arial" w:cs="Arial"/>
          <w:b/>
          <w:bCs/>
          <w:lang w:eastAsia="zh-CN"/>
        </w:rPr>
        <w:t>Load margin index of wind-solar power stations</w:t>
      </w:r>
    </w:p>
    <w:p w14:paraId="6D4B068E" w14:textId="77777777" w:rsidR="00333AFA" w:rsidRDefault="00333AFA">
      <w:pPr>
        <w:pStyle w:val="Body"/>
        <w:spacing w:after="0"/>
        <w:rPr>
          <w:rFonts w:ascii="Arial" w:eastAsiaTheme="minorEastAsia" w:hAnsi="Arial" w:cs="Arial"/>
          <w:b/>
          <w:bCs/>
          <w:lang w:eastAsia="zh-CN"/>
        </w:rPr>
      </w:pPr>
    </w:p>
    <w:p w14:paraId="724760A8" w14:textId="7F4F711A" w:rsidR="00333AFA" w:rsidRDefault="000D296D">
      <w:pPr>
        <w:pStyle w:val="Body"/>
        <w:spacing w:after="0"/>
        <w:rPr>
          <w:rFonts w:ascii="Arial" w:hAnsi="Arial" w:cs="Arial"/>
          <w:lang w:eastAsia="zh-CN"/>
        </w:rPr>
      </w:pPr>
      <w:r w:rsidRPr="000D296D">
        <w:rPr>
          <w:rFonts w:ascii="Arial" w:hAnsi="Arial" w:cs="Arial"/>
          <w:highlight w:val="yellow"/>
          <w:lang w:eastAsia="zh-CN"/>
        </w:rPr>
        <w:t xml:space="preserve">Fig.3. </w:t>
      </w:r>
      <w:r>
        <w:rPr>
          <w:rFonts w:ascii="Arial" w:hAnsi="Arial" w:cs="Arial"/>
          <w:highlight w:val="yellow"/>
          <w:lang w:eastAsia="zh-CN"/>
        </w:rPr>
        <w:t>illustrates</w:t>
      </w:r>
      <w:r w:rsidRPr="000D296D">
        <w:rPr>
          <w:rFonts w:ascii="Arial" w:hAnsi="Arial" w:cs="Arial"/>
          <w:highlight w:val="yellow"/>
          <w:lang w:eastAsia="zh-CN"/>
        </w:rPr>
        <w:t xml:space="preserve"> the load margin index of wind-solar power stations.</w:t>
      </w:r>
      <w:r>
        <w:rPr>
          <w:rFonts w:ascii="Arial" w:hAnsi="Arial" w:cs="Arial"/>
          <w:lang w:eastAsia="zh-CN"/>
        </w:rPr>
        <w:t xml:space="preserve"> </w:t>
      </w:r>
      <w:r w:rsidR="002233CD">
        <w:rPr>
          <w:rFonts w:ascii="Arial" w:hAnsi="Arial" w:cs="Arial"/>
          <w:lang w:eastAsia="zh-CN"/>
        </w:rPr>
        <w:t>As shown in Fig.3., based on the observation of the daily active load curve, the index ranges from 0.4 to 0.7 during periods of high load and from 0.8 to 0.9 during periods of low load. However, overall, the index remains relatively high, indicating that the voltage is in a stable state.</w:t>
      </w:r>
    </w:p>
    <w:p w14:paraId="3753FC9A" w14:textId="77777777" w:rsidR="00333AFA" w:rsidRDefault="00333AFA">
      <w:pPr>
        <w:pStyle w:val="Body"/>
        <w:spacing w:after="0"/>
        <w:rPr>
          <w:rFonts w:ascii="Arial" w:hAnsi="Arial" w:cs="Arial"/>
          <w:lang w:eastAsia="zh-CN"/>
        </w:rPr>
      </w:pPr>
    </w:p>
    <w:p w14:paraId="2C0E6541"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Calculation of the SVSMR index</w:t>
      </w:r>
    </w:p>
    <w:p w14:paraId="3F4F4921" w14:textId="77777777" w:rsidR="00333AFA" w:rsidRDefault="00333AFA">
      <w:pPr>
        <w:pStyle w:val="Body"/>
        <w:spacing w:after="0"/>
        <w:rPr>
          <w:rFonts w:ascii="Arial" w:hAnsi="Arial" w:cs="Arial"/>
          <w:b/>
          <w:sz w:val="22"/>
          <w:lang w:eastAsia="zh-CN"/>
        </w:rPr>
      </w:pPr>
    </w:p>
    <w:p w14:paraId="5FB53AA6" w14:textId="0E33D3D7" w:rsidR="00333AFA" w:rsidRDefault="002233CD">
      <w:pPr>
        <w:pStyle w:val="Body"/>
        <w:spacing w:after="0"/>
        <w:rPr>
          <w:rFonts w:ascii="Arial" w:hAnsi="Arial" w:cs="Arial"/>
          <w:lang w:eastAsia="zh-CN"/>
        </w:rPr>
      </w:pPr>
      <w:r>
        <w:rPr>
          <w:rFonts w:ascii="Arial" w:hAnsi="Arial" w:cs="Arial"/>
          <w:lang w:eastAsia="zh-CN"/>
        </w:rPr>
        <w:t xml:space="preserve">The SVSMR index value for the wind farm in the renewable energy station system can be calculated using Equations </w:t>
      </w:r>
      <w:r w:rsidR="004739A6">
        <w:rPr>
          <w:rFonts w:ascii="Arial" w:hAnsi="Arial" w:cs="Arial"/>
          <w:lang w:eastAsia="zh-CN"/>
        </w:rPr>
        <w:t>4</w:t>
      </w:r>
      <w:r>
        <w:rPr>
          <w:rFonts w:ascii="Arial" w:hAnsi="Arial" w:cs="Arial"/>
        </w:rPr>
        <w:t>–</w:t>
      </w:r>
      <w:r w:rsidR="004739A6">
        <w:rPr>
          <w:rFonts w:ascii="Arial" w:hAnsi="Arial" w:cs="Arial"/>
        </w:rPr>
        <w:t>6</w:t>
      </w:r>
      <w:r>
        <w:rPr>
          <w:rFonts w:ascii="Arial" w:hAnsi="Arial" w:cs="Arial"/>
          <w:lang w:eastAsia="zh-CN"/>
        </w:rPr>
        <w:t>. The calculated results are plotted as a line chart in Origin, as shown in Fig.</w:t>
      </w:r>
      <w:r>
        <w:rPr>
          <w:rFonts w:ascii="Arial" w:hAnsi="Arial" w:cs="Arial" w:hint="eastAsia"/>
          <w:lang w:eastAsia="zh-CN"/>
        </w:rPr>
        <w:t>4</w:t>
      </w:r>
      <w:r>
        <w:rPr>
          <w:rFonts w:ascii="Arial" w:hAnsi="Arial" w:cs="Arial"/>
          <w:lang w:eastAsia="zh-CN"/>
        </w:rPr>
        <w:t>. Here, the equivalent potential of the wind farm (</w:t>
      </w:r>
      <w:r>
        <w:rPr>
          <w:rFonts w:ascii="Arial" w:hAnsi="Arial" w:cs="Arial"/>
          <w:i/>
          <w:iCs/>
        </w:rPr>
        <w:t>E</w:t>
      </w:r>
      <w:r>
        <w:rPr>
          <w:rFonts w:ascii="Arial" w:hAnsi="Arial" w:cs="Arial"/>
          <w:vertAlign w:val="subscript"/>
        </w:rPr>
        <w:t>th</w:t>
      </w:r>
      <w:r>
        <w:rPr>
          <w:rFonts w:ascii="Arial" w:hAnsi="Arial" w:cs="Arial"/>
          <w:lang w:eastAsia="zh-CN"/>
        </w:rPr>
        <w:t>) is 1.0393 /p.u., and the equivalent impedance angle of the wind farm is 0.00578 /rad.</w:t>
      </w:r>
    </w:p>
    <w:p w14:paraId="4697CCF8" w14:textId="07880F89" w:rsidR="00333AFA" w:rsidRDefault="008468E6" w:rsidP="008468E6">
      <w:pPr>
        <w:pStyle w:val="Body"/>
        <w:spacing w:after="0"/>
        <w:rPr>
          <w:rFonts w:ascii="Times New Roman" w:eastAsia="宋体" w:hAnsi="Times New Roman"/>
          <w:lang w:eastAsia="zh-CN"/>
        </w:rPr>
      </w:pPr>
      <w:r>
        <w:rPr>
          <w:rFonts w:ascii="Times New Roman" w:eastAsia="宋体" w:hAnsi="Times New Roman"/>
          <w:noProof/>
          <w:lang w:eastAsia="zh-CN"/>
        </w:rPr>
        <w:drawing>
          <wp:inline distT="0" distB="0" distL="0" distR="0" wp14:anchorId="58DD7E2E" wp14:editId="0001DBD9">
            <wp:extent cx="5311331" cy="22093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43552" cy="2222729"/>
                    </a:xfrm>
                    <a:prstGeom prst="rect">
                      <a:avLst/>
                    </a:prstGeom>
                    <a:noFill/>
                    <a:ln>
                      <a:noFill/>
                    </a:ln>
                  </pic:spPr>
                </pic:pic>
              </a:graphicData>
            </a:graphic>
          </wp:inline>
        </w:drawing>
      </w:r>
    </w:p>
    <w:p w14:paraId="489F17B1" w14:textId="77777777" w:rsidR="00333AFA" w:rsidRDefault="00333AFA">
      <w:pPr>
        <w:pStyle w:val="Body"/>
        <w:spacing w:after="0"/>
        <w:rPr>
          <w:rFonts w:ascii="Times New Roman" w:eastAsia="宋体" w:hAnsi="Times New Roman"/>
          <w:lang w:eastAsia="zh-CN"/>
        </w:rPr>
      </w:pPr>
    </w:p>
    <w:p w14:paraId="1A5CB3B9" w14:textId="46500609"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4</w:t>
      </w:r>
      <w:r>
        <w:rPr>
          <w:rFonts w:ascii="Arial" w:hAnsi="Arial" w:cs="Arial" w:hint="eastAsia"/>
          <w:b/>
          <w:bCs/>
          <w:lang w:eastAsia="zh-CN"/>
        </w:rPr>
        <w:t xml:space="preserve">. </w:t>
      </w:r>
      <w:r>
        <w:rPr>
          <w:rFonts w:ascii="Arial" w:hAnsi="Arial" w:cs="Arial"/>
          <w:b/>
          <w:bCs/>
          <w:lang w:eastAsia="zh-CN"/>
        </w:rPr>
        <w:t xml:space="preserve">SVSMR </w:t>
      </w:r>
      <w:r>
        <w:rPr>
          <w:rFonts w:ascii="Arial" w:hAnsi="Arial" w:cs="Arial" w:hint="eastAsia"/>
          <w:b/>
          <w:bCs/>
          <w:lang w:eastAsia="zh-CN"/>
        </w:rPr>
        <w:t>i</w:t>
      </w:r>
      <w:r>
        <w:rPr>
          <w:rFonts w:ascii="Arial" w:hAnsi="Arial" w:cs="Arial"/>
          <w:b/>
          <w:bCs/>
          <w:lang w:eastAsia="zh-CN"/>
        </w:rPr>
        <w:t>ndex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7167928D" w14:textId="77777777" w:rsidR="00333AFA" w:rsidRDefault="00333AFA">
      <w:pPr>
        <w:pStyle w:val="Body"/>
        <w:spacing w:after="0"/>
        <w:rPr>
          <w:rFonts w:ascii="Arial" w:eastAsiaTheme="minorEastAsia" w:hAnsi="Arial" w:cs="Arial"/>
          <w:b/>
          <w:bCs/>
          <w:lang w:eastAsia="zh-CN"/>
        </w:rPr>
      </w:pPr>
    </w:p>
    <w:p w14:paraId="2D6E1CF7" w14:textId="6A5876DB" w:rsidR="00333AFA" w:rsidRDefault="000D296D">
      <w:pPr>
        <w:pStyle w:val="Body"/>
        <w:spacing w:after="0"/>
        <w:rPr>
          <w:rFonts w:ascii="Arial" w:hAnsi="Arial" w:cs="Arial"/>
          <w:lang w:eastAsia="zh-CN"/>
        </w:rPr>
      </w:pPr>
      <w:r w:rsidRPr="000D296D">
        <w:rPr>
          <w:rFonts w:ascii="Arial" w:hAnsi="Arial" w:cs="Arial"/>
          <w:highlight w:val="yellow"/>
          <w:lang w:eastAsia="zh-CN"/>
        </w:rPr>
        <w:t>Fig.4. illustrates the SVSMR index of wind farm.</w:t>
      </w:r>
      <w:r>
        <w:rPr>
          <w:rFonts w:ascii="Arial" w:hAnsi="Arial" w:cs="Arial"/>
          <w:lang w:eastAsia="zh-CN"/>
        </w:rPr>
        <w:t xml:space="preserve"> </w:t>
      </w:r>
      <w:r w:rsidR="002233CD">
        <w:rPr>
          <w:rFonts w:ascii="Arial" w:hAnsi="Arial" w:cs="Arial"/>
          <w:lang w:eastAsia="zh-CN"/>
        </w:rPr>
        <w:t xml:space="preserve">The new SVSMR index for the photovoltaic power station can be calculated using Equations </w:t>
      </w:r>
      <w:r w:rsidR="004739A6">
        <w:rPr>
          <w:rFonts w:ascii="Arial" w:hAnsi="Arial" w:cs="Arial"/>
          <w:lang w:eastAsia="zh-CN"/>
        </w:rPr>
        <w:t>4</w:t>
      </w:r>
      <w:r w:rsidR="002233CD">
        <w:rPr>
          <w:rFonts w:ascii="Arial" w:hAnsi="Arial" w:cs="Arial"/>
          <w:lang w:eastAsia="zh-CN"/>
        </w:rPr>
        <w:t>–</w:t>
      </w:r>
      <w:r w:rsidR="004739A6">
        <w:rPr>
          <w:rFonts w:ascii="Arial" w:hAnsi="Arial" w:cs="Arial"/>
          <w:lang w:eastAsia="zh-CN"/>
        </w:rPr>
        <w:t>6</w:t>
      </w:r>
      <w:r w:rsidR="002233CD">
        <w:rPr>
          <w:rFonts w:ascii="Arial" w:hAnsi="Arial" w:cs="Arial"/>
          <w:lang w:eastAsia="zh-CN"/>
        </w:rPr>
        <w:t>. The results are plotted as a line chart in Origin, as shown in Fig.5. Here, the equivalent electromotive force of the photovoltaic power station is 1.0393 /p.u., the system equivalent impedance angle is 0.00441 /rad, and the reactive power is 0.</w:t>
      </w:r>
    </w:p>
    <w:p w14:paraId="7459FF60" w14:textId="07261E81" w:rsidR="00333AFA" w:rsidRDefault="008468E6">
      <w:pPr>
        <w:pStyle w:val="Body"/>
        <w:spacing w:after="0"/>
        <w:jc w:val="center"/>
        <w:rPr>
          <w:rFonts w:ascii="Times New Roman" w:eastAsia="宋体" w:hAnsi="Times New Roman"/>
          <w:lang w:eastAsia="zh-CN"/>
        </w:rPr>
      </w:pPr>
      <w:r>
        <w:rPr>
          <w:rFonts w:ascii="Times New Roman" w:eastAsia="宋体" w:hAnsi="Times New Roman"/>
          <w:noProof/>
          <w:lang w:eastAsia="zh-CN"/>
        </w:rPr>
        <w:lastRenderedPageBreak/>
        <w:drawing>
          <wp:inline distT="0" distB="0" distL="0" distR="0" wp14:anchorId="11F1CFD0" wp14:editId="33310F22">
            <wp:extent cx="3691677" cy="258322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09789" cy="2595902"/>
                    </a:xfrm>
                    <a:prstGeom prst="rect">
                      <a:avLst/>
                    </a:prstGeom>
                    <a:noFill/>
                    <a:ln>
                      <a:noFill/>
                    </a:ln>
                  </pic:spPr>
                </pic:pic>
              </a:graphicData>
            </a:graphic>
          </wp:inline>
        </w:drawing>
      </w:r>
    </w:p>
    <w:p w14:paraId="3BA7094D" w14:textId="77777777" w:rsidR="00333AFA" w:rsidRDefault="00333AFA">
      <w:pPr>
        <w:pStyle w:val="Body"/>
        <w:spacing w:after="0"/>
        <w:rPr>
          <w:rFonts w:ascii="Times New Roman" w:eastAsia="宋体" w:hAnsi="Times New Roman"/>
          <w:lang w:eastAsia="zh-CN"/>
        </w:rPr>
      </w:pPr>
    </w:p>
    <w:p w14:paraId="121C9988" w14:textId="5ED4AF03"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5</w:t>
      </w:r>
      <w:r>
        <w:rPr>
          <w:rFonts w:ascii="Arial" w:hAnsi="Arial" w:cs="Arial" w:hint="eastAsia"/>
          <w:b/>
          <w:bCs/>
          <w:lang w:eastAsia="zh-CN"/>
        </w:rPr>
        <w:t xml:space="preserve">. </w:t>
      </w:r>
      <w:r>
        <w:rPr>
          <w:rFonts w:ascii="Arial" w:hAnsi="Arial" w:cs="Arial"/>
          <w:b/>
          <w:bCs/>
          <w:lang w:eastAsia="zh-CN"/>
        </w:rPr>
        <w:t xml:space="preserve">SVSMR </w:t>
      </w:r>
      <w:r>
        <w:rPr>
          <w:rFonts w:ascii="Arial" w:hAnsi="Arial" w:cs="Arial" w:hint="eastAsia"/>
          <w:b/>
          <w:bCs/>
          <w:lang w:eastAsia="zh-CN"/>
        </w:rPr>
        <w:t>i</w:t>
      </w:r>
      <w:r>
        <w:rPr>
          <w:rFonts w:ascii="Arial" w:hAnsi="Arial" w:cs="Arial"/>
          <w:b/>
          <w:bCs/>
          <w:lang w:eastAsia="zh-CN"/>
        </w:rPr>
        <w:t>ndex (</w:t>
      </w:r>
      <w:bookmarkStart w:id="2" w:name="_Hlk192268540"/>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bookmarkEnd w:id="2"/>
      <w:r>
        <w:rPr>
          <w:rFonts w:ascii="Arial" w:hAnsi="Arial" w:cs="Arial"/>
          <w:b/>
          <w:bCs/>
          <w:lang w:eastAsia="zh-CN"/>
        </w:rPr>
        <w:t>)</w:t>
      </w:r>
    </w:p>
    <w:p w14:paraId="6E3A9F9D" w14:textId="77777777" w:rsidR="00333AFA" w:rsidRDefault="00333AFA">
      <w:pPr>
        <w:pStyle w:val="Body"/>
        <w:spacing w:after="0"/>
        <w:rPr>
          <w:rFonts w:ascii="Arial" w:eastAsiaTheme="minorEastAsia" w:hAnsi="Arial" w:cs="Arial"/>
          <w:b/>
          <w:bCs/>
          <w:lang w:eastAsia="zh-CN"/>
        </w:rPr>
      </w:pPr>
    </w:p>
    <w:p w14:paraId="5A0A467D" w14:textId="0D04ADCD" w:rsidR="00333AFA" w:rsidRDefault="000D296D">
      <w:pPr>
        <w:pStyle w:val="Body"/>
        <w:spacing w:after="0"/>
        <w:rPr>
          <w:rFonts w:ascii="Arial" w:hAnsi="Arial" w:cs="Arial"/>
          <w:lang w:eastAsia="zh-CN"/>
        </w:rPr>
      </w:pPr>
      <w:r w:rsidRPr="000D296D">
        <w:rPr>
          <w:rFonts w:ascii="Arial" w:hAnsi="Arial" w:cs="Arial"/>
          <w:highlight w:val="yellow"/>
          <w:lang w:eastAsia="zh-CN"/>
        </w:rPr>
        <w:t>Fig.5.</w:t>
      </w:r>
      <w:r w:rsidR="00F414B2">
        <w:rPr>
          <w:rFonts w:ascii="Arial" w:hAnsi="Arial" w:cs="Arial"/>
          <w:highlight w:val="yellow"/>
          <w:lang w:eastAsia="zh-CN"/>
        </w:rPr>
        <w:t xml:space="preserve"> </w:t>
      </w:r>
      <w:r w:rsidRPr="000D296D">
        <w:rPr>
          <w:rFonts w:ascii="Arial" w:hAnsi="Arial" w:cs="Arial"/>
          <w:highlight w:val="yellow"/>
          <w:lang w:eastAsia="zh-CN"/>
        </w:rPr>
        <w:t xml:space="preserve">illustrates the SVSMR index of </w:t>
      </w:r>
      <w:r w:rsidRPr="000D296D">
        <w:rPr>
          <w:rFonts w:ascii="Arial" w:hAnsi="Arial" w:cs="Arial" w:hint="eastAsia"/>
          <w:highlight w:val="yellow"/>
          <w:lang w:eastAsia="zh-CN"/>
        </w:rPr>
        <w:t>p</w:t>
      </w:r>
      <w:r w:rsidRPr="000D296D">
        <w:rPr>
          <w:rFonts w:ascii="Arial" w:hAnsi="Arial" w:cs="Arial"/>
          <w:highlight w:val="yellow"/>
          <w:lang w:eastAsia="zh-CN"/>
        </w:rPr>
        <w:t xml:space="preserve">hotovoltaic </w:t>
      </w:r>
      <w:r w:rsidRPr="000D296D">
        <w:rPr>
          <w:rFonts w:ascii="Arial" w:hAnsi="Arial" w:cs="Arial" w:hint="eastAsia"/>
          <w:highlight w:val="yellow"/>
          <w:lang w:eastAsia="zh-CN"/>
        </w:rPr>
        <w:t>p</w:t>
      </w:r>
      <w:r w:rsidRPr="000D296D">
        <w:rPr>
          <w:rFonts w:ascii="Arial" w:hAnsi="Arial" w:cs="Arial"/>
          <w:highlight w:val="yellow"/>
          <w:lang w:eastAsia="zh-CN"/>
        </w:rPr>
        <w:t xml:space="preserve">ower </w:t>
      </w:r>
      <w:r w:rsidRPr="000D296D">
        <w:rPr>
          <w:rFonts w:ascii="Arial" w:hAnsi="Arial" w:cs="Arial" w:hint="eastAsia"/>
          <w:highlight w:val="yellow"/>
          <w:lang w:eastAsia="zh-CN"/>
        </w:rPr>
        <w:t>s</w:t>
      </w:r>
      <w:r w:rsidRPr="000D296D">
        <w:rPr>
          <w:rFonts w:ascii="Arial" w:hAnsi="Arial" w:cs="Arial"/>
          <w:highlight w:val="yellow"/>
          <w:lang w:eastAsia="zh-CN"/>
        </w:rPr>
        <w:t>tation.</w:t>
      </w:r>
      <w:r>
        <w:rPr>
          <w:rFonts w:ascii="Arial" w:hAnsi="Arial" w:cs="Arial"/>
          <w:lang w:eastAsia="zh-CN"/>
        </w:rPr>
        <w:t xml:space="preserve"> </w:t>
      </w:r>
      <w:r w:rsidR="002233CD">
        <w:rPr>
          <w:rFonts w:ascii="Arial" w:hAnsi="Arial" w:cs="Arial"/>
          <w:lang w:eastAsia="zh-CN"/>
        </w:rPr>
        <w:t>As</w:t>
      </w:r>
      <w:r>
        <w:rPr>
          <w:rFonts w:ascii="Arial" w:hAnsi="Arial" w:cs="Arial"/>
          <w:lang w:eastAsia="zh-CN"/>
        </w:rPr>
        <w:t xml:space="preserve"> </w:t>
      </w:r>
      <w:r w:rsidR="002233CD">
        <w:rPr>
          <w:rFonts w:ascii="Arial" w:hAnsi="Arial" w:cs="Arial"/>
          <w:lang w:eastAsia="zh-CN"/>
        </w:rPr>
        <w:t>shown in Fig.5., between 12:30 and 15:00, the photovoltaic power station output is unstable, and the index fluctuates significantly, indicating poor voltage stability. During the remaining times, the index variation is small, and the voltage stability is good.</w:t>
      </w:r>
    </w:p>
    <w:p w14:paraId="573F1E5F" w14:textId="77777777" w:rsidR="00333AFA" w:rsidRDefault="00333AFA">
      <w:pPr>
        <w:pStyle w:val="Body"/>
        <w:spacing w:after="0"/>
        <w:rPr>
          <w:rFonts w:ascii="Arial" w:hAnsi="Arial" w:cs="Arial"/>
          <w:lang w:eastAsia="zh-CN"/>
        </w:rPr>
      </w:pPr>
    </w:p>
    <w:p w14:paraId="2B7D111C"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Calculation of the NVSI Index at the Grid Connection Points of Renewable Energy Stations</w:t>
      </w:r>
    </w:p>
    <w:p w14:paraId="7806168A" w14:textId="77777777" w:rsidR="00333AFA" w:rsidRDefault="00333AFA">
      <w:pPr>
        <w:pStyle w:val="Body"/>
        <w:spacing w:after="0"/>
        <w:rPr>
          <w:rFonts w:ascii="Arial" w:hAnsi="Arial" w:cs="Arial"/>
          <w:b/>
          <w:sz w:val="22"/>
          <w:lang w:eastAsia="zh-CN"/>
        </w:rPr>
      </w:pPr>
    </w:p>
    <w:p w14:paraId="1C9BB541" w14:textId="74C289DF" w:rsidR="00333AFA" w:rsidRDefault="002233CD">
      <w:pPr>
        <w:pStyle w:val="Body"/>
        <w:spacing w:after="0"/>
        <w:rPr>
          <w:rFonts w:ascii="Arial" w:hAnsi="Arial" w:cs="Arial"/>
          <w:lang w:eastAsia="zh-CN"/>
        </w:rPr>
      </w:pPr>
      <w:r>
        <w:rPr>
          <w:rFonts w:ascii="Arial" w:hAnsi="Arial" w:cs="Arial"/>
          <w:lang w:eastAsia="zh-CN"/>
        </w:rPr>
        <w:t xml:space="preserve">The NVSI index at the grid connection point of the wind farm can be calculated using Equation </w:t>
      </w:r>
      <w:r w:rsidR="004739A6">
        <w:rPr>
          <w:rFonts w:ascii="Arial" w:hAnsi="Arial" w:cs="Arial"/>
          <w:lang w:eastAsia="zh-CN"/>
        </w:rPr>
        <w:t>7</w:t>
      </w:r>
      <w:r>
        <w:rPr>
          <w:rFonts w:ascii="Arial" w:hAnsi="Arial" w:cs="Arial"/>
          <w:lang w:eastAsia="zh-CN"/>
        </w:rPr>
        <w:t>. The results are plotted as a line chart in Origin, as shown in Fig.6.</w:t>
      </w:r>
    </w:p>
    <w:p w14:paraId="1C8541AD" w14:textId="77777777" w:rsidR="00333AFA" w:rsidRDefault="002233CD">
      <w:pPr>
        <w:pStyle w:val="Body"/>
        <w:spacing w:after="0"/>
        <w:jc w:val="center"/>
        <w:rPr>
          <w:rFonts w:ascii="Times New Roman" w:eastAsia="宋体" w:hAnsi="Times New Roman"/>
          <w:lang w:eastAsia="zh-CN"/>
        </w:rPr>
      </w:pPr>
      <w:r>
        <w:rPr>
          <w:rFonts w:ascii="Times New Roman" w:eastAsia="宋体" w:hAnsi="Times New Roman"/>
          <w:noProof/>
          <w:lang w:eastAsia="zh-CN"/>
        </w:rPr>
        <w:drawing>
          <wp:inline distT="0" distB="0" distL="0" distR="0" wp14:anchorId="4C55A085" wp14:editId="0BFBE802">
            <wp:extent cx="5208270" cy="270319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208270" cy="2703195"/>
                    </a:xfrm>
                    <a:prstGeom prst="rect">
                      <a:avLst/>
                    </a:prstGeom>
                    <a:noFill/>
                    <a:ln>
                      <a:noFill/>
                    </a:ln>
                  </pic:spPr>
                </pic:pic>
              </a:graphicData>
            </a:graphic>
          </wp:inline>
        </w:drawing>
      </w:r>
    </w:p>
    <w:p w14:paraId="3F355321" w14:textId="77777777" w:rsidR="00333AFA" w:rsidRDefault="00333AFA">
      <w:pPr>
        <w:pStyle w:val="Body"/>
        <w:spacing w:after="0"/>
        <w:rPr>
          <w:rFonts w:ascii="Times New Roman" w:eastAsia="宋体" w:hAnsi="Times New Roman"/>
          <w:lang w:eastAsia="zh-CN"/>
        </w:rPr>
      </w:pPr>
    </w:p>
    <w:p w14:paraId="7BC2E530" w14:textId="77777777" w:rsidR="00333AFA" w:rsidRDefault="002233CD">
      <w:pPr>
        <w:pStyle w:val="Body"/>
        <w:spacing w:after="0"/>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6</w:t>
      </w:r>
      <w:r>
        <w:rPr>
          <w:rFonts w:ascii="Arial" w:hAnsi="Arial" w:cs="Arial" w:hint="eastAsia"/>
          <w:b/>
          <w:bCs/>
          <w:lang w:eastAsia="zh-CN"/>
        </w:rPr>
        <w:t xml:space="preserve">. </w:t>
      </w:r>
      <w:r>
        <w:rPr>
          <w:rFonts w:ascii="Arial" w:hAnsi="Arial" w:cs="Arial"/>
          <w:b/>
          <w:bCs/>
          <w:lang w:eastAsia="zh-CN"/>
        </w:rPr>
        <w:t xml:space="preserve">NVSI </w:t>
      </w:r>
      <w:r>
        <w:rPr>
          <w:rFonts w:ascii="Arial" w:hAnsi="Arial" w:cs="Arial" w:hint="eastAsia"/>
          <w:b/>
          <w:bCs/>
          <w:lang w:eastAsia="zh-CN"/>
        </w:rPr>
        <w:t>i</w:t>
      </w:r>
      <w:r>
        <w:rPr>
          <w:rFonts w:ascii="Arial" w:hAnsi="Arial" w:cs="Arial"/>
          <w:b/>
          <w:bCs/>
          <w:lang w:eastAsia="zh-CN"/>
        </w:rPr>
        <w:t xml:space="preserve">ndex at the </w:t>
      </w:r>
      <w:r>
        <w:rPr>
          <w:rFonts w:ascii="Arial" w:hAnsi="Arial" w:cs="Arial" w:hint="eastAsia"/>
          <w:b/>
          <w:bCs/>
          <w:lang w:eastAsia="zh-CN"/>
        </w:rPr>
        <w:t>g</w:t>
      </w:r>
      <w:r>
        <w:rPr>
          <w:rFonts w:ascii="Arial" w:hAnsi="Arial" w:cs="Arial"/>
          <w:b/>
          <w:bCs/>
          <w:lang w:eastAsia="zh-CN"/>
        </w:rPr>
        <w:t xml:space="preserve">rid </w:t>
      </w:r>
      <w:r>
        <w:rPr>
          <w:rFonts w:ascii="Arial" w:hAnsi="Arial" w:cs="Arial" w:hint="eastAsia"/>
          <w:b/>
          <w:bCs/>
          <w:lang w:eastAsia="zh-CN"/>
        </w:rPr>
        <w:t>c</w:t>
      </w:r>
      <w:r>
        <w:rPr>
          <w:rFonts w:ascii="Arial" w:hAnsi="Arial" w:cs="Arial"/>
          <w:b/>
          <w:bCs/>
          <w:lang w:eastAsia="zh-CN"/>
        </w:rPr>
        <w:t xml:space="preserve">onnection </w:t>
      </w:r>
      <w:r>
        <w:rPr>
          <w:rFonts w:ascii="Arial" w:hAnsi="Arial" w:cs="Arial" w:hint="eastAsia"/>
          <w:b/>
          <w:bCs/>
          <w:lang w:eastAsia="zh-CN"/>
        </w:rPr>
        <w:t>p</w:t>
      </w:r>
      <w:r>
        <w:rPr>
          <w:rFonts w:ascii="Arial" w:hAnsi="Arial" w:cs="Arial"/>
          <w:b/>
          <w:bCs/>
          <w:lang w:eastAsia="zh-CN"/>
        </w:rPr>
        <w:t xml:space="preserve">oint of </w:t>
      </w:r>
      <w:r>
        <w:rPr>
          <w:rFonts w:ascii="Arial" w:hAnsi="Arial" w:cs="Arial" w:hint="eastAsia"/>
          <w:b/>
          <w:bCs/>
          <w:lang w:eastAsia="zh-CN"/>
        </w:rPr>
        <w:t>r</w:t>
      </w:r>
      <w:r>
        <w:rPr>
          <w:rFonts w:ascii="Arial" w:hAnsi="Arial" w:cs="Arial"/>
          <w:b/>
          <w:bCs/>
          <w:lang w:eastAsia="zh-CN"/>
        </w:rPr>
        <w:t xml:space="preserve">enewable </w:t>
      </w:r>
      <w:r>
        <w:rPr>
          <w:rFonts w:ascii="Arial" w:hAnsi="Arial" w:cs="Arial" w:hint="eastAsia"/>
          <w:b/>
          <w:bCs/>
          <w:lang w:eastAsia="zh-CN"/>
        </w:rPr>
        <w:t>e</w:t>
      </w:r>
      <w:r>
        <w:rPr>
          <w:rFonts w:ascii="Arial" w:hAnsi="Arial" w:cs="Arial"/>
          <w:b/>
          <w:bCs/>
          <w:lang w:eastAsia="zh-CN"/>
        </w:rPr>
        <w:t xml:space="preserve">nergy </w:t>
      </w:r>
      <w:r>
        <w:rPr>
          <w:rFonts w:ascii="Arial" w:hAnsi="Arial" w:cs="Arial" w:hint="eastAsia"/>
          <w:b/>
          <w:bCs/>
          <w:lang w:eastAsia="zh-CN"/>
        </w:rPr>
        <w:t>s</w:t>
      </w:r>
      <w:r>
        <w:rPr>
          <w:rFonts w:ascii="Arial" w:hAnsi="Arial" w:cs="Arial"/>
          <w:b/>
          <w:bCs/>
          <w:lang w:eastAsia="zh-CN"/>
        </w:rPr>
        <w:t>tation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7EDF5839" w14:textId="77777777" w:rsidR="00333AFA" w:rsidRDefault="00333AFA">
      <w:pPr>
        <w:pStyle w:val="Body"/>
        <w:spacing w:after="0"/>
        <w:rPr>
          <w:rFonts w:ascii="Arial" w:eastAsiaTheme="minorEastAsia" w:hAnsi="Arial" w:cs="Arial"/>
          <w:b/>
          <w:bCs/>
          <w:lang w:eastAsia="zh-CN"/>
        </w:rPr>
      </w:pPr>
    </w:p>
    <w:p w14:paraId="5948713A" w14:textId="420D5C25" w:rsidR="00333AFA" w:rsidRDefault="000D296D">
      <w:pPr>
        <w:pStyle w:val="Body"/>
        <w:spacing w:after="0"/>
        <w:rPr>
          <w:rFonts w:ascii="Arial" w:hAnsi="Arial" w:cs="Arial"/>
          <w:lang w:eastAsia="zh-CN"/>
        </w:rPr>
      </w:pPr>
      <w:r w:rsidRPr="005E055E">
        <w:rPr>
          <w:rFonts w:ascii="Arial" w:hAnsi="Arial" w:cs="Arial"/>
          <w:highlight w:val="yellow"/>
          <w:lang w:eastAsia="zh-CN"/>
        </w:rPr>
        <w:lastRenderedPageBreak/>
        <w:t xml:space="preserve">Fig.6. illustrates the NVSI </w:t>
      </w:r>
      <w:r w:rsidRPr="005E055E">
        <w:rPr>
          <w:rFonts w:ascii="Arial" w:hAnsi="Arial" w:cs="Arial" w:hint="eastAsia"/>
          <w:highlight w:val="yellow"/>
          <w:lang w:eastAsia="zh-CN"/>
        </w:rPr>
        <w:t>i</w:t>
      </w:r>
      <w:r w:rsidRPr="005E055E">
        <w:rPr>
          <w:rFonts w:ascii="Arial" w:hAnsi="Arial" w:cs="Arial"/>
          <w:highlight w:val="yellow"/>
          <w:lang w:eastAsia="zh-CN"/>
        </w:rPr>
        <w:t xml:space="preserve">ndex at the </w:t>
      </w:r>
      <w:r w:rsidRPr="005E055E">
        <w:rPr>
          <w:rFonts w:ascii="Arial" w:hAnsi="Arial" w:cs="Arial" w:hint="eastAsia"/>
          <w:highlight w:val="yellow"/>
          <w:lang w:eastAsia="zh-CN"/>
        </w:rPr>
        <w:t>g</w:t>
      </w:r>
      <w:r w:rsidRPr="005E055E">
        <w:rPr>
          <w:rFonts w:ascii="Arial" w:hAnsi="Arial" w:cs="Arial"/>
          <w:highlight w:val="yellow"/>
          <w:lang w:eastAsia="zh-CN"/>
        </w:rPr>
        <w:t xml:space="preserve">rid </w:t>
      </w:r>
      <w:r w:rsidRPr="005E055E">
        <w:rPr>
          <w:rFonts w:ascii="Arial" w:hAnsi="Arial" w:cs="Arial" w:hint="eastAsia"/>
          <w:highlight w:val="yellow"/>
          <w:lang w:eastAsia="zh-CN"/>
        </w:rPr>
        <w:t>c</w:t>
      </w:r>
      <w:r w:rsidRPr="005E055E">
        <w:rPr>
          <w:rFonts w:ascii="Arial" w:hAnsi="Arial" w:cs="Arial"/>
          <w:highlight w:val="yellow"/>
          <w:lang w:eastAsia="zh-CN"/>
        </w:rPr>
        <w:t xml:space="preserve">onnection </w:t>
      </w:r>
      <w:r w:rsidRPr="005E055E">
        <w:rPr>
          <w:rFonts w:ascii="Arial" w:hAnsi="Arial" w:cs="Arial" w:hint="eastAsia"/>
          <w:highlight w:val="yellow"/>
          <w:lang w:eastAsia="zh-CN"/>
        </w:rPr>
        <w:t>p</w:t>
      </w:r>
      <w:r w:rsidRPr="005E055E">
        <w:rPr>
          <w:rFonts w:ascii="Arial" w:hAnsi="Arial" w:cs="Arial"/>
          <w:highlight w:val="yellow"/>
          <w:lang w:eastAsia="zh-CN"/>
        </w:rPr>
        <w:t xml:space="preserve">oint of </w:t>
      </w:r>
      <w:r w:rsidRPr="005E055E">
        <w:rPr>
          <w:rFonts w:ascii="Arial" w:hAnsi="Arial" w:cs="Arial" w:hint="eastAsia"/>
          <w:highlight w:val="yellow"/>
          <w:lang w:eastAsia="zh-CN"/>
        </w:rPr>
        <w:t>r</w:t>
      </w:r>
      <w:r w:rsidRPr="005E055E">
        <w:rPr>
          <w:rFonts w:ascii="Arial" w:hAnsi="Arial" w:cs="Arial"/>
          <w:highlight w:val="yellow"/>
          <w:lang w:eastAsia="zh-CN"/>
        </w:rPr>
        <w:t xml:space="preserve">enewable </w:t>
      </w:r>
      <w:r w:rsidRPr="005E055E">
        <w:rPr>
          <w:rFonts w:ascii="Arial" w:hAnsi="Arial" w:cs="Arial" w:hint="eastAsia"/>
          <w:highlight w:val="yellow"/>
          <w:lang w:eastAsia="zh-CN"/>
        </w:rPr>
        <w:t>e</w:t>
      </w:r>
      <w:r w:rsidRPr="005E055E">
        <w:rPr>
          <w:rFonts w:ascii="Arial" w:hAnsi="Arial" w:cs="Arial"/>
          <w:highlight w:val="yellow"/>
          <w:lang w:eastAsia="zh-CN"/>
        </w:rPr>
        <w:t xml:space="preserve">nergy </w:t>
      </w:r>
      <w:r w:rsidRPr="005E055E">
        <w:rPr>
          <w:rFonts w:ascii="Arial" w:hAnsi="Arial" w:cs="Arial" w:hint="eastAsia"/>
          <w:highlight w:val="yellow"/>
          <w:lang w:eastAsia="zh-CN"/>
        </w:rPr>
        <w:t>s</w:t>
      </w:r>
      <w:r w:rsidRPr="005E055E">
        <w:rPr>
          <w:rFonts w:ascii="Arial" w:hAnsi="Arial" w:cs="Arial"/>
          <w:highlight w:val="yellow"/>
          <w:lang w:eastAsia="zh-CN"/>
        </w:rPr>
        <w:t xml:space="preserve">tation </w:t>
      </w:r>
      <w:r w:rsidR="005E055E" w:rsidRPr="005E055E">
        <w:rPr>
          <w:rFonts w:ascii="Arial" w:hAnsi="Arial" w:cs="Arial"/>
          <w:highlight w:val="yellow"/>
          <w:lang w:eastAsia="zh-CN"/>
        </w:rPr>
        <w:t>of wind farm.</w:t>
      </w:r>
      <w:r w:rsidR="005E055E">
        <w:rPr>
          <w:rFonts w:ascii="Arial" w:hAnsi="Arial" w:cs="Arial"/>
          <w:lang w:eastAsia="zh-CN"/>
        </w:rPr>
        <w:t xml:space="preserve"> </w:t>
      </w:r>
      <w:r w:rsidR="002233CD">
        <w:rPr>
          <w:rFonts w:ascii="Arial" w:hAnsi="Arial" w:cs="Arial"/>
          <w:lang w:eastAsia="zh-CN"/>
        </w:rPr>
        <w:t>As shown in Fig.6., due to the highly unstable output of the wind farm, the index value fluctuates significantly, indicating poor voltage stability.</w:t>
      </w:r>
    </w:p>
    <w:p w14:paraId="4B2C94E9" w14:textId="7F977CA3" w:rsidR="00333AFA" w:rsidRDefault="002233CD">
      <w:pPr>
        <w:pStyle w:val="Body"/>
        <w:spacing w:after="0"/>
        <w:rPr>
          <w:rFonts w:ascii="Arial" w:hAnsi="Arial" w:cs="Arial"/>
          <w:lang w:eastAsia="zh-CN"/>
        </w:rPr>
      </w:pPr>
      <w:r>
        <w:rPr>
          <w:rFonts w:ascii="Arial" w:hAnsi="Arial" w:cs="Arial"/>
          <w:lang w:eastAsia="zh-CN"/>
        </w:rPr>
        <w:t xml:space="preserve">The NVSI index at the grid connection point of the photovoltaic power station can be calculated using Equation </w:t>
      </w:r>
      <w:r w:rsidR="004739A6">
        <w:rPr>
          <w:rFonts w:ascii="Arial" w:hAnsi="Arial" w:cs="Arial"/>
          <w:lang w:eastAsia="zh-CN"/>
        </w:rPr>
        <w:t>7</w:t>
      </w:r>
      <w:r>
        <w:rPr>
          <w:rFonts w:ascii="Arial" w:hAnsi="Arial" w:cs="Arial"/>
          <w:lang w:eastAsia="zh-CN"/>
        </w:rPr>
        <w:t>. The results are plotted as a line chart in Origin, as shown in Fig.7., with reactive power being 0.</w:t>
      </w:r>
    </w:p>
    <w:p w14:paraId="08599C7E" w14:textId="77777777" w:rsidR="00333AFA" w:rsidRDefault="002233CD">
      <w:pPr>
        <w:pStyle w:val="Body"/>
        <w:spacing w:after="0"/>
        <w:jc w:val="center"/>
        <w:rPr>
          <w:rFonts w:ascii="Times New Roman" w:eastAsia="宋体" w:hAnsi="Times New Roman"/>
          <w:lang w:eastAsia="zh-CN"/>
        </w:rPr>
      </w:pPr>
      <w:r>
        <w:rPr>
          <w:rFonts w:ascii="Times New Roman" w:eastAsia="宋体" w:hAnsi="Times New Roman"/>
          <w:noProof/>
          <w:lang w:eastAsia="zh-CN"/>
        </w:rPr>
        <w:drawing>
          <wp:inline distT="0" distB="0" distL="0" distR="0" wp14:anchorId="5A005876" wp14:editId="5A4E887F">
            <wp:extent cx="3943350" cy="358965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68801" cy="3612850"/>
                    </a:xfrm>
                    <a:prstGeom prst="rect">
                      <a:avLst/>
                    </a:prstGeom>
                    <a:noFill/>
                    <a:ln>
                      <a:noFill/>
                    </a:ln>
                  </pic:spPr>
                </pic:pic>
              </a:graphicData>
            </a:graphic>
          </wp:inline>
        </w:drawing>
      </w:r>
    </w:p>
    <w:p w14:paraId="70D54C30" w14:textId="77777777" w:rsidR="00333AFA" w:rsidRDefault="00333AFA">
      <w:pPr>
        <w:pStyle w:val="Body"/>
        <w:spacing w:after="0"/>
        <w:rPr>
          <w:rFonts w:ascii="Times New Roman" w:eastAsia="宋体" w:hAnsi="Times New Roman"/>
          <w:lang w:eastAsia="zh-CN"/>
        </w:rPr>
      </w:pPr>
    </w:p>
    <w:p w14:paraId="41D8B30A" w14:textId="77777777" w:rsidR="00333AFA" w:rsidRDefault="002233CD">
      <w:pPr>
        <w:pStyle w:val="Body"/>
        <w:spacing w:after="0"/>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7</w:t>
      </w:r>
      <w:r>
        <w:rPr>
          <w:rFonts w:ascii="Arial" w:hAnsi="Arial" w:cs="Arial" w:hint="eastAsia"/>
          <w:b/>
          <w:bCs/>
          <w:lang w:eastAsia="zh-CN"/>
        </w:rPr>
        <w:t xml:space="preserve">. </w:t>
      </w:r>
      <w:r>
        <w:rPr>
          <w:rFonts w:ascii="Arial" w:hAnsi="Arial" w:cs="Arial"/>
          <w:b/>
          <w:bCs/>
          <w:lang w:eastAsia="zh-CN"/>
        </w:rPr>
        <w:t xml:space="preserve">NVSI </w:t>
      </w:r>
      <w:r>
        <w:rPr>
          <w:rFonts w:ascii="Arial" w:hAnsi="Arial" w:cs="Arial" w:hint="eastAsia"/>
          <w:b/>
          <w:bCs/>
          <w:lang w:eastAsia="zh-CN"/>
        </w:rPr>
        <w:t>i</w:t>
      </w:r>
      <w:r>
        <w:rPr>
          <w:rFonts w:ascii="Arial" w:hAnsi="Arial" w:cs="Arial"/>
          <w:b/>
          <w:bCs/>
          <w:lang w:eastAsia="zh-CN"/>
        </w:rPr>
        <w:t xml:space="preserve">ndex at the </w:t>
      </w:r>
      <w:r>
        <w:rPr>
          <w:rFonts w:ascii="Arial" w:hAnsi="Arial" w:cs="Arial" w:hint="eastAsia"/>
          <w:b/>
          <w:bCs/>
          <w:lang w:eastAsia="zh-CN"/>
        </w:rPr>
        <w:t>g</w:t>
      </w:r>
      <w:r>
        <w:rPr>
          <w:rFonts w:ascii="Arial" w:hAnsi="Arial" w:cs="Arial"/>
          <w:b/>
          <w:bCs/>
          <w:lang w:eastAsia="zh-CN"/>
        </w:rPr>
        <w:t xml:space="preserve">rid </w:t>
      </w:r>
      <w:r>
        <w:rPr>
          <w:rFonts w:ascii="Arial" w:hAnsi="Arial" w:cs="Arial" w:hint="eastAsia"/>
          <w:b/>
          <w:bCs/>
          <w:lang w:eastAsia="zh-CN"/>
        </w:rPr>
        <w:t>c</w:t>
      </w:r>
      <w:r>
        <w:rPr>
          <w:rFonts w:ascii="Arial" w:hAnsi="Arial" w:cs="Arial"/>
          <w:b/>
          <w:bCs/>
          <w:lang w:eastAsia="zh-CN"/>
        </w:rPr>
        <w:t xml:space="preserve">onnection </w:t>
      </w:r>
      <w:r>
        <w:rPr>
          <w:rFonts w:ascii="Arial" w:hAnsi="Arial" w:cs="Arial" w:hint="eastAsia"/>
          <w:b/>
          <w:bCs/>
          <w:lang w:eastAsia="zh-CN"/>
        </w:rPr>
        <w:t>p</w:t>
      </w:r>
      <w:r>
        <w:rPr>
          <w:rFonts w:ascii="Arial" w:hAnsi="Arial" w:cs="Arial"/>
          <w:b/>
          <w:bCs/>
          <w:lang w:eastAsia="zh-CN"/>
        </w:rPr>
        <w:t xml:space="preserve">oint of </w:t>
      </w:r>
      <w:r>
        <w:rPr>
          <w:rFonts w:ascii="Arial" w:hAnsi="Arial" w:cs="Arial" w:hint="eastAsia"/>
          <w:b/>
          <w:bCs/>
          <w:lang w:eastAsia="zh-CN"/>
        </w:rPr>
        <w:t>r</w:t>
      </w:r>
      <w:r>
        <w:rPr>
          <w:rFonts w:ascii="Arial" w:hAnsi="Arial" w:cs="Arial"/>
          <w:b/>
          <w:bCs/>
          <w:lang w:eastAsia="zh-CN"/>
        </w:rPr>
        <w:t xml:space="preserve">enewable </w:t>
      </w:r>
      <w:r>
        <w:rPr>
          <w:rFonts w:ascii="Arial" w:hAnsi="Arial" w:cs="Arial" w:hint="eastAsia"/>
          <w:b/>
          <w:bCs/>
          <w:lang w:eastAsia="zh-CN"/>
        </w:rPr>
        <w:t>e</w:t>
      </w:r>
      <w:r>
        <w:rPr>
          <w:rFonts w:ascii="Arial" w:hAnsi="Arial" w:cs="Arial"/>
          <w:b/>
          <w:bCs/>
          <w:lang w:eastAsia="zh-CN"/>
        </w:rPr>
        <w:t xml:space="preserve">nergy </w:t>
      </w:r>
      <w:r>
        <w:rPr>
          <w:rFonts w:ascii="Arial" w:hAnsi="Arial" w:cs="Arial" w:hint="eastAsia"/>
          <w:b/>
          <w:bCs/>
          <w:lang w:eastAsia="zh-CN"/>
        </w:rPr>
        <w:t>s</w:t>
      </w:r>
      <w:r>
        <w:rPr>
          <w:rFonts w:ascii="Arial" w:hAnsi="Arial" w:cs="Arial"/>
          <w:b/>
          <w:bCs/>
          <w:lang w:eastAsia="zh-CN"/>
        </w:rPr>
        <w:t>tation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31596C29" w14:textId="77777777" w:rsidR="00333AFA" w:rsidRDefault="00333AFA">
      <w:pPr>
        <w:pStyle w:val="Body"/>
        <w:spacing w:after="0"/>
        <w:rPr>
          <w:rFonts w:ascii="Arial" w:hAnsi="Arial" w:cs="Arial"/>
          <w:b/>
          <w:bCs/>
          <w:lang w:eastAsia="zh-CN"/>
        </w:rPr>
      </w:pPr>
    </w:p>
    <w:p w14:paraId="4E973F74" w14:textId="73047A7F" w:rsidR="00333AFA" w:rsidRDefault="005E055E">
      <w:pPr>
        <w:pStyle w:val="Body"/>
        <w:spacing w:after="0"/>
        <w:rPr>
          <w:rFonts w:ascii="Arial" w:hAnsi="Arial" w:cs="Arial"/>
          <w:lang w:eastAsia="zh-CN"/>
        </w:rPr>
      </w:pPr>
      <w:r w:rsidRPr="005E055E">
        <w:rPr>
          <w:rFonts w:ascii="Arial" w:hAnsi="Arial" w:cs="Arial"/>
          <w:highlight w:val="yellow"/>
          <w:lang w:eastAsia="zh-CN"/>
        </w:rPr>
        <w:t>Fig.</w:t>
      </w:r>
      <w:r>
        <w:rPr>
          <w:rFonts w:ascii="Arial" w:hAnsi="Arial" w:cs="Arial"/>
          <w:highlight w:val="yellow"/>
          <w:lang w:eastAsia="zh-CN"/>
        </w:rPr>
        <w:t>7</w:t>
      </w:r>
      <w:r w:rsidRPr="005E055E">
        <w:rPr>
          <w:rFonts w:ascii="Arial" w:hAnsi="Arial" w:cs="Arial"/>
          <w:highlight w:val="yellow"/>
          <w:lang w:eastAsia="zh-CN"/>
        </w:rPr>
        <w:t xml:space="preserve">. illustrates the NVSI </w:t>
      </w:r>
      <w:r w:rsidRPr="005E055E">
        <w:rPr>
          <w:rFonts w:ascii="Arial" w:hAnsi="Arial" w:cs="Arial" w:hint="eastAsia"/>
          <w:highlight w:val="yellow"/>
          <w:lang w:eastAsia="zh-CN"/>
        </w:rPr>
        <w:t>i</w:t>
      </w:r>
      <w:r w:rsidRPr="005E055E">
        <w:rPr>
          <w:rFonts w:ascii="Arial" w:hAnsi="Arial" w:cs="Arial"/>
          <w:highlight w:val="yellow"/>
          <w:lang w:eastAsia="zh-CN"/>
        </w:rPr>
        <w:t xml:space="preserve">ndex at the </w:t>
      </w:r>
      <w:r w:rsidRPr="005E055E">
        <w:rPr>
          <w:rFonts w:ascii="Arial" w:hAnsi="Arial" w:cs="Arial" w:hint="eastAsia"/>
          <w:highlight w:val="yellow"/>
          <w:lang w:eastAsia="zh-CN"/>
        </w:rPr>
        <w:t>g</w:t>
      </w:r>
      <w:r w:rsidRPr="005E055E">
        <w:rPr>
          <w:rFonts w:ascii="Arial" w:hAnsi="Arial" w:cs="Arial"/>
          <w:highlight w:val="yellow"/>
          <w:lang w:eastAsia="zh-CN"/>
        </w:rPr>
        <w:t xml:space="preserve">rid </w:t>
      </w:r>
      <w:r w:rsidRPr="005E055E">
        <w:rPr>
          <w:rFonts w:ascii="Arial" w:hAnsi="Arial" w:cs="Arial" w:hint="eastAsia"/>
          <w:highlight w:val="yellow"/>
          <w:lang w:eastAsia="zh-CN"/>
        </w:rPr>
        <w:t>c</w:t>
      </w:r>
      <w:r w:rsidRPr="005E055E">
        <w:rPr>
          <w:rFonts w:ascii="Arial" w:hAnsi="Arial" w:cs="Arial"/>
          <w:highlight w:val="yellow"/>
          <w:lang w:eastAsia="zh-CN"/>
        </w:rPr>
        <w:t xml:space="preserve">onnection </w:t>
      </w:r>
      <w:r w:rsidRPr="005E055E">
        <w:rPr>
          <w:rFonts w:ascii="Arial" w:hAnsi="Arial" w:cs="Arial" w:hint="eastAsia"/>
          <w:highlight w:val="yellow"/>
          <w:lang w:eastAsia="zh-CN"/>
        </w:rPr>
        <w:t>p</w:t>
      </w:r>
      <w:r w:rsidRPr="005E055E">
        <w:rPr>
          <w:rFonts w:ascii="Arial" w:hAnsi="Arial" w:cs="Arial"/>
          <w:highlight w:val="yellow"/>
          <w:lang w:eastAsia="zh-CN"/>
        </w:rPr>
        <w:t xml:space="preserve">oint of </w:t>
      </w:r>
      <w:r w:rsidRPr="005E055E">
        <w:rPr>
          <w:rFonts w:ascii="Arial" w:hAnsi="Arial" w:cs="Arial" w:hint="eastAsia"/>
          <w:highlight w:val="yellow"/>
          <w:lang w:eastAsia="zh-CN"/>
        </w:rPr>
        <w:t>r</w:t>
      </w:r>
      <w:r w:rsidRPr="005E055E">
        <w:rPr>
          <w:rFonts w:ascii="Arial" w:hAnsi="Arial" w:cs="Arial"/>
          <w:highlight w:val="yellow"/>
          <w:lang w:eastAsia="zh-CN"/>
        </w:rPr>
        <w:t xml:space="preserve">enewable </w:t>
      </w:r>
      <w:r w:rsidRPr="005E055E">
        <w:rPr>
          <w:rFonts w:ascii="Arial" w:hAnsi="Arial" w:cs="Arial" w:hint="eastAsia"/>
          <w:highlight w:val="yellow"/>
          <w:lang w:eastAsia="zh-CN"/>
        </w:rPr>
        <w:t>e</w:t>
      </w:r>
      <w:r w:rsidRPr="005E055E">
        <w:rPr>
          <w:rFonts w:ascii="Arial" w:hAnsi="Arial" w:cs="Arial"/>
          <w:highlight w:val="yellow"/>
          <w:lang w:eastAsia="zh-CN"/>
        </w:rPr>
        <w:t xml:space="preserve">nergy </w:t>
      </w:r>
      <w:r w:rsidRPr="005E055E">
        <w:rPr>
          <w:rFonts w:ascii="Arial" w:hAnsi="Arial" w:cs="Arial" w:hint="eastAsia"/>
          <w:highlight w:val="yellow"/>
          <w:lang w:eastAsia="zh-CN"/>
        </w:rPr>
        <w:t>s</w:t>
      </w:r>
      <w:r w:rsidRPr="005E055E">
        <w:rPr>
          <w:rFonts w:ascii="Arial" w:hAnsi="Arial" w:cs="Arial"/>
          <w:highlight w:val="yellow"/>
          <w:lang w:eastAsia="zh-CN"/>
        </w:rPr>
        <w:t xml:space="preserve">tation of </w:t>
      </w:r>
      <w:r w:rsidRPr="005E055E">
        <w:rPr>
          <w:rFonts w:ascii="Arial" w:hAnsi="Arial" w:cs="Arial" w:hint="eastAsia"/>
          <w:highlight w:val="yellow"/>
          <w:lang w:eastAsia="zh-CN"/>
        </w:rPr>
        <w:t>p</w:t>
      </w:r>
      <w:r w:rsidRPr="005E055E">
        <w:rPr>
          <w:rFonts w:ascii="Arial" w:hAnsi="Arial" w:cs="Arial"/>
          <w:highlight w:val="yellow"/>
          <w:lang w:eastAsia="zh-CN"/>
        </w:rPr>
        <w:t xml:space="preserve">hotovoltaic </w:t>
      </w:r>
      <w:r w:rsidRPr="005E055E">
        <w:rPr>
          <w:rFonts w:ascii="Arial" w:hAnsi="Arial" w:cs="Arial" w:hint="eastAsia"/>
          <w:highlight w:val="yellow"/>
          <w:lang w:eastAsia="zh-CN"/>
        </w:rPr>
        <w:t>p</w:t>
      </w:r>
      <w:r w:rsidRPr="005E055E">
        <w:rPr>
          <w:rFonts w:ascii="Arial" w:hAnsi="Arial" w:cs="Arial"/>
          <w:highlight w:val="yellow"/>
          <w:lang w:eastAsia="zh-CN"/>
        </w:rPr>
        <w:t xml:space="preserve">ower </w:t>
      </w:r>
      <w:r w:rsidRPr="005E055E">
        <w:rPr>
          <w:rFonts w:ascii="Arial" w:hAnsi="Arial" w:cs="Arial" w:hint="eastAsia"/>
          <w:highlight w:val="yellow"/>
          <w:lang w:eastAsia="zh-CN"/>
        </w:rPr>
        <w:t>s</w:t>
      </w:r>
      <w:r w:rsidRPr="005E055E">
        <w:rPr>
          <w:rFonts w:ascii="Arial" w:hAnsi="Arial" w:cs="Arial"/>
          <w:highlight w:val="yellow"/>
          <w:lang w:eastAsia="zh-CN"/>
        </w:rPr>
        <w:t>tation.</w:t>
      </w:r>
      <w:r>
        <w:rPr>
          <w:rFonts w:ascii="Arial" w:hAnsi="Arial" w:cs="Arial"/>
          <w:lang w:eastAsia="zh-CN"/>
        </w:rPr>
        <w:t xml:space="preserve"> </w:t>
      </w:r>
      <w:r w:rsidR="002233CD">
        <w:rPr>
          <w:rFonts w:ascii="Arial" w:hAnsi="Arial" w:cs="Arial"/>
          <w:lang w:eastAsia="zh-CN"/>
        </w:rPr>
        <w:t>As shown in Fig.7., when there is photovoltaic output, as the active power gradually increases from 7:00 to 10:00, the NVSI index value also increases, indicating that the system voltage becomes more stable. Between 10:00 and 14:15, the index value fluctuates, and the system voltage is not very stable. After 14:15, as the photovoltaic output gradually decreases, the system voltage stability worsens, but it remains in a stable state.</w:t>
      </w:r>
    </w:p>
    <w:p w14:paraId="1B6A27D3" w14:textId="77777777" w:rsidR="00333AFA" w:rsidRDefault="00333AFA">
      <w:pPr>
        <w:pStyle w:val="Body"/>
        <w:spacing w:after="0"/>
        <w:rPr>
          <w:rFonts w:ascii="Arial" w:hAnsi="Arial" w:cs="Arial"/>
          <w:lang w:eastAsia="zh-CN"/>
        </w:rPr>
      </w:pPr>
    </w:p>
    <w:p w14:paraId="52868598" w14:textId="77777777" w:rsidR="00333AFA" w:rsidRDefault="002233CD">
      <w:pPr>
        <w:pStyle w:val="Head1"/>
        <w:numPr>
          <w:ilvl w:val="0"/>
          <w:numId w:val="2"/>
        </w:numPr>
        <w:spacing w:after="0"/>
        <w:jc w:val="both"/>
        <w:rPr>
          <w:rFonts w:ascii="Arial" w:hAnsi="Arial" w:cs="Arial"/>
        </w:rPr>
      </w:pPr>
      <w:r>
        <w:rPr>
          <w:rFonts w:ascii="Arial" w:hAnsi="Arial" w:cs="Arial"/>
        </w:rPr>
        <w:t>Comparison of the Application Effect of Each Index</w:t>
      </w:r>
    </w:p>
    <w:p w14:paraId="0DBFFE0D" w14:textId="77777777" w:rsidR="00333AFA" w:rsidRDefault="00333AFA">
      <w:pPr>
        <w:pStyle w:val="Head1"/>
        <w:spacing w:after="0"/>
        <w:jc w:val="both"/>
        <w:rPr>
          <w:rFonts w:ascii="Arial" w:hAnsi="Arial" w:cs="Arial"/>
        </w:rPr>
      </w:pPr>
    </w:p>
    <w:p w14:paraId="1981E66E" w14:textId="36DA6919" w:rsidR="00333AFA" w:rsidRDefault="002233CD">
      <w:pPr>
        <w:pStyle w:val="Body"/>
        <w:spacing w:after="0"/>
        <w:rPr>
          <w:rFonts w:ascii="Arial" w:hAnsi="Arial" w:cs="Arial"/>
          <w:lang w:eastAsia="zh-CN"/>
        </w:rPr>
      </w:pPr>
      <w:r>
        <w:rPr>
          <w:rFonts w:ascii="Arial" w:hAnsi="Arial" w:cs="Arial" w:hint="eastAsia"/>
          <w:lang w:eastAsia="zh-CN"/>
        </w:rPr>
        <w:t>The SVSMR index, NVSI index at the grid connection point of renewable energy stations, and load margin index are compared, as shown in Figs</w:t>
      </w:r>
      <w:r>
        <w:rPr>
          <w:rFonts w:ascii="Arial" w:hAnsi="Arial" w:cs="Arial"/>
          <w:lang w:eastAsia="zh-CN"/>
        </w:rPr>
        <w:t>.</w:t>
      </w:r>
      <w:r>
        <w:rPr>
          <w:rFonts w:ascii="Arial" w:hAnsi="Arial" w:cs="Arial" w:hint="eastAsia"/>
          <w:lang w:eastAsia="zh-CN"/>
        </w:rPr>
        <w:t xml:space="preserve"> </w:t>
      </w:r>
      <w:r w:rsidR="005E055E">
        <w:rPr>
          <w:rFonts w:ascii="Arial" w:hAnsi="Arial" w:cs="Arial"/>
          <w:lang w:eastAsia="zh-CN"/>
        </w:rPr>
        <w:t>8</w:t>
      </w:r>
      <w:r>
        <w:rPr>
          <w:rFonts w:ascii="Arial" w:hAnsi="Arial" w:cs="Arial"/>
          <w:lang w:eastAsia="zh-CN"/>
        </w:rPr>
        <w:t xml:space="preserve">, </w:t>
      </w:r>
      <w:r w:rsidR="005E055E">
        <w:rPr>
          <w:rFonts w:ascii="Arial" w:hAnsi="Arial" w:cs="Arial"/>
          <w:lang w:eastAsia="zh-CN"/>
        </w:rPr>
        <w:t>9</w:t>
      </w:r>
      <w:r>
        <w:rPr>
          <w:rFonts w:ascii="Arial" w:hAnsi="Arial" w:cs="Arial" w:hint="eastAsia"/>
          <w:lang w:eastAsia="zh-CN"/>
        </w:rPr>
        <w:t xml:space="preserve">. </w:t>
      </w:r>
      <w:r w:rsidR="005E055E" w:rsidRPr="005E055E">
        <w:rPr>
          <w:rFonts w:ascii="Arial" w:hAnsi="Arial" w:cs="Arial"/>
          <w:highlight w:val="yellow"/>
          <w:lang w:eastAsia="zh-CN"/>
        </w:rPr>
        <w:t>Fig.8. illustrates the comparison of the three indices of wind farm. Fig.</w:t>
      </w:r>
      <w:r w:rsidR="005E055E">
        <w:rPr>
          <w:rFonts w:ascii="Arial" w:hAnsi="Arial" w:cs="Arial"/>
          <w:highlight w:val="yellow"/>
          <w:lang w:eastAsia="zh-CN"/>
        </w:rPr>
        <w:t>9</w:t>
      </w:r>
      <w:r w:rsidR="005E055E" w:rsidRPr="005E055E">
        <w:rPr>
          <w:rFonts w:ascii="Arial" w:hAnsi="Arial" w:cs="Arial"/>
          <w:highlight w:val="yellow"/>
          <w:lang w:eastAsia="zh-CN"/>
        </w:rPr>
        <w:t>. illustrates the comparison of the three indices of photovoltaic power station.</w:t>
      </w:r>
      <w:r w:rsidR="005E055E">
        <w:rPr>
          <w:rFonts w:ascii="Arial" w:hAnsi="Arial" w:cs="Arial"/>
          <w:lang w:eastAsia="zh-CN"/>
        </w:rPr>
        <w:t xml:space="preserve"> </w:t>
      </w:r>
      <w:r>
        <w:rPr>
          <w:rFonts w:ascii="Arial" w:hAnsi="Arial" w:cs="Arial" w:hint="eastAsia"/>
          <w:lang w:eastAsia="zh-CN"/>
        </w:rPr>
        <w:t>Sin</w:t>
      </w:r>
      <w:r w:rsidR="005E055E">
        <w:rPr>
          <w:rFonts w:ascii="Arial" w:hAnsi="Arial" w:cs="Arial"/>
          <w:lang w:eastAsia="zh-CN"/>
        </w:rPr>
        <w:t>c</w:t>
      </w:r>
      <w:r>
        <w:rPr>
          <w:rFonts w:ascii="Arial" w:hAnsi="Arial" w:cs="Arial" w:hint="eastAsia"/>
          <w:lang w:eastAsia="zh-CN"/>
        </w:rPr>
        <w:t>e the SVSMR index shows significant fluctuations due to the highly unstable wind farm output before 7:00 and after 22:45, as well as around 13:30 on a certain day, the index value changes greatly. Therefore, for the wind-solar power stations, the scale of the index line charts was reduced by a factor of 1000.</w:t>
      </w:r>
    </w:p>
    <w:p w14:paraId="2771DC29" w14:textId="77777777" w:rsidR="00333AFA" w:rsidRDefault="002233CD">
      <w:pPr>
        <w:pStyle w:val="Body"/>
        <w:spacing w:after="0"/>
        <w:jc w:val="center"/>
        <w:rPr>
          <w:rFonts w:ascii="Times New Roman" w:eastAsia="宋体" w:hAnsi="Times New Roman"/>
          <w:lang w:eastAsia="zh-CN"/>
        </w:rPr>
      </w:pPr>
      <w:r>
        <w:rPr>
          <w:rFonts w:ascii="Times New Roman" w:eastAsia="宋体" w:hAnsi="Times New Roman"/>
          <w:noProof/>
          <w:lang w:eastAsia="zh-CN"/>
        </w:rPr>
        <w:lastRenderedPageBreak/>
        <w:drawing>
          <wp:inline distT="0" distB="0" distL="0" distR="0" wp14:anchorId="11D763FB" wp14:editId="0F23409F">
            <wp:extent cx="5128895" cy="22263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57925" cy="2238962"/>
                    </a:xfrm>
                    <a:prstGeom prst="rect">
                      <a:avLst/>
                    </a:prstGeom>
                    <a:noFill/>
                    <a:ln>
                      <a:noFill/>
                    </a:ln>
                  </pic:spPr>
                </pic:pic>
              </a:graphicData>
            </a:graphic>
          </wp:inline>
        </w:drawing>
      </w:r>
    </w:p>
    <w:p w14:paraId="5617CE56" w14:textId="77777777" w:rsidR="00333AFA" w:rsidRDefault="00333AFA">
      <w:pPr>
        <w:pStyle w:val="Body"/>
        <w:spacing w:after="0"/>
        <w:jc w:val="center"/>
        <w:rPr>
          <w:rFonts w:ascii="Times New Roman" w:eastAsia="宋体" w:hAnsi="Times New Roman"/>
          <w:lang w:eastAsia="zh-CN"/>
        </w:rPr>
      </w:pPr>
    </w:p>
    <w:p w14:paraId="6A5390FB"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8</w:t>
      </w:r>
      <w:r>
        <w:rPr>
          <w:rFonts w:ascii="Arial" w:hAnsi="Arial" w:cs="Arial" w:hint="eastAsia"/>
          <w:b/>
          <w:bCs/>
          <w:lang w:eastAsia="zh-CN"/>
        </w:rPr>
        <w:t>.</w:t>
      </w:r>
      <w:r>
        <w:rPr>
          <w:rFonts w:ascii="Arial" w:hAnsi="Arial" w:cs="Arial"/>
          <w:b/>
          <w:bCs/>
          <w:lang w:eastAsia="zh-CN"/>
        </w:rPr>
        <w:t xml:space="preserve"> Comparison of the </w:t>
      </w:r>
      <w:r>
        <w:rPr>
          <w:rFonts w:ascii="Arial" w:hAnsi="Arial" w:cs="Arial" w:hint="eastAsia"/>
          <w:b/>
          <w:bCs/>
          <w:lang w:eastAsia="zh-CN"/>
        </w:rPr>
        <w:t>t</w:t>
      </w:r>
      <w:r>
        <w:rPr>
          <w:rFonts w:ascii="Arial" w:hAnsi="Arial" w:cs="Arial"/>
          <w:b/>
          <w:bCs/>
          <w:lang w:eastAsia="zh-CN"/>
        </w:rPr>
        <w:t xml:space="preserve">hree </w:t>
      </w:r>
      <w:r>
        <w:rPr>
          <w:rFonts w:ascii="Arial" w:hAnsi="Arial" w:cs="Arial" w:hint="eastAsia"/>
          <w:b/>
          <w:bCs/>
          <w:lang w:eastAsia="zh-CN"/>
        </w:rPr>
        <w:t>i</w:t>
      </w:r>
      <w:r>
        <w:rPr>
          <w:rFonts w:ascii="Arial" w:hAnsi="Arial" w:cs="Arial"/>
          <w:b/>
          <w:bCs/>
          <w:lang w:eastAsia="zh-CN"/>
        </w:rPr>
        <w:t>ndices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22EDE1ED" w14:textId="77777777" w:rsidR="00333AFA" w:rsidRDefault="00333AFA">
      <w:pPr>
        <w:pStyle w:val="Body"/>
        <w:spacing w:after="0"/>
        <w:jc w:val="center"/>
        <w:rPr>
          <w:rFonts w:ascii="Arial" w:hAnsi="Arial" w:cs="Arial"/>
          <w:b/>
          <w:bCs/>
          <w:lang w:eastAsia="zh-CN"/>
        </w:rPr>
      </w:pPr>
    </w:p>
    <w:p w14:paraId="1B00F46D" w14:textId="77777777" w:rsidR="00333AFA" w:rsidRDefault="002233CD">
      <w:pPr>
        <w:pStyle w:val="Body"/>
        <w:spacing w:after="0"/>
        <w:jc w:val="center"/>
        <w:rPr>
          <w:rFonts w:ascii="Times New Roman" w:eastAsia="宋体" w:hAnsi="Times New Roman"/>
          <w:lang w:eastAsia="zh-CN"/>
        </w:rPr>
      </w:pPr>
      <w:r>
        <w:rPr>
          <w:rFonts w:ascii="Times New Roman" w:eastAsia="宋体" w:hAnsi="Times New Roman"/>
          <w:noProof/>
          <w:lang w:eastAsia="zh-CN"/>
        </w:rPr>
        <w:drawing>
          <wp:inline distT="0" distB="0" distL="0" distR="0" wp14:anchorId="5672BC39" wp14:editId="0AABB3D9">
            <wp:extent cx="4104640" cy="23685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128424" cy="2382190"/>
                    </a:xfrm>
                    <a:prstGeom prst="rect">
                      <a:avLst/>
                    </a:prstGeom>
                    <a:noFill/>
                    <a:ln>
                      <a:noFill/>
                    </a:ln>
                  </pic:spPr>
                </pic:pic>
              </a:graphicData>
            </a:graphic>
          </wp:inline>
        </w:drawing>
      </w:r>
    </w:p>
    <w:p w14:paraId="0EADBD56" w14:textId="77777777" w:rsidR="00333AFA" w:rsidRDefault="00333AFA">
      <w:pPr>
        <w:pStyle w:val="Body"/>
        <w:spacing w:after="0"/>
        <w:jc w:val="center"/>
        <w:rPr>
          <w:rFonts w:ascii="Times New Roman" w:eastAsia="宋体" w:hAnsi="Times New Roman"/>
          <w:lang w:eastAsia="zh-CN"/>
        </w:rPr>
      </w:pPr>
    </w:p>
    <w:p w14:paraId="3A454783"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 xml:space="preserve">.9. </w:t>
      </w:r>
      <w:r>
        <w:rPr>
          <w:rFonts w:ascii="Arial" w:hAnsi="Arial" w:cs="Arial"/>
          <w:b/>
          <w:bCs/>
          <w:lang w:eastAsia="zh-CN"/>
        </w:rPr>
        <w:t xml:space="preserve">Comparison of the </w:t>
      </w:r>
      <w:r>
        <w:rPr>
          <w:rFonts w:ascii="Arial" w:hAnsi="Arial" w:cs="Arial" w:hint="eastAsia"/>
          <w:b/>
          <w:bCs/>
          <w:lang w:eastAsia="zh-CN"/>
        </w:rPr>
        <w:t>t</w:t>
      </w:r>
      <w:r>
        <w:rPr>
          <w:rFonts w:ascii="Arial" w:hAnsi="Arial" w:cs="Arial"/>
          <w:b/>
          <w:bCs/>
          <w:lang w:eastAsia="zh-CN"/>
        </w:rPr>
        <w:t xml:space="preserve">hree </w:t>
      </w:r>
      <w:r>
        <w:rPr>
          <w:rFonts w:ascii="Arial" w:hAnsi="Arial" w:cs="Arial" w:hint="eastAsia"/>
          <w:b/>
          <w:bCs/>
          <w:lang w:eastAsia="zh-CN"/>
        </w:rPr>
        <w:t>i</w:t>
      </w:r>
      <w:r>
        <w:rPr>
          <w:rFonts w:ascii="Arial" w:hAnsi="Arial" w:cs="Arial"/>
          <w:b/>
          <w:bCs/>
          <w:lang w:eastAsia="zh-CN"/>
        </w:rPr>
        <w:t>ndices (</w:t>
      </w:r>
      <w:bookmarkStart w:id="3" w:name="_Hlk192268919"/>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bookmarkEnd w:id="3"/>
      <w:r>
        <w:rPr>
          <w:rFonts w:ascii="Arial" w:hAnsi="Arial" w:cs="Arial"/>
          <w:b/>
          <w:bCs/>
          <w:lang w:eastAsia="zh-CN"/>
        </w:rPr>
        <w:t>)</w:t>
      </w:r>
    </w:p>
    <w:p w14:paraId="0ED53A12" w14:textId="77777777" w:rsidR="00333AFA" w:rsidRDefault="00333AFA">
      <w:pPr>
        <w:pStyle w:val="Body"/>
        <w:spacing w:after="0"/>
        <w:rPr>
          <w:rFonts w:ascii="Arial" w:eastAsiaTheme="minorEastAsia" w:hAnsi="Arial" w:cs="Arial"/>
          <w:b/>
          <w:bCs/>
          <w:lang w:eastAsia="zh-CN"/>
        </w:rPr>
      </w:pPr>
    </w:p>
    <w:p w14:paraId="252170F9" w14:textId="77777777" w:rsidR="00333AFA" w:rsidRDefault="002233CD">
      <w:pPr>
        <w:pStyle w:val="Body"/>
        <w:spacing w:after="0"/>
        <w:rPr>
          <w:rFonts w:ascii="Arial" w:hAnsi="Arial" w:cs="Arial"/>
          <w:lang w:eastAsia="zh-CN"/>
        </w:rPr>
      </w:pPr>
      <w:r>
        <w:rPr>
          <w:rFonts w:ascii="Arial" w:hAnsi="Arial" w:cs="Arial" w:hint="eastAsia"/>
          <w:lang w:eastAsia="zh-CN"/>
        </w:rPr>
        <w:t>As shown in</w:t>
      </w:r>
      <w:r>
        <w:rPr>
          <w:rFonts w:ascii="Arial" w:hAnsi="Arial" w:cs="Arial"/>
          <w:lang w:eastAsia="zh-CN"/>
        </w:rPr>
        <w:t xml:space="preserve"> Fig.9.</w:t>
      </w:r>
      <w:r>
        <w:rPr>
          <w:rFonts w:ascii="Arial" w:hAnsi="Arial" w:cs="Arial" w:hint="eastAsia"/>
          <w:lang w:eastAsia="zh-CN"/>
        </w:rPr>
        <w:t>, for the wind farm, at 9:45, the SVSMR index is relatively small, corresponding to a small load margin index, indicating poor voltage stability. At 1:45, the SVSMR index is relatively large, corresponding to a large load margin index, indicating good voltage stability. At 6:45, the NVSI index value is large, corresponding to a large load margin index, indicating good voltage stability. At 10:00, the NVSI index value is small, corresponding to a small load margin index, indicating poor voltage stability.</w:t>
      </w:r>
    </w:p>
    <w:p w14:paraId="0EF7CF49" w14:textId="77777777" w:rsidR="00333AFA" w:rsidRDefault="002233CD">
      <w:pPr>
        <w:pStyle w:val="Body"/>
        <w:spacing w:after="0"/>
        <w:rPr>
          <w:rFonts w:ascii="Arial" w:hAnsi="Arial" w:cs="Arial"/>
          <w:lang w:eastAsia="zh-CN"/>
        </w:rPr>
      </w:pPr>
      <w:r>
        <w:rPr>
          <w:rFonts w:ascii="Arial" w:hAnsi="Arial" w:cs="Arial" w:hint="eastAsia"/>
          <w:lang w:eastAsia="zh-CN"/>
        </w:rPr>
        <w:t>For the photovoltaic power station, at 17:45, the SVSMR index is small, corresponding to a small load margin index, indicating poor voltage stability. At 13:45, the SVSMR index is large, corresponding to a large load margin index, indicating good voltage stability. At 10:00, the NVSI index value is large, corresponding to a large load margin index, indicating good voltage stability. At 7:00, the NVSI index value is small, while the load margin index is large. This could be due to the fact that, at this moment, there is some photovoltaic output, but it is small, leading to poor voltage stability at the photovoltaic power station's grid connection point. Meanwhile, the wind farm's active power output is relatively large, contributing to good overall voltage stability in the grid.</w:t>
      </w:r>
    </w:p>
    <w:p w14:paraId="53D7DA4B" w14:textId="77777777" w:rsidR="00333AFA" w:rsidRDefault="002233CD">
      <w:pPr>
        <w:pStyle w:val="Body"/>
        <w:spacing w:after="0"/>
        <w:rPr>
          <w:rFonts w:ascii="Arial" w:hAnsi="Arial" w:cs="Arial"/>
          <w:lang w:eastAsia="zh-CN"/>
        </w:rPr>
      </w:pPr>
      <w:r>
        <w:rPr>
          <w:rFonts w:ascii="Arial" w:hAnsi="Arial" w:cs="Arial" w:hint="eastAsia"/>
          <w:lang w:eastAsia="zh-CN"/>
        </w:rPr>
        <w:lastRenderedPageBreak/>
        <w:t>Thus, the SVSMR margin ratio index and NVSI index both show similar trends in assessing voltage stability changes and are both suitable for evaluating the voltage stability after the integration of renewable energy stations into the grid.</w:t>
      </w:r>
    </w:p>
    <w:p w14:paraId="1ADE409F" w14:textId="77777777" w:rsidR="00333AFA" w:rsidRDefault="00333AFA">
      <w:pPr>
        <w:pStyle w:val="Body"/>
        <w:spacing w:after="0"/>
        <w:rPr>
          <w:rFonts w:ascii="Arial" w:hAnsi="Arial" w:cs="Arial"/>
          <w:b/>
          <w:bCs/>
          <w:lang w:eastAsia="zh-CN"/>
        </w:rPr>
      </w:pPr>
    </w:p>
    <w:p w14:paraId="5B61D147" w14:textId="77777777" w:rsidR="00333AFA" w:rsidRDefault="002233CD">
      <w:pPr>
        <w:pStyle w:val="Head1"/>
        <w:numPr>
          <w:ilvl w:val="0"/>
          <w:numId w:val="2"/>
        </w:numPr>
        <w:spacing w:after="0"/>
        <w:jc w:val="both"/>
        <w:rPr>
          <w:rFonts w:ascii="Arial" w:hAnsi="Arial" w:cs="Arial"/>
          <w:bCs/>
          <w:sz w:val="20"/>
          <w:lang w:eastAsia="zh-CN"/>
        </w:rPr>
      </w:pPr>
      <w:r>
        <w:rPr>
          <w:rFonts w:ascii="Arial" w:hAnsi="Arial" w:cs="Arial" w:hint="eastAsia"/>
          <w:lang w:eastAsia="zh-CN"/>
        </w:rPr>
        <w:t>CONCLUSION</w:t>
      </w:r>
    </w:p>
    <w:p w14:paraId="52A66F80" w14:textId="77777777" w:rsidR="00333AFA" w:rsidRDefault="00333AFA">
      <w:pPr>
        <w:pStyle w:val="Head1"/>
        <w:spacing w:after="0"/>
        <w:jc w:val="both"/>
        <w:rPr>
          <w:rFonts w:ascii="Arial" w:hAnsi="Arial" w:cs="Arial"/>
          <w:lang w:eastAsia="zh-CN"/>
        </w:rPr>
      </w:pPr>
    </w:p>
    <w:p w14:paraId="5610721E" w14:textId="2AE2CA56" w:rsidR="00333AFA" w:rsidRDefault="002233CD">
      <w:pPr>
        <w:pStyle w:val="Body"/>
        <w:spacing w:after="0"/>
        <w:rPr>
          <w:rFonts w:ascii="Arial" w:hAnsi="Arial" w:cs="Arial"/>
          <w:lang w:eastAsia="zh-CN"/>
        </w:rPr>
      </w:pPr>
      <w:r>
        <w:rPr>
          <w:rFonts w:ascii="Arial" w:hAnsi="Arial" w:cs="Arial" w:hint="eastAsia"/>
          <w:lang w:eastAsia="zh-CN"/>
        </w:rPr>
        <w:t>This paper analyzes the static voltage stability indices suitable for renewable energy station grid integration systems, including the SVSMR index and the NVSI index at the grid connection points of renewable energy stations. It also compares and analyzes their ability to assess the system's static voltage stability. The analysis results show that the SVSMR and NVSI indices are generally consistent with the load margin index in evaluating the grid voltage stability of renewable energy stations, and both indices are effective in assessing the static voltage stability of renewable energy station grid integration systems.</w:t>
      </w:r>
      <w:r w:rsidR="005E055E">
        <w:rPr>
          <w:rFonts w:ascii="Arial" w:hAnsi="Arial" w:cs="Arial"/>
          <w:lang w:eastAsia="zh-CN"/>
        </w:rPr>
        <w:t xml:space="preserve"> </w:t>
      </w:r>
      <w:r w:rsidR="005E055E" w:rsidRPr="005E055E">
        <w:rPr>
          <w:rFonts w:ascii="Arial" w:hAnsi="Arial" w:cs="Arial"/>
          <w:highlight w:val="yellow"/>
          <w:lang w:eastAsia="zh-CN"/>
        </w:rPr>
        <w:t>This research will be helpful to evaluate the stability of the system under different operating conditions and prevent voltage collapse and system instability</w:t>
      </w:r>
    </w:p>
    <w:p w14:paraId="35C5D4F2" w14:textId="77777777" w:rsidR="00872F8E" w:rsidRDefault="00872F8E">
      <w:pPr>
        <w:pStyle w:val="Body"/>
        <w:spacing w:after="0"/>
        <w:rPr>
          <w:rFonts w:ascii="Arial" w:hAnsi="Arial" w:cs="Arial"/>
          <w:lang w:eastAsia="zh-CN"/>
        </w:rPr>
      </w:pPr>
    </w:p>
    <w:p w14:paraId="31C3373C" w14:textId="0C3C2323" w:rsidR="00872F8E" w:rsidRPr="005E055E" w:rsidRDefault="00872F8E" w:rsidP="005E055E">
      <w:pPr>
        <w:pStyle w:val="Head1"/>
        <w:numPr>
          <w:ilvl w:val="0"/>
          <w:numId w:val="2"/>
        </w:numPr>
        <w:spacing w:after="0"/>
        <w:jc w:val="both"/>
        <w:rPr>
          <w:rFonts w:ascii="Arial" w:hAnsi="Arial" w:cs="Arial"/>
          <w:highlight w:val="yellow"/>
          <w:lang w:eastAsia="zh-CN"/>
        </w:rPr>
      </w:pPr>
      <w:bookmarkStart w:id="4" w:name="_Hlk180402183"/>
      <w:bookmarkStart w:id="5" w:name="_Hlk183680988"/>
      <w:r w:rsidRPr="005E055E">
        <w:rPr>
          <w:rFonts w:ascii="Arial" w:hAnsi="Arial" w:cs="Arial"/>
          <w:highlight w:val="yellow"/>
          <w:lang w:eastAsia="zh-CN"/>
        </w:rPr>
        <w:t>Disclaimer (Artificial intelligence)</w:t>
      </w:r>
    </w:p>
    <w:p w14:paraId="7A1CB494" w14:textId="77777777" w:rsidR="005E055E" w:rsidRPr="005E055E" w:rsidRDefault="005E055E" w:rsidP="005E055E">
      <w:pPr>
        <w:pStyle w:val="Head1"/>
        <w:spacing w:after="0"/>
        <w:jc w:val="both"/>
        <w:rPr>
          <w:rFonts w:ascii="Arial" w:hAnsi="Arial" w:cs="Arial"/>
          <w:highlight w:val="yellow"/>
          <w:lang w:eastAsia="zh-CN"/>
        </w:rPr>
      </w:pPr>
    </w:p>
    <w:p w14:paraId="6713F499" w14:textId="77777777" w:rsidR="00872F8E" w:rsidRPr="005E055E" w:rsidRDefault="00872F8E" w:rsidP="00872F8E">
      <w:pPr>
        <w:spacing w:after="200" w:line="276" w:lineRule="auto"/>
        <w:rPr>
          <w:rFonts w:ascii="Arial" w:hAnsi="Arial" w:cs="Arial"/>
          <w:lang w:eastAsia="zh-CN"/>
        </w:rPr>
      </w:pPr>
      <w:r w:rsidRPr="005E055E">
        <w:rPr>
          <w:rFonts w:ascii="Arial" w:hAnsi="Arial" w:cs="Arial"/>
          <w:highlight w:val="yellow"/>
          <w:lang w:eastAsia="zh-CN"/>
        </w:rPr>
        <w:t>Author(s) hereby declare that NO generative AI technologies such as Large Language Models (ChatGPT, COPILOT, etc.) and text-to-image generators have been used during the writing or editing of this manuscript.</w:t>
      </w:r>
      <w:r w:rsidRPr="005E055E">
        <w:rPr>
          <w:rFonts w:ascii="Arial" w:hAnsi="Arial" w:cs="Arial"/>
          <w:lang w:eastAsia="zh-CN"/>
        </w:rPr>
        <w:t xml:space="preserve"> </w:t>
      </w:r>
    </w:p>
    <w:bookmarkEnd w:id="4"/>
    <w:bookmarkEnd w:id="5"/>
    <w:p w14:paraId="63181F17" w14:textId="77777777" w:rsidR="00E53F65" w:rsidRDefault="00E53F65">
      <w:pPr>
        <w:pStyle w:val="Body"/>
        <w:spacing w:after="0"/>
        <w:rPr>
          <w:rFonts w:ascii="Arial" w:hAnsi="Arial" w:cs="Arial"/>
          <w:lang w:eastAsia="zh-CN"/>
        </w:rPr>
      </w:pPr>
    </w:p>
    <w:p w14:paraId="3F185503" w14:textId="44362E7E" w:rsidR="008468E6" w:rsidRDefault="008468E6">
      <w:pPr>
        <w:pStyle w:val="Body"/>
        <w:spacing w:after="0"/>
        <w:rPr>
          <w:rFonts w:ascii="Arial" w:eastAsiaTheme="minorEastAsia" w:hAnsi="Arial" w:cs="Arial"/>
          <w:lang w:eastAsia="zh-CN"/>
        </w:rPr>
      </w:pPr>
    </w:p>
    <w:p w14:paraId="3325DC1B" w14:textId="77777777" w:rsidR="00333AFA" w:rsidRDefault="00333AFA">
      <w:pPr>
        <w:pStyle w:val="ReferHead"/>
        <w:spacing w:after="0"/>
        <w:jc w:val="both"/>
        <w:rPr>
          <w:rFonts w:ascii="Arial" w:hAnsi="Arial" w:cs="Arial"/>
        </w:rPr>
      </w:pPr>
    </w:p>
    <w:p w14:paraId="4E79D2B2" w14:textId="77777777" w:rsidR="00333AFA" w:rsidRDefault="002233CD">
      <w:pPr>
        <w:pStyle w:val="ReferHead"/>
        <w:spacing w:after="0"/>
        <w:jc w:val="both"/>
        <w:rPr>
          <w:rFonts w:ascii="Arial" w:hAnsi="Arial" w:cs="Arial"/>
        </w:rPr>
      </w:pPr>
      <w:r>
        <w:rPr>
          <w:rFonts w:ascii="Arial" w:hAnsi="Arial" w:cs="Arial"/>
        </w:rPr>
        <w:t>References</w:t>
      </w:r>
    </w:p>
    <w:p w14:paraId="3294DD2B" w14:textId="77777777" w:rsidR="00333AFA" w:rsidRDefault="00333AFA">
      <w:pPr>
        <w:pStyle w:val="ReferHead"/>
        <w:spacing w:after="0"/>
        <w:jc w:val="both"/>
        <w:rPr>
          <w:rFonts w:ascii="Arial" w:hAnsi="Arial" w:cs="Arial"/>
        </w:rPr>
      </w:pPr>
    </w:p>
    <w:p w14:paraId="13F580AF" w14:textId="77777777" w:rsidR="00333AFA" w:rsidRDefault="002233CD" w:rsidP="005328A2">
      <w:pPr>
        <w:pStyle w:val="af3"/>
        <w:numPr>
          <w:ilvl w:val="0"/>
          <w:numId w:val="3"/>
        </w:numPr>
        <w:ind w:firstLineChars="0"/>
        <w:rPr>
          <w:rFonts w:ascii="Arial" w:eastAsia="宋体" w:hAnsi="Arial" w:cs="Arial"/>
          <w:sz w:val="18"/>
          <w:szCs w:val="18"/>
        </w:rPr>
      </w:pPr>
      <w:r>
        <w:rPr>
          <w:rFonts w:ascii="Arial" w:hAnsi="Arial" w:cs="Arial"/>
          <w:sz w:val="18"/>
          <w:szCs w:val="18"/>
          <w:lang w:eastAsia="zh-CN"/>
        </w:rPr>
        <w:t xml:space="preserve">Dexing, X., &amp; Shiwu, X. (2025). </w:t>
      </w:r>
      <w:r>
        <w:rPr>
          <w:rFonts w:ascii="Arial" w:eastAsia="宋体" w:hAnsi="Arial" w:cs="Arial"/>
          <w:sz w:val="18"/>
          <w:szCs w:val="18"/>
        </w:rPr>
        <w:t>Research on Static Voltage Stability During Fault Low Voltage Ride-Through in Renewable Energy Integrated Power Grids</w:t>
      </w:r>
      <w:r>
        <w:rPr>
          <w:rFonts w:ascii="Arial" w:eastAsia="宋体" w:hAnsi="Arial" w:cs="Arial"/>
          <w:sz w:val="18"/>
          <w:szCs w:val="18"/>
          <w:lang w:eastAsia="zh-CN"/>
        </w:rPr>
        <w:t xml:space="preserve">. </w:t>
      </w:r>
      <w:r>
        <w:rPr>
          <w:rFonts w:ascii="Arial" w:eastAsia="宋体" w:hAnsi="Arial" w:cs="Arial"/>
          <w:sz w:val="18"/>
          <w:szCs w:val="18"/>
        </w:rPr>
        <w:t>Proceedings of the CSEE</w:t>
      </w:r>
      <w:r>
        <w:rPr>
          <w:rFonts w:ascii="Arial" w:eastAsia="宋体" w:hAnsi="Arial" w:cs="Arial"/>
          <w:sz w:val="18"/>
          <w:szCs w:val="18"/>
          <w:lang w:eastAsia="zh-CN"/>
        </w:rPr>
        <w:t>,</w:t>
      </w:r>
      <w:r>
        <w:rPr>
          <w:rFonts w:ascii="Arial" w:eastAsia="宋体" w:hAnsi="Arial" w:cs="Arial" w:hint="eastAsia"/>
          <w:sz w:val="18"/>
          <w:szCs w:val="18"/>
          <w:lang w:eastAsia="zh-CN"/>
        </w:rPr>
        <w:t xml:space="preserve"> </w:t>
      </w:r>
      <w:r>
        <w:rPr>
          <w:rFonts w:ascii="Arial" w:eastAsia="宋体" w:hAnsi="Arial" w:cs="Arial"/>
          <w:sz w:val="18"/>
          <w:szCs w:val="18"/>
          <w:lang w:eastAsia="zh-CN"/>
        </w:rPr>
        <w:t>1-15.</w:t>
      </w:r>
    </w:p>
    <w:p w14:paraId="4C5666AE"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t>Jinling, L., Shaotong, S., &amp; Yang, L. (2015). Static Voltage Stability Assessment on the Grid with Large-scale Wind Farm Connection. Proceedings of the CSU-EPSA, 27(6), 73-80.</w:t>
      </w:r>
    </w:p>
    <w:p w14:paraId="29AE0864" w14:textId="77777777" w:rsidR="00333AFA" w:rsidRDefault="002233CD" w:rsidP="005328A2">
      <w:pPr>
        <w:pStyle w:val="af3"/>
        <w:numPr>
          <w:ilvl w:val="0"/>
          <w:numId w:val="3"/>
        </w:numPr>
        <w:ind w:firstLineChars="0"/>
        <w:rPr>
          <w:rFonts w:ascii="Arial" w:eastAsia="宋体" w:hAnsi="Arial" w:cs="Arial"/>
          <w:sz w:val="18"/>
          <w:szCs w:val="18"/>
        </w:rPr>
      </w:pPr>
      <w:bookmarkStart w:id="6" w:name="_Ref191476427"/>
      <w:r>
        <w:rPr>
          <w:rFonts w:ascii="Arial" w:eastAsia="宋体" w:hAnsi="Arial" w:cs="Arial" w:hint="eastAsia"/>
          <w:sz w:val="18"/>
          <w:szCs w:val="18"/>
          <w:lang w:eastAsia="zh-CN"/>
        </w:rPr>
        <w:t>Shenghu, L., Weijian, X., Jianqiao, Y., Aobo, Z., &amp; Xiaoyan, Z. (2023). Exchange Relation</w:t>
      </w:r>
      <w:r>
        <w:rPr>
          <w:rFonts w:ascii="Arial" w:eastAsia="宋体" w:hAnsi="Arial" w:cs="Arial"/>
          <w:sz w:val="18"/>
          <w:szCs w:val="18"/>
          <w:lang w:eastAsia="zh-CN"/>
        </w:rPr>
        <w:t xml:space="preserve"> </w:t>
      </w:r>
      <w:r>
        <w:rPr>
          <w:rFonts w:ascii="Arial" w:eastAsia="宋体" w:hAnsi="Arial" w:cs="Arial" w:hint="eastAsia"/>
          <w:sz w:val="18"/>
          <w:szCs w:val="18"/>
          <w:lang w:eastAsia="zh-CN"/>
        </w:rPr>
        <w:t>with</w:t>
      </w:r>
      <w:r>
        <w:rPr>
          <w:rFonts w:ascii="Arial" w:eastAsia="宋体" w:hAnsi="Arial" w:cs="Arial"/>
          <w:sz w:val="18"/>
          <w:szCs w:val="18"/>
          <w:lang w:eastAsia="zh-CN"/>
        </w:rPr>
        <w:t xml:space="preserve"> </w:t>
      </w:r>
      <w:r>
        <w:rPr>
          <w:rFonts w:ascii="Arial" w:eastAsia="宋体" w:hAnsi="Arial" w:cs="Arial" w:hint="eastAsia"/>
          <w:sz w:val="18"/>
          <w:szCs w:val="18"/>
          <w:lang w:eastAsia="zh-CN"/>
        </w:rPr>
        <w:t>Eigenvalues and Threshold Determination of L Index for Power System Static Voltage Stability Analysis. Power System Technology, 47(9), 3828-3835.</w:t>
      </w:r>
      <w:bookmarkEnd w:id="6"/>
    </w:p>
    <w:p w14:paraId="14849C61" w14:textId="77777777" w:rsidR="00333AFA" w:rsidRDefault="002233CD" w:rsidP="005328A2">
      <w:pPr>
        <w:pStyle w:val="af3"/>
        <w:numPr>
          <w:ilvl w:val="0"/>
          <w:numId w:val="3"/>
        </w:numPr>
        <w:ind w:firstLineChars="0"/>
        <w:rPr>
          <w:rFonts w:ascii="Arial" w:eastAsia="宋体" w:hAnsi="Arial" w:cs="Arial"/>
          <w:sz w:val="18"/>
          <w:szCs w:val="18"/>
        </w:rPr>
      </w:pPr>
      <w:bookmarkStart w:id="7" w:name="_Ref191476788"/>
      <w:r>
        <w:rPr>
          <w:rFonts w:ascii="Arial" w:eastAsia="宋体" w:hAnsi="Arial" w:cs="Arial" w:hint="eastAsia"/>
          <w:sz w:val="18"/>
          <w:szCs w:val="18"/>
          <w:lang w:eastAsia="zh-CN"/>
        </w:rPr>
        <w:t xml:space="preserve">Yunxin, L., Liangzhong, Y., Siyang, L., Jian, X., Yuanzhang, S., &amp; Fan, C. et al. (2022). Study on the Impact of Photovoltaic Penetration on Power System Static Voltage Stability. </w:t>
      </w:r>
      <w:r>
        <w:rPr>
          <w:rFonts w:ascii="Arial" w:eastAsia="宋体" w:hAnsi="Arial" w:cs="Arial"/>
          <w:sz w:val="18"/>
          <w:szCs w:val="18"/>
        </w:rPr>
        <w:t>Proceedings of the CSEE</w:t>
      </w:r>
      <w:r>
        <w:rPr>
          <w:rFonts w:ascii="Arial" w:eastAsia="宋体" w:hAnsi="Arial" w:cs="Arial" w:hint="eastAsia"/>
          <w:sz w:val="18"/>
          <w:szCs w:val="18"/>
          <w:lang w:eastAsia="zh-CN"/>
        </w:rPr>
        <w:t>, 42(15), 5484-5496.</w:t>
      </w:r>
      <w:bookmarkEnd w:id="7"/>
    </w:p>
    <w:p w14:paraId="3E6FE39F" w14:textId="77777777" w:rsidR="00333AFA" w:rsidRDefault="002233CD" w:rsidP="005328A2">
      <w:pPr>
        <w:pStyle w:val="af3"/>
        <w:numPr>
          <w:ilvl w:val="0"/>
          <w:numId w:val="3"/>
        </w:numPr>
        <w:ind w:firstLineChars="0"/>
        <w:rPr>
          <w:rFonts w:ascii="Arial" w:eastAsia="宋体" w:hAnsi="Arial" w:cs="Arial"/>
          <w:sz w:val="18"/>
          <w:szCs w:val="18"/>
        </w:rPr>
      </w:pPr>
      <w:bookmarkStart w:id="8" w:name="_Ref191476789"/>
      <w:r>
        <w:rPr>
          <w:rFonts w:ascii="Arial" w:eastAsia="宋体" w:hAnsi="Arial" w:cs="Arial" w:hint="eastAsia"/>
          <w:sz w:val="18"/>
          <w:szCs w:val="18"/>
          <w:lang w:eastAsia="zh-CN"/>
        </w:rPr>
        <w:t>Junliang, W., &amp; Jun, L. (2019). Effect of Integration of Wind and Photovoltaic Power on Henan Power Grid Steady-State. Power System and Clean Energy, 35(9), 81-87.</w:t>
      </w:r>
      <w:bookmarkEnd w:id="8"/>
    </w:p>
    <w:p w14:paraId="657C0EF2" w14:textId="77777777" w:rsidR="00333AFA" w:rsidRDefault="002233CD" w:rsidP="005328A2">
      <w:pPr>
        <w:pStyle w:val="af3"/>
        <w:numPr>
          <w:ilvl w:val="0"/>
          <w:numId w:val="3"/>
        </w:numPr>
        <w:ind w:firstLineChars="0"/>
        <w:rPr>
          <w:rFonts w:ascii="Arial" w:eastAsia="宋体" w:hAnsi="Arial" w:cs="Arial"/>
          <w:sz w:val="18"/>
          <w:szCs w:val="18"/>
        </w:rPr>
      </w:pPr>
      <w:bookmarkStart w:id="9" w:name="_Ref191476839"/>
      <w:r>
        <w:rPr>
          <w:rFonts w:ascii="Arial" w:eastAsia="宋体" w:hAnsi="Arial" w:cs="Arial" w:hint="eastAsia"/>
          <w:sz w:val="18"/>
          <w:szCs w:val="18"/>
          <w:lang w:eastAsia="zh-CN"/>
        </w:rPr>
        <w:t>Fan, C., Lang, X., Meilian, Z., Haitao, L., &amp; Jicong, Z. (2023). Operational reliability evaluation of power system considering meteorological impacts. Electric Power Engineering Technology, 42(6), 32-41, 140.</w:t>
      </w:r>
      <w:bookmarkEnd w:id="9"/>
    </w:p>
    <w:p w14:paraId="63563EFE"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t>Shenghu, L., Weijian, X., Jianqiao, Y., Aobo, Z., &amp; Xiaoyan, Z. (2023). Exchange Relation</w:t>
      </w:r>
      <w:r>
        <w:rPr>
          <w:rFonts w:ascii="Arial" w:eastAsia="宋体" w:hAnsi="Arial" w:cs="Arial"/>
          <w:sz w:val="18"/>
          <w:szCs w:val="18"/>
          <w:lang w:eastAsia="zh-CN"/>
        </w:rPr>
        <w:t xml:space="preserve"> w</w:t>
      </w:r>
      <w:r>
        <w:rPr>
          <w:rFonts w:ascii="Arial" w:eastAsia="宋体" w:hAnsi="Arial" w:cs="Arial" w:hint="eastAsia"/>
          <w:sz w:val="18"/>
          <w:szCs w:val="18"/>
          <w:lang w:eastAsia="zh-CN"/>
        </w:rPr>
        <w:t>ith</w:t>
      </w:r>
      <w:r>
        <w:rPr>
          <w:rFonts w:ascii="Arial" w:eastAsia="宋体" w:hAnsi="Arial" w:cs="Arial"/>
          <w:sz w:val="18"/>
          <w:szCs w:val="18"/>
          <w:lang w:eastAsia="zh-CN"/>
        </w:rPr>
        <w:t xml:space="preserve"> </w:t>
      </w:r>
      <w:r>
        <w:rPr>
          <w:rFonts w:ascii="Arial" w:eastAsia="宋体" w:hAnsi="Arial" w:cs="Arial" w:hint="eastAsia"/>
          <w:sz w:val="18"/>
          <w:szCs w:val="18"/>
          <w:lang w:eastAsia="zh-CN"/>
        </w:rPr>
        <w:t>Eigenvalues and Threshold Determination of L Index for Power System Static Voltage Stability Analysis. Power System Technology, 47(9), 3828-3835.</w:t>
      </w:r>
    </w:p>
    <w:p w14:paraId="7EBB7162" w14:textId="77777777" w:rsidR="00333AFA" w:rsidRDefault="002233CD" w:rsidP="005328A2">
      <w:pPr>
        <w:pStyle w:val="af3"/>
        <w:numPr>
          <w:ilvl w:val="0"/>
          <w:numId w:val="3"/>
        </w:numPr>
        <w:ind w:firstLineChars="0"/>
        <w:rPr>
          <w:rFonts w:ascii="Arial" w:eastAsia="宋体" w:hAnsi="Arial" w:cs="Arial"/>
          <w:sz w:val="18"/>
          <w:szCs w:val="18"/>
        </w:rPr>
      </w:pPr>
      <w:bookmarkStart w:id="10" w:name="_Ref191476870"/>
      <w:r>
        <w:rPr>
          <w:rFonts w:ascii="Arial" w:eastAsia="宋体" w:hAnsi="Arial" w:cs="Arial" w:hint="eastAsia"/>
          <w:sz w:val="18"/>
          <w:szCs w:val="18"/>
          <w:lang w:eastAsia="zh-CN"/>
        </w:rPr>
        <w:t>Yanning, W., Yi, L., Cheng, L., Yu, H., Yu, L., &amp; Shengcun, Z. et al. (2022). Steady-State Voltage Stability Evaluation of Power System Containing Wind Farm Based on Improved PEM and L Index. ELECTRIC POWER, 55(9), 192-203.</w:t>
      </w:r>
      <w:bookmarkEnd w:id="10"/>
    </w:p>
    <w:p w14:paraId="77F9B801" w14:textId="5E0D96BC" w:rsidR="00333AFA" w:rsidRDefault="002233CD" w:rsidP="005328A2">
      <w:pPr>
        <w:pStyle w:val="af3"/>
        <w:numPr>
          <w:ilvl w:val="0"/>
          <w:numId w:val="3"/>
        </w:numPr>
        <w:ind w:firstLineChars="0"/>
        <w:rPr>
          <w:rFonts w:ascii="Arial" w:eastAsia="宋体" w:hAnsi="Arial" w:cs="Arial"/>
          <w:sz w:val="18"/>
          <w:szCs w:val="18"/>
        </w:rPr>
      </w:pPr>
      <w:bookmarkStart w:id="11" w:name="_Ref191476895"/>
      <w:r>
        <w:rPr>
          <w:rFonts w:ascii="Arial" w:eastAsia="宋体" w:hAnsi="Arial" w:cs="Arial" w:hint="eastAsia"/>
          <w:sz w:val="18"/>
          <w:szCs w:val="18"/>
          <w:lang w:eastAsia="zh-CN"/>
        </w:rPr>
        <w:t>Huanhai, X., Yuxuan, W., Chenxi, L., Ping, J., Junchao, M., &amp; Yangqing, D. et al. (2024</w:t>
      </w:r>
      <w:r w:rsidR="003C1433">
        <w:rPr>
          <w:rFonts w:ascii="Arial" w:eastAsia="宋体" w:hAnsi="Arial" w:cs="Arial"/>
          <w:sz w:val="18"/>
          <w:szCs w:val="18"/>
          <w:lang w:eastAsia="zh-CN"/>
        </w:rPr>
        <w:t>). Estimation</w:t>
      </w:r>
      <w:r>
        <w:rPr>
          <w:rFonts w:ascii="Arial" w:eastAsia="宋体" w:hAnsi="Arial" w:cs="Arial" w:hint="eastAsia"/>
          <w:sz w:val="18"/>
          <w:szCs w:val="18"/>
          <w:lang w:eastAsia="zh-CN"/>
        </w:rPr>
        <w:t xml:space="preserve"> of Capacity Ratios Between Grid-forming and Grid-following Converters for Improving the Stability of Renewable Energy Stations. </w:t>
      </w:r>
      <w:r>
        <w:rPr>
          <w:rFonts w:ascii="Arial" w:eastAsia="宋体" w:hAnsi="Arial" w:cs="Arial"/>
          <w:sz w:val="18"/>
          <w:szCs w:val="18"/>
        </w:rPr>
        <w:t>Proceedings of the CSEE</w:t>
      </w:r>
      <w:r>
        <w:rPr>
          <w:rFonts w:ascii="Arial" w:eastAsia="宋体" w:hAnsi="Arial" w:cs="Arial" w:hint="eastAsia"/>
          <w:sz w:val="18"/>
          <w:szCs w:val="18"/>
          <w:lang w:eastAsia="zh-CN"/>
        </w:rPr>
        <w:t>, 44(14), 5463-5472.</w:t>
      </w:r>
      <w:bookmarkEnd w:id="11"/>
    </w:p>
    <w:p w14:paraId="421504DC"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t>Zhi, W., Guanghuan, L., Xiaoping, Z., Shu, Zheng., &amp; Suyang, Z. (2023). Analysis and Application of Static Voltage Stability Indices for Distribution Network Based on Single-port Coupling Equivalence. Automation of Electric Power Systems, 47(23), 44-54.</w:t>
      </w:r>
    </w:p>
    <w:p w14:paraId="3B68478F"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lastRenderedPageBreak/>
        <w:t xml:space="preserve">Lei, C., Yong, M., &amp; Kaiyuan, H. (2016). Probabilistic Steady-State Voltage Stability Assessment Considering Stochastic Wind Power. </w:t>
      </w:r>
      <w:r>
        <w:rPr>
          <w:rFonts w:ascii="Arial" w:eastAsia="宋体" w:hAnsi="Arial" w:cs="Arial"/>
          <w:sz w:val="18"/>
          <w:szCs w:val="18"/>
        </w:rPr>
        <w:t>Proceedings of the CSEE</w:t>
      </w:r>
      <w:r>
        <w:rPr>
          <w:rFonts w:ascii="Arial" w:eastAsia="宋体" w:hAnsi="Arial" w:cs="Arial" w:hint="eastAsia"/>
          <w:sz w:val="18"/>
          <w:szCs w:val="18"/>
          <w:lang w:eastAsia="zh-CN"/>
        </w:rPr>
        <w:t>, 36(3), 674-680.</w:t>
      </w:r>
    </w:p>
    <w:p w14:paraId="7DD325D3" w14:textId="77777777" w:rsidR="004739A6" w:rsidRPr="008468E6" w:rsidRDefault="004739A6" w:rsidP="004739A6">
      <w:pPr>
        <w:pStyle w:val="af3"/>
        <w:numPr>
          <w:ilvl w:val="0"/>
          <w:numId w:val="3"/>
        </w:numPr>
        <w:wordWrap w:val="0"/>
        <w:ind w:firstLineChars="0"/>
        <w:rPr>
          <w:rFonts w:ascii="Arial" w:eastAsia="宋体" w:hAnsi="Arial" w:cs="Arial"/>
          <w:sz w:val="18"/>
          <w:szCs w:val="18"/>
        </w:rPr>
      </w:pPr>
      <w:r w:rsidRPr="008468E6">
        <w:rPr>
          <w:rFonts w:ascii="Arial" w:eastAsia="宋体" w:hAnsi="Arial" w:cs="Arial" w:hint="eastAsia"/>
          <w:sz w:val="18"/>
          <w:szCs w:val="18"/>
        </w:rPr>
        <w:t>S</w:t>
      </w:r>
      <w:r w:rsidRPr="008468E6">
        <w:rPr>
          <w:rFonts w:ascii="Arial" w:eastAsia="宋体" w:hAnsi="Arial" w:cs="Arial"/>
          <w:sz w:val="18"/>
          <w:szCs w:val="18"/>
        </w:rPr>
        <w:t>heng, L., Zhinong, W., &amp; Yanan, M. (2018). Fuzzy load-shedding strategy considering photovoltaic output fluctuation characteristics and static voltage stability. Energies, 11(4), 779.</w:t>
      </w:r>
    </w:p>
    <w:p w14:paraId="284B375B" w14:textId="77777777" w:rsidR="00333AFA" w:rsidRDefault="002233CD" w:rsidP="005328A2">
      <w:pPr>
        <w:pStyle w:val="af3"/>
        <w:numPr>
          <w:ilvl w:val="0"/>
          <w:numId w:val="3"/>
        </w:numPr>
        <w:shd w:val="clear" w:color="auto" w:fill="FFFFFF"/>
        <w:ind w:firstLineChars="0"/>
        <w:rPr>
          <w:rFonts w:ascii="Arial" w:eastAsia="宋体" w:hAnsi="Arial" w:cs="Arial"/>
          <w:sz w:val="18"/>
          <w:szCs w:val="18"/>
        </w:rPr>
      </w:pPr>
      <w:r>
        <w:rPr>
          <w:rFonts w:ascii="Arial" w:eastAsia="宋体" w:hAnsi="Arial" w:cs="Arial"/>
          <w:sz w:val="18"/>
          <w:szCs w:val="18"/>
        </w:rPr>
        <w:t>Yao, Z., &amp; Wennan, S. (1993). Determination of the Critical State of Voltage Stability in Load Buses and the Weakest bus of the Power System. Proceedings of the CSEE, 13(6), 42-47.</w:t>
      </w:r>
    </w:p>
    <w:p w14:paraId="68977546" w14:textId="77777777" w:rsidR="00333AFA" w:rsidRDefault="002233CD" w:rsidP="005328A2">
      <w:pPr>
        <w:pStyle w:val="af3"/>
        <w:numPr>
          <w:ilvl w:val="0"/>
          <w:numId w:val="3"/>
        </w:numPr>
        <w:ind w:firstLineChars="0"/>
        <w:rPr>
          <w:rFonts w:ascii="Arial" w:eastAsia="宋体" w:hAnsi="Arial" w:cs="Arial"/>
          <w:sz w:val="18"/>
          <w:szCs w:val="18"/>
        </w:rPr>
      </w:pPr>
      <w:bookmarkStart w:id="12" w:name="_Ref191476823"/>
      <w:r>
        <w:rPr>
          <w:rFonts w:ascii="Arial" w:eastAsia="宋体" w:hAnsi="Arial" w:cs="Arial" w:hint="eastAsia"/>
          <w:sz w:val="18"/>
          <w:szCs w:val="18"/>
          <w:lang w:eastAsia="zh-CN"/>
        </w:rPr>
        <w:t>Shiyun, X., Binyue, Z., Long, P., Huadong, S., &amp; Bing, Z. (2023). Study on Margin Ratio Index of Static Voltage Stability of Multiple Renewable Energy Stations Delivery System. Power System Technology, 47(10), 4026-4034.</w:t>
      </w:r>
      <w:bookmarkEnd w:id="12"/>
    </w:p>
    <w:p w14:paraId="157AE8C1" w14:textId="77777777" w:rsidR="00333AFA" w:rsidRDefault="002233CD" w:rsidP="005328A2">
      <w:pPr>
        <w:pStyle w:val="af3"/>
        <w:numPr>
          <w:ilvl w:val="0"/>
          <w:numId w:val="3"/>
        </w:numPr>
        <w:shd w:val="clear" w:color="auto" w:fill="FFFFFF"/>
        <w:ind w:firstLineChars="0"/>
        <w:rPr>
          <w:rFonts w:ascii="Arial" w:eastAsia="宋体" w:hAnsi="Arial" w:cs="Arial"/>
          <w:sz w:val="18"/>
          <w:szCs w:val="18"/>
        </w:rPr>
      </w:pPr>
      <w:bookmarkStart w:id="13" w:name="_Hlk191641939"/>
      <w:r>
        <w:rPr>
          <w:rFonts w:ascii="Arial" w:eastAsia="宋体" w:hAnsi="Arial" w:cs="Arial" w:hint="eastAsia"/>
          <w:sz w:val="18"/>
          <w:szCs w:val="18"/>
        </w:rPr>
        <w:t>Sheng, L., Yanan, M., Can, Z., &amp; Jiawei, Y. (2022). Static voltage stability prediction for PCCs of new energy power stations in the grid-connected system. Journal of Physics:</w:t>
      </w:r>
      <w:r>
        <w:rPr>
          <w:rFonts w:ascii="Arial" w:eastAsia="宋体" w:hAnsi="Arial" w:cs="Arial"/>
          <w:sz w:val="18"/>
          <w:szCs w:val="18"/>
        </w:rPr>
        <w:t xml:space="preserve"> </w:t>
      </w:r>
      <w:r>
        <w:rPr>
          <w:rFonts w:ascii="Arial" w:eastAsia="宋体" w:hAnsi="Arial" w:cs="Arial" w:hint="eastAsia"/>
          <w:sz w:val="18"/>
          <w:szCs w:val="18"/>
        </w:rPr>
        <w:t xml:space="preserve">Conference Series (MEIE2022), 2369. </w:t>
      </w:r>
    </w:p>
    <w:bookmarkEnd w:id="13"/>
    <w:p w14:paraId="2740044A"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t xml:space="preserve">Huadong, S., Jiahao, L., Wenfeng, L., Jianbo, G., Qiang, G., &amp; Jingbo, H. (2023). Research on Model Structures and Modeling Methods of Renewable Energy Station for Large-scale Power System Simulation (Part I): Model Structure. </w:t>
      </w:r>
      <w:r>
        <w:rPr>
          <w:rFonts w:ascii="Arial" w:eastAsia="宋体" w:hAnsi="Arial" w:cs="Arial"/>
          <w:sz w:val="18"/>
          <w:szCs w:val="18"/>
        </w:rPr>
        <w:t>Proceedings of the CSEE</w:t>
      </w:r>
      <w:r>
        <w:rPr>
          <w:rFonts w:ascii="Arial" w:eastAsia="宋体" w:hAnsi="Arial" w:cs="Arial"/>
          <w:sz w:val="18"/>
          <w:szCs w:val="18"/>
          <w:lang w:eastAsia="zh-CN"/>
        </w:rPr>
        <w:t>,</w:t>
      </w:r>
      <w:r>
        <w:rPr>
          <w:rFonts w:ascii="Arial" w:eastAsia="宋体" w:hAnsi="Arial" w:cs="Arial" w:hint="eastAsia"/>
          <w:sz w:val="18"/>
          <w:szCs w:val="18"/>
          <w:lang w:eastAsia="zh-CN"/>
        </w:rPr>
        <w:t xml:space="preserve"> 43(4), 1378-1388.</w:t>
      </w:r>
    </w:p>
    <w:p w14:paraId="5DF14BFE"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t xml:space="preserve">Huadong, S., Jiahao, L., Wenfeng, L., Jianbo, G., Ning, A., &amp; Yi, Z. (2023). Research on Model Structures and Modeling Methods of Renewable Energy Station for Large-scale Power System Simulation (II): Electromechanical Transient Model.  </w:t>
      </w:r>
      <w:r>
        <w:rPr>
          <w:rFonts w:ascii="Arial" w:eastAsia="宋体" w:hAnsi="Arial" w:cs="Arial"/>
          <w:sz w:val="18"/>
          <w:szCs w:val="18"/>
        </w:rPr>
        <w:t>Proceedings of the CSEE</w:t>
      </w:r>
      <w:r>
        <w:rPr>
          <w:rFonts w:ascii="Arial" w:eastAsia="宋体" w:hAnsi="Arial" w:cs="Arial" w:hint="eastAsia"/>
          <w:sz w:val="18"/>
          <w:szCs w:val="18"/>
          <w:lang w:eastAsia="zh-CN"/>
        </w:rPr>
        <w:t>, 43(6), 2190-2201.</w:t>
      </w:r>
    </w:p>
    <w:p w14:paraId="0CFD498F" w14:textId="77777777" w:rsidR="00333AFA" w:rsidRDefault="002233CD" w:rsidP="005328A2">
      <w:pPr>
        <w:pStyle w:val="af3"/>
        <w:numPr>
          <w:ilvl w:val="0"/>
          <w:numId w:val="3"/>
        </w:numPr>
        <w:ind w:firstLineChars="0"/>
        <w:rPr>
          <w:rFonts w:ascii="Arial" w:eastAsia="宋体" w:hAnsi="Arial" w:cs="Arial"/>
          <w:sz w:val="18"/>
          <w:szCs w:val="18"/>
        </w:rPr>
      </w:pPr>
      <w:r>
        <w:rPr>
          <w:rFonts w:ascii="Arial" w:eastAsia="宋体" w:hAnsi="Arial" w:cs="Arial" w:hint="eastAsia"/>
          <w:sz w:val="18"/>
          <w:szCs w:val="18"/>
          <w:lang w:eastAsia="zh-CN"/>
        </w:rPr>
        <w:t>Jinshan, Q., Liangzhong, Y., Siyang, L., Yunxin, L. Tianjiao, P., &amp; Jian, L. et al. (2023). Online probabilistic assessment of static voltage stability margin for power systems with a high proportion of renewable energy. Power System Protection and Control, 51(5), 47-57.</w:t>
      </w:r>
    </w:p>
    <w:p w14:paraId="6BFBB735" w14:textId="77777777" w:rsidR="00333AFA" w:rsidRDefault="002233CD" w:rsidP="005328A2">
      <w:pPr>
        <w:pStyle w:val="af3"/>
        <w:numPr>
          <w:ilvl w:val="0"/>
          <w:numId w:val="3"/>
        </w:numPr>
        <w:ind w:firstLineChars="0"/>
        <w:rPr>
          <w:rFonts w:ascii="Arial" w:eastAsia="宋体" w:hAnsi="Arial" w:cs="Arial"/>
          <w:sz w:val="18"/>
          <w:szCs w:val="18"/>
        </w:rPr>
      </w:pPr>
      <w:bookmarkStart w:id="14" w:name="_Ref191477644"/>
      <w:r>
        <w:rPr>
          <w:rFonts w:ascii="Arial" w:eastAsia="宋体" w:hAnsi="Arial" w:cs="Arial" w:hint="eastAsia"/>
          <w:sz w:val="18"/>
          <w:szCs w:val="18"/>
          <w:lang w:eastAsia="zh-CN"/>
        </w:rPr>
        <w:t>Tianyue, Z., Jun D., Xiaotong, W., Nan, X., &amp; Tong, W. (2024). Equivalent modeling method based on voltage and power distribution characteristics of a renewable energy station. Power System Protection and Control, 52(22), 47-58.</w:t>
      </w:r>
      <w:bookmarkEnd w:id="14"/>
    </w:p>
    <w:p w14:paraId="0EAFBA15" w14:textId="2A47C1DA" w:rsidR="00413D74" w:rsidRDefault="002233CD" w:rsidP="00413D74">
      <w:pPr>
        <w:pStyle w:val="af3"/>
        <w:numPr>
          <w:ilvl w:val="0"/>
          <w:numId w:val="3"/>
        </w:numPr>
        <w:ind w:firstLineChars="0"/>
        <w:rPr>
          <w:rFonts w:ascii="Arial" w:eastAsia="宋体" w:hAnsi="Arial" w:cs="Arial"/>
          <w:sz w:val="18"/>
          <w:szCs w:val="18"/>
        </w:rPr>
      </w:pPr>
      <w:bookmarkStart w:id="15" w:name="_Ref191642134"/>
      <w:r>
        <w:rPr>
          <w:rFonts w:ascii="Arial" w:eastAsia="宋体" w:hAnsi="Arial" w:cs="Arial" w:hint="eastAsia"/>
          <w:sz w:val="18"/>
          <w:szCs w:val="18"/>
          <w:lang w:eastAsia="zh-CN"/>
        </w:rPr>
        <w:t>Chan, H. (2023). New energy field station level modeling based on computer simulation technology. ACTA ENERGIAESOLARIS SINICA, 44(4), 550.</w:t>
      </w:r>
      <w:bookmarkEnd w:id="15"/>
    </w:p>
    <w:p w14:paraId="1DE49573" w14:textId="793F16F5" w:rsidR="00413D74" w:rsidRDefault="00413D74" w:rsidP="00413D74">
      <w:pPr>
        <w:pStyle w:val="af3"/>
        <w:numPr>
          <w:ilvl w:val="0"/>
          <w:numId w:val="3"/>
        </w:numPr>
        <w:ind w:firstLineChars="0"/>
        <w:rPr>
          <w:rFonts w:ascii="Arial" w:eastAsia="宋体" w:hAnsi="Arial" w:cs="Arial"/>
          <w:sz w:val="18"/>
          <w:szCs w:val="18"/>
          <w:highlight w:val="yellow"/>
        </w:rPr>
      </w:pPr>
      <w:r w:rsidRPr="00413D74">
        <w:rPr>
          <w:rFonts w:ascii="Arial" w:eastAsia="宋体" w:hAnsi="Arial" w:cs="Arial" w:hint="eastAsia"/>
          <w:sz w:val="18"/>
          <w:szCs w:val="18"/>
          <w:highlight w:val="yellow"/>
          <w:lang w:eastAsia="zh-CN"/>
        </w:rPr>
        <w:t>Y</w:t>
      </w:r>
      <w:r w:rsidRPr="00413D74">
        <w:rPr>
          <w:rFonts w:ascii="Arial" w:eastAsia="宋体" w:hAnsi="Arial" w:cs="Arial"/>
          <w:sz w:val="18"/>
          <w:szCs w:val="18"/>
          <w:highlight w:val="yellow"/>
          <w:lang w:eastAsia="zh-CN"/>
        </w:rPr>
        <w:t>uhong, W., Yongyue, L., Shilin, G., Jianquan, L., Xinyao, W., &amp; Xueke, W. (2025). Data-driven Approach for Identifying Key Influencing Nodes on Transient Voltage Stability of Power System with Renewables. High Voltage Engineering, 1-17.</w:t>
      </w:r>
    </w:p>
    <w:p w14:paraId="0460A626" w14:textId="18B0A02B" w:rsidR="00FF2704" w:rsidRPr="00413D74" w:rsidRDefault="00FF2704" w:rsidP="00413D74">
      <w:pPr>
        <w:pStyle w:val="af3"/>
        <w:numPr>
          <w:ilvl w:val="0"/>
          <w:numId w:val="3"/>
        </w:numPr>
        <w:ind w:firstLineChars="0"/>
        <w:rPr>
          <w:rFonts w:ascii="Arial" w:eastAsia="宋体" w:hAnsi="Arial" w:cs="Arial"/>
          <w:sz w:val="18"/>
          <w:szCs w:val="18"/>
          <w:highlight w:val="yellow"/>
        </w:rPr>
      </w:pPr>
      <w:r>
        <w:rPr>
          <w:rFonts w:ascii="Arial" w:eastAsia="宋体" w:hAnsi="Arial" w:cs="Arial" w:hint="eastAsia"/>
          <w:sz w:val="18"/>
          <w:szCs w:val="18"/>
          <w:highlight w:val="yellow"/>
          <w:lang w:eastAsia="zh-CN"/>
        </w:rPr>
        <w:t>C</w:t>
      </w:r>
      <w:r>
        <w:rPr>
          <w:rFonts w:ascii="Arial" w:eastAsia="宋体" w:hAnsi="Arial" w:cs="Arial"/>
          <w:sz w:val="18"/>
          <w:szCs w:val="18"/>
          <w:highlight w:val="yellow"/>
          <w:lang w:eastAsia="zh-CN"/>
        </w:rPr>
        <w:t xml:space="preserve">hun, L., Muchi, Z., Haijiao, W., Guoqing, H., Mingyuan, Z., &amp; Yang, L. (2024). </w:t>
      </w:r>
      <w:r w:rsidRPr="00FF2704">
        <w:rPr>
          <w:rFonts w:ascii="Arial" w:eastAsia="宋体" w:hAnsi="Arial" w:cs="Arial"/>
          <w:sz w:val="18"/>
          <w:szCs w:val="18"/>
          <w:highlight w:val="yellow"/>
          <w:lang w:eastAsia="zh-CN"/>
        </w:rPr>
        <w:t>Modelling of Sequence Impedance of Renewable Energy Synchronous Generator and Its Suppression Effect on Broadband Oscillation</w:t>
      </w:r>
      <w:r>
        <w:rPr>
          <w:rFonts w:ascii="Arial" w:eastAsia="宋体" w:hAnsi="Arial" w:cs="Arial"/>
          <w:sz w:val="18"/>
          <w:szCs w:val="18"/>
          <w:highlight w:val="yellow"/>
          <w:lang w:eastAsia="zh-CN"/>
        </w:rPr>
        <w:t>. Power System Technology, 48(09), 3595-3603.</w:t>
      </w:r>
    </w:p>
    <w:p w14:paraId="3238591E" w14:textId="77777777" w:rsidR="00333AFA" w:rsidRDefault="00333AFA">
      <w:pPr>
        <w:pStyle w:val="Body"/>
        <w:spacing w:after="0"/>
        <w:rPr>
          <w:rFonts w:ascii="Arial" w:hAnsi="Arial" w:cs="Arial"/>
        </w:rPr>
      </w:pPr>
    </w:p>
    <w:p w14:paraId="36BF90E4" w14:textId="77777777" w:rsidR="00333AFA" w:rsidRDefault="00333AFA">
      <w:pPr>
        <w:pStyle w:val="Appendix"/>
        <w:spacing w:after="0"/>
        <w:jc w:val="both"/>
        <w:rPr>
          <w:rFonts w:ascii="Arial" w:hAnsi="Arial" w:cs="Arial"/>
          <w:b w:val="0"/>
        </w:rPr>
        <w:sectPr w:rsidR="00333AFA" w:rsidSect="00656B2E">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14:paraId="6E264F1F" w14:textId="77777777" w:rsidR="00333AFA" w:rsidRDefault="00333AFA">
      <w:pPr>
        <w:pStyle w:val="Appendix"/>
        <w:spacing w:after="0"/>
        <w:jc w:val="both"/>
        <w:rPr>
          <w:rFonts w:ascii="Arial" w:hAnsi="Arial" w:cs="Arial"/>
          <w:b w:val="0"/>
        </w:rPr>
      </w:pPr>
    </w:p>
    <w:sectPr w:rsidR="00333AFA" w:rsidSect="00656B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48B0" w14:textId="77777777" w:rsidR="004500EC" w:rsidRDefault="004500EC">
      <w:r>
        <w:separator/>
      </w:r>
    </w:p>
  </w:endnote>
  <w:endnote w:type="continuationSeparator" w:id="0">
    <w:p w14:paraId="1C31965D" w14:textId="77777777" w:rsidR="004500EC" w:rsidRDefault="0045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0F16" w14:textId="77777777" w:rsidR="00333AFA" w:rsidRDefault="00333A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AE1C" w14:textId="77777777" w:rsidR="004500EC" w:rsidRDefault="004500EC">
      <w:r>
        <w:separator/>
      </w:r>
    </w:p>
  </w:footnote>
  <w:footnote w:type="continuationSeparator" w:id="0">
    <w:p w14:paraId="200E7BC6" w14:textId="77777777" w:rsidR="004500EC" w:rsidRDefault="0045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C728" w14:textId="63B06A0F" w:rsidR="00656B2E" w:rsidRDefault="004500EC">
    <w:pPr>
      <w:pStyle w:val="a8"/>
    </w:pPr>
    <w:r>
      <w:rPr>
        <w:noProof/>
      </w:rPr>
      <w:pict w14:anchorId="5D46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D3AA" w14:textId="28FCD276" w:rsidR="00656B2E" w:rsidRDefault="004500EC">
    <w:pPr>
      <w:pStyle w:val="a8"/>
    </w:pPr>
    <w:r>
      <w:rPr>
        <w:noProof/>
      </w:rPr>
      <w:pict w14:anchorId="70C3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DB58" w14:textId="43839226" w:rsidR="00333AFA" w:rsidRDefault="004500EC">
    <w:pPr>
      <w:ind w:left="2160"/>
      <w:jc w:val="center"/>
      <w:rPr>
        <w:rFonts w:ascii="Times New Roman" w:eastAsia="Calibri" w:hAnsi="Times New Roman"/>
        <w:i/>
        <w:sz w:val="18"/>
        <w:szCs w:val="22"/>
      </w:rPr>
    </w:pPr>
    <w:r>
      <w:rPr>
        <w:noProof/>
      </w:rPr>
      <w:pict w14:anchorId="0523A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B98E64" w14:textId="77777777" w:rsidR="00333AFA" w:rsidRDefault="002233C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F9880DA" w14:textId="77777777" w:rsidR="00333AFA" w:rsidRDefault="002233CD">
    <w:pPr>
      <w:jc w:val="center"/>
      <w:rPr>
        <w:rFonts w:ascii="Times New Roman" w:eastAsia="Calibri" w:hAnsi="Times New Roman"/>
        <w:i/>
        <w:sz w:val="18"/>
        <w:szCs w:val="22"/>
      </w:rPr>
    </w:pPr>
    <w:r>
      <w:rPr>
        <w:rFonts w:ascii="Times New Roman" w:eastAsia="Calibri" w:hAnsi="Times New Roman"/>
        <w:i/>
        <w:sz w:val="18"/>
        <w:szCs w:val="22"/>
      </w:rPr>
      <w:t>.</w:t>
    </w:r>
  </w:p>
  <w:p w14:paraId="6893DB99" w14:textId="77777777" w:rsidR="00333AFA" w:rsidRDefault="002233C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B5C6376" w14:textId="77777777" w:rsidR="00333AFA" w:rsidRDefault="002233C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2606867" w14:textId="77777777" w:rsidR="00333AFA" w:rsidRDefault="002233C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921CA5" w14:textId="77777777" w:rsidR="00333AFA" w:rsidRDefault="002233CD">
    <w:pPr>
      <w:pStyle w:val="a8"/>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D792" w14:textId="622B4079" w:rsidR="00656B2E" w:rsidRDefault="004500EC">
    <w:pPr>
      <w:pStyle w:val="a8"/>
    </w:pPr>
    <w:r>
      <w:rPr>
        <w:noProof/>
      </w:rPr>
      <w:pict w14:anchorId="4F509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D4DA" w14:textId="74155E21" w:rsidR="00656B2E" w:rsidRDefault="004500EC">
    <w:pPr>
      <w:pStyle w:val="a8"/>
    </w:pPr>
    <w:r>
      <w:rPr>
        <w:noProof/>
      </w:rPr>
      <w:pict w14:anchorId="62EE8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D3BC" w14:textId="65B89608" w:rsidR="00656B2E" w:rsidRDefault="004500EC">
    <w:pPr>
      <w:pStyle w:val="a8"/>
    </w:pPr>
    <w:r>
      <w:rPr>
        <w:noProof/>
      </w:rPr>
      <w:pict w14:anchorId="2A1A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62A8"/>
    <w:multiLevelType w:val="multilevel"/>
    <w:tmpl w:val="150962A8"/>
    <w:lvl w:ilvl="0">
      <w:start w:val="2"/>
      <w:numFmt w:val="decimal"/>
      <w:suff w:val="space"/>
      <w:lvlText w:val="%1."/>
      <w:lvlJc w:val="left"/>
      <w:rPr>
        <w:rFonts w:ascii="Arial" w:hAnsi="Arial" w:cs="Arial" w:hint="default"/>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2DC2618"/>
    <w:multiLevelType w:val="multilevel"/>
    <w:tmpl w:val="72DC2618"/>
    <w:lvl w:ilvl="0">
      <w:start w:val="1"/>
      <w:numFmt w:val="decimal"/>
      <w:lvlText w:val="[%1]"/>
      <w:lvlJc w:val="left"/>
      <w:pPr>
        <w:ind w:left="420" w:hanging="420"/>
      </w:pPr>
      <w:rPr>
        <w:rFonts w:hint="eastAsia"/>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534A"/>
    <w:rsid w:val="0007619C"/>
    <w:rsid w:val="000A47FA"/>
    <w:rsid w:val="000A65D3"/>
    <w:rsid w:val="000A6FB3"/>
    <w:rsid w:val="000B1E33"/>
    <w:rsid w:val="000B7B03"/>
    <w:rsid w:val="000C0E0E"/>
    <w:rsid w:val="000D296D"/>
    <w:rsid w:val="000D689F"/>
    <w:rsid w:val="000E7B7B"/>
    <w:rsid w:val="000E7D62"/>
    <w:rsid w:val="000F41E8"/>
    <w:rsid w:val="00103357"/>
    <w:rsid w:val="00112099"/>
    <w:rsid w:val="00123C9F"/>
    <w:rsid w:val="00126190"/>
    <w:rsid w:val="00130F17"/>
    <w:rsid w:val="001320BF"/>
    <w:rsid w:val="00163BC4"/>
    <w:rsid w:val="001672BF"/>
    <w:rsid w:val="00191062"/>
    <w:rsid w:val="00192B72"/>
    <w:rsid w:val="001A172D"/>
    <w:rsid w:val="001A29D8"/>
    <w:rsid w:val="001A5CAA"/>
    <w:rsid w:val="001B0427"/>
    <w:rsid w:val="001C13F6"/>
    <w:rsid w:val="001D0766"/>
    <w:rsid w:val="001D374B"/>
    <w:rsid w:val="001D3A51"/>
    <w:rsid w:val="001E10D2"/>
    <w:rsid w:val="001E25B4"/>
    <w:rsid w:val="001E27E5"/>
    <w:rsid w:val="001E44FE"/>
    <w:rsid w:val="001F149C"/>
    <w:rsid w:val="001F5DE9"/>
    <w:rsid w:val="00200595"/>
    <w:rsid w:val="00204835"/>
    <w:rsid w:val="002233CD"/>
    <w:rsid w:val="00231920"/>
    <w:rsid w:val="0023195C"/>
    <w:rsid w:val="002344B9"/>
    <w:rsid w:val="00235CC5"/>
    <w:rsid w:val="0024282C"/>
    <w:rsid w:val="002460DC"/>
    <w:rsid w:val="00250985"/>
    <w:rsid w:val="0025136F"/>
    <w:rsid w:val="002556F6"/>
    <w:rsid w:val="00283105"/>
    <w:rsid w:val="002833EF"/>
    <w:rsid w:val="00284C4C"/>
    <w:rsid w:val="00287E68"/>
    <w:rsid w:val="00296529"/>
    <w:rsid w:val="00297DA1"/>
    <w:rsid w:val="002B27FB"/>
    <w:rsid w:val="002B685A"/>
    <w:rsid w:val="002C57D2"/>
    <w:rsid w:val="002E0D56"/>
    <w:rsid w:val="002F0671"/>
    <w:rsid w:val="00315186"/>
    <w:rsid w:val="0033343E"/>
    <w:rsid w:val="00333AFA"/>
    <w:rsid w:val="003512C2"/>
    <w:rsid w:val="00371FB6"/>
    <w:rsid w:val="003763C1"/>
    <w:rsid w:val="00376BBE"/>
    <w:rsid w:val="0039224F"/>
    <w:rsid w:val="0039526E"/>
    <w:rsid w:val="00396DCB"/>
    <w:rsid w:val="003A43A4"/>
    <w:rsid w:val="003A7E18"/>
    <w:rsid w:val="003B5FB9"/>
    <w:rsid w:val="003C1433"/>
    <w:rsid w:val="003C4C86"/>
    <w:rsid w:val="003C6258"/>
    <w:rsid w:val="003E2904"/>
    <w:rsid w:val="003E6179"/>
    <w:rsid w:val="00401927"/>
    <w:rsid w:val="0041027F"/>
    <w:rsid w:val="00412475"/>
    <w:rsid w:val="00413D74"/>
    <w:rsid w:val="00423789"/>
    <w:rsid w:val="00440F43"/>
    <w:rsid w:val="00441B6F"/>
    <w:rsid w:val="004439AB"/>
    <w:rsid w:val="00446221"/>
    <w:rsid w:val="004500EC"/>
    <w:rsid w:val="00450E62"/>
    <w:rsid w:val="004539DB"/>
    <w:rsid w:val="00471A80"/>
    <w:rsid w:val="004739A6"/>
    <w:rsid w:val="00473ECB"/>
    <w:rsid w:val="00491C36"/>
    <w:rsid w:val="004A4A14"/>
    <w:rsid w:val="004D305E"/>
    <w:rsid w:val="004D4277"/>
    <w:rsid w:val="004D7145"/>
    <w:rsid w:val="00502516"/>
    <w:rsid w:val="0050392E"/>
    <w:rsid w:val="00505F06"/>
    <w:rsid w:val="00506828"/>
    <w:rsid w:val="0053056E"/>
    <w:rsid w:val="005328A2"/>
    <w:rsid w:val="00551265"/>
    <w:rsid w:val="00554FDA"/>
    <w:rsid w:val="00556B41"/>
    <w:rsid w:val="00580D7C"/>
    <w:rsid w:val="005928F9"/>
    <w:rsid w:val="00594A73"/>
    <w:rsid w:val="005C784C"/>
    <w:rsid w:val="005D17F6"/>
    <w:rsid w:val="005E055E"/>
    <w:rsid w:val="005E5539"/>
    <w:rsid w:val="005F17AB"/>
    <w:rsid w:val="005F67A5"/>
    <w:rsid w:val="00602BF5"/>
    <w:rsid w:val="00617FDD"/>
    <w:rsid w:val="00633614"/>
    <w:rsid w:val="00633F68"/>
    <w:rsid w:val="00636EB2"/>
    <w:rsid w:val="006375B8"/>
    <w:rsid w:val="00656B2E"/>
    <w:rsid w:val="0066510A"/>
    <w:rsid w:val="00673F9F"/>
    <w:rsid w:val="00686953"/>
    <w:rsid w:val="00687DEA"/>
    <w:rsid w:val="00687E67"/>
    <w:rsid w:val="006967F7"/>
    <w:rsid w:val="006A250C"/>
    <w:rsid w:val="006A40A0"/>
    <w:rsid w:val="006A7CDA"/>
    <w:rsid w:val="006B21D3"/>
    <w:rsid w:val="006B57D0"/>
    <w:rsid w:val="006D30FF"/>
    <w:rsid w:val="006D6940"/>
    <w:rsid w:val="006E598B"/>
    <w:rsid w:val="006F11EC"/>
    <w:rsid w:val="0070082C"/>
    <w:rsid w:val="0073252E"/>
    <w:rsid w:val="007369E6"/>
    <w:rsid w:val="00746E59"/>
    <w:rsid w:val="00754C9A"/>
    <w:rsid w:val="0075599A"/>
    <w:rsid w:val="00761D52"/>
    <w:rsid w:val="007773D1"/>
    <w:rsid w:val="0077749E"/>
    <w:rsid w:val="00790ADA"/>
    <w:rsid w:val="007D21C6"/>
    <w:rsid w:val="007D2288"/>
    <w:rsid w:val="007E088F"/>
    <w:rsid w:val="007F5417"/>
    <w:rsid w:val="007F7B32"/>
    <w:rsid w:val="00804BC2"/>
    <w:rsid w:val="0081431A"/>
    <w:rsid w:val="0083216F"/>
    <w:rsid w:val="00837B84"/>
    <w:rsid w:val="00843588"/>
    <w:rsid w:val="00844C92"/>
    <w:rsid w:val="00846390"/>
    <w:rsid w:val="008468E6"/>
    <w:rsid w:val="00860000"/>
    <w:rsid w:val="00863BD3"/>
    <w:rsid w:val="008641ED"/>
    <w:rsid w:val="00866D66"/>
    <w:rsid w:val="008671C6"/>
    <w:rsid w:val="008726CB"/>
    <w:rsid w:val="00872F8E"/>
    <w:rsid w:val="008733B6"/>
    <w:rsid w:val="00875803"/>
    <w:rsid w:val="008B459E"/>
    <w:rsid w:val="008E13AE"/>
    <w:rsid w:val="008E1506"/>
    <w:rsid w:val="008E710C"/>
    <w:rsid w:val="008F69D6"/>
    <w:rsid w:val="00902823"/>
    <w:rsid w:val="00915CA6"/>
    <w:rsid w:val="00925FF3"/>
    <w:rsid w:val="00927834"/>
    <w:rsid w:val="009500A6"/>
    <w:rsid w:val="00951D05"/>
    <w:rsid w:val="00956418"/>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6DF"/>
    <w:rsid w:val="00A94063"/>
    <w:rsid w:val="00AA6219"/>
    <w:rsid w:val="00AA74E0"/>
    <w:rsid w:val="00AA7AB5"/>
    <w:rsid w:val="00AB703F"/>
    <w:rsid w:val="00AC6BB8"/>
    <w:rsid w:val="00AE008F"/>
    <w:rsid w:val="00B01FCD"/>
    <w:rsid w:val="00B02FFD"/>
    <w:rsid w:val="00B1776C"/>
    <w:rsid w:val="00B274A7"/>
    <w:rsid w:val="00B52583"/>
    <w:rsid w:val="00B52896"/>
    <w:rsid w:val="00B54F5F"/>
    <w:rsid w:val="00B828D2"/>
    <w:rsid w:val="00B95236"/>
    <w:rsid w:val="00B96BD9"/>
    <w:rsid w:val="00BA1B01"/>
    <w:rsid w:val="00BA2641"/>
    <w:rsid w:val="00BB37AA"/>
    <w:rsid w:val="00BC53A0"/>
    <w:rsid w:val="00BD4BAA"/>
    <w:rsid w:val="00BD4C99"/>
    <w:rsid w:val="00BE0647"/>
    <w:rsid w:val="00BE62AD"/>
    <w:rsid w:val="00BF121F"/>
    <w:rsid w:val="00BF1F80"/>
    <w:rsid w:val="00C12405"/>
    <w:rsid w:val="00C166EF"/>
    <w:rsid w:val="00C17AAB"/>
    <w:rsid w:val="00C17EB0"/>
    <w:rsid w:val="00C233E2"/>
    <w:rsid w:val="00C27F5F"/>
    <w:rsid w:val="00C30A0F"/>
    <w:rsid w:val="00C37E61"/>
    <w:rsid w:val="00C4514B"/>
    <w:rsid w:val="00C517AE"/>
    <w:rsid w:val="00C70F1B"/>
    <w:rsid w:val="00C71A47"/>
    <w:rsid w:val="00C7464C"/>
    <w:rsid w:val="00C85588"/>
    <w:rsid w:val="00CD3E15"/>
    <w:rsid w:val="00CD6755"/>
    <w:rsid w:val="00CD6856"/>
    <w:rsid w:val="00CE0089"/>
    <w:rsid w:val="00CE793C"/>
    <w:rsid w:val="00CF193C"/>
    <w:rsid w:val="00D173F1"/>
    <w:rsid w:val="00D219E9"/>
    <w:rsid w:val="00D74CB0"/>
    <w:rsid w:val="00D804A4"/>
    <w:rsid w:val="00D8295D"/>
    <w:rsid w:val="00D96F08"/>
    <w:rsid w:val="00DB3BD4"/>
    <w:rsid w:val="00DB616A"/>
    <w:rsid w:val="00DC2A65"/>
    <w:rsid w:val="00DC5C42"/>
    <w:rsid w:val="00DD42D9"/>
    <w:rsid w:val="00DE15F0"/>
    <w:rsid w:val="00DE5663"/>
    <w:rsid w:val="00DE78AA"/>
    <w:rsid w:val="00DF71E1"/>
    <w:rsid w:val="00E053D0"/>
    <w:rsid w:val="00E15994"/>
    <w:rsid w:val="00E16BDE"/>
    <w:rsid w:val="00E252B6"/>
    <w:rsid w:val="00E2552B"/>
    <w:rsid w:val="00E3114E"/>
    <w:rsid w:val="00E31A70"/>
    <w:rsid w:val="00E35B02"/>
    <w:rsid w:val="00E52ACB"/>
    <w:rsid w:val="00E53F65"/>
    <w:rsid w:val="00E622D4"/>
    <w:rsid w:val="00E66496"/>
    <w:rsid w:val="00E66B35"/>
    <w:rsid w:val="00E66E10"/>
    <w:rsid w:val="00E769F6"/>
    <w:rsid w:val="00E8407C"/>
    <w:rsid w:val="00E84F3C"/>
    <w:rsid w:val="00E85638"/>
    <w:rsid w:val="00E905A0"/>
    <w:rsid w:val="00EA012C"/>
    <w:rsid w:val="00EB3D62"/>
    <w:rsid w:val="00EC6A55"/>
    <w:rsid w:val="00ED0288"/>
    <w:rsid w:val="00ED2247"/>
    <w:rsid w:val="00ED63C0"/>
    <w:rsid w:val="00EE52CB"/>
    <w:rsid w:val="00EF51C1"/>
    <w:rsid w:val="00EF581D"/>
    <w:rsid w:val="00EF7FD8"/>
    <w:rsid w:val="00F06F59"/>
    <w:rsid w:val="00F17988"/>
    <w:rsid w:val="00F20699"/>
    <w:rsid w:val="00F414B2"/>
    <w:rsid w:val="00F469F0"/>
    <w:rsid w:val="00F53273"/>
    <w:rsid w:val="00F71103"/>
    <w:rsid w:val="00F755E4"/>
    <w:rsid w:val="00F77D02"/>
    <w:rsid w:val="00FA6FA8"/>
    <w:rsid w:val="00FB3A86"/>
    <w:rsid w:val="00FD36C8"/>
    <w:rsid w:val="00FD7124"/>
    <w:rsid w:val="00FF2704"/>
    <w:rsid w:val="01A843AF"/>
    <w:rsid w:val="053B7608"/>
    <w:rsid w:val="0A5A0956"/>
    <w:rsid w:val="24A0001A"/>
    <w:rsid w:val="2EA15E7F"/>
    <w:rsid w:val="3A06128C"/>
    <w:rsid w:val="3DEA602A"/>
    <w:rsid w:val="3F373C95"/>
    <w:rsid w:val="449E2BEF"/>
    <w:rsid w:val="54157CED"/>
    <w:rsid w:val="55021C12"/>
    <w:rsid w:val="5B5B3870"/>
    <w:rsid w:val="66E0405D"/>
    <w:rsid w:val="77EE514F"/>
    <w:rsid w:val="7AB9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35"/>
      </o:rules>
    </o:shapelayout>
  </w:shapeDefaults>
  <w:decimalSymbol w:val="."/>
  <w:listSeparator w:val=","/>
  <w14:docId w14:val="36AD95F4"/>
  <w15:docId w15:val="{5BE0D35D-ECC6-4E2F-A649-1A850B99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eastAsia="Times New Roman" w:hAnsi="Helvetica"/>
      <w:lang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rFonts w:ascii="Times New Roman" w:hAnsi="Times New Roman"/>
      <w:lang w:val="nb-NO" w:eastAsia="nb-NO"/>
    </w:rPr>
  </w:style>
  <w:style w:type="paragraph" w:styleId="3">
    <w:name w:val="Body Text 3"/>
    <w:basedOn w:val="a"/>
    <w:link w:val="30"/>
    <w:qFormat/>
    <w:pPr>
      <w:spacing w:after="120"/>
    </w:pPr>
    <w:rPr>
      <w:sz w:val="16"/>
      <w:szCs w:val="16"/>
    </w:rPr>
  </w:style>
  <w:style w:type="paragraph" w:styleId="a5">
    <w:name w:val="Balloon Text"/>
    <w:basedOn w:val="a"/>
    <w:link w:val="a6"/>
    <w:qFormat/>
    <w:rPr>
      <w:rFonts w:ascii="Tahoma" w:hAnsi="Tahoma" w:cs="Tahoma"/>
      <w:sz w:val="16"/>
      <w:szCs w:val="16"/>
    </w:rPr>
  </w:style>
  <w:style w:type="paragraph" w:styleId="a7">
    <w:name w:val="footer"/>
    <w:basedOn w:val="a"/>
    <w:qFormat/>
    <w:pPr>
      <w:tabs>
        <w:tab w:val="center" w:pos="4320"/>
        <w:tab w:val="right" w:pos="8640"/>
      </w:tabs>
    </w:pPr>
  </w:style>
  <w:style w:type="paragraph" w:styleId="a8">
    <w:name w:val="header"/>
    <w:basedOn w:val="a"/>
    <w:qFormat/>
    <w:pPr>
      <w:tabs>
        <w:tab w:val="center" w:pos="4320"/>
        <w:tab w:val="right" w:pos="8640"/>
      </w:tabs>
    </w:pPr>
  </w:style>
  <w:style w:type="paragraph" w:styleId="a9">
    <w:name w:val="Signature"/>
    <w:basedOn w:val="a"/>
    <w:qFormat/>
    <w:pPr>
      <w:ind w:left="4320"/>
    </w:pPr>
  </w:style>
  <w:style w:type="paragraph" w:styleId="2">
    <w:name w:val="Body Text 2"/>
    <w:basedOn w:val="a"/>
    <w:link w:val="20"/>
    <w:qFormat/>
    <w:pPr>
      <w:spacing w:after="120" w:line="480" w:lineRule="auto"/>
    </w:pPr>
  </w:style>
  <w:style w:type="paragraph" w:styleId="aa">
    <w:name w:val="Normal (Web)"/>
    <w:basedOn w:val="a"/>
    <w:semiHidden/>
    <w:unhideWhenUsed/>
    <w:qFormat/>
    <w:pPr>
      <w:spacing w:beforeAutospacing="1" w:afterAutospacing="1"/>
    </w:pPr>
    <w:rPr>
      <w:sz w:val="24"/>
      <w:lang w:eastAsia="zh-CN"/>
    </w:rPr>
  </w:style>
  <w:style w:type="paragraph" w:styleId="ab">
    <w:name w:val="Title"/>
    <w:basedOn w:val="a"/>
    <w:qFormat/>
    <w:pPr>
      <w:spacing w:after="360"/>
      <w:jc w:val="right"/>
    </w:pPr>
    <w:rPr>
      <w:b/>
      <w:kern w:val="28"/>
      <w:sz w:val="36"/>
    </w:rPr>
  </w:style>
  <w:style w:type="table" w:styleId="ac">
    <w:name w:val="Table Grid"/>
    <w:basedOn w:val="a1"/>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FollowedHyperlink"/>
    <w:basedOn w:val="a0"/>
    <w:qFormat/>
    <w:rPr>
      <w:color w:val="800080"/>
      <w:u w:val="single"/>
    </w:rPr>
  </w:style>
  <w:style w:type="character" w:styleId="ae">
    <w:name w:val="Emphasis"/>
    <w:basedOn w:val="a0"/>
    <w:uiPriority w:val="20"/>
    <w:qFormat/>
    <w:rPr>
      <w:i/>
      <w:iCs/>
    </w:rPr>
  </w:style>
  <w:style w:type="character" w:styleId="af">
    <w:name w:val="line number"/>
    <w:basedOn w:val="a0"/>
    <w:qFormat/>
  </w:style>
  <w:style w:type="character" w:styleId="af0">
    <w:name w:val="Hyperlink"/>
    <w:basedOn w:val="a0"/>
    <w:qFormat/>
    <w:rPr>
      <w:color w:val="FF0080"/>
      <w:u w:val="single"/>
    </w:rPr>
  </w:style>
  <w:style w:type="character" w:styleId="af1">
    <w:name w:val="annotation reference"/>
    <w:basedOn w:val="a0"/>
    <w:uiPriority w:val="99"/>
    <w:unhideWhenUsed/>
    <w:qFormat/>
    <w:rPr>
      <w:sz w:val="16"/>
      <w:szCs w:val="16"/>
    </w:r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qFormat/>
    <w:pPr>
      <w:spacing w:after="240"/>
      <w:jc w:val="both"/>
    </w:pPr>
  </w:style>
  <w:style w:type="paragraph" w:customStyle="1" w:styleId="AbstHead">
    <w:name w:val="Abst Head"/>
    <w:basedOn w:val="MainHead"/>
    <w:qFormat/>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0">
    <w:name w:val="正文文本 2 字符"/>
    <w:basedOn w:val="a0"/>
    <w:link w:val="2"/>
    <w:qFormat/>
    <w:rPr>
      <w:rFonts w:ascii="Helvetica" w:hAnsi="Helvetica"/>
    </w:rPr>
  </w:style>
  <w:style w:type="character" w:customStyle="1" w:styleId="a4">
    <w:name w:val="批注文字 字符"/>
    <w:basedOn w:val="a0"/>
    <w:link w:val="a3"/>
    <w:uiPriority w:val="99"/>
    <w:qFormat/>
    <w:rPr>
      <w:lang w:val="nb-NO" w:eastAsia="nb-NO"/>
    </w:rPr>
  </w:style>
  <w:style w:type="character" w:customStyle="1" w:styleId="a6">
    <w:name w:val="批注框文本 字符"/>
    <w:basedOn w:val="a0"/>
    <w:link w:val="a5"/>
    <w:qFormat/>
    <w:rPr>
      <w:rFonts w:ascii="Tahoma" w:hAnsi="Tahoma" w:cs="Tahoma"/>
      <w:sz w:val="16"/>
      <w:szCs w:val="16"/>
    </w:rPr>
  </w:style>
  <w:style w:type="character" w:customStyle="1" w:styleId="30">
    <w:name w:val="正文文本 3 字符"/>
    <w:basedOn w:val="a0"/>
    <w:link w:val="3"/>
    <w:qFormat/>
    <w:rPr>
      <w:rFonts w:ascii="Helvetica" w:hAnsi="Helvetica"/>
      <w:sz w:val="16"/>
      <w:szCs w:val="16"/>
    </w:rPr>
  </w:style>
  <w:style w:type="character" w:customStyle="1" w:styleId="10">
    <w:name w:val="未处理的提及1"/>
    <w:basedOn w:val="a0"/>
    <w:uiPriority w:val="99"/>
    <w:semiHidden/>
    <w:unhideWhenUsed/>
    <w:qFormat/>
    <w:rPr>
      <w:color w:val="605E5C"/>
      <w:shd w:val="clear" w:color="auto" w:fill="E1DFDD"/>
    </w:rPr>
  </w:style>
  <w:style w:type="paragraph" w:customStyle="1" w:styleId="DL">
    <w:name w:val="DL图和图标题"/>
    <w:basedOn w:val="a"/>
    <w:qFormat/>
    <w:pPr>
      <w:contextualSpacing/>
      <w:jc w:val="center"/>
    </w:pPr>
    <w:rPr>
      <w:sz w:val="21"/>
    </w:rPr>
  </w:style>
  <w:style w:type="paragraph" w:customStyle="1" w:styleId="af2">
    <w:name w:val="公式"/>
    <w:basedOn w:val="a"/>
    <w:qFormat/>
    <w:pPr>
      <w:tabs>
        <w:tab w:val="center" w:pos="4201"/>
        <w:tab w:val="right" w:pos="8397"/>
      </w:tabs>
      <w:autoSpaceDE w:val="0"/>
      <w:autoSpaceDN w:val="0"/>
      <w:adjustRightInd w:val="0"/>
      <w:spacing w:line="360" w:lineRule="auto"/>
      <w:ind w:firstLine="480"/>
      <w:jc w:val="center"/>
    </w:pPr>
  </w:style>
  <w:style w:type="paragraph" w:styleId="af3">
    <w:name w:val="List Paragraph"/>
    <w:basedOn w:val="a"/>
    <w:uiPriority w:val="99"/>
    <w:pPr>
      <w:ind w:firstLineChars="200" w:firstLine="420"/>
    </w:pPr>
  </w:style>
  <w:style w:type="character" w:styleId="af4">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094085">
      <w:bodyDiv w:val="1"/>
      <w:marLeft w:val="0"/>
      <w:marRight w:val="0"/>
      <w:marTop w:val="0"/>
      <w:marBottom w:val="0"/>
      <w:divBdr>
        <w:top w:val="none" w:sz="0" w:space="0" w:color="auto"/>
        <w:left w:val="none" w:sz="0" w:space="0" w:color="auto"/>
        <w:bottom w:val="none" w:sz="0" w:space="0" w:color="auto"/>
        <w:right w:val="none" w:sz="0" w:space="0" w:color="auto"/>
      </w:divBdr>
      <w:divsChild>
        <w:div w:id="1268658132">
          <w:marLeft w:val="0"/>
          <w:marRight w:val="0"/>
          <w:marTop w:val="0"/>
          <w:marBottom w:val="0"/>
          <w:divBdr>
            <w:top w:val="none" w:sz="0" w:space="0" w:color="auto"/>
            <w:left w:val="none" w:sz="0" w:space="0" w:color="auto"/>
            <w:bottom w:val="none" w:sz="0" w:space="0" w:color="auto"/>
            <w:right w:val="none" w:sz="0" w:space="0" w:color="auto"/>
          </w:divBdr>
        </w:div>
        <w:div w:id="2128770930">
          <w:marLeft w:val="0"/>
          <w:marRight w:val="0"/>
          <w:marTop w:val="0"/>
          <w:marBottom w:val="0"/>
          <w:divBdr>
            <w:top w:val="none" w:sz="0" w:space="0" w:color="auto"/>
            <w:left w:val="none" w:sz="0" w:space="0" w:color="auto"/>
            <w:bottom w:val="none" w:sz="0" w:space="0" w:color="auto"/>
            <w:right w:val="none" w:sz="0" w:space="0" w:color="auto"/>
          </w:divBdr>
        </w:div>
        <w:div w:id="218999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21" Type="http://schemas.openxmlformats.org/officeDocument/2006/relationships/oleObject" Target="embeddings/oleObject5.bin"/><Relationship Id="rId34" Type="http://schemas.openxmlformats.org/officeDocument/2006/relationships/image" Target="media/image14.e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7.wmf"/><Relationship Id="rId32" Type="http://schemas.openxmlformats.org/officeDocument/2006/relationships/image" Target="media/image12.emf"/><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image" Target="media/image16.emf"/><Relationship Id="rId10" Type="http://schemas.openxmlformats.org/officeDocument/2006/relationships/header" Target="header2.xml"/><Relationship Id="rId19" Type="http://schemas.openxmlformats.org/officeDocument/2006/relationships/oleObject" Target="embeddings/oleObject4.bin"/><Relationship Id="rId31" Type="http://schemas.openxmlformats.org/officeDocument/2006/relationships/image" Target="media/image1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image" Target="media/image15.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emf"/><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6"/>
  </customShpExts>
</s:customData>
</file>

<file path=customXml/itemProps1.xml><?xml version="1.0" encoding="utf-8"?>
<ds:datastoreItem xmlns:ds="http://schemas.openxmlformats.org/officeDocument/2006/customXml" ds:itemID="{9811A916-98B6-46D9-95CB-3A594F1A30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10</Pages>
  <Words>3041</Words>
  <Characters>17340</Characters>
  <Application>Microsoft Office Word</Application>
  <DocSecurity>0</DocSecurity>
  <Lines>144</Lines>
  <Paragraphs>40</Paragraphs>
  <ScaleCrop>false</ScaleCrop>
  <Company>aaaa</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erse V</cp:lastModifiedBy>
  <cp:revision>13</cp:revision>
  <cp:lastPrinted>1999-07-06T11:00:00Z</cp:lastPrinted>
  <dcterms:created xsi:type="dcterms:W3CDTF">2025-03-03T02:59:00Z</dcterms:created>
  <dcterms:modified xsi:type="dcterms:W3CDTF">2025-03-07T13:12:00Z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eyJoZGlkIjoiNjZiZjBjN2YyM2Q3YWZkOGVjZTIzYzdkYTU5OGViNmIifQ==</vt:lpwstr>
  </property>
  <property fmtid="{D5CDD505-2E9C-101B-9397-08002B2CF9AE}" pid="3" name="KSOProductBuildVer">
    <vt:lpwstr>2052-12.1.0.19770</vt:lpwstr>
  </property>
  <property fmtid="{D5CDD505-2E9C-101B-9397-08002B2CF9AE}" pid="4" name="ICV">
    <vt:lpwstr>463C2EC78E814F40AEBCB8F8CAE7A5C7_13</vt:lpwstr>
  </property>
</Properties>
</file>