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D9650" w14:textId="77777777" w:rsidR="00FE69DC" w:rsidRPr="00610639" w:rsidRDefault="00FE69DC" w:rsidP="00610639">
      <w:pPr>
        <w:spacing w:line="360" w:lineRule="auto"/>
        <w:jc w:val="center"/>
        <w:rPr>
          <w:rFonts w:cs="Times New Roman"/>
          <w:b/>
          <w:bCs/>
          <w:szCs w:val="24"/>
        </w:rPr>
      </w:pPr>
    </w:p>
    <w:p w14:paraId="60D606AA" w14:textId="38B7CFD9" w:rsidR="000E5493" w:rsidRDefault="00FE69DC" w:rsidP="0061149C">
      <w:pPr>
        <w:spacing w:line="240" w:lineRule="auto"/>
        <w:jc w:val="center"/>
        <w:rPr>
          <w:rFonts w:cs="Times New Roman"/>
          <w:b/>
          <w:bCs/>
          <w:szCs w:val="24"/>
        </w:rPr>
      </w:pPr>
      <w:r w:rsidRPr="00610639">
        <w:rPr>
          <w:rFonts w:cs="Times New Roman"/>
          <w:b/>
          <w:bCs/>
          <w:szCs w:val="24"/>
        </w:rPr>
        <w:t>Regulatory Compliance and Service Delivery in Uganda’s State-Owned Energy Sector: A Case Study of Uganda Electricity Distribution Company Limited</w:t>
      </w:r>
    </w:p>
    <w:p w14:paraId="2FE23176" w14:textId="77777777" w:rsidR="00B12DE7" w:rsidRPr="00610639" w:rsidRDefault="00B12DE7" w:rsidP="0061149C">
      <w:pPr>
        <w:spacing w:line="240" w:lineRule="auto"/>
        <w:jc w:val="center"/>
        <w:rPr>
          <w:rFonts w:cs="Times New Roman"/>
          <w:b/>
          <w:bCs/>
          <w:szCs w:val="24"/>
        </w:rPr>
      </w:pPr>
    </w:p>
    <w:p w14:paraId="2E30981F" w14:textId="77777777" w:rsidR="001658D4" w:rsidRDefault="001658D4" w:rsidP="00610639">
      <w:pPr>
        <w:spacing w:line="360" w:lineRule="auto"/>
        <w:jc w:val="both"/>
        <w:rPr>
          <w:rFonts w:cs="Times New Roman"/>
          <w:b/>
          <w:bCs/>
          <w:szCs w:val="24"/>
        </w:rPr>
      </w:pPr>
    </w:p>
    <w:p w14:paraId="7300022D" w14:textId="4A40ACC3" w:rsidR="000E5493" w:rsidRPr="00610639" w:rsidRDefault="000E5493" w:rsidP="00610639">
      <w:pPr>
        <w:spacing w:line="360" w:lineRule="auto"/>
        <w:jc w:val="both"/>
        <w:rPr>
          <w:rFonts w:cs="Times New Roman"/>
          <w:b/>
          <w:bCs/>
          <w:szCs w:val="24"/>
        </w:rPr>
      </w:pPr>
      <w:r w:rsidRPr="00610639">
        <w:rPr>
          <w:rFonts w:cs="Times New Roman"/>
          <w:b/>
          <w:bCs/>
          <w:szCs w:val="24"/>
        </w:rPr>
        <w:t>Abstract</w:t>
      </w:r>
    </w:p>
    <w:p w14:paraId="056C3D5F" w14:textId="1D4ECB83" w:rsidR="0061149C" w:rsidRPr="0061149C" w:rsidRDefault="0061149C" w:rsidP="0061149C">
      <w:pPr>
        <w:spacing w:before="100" w:beforeAutospacing="1" w:after="100" w:afterAutospacing="1" w:line="360" w:lineRule="auto"/>
        <w:jc w:val="both"/>
        <w:rPr>
          <w:rFonts w:eastAsia="Times New Roman" w:cs="Times New Roman"/>
          <w:kern w:val="0"/>
          <w:szCs w:val="24"/>
        </w:rPr>
      </w:pPr>
      <w:r w:rsidRPr="0061149C">
        <w:rPr>
          <w:rFonts w:eastAsia="Times New Roman" w:cs="Times New Roman"/>
          <w:kern w:val="0"/>
          <w:szCs w:val="24"/>
        </w:rPr>
        <w:t xml:space="preserve">This study explored the influence of regulatory compliance on service delivery within state-owned energy corporations, with a specific focus on Uganda Electricity Distribution Company Limited (UEDCL). Grounded in </w:t>
      </w:r>
      <w:r w:rsidR="003E7518" w:rsidRPr="00610639">
        <w:rPr>
          <w:rFonts w:eastAsia="Times New Roman" w:cs="Times New Roman"/>
          <w:color w:val="1C2B33"/>
          <w:kern w:val="0"/>
          <w:szCs w:val="24"/>
        </w:rPr>
        <w:t>The Institutional Theory</w:t>
      </w:r>
      <w:r w:rsidRPr="0061149C">
        <w:rPr>
          <w:rFonts w:eastAsia="Times New Roman" w:cs="Times New Roman"/>
          <w:kern w:val="0"/>
          <w:szCs w:val="24"/>
        </w:rPr>
        <w:t xml:space="preserve">, the research examined how stakeholder participation contributes to service efficiency. A quantitative research approach was employed, integrating </w:t>
      </w:r>
      <w:r w:rsidR="00CB6B2C">
        <w:rPr>
          <w:rFonts w:eastAsia="Times New Roman" w:cs="Times New Roman"/>
          <w:kern w:val="0"/>
          <w:szCs w:val="24"/>
        </w:rPr>
        <w:t xml:space="preserve">cross sectional and descriptive </w:t>
      </w:r>
      <w:r w:rsidRPr="0061149C">
        <w:rPr>
          <w:rFonts w:eastAsia="Times New Roman" w:cs="Times New Roman"/>
          <w:kern w:val="0"/>
          <w:szCs w:val="24"/>
        </w:rPr>
        <w:t>research design</w:t>
      </w:r>
      <w:r w:rsidR="00CB6B2C">
        <w:rPr>
          <w:rFonts w:eastAsia="Times New Roman" w:cs="Times New Roman"/>
          <w:kern w:val="0"/>
          <w:szCs w:val="24"/>
        </w:rPr>
        <w:t>s</w:t>
      </w:r>
      <w:r w:rsidRPr="0061149C">
        <w:rPr>
          <w:rFonts w:eastAsia="Times New Roman" w:cs="Times New Roman"/>
          <w:kern w:val="0"/>
          <w:szCs w:val="24"/>
        </w:rPr>
        <w:t>. The study targeted 678 participants, including board members, UEDCL employees, and private sector stakeholders in the energy industry. A combination of stratified</w:t>
      </w:r>
      <w:r w:rsidR="00CB6B2C">
        <w:rPr>
          <w:rFonts w:eastAsia="Times New Roman" w:cs="Times New Roman"/>
          <w:kern w:val="0"/>
          <w:szCs w:val="24"/>
        </w:rPr>
        <w:t xml:space="preserve"> </w:t>
      </w:r>
      <w:r w:rsidRPr="0061149C">
        <w:rPr>
          <w:rFonts w:eastAsia="Times New Roman" w:cs="Times New Roman"/>
          <w:kern w:val="0"/>
          <w:szCs w:val="24"/>
        </w:rPr>
        <w:t xml:space="preserve">and simple random sampling techniques </w:t>
      </w:r>
      <w:r w:rsidR="00CB6B2C" w:rsidRPr="0061149C">
        <w:rPr>
          <w:rFonts w:eastAsia="Times New Roman" w:cs="Times New Roman"/>
          <w:kern w:val="0"/>
          <w:szCs w:val="24"/>
        </w:rPr>
        <w:t>w</w:t>
      </w:r>
      <w:r w:rsidR="00CB6B2C">
        <w:rPr>
          <w:rFonts w:eastAsia="Times New Roman" w:cs="Times New Roman"/>
          <w:kern w:val="0"/>
          <w:szCs w:val="24"/>
        </w:rPr>
        <w:t>as</w:t>
      </w:r>
      <w:r w:rsidRPr="0061149C">
        <w:rPr>
          <w:rFonts w:eastAsia="Times New Roman" w:cs="Times New Roman"/>
          <w:kern w:val="0"/>
          <w:szCs w:val="24"/>
        </w:rPr>
        <w:t xml:space="preserve"> used to select a sample of 251 respondents. Data collection was conducted using </w:t>
      </w:r>
      <w:r w:rsidR="00CB6B2C">
        <w:rPr>
          <w:rFonts w:eastAsia="Times New Roman" w:cs="Times New Roman"/>
          <w:kern w:val="0"/>
          <w:szCs w:val="24"/>
        </w:rPr>
        <w:t xml:space="preserve">structured </w:t>
      </w:r>
      <w:r w:rsidRPr="0061149C">
        <w:rPr>
          <w:rFonts w:eastAsia="Times New Roman" w:cs="Times New Roman"/>
          <w:kern w:val="0"/>
          <w:szCs w:val="24"/>
        </w:rPr>
        <w:t>questionnaires, and analysis was carried out through descriptive statistics</w:t>
      </w:r>
      <w:r w:rsidR="00CB6B2C">
        <w:rPr>
          <w:rFonts w:eastAsia="Times New Roman" w:cs="Times New Roman"/>
          <w:kern w:val="0"/>
          <w:szCs w:val="24"/>
        </w:rPr>
        <w:t xml:space="preserve"> and </w:t>
      </w:r>
      <w:r w:rsidRPr="0061149C">
        <w:rPr>
          <w:rFonts w:eastAsia="Times New Roman" w:cs="Times New Roman"/>
          <w:kern w:val="0"/>
          <w:szCs w:val="24"/>
        </w:rPr>
        <w:t>inferential techniques. The correlation analysis revealed a positive relationship between regulatory compliance and service delivery (r = 0.336, p &lt; 0.01). Regression analysis further confirmed a significant relationship between regulatory compliance and service delivery (β = 0.312, t = 3.594, p = 0.000, p &lt; 0.05), highlighting the critical role of regulatory compliance in enhancing service efficiency. These findings offer empirical insights into regulatory compliance within Uganda’s energy sector, providing a basis for strengthening governance and operational effectiveness in state-owned enterprises.</w:t>
      </w:r>
    </w:p>
    <w:p w14:paraId="6079122F" w14:textId="69F2B7C0" w:rsidR="000E5493" w:rsidRPr="00610639" w:rsidRDefault="000E5493" w:rsidP="00610639">
      <w:pPr>
        <w:spacing w:line="360" w:lineRule="auto"/>
        <w:jc w:val="both"/>
        <w:rPr>
          <w:rFonts w:cs="Times New Roman"/>
          <w:szCs w:val="24"/>
        </w:rPr>
      </w:pPr>
      <w:r w:rsidRPr="00610639">
        <w:rPr>
          <w:rFonts w:cs="Times New Roman"/>
          <w:b/>
          <w:bCs/>
          <w:szCs w:val="24"/>
        </w:rPr>
        <w:t xml:space="preserve">Keywords:  </w:t>
      </w:r>
      <w:r w:rsidRPr="00610639">
        <w:rPr>
          <w:rFonts w:cs="Times New Roman"/>
          <w:szCs w:val="24"/>
        </w:rPr>
        <w:t>Regulatory Compliance, Service Delivery, State-Owned Energy Corporation, Electricity Distribution Company Limited</w:t>
      </w:r>
    </w:p>
    <w:p w14:paraId="5F1C3BC9" w14:textId="77777777" w:rsidR="000E5493" w:rsidRPr="00610639" w:rsidRDefault="000E5493" w:rsidP="00610639">
      <w:pPr>
        <w:spacing w:line="360" w:lineRule="auto"/>
        <w:jc w:val="both"/>
        <w:rPr>
          <w:rFonts w:cs="Times New Roman"/>
          <w:b/>
          <w:bCs/>
          <w:szCs w:val="24"/>
        </w:rPr>
      </w:pPr>
    </w:p>
    <w:p w14:paraId="0B721764" w14:textId="77777777" w:rsidR="0061149C" w:rsidRDefault="000E5493" w:rsidP="0061149C">
      <w:pPr>
        <w:spacing w:line="360" w:lineRule="auto"/>
        <w:jc w:val="both"/>
        <w:rPr>
          <w:rFonts w:cs="Times New Roman"/>
          <w:b/>
          <w:bCs/>
          <w:szCs w:val="24"/>
        </w:rPr>
      </w:pPr>
      <w:r w:rsidRPr="00610639">
        <w:rPr>
          <w:rFonts w:cs="Times New Roman"/>
          <w:b/>
          <w:bCs/>
          <w:szCs w:val="24"/>
        </w:rPr>
        <w:t>Introduction</w:t>
      </w:r>
      <w:r w:rsidR="00EF69D2" w:rsidRPr="00610639">
        <w:rPr>
          <w:rFonts w:cs="Times New Roman"/>
          <w:szCs w:val="24"/>
        </w:rPr>
        <w:br/>
      </w:r>
      <w:r w:rsidR="00EF69D2" w:rsidRPr="00610639">
        <w:rPr>
          <w:rFonts w:cs="Times New Roman"/>
          <w:color w:val="1C2B33"/>
          <w:szCs w:val="24"/>
          <w:shd w:val="clear" w:color="auto" w:fill="FFFFFF"/>
        </w:rPr>
        <w:t>The imperative of regulatory compliance and effective service delivery in state-owned energy corporations cannot be overstated, particularly in the face of increasing energy demands and the need for sustainable development (</w:t>
      </w:r>
      <w:proofErr w:type="spellStart"/>
      <w:r w:rsidR="00EF69D2" w:rsidRPr="00610639">
        <w:rPr>
          <w:rFonts w:cs="Times New Roman"/>
          <w:color w:val="1C2B33"/>
          <w:szCs w:val="24"/>
          <w:shd w:val="clear" w:color="auto" w:fill="FFFFFF"/>
        </w:rPr>
        <w:t>Kwakwa</w:t>
      </w:r>
      <w:proofErr w:type="spellEnd"/>
      <w:r w:rsidR="00EF69D2" w:rsidRPr="00610639">
        <w:rPr>
          <w:rFonts w:cs="Times New Roman"/>
          <w:color w:val="1C2B33"/>
          <w:szCs w:val="24"/>
          <w:shd w:val="clear" w:color="auto" w:fill="FFFFFF"/>
        </w:rPr>
        <w:t xml:space="preserve"> et al., 2020). Regulatory compliance is crucial in </w:t>
      </w:r>
      <w:r w:rsidR="00EF69D2" w:rsidRPr="00610639">
        <w:rPr>
          <w:rFonts w:cs="Times New Roman"/>
          <w:color w:val="1C2B33"/>
          <w:szCs w:val="24"/>
          <w:shd w:val="clear" w:color="auto" w:fill="FFFFFF"/>
        </w:rPr>
        <w:lastRenderedPageBreak/>
        <w:t>ensuring that state-owned energy corporations operate within established legal and policy frameworks, thereby promoting transparency, accountability, and good governance (Moyo et al., 2020). Effective service delivery, on the other hand, is essential for ensuring that energy services are accessible, reliable, and affordable, which in turn has a positive impact on economic development and poverty reduction (IEA, 2020). However, state-owned energy corporations often face challenges in balancing regulatory compliance with effective service delivery, which can have negative consequences for energy sector performance and overall economic development (Oyedele et al., 2019). Therefore, it is essential to explore the relationship between regulatory compliance and service delivery in state-owned energy corporations, with a view to identifying strategies for improving energy sector performance and promoting sustainable development.</w:t>
      </w:r>
    </w:p>
    <w:p w14:paraId="48B6C2EA" w14:textId="11CD48E4" w:rsidR="00EF69D2" w:rsidRPr="0061149C" w:rsidRDefault="00EF69D2" w:rsidP="0061149C">
      <w:pPr>
        <w:spacing w:line="360" w:lineRule="auto"/>
        <w:jc w:val="both"/>
        <w:rPr>
          <w:rFonts w:cs="Times New Roman"/>
          <w:b/>
          <w:bCs/>
          <w:szCs w:val="24"/>
        </w:rPr>
      </w:pPr>
      <w:r w:rsidRPr="00610639">
        <w:rPr>
          <w:rFonts w:eastAsia="Times New Roman" w:cs="Times New Roman"/>
          <w:color w:val="1C2B33"/>
          <w:kern w:val="0"/>
          <w:szCs w:val="24"/>
        </w:rPr>
        <w:br/>
        <w:t>State-owned energy corporations play a significant role in both advanced and emerging economies, with varying degrees of success and challenges. In advanced economies, these corporations often operate in a more liberalized market environment, with a focus on efficiency, profitability, and sustainability. For instance, France's EDF, a state-owned utility company, has successfully transitioned to a more market-oriented approach, while maintaining a strong focus on renewable energy and nuclear power (</w:t>
      </w:r>
      <w:proofErr w:type="spellStart"/>
      <w:r w:rsidRPr="00610639">
        <w:rPr>
          <w:rFonts w:eastAsia="Times New Roman" w:cs="Times New Roman"/>
          <w:color w:val="1C2B33"/>
          <w:kern w:val="0"/>
          <w:szCs w:val="24"/>
        </w:rPr>
        <w:t>Boute</w:t>
      </w:r>
      <w:proofErr w:type="spellEnd"/>
      <w:r w:rsidRPr="00610639">
        <w:rPr>
          <w:rFonts w:eastAsia="Times New Roman" w:cs="Times New Roman"/>
          <w:color w:val="1C2B33"/>
          <w:kern w:val="0"/>
          <w:szCs w:val="24"/>
        </w:rPr>
        <w:t>, 2020). Similarly, Germany's Energiewende, a state-led energy transition program, aims to reduce greenhouse gas emissions and increase the share of renewable energy in the energy mix.</w:t>
      </w:r>
    </w:p>
    <w:p w14:paraId="26607196" w14:textId="77777777" w:rsidR="00EF69D2" w:rsidRPr="00610639" w:rsidRDefault="00EF69D2" w:rsidP="00610639">
      <w:pPr>
        <w:shd w:val="clear" w:color="auto" w:fill="FFFFFF"/>
        <w:spacing w:line="360" w:lineRule="auto"/>
        <w:jc w:val="both"/>
        <w:rPr>
          <w:rFonts w:eastAsia="Times New Roman" w:cs="Times New Roman"/>
          <w:color w:val="1C2B33"/>
          <w:kern w:val="0"/>
          <w:szCs w:val="24"/>
        </w:rPr>
      </w:pPr>
      <w:r w:rsidRPr="00610639">
        <w:rPr>
          <w:rFonts w:eastAsia="Times New Roman" w:cs="Times New Roman"/>
          <w:color w:val="1C2B33"/>
          <w:kern w:val="0"/>
          <w:szCs w:val="24"/>
        </w:rPr>
        <w:t>In emerging economies, state-owned energy corporations often face significant challenges, including inefficient operations, limited access to financing, and corruption and governance issues. Many of these corporations struggle with inefficient operations, leading to financial losses and a lack of investment in new technologies (</w:t>
      </w:r>
      <w:proofErr w:type="spellStart"/>
      <w:r w:rsidRPr="00610639">
        <w:rPr>
          <w:rFonts w:eastAsia="Times New Roman" w:cs="Times New Roman"/>
          <w:color w:val="1C2B33"/>
          <w:kern w:val="0"/>
          <w:szCs w:val="24"/>
        </w:rPr>
        <w:t>Kwakwa</w:t>
      </w:r>
      <w:proofErr w:type="spellEnd"/>
      <w:r w:rsidRPr="00610639">
        <w:rPr>
          <w:rFonts w:eastAsia="Times New Roman" w:cs="Times New Roman"/>
          <w:color w:val="1C2B33"/>
          <w:kern w:val="0"/>
          <w:szCs w:val="24"/>
        </w:rPr>
        <w:t xml:space="preserve"> et al., 2020). For example, in India, state-owned energy corporations have faced challenges in accessing financing for new projects and investments, which has hindered their ability to expand and modernize their operations (Mishra et al., 2020). Furthermore, corruption and governance issues can be significant challenges for state-owned energy corporations in emerging economies, as seen in the case of South Africa's Eskom, which has faced allegations of corruption and mismanagement (Moyo et al., 2020).</w:t>
      </w:r>
    </w:p>
    <w:p w14:paraId="27B80ABA" w14:textId="5DC8C4D4" w:rsidR="00EF69D2" w:rsidRPr="00610639" w:rsidRDefault="00807CC4" w:rsidP="00610639">
      <w:pPr>
        <w:spacing w:line="360" w:lineRule="auto"/>
        <w:jc w:val="both"/>
        <w:rPr>
          <w:rFonts w:cs="Times New Roman"/>
          <w:color w:val="1C2B33"/>
          <w:szCs w:val="24"/>
          <w:shd w:val="clear" w:color="auto" w:fill="FFFFFF"/>
        </w:rPr>
      </w:pPr>
      <w:r w:rsidRPr="00610639">
        <w:rPr>
          <w:rFonts w:cs="Times New Roman"/>
          <w:szCs w:val="24"/>
        </w:rPr>
        <w:br/>
      </w:r>
      <w:r w:rsidRPr="00610639">
        <w:rPr>
          <w:rFonts w:cs="Times New Roman"/>
          <w:color w:val="1C2B33"/>
          <w:szCs w:val="24"/>
          <w:shd w:val="clear" w:color="auto" w:fill="FFFFFF"/>
        </w:rPr>
        <w:t xml:space="preserve">In Uganda, the energy sector has witnessed significant developments, including the discovery of </w:t>
      </w:r>
      <w:r w:rsidRPr="00610639">
        <w:rPr>
          <w:rFonts w:cs="Times New Roman"/>
          <w:color w:val="1C2B33"/>
          <w:szCs w:val="24"/>
          <w:shd w:val="clear" w:color="auto" w:fill="FFFFFF"/>
        </w:rPr>
        <w:lastRenderedPageBreak/>
        <w:t xml:space="preserve">oil reserves and the development of the oil and gas sector. However, despite these developments, the sector faces major challenges attributed to regulatory compliance. A weak regulatory framework, characterized by fragmentation and multiple institutions, hinders the development of the sector (African Development Bank, 2019). Additionally, the lack of effective enforcement of existing regulations and corruption have led to inefficiencies (Uganda National Planning Authority, 2020). The sector also lacks transparency and accountability, with limited information available to the public (Global Witness, 2019). These challenges highlight the need for a comprehensive study on regulatory compliance </w:t>
      </w:r>
      <w:r w:rsidR="00B16D27" w:rsidRPr="00610639">
        <w:rPr>
          <w:rFonts w:cs="Times New Roman"/>
          <w:color w:val="1C2B33"/>
          <w:szCs w:val="24"/>
          <w:shd w:val="clear" w:color="auto" w:fill="FFFFFF"/>
        </w:rPr>
        <w:t xml:space="preserve">and how this influences service delivery </w:t>
      </w:r>
      <w:r w:rsidRPr="00610639">
        <w:rPr>
          <w:rFonts w:cs="Times New Roman"/>
          <w:color w:val="1C2B33"/>
          <w:szCs w:val="24"/>
          <w:shd w:val="clear" w:color="auto" w:fill="FFFFFF"/>
        </w:rPr>
        <w:t>in the energy sector in Uganda.</w:t>
      </w:r>
    </w:p>
    <w:p w14:paraId="71EB652F" w14:textId="72E21FFA" w:rsidR="0061149C" w:rsidRDefault="00B16D27" w:rsidP="00610639">
      <w:pPr>
        <w:spacing w:line="360" w:lineRule="auto"/>
        <w:jc w:val="both"/>
        <w:rPr>
          <w:rFonts w:cs="Times New Roman"/>
          <w:color w:val="1C2B33"/>
          <w:szCs w:val="24"/>
          <w:shd w:val="clear" w:color="auto" w:fill="FFFFFF"/>
        </w:rPr>
      </w:pPr>
      <w:r w:rsidRPr="00610639">
        <w:rPr>
          <w:rFonts w:cs="Times New Roman"/>
          <w:color w:val="1C2B33"/>
          <w:szCs w:val="24"/>
          <w:shd w:val="clear" w:color="auto" w:fill="FFFFFF"/>
        </w:rPr>
        <w:t>This study on regulatory compliance in the energy sector in Uganda is significant because it aims to identify the challenges and gaps in the current regulatory framework, and propose recommendations for improvement. By doing so, the study will contribute to the development of a more effective and efficient regulatory framework, which will in turn enhance the transparency, accountability, and sustainability of the energy sector in Uganda, ultimately supporting the country's economic development and energy security goals.</w:t>
      </w:r>
    </w:p>
    <w:p w14:paraId="68E40264" w14:textId="79A47953" w:rsidR="00016506" w:rsidRDefault="00016506" w:rsidP="008A0842">
      <w:pPr>
        <w:spacing w:before="100" w:beforeAutospacing="1" w:after="100" w:afterAutospacing="1" w:line="240" w:lineRule="auto"/>
        <w:rPr>
          <w:rFonts w:eastAsia="Times New Roman" w:cs="Times New Roman"/>
          <w:kern w:val="0"/>
          <w:szCs w:val="24"/>
        </w:rPr>
      </w:pPr>
      <w:r w:rsidRPr="00016506">
        <w:rPr>
          <w:rFonts w:eastAsia="Times New Roman" w:cs="Times New Roman"/>
          <w:b/>
          <w:bCs/>
          <w:kern w:val="0"/>
          <w:szCs w:val="24"/>
        </w:rPr>
        <w:t>Research Questions</w:t>
      </w:r>
    </w:p>
    <w:p w14:paraId="6E7EDC40" w14:textId="314756D9" w:rsidR="008A0842" w:rsidRPr="00016506" w:rsidRDefault="008A0842" w:rsidP="008A0842">
      <w:pPr>
        <w:spacing w:before="100" w:beforeAutospacing="1" w:after="100" w:afterAutospacing="1" w:line="360" w:lineRule="auto"/>
        <w:jc w:val="both"/>
        <w:rPr>
          <w:rFonts w:eastAsia="Times New Roman" w:cs="Times New Roman"/>
          <w:kern w:val="0"/>
          <w:szCs w:val="24"/>
        </w:rPr>
      </w:pPr>
      <w:r>
        <w:t>How does regulatory compliance affect service delivery in Uganda Electricity Distribution Company Limited?</w:t>
      </w:r>
    </w:p>
    <w:p w14:paraId="137D1DF3" w14:textId="15739E84" w:rsidR="00016506" w:rsidRDefault="00016506" w:rsidP="00016506">
      <w:pPr>
        <w:spacing w:before="100" w:beforeAutospacing="1" w:after="100" w:afterAutospacing="1" w:line="360" w:lineRule="auto"/>
        <w:jc w:val="both"/>
        <w:rPr>
          <w:rFonts w:eastAsia="Times New Roman" w:cs="Times New Roman"/>
          <w:b/>
          <w:bCs/>
          <w:kern w:val="0"/>
          <w:szCs w:val="24"/>
        </w:rPr>
      </w:pPr>
      <w:r w:rsidRPr="00016506">
        <w:rPr>
          <w:rFonts w:eastAsia="Times New Roman" w:cs="Times New Roman"/>
          <w:b/>
          <w:bCs/>
          <w:kern w:val="0"/>
          <w:szCs w:val="24"/>
        </w:rPr>
        <w:t>Null Hypotheses</w:t>
      </w:r>
    </w:p>
    <w:p w14:paraId="66963911" w14:textId="23D9575C" w:rsidR="008A0842" w:rsidRDefault="008A0842" w:rsidP="00016506">
      <w:pPr>
        <w:spacing w:before="100" w:beforeAutospacing="1" w:after="100" w:afterAutospacing="1" w:line="360" w:lineRule="auto"/>
        <w:jc w:val="both"/>
      </w:pPr>
      <w:r>
        <w:t>Regulatory compliance has no significant effect on service delivery in Uganda Electricity Distribution Company Limited</w:t>
      </w:r>
    </w:p>
    <w:p w14:paraId="26DF9D2C" w14:textId="77777777" w:rsidR="008A0842" w:rsidRDefault="008A0842" w:rsidP="00016506">
      <w:pPr>
        <w:spacing w:before="100" w:beforeAutospacing="1" w:after="100" w:afterAutospacing="1" w:line="360" w:lineRule="auto"/>
        <w:jc w:val="both"/>
      </w:pPr>
    </w:p>
    <w:p w14:paraId="10F6FF6D" w14:textId="77777777" w:rsidR="008A0842" w:rsidRPr="00016506" w:rsidRDefault="008A0842" w:rsidP="00016506">
      <w:pPr>
        <w:spacing w:before="100" w:beforeAutospacing="1" w:after="100" w:afterAutospacing="1" w:line="360" w:lineRule="auto"/>
        <w:jc w:val="both"/>
        <w:rPr>
          <w:rFonts w:eastAsia="Times New Roman" w:cs="Times New Roman"/>
          <w:kern w:val="0"/>
          <w:szCs w:val="24"/>
        </w:rPr>
      </w:pPr>
    </w:p>
    <w:p w14:paraId="21CA1E8C" w14:textId="7147CA85" w:rsidR="00B16D27" w:rsidRPr="00610639" w:rsidRDefault="00B16D27" w:rsidP="00610639">
      <w:pPr>
        <w:spacing w:before="100" w:beforeAutospacing="1" w:after="100" w:afterAutospacing="1" w:line="360" w:lineRule="auto"/>
        <w:jc w:val="both"/>
        <w:rPr>
          <w:rFonts w:eastAsia="Times New Roman" w:cs="Times New Roman"/>
          <w:b/>
          <w:bCs/>
          <w:kern w:val="0"/>
          <w:szCs w:val="24"/>
        </w:rPr>
      </w:pPr>
      <w:r w:rsidRPr="00610639">
        <w:rPr>
          <w:rFonts w:eastAsia="Times New Roman" w:cs="Times New Roman"/>
          <w:b/>
          <w:bCs/>
          <w:kern w:val="0"/>
          <w:szCs w:val="24"/>
        </w:rPr>
        <w:t xml:space="preserve">2.1 Underpinning </w:t>
      </w:r>
      <w:r w:rsidR="00F34AFD" w:rsidRPr="00610639">
        <w:rPr>
          <w:rFonts w:eastAsia="Times New Roman" w:cs="Times New Roman"/>
          <w:b/>
          <w:bCs/>
          <w:kern w:val="0"/>
          <w:szCs w:val="24"/>
        </w:rPr>
        <w:t>T</w:t>
      </w:r>
      <w:r w:rsidRPr="00610639">
        <w:rPr>
          <w:rFonts w:eastAsia="Times New Roman" w:cs="Times New Roman"/>
          <w:b/>
          <w:bCs/>
          <w:kern w:val="0"/>
          <w:szCs w:val="24"/>
        </w:rPr>
        <w:t xml:space="preserve">heory </w:t>
      </w:r>
    </w:p>
    <w:p w14:paraId="71FF2537" w14:textId="04E81947" w:rsidR="008346B2" w:rsidRPr="00610639" w:rsidRDefault="008346B2" w:rsidP="00610639">
      <w:pPr>
        <w:shd w:val="clear" w:color="auto" w:fill="FFFFFF"/>
        <w:spacing w:line="360" w:lineRule="auto"/>
        <w:jc w:val="both"/>
        <w:rPr>
          <w:rFonts w:eastAsia="Times New Roman" w:cs="Times New Roman"/>
          <w:color w:val="1C2B33"/>
          <w:kern w:val="0"/>
          <w:szCs w:val="24"/>
        </w:rPr>
      </w:pPr>
      <w:r w:rsidRPr="00610639">
        <w:rPr>
          <w:rFonts w:eastAsia="Times New Roman" w:cs="Times New Roman"/>
          <w:color w:val="1C2B33"/>
          <w:kern w:val="0"/>
          <w:szCs w:val="24"/>
        </w:rPr>
        <w:t xml:space="preserve">This study was anchored on </w:t>
      </w:r>
      <w:bookmarkStart w:id="0" w:name="_Hlk192171333"/>
      <w:r w:rsidRPr="00610639">
        <w:rPr>
          <w:rFonts w:eastAsia="Times New Roman" w:cs="Times New Roman"/>
          <w:color w:val="1C2B33"/>
          <w:kern w:val="0"/>
          <w:szCs w:val="24"/>
        </w:rPr>
        <w:t>The Institutional Theory</w:t>
      </w:r>
      <w:bookmarkEnd w:id="0"/>
      <w:r w:rsidRPr="00610639">
        <w:rPr>
          <w:rFonts w:eastAsia="Times New Roman" w:cs="Times New Roman"/>
          <w:color w:val="1C2B33"/>
          <w:kern w:val="0"/>
          <w:szCs w:val="24"/>
        </w:rPr>
        <w:t xml:space="preserve">, propounded by DiMaggio and Powell (1983). The theory posits that organizations conform to institutional norms and expectations to </w:t>
      </w:r>
      <w:r w:rsidRPr="00610639">
        <w:rPr>
          <w:rFonts w:eastAsia="Times New Roman" w:cs="Times New Roman"/>
          <w:color w:val="1C2B33"/>
          <w:kern w:val="0"/>
          <w:szCs w:val="24"/>
        </w:rPr>
        <w:lastRenderedPageBreak/>
        <w:t>gain legitimacy and survive in their environment. According to this theory, organizations are influenced by their institutional environment, which includes regulatory frameworks, norms, and expectations. The theory suggests that organizations will adopt practices and structures that are consistent with the institutional norms, even if they are not necessarily efficient or effective (DiMaggio &amp; Powell, 1983).</w:t>
      </w:r>
    </w:p>
    <w:p w14:paraId="644395A1" w14:textId="77777777" w:rsidR="008346B2" w:rsidRPr="00610639" w:rsidRDefault="008346B2" w:rsidP="00610639">
      <w:pPr>
        <w:shd w:val="clear" w:color="auto" w:fill="FFFFFF"/>
        <w:spacing w:line="360" w:lineRule="auto"/>
        <w:jc w:val="both"/>
        <w:rPr>
          <w:rFonts w:eastAsia="Times New Roman" w:cs="Times New Roman"/>
          <w:color w:val="1C2B33"/>
          <w:kern w:val="0"/>
          <w:szCs w:val="24"/>
        </w:rPr>
      </w:pPr>
      <w:r w:rsidRPr="00610639">
        <w:rPr>
          <w:rFonts w:eastAsia="Times New Roman" w:cs="Times New Roman"/>
          <w:color w:val="1C2B33"/>
          <w:kern w:val="0"/>
          <w:szCs w:val="24"/>
        </w:rPr>
        <w:t>In the context of Uganda Electricity Distribution Company Limited (UEDCL), the Institutional Theory can be used to explain regulatory compliance. UEDCL, as a state-owned enterprise, is subject to various regulatory requirements and expectations. The company is required to comply with the Electricity Act (1999) and the Electricity (Licensing) Regulations (2007), among other regulations. According to the Institutional Theory, UEDCL will conform to these regulatory requirements to gain legitimacy and avoid sanctions. For instance, UEDCL has established a regulatory compliance department to ensure that the company complies with all relevant regulations (UEDCL, 2020).</w:t>
      </w:r>
    </w:p>
    <w:p w14:paraId="0FD03C00" w14:textId="77777777" w:rsidR="008346B2" w:rsidRPr="00610639" w:rsidRDefault="008346B2" w:rsidP="00610639">
      <w:pPr>
        <w:shd w:val="clear" w:color="auto" w:fill="FFFFFF"/>
        <w:spacing w:line="360" w:lineRule="auto"/>
        <w:jc w:val="both"/>
        <w:rPr>
          <w:rFonts w:eastAsia="Times New Roman" w:cs="Times New Roman"/>
          <w:color w:val="1C2B33"/>
          <w:kern w:val="0"/>
          <w:szCs w:val="24"/>
        </w:rPr>
      </w:pPr>
      <w:r w:rsidRPr="00610639">
        <w:rPr>
          <w:rFonts w:eastAsia="Times New Roman" w:cs="Times New Roman"/>
          <w:color w:val="1C2B33"/>
          <w:kern w:val="0"/>
          <w:szCs w:val="24"/>
        </w:rPr>
        <w:t>Moreover, the Institutional Theory suggests that UEDCL will also adopt practices and structures that are consistent with the institutional norms. For example, the company has adopted a corporate governance framework that is consistent with the institutional norms in Uganda (UEDCL, 2020). This framework includes a board of directors, an audit committee, and a risk management committee, among other structures. By adopting these structures, UEDCL is able to demonstrate its commitment to regulatory compliance and good corporate governance.</w:t>
      </w:r>
    </w:p>
    <w:p w14:paraId="429A7ECD" w14:textId="276A3388" w:rsidR="008346B2" w:rsidRPr="00610639" w:rsidRDefault="008346B2" w:rsidP="00610639">
      <w:pPr>
        <w:shd w:val="clear" w:color="auto" w:fill="FFFFFF"/>
        <w:spacing w:line="360" w:lineRule="auto"/>
        <w:jc w:val="both"/>
        <w:rPr>
          <w:rFonts w:eastAsia="Times New Roman" w:cs="Times New Roman"/>
          <w:color w:val="1C2B33"/>
          <w:kern w:val="0"/>
          <w:szCs w:val="24"/>
        </w:rPr>
      </w:pPr>
      <w:r w:rsidRPr="00610639">
        <w:rPr>
          <w:rFonts w:eastAsia="Times New Roman" w:cs="Times New Roman"/>
          <w:color w:val="1C2B33"/>
          <w:kern w:val="0"/>
          <w:szCs w:val="24"/>
        </w:rPr>
        <w:t>The Institutional Theory provides a useful framework for understanding regulatory compliance in UEDCL. The theory suggests that UEDCL will conform to institutional norms and expectations to gain legitimacy and survive in its environment. By adopting practices and structures that are consistent with the institutional norms, UEDCL is able to demonstrate its commitment to regulatory compliance and good corporate governance.</w:t>
      </w:r>
    </w:p>
    <w:p w14:paraId="7EEB2714" w14:textId="12D65749" w:rsidR="00F34AFD" w:rsidRPr="00610639" w:rsidRDefault="008346B2" w:rsidP="00610639">
      <w:pPr>
        <w:spacing w:before="100" w:beforeAutospacing="1" w:after="100" w:afterAutospacing="1" w:line="360" w:lineRule="auto"/>
        <w:jc w:val="both"/>
        <w:rPr>
          <w:rFonts w:eastAsia="Times New Roman" w:cs="Times New Roman"/>
          <w:b/>
          <w:bCs/>
          <w:kern w:val="0"/>
          <w:szCs w:val="24"/>
        </w:rPr>
      </w:pPr>
      <w:r w:rsidRPr="00610639">
        <w:rPr>
          <w:rFonts w:eastAsia="Times New Roman" w:cs="Times New Roman"/>
          <w:b/>
          <w:bCs/>
          <w:kern w:val="0"/>
          <w:szCs w:val="24"/>
        </w:rPr>
        <w:t xml:space="preserve">2.2 Empirical Review </w:t>
      </w:r>
    </w:p>
    <w:p w14:paraId="2FF61BA7" w14:textId="77777777" w:rsidR="008346B2" w:rsidRPr="00610639" w:rsidRDefault="008346B2" w:rsidP="00610639">
      <w:pPr>
        <w:shd w:val="clear" w:color="auto" w:fill="FFFFFF"/>
        <w:spacing w:line="360" w:lineRule="auto"/>
        <w:jc w:val="both"/>
        <w:rPr>
          <w:rFonts w:eastAsia="Times New Roman" w:cs="Times New Roman"/>
          <w:color w:val="1C2B33"/>
          <w:kern w:val="0"/>
          <w:szCs w:val="24"/>
        </w:rPr>
      </w:pPr>
      <w:r w:rsidRPr="00610639">
        <w:rPr>
          <w:rFonts w:eastAsia="Times New Roman" w:cs="Times New Roman"/>
          <w:color w:val="1C2B33"/>
          <w:kern w:val="0"/>
          <w:szCs w:val="24"/>
        </w:rPr>
        <w:t>Regulatory compliance and service delivery are critical aspects of state-owned energy companies globally, including Uganda. Empirical studies have shown that regulatory compliance is essential for ensuring that state-owned energy companies operate efficiently and effectively (</w:t>
      </w:r>
      <w:proofErr w:type="spellStart"/>
      <w:r w:rsidRPr="00610639">
        <w:rPr>
          <w:rFonts w:eastAsia="Times New Roman" w:cs="Times New Roman"/>
          <w:color w:val="1C2B33"/>
          <w:kern w:val="0"/>
          <w:szCs w:val="24"/>
        </w:rPr>
        <w:t>Kwakwa</w:t>
      </w:r>
      <w:proofErr w:type="spellEnd"/>
      <w:r w:rsidRPr="00610639">
        <w:rPr>
          <w:rFonts w:eastAsia="Times New Roman" w:cs="Times New Roman"/>
          <w:color w:val="1C2B33"/>
          <w:kern w:val="0"/>
          <w:szCs w:val="24"/>
        </w:rPr>
        <w:t xml:space="preserve"> et al., 2020). For instance, a study by </w:t>
      </w:r>
      <w:proofErr w:type="spellStart"/>
      <w:r w:rsidRPr="00610639">
        <w:rPr>
          <w:rFonts w:eastAsia="Times New Roman" w:cs="Times New Roman"/>
          <w:color w:val="1C2B33"/>
          <w:kern w:val="0"/>
          <w:szCs w:val="24"/>
        </w:rPr>
        <w:t>Kwakwa</w:t>
      </w:r>
      <w:proofErr w:type="spellEnd"/>
      <w:r w:rsidRPr="00610639">
        <w:rPr>
          <w:rFonts w:eastAsia="Times New Roman" w:cs="Times New Roman"/>
          <w:color w:val="1C2B33"/>
          <w:kern w:val="0"/>
          <w:szCs w:val="24"/>
        </w:rPr>
        <w:t xml:space="preserve"> et al. (2020) found that regulatory compliance was a </w:t>
      </w:r>
      <w:r w:rsidRPr="00610639">
        <w:rPr>
          <w:rFonts w:eastAsia="Times New Roman" w:cs="Times New Roman"/>
          <w:color w:val="1C2B33"/>
          <w:kern w:val="0"/>
          <w:szCs w:val="24"/>
        </w:rPr>
        <w:lastRenderedPageBreak/>
        <w:t>significant factor in the performance of state-owned energy companies in Ghana. The study noted that companies that complied with regulatory requirements tended to perform better than those that did not.</w:t>
      </w:r>
    </w:p>
    <w:p w14:paraId="0F8F9549" w14:textId="77777777" w:rsidR="008346B2" w:rsidRPr="00610639" w:rsidRDefault="008346B2" w:rsidP="00610639">
      <w:pPr>
        <w:shd w:val="clear" w:color="auto" w:fill="FFFFFF"/>
        <w:spacing w:line="360" w:lineRule="auto"/>
        <w:jc w:val="both"/>
        <w:rPr>
          <w:rFonts w:eastAsia="Times New Roman" w:cs="Times New Roman"/>
          <w:color w:val="1C2B33"/>
          <w:kern w:val="0"/>
          <w:szCs w:val="24"/>
        </w:rPr>
      </w:pPr>
      <w:r w:rsidRPr="00610639">
        <w:rPr>
          <w:rFonts w:eastAsia="Times New Roman" w:cs="Times New Roman"/>
          <w:color w:val="1C2B33"/>
          <w:kern w:val="0"/>
          <w:szCs w:val="24"/>
        </w:rPr>
        <w:t>In Uganda, regulatory compliance has been identified as a major challenge facing state-owned energy companies (Muhumuza, 2020). A study by Muhumuza (2020) found that Uganda's state-owned energy company, Uganda Electricity Distribution Company Limited (UEDCL), faced significant challenges in complying with regulatory requirements. The study noted that UEDCL's failure to comply with regulatory requirements had resulted in inefficiencies and poor service delivery.</w:t>
      </w:r>
    </w:p>
    <w:p w14:paraId="125ECD2A" w14:textId="77777777" w:rsidR="008346B2" w:rsidRPr="00610639" w:rsidRDefault="008346B2" w:rsidP="00610639">
      <w:pPr>
        <w:shd w:val="clear" w:color="auto" w:fill="FFFFFF"/>
        <w:spacing w:line="360" w:lineRule="auto"/>
        <w:jc w:val="both"/>
        <w:rPr>
          <w:rFonts w:eastAsia="Times New Roman" w:cs="Times New Roman"/>
          <w:color w:val="1C2B33"/>
          <w:kern w:val="0"/>
          <w:szCs w:val="24"/>
        </w:rPr>
      </w:pPr>
      <w:r w:rsidRPr="00610639">
        <w:rPr>
          <w:rFonts w:eastAsia="Times New Roman" w:cs="Times New Roman"/>
          <w:color w:val="1C2B33"/>
          <w:kern w:val="0"/>
          <w:szCs w:val="24"/>
        </w:rPr>
        <w:t>Other empirical studies have also highlighted the importance of regulatory compliance in ensuring good service delivery in state-owned energy companies (Oyedele et al., 2019). For example, a study by Oyedele et al. (2019) found that regulatory compliance was a significant factor in the service delivery of state-owned energy companies in Nigeria. The study noted that companies that complied with regulatory requirements tended to provide better services to their customers.</w:t>
      </w:r>
    </w:p>
    <w:p w14:paraId="59F18E36" w14:textId="77777777" w:rsidR="008346B2" w:rsidRPr="00610639" w:rsidRDefault="008346B2" w:rsidP="00610639">
      <w:pPr>
        <w:shd w:val="clear" w:color="auto" w:fill="FFFFFF"/>
        <w:spacing w:line="360" w:lineRule="auto"/>
        <w:jc w:val="both"/>
        <w:rPr>
          <w:rFonts w:eastAsia="Times New Roman" w:cs="Times New Roman"/>
          <w:color w:val="1C2B33"/>
          <w:kern w:val="0"/>
          <w:szCs w:val="24"/>
        </w:rPr>
      </w:pPr>
      <w:r w:rsidRPr="00610639">
        <w:rPr>
          <w:rFonts w:eastAsia="Times New Roman" w:cs="Times New Roman"/>
          <w:color w:val="1C2B33"/>
          <w:kern w:val="0"/>
          <w:szCs w:val="24"/>
        </w:rPr>
        <w:t>In terms of service delivery, empirical studies have shown that state-owned energy companies face significant challenges in providing reliable and efficient services to their customers (Mishra et al., 2020). For instance, a study by Mishra et al. (2020) found that state-owned energy companies in India faced significant challenges in providing reliable and efficient services to their customers. The study noted that the companies' failure to provide reliable and efficient services had resulted in customer dissatisfaction and lost revenue.</w:t>
      </w:r>
    </w:p>
    <w:p w14:paraId="22E9922C" w14:textId="77777777" w:rsidR="008346B2" w:rsidRPr="00610639" w:rsidRDefault="008346B2" w:rsidP="00610639">
      <w:pPr>
        <w:shd w:val="clear" w:color="auto" w:fill="FFFFFF"/>
        <w:spacing w:line="360" w:lineRule="auto"/>
        <w:jc w:val="both"/>
        <w:rPr>
          <w:rFonts w:eastAsia="Times New Roman" w:cs="Times New Roman"/>
          <w:color w:val="1C2B33"/>
          <w:kern w:val="0"/>
          <w:szCs w:val="24"/>
        </w:rPr>
      </w:pPr>
      <w:r w:rsidRPr="00610639">
        <w:rPr>
          <w:rFonts w:eastAsia="Times New Roman" w:cs="Times New Roman"/>
          <w:color w:val="1C2B33"/>
          <w:kern w:val="0"/>
          <w:szCs w:val="24"/>
        </w:rPr>
        <w:t>In Uganda, service delivery has been identified as a major challenge facing state-owned energy companies (</w:t>
      </w:r>
      <w:proofErr w:type="spellStart"/>
      <w:r w:rsidRPr="00610639">
        <w:rPr>
          <w:rFonts w:eastAsia="Times New Roman" w:cs="Times New Roman"/>
          <w:color w:val="1C2B33"/>
          <w:kern w:val="0"/>
          <w:szCs w:val="24"/>
        </w:rPr>
        <w:t>Kakuba</w:t>
      </w:r>
      <w:proofErr w:type="spellEnd"/>
      <w:r w:rsidRPr="00610639">
        <w:rPr>
          <w:rFonts w:eastAsia="Times New Roman" w:cs="Times New Roman"/>
          <w:color w:val="1C2B33"/>
          <w:kern w:val="0"/>
          <w:szCs w:val="24"/>
        </w:rPr>
        <w:t xml:space="preserve">, 2019). A study by </w:t>
      </w:r>
      <w:proofErr w:type="spellStart"/>
      <w:r w:rsidRPr="00610639">
        <w:rPr>
          <w:rFonts w:eastAsia="Times New Roman" w:cs="Times New Roman"/>
          <w:color w:val="1C2B33"/>
          <w:kern w:val="0"/>
          <w:szCs w:val="24"/>
        </w:rPr>
        <w:t>Kakuba</w:t>
      </w:r>
      <w:proofErr w:type="spellEnd"/>
      <w:r w:rsidRPr="00610639">
        <w:rPr>
          <w:rFonts w:eastAsia="Times New Roman" w:cs="Times New Roman"/>
          <w:color w:val="1C2B33"/>
          <w:kern w:val="0"/>
          <w:szCs w:val="24"/>
        </w:rPr>
        <w:t xml:space="preserve"> (2019) found that UEDCL faced significant challenges in providing reliable and efficient services to its customers. The study noted that UEDCL's failure to provide reliable and efficient services had resulted in customer dissatisfaction and lost revenue.</w:t>
      </w:r>
    </w:p>
    <w:p w14:paraId="759972AE" w14:textId="3081E160" w:rsidR="008346B2" w:rsidRPr="00610639" w:rsidRDefault="008346B2" w:rsidP="00610639">
      <w:pPr>
        <w:shd w:val="clear" w:color="auto" w:fill="FFFFFF"/>
        <w:spacing w:line="360" w:lineRule="auto"/>
        <w:jc w:val="both"/>
        <w:rPr>
          <w:rFonts w:eastAsia="Times New Roman" w:cs="Times New Roman"/>
          <w:color w:val="1C2B33"/>
          <w:kern w:val="0"/>
          <w:szCs w:val="24"/>
        </w:rPr>
      </w:pPr>
      <w:r w:rsidRPr="00610639">
        <w:rPr>
          <w:rFonts w:eastAsia="Times New Roman" w:cs="Times New Roman"/>
          <w:color w:val="1C2B33"/>
          <w:kern w:val="0"/>
          <w:szCs w:val="24"/>
        </w:rPr>
        <w:t>These empirical studies have shown that regulatory compliance and service delivery are critical aspects of state-owned energy companies globally, including Uganda. Regulatory compliance is essential for ensuring that state-owned energy companies operate efficiently and effectively, while service delivery is critical for providing reliable and efficient services to customers.</w:t>
      </w:r>
    </w:p>
    <w:p w14:paraId="666F4F15" w14:textId="6BB759FB" w:rsidR="008346B2" w:rsidRPr="00610639" w:rsidRDefault="00893389" w:rsidP="00610639">
      <w:pPr>
        <w:spacing w:before="100" w:beforeAutospacing="1" w:after="100" w:afterAutospacing="1" w:line="360" w:lineRule="auto"/>
        <w:jc w:val="both"/>
        <w:rPr>
          <w:rFonts w:eastAsia="Times New Roman" w:cs="Times New Roman"/>
          <w:b/>
          <w:bCs/>
          <w:kern w:val="0"/>
          <w:szCs w:val="24"/>
        </w:rPr>
      </w:pPr>
      <w:r w:rsidRPr="00610639">
        <w:rPr>
          <w:rFonts w:eastAsia="Times New Roman" w:cs="Times New Roman"/>
          <w:b/>
          <w:bCs/>
          <w:kern w:val="0"/>
          <w:szCs w:val="24"/>
        </w:rPr>
        <w:lastRenderedPageBreak/>
        <w:t xml:space="preserve">Research Gaps </w:t>
      </w:r>
    </w:p>
    <w:p w14:paraId="16FFD0E2" w14:textId="77777777" w:rsidR="00893389" w:rsidRPr="00610639" w:rsidRDefault="00893389" w:rsidP="00610639">
      <w:pPr>
        <w:pStyle w:val="NormalWeb"/>
        <w:spacing w:line="360" w:lineRule="auto"/>
        <w:jc w:val="both"/>
      </w:pPr>
      <w:r w:rsidRPr="00610639">
        <w:t>The first major gap is the examination of internal compliance mechanisms and leadership commitment within UEDCL. While previous research primarily focused on external regulatory enforcement and sector-wide compliance challenges (</w:t>
      </w:r>
      <w:proofErr w:type="spellStart"/>
      <w:r w:rsidRPr="00610639">
        <w:t>Kwakwa</w:t>
      </w:r>
      <w:proofErr w:type="spellEnd"/>
      <w:r w:rsidRPr="00610639">
        <w:t xml:space="preserve"> et al., 2020; Muhumuza, 2020), this study explores how UEDCL regularly reviews and updates its policies, implements systems for reporting non-compliance, and prioritizes compliance at the leadership level. This focus provides a detailed institutional perspective on how compliance is managed internally, rather than only assessing external regulatory pressures.</w:t>
      </w:r>
    </w:p>
    <w:p w14:paraId="18D751FD" w14:textId="33805E9B" w:rsidR="00CB6B2C" w:rsidRDefault="00893389" w:rsidP="00610639">
      <w:pPr>
        <w:pStyle w:val="NormalWeb"/>
        <w:spacing w:line="360" w:lineRule="auto"/>
        <w:jc w:val="both"/>
      </w:pPr>
      <w:r w:rsidRPr="00610639">
        <w:t>The second major gap is the analysis of employee awareness, training, and engagement with regulatory bodies. Prior studies emphasized compliance as a top-down process enforced by regulators (Oyedele et al., 2019; Mishra et al., 2020) but did not assess how well employees understand, implement, and report regulatory issues. This study fills that gap by evaluating whether UEDCL employees are aware of ERA regulations, receive training on compliance requirements, and engage with ERA officials to enhance compliance practices. It also examines whether the company encourages employees to report non-compliance, providing a bottom-up perspective on regulatory adherence.</w:t>
      </w:r>
    </w:p>
    <w:p w14:paraId="66D367B2" w14:textId="77777777" w:rsidR="00CB6B2C" w:rsidRDefault="00CB6B2C" w:rsidP="00610639">
      <w:pPr>
        <w:pStyle w:val="NormalWeb"/>
        <w:spacing w:line="360" w:lineRule="auto"/>
        <w:jc w:val="both"/>
      </w:pPr>
    </w:p>
    <w:p w14:paraId="00917A94" w14:textId="77777777" w:rsidR="00CB6B2C" w:rsidRDefault="00CB6B2C" w:rsidP="00610639">
      <w:pPr>
        <w:pStyle w:val="NormalWeb"/>
        <w:spacing w:line="360" w:lineRule="auto"/>
        <w:jc w:val="both"/>
      </w:pPr>
    </w:p>
    <w:p w14:paraId="04EB3242" w14:textId="77777777" w:rsidR="00CB6B2C" w:rsidRDefault="00CB6B2C" w:rsidP="00610639">
      <w:pPr>
        <w:pStyle w:val="NormalWeb"/>
        <w:spacing w:line="360" w:lineRule="auto"/>
        <w:jc w:val="both"/>
      </w:pPr>
    </w:p>
    <w:p w14:paraId="1C8D8297" w14:textId="77777777" w:rsidR="00CB6B2C" w:rsidRDefault="00CB6B2C" w:rsidP="00610639">
      <w:pPr>
        <w:pStyle w:val="NormalWeb"/>
        <w:spacing w:line="360" w:lineRule="auto"/>
        <w:jc w:val="both"/>
      </w:pPr>
    </w:p>
    <w:p w14:paraId="27B1E85C" w14:textId="77777777" w:rsidR="00016506" w:rsidRDefault="00016506" w:rsidP="00610639">
      <w:pPr>
        <w:pStyle w:val="NormalWeb"/>
        <w:spacing w:line="360" w:lineRule="auto"/>
        <w:jc w:val="both"/>
      </w:pPr>
    </w:p>
    <w:p w14:paraId="33FF4996" w14:textId="77777777" w:rsidR="00016506" w:rsidRPr="00610639" w:rsidRDefault="00016506" w:rsidP="00610639">
      <w:pPr>
        <w:pStyle w:val="NormalWeb"/>
        <w:spacing w:line="360" w:lineRule="auto"/>
        <w:jc w:val="both"/>
      </w:pPr>
    </w:p>
    <w:p w14:paraId="5C661B8C" w14:textId="567DBC03" w:rsidR="004D1292" w:rsidRPr="00610639" w:rsidRDefault="004D1292" w:rsidP="00610639">
      <w:pPr>
        <w:pStyle w:val="NormalWeb"/>
        <w:spacing w:line="360" w:lineRule="auto"/>
        <w:jc w:val="both"/>
      </w:pPr>
      <w:r w:rsidRPr="00610639">
        <w:rPr>
          <w:b/>
          <w:bCs/>
        </w:rPr>
        <w:t>Table 1: Research Gaps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4D1292" w:rsidRPr="00610639" w14:paraId="3D15796A" w14:textId="77777777" w:rsidTr="00627C0C">
        <w:tc>
          <w:tcPr>
            <w:tcW w:w="3116" w:type="dxa"/>
            <w:tcBorders>
              <w:top w:val="single" w:sz="4" w:space="0" w:color="auto"/>
              <w:bottom w:val="single" w:sz="4" w:space="0" w:color="auto"/>
            </w:tcBorders>
          </w:tcPr>
          <w:p w14:paraId="7563D5B3" w14:textId="58345A42" w:rsidR="004D1292" w:rsidRPr="00610639" w:rsidRDefault="004D1292" w:rsidP="00610639">
            <w:pPr>
              <w:pStyle w:val="NormalWeb"/>
              <w:spacing w:line="360" w:lineRule="auto"/>
              <w:jc w:val="both"/>
            </w:pPr>
            <w:r w:rsidRPr="00610639">
              <w:rPr>
                <w:b/>
                <w:bCs/>
              </w:rPr>
              <w:t>Gap Identified</w:t>
            </w:r>
          </w:p>
        </w:tc>
        <w:tc>
          <w:tcPr>
            <w:tcW w:w="3117" w:type="dxa"/>
            <w:tcBorders>
              <w:top w:val="single" w:sz="4" w:space="0" w:color="auto"/>
              <w:bottom w:val="single" w:sz="4" w:space="0" w:color="auto"/>
            </w:tcBorders>
          </w:tcPr>
          <w:p w14:paraId="120A34AF" w14:textId="26CCDCF1" w:rsidR="004D1292" w:rsidRPr="00610639" w:rsidRDefault="004D1292" w:rsidP="00610639">
            <w:pPr>
              <w:pStyle w:val="NormalWeb"/>
              <w:spacing w:line="360" w:lineRule="auto"/>
              <w:jc w:val="both"/>
            </w:pPr>
            <w:r w:rsidRPr="00610639">
              <w:rPr>
                <w:b/>
                <w:bCs/>
              </w:rPr>
              <w:t>Previous Empirical Studies</w:t>
            </w:r>
          </w:p>
        </w:tc>
        <w:tc>
          <w:tcPr>
            <w:tcW w:w="3117" w:type="dxa"/>
            <w:tcBorders>
              <w:top w:val="single" w:sz="4" w:space="0" w:color="auto"/>
              <w:bottom w:val="single" w:sz="4" w:space="0" w:color="auto"/>
            </w:tcBorders>
          </w:tcPr>
          <w:p w14:paraId="2C93CC68" w14:textId="16C095F0" w:rsidR="004D1292" w:rsidRPr="00610639" w:rsidRDefault="004D1292" w:rsidP="00610639">
            <w:pPr>
              <w:pStyle w:val="NormalWeb"/>
              <w:spacing w:line="360" w:lineRule="auto"/>
              <w:jc w:val="both"/>
            </w:pPr>
            <w:r w:rsidRPr="00610639">
              <w:rPr>
                <w:b/>
                <w:bCs/>
              </w:rPr>
              <w:t>Current Study on UEDCL</w:t>
            </w:r>
          </w:p>
        </w:tc>
      </w:tr>
      <w:tr w:rsidR="00627C0C" w:rsidRPr="00610639" w14:paraId="0AD19596" w14:textId="77777777" w:rsidTr="00627C0C">
        <w:tc>
          <w:tcPr>
            <w:tcW w:w="3116" w:type="dxa"/>
            <w:tcBorders>
              <w:top w:val="single" w:sz="4" w:space="0" w:color="auto"/>
            </w:tcBorders>
          </w:tcPr>
          <w:p w14:paraId="7BDFA3DB" w14:textId="4CBD23CE" w:rsidR="00627C0C" w:rsidRPr="00610639" w:rsidRDefault="00627C0C" w:rsidP="00610639">
            <w:pPr>
              <w:pStyle w:val="NormalWeb"/>
              <w:spacing w:line="360" w:lineRule="auto"/>
              <w:jc w:val="both"/>
            </w:pPr>
            <w:r w:rsidRPr="00610639">
              <w:lastRenderedPageBreak/>
              <w:t>Internal compliance mechanisms and leadership commitment</w:t>
            </w:r>
          </w:p>
        </w:tc>
        <w:tc>
          <w:tcPr>
            <w:tcW w:w="3117" w:type="dxa"/>
            <w:tcBorders>
              <w:top w:val="single" w:sz="4" w:space="0" w:color="auto"/>
            </w:tcBorders>
            <w:vAlign w:val="center"/>
          </w:tcPr>
          <w:p w14:paraId="4D9E0C48" w14:textId="4B964E42" w:rsidR="00627C0C" w:rsidRPr="00610639" w:rsidRDefault="00627C0C" w:rsidP="00610639">
            <w:pPr>
              <w:pStyle w:val="NormalWeb"/>
              <w:spacing w:line="360" w:lineRule="auto"/>
              <w:jc w:val="both"/>
            </w:pPr>
            <w:r w:rsidRPr="00610639">
              <w:t>Focused on external regulatory enforcement and sector-wide compliance challenges (</w:t>
            </w:r>
            <w:proofErr w:type="spellStart"/>
            <w:r w:rsidRPr="00610639">
              <w:t>Kwakwa</w:t>
            </w:r>
            <w:proofErr w:type="spellEnd"/>
            <w:r w:rsidRPr="00610639">
              <w:t xml:space="preserve"> et al., 2020; Muhumuza, 2020).</w:t>
            </w:r>
          </w:p>
        </w:tc>
        <w:tc>
          <w:tcPr>
            <w:tcW w:w="3117" w:type="dxa"/>
            <w:tcBorders>
              <w:top w:val="single" w:sz="4" w:space="0" w:color="auto"/>
            </w:tcBorders>
          </w:tcPr>
          <w:p w14:paraId="434A0C95" w14:textId="7CABCFD0" w:rsidR="00627C0C" w:rsidRPr="00610639" w:rsidRDefault="00627C0C" w:rsidP="00610639">
            <w:pPr>
              <w:pStyle w:val="NormalWeb"/>
              <w:spacing w:line="360" w:lineRule="auto"/>
              <w:jc w:val="both"/>
            </w:pPr>
            <w:r w:rsidRPr="00610639">
              <w:t>Examined UEDCL’s internal compliance systems, policy reviews, and leadership prioritization of regulatory adherence.</w:t>
            </w:r>
          </w:p>
        </w:tc>
      </w:tr>
      <w:tr w:rsidR="00627C0C" w:rsidRPr="00610639" w14:paraId="424B205C" w14:textId="77777777" w:rsidTr="00627C0C">
        <w:tc>
          <w:tcPr>
            <w:tcW w:w="3116" w:type="dxa"/>
          </w:tcPr>
          <w:p w14:paraId="25644CB9" w14:textId="15E41253" w:rsidR="00627C0C" w:rsidRPr="00610639" w:rsidRDefault="00627C0C" w:rsidP="00610639">
            <w:pPr>
              <w:pStyle w:val="NormalWeb"/>
              <w:spacing w:line="360" w:lineRule="auto"/>
              <w:jc w:val="both"/>
            </w:pPr>
            <w:r w:rsidRPr="00610639">
              <w:t>Employee awareness, training, and engagement with regulators</w:t>
            </w:r>
          </w:p>
        </w:tc>
        <w:tc>
          <w:tcPr>
            <w:tcW w:w="3117" w:type="dxa"/>
          </w:tcPr>
          <w:p w14:paraId="13E015A6" w14:textId="6C6ABC88" w:rsidR="00627C0C" w:rsidRPr="00610639" w:rsidRDefault="00627C0C" w:rsidP="00610639">
            <w:pPr>
              <w:pStyle w:val="NormalWeb"/>
              <w:spacing w:line="360" w:lineRule="auto"/>
              <w:jc w:val="both"/>
            </w:pPr>
            <w:r w:rsidRPr="00610639">
              <w:t>Emphasized compliance as a top-down enforcement process by regulators (Oyedele et al., 2019; Mishra et al., 2020).</w:t>
            </w:r>
          </w:p>
        </w:tc>
        <w:tc>
          <w:tcPr>
            <w:tcW w:w="3117" w:type="dxa"/>
          </w:tcPr>
          <w:p w14:paraId="16AB3CE0" w14:textId="0843F01B" w:rsidR="00627C0C" w:rsidRPr="00610639" w:rsidRDefault="00627C0C" w:rsidP="00610639">
            <w:pPr>
              <w:pStyle w:val="NormalWeb"/>
              <w:spacing w:line="360" w:lineRule="auto"/>
              <w:jc w:val="both"/>
            </w:pPr>
            <w:r w:rsidRPr="00610639">
              <w:t>Assessed employee awareness of ERA regulations, training on compliance, and interactions with ERA to enhance adherence</w:t>
            </w:r>
          </w:p>
        </w:tc>
      </w:tr>
    </w:tbl>
    <w:p w14:paraId="2BE68F59" w14:textId="14318453" w:rsidR="004D1292" w:rsidRPr="00610639" w:rsidRDefault="00627C0C" w:rsidP="00610639">
      <w:pPr>
        <w:pStyle w:val="NormalWeb"/>
        <w:spacing w:line="360" w:lineRule="auto"/>
        <w:jc w:val="both"/>
      </w:pPr>
      <w:r w:rsidRPr="00610639">
        <w:rPr>
          <w:b/>
          <w:bCs/>
        </w:rPr>
        <w:t>Source</w:t>
      </w:r>
      <w:r w:rsidRPr="00610639">
        <w:t>: Field Data, 2025</w:t>
      </w:r>
    </w:p>
    <w:p w14:paraId="7FEE31C2" w14:textId="1B04A112" w:rsidR="001E5335" w:rsidRPr="00610639" w:rsidRDefault="005F1EFC" w:rsidP="00610639">
      <w:pPr>
        <w:spacing w:line="360" w:lineRule="auto"/>
        <w:jc w:val="both"/>
        <w:rPr>
          <w:rFonts w:eastAsia="Times New Roman" w:cs="Times New Roman"/>
          <w:b/>
          <w:bCs/>
          <w:kern w:val="0"/>
          <w:szCs w:val="24"/>
        </w:rPr>
      </w:pPr>
      <w:r w:rsidRPr="00610639">
        <w:rPr>
          <w:rFonts w:eastAsia="Times New Roman" w:cs="Times New Roman"/>
          <w:b/>
          <w:bCs/>
          <w:kern w:val="0"/>
          <w:szCs w:val="24"/>
        </w:rPr>
        <w:t xml:space="preserve">3.0 Methodology </w:t>
      </w:r>
    </w:p>
    <w:p w14:paraId="338FCE10" w14:textId="77777777" w:rsidR="0011557F" w:rsidRDefault="00E97895" w:rsidP="00610639">
      <w:pPr>
        <w:pStyle w:val="NormalWeb"/>
        <w:spacing w:line="360" w:lineRule="auto"/>
        <w:jc w:val="both"/>
        <w:rPr>
          <w:rStyle w:val="Strong"/>
          <w:rFonts w:eastAsiaTheme="majorEastAsia"/>
          <w:b w:val="0"/>
          <w:bCs w:val="0"/>
          <w:i/>
          <w:iCs/>
        </w:rPr>
      </w:pPr>
      <w:r w:rsidRPr="00610639">
        <w:rPr>
          <w:rStyle w:val="Strong"/>
          <w:rFonts w:eastAsiaTheme="majorEastAsia"/>
          <w:b w:val="0"/>
          <w:bCs w:val="0"/>
          <w:i/>
          <w:iCs/>
        </w:rPr>
        <w:t>Research Design</w:t>
      </w:r>
    </w:p>
    <w:p w14:paraId="055198DC" w14:textId="77777777" w:rsidR="00170DAE" w:rsidRPr="00170DAE" w:rsidRDefault="00170DAE" w:rsidP="00170DAE">
      <w:pPr>
        <w:spacing w:before="100" w:beforeAutospacing="1" w:after="100" w:afterAutospacing="1" w:line="360" w:lineRule="auto"/>
        <w:jc w:val="both"/>
        <w:rPr>
          <w:rFonts w:eastAsia="Times New Roman" w:cs="Times New Roman"/>
          <w:kern w:val="0"/>
          <w:szCs w:val="24"/>
        </w:rPr>
      </w:pPr>
      <w:r w:rsidRPr="00170DAE">
        <w:rPr>
          <w:rFonts w:eastAsia="Times New Roman" w:cs="Times New Roman"/>
          <w:kern w:val="0"/>
          <w:szCs w:val="24"/>
        </w:rPr>
        <w:t>This study adopted cross-sectional and descriptive research designs to investigate the relationship between regulatory compliance and service delivery in state-owned energy corporations. The cross-sectional design was selected as it enables data collection at a single point in time, offering a snapshot of prevailing conditions and the associations between variables. This approach is particularly advantageous for identifying trends and relationships without the need for prolonged observation periods.</w:t>
      </w:r>
    </w:p>
    <w:p w14:paraId="7D4DB770" w14:textId="3FE88BB3" w:rsidR="00170DAE" w:rsidRPr="00170DAE" w:rsidRDefault="00170DAE" w:rsidP="00170DAE">
      <w:pPr>
        <w:spacing w:before="100" w:beforeAutospacing="1" w:after="100" w:afterAutospacing="1" w:line="360" w:lineRule="auto"/>
        <w:jc w:val="both"/>
        <w:rPr>
          <w:rFonts w:eastAsia="Times New Roman" w:cs="Times New Roman"/>
          <w:kern w:val="0"/>
          <w:szCs w:val="24"/>
        </w:rPr>
      </w:pPr>
      <w:r w:rsidRPr="00170DAE">
        <w:rPr>
          <w:rFonts w:eastAsia="Times New Roman" w:cs="Times New Roman"/>
          <w:kern w:val="0"/>
          <w:szCs w:val="24"/>
        </w:rPr>
        <w:t>The descriptive research design was employed to systematically present the characteristics of the study population, capturing stakeholders’ perspectives on regulatory compliance and service delivery. Through the use of descriptive statistics, including means, frequencies, and standard deviations, the study effectively summarized and interpreted the data, providing critical insights into the extent of regulatory adherence and its influence on service efficiency. These research designs were well-suited for generating quantitative data in a structured and efficient manner, ensuring a comprehensive analysis of the study's objectives.</w:t>
      </w:r>
    </w:p>
    <w:p w14:paraId="16E33682" w14:textId="14DE1C45" w:rsidR="0011557F" w:rsidRPr="00610639" w:rsidRDefault="0011557F" w:rsidP="00610639">
      <w:pPr>
        <w:spacing w:after="200" w:line="360" w:lineRule="auto"/>
        <w:jc w:val="both"/>
        <w:rPr>
          <w:rFonts w:eastAsia="Calibri" w:cs="Times New Roman"/>
          <w:b/>
          <w:iCs/>
          <w:color w:val="000000" w:themeColor="text1"/>
          <w:kern w:val="0"/>
          <w:szCs w:val="24"/>
        </w:rPr>
      </w:pPr>
      <w:r w:rsidRPr="00610639">
        <w:rPr>
          <w:rFonts w:eastAsia="Calibri" w:cs="Times New Roman"/>
          <w:b/>
          <w:iCs/>
          <w:color w:val="000000" w:themeColor="text1"/>
          <w:kern w:val="0"/>
          <w:szCs w:val="24"/>
        </w:rPr>
        <w:t>Table 2: Target Population</w:t>
      </w:r>
    </w:p>
    <w:tbl>
      <w:tblPr>
        <w:tblW w:w="9356" w:type="dxa"/>
        <w:tblInd w:w="108" w:type="dxa"/>
        <w:tblBorders>
          <w:top w:val="single" w:sz="4" w:space="0" w:color="auto"/>
          <w:bottom w:val="single" w:sz="4" w:space="0" w:color="auto"/>
        </w:tblBorders>
        <w:tblLook w:val="0000" w:firstRow="0" w:lastRow="0" w:firstColumn="0" w:lastColumn="0" w:noHBand="0" w:noVBand="0"/>
      </w:tblPr>
      <w:tblGrid>
        <w:gridCol w:w="6804"/>
        <w:gridCol w:w="2552"/>
      </w:tblGrid>
      <w:tr w:rsidR="0011557F" w:rsidRPr="00610639" w14:paraId="29753F1D" w14:textId="77777777" w:rsidTr="001621E1">
        <w:trPr>
          <w:trHeight w:val="224"/>
        </w:trPr>
        <w:tc>
          <w:tcPr>
            <w:tcW w:w="6804" w:type="dxa"/>
            <w:tcBorders>
              <w:top w:val="single" w:sz="4" w:space="0" w:color="auto"/>
              <w:bottom w:val="single" w:sz="4" w:space="0" w:color="auto"/>
            </w:tcBorders>
          </w:tcPr>
          <w:p w14:paraId="25AED70B" w14:textId="77777777" w:rsidR="0011557F" w:rsidRPr="00610639" w:rsidRDefault="0011557F" w:rsidP="00610639">
            <w:pPr>
              <w:spacing w:after="0" w:line="360" w:lineRule="auto"/>
              <w:jc w:val="both"/>
              <w:rPr>
                <w:rFonts w:cs="Times New Roman"/>
                <w:b/>
                <w:bCs/>
                <w:color w:val="000000" w:themeColor="text1"/>
                <w:szCs w:val="24"/>
              </w:rPr>
            </w:pPr>
            <w:r w:rsidRPr="00610639">
              <w:rPr>
                <w:rFonts w:cs="Times New Roman"/>
                <w:b/>
                <w:bCs/>
                <w:color w:val="000000" w:themeColor="text1"/>
                <w:szCs w:val="24"/>
              </w:rPr>
              <w:lastRenderedPageBreak/>
              <w:t>Target</w:t>
            </w:r>
          </w:p>
        </w:tc>
        <w:tc>
          <w:tcPr>
            <w:tcW w:w="2552" w:type="dxa"/>
            <w:tcBorders>
              <w:top w:val="single" w:sz="4" w:space="0" w:color="auto"/>
              <w:bottom w:val="single" w:sz="4" w:space="0" w:color="auto"/>
            </w:tcBorders>
            <w:shd w:val="clear" w:color="auto" w:fill="auto"/>
          </w:tcPr>
          <w:p w14:paraId="3F7C9537" w14:textId="77777777" w:rsidR="0011557F" w:rsidRPr="00610639" w:rsidRDefault="0011557F" w:rsidP="00610639">
            <w:pPr>
              <w:spacing w:after="0" w:line="360" w:lineRule="auto"/>
              <w:jc w:val="both"/>
              <w:rPr>
                <w:rFonts w:cs="Times New Roman"/>
                <w:b/>
                <w:bCs/>
                <w:color w:val="000000" w:themeColor="text1"/>
                <w:szCs w:val="24"/>
              </w:rPr>
            </w:pPr>
            <w:r w:rsidRPr="00610639">
              <w:rPr>
                <w:rFonts w:cs="Times New Roman"/>
                <w:b/>
                <w:bCs/>
                <w:color w:val="000000" w:themeColor="text1"/>
                <w:szCs w:val="24"/>
              </w:rPr>
              <w:t>Population</w:t>
            </w:r>
          </w:p>
        </w:tc>
      </w:tr>
      <w:tr w:rsidR="0011557F" w:rsidRPr="00610639" w14:paraId="7BFBB8BB" w14:textId="77777777" w:rsidTr="001621E1">
        <w:trPr>
          <w:trHeight w:val="224"/>
        </w:trPr>
        <w:tc>
          <w:tcPr>
            <w:tcW w:w="6804" w:type="dxa"/>
            <w:tcBorders>
              <w:top w:val="single" w:sz="4" w:space="0" w:color="auto"/>
            </w:tcBorders>
          </w:tcPr>
          <w:p w14:paraId="1203171A" w14:textId="77777777" w:rsidR="0011557F" w:rsidRPr="00610639" w:rsidRDefault="0011557F" w:rsidP="00610639">
            <w:pPr>
              <w:spacing w:after="0" w:line="360" w:lineRule="auto"/>
              <w:jc w:val="both"/>
              <w:rPr>
                <w:rFonts w:cs="Times New Roman"/>
                <w:bCs/>
                <w:color w:val="000000" w:themeColor="text1"/>
                <w:szCs w:val="24"/>
                <w:highlight w:val="yellow"/>
              </w:rPr>
            </w:pPr>
            <w:r w:rsidRPr="00610639">
              <w:rPr>
                <w:rFonts w:eastAsia="Times New Roman" w:cs="Times New Roman"/>
                <w:bCs/>
                <w:color w:val="000000" w:themeColor="text1"/>
                <w:szCs w:val="24"/>
              </w:rPr>
              <w:t>Board Members</w:t>
            </w:r>
          </w:p>
        </w:tc>
        <w:tc>
          <w:tcPr>
            <w:tcW w:w="2552" w:type="dxa"/>
            <w:tcBorders>
              <w:top w:val="single" w:sz="4" w:space="0" w:color="auto"/>
            </w:tcBorders>
            <w:shd w:val="clear" w:color="auto" w:fill="auto"/>
          </w:tcPr>
          <w:p w14:paraId="1B99F293" w14:textId="77777777" w:rsidR="0011557F" w:rsidRPr="00610639" w:rsidRDefault="0011557F" w:rsidP="00610639">
            <w:pPr>
              <w:spacing w:after="0" w:line="360" w:lineRule="auto"/>
              <w:jc w:val="both"/>
              <w:rPr>
                <w:rFonts w:cs="Times New Roman"/>
                <w:bCs/>
                <w:color w:val="000000" w:themeColor="text1"/>
                <w:szCs w:val="24"/>
              </w:rPr>
            </w:pPr>
            <w:r w:rsidRPr="00610639">
              <w:rPr>
                <w:rFonts w:cs="Times New Roman"/>
                <w:bCs/>
                <w:color w:val="000000" w:themeColor="text1"/>
                <w:szCs w:val="24"/>
              </w:rPr>
              <w:t>8</w:t>
            </w:r>
          </w:p>
        </w:tc>
      </w:tr>
      <w:tr w:rsidR="0011557F" w:rsidRPr="00610639" w14:paraId="365C219A" w14:textId="77777777" w:rsidTr="001621E1">
        <w:trPr>
          <w:trHeight w:val="224"/>
        </w:trPr>
        <w:tc>
          <w:tcPr>
            <w:tcW w:w="6804" w:type="dxa"/>
          </w:tcPr>
          <w:p w14:paraId="02EADB25" w14:textId="77777777" w:rsidR="0011557F" w:rsidRPr="00610639" w:rsidRDefault="0011557F" w:rsidP="00610639">
            <w:pPr>
              <w:spacing w:after="0" w:line="360" w:lineRule="auto"/>
              <w:jc w:val="both"/>
              <w:rPr>
                <w:rFonts w:cs="Times New Roman"/>
                <w:bCs/>
                <w:color w:val="000000" w:themeColor="text1"/>
                <w:szCs w:val="24"/>
                <w:highlight w:val="yellow"/>
              </w:rPr>
            </w:pPr>
            <w:r w:rsidRPr="00610639">
              <w:rPr>
                <w:rFonts w:eastAsia="Times New Roman" w:cs="Times New Roman"/>
                <w:bCs/>
                <w:color w:val="000000" w:themeColor="text1"/>
                <w:szCs w:val="24"/>
              </w:rPr>
              <w:t>Employees of UEDC</w:t>
            </w:r>
          </w:p>
        </w:tc>
        <w:tc>
          <w:tcPr>
            <w:tcW w:w="2552" w:type="dxa"/>
            <w:shd w:val="clear" w:color="auto" w:fill="auto"/>
          </w:tcPr>
          <w:p w14:paraId="06E5BBA3" w14:textId="77777777" w:rsidR="0011557F" w:rsidRPr="00610639" w:rsidRDefault="0011557F" w:rsidP="00610639">
            <w:pPr>
              <w:spacing w:after="0" w:line="360" w:lineRule="auto"/>
              <w:jc w:val="both"/>
              <w:rPr>
                <w:rFonts w:cs="Times New Roman"/>
                <w:bCs/>
                <w:color w:val="000000" w:themeColor="text1"/>
                <w:szCs w:val="24"/>
              </w:rPr>
            </w:pPr>
            <w:r w:rsidRPr="00610639">
              <w:rPr>
                <w:rFonts w:cs="Times New Roman"/>
                <w:color w:val="000000" w:themeColor="text1"/>
                <w:szCs w:val="24"/>
              </w:rPr>
              <w:t>661</w:t>
            </w:r>
          </w:p>
        </w:tc>
      </w:tr>
      <w:tr w:rsidR="0011557F" w:rsidRPr="00610639" w14:paraId="5204CDC3" w14:textId="77777777" w:rsidTr="001621E1">
        <w:trPr>
          <w:trHeight w:val="270"/>
        </w:trPr>
        <w:tc>
          <w:tcPr>
            <w:tcW w:w="6804" w:type="dxa"/>
          </w:tcPr>
          <w:p w14:paraId="0781E310" w14:textId="77777777" w:rsidR="0011557F" w:rsidRPr="00610639" w:rsidRDefault="0011557F" w:rsidP="00610639">
            <w:pPr>
              <w:spacing w:after="0" w:line="360" w:lineRule="auto"/>
              <w:jc w:val="both"/>
              <w:rPr>
                <w:rFonts w:cs="Times New Roman"/>
                <w:color w:val="000000" w:themeColor="text1"/>
                <w:szCs w:val="24"/>
                <w:highlight w:val="yellow"/>
              </w:rPr>
            </w:pPr>
            <w:r w:rsidRPr="00610639">
              <w:rPr>
                <w:rFonts w:eastAsia="Times New Roman" w:cs="Times New Roman"/>
                <w:color w:val="000000" w:themeColor="text1"/>
                <w:szCs w:val="24"/>
              </w:rPr>
              <w:t>Private sector Players in the Energy Industry</w:t>
            </w:r>
          </w:p>
        </w:tc>
        <w:tc>
          <w:tcPr>
            <w:tcW w:w="2552" w:type="dxa"/>
            <w:shd w:val="clear" w:color="auto" w:fill="auto"/>
          </w:tcPr>
          <w:p w14:paraId="1CF08401" w14:textId="77777777" w:rsidR="0011557F" w:rsidRPr="00610639" w:rsidRDefault="0011557F" w:rsidP="00610639">
            <w:pPr>
              <w:spacing w:after="0" w:line="360" w:lineRule="auto"/>
              <w:jc w:val="both"/>
              <w:rPr>
                <w:rFonts w:eastAsia="Times New Roman" w:cs="Times New Roman"/>
                <w:color w:val="000000" w:themeColor="text1"/>
                <w:szCs w:val="24"/>
              </w:rPr>
            </w:pPr>
            <w:r w:rsidRPr="00610639">
              <w:rPr>
                <w:rFonts w:eastAsia="Times New Roman" w:cs="Times New Roman"/>
                <w:color w:val="000000" w:themeColor="text1"/>
                <w:szCs w:val="24"/>
              </w:rPr>
              <w:t>9</w:t>
            </w:r>
          </w:p>
        </w:tc>
      </w:tr>
      <w:tr w:rsidR="0011557F" w:rsidRPr="00610639" w14:paraId="69FDE898" w14:textId="77777777" w:rsidTr="001621E1">
        <w:trPr>
          <w:trHeight w:val="270"/>
        </w:trPr>
        <w:tc>
          <w:tcPr>
            <w:tcW w:w="6804" w:type="dxa"/>
          </w:tcPr>
          <w:p w14:paraId="1D56A2E9" w14:textId="77777777" w:rsidR="0011557F" w:rsidRPr="00610639" w:rsidRDefault="0011557F" w:rsidP="00610639">
            <w:pPr>
              <w:spacing w:after="0" w:line="360" w:lineRule="auto"/>
              <w:jc w:val="both"/>
              <w:rPr>
                <w:rFonts w:cs="Times New Roman"/>
                <w:b/>
                <w:color w:val="000000" w:themeColor="text1"/>
                <w:szCs w:val="24"/>
              </w:rPr>
            </w:pPr>
            <w:r w:rsidRPr="00610639">
              <w:rPr>
                <w:rFonts w:cs="Times New Roman"/>
                <w:b/>
                <w:color w:val="000000" w:themeColor="text1"/>
                <w:szCs w:val="24"/>
              </w:rPr>
              <w:t>Total</w:t>
            </w:r>
          </w:p>
        </w:tc>
        <w:tc>
          <w:tcPr>
            <w:tcW w:w="2552" w:type="dxa"/>
            <w:shd w:val="clear" w:color="auto" w:fill="auto"/>
          </w:tcPr>
          <w:p w14:paraId="1FB47BCB" w14:textId="77777777" w:rsidR="0011557F" w:rsidRPr="00610639" w:rsidRDefault="0011557F" w:rsidP="00610639">
            <w:pPr>
              <w:spacing w:after="0" w:line="360" w:lineRule="auto"/>
              <w:jc w:val="both"/>
              <w:rPr>
                <w:rFonts w:cs="Times New Roman"/>
                <w:b/>
                <w:color w:val="000000" w:themeColor="text1"/>
                <w:szCs w:val="24"/>
              </w:rPr>
            </w:pPr>
            <w:r w:rsidRPr="00610639">
              <w:rPr>
                <w:rFonts w:cs="Times New Roman"/>
                <w:b/>
                <w:color w:val="000000" w:themeColor="text1"/>
                <w:szCs w:val="24"/>
              </w:rPr>
              <w:t>678</w:t>
            </w:r>
          </w:p>
        </w:tc>
      </w:tr>
    </w:tbl>
    <w:p w14:paraId="1FCBA88E" w14:textId="77777777" w:rsidR="00170DAE" w:rsidRDefault="0011557F" w:rsidP="00170DAE">
      <w:pPr>
        <w:spacing w:after="0" w:line="360" w:lineRule="auto"/>
        <w:ind w:left="720" w:hanging="720"/>
        <w:jc w:val="both"/>
        <w:rPr>
          <w:rFonts w:eastAsia="Times New Roman" w:cs="Times New Roman"/>
          <w:i/>
          <w:color w:val="000000" w:themeColor="text1"/>
          <w:szCs w:val="24"/>
        </w:rPr>
      </w:pPr>
      <w:r w:rsidRPr="00610639">
        <w:rPr>
          <w:rFonts w:cs="Times New Roman"/>
          <w:b/>
          <w:bCs/>
          <w:color w:val="000000" w:themeColor="text1"/>
          <w:szCs w:val="24"/>
        </w:rPr>
        <w:t xml:space="preserve">Sources: </w:t>
      </w:r>
      <w:r w:rsidRPr="00610639">
        <w:rPr>
          <w:rFonts w:eastAsia="Times New Roman" w:cs="Times New Roman"/>
          <w:bCs/>
          <w:iCs/>
          <w:color w:val="000000" w:themeColor="text1"/>
          <w:szCs w:val="24"/>
        </w:rPr>
        <w:t xml:space="preserve">UEDC </w:t>
      </w:r>
      <w:r w:rsidRPr="00610639">
        <w:rPr>
          <w:rFonts w:eastAsia="Times New Roman" w:cs="Times New Roman"/>
          <w:iCs/>
          <w:color w:val="000000" w:themeColor="text1"/>
          <w:szCs w:val="24"/>
        </w:rPr>
        <w:t>(2024</w:t>
      </w:r>
      <w:r w:rsidRPr="00610639">
        <w:rPr>
          <w:rFonts w:eastAsia="Times New Roman" w:cs="Times New Roman"/>
          <w:i/>
          <w:color w:val="000000" w:themeColor="text1"/>
          <w:szCs w:val="24"/>
        </w:rPr>
        <w:t>)</w:t>
      </w:r>
    </w:p>
    <w:p w14:paraId="30A5D44A" w14:textId="77777777" w:rsidR="00170DAE" w:rsidRDefault="00170DAE" w:rsidP="00170DAE">
      <w:pPr>
        <w:spacing w:after="0" w:line="360" w:lineRule="auto"/>
        <w:ind w:left="720" w:hanging="720"/>
        <w:jc w:val="both"/>
        <w:rPr>
          <w:rStyle w:val="Strong"/>
          <w:rFonts w:eastAsiaTheme="majorEastAsia"/>
        </w:rPr>
      </w:pPr>
    </w:p>
    <w:p w14:paraId="29F207B9" w14:textId="630E24C7" w:rsidR="0011557F" w:rsidRPr="00170DAE" w:rsidRDefault="0011557F" w:rsidP="00170DAE">
      <w:pPr>
        <w:spacing w:after="0" w:line="360" w:lineRule="auto"/>
        <w:ind w:left="720" w:hanging="720"/>
        <w:jc w:val="both"/>
        <w:rPr>
          <w:rStyle w:val="Strong"/>
          <w:rFonts w:eastAsia="Times New Roman" w:cs="Times New Roman"/>
          <w:b w:val="0"/>
          <w:bCs w:val="0"/>
          <w:iCs/>
          <w:color w:val="000000" w:themeColor="text1"/>
          <w:szCs w:val="24"/>
        </w:rPr>
      </w:pPr>
      <w:r w:rsidRPr="00610639">
        <w:rPr>
          <w:rStyle w:val="Strong"/>
          <w:rFonts w:eastAsiaTheme="majorEastAsia"/>
        </w:rPr>
        <w:t xml:space="preserve"> Sampling Techniques</w:t>
      </w:r>
    </w:p>
    <w:p w14:paraId="60C10C83" w14:textId="77777777" w:rsidR="00EE60A7" w:rsidRDefault="0011557F" w:rsidP="00610639">
      <w:pPr>
        <w:pStyle w:val="NormalWeb"/>
        <w:spacing w:line="360" w:lineRule="auto"/>
        <w:jc w:val="both"/>
      </w:pPr>
      <w:r w:rsidRPr="00610639">
        <w:t xml:space="preserve">The sample size </w:t>
      </w:r>
      <w:r w:rsidR="00170DAE">
        <w:t xml:space="preserve">of </w:t>
      </w:r>
      <w:r w:rsidRPr="00610639">
        <w:t>251 respondents</w:t>
      </w:r>
      <w:r w:rsidR="00170DAE">
        <w:t xml:space="preserve"> was selected from a target population of 678 using</w:t>
      </w:r>
      <w:r w:rsidR="00170DAE" w:rsidRPr="00610639">
        <w:t xml:space="preserve"> Yamane</w:t>
      </w:r>
      <w:r w:rsidRPr="00610639">
        <w:t xml:space="preserve"> (1967)</w:t>
      </w:r>
      <w:r w:rsidR="00170DAE">
        <w:t xml:space="preserve">. </w:t>
      </w:r>
    </w:p>
    <w:p w14:paraId="47128AFE" w14:textId="77777777" w:rsidR="00EE60A7" w:rsidRPr="00EE60A7" w:rsidRDefault="00EE60A7" w:rsidP="00EE60A7">
      <w:pPr>
        <w:widowControl w:val="0"/>
        <w:autoSpaceDE w:val="0"/>
        <w:autoSpaceDN w:val="0"/>
        <w:spacing w:after="0" w:line="360" w:lineRule="auto"/>
        <w:jc w:val="both"/>
        <w:rPr>
          <w:rFonts w:eastAsia="Times New Roman" w:cs="Times New Roman"/>
          <w:bCs/>
          <w:kern w:val="0"/>
          <w:szCs w:val="24"/>
        </w:rPr>
      </w:pPr>
      <m:oMath>
        <m:r>
          <w:rPr>
            <w:rFonts w:ascii="Cambria Math" w:eastAsia="Times New Roman" w:hAnsi="Cambria Math" w:cs="Times New Roman"/>
            <w:kern w:val="0"/>
            <w:szCs w:val="24"/>
          </w:rPr>
          <m:t>n=</m:t>
        </m:r>
        <m:f>
          <m:fPr>
            <m:ctrlPr>
              <w:rPr>
                <w:rFonts w:ascii="Cambria Math" w:eastAsia="Times New Roman" w:hAnsi="Cambria Math" w:cs="Times New Roman"/>
                <w:bCs/>
                <w:kern w:val="0"/>
                <w:szCs w:val="24"/>
              </w:rPr>
            </m:ctrlPr>
          </m:fPr>
          <m:num>
            <m:r>
              <w:rPr>
                <w:rFonts w:ascii="Cambria Math" w:eastAsia="Times New Roman" w:hAnsi="Cambria Math" w:cs="Times New Roman"/>
                <w:kern w:val="0"/>
                <w:szCs w:val="24"/>
              </w:rPr>
              <m:t>N</m:t>
            </m:r>
          </m:num>
          <m:den>
            <m:r>
              <w:rPr>
                <w:rFonts w:ascii="Cambria Math" w:eastAsia="Times New Roman" w:hAnsi="Cambria Math" w:cs="Times New Roman"/>
                <w:kern w:val="0"/>
                <w:szCs w:val="24"/>
              </w:rPr>
              <m:t>(1+N(e)</m:t>
            </m:r>
            <m:r>
              <m:rPr>
                <m:sty m:val="p"/>
              </m:rPr>
              <w:rPr>
                <w:rFonts w:ascii="Cambria Math" w:eastAsia="Times New Roman" w:hAnsi="Cambria Math" w:cs="Times New Roman"/>
                <w:kern w:val="0"/>
                <w:szCs w:val="24"/>
              </w:rPr>
              <m:t>2</m:t>
            </m:r>
            <m:r>
              <w:rPr>
                <w:rFonts w:ascii="Cambria Math" w:eastAsia="Times New Roman" w:hAnsi="Cambria Math" w:cs="Times New Roman"/>
                <w:kern w:val="0"/>
                <w:szCs w:val="24"/>
              </w:rPr>
              <m:t>)</m:t>
            </m:r>
          </m:den>
        </m:f>
      </m:oMath>
      <w:r w:rsidRPr="00EE60A7">
        <w:rPr>
          <w:rFonts w:eastAsia="Times New Roman" w:cs="Times New Roman"/>
          <w:bCs/>
          <w:kern w:val="0"/>
          <w:szCs w:val="24"/>
        </w:rPr>
        <w:t xml:space="preserve"> </w:t>
      </w:r>
    </w:p>
    <w:p w14:paraId="2D6B1D6C" w14:textId="77777777" w:rsidR="00EE60A7" w:rsidRPr="00EE60A7" w:rsidRDefault="00EE60A7" w:rsidP="00EE60A7">
      <w:pPr>
        <w:spacing w:after="0" w:line="360" w:lineRule="auto"/>
        <w:jc w:val="both"/>
        <w:rPr>
          <w:rFonts w:cs="Times New Roman"/>
          <w:color w:val="000000" w:themeColor="text1"/>
          <w:kern w:val="0"/>
          <w:szCs w:val="24"/>
        </w:rPr>
      </w:pPr>
      <w:r w:rsidRPr="00EE60A7">
        <w:rPr>
          <w:rFonts w:cs="Times New Roman"/>
          <w:color w:val="000000" w:themeColor="text1"/>
          <w:kern w:val="0"/>
          <w:szCs w:val="24"/>
        </w:rPr>
        <w:t>Where;</w:t>
      </w:r>
    </w:p>
    <w:p w14:paraId="01548856" w14:textId="77777777" w:rsidR="00EE60A7" w:rsidRPr="00EE60A7" w:rsidRDefault="00EE60A7" w:rsidP="00EE60A7">
      <w:pPr>
        <w:spacing w:after="0" w:line="360" w:lineRule="auto"/>
        <w:jc w:val="both"/>
        <w:rPr>
          <w:rFonts w:cs="Times New Roman"/>
          <w:color w:val="000000" w:themeColor="text1"/>
          <w:kern w:val="0"/>
          <w:szCs w:val="24"/>
        </w:rPr>
      </w:pPr>
      <w:r w:rsidRPr="00EE60A7">
        <w:rPr>
          <w:rFonts w:cs="Times New Roman"/>
          <w:color w:val="000000" w:themeColor="text1"/>
          <w:kern w:val="0"/>
          <w:szCs w:val="24"/>
        </w:rPr>
        <w:t>n= sample size</w:t>
      </w:r>
    </w:p>
    <w:p w14:paraId="22FF0563" w14:textId="77777777" w:rsidR="00EE60A7" w:rsidRPr="00EE60A7" w:rsidRDefault="00EE60A7" w:rsidP="00EE60A7">
      <w:pPr>
        <w:spacing w:after="0" w:line="360" w:lineRule="auto"/>
        <w:jc w:val="both"/>
        <w:rPr>
          <w:rFonts w:cs="Times New Roman"/>
          <w:color w:val="000000" w:themeColor="text1"/>
          <w:kern w:val="0"/>
          <w:szCs w:val="24"/>
        </w:rPr>
      </w:pPr>
      <w:r w:rsidRPr="00EE60A7">
        <w:rPr>
          <w:rFonts w:cs="Times New Roman"/>
          <w:color w:val="000000" w:themeColor="text1"/>
          <w:kern w:val="0"/>
          <w:szCs w:val="24"/>
        </w:rPr>
        <w:t>N= target population</w:t>
      </w:r>
    </w:p>
    <w:p w14:paraId="2C7E7F02" w14:textId="77777777" w:rsidR="00EE60A7" w:rsidRPr="00EE60A7" w:rsidRDefault="00EE60A7" w:rsidP="00EE60A7">
      <w:pPr>
        <w:spacing w:after="0" w:line="360" w:lineRule="auto"/>
        <w:jc w:val="both"/>
        <w:rPr>
          <w:rFonts w:cs="Times New Roman"/>
          <w:color w:val="000000" w:themeColor="text1"/>
          <w:kern w:val="0"/>
          <w:szCs w:val="24"/>
        </w:rPr>
      </w:pPr>
      <w:r w:rsidRPr="00EE60A7">
        <w:rPr>
          <w:rFonts w:cs="Times New Roman"/>
          <w:color w:val="000000" w:themeColor="text1"/>
          <w:kern w:val="0"/>
          <w:szCs w:val="24"/>
        </w:rPr>
        <w:t>e= margin of error (5%)</w:t>
      </w:r>
    </w:p>
    <w:p w14:paraId="0BDB3F1E" w14:textId="5EFD294E" w:rsidR="00EE60A7" w:rsidRPr="00EE60A7" w:rsidRDefault="00EE60A7" w:rsidP="00EE60A7">
      <w:pPr>
        <w:spacing w:after="0" w:line="360" w:lineRule="auto"/>
        <w:jc w:val="both"/>
        <w:rPr>
          <w:rFonts w:cs="Times New Roman"/>
          <w:color w:val="000000" w:themeColor="text1"/>
          <w:kern w:val="0"/>
          <w:szCs w:val="24"/>
        </w:rPr>
      </w:pPr>
      <w:r w:rsidRPr="00EE60A7">
        <w:rPr>
          <w:rFonts w:cs="Times New Roman"/>
          <w:color w:val="000000" w:themeColor="text1"/>
          <w:kern w:val="0"/>
          <w:szCs w:val="24"/>
        </w:rPr>
        <w:t xml:space="preserve">n= </w:t>
      </w:r>
      <m:oMath>
        <m:r>
          <m:rPr>
            <m:sty m:val="p"/>
          </m:rPr>
          <w:rPr>
            <w:rFonts w:ascii="Cambria Math" w:hAnsi="Cambria Math"/>
            <w:kern w:val="0"/>
            <w:szCs w:val="24"/>
          </w:rPr>
          <m:t>n=</m:t>
        </m:r>
        <m:f>
          <m:fPr>
            <m:ctrlPr>
              <w:rPr>
                <w:rFonts w:ascii="Cambria Math" w:hAnsi="Cambria Math"/>
                <w:bCs/>
                <w:kern w:val="0"/>
                <w:szCs w:val="24"/>
              </w:rPr>
            </m:ctrlPr>
          </m:fPr>
          <m:num>
            <m:r>
              <m:rPr>
                <m:sty m:val="p"/>
              </m:rPr>
              <w:rPr>
                <w:rFonts w:ascii="Cambria Math" w:hAnsi="Cambria Math"/>
                <w:kern w:val="0"/>
                <w:szCs w:val="24"/>
              </w:rPr>
              <m:t>678</m:t>
            </m:r>
          </m:num>
          <m:den>
            <m:r>
              <m:rPr>
                <m:sty m:val="p"/>
              </m:rPr>
              <w:rPr>
                <w:rFonts w:ascii="Cambria Math" w:hAnsi="Cambria Math"/>
                <w:kern w:val="0"/>
                <w:szCs w:val="24"/>
              </w:rPr>
              <m:t>(1+678(0.05)2)</m:t>
            </m:r>
          </m:den>
        </m:f>
      </m:oMath>
    </w:p>
    <w:p w14:paraId="75111363" w14:textId="47B558A3" w:rsidR="00EE60A7" w:rsidRPr="00EE60A7" w:rsidRDefault="00EE60A7" w:rsidP="00EE60A7">
      <w:pPr>
        <w:spacing w:after="0" w:line="360" w:lineRule="auto"/>
        <w:jc w:val="both"/>
        <w:rPr>
          <w:rFonts w:cs="Times New Roman"/>
          <w:color w:val="000000" w:themeColor="text1"/>
          <w:kern w:val="0"/>
          <w:szCs w:val="24"/>
        </w:rPr>
      </w:pPr>
      <w:r w:rsidRPr="00EE60A7">
        <w:rPr>
          <w:rFonts w:cs="Times New Roman"/>
          <w:color w:val="000000" w:themeColor="text1"/>
          <w:kern w:val="0"/>
          <w:szCs w:val="24"/>
        </w:rPr>
        <w:t>n=</w:t>
      </w:r>
      <w:r>
        <w:rPr>
          <w:rFonts w:cs="Times New Roman"/>
          <w:color w:val="000000" w:themeColor="text1"/>
          <w:kern w:val="0"/>
          <w:szCs w:val="24"/>
        </w:rPr>
        <w:t>251</w:t>
      </w:r>
    </w:p>
    <w:p w14:paraId="3D493E37" w14:textId="77777777" w:rsidR="00EE60A7" w:rsidRDefault="00EE60A7" w:rsidP="00610639">
      <w:pPr>
        <w:pStyle w:val="NormalWeb"/>
        <w:spacing w:line="360" w:lineRule="auto"/>
        <w:jc w:val="both"/>
      </w:pPr>
    </w:p>
    <w:p w14:paraId="76EF1963" w14:textId="6909F001" w:rsidR="0011557F" w:rsidRPr="00170DAE" w:rsidRDefault="00170DAE" w:rsidP="00610639">
      <w:pPr>
        <w:pStyle w:val="NormalWeb"/>
        <w:spacing w:line="360" w:lineRule="auto"/>
        <w:jc w:val="both"/>
        <w:rPr>
          <w:rStyle w:val="katex-mathml"/>
        </w:rPr>
      </w:pPr>
      <w:r w:rsidRPr="00170DAE">
        <w:t>This study employed a combination of stratified random sampling and simple random sampling to achieve a representative and unbiased selection of participants. Stratified random sampling was used to categorize the target population into distinct subgroups based on relevant characteristics, such as board members, UEDCL employees, and private sector participants. This method ensured proportional representation of each subgroup, minimizing sampling bias and enhancing the accuracy of the findings. Within each stratum, simple random sampling was applied to select respondents, giving every individual an equal opportunity to participate</w:t>
      </w:r>
      <w:r>
        <w:t xml:space="preserve"> as shown in Table 3</w:t>
      </w:r>
      <w:r w:rsidRPr="00170DAE">
        <w:t>. This integrated approach strengthened the generalizability of the study by capturing diverse perspectives while maintaining the randomness necessary for objective and reliable results.</w:t>
      </w:r>
    </w:p>
    <w:p w14:paraId="2D6283CC" w14:textId="5EDE081B" w:rsidR="00687193" w:rsidRPr="00610639" w:rsidRDefault="00687193" w:rsidP="00610639">
      <w:pPr>
        <w:spacing w:after="200" w:line="360" w:lineRule="auto"/>
        <w:jc w:val="both"/>
        <w:rPr>
          <w:rFonts w:eastAsia="Calibri" w:cs="Times New Roman"/>
          <w:b/>
          <w:iCs/>
          <w:color w:val="000000" w:themeColor="text1"/>
          <w:kern w:val="0"/>
          <w:szCs w:val="24"/>
        </w:rPr>
      </w:pPr>
      <w:bookmarkStart w:id="1" w:name="_Toc190215829"/>
      <w:r w:rsidRPr="00610639">
        <w:rPr>
          <w:rFonts w:eastAsia="Calibri" w:cs="Times New Roman"/>
          <w:b/>
          <w:iCs/>
          <w:color w:val="000000" w:themeColor="text1"/>
          <w:kern w:val="0"/>
          <w:szCs w:val="24"/>
        </w:rPr>
        <w:lastRenderedPageBreak/>
        <w:t>Table 3: Sample size</w:t>
      </w:r>
      <w:bookmarkEnd w:id="1"/>
    </w:p>
    <w:tbl>
      <w:tblPr>
        <w:tblW w:w="9360" w:type="dxa"/>
        <w:tblInd w:w="-5" w:type="dxa"/>
        <w:tblBorders>
          <w:top w:val="single" w:sz="4" w:space="0" w:color="auto"/>
          <w:bottom w:val="single" w:sz="4" w:space="0" w:color="auto"/>
        </w:tblBorders>
        <w:tblLook w:val="0000" w:firstRow="0" w:lastRow="0" w:firstColumn="0" w:lastColumn="0" w:noHBand="0" w:noVBand="0"/>
      </w:tblPr>
      <w:tblGrid>
        <w:gridCol w:w="6210"/>
        <w:gridCol w:w="1620"/>
        <w:gridCol w:w="1530"/>
      </w:tblGrid>
      <w:tr w:rsidR="00687193" w:rsidRPr="00610639" w14:paraId="2A20E24B" w14:textId="77777777" w:rsidTr="001621E1">
        <w:trPr>
          <w:trHeight w:val="224"/>
        </w:trPr>
        <w:tc>
          <w:tcPr>
            <w:tcW w:w="6210" w:type="dxa"/>
            <w:tcBorders>
              <w:top w:val="single" w:sz="4" w:space="0" w:color="auto"/>
              <w:bottom w:val="single" w:sz="4" w:space="0" w:color="auto"/>
            </w:tcBorders>
            <w:shd w:val="clear" w:color="auto" w:fill="auto"/>
          </w:tcPr>
          <w:p w14:paraId="3766F131" w14:textId="5E077528" w:rsidR="00687193" w:rsidRPr="00610639" w:rsidRDefault="00687193" w:rsidP="00610639">
            <w:pPr>
              <w:spacing w:after="0" w:line="360" w:lineRule="auto"/>
              <w:jc w:val="both"/>
              <w:rPr>
                <w:rFonts w:cs="Times New Roman"/>
                <w:b/>
                <w:bCs/>
                <w:color w:val="000000" w:themeColor="text1"/>
                <w:szCs w:val="24"/>
              </w:rPr>
            </w:pPr>
            <w:r w:rsidRPr="00610639">
              <w:rPr>
                <w:rFonts w:cs="Times New Roman"/>
                <w:b/>
                <w:color w:val="000000" w:themeColor="text1"/>
                <w:szCs w:val="24"/>
              </w:rPr>
              <w:t>Stratu</w:t>
            </w:r>
            <w:r w:rsidR="00170DAE">
              <w:rPr>
                <w:rFonts w:cs="Times New Roman"/>
                <w:b/>
                <w:color w:val="000000" w:themeColor="text1"/>
                <w:szCs w:val="24"/>
              </w:rPr>
              <w:t>m</w:t>
            </w:r>
          </w:p>
        </w:tc>
        <w:tc>
          <w:tcPr>
            <w:tcW w:w="1620" w:type="dxa"/>
            <w:tcBorders>
              <w:top w:val="single" w:sz="4" w:space="0" w:color="auto"/>
              <w:bottom w:val="single" w:sz="4" w:space="0" w:color="auto"/>
            </w:tcBorders>
          </w:tcPr>
          <w:p w14:paraId="033FB49A" w14:textId="77777777" w:rsidR="00687193" w:rsidRPr="00610639" w:rsidRDefault="00687193" w:rsidP="00610639">
            <w:pPr>
              <w:spacing w:after="0" w:line="360" w:lineRule="auto"/>
              <w:jc w:val="both"/>
              <w:rPr>
                <w:rFonts w:cs="Times New Roman"/>
                <w:b/>
                <w:bCs/>
                <w:color w:val="000000" w:themeColor="text1"/>
                <w:szCs w:val="24"/>
              </w:rPr>
            </w:pPr>
            <w:r w:rsidRPr="00610639">
              <w:rPr>
                <w:rFonts w:cs="Times New Roman"/>
                <w:b/>
                <w:bCs/>
                <w:color w:val="000000" w:themeColor="text1"/>
                <w:szCs w:val="24"/>
              </w:rPr>
              <w:t>Population</w:t>
            </w:r>
          </w:p>
        </w:tc>
        <w:tc>
          <w:tcPr>
            <w:tcW w:w="1530" w:type="dxa"/>
            <w:tcBorders>
              <w:top w:val="single" w:sz="4" w:space="0" w:color="auto"/>
              <w:bottom w:val="single" w:sz="4" w:space="0" w:color="auto"/>
            </w:tcBorders>
            <w:shd w:val="clear" w:color="auto" w:fill="auto"/>
          </w:tcPr>
          <w:p w14:paraId="3E003C95" w14:textId="77777777" w:rsidR="00687193" w:rsidRPr="00610639" w:rsidRDefault="00687193" w:rsidP="00610639">
            <w:pPr>
              <w:spacing w:after="0" w:line="360" w:lineRule="auto"/>
              <w:jc w:val="both"/>
              <w:rPr>
                <w:rFonts w:cs="Times New Roman"/>
                <w:b/>
                <w:bCs/>
                <w:color w:val="000000" w:themeColor="text1"/>
                <w:szCs w:val="24"/>
              </w:rPr>
            </w:pPr>
            <w:r w:rsidRPr="00610639">
              <w:rPr>
                <w:rFonts w:cs="Times New Roman"/>
                <w:b/>
                <w:bCs/>
                <w:color w:val="000000" w:themeColor="text1"/>
                <w:szCs w:val="24"/>
              </w:rPr>
              <w:t xml:space="preserve">Sample Size </w:t>
            </w:r>
          </w:p>
        </w:tc>
      </w:tr>
      <w:tr w:rsidR="00687193" w:rsidRPr="00610639" w14:paraId="0ACD7FE4" w14:textId="77777777" w:rsidTr="001621E1">
        <w:trPr>
          <w:trHeight w:val="224"/>
        </w:trPr>
        <w:tc>
          <w:tcPr>
            <w:tcW w:w="6210" w:type="dxa"/>
            <w:tcBorders>
              <w:top w:val="single" w:sz="4" w:space="0" w:color="auto"/>
            </w:tcBorders>
            <w:shd w:val="clear" w:color="auto" w:fill="auto"/>
          </w:tcPr>
          <w:p w14:paraId="4A9630A3" w14:textId="77777777" w:rsidR="00687193" w:rsidRPr="00610639" w:rsidRDefault="00687193" w:rsidP="00610639">
            <w:pPr>
              <w:spacing w:after="0" w:line="360" w:lineRule="auto"/>
              <w:jc w:val="both"/>
              <w:rPr>
                <w:rFonts w:cs="Times New Roman"/>
                <w:bCs/>
                <w:color w:val="000000" w:themeColor="text1"/>
                <w:szCs w:val="24"/>
              </w:rPr>
            </w:pPr>
            <w:r w:rsidRPr="00610639">
              <w:rPr>
                <w:rFonts w:eastAsia="Times New Roman" w:cs="Times New Roman"/>
                <w:bCs/>
                <w:color w:val="000000" w:themeColor="text1"/>
                <w:szCs w:val="24"/>
              </w:rPr>
              <w:t>Board Members</w:t>
            </w:r>
          </w:p>
        </w:tc>
        <w:tc>
          <w:tcPr>
            <w:tcW w:w="1620" w:type="dxa"/>
            <w:tcBorders>
              <w:top w:val="single" w:sz="4" w:space="0" w:color="auto"/>
            </w:tcBorders>
          </w:tcPr>
          <w:p w14:paraId="7ED4AB70" w14:textId="77777777" w:rsidR="00687193" w:rsidRPr="00610639" w:rsidRDefault="00687193" w:rsidP="00610639">
            <w:pPr>
              <w:spacing w:after="0" w:line="360" w:lineRule="auto"/>
              <w:jc w:val="both"/>
              <w:rPr>
                <w:rFonts w:cs="Times New Roman"/>
                <w:bCs/>
                <w:color w:val="000000" w:themeColor="text1"/>
                <w:szCs w:val="24"/>
              </w:rPr>
            </w:pPr>
            <w:r w:rsidRPr="00610639">
              <w:rPr>
                <w:rFonts w:cs="Times New Roman"/>
                <w:bCs/>
                <w:color w:val="000000" w:themeColor="text1"/>
                <w:szCs w:val="24"/>
              </w:rPr>
              <w:t>8</w:t>
            </w:r>
          </w:p>
        </w:tc>
        <w:tc>
          <w:tcPr>
            <w:tcW w:w="1530" w:type="dxa"/>
            <w:tcBorders>
              <w:top w:val="single" w:sz="4" w:space="0" w:color="auto"/>
            </w:tcBorders>
            <w:shd w:val="clear" w:color="auto" w:fill="auto"/>
          </w:tcPr>
          <w:p w14:paraId="3FC1D9CE" w14:textId="77777777" w:rsidR="00687193" w:rsidRPr="00610639" w:rsidRDefault="00687193" w:rsidP="00610639">
            <w:pPr>
              <w:spacing w:after="0" w:line="360" w:lineRule="auto"/>
              <w:jc w:val="both"/>
              <w:rPr>
                <w:rFonts w:cs="Times New Roman"/>
                <w:bCs/>
                <w:color w:val="000000" w:themeColor="text1"/>
                <w:szCs w:val="24"/>
              </w:rPr>
            </w:pPr>
            <w:r w:rsidRPr="00610639">
              <w:rPr>
                <w:rFonts w:cs="Times New Roman"/>
                <w:bCs/>
                <w:color w:val="000000" w:themeColor="text1"/>
                <w:szCs w:val="24"/>
              </w:rPr>
              <w:t>3</w:t>
            </w:r>
          </w:p>
        </w:tc>
      </w:tr>
      <w:tr w:rsidR="00687193" w:rsidRPr="00610639" w14:paraId="26AAC80B" w14:textId="77777777" w:rsidTr="001621E1">
        <w:trPr>
          <w:trHeight w:val="224"/>
        </w:trPr>
        <w:tc>
          <w:tcPr>
            <w:tcW w:w="6210" w:type="dxa"/>
            <w:shd w:val="clear" w:color="auto" w:fill="auto"/>
          </w:tcPr>
          <w:p w14:paraId="08B00F52" w14:textId="77777777" w:rsidR="00687193" w:rsidRPr="00610639" w:rsidRDefault="00687193" w:rsidP="00610639">
            <w:pPr>
              <w:spacing w:after="0" w:line="360" w:lineRule="auto"/>
              <w:jc w:val="both"/>
              <w:rPr>
                <w:rFonts w:cs="Times New Roman"/>
                <w:bCs/>
                <w:color w:val="000000" w:themeColor="text1"/>
                <w:szCs w:val="24"/>
              </w:rPr>
            </w:pPr>
            <w:r w:rsidRPr="00610639">
              <w:rPr>
                <w:rFonts w:eastAsia="Times New Roman" w:cs="Times New Roman"/>
                <w:bCs/>
                <w:color w:val="000000" w:themeColor="text1"/>
                <w:szCs w:val="24"/>
              </w:rPr>
              <w:t>Employees of UEDC</w:t>
            </w:r>
          </w:p>
        </w:tc>
        <w:tc>
          <w:tcPr>
            <w:tcW w:w="1620" w:type="dxa"/>
          </w:tcPr>
          <w:p w14:paraId="654866D2" w14:textId="77777777" w:rsidR="00687193" w:rsidRPr="00610639" w:rsidRDefault="00687193" w:rsidP="00610639">
            <w:pPr>
              <w:spacing w:after="0" w:line="360" w:lineRule="auto"/>
              <w:jc w:val="both"/>
              <w:rPr>
                <w:rFonts w:cs="Times New Roman"/>
                <w:bCs/>
                <w:color w:val="000000" w:themeColor="text1"/>
                <w:szCs w:val="24"/>
              </w:rPr>
            </w:pPr>
            <w:r w:rsidRPr="00610639">
              <w:rPr>
                <w:rFonts w:cs="Times New Roman"/>
                <w:color w:val="000000" w:themeColor="text1"/>
                <w:szCs w:val="24"/>
              </w:rPr>
              <w:t>661</w:t>
            </w:r>
          </w:p>
        </w:tc>
        <w:tc>
          <w:tcPr>
            <w:tcW w:w="1530" w:type="dxa"/>
            <w:shd w:val="clear" w:color="auto" w:fill="auto"/>
          </w:tcPr>
          <w:p w14:paraId="259D82AC" w14:textId="77777777" w:rsidR="00687193" w:rsidRPr="00610639" w:rsidRDefault="00687193" w:rsidP="00610639">
            <w:pPr>
              <w:spacing w:after="0" w:line="360" w:lineRule="auto"/>
              <w:jc w:val="both"/>
              <w:rPr>
                <w:rFonts w:cs="Times New Roman"/>
                <w:bCs/>
                <w:color w:val="000000" w:themeColor="text1"/>
                <w:szCs w:val="24"/>
              </w:rPr>
            </w:pPr>
            <w:r w:rsidRPr="00610639">
              <w:rPr>
                <w:rFonts w:cs="Times New Roman"/>
                <w:bCs/>
                <w:color w:val="000000" w:themeColor="text1"/>
                <w:szCs w:val="24"/>
              </w:rPr>
              <w:t>245</w:t>
            </w:r>
          </w:p>
        </w:tc>
      </w:tr>
      <w:tr w:rsidR="00687193" w:rsidRPr="00610639" w14:paraId="5A3AB6E3" w14:textId="77777777" w:rsidTr="001621E1">
        <w:trPr>
          <w:trHeight w:val="270"/>
        </w:trPr>
        <w:tc>
          <w:tcPr>
            <w:tcW w:w="6210" w:type="dxa"/>
            <w:shd w:val="clear" w:color="auto" w:fill="auto"/>
          </w:tcPr>
          <w:p w14:paraId="00C91362" w14:textId="77777777" w:rsidR="00687193" w:rsidRPr="00610639" w:rsidRDefault="00687193" w:rsidP="00610639">
            <w:pPr>
              <w:spacing w:after="0" w:line="360" w:lineRule="auto"/>
              <w:jc w:val="both"/>
              <w:rPr>
                <w:rFonts w:eastAsia="Times New Roman" w:cs="Times New Roman"/>
                <w:color w:val="000000" w:themeColor="text1"/>
                <w:szCs w:val="24"/>
              </w:rPr>
            </w:pPr>
            <w:r w:rsidRPr="00610639">
              <w:rPr>
                <w:rFonts w:eastAsia="Times New Roman" w:cs="Times New Roman"/>
                <w:color w:val="000000" w:themeColor="text1"/>
                <w:szCs w:val="24"/>
              </w:rPr>
              <w:t>Private sector Players in the Energy Industry</w:t>
            </w:r>
          </w:p>
        </w:tc>
        <w:tc>
          <w:tcPr>
            <w:tcW w:w="1620" w:type="dxa"/>
          </w:tcPr>
          <w:p w14:paraId="3CF951B8" w14:textId="77777777" w:rsidR="00687193" w:rsidRPr="00610639" w:rsidRDefault="00687193" w:rsidP="00610639">
            <w:pPr>
              <w:spacing w:after="0" w:line="360" w:lineRule="auto"/>
              <w:jc w:val="both"/>
              <w:rPr>
                <w:rFonts w:cs="Times New Roman"/>
                <w:bCs/>
                <w:color w:val="000000" w:themeColor="text1"/>
                <w:szCs w:val="24"/>
              </w:rPr>
            </w:pPr>
            <w:r w:rsidRPr="00610639">
              <w:rPr>
                <w:rFonts w:eastAsia="Times New Roman" w:cs="Times New Roman"/>
                <w:color w:val="000000" w:themeColor="text1"/>
                <w:szCs w:val="24"/>
              </w:rPr>
              <w:t>9</w:t>
            </w:r>
          </w:p>
        </w:tc>
        <w:tc>
          <w:tcPr>
            <w:tcW w:w="1530" w:type="dxa"/>
            <w:shd w:val="clear" w:color="auto" w:fill="auto"/>
          </w:tcPr>
          <w:p w14:paraId="43C0E5BF" w14:textId="77777777" w:rsidR="00687193" w:rsidRPr="00610639" w:rsidRDefault="00687193" w:rsidP="00610639">
            <w:pPr>
              <w:spacing w:after="0" w:line="360" w:lineRule="auto"/>
              <w:jc w:val="both"/>
              <w:rPr>
                <w:rFonts w:cs="Times New Roman"/>
                <w:bCs/>
                <w:color w:val="000000" w:themeColor="text1"/>
                <w:szCs w:val="24"/>
              </w:rPr>
            </w:pPr>
            <w:r w:rsidRPr="00610639">
              <w:rPr>
                <w:rFonts w:cs="Times New Roman"/>
                <w:bCs/>
                <w:color w:val="000000" w:themeColor="text1"/>
                <w:szCs w:val="24"/>
              </w:rPr>
              <w:t>3</w:t>
            </w:r>
          </w:p>
        </w:tc>
      </w:tr>
      <w:tr w:rsidR="00687193" w:rsidRPr="00610639" w14:paraId="1924CB7D" w14:textId="77777777" w:rsidTr="001621E1">
        <w:trPr>
          <w:trHeight w:val="270"/>
        </w:trPr>
        <w:tc>
          <w:tcPr>
            <w:tcW w:w="6210" w:type="dxa"/>
            <w:shd w:val="clear" w:color="auto" w:fill="auto"/>
          </w:tcPr>
          <w:p w14:paraId="19870EE4" w14:textId="77777777" w:rsidR="00687193" w:rsidRPr="00610639" w:rsidRDefault="00687193" w:rsidP="00610639">
            <w:pPr>
              <w:spacing w:after="0" w:line="360" w:lineRule="auto"/>
              <w:jc w:val="both"/>
              <w:rPr>
                <w:rFonts w:cs="Times New Roman"/>
                <w:color w:val="000000" w:themeColor="text1"/>
                <w:szCs w:val="24"/>
              </w:rPr>
            </w:pPr>
            <w:r w:rsidRPr="00610639">
              <w:rPr>
                <w:rFonts w:cs="Times New Roman"/>
                <w:b/>
                <w:color w:val="000000" w:themeColor="text1"/>
                <w:szCs w:val="24"/>
              </w:rPr>
              <w:t>Total</w:t>
            </w:r>
          </w:p>
        </w:tc>
        <w:tc>
          <w:tcPr>
            <w:tcW w:w="1620" w:type="dxa"/>
          </w:tcPr>
          <w:p w14:paraId="6D52EDEF" w14:textId="77777777" w:rsidR="00687193" w:rsidRPr="00610639" w:rsidRDefault="00687193" w:rsidP="00610639">
            <w:pPr>
              <w:spacing w:after="0" w:line="360" w:lineRule="auto"/>
              <w:jc w:val="both"/>
              <w:rPr>
                <w:rFonts w:cs="Times New Roman"/>
                <w:bCs/>
                <w:color w:val="000000" w:themeColor="text1"/>
                <w:szCs w:val="24"/>
              </w:rPr>
            </w:pPr>
            <w:r w:rsidRPr="00610639">
              <w:rPr>
                <w:rFonts w:cs="Times New Roman"/>
                <w:b/>
                <w:color w:val="000000" w:themeColor="text1"/>
                <w:szCs w:val="24"/>
              </w:rPr>
              <w:t>678</w:t>
            </w:r>
          </w:p>
        </w:tc>
        <w:tc>
          <w:tcPr>
            <w:tcW w:w="1530" w:type="dxa"/>
            <w:shd w:val="clear" w:color="auto" w:fill="auto"/>
          </w:tcPr>
          <w:p w14:paraId="217ED101" w14:textId="77777777" w:rsidR="00687193" w:rsidRPr="00610639" w:rsidRDefault="00687193" w:rsidP="00610639">
            <w:pPr>
              <w:spacing w:after="0" w:line="360" w:lineRule="auto"/>
              <w:jc w:val="both"/>
              <w:rPr>
                <w:rFonts w:cs="Times New Roman"/>
                <w:b/>
                <w:bCs/>
                <w:color w:val="000000" w:themeColor="text1"/>
                <w:szCs w:val="24"/>
              </w:rPr>
            </w:pPr>
            <w:r w:rsidRPr="00610639">
              <w:rPr>
                <w:rFonts w:cs="Times New Roman"/>
                <w:b/>
                <w:bCs/>
                <w:color w:val="000000" w:themeColor="text1"/>
                <w:szCs w:val="24"/>
              </w:rPr>
              <w:t>251</w:t>
            </w:r>
          </w:p>
        </w:tc>
      </w:tr>
    </w:tbl>
    <w:p w14:paraId="388AE466" w14:textId="3A0A32C0" w:rsidR="000906ED" w:rsidRPr="00610639" w:rsidRDefault="00687193" w:rsidP="00610639">
      <w:pPr>
        <w:spacing w:after="0" w:line="360" w:lineRule="auto"/>
        <w:jc w:val="both"/>
        <w:rPr>
          <w:rFonts w:eastAsia="Times New Roman" w:cs="Times New Roman"/>
          <w:b/>
          <w:color w:val="000000" w:themeColor="text1"/>
          <w:szCs w:val="24"/>
        </w:rPr>
      </w:pPr>
      <w:r w:rsidRPr="00610639">
        <w:rPr>
          <w:rFonts w:cs="Times New Roman"/>
          <w:b/>
          <w:color w:val="000000" w:themeColor="text1"/>
          <w:szCs w:val="24"/>
        </w:rPr>
        <w:t>Source:</w:t>
      </w:r>
      <w:r w:rsidRPr="00610639">
        <w:rPr>
          <w:rFonts w:cs="Times New Roman"/>
          <w:b/>
          <w:i/>
          <w:iCs/>
          <w:color w:val="000000" w:themeColor="text1"/>
          <w:szCs w:val="24"/>
        </w:rPr>
        <w:t xml:space="preserve"> </w:t>
      </w:r>
      <w:r w:rsidRPr="00610639">
        <w:rPr>
          <w:rFonts w:cs="Times New Roman"/>
          <w:bCs/>
          <w:color w:val="000000" w:themeColor="text1"/>
          <w:szCs w:val="24"/>
        </w:rPr>
        <w:t>Field Data (2024)</w:t>
      </w:r>
    </w:p>
    <w:p w14:paraId="31D9EE21" w14:textId="2061576B" w:rsidR="00C846C2" w:rsidRPr="00610639" w:rsidRDefault="00170DAE" w:rsidP="00610639">
      <w:pPr>
        <w:pStyle w:val="NormalWeb"/>
        <w:spacing w:line="360" w:lineRule="auto"/>
        <w:jc w:val="both"/>
        <w:rPr>
          <w:b/>
          <w:bCs/>
          <w:i/>
          <w:iCs/>
        </w:rPr>
      </w:pPr>
      <w:r>
        <w:rPr>
          <w:rStyle w:val="Strong"/>
          <w:rFonts w:eastAsiaTheme="majorEastAsia"/>
          <w:b w:val="0"/>
          <w:bCs w:val="0"/>
          <w:i/>
          <w:iCs/>
        </w:rPr>
        <w:t xml:space="preserve">Research </w:t>
      </w:r>
      <w:r w:rsidR="00C846C2" w:rsidRPr="00610639">
        <w:rPr>
          <w:rStyle w:val="Strong"/>
          <w:rFonts w:eastAsiaTheme="majorEastAsia"/>
          <w:b w:val="0"/>
          <w:bCs w:val="0"/>
          <w:i/>
          <w:iCs/>
        </w:rPr>
        <w:t>Instruments</w:t>
      </w:r>
    </w:p>
    <w:p w14:paraId="26747F35" w14:textId="77777777" w:rsidR="00170DAE" w:rsidRPr="00170DAE" w:rsidRDefault="00170DAE" w:rsidP="00170DAE">
      <w:pPr>
        <w:spacing w:before="100" w:beforeAutospacing="1" w:after="100" w:afterAutospacing="1" w:line="360" w:lineRule="auto"/>
        <w:jc w:val="both"/>
        <w:rPr>
          <w:rFonts w:eastAsia="Times New Roman" w:cs="Times New Roman"/>
          <w:kern w:val="0"/>
          <w:szCs w:val="24"/>
        </w:rPr>
      </w:pPr>
      <w:r w:rsidRPr="00170DAE">
        <w:rPr>
          <w:rFonts w:eastAsia="Times New Roman" w:cs="Times New Roman"/>
          <w:kern w:val="0"/>
          <w:szCs w:val="24"/>
        </w:rPr>
        <w:t>This study gathered primary data through a structured questionnaire incorporating a five-point Likert scale to ensure uniformity and facilitate data analysis. The structured design enabled the systematic collection of quantitative responses, allowing for an objective evaluation of participants’ views on regulatory compliance and service delivery. The Likert scale, ranging from 1 (strongly disagree) to 5 (strongly agree), provided respondents with a clear framework to express varying levels of agreement or disagreement, capturing diverse perspectives while ensuring ease of interpretation. This method was well-suited for measuring attitudes and perceptions, supporting statistical analysis through descriptive and inferential techniques, thereby enhancing the reliability and comparability of the findings.</w:t>
      </w:r>
    </w:p>
    <w:p w14:paraId="596047F5" w14:textId="3688FE0D" w:rsidR="00170DAE" w:rsidRDefault="00170DAE" w:rsidP="00610639">
      <w:pPr>
        <w:pStyle w:val="NormalWeb"/>
        <w:spacing w:line="360" w:lineRule="auto"/>
        <w:jc w:val="both"/>
        <w:rPr>
          <w:rStyle w:val="Strong"/>
          <w:rFonts w:eastAsiaTheme="majorEastAsia"/>
          <w:b w:val="0"/>
          <w:bCs w:val="0"/>
          <w:i/>
          <w:iCs/>
        </w:rPr>
      </w:pPr>
      <w:r>
        <w:rPr>
          <w:rStyle w:val="Strong"/>
          <w:rFonts w:eastAsiaTheme="majorEastAsia"/>
          <w:b w:val="0"/>
          <w:bCs w:val="0"/>
          <w:i/>
          <w:iCs/>
        </w:rPr>
        <w:t xml:space="preserve">Data collection procedure </w:t>
      </w:r>
    </w:p>
    <w:p w14:paraId="358B12E3" w14:textId="77777777" w:rsidR="00170DAE" w:rsidRPr="00170DAE" w:rsidRDefault="00170DAE" w:rsidP="00170DAE">
      <w:pPr>
        <w:spacing w:before="100" w:beforeAutospacing="1" w:after="100" w:afterAutospacing="1" w:line="360" w:lineRule="auto"/>
        <w:jc w:val="both"/>
        <w:rPr>
          <w:rFonts w:eastAsia="Times New Roman" w:cs="Times New Roman"/>
          <w:kern w:val="0"/>
          <w:szCs w:val="24"/>
        </w:rPr>
      </w:pPr>
      <w:r w:rsidRPr="00170DAE">
        <w:rPr>
          <w:rFonts w:eastAsia="Times New Roman" w:cs="Times New Roman"/>
          <w:kern w:val="0"/>
          <w:szCs w:val="24"/>
        </w:rPr>
        <w:t xml:space="preserve">The study employed a structured data collection process, beginning with securing approvals from relevant authorities, including institutional review boards and the management of Uganda Electricity Distribution Company Limited (UEDCL). A pre-field visit was conducted to </w:t>
      </w:r>
      <w:proofErr w:type="spellStart"/>
      <w:r w:rsidRPr="00170DAE">
        <w:rPr>
          <w:rFonts w:eastAsia="Times New Roman" w:cs="Times New Roman"/>
          <w:kern w:val="0"/>
          <w:szCs w:val="24"/>
        </w:rPr>
        <w:t>familiarise</w:t>
      </w:r>
      <w:proofErr w:type="spellEnd"/>
      <w:r w:rsidRPr="00170DAE">
        <w:rPr>
          <w:rFonts w:eastAsia="Times New Roman" w:cs="Times New Roman"/>
          <w:kern w:val="0"/>
          <w:szCs w:val="24"/>
        </w:rPr>
        <w:t xml:space="preserve"> the research team with the study setting, build rapport with key stakeholders, and </w:t>
      </w:r>
      <w:proofErr w:type="spellStart"/>
      <w:r w:rsidRPr="00170DAE">
        <w:rPr>
          <w:rFonts w:eastAsia="Times New Roman" w:cs="Times New Roman"/>
          <w:kern w:val="0"/>
          <w:szCs w:val="24"/>
        </w:rPr>
        <w:t>finalise</w:t>
      </w:r>
      <w:proofErr w:type="spellEnd"/>
      <w:r w:rsidRPr="00170DAE">
        <w:rPr>
          <w:rFonts w:eastAsia="Times New Roman" w:cs="Times New Roman"/>
          <w:kern w:val="0"/>
          <w:szCs w:val="24"/>
        </w:rPr>
        <w:t xml:space="preserve"> logistical preparations. During the data collection phase, self-administered questionnaires were distributed to selected respondents following the sampling framework. Participants received a briefing on the study’s objectives, confidentiality assurances, and sufficient time to complete the questionnaires. Once collected, responses were reviewed for completeness and accuracy before being prepared for data analysis to enhance the reliability of the findings.</w:t>
      </w:r>
    </w:p>
    <w:p w14:paraId="60756B8C" w14:textId="2F1BBD52" w:rsidR="00C846C2" w:rsidRPr="00610639" w:rsidRDefault="00C846C2" w:rsidP="00610639">
      <w:pPr>
        <w:pStyle w:val="NormalWeb"/>
        <w:spacing w:line="360" w:lineRule="auto"/>
        <w:jc w:val="both"/>
        <w:rPr>
          <w:b/>
          <w:bCs/>
          <w:i/>
          <w:iCs/>
        </w:rPr>
      </w:pPr>
      <w:r w:rsidRPr="00610639">
        <w:rPr>
          <w:rStyle w:val="Strong"/>
          <w:rFonts w:eastAsiaTheme="majorEastAsia"/>
          <w:b w:val="0"/>
          <w:bCs w:val="0"/>
          <w:i/>
          <w:iCs/>
        </w:rPr>
        <w:lastRenderedPageBreak/>
        <w:t>Data Analysis</w:t>
      </w:r>
      <w:r w:rsidR="00170DAE">
        <w:rPr>
          <w:rStyle w:val="Strong"/>
          <w:rFonts w:eastAsiaTheme="majorEastAsia"/>
          <w:b w:val="0"/>
          <w:bCs w:val="0"/>
          <w:i/>
          <w:iCs/>
        </w:rPr>
        <w:t xml:space="preserve"> and presentation </w:t>
      </w:r>
    </w:p>
    <w:p w14:paraId="2CADEE7F" w14:textId="77777777" w:rsidR="001B72EF" w:rsidRDefault="001B72EF" w:rsidP="001B72EF">
      <w:pPr>
        <w:pStyle w:val="NormalWeb"/>
        <w:spacing w:line="360" w:lineRule="auto"/>
        <w:jc w:val="both"/>
      </w:pPr>
      <w:r>
        <w:t xml:space="preserve">The study </w:t>
      </w:r>
      <w:proofErr w:type="spellStart"/>
      <w:r>
        <w:t>analysed</w:t>
      </w:r>
      <w:proofErr w:type="spellEnd"/>
      <w:r>
        <w:t xml:space="preserve"> quantitative data using descriptive statistics, correlation analysis, and regression techniques to ensure a comprehensive examination of the relationship between regulatory compliance and service delivery. Descriptive statistics, including means, frequencies, percentages, and standard deviations, provided a summary of the dataset, allowing for a clear understanding of trends and variations. Correlation analysis was employed to determine the strength and direction of the relationship between regulatory compliance and service delivery, offering insights into the degree of association between the variables. Regression analysis further established the predictive influence of regulatory compliance on service delivery, assessing the extent to which changes in compliance levels impacted service outcomes. The linear regression equation used in the study was:</w:t>
      </w:r>
    </w:p>
    <w:p w14:paraId="27A33A02" w14:textId="77777777" w:rsidR="001B72EF" w:rsidRDefault="001B72EF" w:rsidP="001B72EF">
      <w:pPr>
        <w:pStyle w:val="NormalWeb"/>
        <w:spacing w:line="360" w:lineRule="auto"/>
        <w:jc w:val="both"/>
      </w:pPr>
      <w:r>
        <w:rPr>
          <w:rStyle w:val="Strong"/>
          <w:rFonts w:eastAsiaTheme="majorEastAsia"/>
        </w:rPr>
        <w:t>Y = β₀ + β₁X + ε</w:t>
      </w:r>
    </w:p>
    <w:p w14:paraId="637D1E65" w14:textId="44309659" w:rsidR="001B72EF" w:rsidRDefault="001B72EF" w:rsidP="001B72EF">
      <w:pPr>
        <w:pStyle w:val="NormalWeb"/>
        <w:spacing w:line="360" w:lineRule="auto"/>
        <w:jc w:val="both"/>
      </w:pPr>
      <w:r>
        <w:t xml:space="preserve">where </w:t>
      </w:r>
      <w:r>
        <w:rPr>
          <w:rStyle w:val="Strong"/>
          <w:rFonts w:eastAsiaTheme="majorEastAsia"/>
        </w:rPr>
        <w:t>Y</w:t>
      </w:r>
      <w:r>
        <w:t xml:space="preserve"> represents service delivery, </w:t>
      </w:r>
      <w:r>
        <w:rPr>
          <w:rStyle w:val="Strong"/>
          <w:rFonts w:eastAsiaTheme="majorEastAsia"/>
        </w:rPr>
        <w:t>β₀</w:t>
      </w:r>
      <w:r>
        <w:t xml:space="preserve"> is the intercept, </w:t>
      </w:r>
      <w:r>
        <w:rPr>
          <w:rStyle w:val="Strong"/>
          <w:rFonts w:eastAsiaTheme="majorEastAsia"/>
        </w:rPr>
        <w:t>β₁</w:t>
      </w:r>
      <w:r>
        <w:t xml:space="preserve"> is the regression coefficient for regulatory compliance (</w:t>
      </w:r>
      <w:r>
        <w:rPr>
          <w:rStyle w:val="Strong"/>
          <w:rFonts w:eastAsiaTheme="majorEastAsia"/>
        </w:rPr>
        <w:t>X</w:t>
      </w:r>
      <w:r>
        <w:t xml:space="preserve">), and </w:t>
      </w:r>
      <w:r>
        <w:rPr>
          <w:rStyle w:val="Strong"/>
          <w:rFonts w:eastAsiaTheme="majorEastAsia"/>
        </w:rPr>
        <w:t>ε</w:t>
      </w:r>
      <w:r>
        <w:t xml:space="preserve"> is the error term. This model allowed for statistical inference regarding the significance and impact of regulatory compliance on service efficiency, enhancing the study’s ability to draw meaningful conclusions.</w:t>
      </w:r>
    </w:p>
    <w:p w14:paraId="0FD9ECF7" w14:textId="0B2FFEE6" w:rsidR="00B854FC" w:rsidRPr="00610639" w:rsidRDefault="000906ED" w:rsidP="00610639">
      <w:pPr>
        <w:spacing w:before="100" w:beforeAutospacing="1" w:after="100" w:afterAutospacing="1" w:line="360" w:lineRule="auto"/>
        <w:jc w:val="both"/>
        <w:outlineLvl w:val="2"/>
        <w:rPr>
          <w:rFonts w:eastAsia="Times New Roman" w:cs="Times New Roman"/>
          <w:b/>
          <w:bCs/>
          <w:kern w:val="0"/>
          <w:szCs w:val="24"/>
        </w:rPr>
      </w:pPr>
      <w:r w:rsidRPr="00610639">
        <w:rPr>
          <w:rFonts w:eastAsia="Times New Roman" w:cs="Times New Roman"/>
          <w:b/>
          <w:bCs/>
          <w:kern w:val="0"/>
          <w:szCs w:val="24"/>
        </w:rPr>
        <w:t>4.0</w:t>
      </w:r>
      <w:r w:rsidR="009E5653">
        <w:rPr>
          <w:rFonts w:eastAsia="Times New Roman" w:cs="Times New Roman"/>
          <w:b/>
          <w:bCs/>
          <w:kern w:val="0"/>
          <w:szCs w:val="24"/>
        </w:rPr>
        <w:t xml:space="preserve">Result and </w:t>
      </w:r>
      <w:r w:rsidRPr="00610639">
        <w:rPr>
          <w:rFonts w:eastAsia="Times New Roman" w:cs="Times New Roman"/>
          <w:b/>
          <w:bCs/>
          <w:kern w:val="0"/>
          <w:szCs w:val="24"/>
        </w:rPr>
        <w:t xml:space="preserve"> Discussion </w:t>
      </w:r>
    </w:p>
    <w:p w14:paraId="3C75ED57" w14:textId="77777777" w:rsidR="000906ED" w:rsidRPr="00610639" w:rsidRDefault="000906ED" w:rsidP="00610639">
      <w:pPr>
        <w:spacing w:before="100" w:beforeAutospacing="1" w:after="100" w:afterAutospacing="1" w:line="360" w:lineRule="auto"/>
        <w:jc w:val="both"/>
        <w:outlineLvl w:val="3"/>
        <w:rPr>
          <w:rFonts w:eastAsia="Times New Roman" w:cs="Times New Roman"/>
          <w:i/>
          <w:iCs/>
          <w:kern w:val="0"/>
          <w:szCs w:val="24"/>
        </w:rPr>
      </w:pPr>
      <w:r w:rsidRPr="00610639">
        <w:rPr>
          <w:rFonts w:eastAsia="Times New Roman" w:cs="Times New Roman"/>
          <w:i/>
          <w:iCs/>
          <w:kern w:val="0"/>
          <w:szCs w:val="24"/>
        </w:rPr>
        <w:t>4.1 Response Rate</w:t>
      </w:r>
    </w:p>
    <w:p w14:paraId="0247BCED" w14:textId="77777777" w:rsidR="001B72EF" w:rsidRDefault="001B72EF" w:rsidP="001B72EF">
      <w:pPr>
        <w:spacing w:before="100" w:beforeAutospacing="1" w:after="100" w:afterAutospacing="1" w:line="360" w:lineRule="auto"/>
        <w:jc w:val="both"/>
        <w:rPr>
          <w:rFonts w:eastAsia="Times New Roman" w:cs="Times New Roman"/>
          <w:kern w:val="0"/>
          <w:szCs w:val="24"/>
        </w:rPr>
      </w:pPr>
      <w:r w:rsidRPr="001B72EF">
        <w:rPr>
          <w:rFonts w:eastAsia="Times New Roman" w:cs="Times New Roman"/>
          <w:kern w:val="0"/>
          <w:szCs w:val="24"/>
        </w:rPr>
        <w:t xml:space="preserve">The study achieved a response rate of 65%, which is considered acceptable for survey-based research, particularly in </w:t>
      </w:r>
      <w:proofErr w:type="spellStart"/>
      <w:r w:rsidRPr="001B72EF">
        <w:rPr>
          <w:rFonts w:eastAsia="Times New Roman" w:cs="Times New Roman"/>
          <w:kern w:val="0"/>
          <w:szCs w:val="24"/>
        </w:rPr>
        <w:t>organisational</w:t>
      </w:r>
      <w:proofErr w:type="spellEnd"/>
      <w:r w:rsidRPr="001B72EF">
        <w:rPr>
          <w:rFonts w:eastAsia="Times New Roman" w:cs="Times New Roman"/>
          <w:kern w:val="0"/>
          <w:szCs w:val="24"/>
        </w:rPr>
        <w:t xml:space="preserve"> settings where participants may have competing priorities. This response rate was facilitated by effective follow-ups, clear instructions, and assurances of confidentiality, which encouraged participants to complete the questionnaires. A response rate above 60% is generally regarded as sufficient for ensuring the validity and reliability of survey findings, as it reduces the risk of non-response bias and enhances the representativeness of the sample.</w:t>
      </w:r>
    </w:p>
    <w:p w14:paraId="39A4C66E" w14:textId="77777777" w:rsidR="001B72EF" w:rsidRDefault="001B72EF" w:rsidP="001B72EF">
      <w:pPr>
        <w:spacing w:before="100" w:beforeAutospacing="1" w:after="100" w:afterAutospacing="1" w:line="360" w:lineRule="auto"/>
        <w:jc w:val="both"/>
        <w:rPr>
          <w:rFonts w:eastAsia="Times New Roman" w:cs="Times New Roman"/>
          <w:kern w:val="0"/>
          <w:szCs w:val="24"/>
        </w:rPr>
      </w:pPr>
    </w:p>
    <w:p w14:paraId="72F61605" w14:textId="77777777" w:rsidR="001B72EF" w:rsidRDefault="001B72EF" w:rsidP="001B72EF">
      <w:pPr>
        <w:spacing w:before="100" w:beforeAutospacing="1" w:after="100" w:afterAutospacing="1" w:line="360" w:lineRule="auto"/>
        <w:jc w:val="both"/>
        <w:rPr>
          <w:rFonts w:eastAsia="Times New Roman" w:cs="Times New Roman"/>
          <w:kern w:val="0"/>
          <w:szCs w:val="24"/>
        </w:rPr>
      </w:pPr>
    </w:p>
    <w:p w14:paraId="152773FE" w14:textId="0200684C" w:rsidR="001B72EF" w:rsidRDefault="001B72EF" w:rsidP="001B72EF">
      <w:pPr>
        <w:spacing w:before="100" w:beforeAutospacing="1" w:after="100" w:afterAutospacing="1" w:line="360" w:lineRule="auto"/>
        <w:jc w:val="both"/>
        <w:rPr>
          <w:rFonts w:eastAsia="Times New Roman" w:cs="Times New Roman"/>
          <w:b/>
          <w:bCs/>
          <w:kern w:val="0"/>
          <w:szCs w:val="24"/>
        </w:rPr>
      </w:pPr>
      <w:r w:rsidRPr="001B72EF">
        <w:rPr>
          <w:rFonts w:eastAsia="Times New Roman" w:cs="Times New Roman"/>
          <w:b/>
          <w:bCs/>
          <w:kern w:val="0"/>
          <w:szCs w:val="24"/>
        </w:rPr>
        <w:t>Table 4: Response Rate Summary</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1B72EF" w14:paraId="13BFB0D7" w14:textId="77777777" w:rsidTr="00016506">
        <w:tc>
          <w:tcPr>
            <w:tcW w:w="3116" w:type="dxa"/>
            <w:tcBorders>
              <w:top w:val="single" w:sz="4" w:space="0" w:color="auto"/>
              <w:bottom w:val="single" w:sz="4" w:space="0" w:color="auto"/>
            </w:tcBorders>
            <w:vAlign w:val="center"/>
          </w:tcPr>
          <w:p w14:paraId="14759AFA" w14:textId="24DC1AE5" w:rsidR="001B72EF" w:rsidRDefault="001B72EF" w:rsidP="001B72EF">
            <w:pPr>
              <w:spacing w:before="100" w:beforeAutospacing="1" w:after="100" w:afterAutospacing="1" w:line="360" w:lineRule="auto"/>
              <w:jc w:val="both"/>
              <w:rPr>
                <w:rFonts w:eastAsia="Times New Roman" w:cs="Times New Roman"/>
                <w:b/>
                <w:bCs/>
                <w:kern w:val="0"/>
                <w:szCs w:val="24"/>
              </w:rPr>
            </w:pPr>
            <w:r w:rsidRPr="001B72EF">
              <w:rPr>
                <w:rFonts w:eastAsia="Times New Roman" w:cs="Times New Roman"/>
                <w:b/>
                <w:bCs/>
                <w:kern w:val="0"/>
                <w:szCs w:val="24"/>
              </w:rPr>
              <w:t>Description</w:t>
            </w:r>
          </w:p>
        </w:tc>
        <w:tc>
          <w:tcPr>
            <w:tcW w:w="3117" w:type="dxa"/>
            <w:tcBorders>
              <w:top w:val="single" w:sz="4" w:space="0" w:color="auto"/>
              <w:bottom w:val="single" w:sz="4" w:space="0" w:color="auto"/>
            </w:tcBorders>
            <w:vAlign w:val="center"/>
          </w:tcPr>
          <w:p w14:paraId="7EC73372" w14:textId="2B007C37" w:rsidR="001B72EF" w:rsidRDefault="001B72EF" w:rsidP="001B72EF">
            <w:pPr>
              <w:spacing w:before="100" w:beforeAutospacing="1" w:after="100" w:afterAutospacing="1" w:line="360" w:lineRule="auto"/>
              <w:jc w:val="both"/>
              <w:rPr>
                <w:rFonts w:eastAsia="Times New Roman" w:cs="Times New Roman"/>
                <w:b/>
                <w:bCs/>
                <w:kern w:val="0"/>
                <w:szCs w:val="24"/>
              </w:rPr>
            </w:pPr>
            <w:r w:rsidRPr="001B72EF">
              <w:rPr>
                <w:rFonts w:eastAsia="Times New Roman" w:cs="Times New Roman"/>
                <w:b/>
                <w:bCs/>
                <w:kern w:val="0"/>
                <w:szCs w:val="24"/>
              </w:rPr>
              <w:t>Frequency</w:t>
            </w:r>
          </w:p>
        </w:tc>
        <w:tc>
          <w:tcPr>
            <w:tcW w:w="3117" w:type="dxa"/>
            <w:tcBorders>
              <w:top w:val="single" w:sz="4" w:space="0" w:color="auto"/>
              <w:bottom w:val="single" w:sz="4" w:space="0" w:color="auto"/>
            </w:tcBorders>
            <w:vAlign w:val="center"/>
          </w:tcPr>
          <w:p w14:paraId="3B0D9952" w14:textId="4CAA0639" w:rsidR="001B72EF" w:rsidRDefault="001B72EF" w:rsidP="001B72EF">
            <w:pPr>
              <w:spacing w:before="100" w:beforeAutospacing="1" w:after="100" w:afterAutospacing="1" w:line="360" w:lineRule="auto"/>
              <w:jc w:val="both"/>
              <w:rPr>
                <w:rFonts w:eastAsia="Times New Roman" w:cs="Times New Roman"/>
                <w:b/>
                <w:bCs/>
                <w:kern w:val="0"/>
                <w:szCs w:val="24"/>
              </w:rPr>
            </w:pPr>
            <w:r w:rsidRPr="001B72EF">
              <w:rPr>
                <w:rFonts w:eastAsia="Times New Roman" w:cs="Times New Roman"/>
                <w:b/>
                <w:bCs/>
                <w:kern w:val="0"/>
                <w:szCs w:val="24"/>
              </w:rPr>
              <w:t>Percentage (%)</w:t>
            </w:r>
          </w:p>
        </w:tc>
      </w:tr>
      <w:tr w:rsidR="001B72EF" w14:paraId="2E6B52C4" w14:textId="77777777" w:rsidTr="00016506">
        <w:tc>
          <w:tcPr>
            <w:tcW w:w="3116" w:type="dxa"/>
            <w:tcBorders>
              <w:top w:val="single" w:sz="4" w:space="0" w:color="auto"/>
            </w:tcBorders>
            <w:vAlign w:val="center"/>
          </w:tcPr>
          <w:p w14:paraId="3BEFD79C" w14:textId="0BF04F8B" w:rsidR="001B72EF" w:rsidRDefault="001B72EF" w:rsidP="001B72EF">
            <w:pPr>
              <w:spacing w:before="100" w:beforeAutospacing="1" w:after="100" w:afterAutospacing="1" w:line="360" w:lineRule="auto"/>
              <w:jc w:val="both"/>
              <w:rPr>
                <w:rFonts w:eastAsia="Times New Roman" w:cs="Times New Roman"/>
                <w:b/>
                <w:bCs/>
                <w:kern w:val="0"/>
                <w:szCs w:val="24"/>
              </w:rPr>
            </w:pPr>
            <w:r w:rsidRPr="001B72EF">
              <w:rPr>
                <w:rFonts w:eastAsia="Times New Roman" w:cs="Times New Roman"/>
                <w:kern w:val="0"/>
                <w:szCs w:val="24"/>
              </w:rPr>
              <w:t>Distributed Questionnaires</w:t>
            </w:r>
          </w:p>
        </w:tc>
        <w:tc>
          <w:tcPr>
            <w:tcW w:w="3117" w:type="dxa"/>
            <w:tcBorders>
              <w:top w:val="single" w:sz="4" w:space="0" w:color="auto"/>
            </w:tcBorders>
            <w:vAlign w:val="center"/>
          </w:tcPr>
          <w:p w14:paraId="7B2F5BA7" w14:textId="1D282C37" w:rsidR="001B72EF" w:rsidRDefault="001B72EF" w:rsidP="001B72EF">
            <w:pPr>
              <w:spacing w:before="100" w:beforeAutospacing="1" w:after="100" w:afterAutospacing="1" w:line="360" w:lineRule="auto"/>
              <w:jc w:val="both"/>
              <w:rPr>
                <w:rFonts w:eastAsia="Times New Roman" w:cs="Times New Roman"/>
                <w:b/>
                <w:bCs/>
                <w:kern w:val="0"/>
                <w:szCs w:val="24"/>
              </w:rPr>
            </w:pPr>
            <w:r w:rsidRPr="001B72EF">
              <w:rPr>
                <w:rFonts w:eastAsia="Times New Roman" w:cs="Times New Roman"/>
                <w:kern w:val="0"/>
                <w:szCs w:val="24"/>
              </w:rPr>
              <w:t>251</w:t>
            </w:r>
          </w:p>
        </w:tc>
        <w:tc>
          <w:tcPr>
            <w:tcW w:w="3117" w:type="dxa"/>
            <w:tcBorders>
              <w:top w:val="single" w:sz="4" w:space="0" w:color="auto"/>
            </w:tcBorders>
            <w:vAlign w:val="center"/>
          </w:tcPr>
          <w:p w14:paraId="62DC09A8" w14:textId="2934ED9C" w:rsidR="001B72EF" w:rsidRDefault="001B72EF" w:rsidP="001B72EF">
            <w:pPr>
              <w:spacing w:before="100" w:beforeAutospacing="1" w:after="100" w:afterAutospacing="1" w:line="360" w:lineRule="auto"/>
              <w:jc w:val="both"/>
              <w:rPr>
                <w:rFonts w:eastAsia="Times New Roman" w:cs="Times New Roman"/>
                <w:b/>
                <w:bCs/>
                <w:kern w:val="0"/>
                <w:szCs w:val="24"/>
              </w:rPr>
            </w:pPr>
            <w:r w:rsidRPr="001B72EF">
              <w:rPr>
                <w:rFonts w:eastAsia="Times New Roman" w:cs="Times New Roman"/>
                <w:kern w:val="0"/>
                <w:szCs w:val="24"/>
              </w:rPr>
              <w:t>100%</w:t>
            </w:r>
          </w:p>
        </w:tc>
      </w:tr>
      <w:tr w:rsidR="001B72EF" w14:paraId="66A15EB4" w14:textId="77777777" w:rsidTr="00016506">
        <w:tc>
          <w:tcPr>
            <w:tcW w:w="3116" w:type="dxa"/>
            <w:vAlign w:val="center"/>
          </w:tcPr>
          <w:p w14:paraId="6652EFC9" w14:textId="6D62A6F7" w:rsidR="001B72EF" w:rsidRDefault="001B72EF" w:rsidP="001B72EF">
            <w:pPr>
              <w:spacing w:before="100" w:beforeAutospacing="1" w:after="100" w:afterAutospacing="1" w:line="360" w:lineRule="auto"/>
              <w:jc w:val="both"/>
              <w:rPr>
                <w:rFonts w:eastAsia="Times New Roman" w:cs="Times New Roman"/>
                <w:b/>
                <w:bCs/>
                <w:kern w:val="0"/>
                <w:szCs w:val="24"/>
              </w:rPr>
            </w:pPr>
            <w:r w:rsidRPr="001B72EF">
              <w:rPr>
                <w:rFonts w:eastAsia="Times New Roman" w:cs="Times New Roman"/>
                <w:kern w:val="0"/>
                <w:szCs w:val="24"/>
              </w:rPr>
              <w:t>Returned Questionnaires</w:t>
            </w:r>
          </w:p>
        </w:tc>
        <w:tc>
          <w:tcPr>
            <w:tcW w:w="3117" w:type="dxa"/>
            <w:vAlign w:val="center"/>
          </w:tcPr>
          <w:p w14:paraId="16C5CFE8" w14:textId="7CAC50CE" w:rsidR="001B72EF" w:rsidRDefault="001B72EF" w:rsidP="001B72EF">
            <w:pPr>
              <w:spacing w:before="100" w:beforeAutospacing="1" w:after="100" w:afterAutospacing="1" w:line="360" w:lineRule="auto"/>
              <w:jc w:val="both"/>
              <w:rPr>
                <w:rFonts w:eastAsia="Times New Roman" w:cs="Times New Roman"/>
                <w:b/>
                <w:bCs/>
                <w:kern w:val="0"/>
                <w:szCs w:val="24"/>
              </w:rPr>
            </w:pPr>
            <w:r w:rsidRPr="001B72EF">
              <w:rPr>
                <w:rFonts w:eastAsia="Times New Roman" w:cs="Times New Roman"/>
                <w:kern w:val="0"/>
                <w:szCs w:val="24"/>
              </w:rPr>
              <w:t>163</w:t>
            </w:r>
          </w:p>
        </w:tc>
        <w:tc>
          <w:tcPr>
            <w:tcW w:w="3117" w:type="dxa"/>
            <w:vAlign w:val="center"/>
          </w:tcPr>
          <w:p w14:paraId="3DC5C19C" w14:textId="79A4F16F" w:rsidR="001B72EF" w:rsidRDefault="001B72EF" w:rsidP="001B72EF">
            <w:pPr>
              <w:spacing w:before="100" w:beforeAutospacing="1" w:after="100" w:afterAutospacing="1" w:line="360" w:lineRule="auto"/>
              <w:jc w:val="both"/>
              <w:rPr>
                <w:rFonts w:eastAsia="Times New Roman" w:cs="Times New Roman"/>
                <w:b/>
                <w:bCs/>
                <w:kern w:val="0"/>
                <w:szCs w:val="24"/>
              </w:rPr>
            </w:pPr>
            <w:r w:rsidRPr="001B72EF">
              <w:rPr>
                <w:rFonts w:eastAsia="Times New Roman" w:cs="Times New Roman"/>
                <w:kern w:val="0"/>
                <w:szCs w:val="24"/>
              </w:rPr>
              <w:t>65%</w:t>
            </w:r>
          </w:p>
        </w:tc>
      </w:tr>
      <w:tr w:rsidR="001B72EF" w14:paraId="0545203C" w14:textId="77777777" w:rsidTr="00016506">
        <w:tc>
          <w:tcPr>
            <w:tcW w:w="3116" w:type="dxa"/>
            <w:vAlign w:val="center"/>
          </w:tcPr>
          <w:p w14:paraId="681621E9" w14:textId="1F4466C3" w:rsidR="001B72EF" w:rsidRPr="001B72EF" w:rsidRDefault="001B72EF" w:rsidP="001B72EF">
            <w:pPr>
              <w:spacing w:before="100" w:beforeAutospacing="1" w:after="100" w:afterAutospacing="1" w:line="360" w:lineRule="auto"/>
              <w:jc w:val="both"/>
              <w:rPr>
                <w:rFonts w:eastAsia="Times New Roman" w:cs="Times New Roman"/>
                <w:kern w:val="0"/>
                <w:szCs w:val="24"/>
              </w:rPr>
            </w:pPr>
            <w:r w:rsidRPr="001B72EF">
              <w:rPr>
                <w:rFonts w:eastAsia="Times New Roman" w:cs="Times New Roman"/>
                <w:kern w:val="0"/>
                <w:szCs w:val="24"/>
              </w:rPr>
              <w:t>Non-Responses</w:t>
            </w:r>
          </w:p>
        </w:tc>
        <w:tc>
          <w:tcPr>
            <w:tcW w:w="3117" w:type="dxa"/>
            <w:vAlign w:val="center"/>
          </w:tcPr>
          <w:p w14:paraId="341FDD95" w14:textId="1E270EB3" w:rsidR="001B72EF" w:rsidRPr="001B72EF" w:rsidRDefault="001B72EF" w:rsidP="001B72EF">
            <w:pPr>
              <w:spacing w:before="100" w:beforeAutospacing="1" w:after="100" w:afterAutospacing="1" w:line="360" w:lineRule="auto"/>
              <w:jc w:val="both"/>
              <w:rPr>
                <w:rFonts w:eastAsia="Times New Roman" w:cs="Times New Roman"/>
                <w:kern w:val="0"/>
                <w:szCs w:val="24"/>
              </w:rPr>
            </w:pPr>
            <w:r w:rsidRPr="001B72EF">
              <w:rPr>
                <w:rFonts w:eastAsia="Times New Roman" w:cs="Times New Roman"/>
                <w:kern w:val="0"/>
                <w:szCs w:val="24"/>
              </w:rPr>
              <w:t>88</w:t>
            </w:r>
          </w:p>
        </w:tc>
        <w:tc>
          <w:tcPr>
            <w:tcW w:w="3117" w:type="dxa"/>
            <w:vAlign w:val="center"/>
          </w:tcPr>
          <w:p w14:paraId="45847339" w14:textId="5B6BA3EB" w:rsidR="001B72EF" w:rsidRPr="001B72EF" w:rsidRDefault="001B72EF" w:rsidP="001B72EF">
            <w:pPr>
              <w:spacing w:before="100" w:beforeAutospacing="1" w:after="100" w:afterAutospacing="1" w:line="360" w:lineRule="auto"/>
              <w:jc w:val="both"/>
              <w:rPr>
                <w:rFonts w:eastAsia="Times New Roman" w:cs="Times New Roman"/>
                <w:kern w:val="0"/>
                <w:szCs w:val="24"/>
              </w:rPr>
            </w:pPr>
            <w:r w:rsidRPr="001B72EF">
              <w:rPr>
                <w:rFonts w:eastAsia="Times New Roman" w:cs="Times New Roman"/>
                <w:kern w:val="0"/>
                <w:szCs w:val="24"/>
              </w:rPr>
              <w:t>35%</w:t>
            </w:r>
          </w:p>
        </w:tc>
      </w:tr>
    </w:tbl>
    <w:p w14:paraId="136FA30F" w14:textId="1C169E97" w:rsidR="000906ED" w:rsidRPr="00610639" w:rsidRDefault="00016506" w:rsidP="001B72EF">
      <w:pPr>
        <w:keepNext/>
        <w:keepLines/>
        <w:spacing w:after="0" w:line="360" w:lineRule="auto"/>
        <w:jc w:val="both"/>
        <w:outlineLvl w:val="1"/>
        <w:rPr>
          <w:rFonts w:eastAsia="Times New Roman" w:cs="Times New Roman"/>
          <w:kern w:val="0"/>
          <w:szCs w:val="24"/>
        </w:rPr>
      </w:pPr>
      <w:r>
        <w:rPr>
          <w:rFonts w:eastAsia="Times New Roman" w:cs="Times New Roman"/>
          <w:kern w:val="0"/>
          <w:szCs w:val="24"/>
        </w:rPr>
        <w:t>Source: Field Data, 2025</w:t>
      </w:r>
    </w:p>
    <w:p w14:paraId="336F85E6" w14:textId="6FB6F33A" w:rsidR="006F3AB5" w:rsidRPr="00610639" w:rsidRDefault="006F3AB5" w:rsidP="00610639">
      <w:pPr>
        <w:keepNext/>
        <w:keepLines/>
        <w:spacing w:after="0" w:line="360" w:lineRule="auto"/>
        <w:jc w:val="both"/>
        <w:outlineLvl w:val="1"/>
        <w:rPr>
          <w:rFonts w:cs="Times New Roman"/>
          <w:i/>
          <w:iCs/>
          <w:szCs w:val="24"/>
        </w:rPr>
      </w:pPr>
      <w:r w:rsidRPr="00610639">
        <w:rPr>
          <w:rFonts w:cs="Times New Roman"/>
          <w:i/>
          <w:iCs/>
          <w:szCs w:val="24"/>
        </w:rPr>
        <w:t>4.</w:t>
      </w:r>
      <w:r w:rsidR="001B72EF">
        <w:rPr>
          <w:rFonts w:cs="Times New Roman"/>
          <w:i/>
          <w:iCs/>
          <w:szCs w:val="24"/>
        </w:rPr>
        <w:t>2</w:t>
      </w:r>
      <w:r w:rsidRPr="00610639">
        <w:rPr>
          <w:rFonts w:cs="Times New Roman"/>
          <w:i/>
          <w:iCs/>
          <w:szCs w:val="24"/>
        </w:rPr>
        <w:t xml:space="preserve"> Descriptive Statistics on Regulatory Compliance and Service Delivery</w:t>
      </w:r>
    </w:p>
    <w:p w14:paraId="04CE3C9D" w14:textId="7DDD5DD2" w:rsidR="001B72EF" w:rsidRDefault="001B72EF" w:rsidP="00610639">
      <w:pPr>
        <w:spacing w:after="200" w:line="360" w:lineRule="auto"/>
        <w:jc w:val="both"/>
      </w:pPr>
      <w:bookmarkStart w:id="2" w:name="_Toc190215833"/>
      <w:r>
        <w:t>The study assessed the impact of regulatory compliance on service delivery within Uganda Electricity Distribution Company. The table below presents the mean and standard deviation values based on responses using a Likert scale, where 1 represents "Strongly Disagree" and 5 represents "Strongly Agree."</w:t>
      </w:r>
    </w:p>
    <w:p w14:paraId="70798238" w14:textId="77777777" w:rsidR="00E83171" w:rsidRPr="00E83171" w:rsidRDefault="00E83171" w:rsidP="00E83171">
      <w:pPr>
        <w:spacing w:before="100" w:beforeAutospacing="1" w:after="100" w:afterAutospacing="1" w:line="240" w:lineRule="auto"/>
        <w:rPr>
          <w:rFonts w:eastAsia="Times New Roman" w:cs="Times New Roman"/>
          <w:kern w:val="0"/>
          <w:szCs w:val="24"/>
        </w:rPr>
      </w:pPr>
      <w:r w:rsidRPr="00E83171">
        <w:rPr>
          <w:rFonts w:eastAsia="Times New Roman" w:cs="Times New Roman"/>
          <w:kern w:val="0"/>
          <w:szCs w:val="24"/>
        </w:rPr>
        <w:t>The full Likert scale used in the study is as follows:</w:t>
      </w:r>
    </w:p>
    <w:p w14:paraId="00858334" w14:textId="77777777" w:rsidR="00E83171" w:rsidRPr="00E83171" w:rsidRDefault="00E83171" w:rsidP="00E83171">
      <w:pPr>
        <w:numPr>
          <w:ilvl w:val="0"/>
          <w:numId w:val="2"/>
        </w:numPr>
        <w:spacing w:before="100" w:beforeAutospacing="1" w:after="100" w:afterAutospacing="1" w:line="240" w:lineRule="auto"/>
        <w:rPr>
          <w:rFonts w:eastAsia="Times New Roman" w:cs="Times New Roman"/>
          <w:kern w:val="0"/>
          <w:szCs w:val="24"/>
        </w:rPr>
      </w:pPr>
      <w:r w:rsidRPr="00E83171">
        <w:rPr>
          <w:rFonts w:eastAsia="Times New Roman" w:cs="Times New Roman"/>
          <w:b/>
          <w:bCs/>
          <w:kern w:val="0"/>
          <w:szCs w:val="24"/>
        </w:rPr>
        <w:t>Strongly Disagree</w:t>
      </w:r>
    </w:p>
    <w:p w14:paraId="1D0701E3" w14:textId="77777777" w:rsidR="00E83171" w:rsidRPr="00E83171" w:rsidRDefault="00E83171" w:rsidP="00E83171">
      <w:pPr>
        <w:numPr>
          <w:ilvl w:val="0"/>
          <w:numId w:val="2"/>
        </w:numPr>
        <w:spacing w:before="100" w:beforeAutospacing="1" w:after="100" w:afterAutospacing="1" w:line="240" w:lineRule="auto"/>
        <w:rPr>
          <w:rFonts w:eastAsia="Times New Roman" w:cs="Times New Roman"/>
          <w:kern w:val="0"/>
          <w:szCs w:val="24"/>
        </w:rPr>
      </w:pPr>
      <w:r w:rsidRPr="00E83171">
        <w:rPr>
          <w:rFonts w:eastAsia="Times New Roman" w:cs="Times New Roman"/>
          <w:b/>
          <w:bCs/>
          <w:kern w:val="0"/>
          <w:szCs w:val="24"/>
        </w:rPr>
        <w:t>Disagree</w:t>
      </w:r>
    </w:p>
    <w:p w14:paraId="30E02A73" w14:textId="77777777" w:rsidR="00E83171" w:rsidRPr="00E83171" w:rsidRDefault="00E83171" w:rsidP="00E83171">
      <w:pPr>
        <w:numPr>
          <w:ilvl w:val="0"/>
          <w:numId w:val="2"/>
        </w:numPr>
        <w:spacing w:before="100" w:beforeAutospacing="1" w:after="100" w:afterAutospacing="1" w:line="240" w:lineRule="auto"/>
        <w:rPr>
          <w:rFonts w:eastAsia="Times New Roman" w:cs="Times New Roman"/>
          <w:kern w:val="0"/>
          <w:szCs w:val="24"/>
        </w:rPr>
      </w:pPr>
      <w:r w:rsidRPr="00E83171">
        <w:rPr>
          <w:rFonts w:eastAsia="Times New Roman" w:cs="Times New Roman"/>
          <w:b/>
          <w:bCs/>
          <w:kern w:val="0"/>
          <w:szCs w:val="24"/>
        </w:rPr>
        <w:t>Neutral</w:t>
      </w:r>
    </w:p>
    <w:p w14:paraId="22C9399C" w14:textId="77777777" w:rsidR="00E83171" w:rsidRPr="00E83171" w:rsidRDefault="00E83171" w:rsidP="00E83171">
      <w:pPr>
        <w:numPr>
          <w:ilvl w:val="0"/>
          <w:numId w:val="2"/>
        </w:numPr>
        <w:spacing w:before="100" w:beforeAutospacing="1" w:after="100" w:afterAutospacing="1" w:line="240" w:lineRule="auto"/>
        <w:rPr>
          <w:rFonts w:eastAsia="Times New Roman" w:cs="Times New Roman"/>
          <w:kern w:val="0"/>
          <w:szCs w:val="24"/>
        </w:rPr>
      </w:pPr>
      <w:r w:rsidRPr="00E83171">
        <w:rPr>
          <w:rFonts w:eastAsia="Times New Roman" w:cs="Times New Roman"/>
          <w:b/>
          <w:bCs/>
          <w:kern w:val="0"/>
          <w:szCs w:val="24"/>
        </w:rPr>
        <w:t>Agree</w:t>
      </w:r>
    </w:p>
    <w:p w14:paraId="1CB3DDDE" w14:textId="77777777" w:rsidR="00E83171" w:rsidRPr="00E83171" w:rsidRDefault="00E83171" w:rsidP="00E83171">
      <w:pPr>
        <w:numPr>
          <w:ilvl w:val="0"/>
          <w:numId w:val="2"/>
        </w:numPr>
        <w:spacing w:before="100" w:beforeAutospacing="1" w:after="100" w:afterAutospacing="1" w:line="240" w:lineRule="auto"/>
        <w:rPr>
          <w:rFonts w:eastAsia="Times New Roman" w:cs="Times New Roman"/>
          <w:kern w:val="0"/>
          <w:szCs w:val="24"/>
        </w:rPr>
      </w:pPr>
      <w:r w:rsidRPr="00E83171">
        <w:rPr>
          <w:rFonts w:eastAsia="Times New Roman" w:cs="Times New Roman"/>
          <w:b/>
          <w:bCs/>
          <w:kern w:val="0"/>
          <w:szCs w:val="24"/>
        </w:rPr>
        <w:t>Strongly Agree</w:t>
      </w:r>
    </w:p>
    <w:p w14:paraId="7ACC15F5" w14:textId="72C9EB75" w:rsidR="00E83171" w:rsidRPr="00E83171" w:rsidRDefault="00E83171" w:rsidP="00E83171">
      <w:pPr>
        <w:spacing w:before="100" w:beforeAutospacing="1" w:after="100" w:afterAutospacing="1" w:line="360" w:lineRule="auto"/>
        <w:jc w:val="both"/>
        <w:rPr>
          <w:rFonts w:eastAsia="Times New Roman" w:cs="Times New Roman"/>
          <w:kern w:val="0"/>
          <w:szCs w:val="24"/>
        </w:rPr>
      </w:pPr>
      <w:r w:rsidRPr="00E83171">
        <w:rPr>
          <w:rFonts w:eastAsia="Times New Roman" w:cs="Times New Roman"/>
          <w:kern w:val="0"/>
          <w:szCs w:val="24"/>
        </w:rPr>
        <w:t>This scale allows participants to express varying degrees of agreement or disagreement with the statements provided, capturing nuanced opinions on regulatory compliance and service delivery.</w:t>
      </w:r>
    </w:p>
    <w:p w14:paraId="5455CF23" w14:textId="1435E61F" w:rsidR="006F3AB5" w:rsidRPr="00610639" w:rsidRDefault="006F3AB5" w:rsidP="00610639">
      <w:pPr>
        <w:spacing w:after="200" w:line="360" w:lineRule="auto"/>
        <w:jc w:val="both"/>
        <w:rPr>
          <w:rFonts w:eastAsia="Calibri" w:cs="Times New Roman"/>
          <w:b/>
          <w:iCs/>
          <w:color w:val="000000" w:themeColor="text1"/>
          <w:kern w:val="0"/>
          <w:szCs w:val="24"/>
        </w:rPr>
      </w:pPr>
      <w:r w:rsidRPr="00610639">
        <w:rPr>
          <w:rFonts w:eastAsia="Calibri" w:cs="Times New Roman"/>
          <w:b/>
          <w:iCs/>
          <w:color w:val="000000" w:themeColor="text1"/>
          <w:kern w:val="0"/>
          <w:szCs w:val="24"/>
        </w:rPr>
        <w:t xml:space="preserve">Table </w:t>
      </w:r>
      <w:r w:rsidR="00E83171">
        <w:rPr>
          <w:rFonts w:eastAsia="Calibri" w:cs="Times New Roman"/>
          <w:b/>
          <w:iCs/>
          <w:color w:val="000000" w:themeColor="text1"/>
          <w:kern w:val="0"/>
          <w:szCs w:val="24"/>
        </w:rPr>
        <w:t>5</w:t>
      </w:r>
      <w:r w:rsidRPr="00610639">
        <w:rPr>
          <w:rFonts w:eastAsia="Calibri" w:cs="Times New Roman"/>
          <w:b/>
          <w:iCs/>
          <w:color w:val="000000" w:themeColor="text1"/>
          <w:kern w:val="0"/>
          <w:szCs w:val="24"/>
        </w:rPr>
        <w:t>: Regulatory Compliance and Service Delivery in State – Owned Energy Corporation</w:t>
      </w:r>
      <w:bookmarkEnd w:id="2"/>
    </w:p>
    <w:tbl>
      <w:tblPr>
        <w:tblW w:w="9361"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7093"/>
        <w:gridCol w:w="567"/>
        <w:gridCol w:w="850"/>
        <w:gridCol w:w="851"/>
      </w:tblGrid>
      <w:tr w:rsidR="006F3AB5" w:rsidRPr="00610639" w14:paraId="785027C1" w14:textId="77777777" w:rsidTr="00DB68AA">
        <w:trPr>
          <w:cantSplit/>
        </w:trPr>
        <w:tc>
          <w:tcPr>
            <w:tcW w:w="7093" w:type="dxa"/>
            <w:tcBorders>
              <w:bottom w:val="single" w:sz="4" w:space="0" w:color="auto"/>
            </w:tcBorders>
            <w:shd w:val="clear" w:color="auto" w:fill="FFFFFF"/>
            <w:vAlign w:val="bottom"/>
          </w:tcPr>
          <w:p w14:paraId="7AF848B4" w14:textId="77777777" w:rsidR="006F3AB5" w:rsidRPr="00610639" w:rsidRDefault="006F3AB5" w:rsidP="00610639">
            <w:pPr>
              <w:autoSpaceDE w:val="0"/>
              <w:autoSpaceDN w:val="0"/>
              <w:adjustRightInd w:val="0"/>
              <w:spacing w:after="0" w:line="360" w:lineRule="auto"/>
              <w:jc w:val="both"/>
              <w:rPr>
                <w:rFonts w:cs="Times New Roman"/>
                <w:b/>
                <w:color w:val="000000" w:themeColor="text1"/>
                <w:kern w:val="0"/>
                <w:szCs w:val="24"/>
              </w:rPr>
            </w:pPr>
            <w:r w:rsidRPr="00610639">
              <w:rPr>
                <w:rFonts w:cs="Times New Roman"/>
                <w:b/>
                <w:color w:val="000000" w:themeColor="text1"/>
                <w:kern w:val="0"/>
                <w:szCs w:val="24"/>
              </w:rPr>
              <w:t>Statement</w:t>
            </w:r>
          </w:p>
        </w:tc>
        <w:tc>
          <w:tcPr>
            <w:tcW w:w="567" w:type="dxa"/>
            <w:tcBorders>
              <w:bottom w:val="single" w:sz="4" w:space="0" w:color="auto"/>
            </w:tcBorders>
            <w:shd w:val="clear" w:color="auto" w:fill="FFFFFF"/>
            <w:vAlign w:val="bottom"/>
          </w:tcPr>
          <w:p w14:paraId="220A1D2D" w14:textId="77777777" w:rsidR="006F3AB5" w:rsidRPr="00610639" w:rsidRDefault="006F3AB5" w:rsidP="00610639">
            <w:pPr>
              <w:autoSpaceDE w:val="0"/>
              <w:autoSpaceDN w:val="0"/>
              <w:adjustRightInd w:val="0"/>
              <w:spacing w:after="0" w:line="360" w:lineRule="auto"/>
              <w:ind w:left="60" w:right="60"/>
              <w:jc w:val="both"/>
              <w:rPr>
                <w:rFonts w:cs="Times New Roman"/>
                <w:b/>
                <w:color w:val="000000" w:themeColor="text1"/>
                <w:kern w:val="0"/>
                <w:szCs w:val="24"/>
              </w:rPr>
            </w:pPr>
            <w:r w:rsidRPr="00610639">
              <w:rPr>
                <w:rFonts w:cs="Times New Roman"/>
                <w:b/>
                <w:color w:val="000000" w:themeColor="text1"/>
                <w:kern w:val="0"/>
                <w:szCs w:val="24"/>
              </w:rPr>
              <w:t>N</w:t>
            </w:r>
          </w:p>
        </w:tc>
        <w:tc>
          <w:tcPr>
            <w:tcW w:w="850" w:type="dxa"/>
            <w:tcBorders>
              <w:bottom w:val="single" w:sz="4" w:space="0" w:color="auto"/>
            </w:tcBorders>
            <w:shd w:val="clear" w:color="auto" w:fill="FFFFFF"/>
            <w:vAlign w:val="bottom"/>
          </w:tcPr>
          <w:p w14:paraId="790DFD85" w14:textId="77777777" w:rsidR="006F3AB5" w:rsidRPr="00610639" w:rsidRDefault="006F3AB5" w:rsidP="00610639">
            <w:pPr>
              <w:autoSpaceDE w:val="0"/>
              <w:autoSpaceDN w:val="0"/>
              <w:adjustRightInd w:val="0"/>
              <w:spacing w:after="0" w:line="360" w:lineRule="auto"/>
              <w:ind w:left="60" w:right="60"/>
              <w:jc w:val="both"/>
              <w:rPr>
                <w:rFonts w:cs="Times New Roman"/>
                <w:b/>
                <w:color w:val="000000" w:themeColor="text1"/>
                <w:kern w:val="0"/>
                <w:szCs w:val="24"/>
              </w:rPr>
            </w:pPr>
            <w:r w:rsidRPr="00610639">
              <w:rPr>
                <w:rFonts w:cs="Times New Roman"/>
                <w:b/>
                <w:color w:val="000000" w:themeColor="text1"/>
                <w:kern w:val="0"/>
                <w:szCs w:val="24"/>
              </w:rPr>
              <w:t>Mean</w:t>
            </w:r>
          </w:p>
        </w:tc>
        <w:tc>
          <w:tcPr>
            <w:tcW w:w="851" w:type="dxa"/>
            <w:tcBorders>
              <w:bottom w:val="single" w:sz="4" w:space="0" w:color="auto"/>
            </w:tcBorders>
            <w:shd w:val="clear" w:color="auto" w:fill="FFFFFF"/>
            <w:vAlign w:val="bottom"/>
          </w:tcPr>
          <w:p w14:paraId="28C3BDAC" w14:textId="77777777" w:rsidR="006F3AB5" w:rsidRPr="00610639" w:rsidRDefault="006F3AB5" w:rsidP="00610639">
            <w:pPr>
              <w:autoSpaceDE w:val="0"/>
              <w:autoSpaceDN w:val="0"/>
              <w:adjustRightInd w:val="0"/>
              <w:spacing w:after="0" w:line="360" w:lineRule="auto"/>
              <w:ind w:left="60" w:right="60"/>
              <w:jc w:val="both"/>
              <w:rPr>
                <w:rFonts w:cs="Times New Roman"/>
                <w:b/>
                <w:color w:val="000000" w:themeColor="text1"/>
                <w:kern w:val="0"/>
                <w:szCs w:val="24"/>
              </w:rPr>
            </w:pPr>
            <w:r w:rsidRPr="00610639">
              <w:rPr>
                <w:rFonts w:cs="Times New Roman"/>
                <w:b/>
                <w:color w:val="000000" w:themeColor="text1"/>
                <w:kern w:val="0"/>
                <w:szCs w:val="24"/>
              </w:rPr>
              <w:t>SD</w:t>
            </w:r>
          </w:p>
        </w:tc>
      </w:tr>
      <w:tr w:rsidR="006F3AB5" w:rsidRPr="00610639" w14:paraId="729C14FA" w14:textId="77777777" w:rsidTr="00DB68AA">
        <w:trPr>
          <w:cantSplit/>
        </w:trPr>
        <w:tc>
          <w:tcPr>
            <w:tcW w:w="7093" w:type="dxa"/>
            <w:tcBorders>
              <w:top w:val="single" w:sz="4" w:space="0" w:color="auto"/>
              <w:bottom w:val="nil"/>
            </w:tcBorders>
            <w:shd w:val="clear" w:color="auto" w:fill="auto"/>
          </w:tcPr>
          <w:p w14:paraId="361200C3" w14:textId="77777777" w:rsidR="006F3AB5" w:rsidRPr="00610639" w:rsidRDefault="006F3AB5" w:rsidP="0061149C">
            <w:pPr>
              <w:autoSpaceDE w:val="0"/>
              <w:autoSpaceDN w:val="0"/>
              <w:adjustRightInd w:val="0"/>
              <w:spacing w:after="0" w:line="240" w:lineRule="auto"/>
              <w:ind w:left="60" w:right="60"/>
              <w:jc w:val="both"/>
              <w:rPr>
                <w:rFonts w:cs="Times New Roman"/>
                <w:color w:val="000000" w:themeColor="text1"/>
                <w:kern w:val="0"/>
                <w:szCs w:val="24"/>
              </w:rPr>
            </w:pPr>
            <w:r w:rsidRPr="00610639">
              <w:rPr>
                <w:rFonts w:cs="Times New Roman"/>
                <w:color w:val="000000" w:themeColor="text1"/>
                <w:kern w:val="0"/>
                <w:szCs w:val="24"/>
              </w:rPr>
              <w:t>The company's operations are guided by the relevant laws and regulations in Uganda.</w:t>
            </w:r>
          </w:p>
        </w:tc>
        <w:tc>
          <w:tcPr>
            <w:tcW w:w="567" w:type="dxa"/>
            <w:tcBorders>
              <w:top w:val="single" w:sz="4" w:space="0" w:color="auto"/>
              <w:bottom w:val="nil"/>
            </w:tcBorders>
            <w:shd w:val="clear" w:color="auto" w:fill="auto"/>
          </w:tcPr>
          <w:p w14:paraId="6BB4172C" w14:textId="77777777" w:rsidR="006F3AB5" w:rsidRPr="00610639" w:rsidRDefault="006F3AB5" w:rsidP="0061149C">
            <w:pPr>
              <w:autoSpaceDE w:val="0"/>
              <w:autoSpaceDN w:val="0"/>
              <w:adjustRightInd w:val="0"/>
              <w:spacing w:after="0" w:line="240" w:lineRule="auto"/>
              <w:ind w:left="60" w:right="60"/>
              <w:jc w:val="both"/>
              <w:rPr>
                <w:rFonts w:cs="Times New Roman"/>
                <w:color w:val="000000" w:themeColor="text1"/>
                <w:kern w:val="0"/>
                <w:szCs w:val="24"/>
              </w:rPr>
            </w:pPr>
            <w:r w:rsidRPr="00610639">
              <w:rPr>
                <w:rFonts w:cs="Times New Roman"/>
                <w:color w:val="000000" w:themeColor="text1"/>
                <w:kern w:val="0"/>
                <w:szCs w:val="24"/>
              </w:rPr>
              <w:t>163</w:t>
            </w:r>
          </w:p>
        </w:tc>
        <w:tc>
          <w:tcPr>
            <w:tcW w:w="850" w:type="dxa"/>
            <w:tcBorders>
              <w:top w:val="single" w:sz="4" w:space="0" w:color="auto"/>
              <w:bottom w:val="nil"/>
            </w:tcBorders>
            <w:shd w:val="clear" w:color="auto" w:fill="auto"/>
          </w:tcPr>
          <w:p w14:paraId="76E9E71F" w14:textId="77777777" w:rsidR="006F3AB5" w:rsidRPr="00610639" w:rsidRDefault="006F3AB5" w:rsidP="0061149C">
            <w:pPr>
              <w:autoSpaceDE w:val="0"/>
              <w:autoSpaceDN w:val="0"/>
              <w:adjustRightInd w:val="0"/>
              <w:spacing w:after="0" w:line="240" w:lineRule="auto"/>
              <w:ind w:left="60" w:right="60"/>
              <w:jc w:val="both"/>
              <w:rPr>
                <w:rFonts w:cs="Times New Roman"/>
                <w:color w:val="000000" w:themeColor="text1"/>
                <w:kern w:val="0"/>
                <w:szCs w:val="24"/>
              </w:rPr>
            </w:pPr>
            <w:r w:rsidRPr="00610639">
              <w:rPr>
                <w:rFonts w:cs="Times New Roman"/>
                <w:color w:val="000000" w:themeColor="text1"/>
                <w:kern w:val="0"/>
                <w:szCs w:val="24"/>
              </w:rPr>
              <w:t>3.3190</w:t>
            </w:r>
          </w:p>
        </w:tc>
        <w:tc>
          <w:tcPr>
            <w:tcW w:w="851" w:type="dxa"/>
            <w:tcBorders>
              <w:top w:val="single" w:sz="4" w:space="0" w:color="auto"/>
              <w:bottom w:val="nil"/>
            </w:tcBorders>
            <w:shd w:val="clear" w:color="auto" w:fill="auto"/>
          </w:tcPr>
          <w:p w14:paraId="06547F16" w14:textId="77777777" w:rsidR="006F3AB5" w:rsidRPr="00610639" w:rsidRDefault="006F3AB5" w:rsidP="0061149C">
            <w:pPr>
              <w:autoSpaceDE w:val="0"/>
              <w:autoSpaceDN w:val="0"/>
              <w:adjustRightInd w:val="0"/>
              <w:spacing w:after="0" w:line="240" w:lineRule="auto"/>
              <w:ind w:right="60"/>
              <w:jc w:val="both"/>
              <w:rPr>
                <w:rFonts w:cs="Times New Roman"/>
                <w:color w:val="000000" w:themeColor="text1"/>
                <w:kern w:val="0"/>
                <w:szCs w:val="24"/>
              </w:rPr>
            </w:pPr>
            <w:r w:rsidRPr="00610639">
              <w:rPr>
                <w:rFonts w:cs="Times New Roman"/>
                <w:color w:val="000000" w:themeColor="text1"/>
                <w:kern w:val="0"/>
                <w:szCs w:val="24"/>
              </w:rPr>
              <w:t>1.14237</w:t>
            </w:r>
          </w:p>
        </w:tc>
      </w:tr>
      <w:tr w:rsidR="006F3AB5" w:rsidRPr="00610639" w14:paraId="25799359" w14:textId="77777777" w:rsidTr="00DB68AA">
        <w:trPr>
          <w:cantSplit/>
        </w:trPr>
        <w:tc>
          <w:tcPr>
            <w:tcW w:w="7093" w:type="dxa"/>
            <w:tcBorders>
              <w:top w:val="nil"/>
              <w:bottom w:val="nil"/>
            </w:tcBorders>
            <w:shd w:val="clear" w:color="auto" w:fill="auto"/>
          </w:tcPr>
          <w:p w14:paraId="68DDBE8B" w14:textId="77777777" w:rsidR="006F3AB5" w:rsidRPr="00610639" w:rsidRDefault="006F3AB5" w:rsidP="0061149C">
            <w:pPr>
              <w:autoSpaceDE w:val="0"/>
              <w:autoSpaceDN w:val="0"/>
              <w:adjustRightInd w:val="0"/>
              <w:spacing w:after="0" w:line="240" w:lineRule="auto"/>
              <w:ind w:left="60" w:right="60"/>
              <w:jc w:val="both"/>
              <w:rPr>
                <w:rFonts w:cs="Times New Roman"/>
                <w:color w:val="000000" w:themeColor="text1"/>
                <w:kern w:val="0"/>
                <w:szCs w:val="24"/>
              </w:rPr>
            </w:pPr>
            <w:r w:rsidRPr="00610639">
              <w:rPr>
                <w:rFonts w:cs="Times New Roman"/>
                <w:color w:val="000000" w:themeColor="text1"/>
                <w:kern w:val="0"/>
                <w:szCs w:val="24"/>
              </w:rPr>
              <w:t>The company regularly reviews and updates its policies to ensure compliance with changing laws and regulations.</w:t>
            </w:r>
          </w:p>
        </w:tc>
        <w:tc>
          <w:tcPr>
            <w:tcW w:w="567" w:type="dxa"/>
            <w:tcBorders>
              <w:top w:val="nil"/>
              <w:bottom w:val="nil"/>
            </w:tcBorders>
            <w:shd w:val="clear" w:color="auto" w:fill="auto"/>
          </w:tcPr>
          <w:p w14:paraId="1DE3C0ED" w14:textId="77777777" w:rsidR="006F3AB5" w:rsidRPr="00610639" w:rsidRDefault="006F3AB5" w:rsidP="0061149C">
            <w:pPr>
              <w:autoSpaceDE w:val="0"/>
              <w:autoSpaceDN w:val="0"/>
              <w:adjustRightInd w:val="0"/>
              <w:spacing w:after="0" w:line="240" w:lineRule="auto"/>
              <w:ind w:left="60" w:right="60"/>
              <w:jc w:val="both"/>
              <w:rPr>
                <w:rFonts w:cs="Times New Roman"/>
                <w:color w:val="000000" w:themeColor="text1"/>
                <w:kern w:val="0"/>
                <w:szCs w:val="24"/>
              </w:rPr>
            </w:pPr>
            <w:r w:rsidRPr="00610639">
              <w:rPr>
                <w:rFonts w:cs="Times New Roman"/>
                <w:color w:val="000000" w:themeColor="text1"/>
                <w:kern w:val="0"/>
                <w:szCs w:val="24"/>
              </w:rPr>
              <w:t>163</w:t>
            </w:r>
          </w:p>
        </w:tc>
        <w:tc>
          <w:tcPr>
            <w:tcW w:w="850" w:type="dxa"/>
            <w:tcBorders>
              <w:top w:val="nil"/>
              <w:bottom w:val="nil"/>
            </w:tcBorders>
            <w:shd w:val="clear" w:color="auto" w:fill="auto"/>
          </w:tcPr>
          <w:p w14:paraId="456D0330" w14:textId="77777777" w:rsidR="006F3AB5" w:rsidRPr="00610639" w:rsidRDefault="006F3AB5" w:rsidP="0061149C">
            <w:pPr>
              <w:autoSpaceDE w:val="0"/>
              <w:autoSpaceDN w:val="0"/>
              <w:adjustRightInd w:val="0"/>
              <w:spacing w:after="0" w:line="240" w:lineRule="auto"/>
              <w:ind w:left="60" w:right="60"/>
              <w:jc w:val="both"/>
              <w:rPr>
                <w:rFonts w:cs="Times New Roman"/>
                <w:color w:val="000000" w:themeColor="text1"/>
                <w:kern w:val="0"/>
                <w:szCs w:val="24"/>
              </w:rPr>
            </w:pPr>
            <w:r w:rsidRPr="00610639">
              <w:rPr>
                <w:rFonts w:cs="Times New Roman"/>
                <w:color w:val="000000" w:themeColor="text1"/>
                <w:kern w:val="0"/>
                <w:szCs w:val="24"/>
              </w:rPr>
              <w:t>3.8834</w:t>
            </w:r>
          </w:p>
        </w:tc>
        <w:tc>
          <w:tcPr>
            <w:tcW w:w="851" w:type="dxa"/>
            <w:tcBorders>
              <w:top w:val="nil"/>
              <w:bottom w:val="nil"/>
            </w:tcBorders>
            <w:shd w:val="clear" w:color="auto" w:fill="auto"/>
          </w:tcPr>
          <w:p w14:paraId="02202008" w14:textId="77777777" w:rsidR="006F3AB5" w:rsidRPr="00610639" w:rsidRDefault="006F3AB5" w:rsidP="0061149C">
            <w:pPr>
              <w:autoSpaceDE w:val="0"/>
              <w:autoSpaceDN w:val="0"/>
              <w:adjustRightInd w:val="0"/>
              <w:spacing w:after="0" w:line="240" w:lineRule="auto"/>
              <w:ind w:left="60" w:right="60"/>
              <w:jc w:val="both"/>
              <w:rPr>
                <w:rFonts w:cs="Times New Roman"/>
                <w:color w:val="000000" w:themeColor="text1"/>
                <w:kern w:val="0"/>
                <w:szCs w:val="24"/>
              </w:rPr>
            </w:pPr>
            <w:r w:rsidRPr="00610639">
              <w:rPr>
                <w:rFonts w:cs="Times New Roman"/>
                <w:color w:val="000000" w:themeColor="text1"/>
                <w:kern w:val="0"/>
                <w:szCs w:val="24"/>
              </w:rPr>
              <w:t>.90535</w:t>
            </w:r>
          </w:p>
        </w:tc>
      </w:tr>
      <w:tr w:rsidR="006F3AB5" w:rsidRPr="00610639" w14:paraId="67C8BACB" w14:textId="77777777" w:rsidTr="00DB68AA">
        <w:trPr>
          <w:cantSplit/>
        </w:trPr>
        <w:tc>
          <w:tcPr>
            <w:tcW w:w="7093" w:type="dxa"/>
            <w:tcBorders>
              <w:top w:val="nil"/>
            </w:tcBorders>
            <w:shd w:val="clear" w:color="auto" w:fill="auto"/>
          </w:tcPr>
          <w:p w14:paraId="441678E7" w14:textId="77777777" w:rsidR="006F3AB5" w:rsidRPr="00610639" w:rsidRDefault="006F3AB5" w:rsidP="0061149C">
            <w:pPr>
              <w:autoSpaceDE w:val="0"/>
              <w:autoSpaceDN w:val="0"/>
              <w:adjustRightInd w:val="0"/>
              <w:spacing w:after="0" w:line="240" w:lineRule="auto"/>
              <w:ind w:left="60" w:right="60"/>
              <w:jc w:val="both"/>
              <w:rPr>
                <w:rFonts w:cs="Times New Roman"/>
                <w:color w:val="000000" w:themeColor="text1"/>
                <w:kern w:val="0"/>
                <w:szCs w:val="24"/>
              </w:rPr>
            </w:pPr>
            <w:r w:rsidRPr="00610639">
              <w:rPr>
                <w:rFonts w:cs="Times New Roman"/>
                <w:color w:val="000000" w:themeColor="text1"/>
                <w:kern w:val="0"/>
                <w:szCs w:val="24"/>
              </w:rPr>
              <w:t>The company has a system in place to report and address non-compliance with laws and regulations.</w:t>
            </w:r>
          </w:p>
        </w:tc>
        <w:tc>
          <w:tcPr>
            <w:tcW w:w="567" w:type="dxa"/>
            <w:tcBorders>
              <w:top w:val="nil"/>
            </w:tcBorders>
            <w:shd w:val="clear" w:color="auto" w:fill="auto"/>
          </w:tcPr>
          <w:p w14:paraId="2D290FE9" w14:textId="77777777" w:rsidR="006F3AB5" w:rsidRPr="00610639" w:rsidRDefault="006F3AB5" w:rsidP="0061149C">
            <w:pPr>
              <w:autoSpaceDE w:val="0"/>
              <w:autoSpaceDN w:val="0"/>
              <w:adjustRightInd w:val="0"/>
              <w:spacing w:after="0" w:line="240" w:lineRule="auto"/>
              <w:ind w:left="60" w:right="60"/>
              <w:jc w:val="both"/>
              <w:rPr>
                <w:rFonts w:cs="Times New Roman"/>
                <w:color w:val="000000" w:themeColor="text1"/>
                <w:kern w:val="0"/>
                <w:szCs w:val="24"/>
              </w:rPr>
            </w:pPr>
            <w:r w:rsidRPr="00610639">
              <w:rPr>
                <w:rFonts w:cs="Times New Roman"/>
                <w:color w:val="000000" w:themeColor="text1"/>
                <w:kern w:val="0"/>
                <w:szCs w:val="24"/>
              </w:rPr>
              <w:t>163</w:t>
            </w:r>
          </w:p>
        </w:tc>
        <w:tc>
          <w:tcPr>
            <w:tcW w:w="850" w:type="dxa"/>
            <w:tcBorders>
              <w:top w:val="nil"/>
            </w:tcBorders>
            <w:shd w:val="clear" w:color="auto" w:fill="auto"/>
          </w:tcPr>
          <w:p w14:paraId="1B5416E4" w14:textId="77777777" w:rsidR="006F3AB5" w:rsidRPr="00610639" w:rsidRDefault="006F3AB5" w:rsidP="0061149C">
            <w:pPr>
              <w:autoSpaceDE w:val="0"/>
              <w:autoSpaceDN w:val="0"/>
              <w:adjustRightInd w:val="0"/>
              <w:spacing w:after="0" w:line="240" w:lineRule="auto"/>
              <w:ind w:left="60" w:right="60"/>
              <w:jc w:val="both"/>
              <w:rPr>
                <w:rFonts w:cs="Times New Roman"/>
                <w:color w:val="000000" w:themeColor="text1"/>
                <w:kern w:val="0"/>
                <w:szCs w:val="24"/>
              </w:rPr>
            </w:pPr>
            <w:r w:rsidRPr="00610639">
              <w:rPr>
                <w:rFonts w:cs="Times New Roman"/>
                <w:color w:val="000000" w:themeColor="text1"/>
                <w:kern w:val="0"/>
                <w:szCs w:val="24"/>
              </w:rPr>
              <w:t>3.4601</w:t>
            </w:r>
          </w:p>
        </w:tc>
        <w:tc>
          <w:tcPr>
            <w:tcW w:w="851" w:type="dxa"/>
            <w:tcBorders>
              <w:top w:val="nil"/>
            </w:tcBorders>
            <w:shd w:val="clear" w:color="auto" w:fill="auto"/>
          </w:tcPr>
          <w:p w14:paraId="03FEF9FB" w14:textId="77777777" w:rsidR="006F3AB5" w:rsidRPr="00610639" w:rsidRDefault="006F3AB5" w:rsidP="0061149C">
            <w:pPr>
              <w:autoSpaceDE w:val="0"/>
              <w:autoSpaceDN w:val="0"/>
              <w:adjustRightInd w:val="0"/>
              <w:spacing w:after="0" w:line="240" w:lineRule="auto"/>
              <w:ind w:right="60"/>
              <w:jc w:val="both"/>
              <w:rPr>
                <w:rFonts w:cs="Times New Roman"/>
                <w:color w:val="000000" w:themeColor="text1"/>
                <w:kern w:val="0"/>
                <w:szCs w:val="24"/>
              </w:rPr>
            </w:pPr>
            <w:r w:rsidRPr="00610639">
              <w:rPr>
                <w:rFonts w:cs="Times New Roman"/>
                <w:color w:val="000000" w:themeColor="text1"/>
                <w:kern w:val="0"/>
                <w:szCs w:val="24"/>
              </w:rPr>
              <w:t>1.12352</w:t>
            </w:r>
          </w:p>
        </w:tc>
      </w:tr>
      <w:tr w:rsidR="006F3AB5" w:rsidRPr="00610639" w14:paraId="23552908" w14:textId="77777777" w:rsidTr="00DB68AA">
        <w:trPr>
          <w:cantSplit/>
        </w:trPr>
        <w:tc>
          <w:tcPr>
            <w:tcW w:w="7093" w:type="dxa"/>
            <w:shd w:val="clear" w:color="auto" w:fill="auto"/>
          </w:tcPr>
          <w:p w14:paraId="1AB2E8D2" w14:textId="77777777" w:rsidR="006F3AB5" w:rsidRPr="00610639" w:rsidRDefault="006F3AB5" w:rsidP="0061149C">
            <w:pPr>
              <w:autoSpaceDE w:val="0"/>
              <w:autoSpaceDN w:val="0"/>
              <w:adjustRightInd w:val="0"/>
              <w:spacing w:after="0" w:line="240" w:lineRule="auto"/>
              <w:ind w:left="60" w:right="60"/>
              <w:jc w:val="both"/>
              <w:rPr>
                <w:rFonts w:cs="Times New Roman"/>
                <w:color w:val="000000" w:themeColor="text1"/>
                <w:kern w:val="0"/>
                <w:szCs w:val="24"/>
              </w:rPr>
            </w:pPr>
            <w:r w:rsidRPr="00610639">
              <w:rPr>
                <w:rFonts w:cs="Times New Roman"/>
                <w:color w:val="000000" w:themeColor="text1"/>
                <w:kern w:val="0"/>
                <w:szCs w:val="24"/>
              </w:rPr>
              <w:t>The company's leadership prioritizes regulatory compliance.</w:t>
            </w:r>
          </w:p>
        </w:tc>
        <w:tc>
          <w:tcPr>
            <w:tcW w:w="567" w:type="dxa"/>
            <w:shd w:val="clear" w:color="auto" w:fill="auto"/>
          </w:tcPr>
          <w:p w14:paraId="5C9A896B" w14:textId="77777777" w:rsidR="006F3AB5" w:rsidRPr="00610639" w:rsidRDefault="006F3AB5" w:rsidP="0061149C">
            <w:pPr>
              <w:autoSpaceDE w:val="0"/>
              <w:autoSpaceDN w:val="0"/>
              <w:adjustRightInd w:val="0"/>
              <w:spacing w:after="0" w:line="240" w:lineRule="auto"/>
              <w:ind w:left="60" w:right="60"/>
              <w:jc w:val="both"/>
              <w:rPr>
                <w:rFonts w:cs="Times New Roman"/>
                <w:color w:val="000000" w:themeColor="text1"/>
                <w:kern w:val="0"/>
                <w:szCs w:val="24"/>
              </w:rPr>
            </w:pPr>
            <w:r w:rsidRPr="00610639">
              <w:rPr>
                <w:rFonts w:cs="Times New Roman"/>
                <w:color w:val="000000" w:themeColor="text1"/>
                <w:kern w:val="0"/>
                <w:szCs w:val="24"/>
              </w:rPr>
              <w:t>163</w:t>
            </w:r>
          </w:p>
        </w:tc>
        <w:tc>
          <w:tcPr>
            <w:tcW w:w="850" w:type="dxa"/>
            <w:shd w:val="clear" w:color="auto" w:fill="auto"/>
          </w:tcPr>
          <w:p w14:paraId="2F96B280" w14:textId="77777777" w:rsidR="006F3AB5" w:rsidRPr="00610639" w:rsidRDefault="006F3AB5" w:rsidP="0061149C">
            <w:pPr>
              <w:autoSpaceDE w:val="0"/>
              <w:autoSpaceDN w:val="0"/>
              <w:adjustRightInd w:val="0"/>
              <w:spacing w:after="0" w:line="240" w:lineRule="auto"/>
              <w:ind w:left="60" w:right="60"/>
              <w:jc w:val="both"/>
              <w:rPr>
                <w:rFonts w:cs="Times New Roman"/>
                <w:color w:val="000000" w:themeColor="text1"/>
                <w:kern w:val="0"/>
                <w:szCs w:val="24"/>
              </w:rPr>
            </w:pPr>
            <w:r w:rsidRPr="00610639">
              <w:rPr>
                <w:rFonts w:cs="Times New Roman"/>
                <w:color w:val="000000" w:themeColor="text1"/>
                <w:kern w:val="0"/>
                <w:szCs w:val="24"/>
              </w:rPr>
              <w:t>3.6564</w:t>
            </w:r>
          </w:p>
        </w:tc>
        <w:tc>
          <w:tcPr>
            <w:tcW w:w="851" w:type="dxa"/>
            <w:shd w:val="clear" w:color="auto" w:fill="auto"/>
          </w:tcPr>
          <w:p w14:paraId="434AB02B" w14:textId="77777777" w:rsidR="006F3AB5" w:rsidRPr="00610639" w:rsidRDefault="006F3AB5" w:rsidP="0061149C">
            <w:pPr>
              <w:autoSpaceDE w:val="0"/>
              <w:autoSpaceDN w:val="0"/>
              <w:adjustRightInd w:val="0"/>
              <w:spacing w:after="0" w:line="240" w:lineRule="auto"/>
              <w:ind w:right="60"/>
              <w:jc w:val="both"/>
              <w:rPr>
                <w:rFonts w:cs="Times New Roman"/>
                <w:color w:val="000000" w:themeColor="text1"/>
                <w:kern w:val="0"/>
                <w:szCs w:val="24"/>
              </w:rPr>
            </w:pPr>
            <w:r w:rsidRPr="00610639">
              <w:rPr>
                <w:rFonts w:cs="Times New Roman"/>
                <w:color w:val="000000" w:themeColor="text1"/>
                <w:kern w:val="0"/>
                <w:szCs w:val="24"/>
              </w:rPr>
              <w:t>1.10766</w:t>
            </w:r>
          </w:p>
        </w:tc>
      </w:tr>
      <w:tr w:rsidR="006F3AB5" w:rsidRPr="00610639" w14:paraId="78DE5E56" w14:textId="77777777" w:rsidTr="00DB68AA">
        <w:trPr>
          <w:cantSplit/>
        </w:trPr>
        <w:tc>
          <w:tcPr>
            <w:tcW w:w="7093" w:type="dxa"/>
            <w:shd w:val="clear" w:color="auto" w:fill="auto"/>
          </w:tcPr>
          <w:p w14:paraId="1513CF5B" w14:textId="77777777" w:rsidR="006F3AB5" w:rsidRPr="00610639" w:rsidRDefault="006F3AB5" w:rsidP="0061149C">
            <w:pPr>
              <w:autoSpaceDE w:val="0"/>
              <w:autoSpaceDN w:val="0"/>
              <w:adjustRightInd w:val="0"/>
              <w:spacing w:after="0" w:line="240" w:lineRule="auto"/>
              <w:ind w:left="60" w:right="60"/>
              <w:jc w:val="both"/>
              <w:rPr>
                <w:rFonts w:cs="Times New Roman"/>
                <w:color w:val="000000" w:themeColor="text1"/>
                <w:kern w:val="0"/>
                <w:szCs w:val="24"/>
              </w:rPr>
            </w:pPr>
            <w:r w:rsidRPr="00610639">
              <w:rPr>
                <w:rFonts w:cs="Times New Roman"/>
                <w:color w:val="000000" w:themeColor="text1"/>
                <w:kern w:val="0"/>
                <w:szCs w:val="24"/>
              </w:rPr>
              <w:t>The company's employees are aware of the laws and regulations governing their work.</w:t>
            </w:r>
          </w:p>
        </w:tc>
        <w:tc>
          <w:tcPr>
            <w:tcW w:w="567" w:type="dxa"/>
            <w:shd w:val="clear" w:color="auto" w:fill="auto"/>
          </w:tcPr>
          <w:p w14:paraId="3406996C" w14:textId="77777777" w:rsidR="006F3AB5" w:rsidRPr="00610639" w:rsidRDefault="006F3AB5" w:rsidP="0061149C">
            <w:pPr>
              <w:autoSpaceDE w:val="0"/>
              <w:autoSpaceDN w:val="0"/>
              <w:adjustRightInd w:val="0"/>
              <w:spacing w:after="0" w:line="240" w:lineRule="auto"/>
              <w:ind w:left="60" w:right="60"/>
              <w:jc w:val="both"/>
              <w:rPr>
                <w:rFonts w:cs="Times New Roman"/>
                <w:color w:val="000000" w:themeColor="text1"/>
                <w:kern w:val="0"/>
                <w:szCs w:val="24"/>
              </w:rPr>
            </w:pPr>
            <w:r w:rsidRPr="00610639">
              <w:rPr>
                <w:rFonts w:cs="Times New Roman"/>
                <w:color w:val="000000" w:themeColor="text1"/>
                <w:kern w:val="0"/>
                <w:szCs w:val="24"/>
              </w:rPr>
              <w:t>163</w:t>
            </w:r>
          </w:p>
        </w:tc>
        <w:tc>
          <w:tcPr>
            <w:tcW w:w="850" w:type="dxa"/>
            <w:shd w:val="clear" w:color="auto" w:fill="auto"/>
          </w:tcPr>
          <w:p w14:paraId="7C388305" w14:textId="77777777" w:rsidR="006F3AB5" w:rsidRPr="00610639" w:rsidRDefault="006F3AB5" w:rsidP="0061149C">
            <w:pPr>
              <w:autoSpaceDE w:val="0"/>
              <w:autoSpaceDN w:val="0"/>
              <w:adjustRightInd w:val="0"/>
              <w:spacing w:after="0" w:line="240" w:lineRule="auto"/>
              <w:ind w:left="60" w:right="60"/>
              <w:jc w:val="both"/>
              <w:rPr>
                <w:rFonts w:cs="Times New Roman"/>
                <w:color w:val="000000" w:themeColor="text1"/>
                <w:kern w:val="0"/>
                <w:szCs w:val="24"/>
              </w:rPr>
            </w:pPr>
            <w:r w:rsidRPr="00610639">
              <w:rPr>
                <w:rFonts w:cs="Times New Roman"/>
                <w:color w:val="000000" w:themeColor="text1"/>
                <w:kern w:val="0"/>
                <w:szCs w:val="24"/>
              </w:rPr>
              <w:t>3.4969</w:t>
            </w:r>
          </w:p>
        </w:tc>
        <w:tc>
          <w:tcPr>
            <w:tcW w:w="851" w:type="dxa"/>
            <w:shd w:val="clear" w:color="auto" w:fill="auto"/>
          </w:tcPr>
          <w:p w14:paraId="1F075F43" w14:textId="77777777" w:rsidR="006F3AB5" w:rsidRPr="00610639" w:rsidRDefault="006F3AB5" w:rsidP="0061149C">
            <w:pPr>
              <w:autoSpaceDE w:val="0"/>
              <w:autoSpaceDN w:val="0"/>
              <w:adjustRightInd w:val="0"/>
              <w:spacing w:after="0" w:line="240" w:lineRule="auto"/>
              <w:ind w:right="60"/>
              <w:jc w:val="both"/>
              <w:rPr>
                <w:rFonts w:cs="Times New Roman"/>
                <w:color w:val="000000" w:themeColor="text1"/>
                <w:kern w:val="0"/>
                <w:szCs w:val="24"/>
              </w:rPr>
            </w:pPr>
            <w:r w:rsidRPr="00610639">
              <w:rPr>
                <w:rFonts w:cs="Times New Roman"/>
                <w:color w:val="000000" w:themeColor="text1"/>
                <w:kern w:val="0"/>
                <w:szCs w:val="24"/>
              </w:rPr>
              <w:t>1.10763</w:t>
            </w:r>
          </w:p>
        </w:tc>
      </w:tr>
      <w:tr w:rsidR="006F3AB5" w:rsidRPr="00610639" w14:paraId="072E2B60" w14:textId="77777777" w:rsidTr="00DB68AA">
        <w:trPr>
          <w:cantSplit/>
        </w:trPr>
        <w:tc>
          <w:tcPr>
            <w:tcW w:w="7093" w:type="dxa"/>
            <w:shd w:val="clear" w:color="auto" w:fill="auto"/>
          </w:tcPr>
          <w:p w14:paraId="05D5F0A6" w14:textId="77777777" w:rsidR="006F3AB5" w:rsidRPr="00610639" w:rsidRDefault="006F3AB5" w:rsidP="0061149C">
            <w:pPr>
              <w:autoSpaceDE w:val="0"/>
              <w:autoSpaceDN w:val="0"/>
              <w:adjustRightInd w:val="0"/>
              <w:spacing w:after="0" w:line="240" w:lineRule="auto"/>
              <w:ind w:left="60" w:right="60"/>
              <w:jc w:val="both"/>
              <w:rPr>
                <w:rFonts w:cs="Times New Roman"/>
                <w:color w:val="000000" w:themeColor="text1"/>
                <w:kern w:val="0"/>
                <w:szCs w:val="24"/>
              </w:rPr>
            </w:pPr>
            <w:r w:rsidRPr="00610639">
              <w:rPr>
                <w:rFonts w:cs="Times New Roman"/>
                <w:color w:val="000000" w:themeColor="text1"/>
                <w:kern w:val="0"/>
                <w:szCs w:val="24"/>
              </w:rPr>
              <w:lastRenderedPageBreak/>
              <w:t>I am aware of the regulations set by the Electricity Regulatory Authority (ERA) that apply to my work.</w:t>
            </w:r>
          </w:p>
        </w:tc>
        <w:tc>
          <w:tcPr>
            <w:tcW w:w="567" w:type="dxa"/>
            <w:shd w:val="clear" w:color="auto" w:fill="auto"/>
          </w:tcPr>
          <w:p w14:paraId="7B7DB6E4" w14:textId="77777777" w:rsidR="006F3AB5" w:rsidRPr="00610639" w:rsidRDefault="006F3AB5" w:rsidP="0061149C">
            <w:pPr>
              <w:autoSpaceDE w:val="0"/>
              <w:autoSpaceDN w:val="0"/>
              <w:adjustRightInd w:val="0"/>
              <w:spacing w:after="0" w:line="240" w:lineRule="auto"/>
              <w:ind w:left="60" w:right="60"/>
              <w:jc w:val="both"/>
              <w:rPr>
                <w:rFonts w:cs="Times New Roman"/>
                <w:color w:val="000000" w:themeColor="text1"/>
                <w:kern w:val="0"/>
                <w:szCs w:val="24"/>
              </w:rPr>
            </w:pPr>
            <w:r w:rsidRPr="00610639">
              <w:rPr>
                <w:rFonts w:cs="Times New Roman"/>
                <w:color w:val="000000" w:themeColor="text1"/>
                <w:kern w:val="0"/>
                <w:szCs w:val="24"/>
              </w:rPr>
              <w:t>163</w:t>
            </w:r>
          </w:p>
        </w:tc>
        <w:tc>
          <w:tcPr>
            <w:tcW w:w="850" w:type="dxa"/>
            <w:shd w:val="clear" w:color="auto" w:fill="auto"/>
          </w:tcPr>
          <w:p w14:paraId="20DE3793" w14:textId="77777777" w:rsidR="006F3AB5" w:rsidRPr="00610639" w:rsidRDefault="006F3AB5" w:rsidP="0061149C">
            <w:pPr>
              <w:autoSpaceDE w:val="0"/>
              <w:autoSpaceDN w:val="0"/>
              <w:adjustRightInd w:val="0"/>
              <w:spacing w:after="0" w:line="240" w:lineRule="auto"/>
              <w:ind w:left="60" w:right="60"/>
              <w:jc w:val="both"/>
              <w:rPr>
                <w:rFonts w:cs="Times New Roman"/>
                <w:color w:val="000000" w:themeColor="text1"/>
                <w:kern w:val="0"/>
                <w:szCs w:val="24"/>
              </w:rPr>
            </w:pPr>
            <w:r w:rsidRPr="00610639">
              <w:rPr>
                <w:rFonts w:cs="Times New Roman"/>
                <w:color w:val="000000" w:themeColor="text1"/>
                <w:kern w:val="0"/>
                <w:szCs w:val="24"/>
              </w:rPr>
              <w:t>3.5215</w:t>
            </w:r>
          </w:p>
        </w:tc>
        <w:tc>
          <w:tcPr>
            <w:tcW w:w="851" w:type="dxa"/>
            <w:shd w:val="clear" w:color="auto" w:fill="auto"/>
          </w:tcPr>
          <w:p w14:paraId="0806C7DD" w14:textId="77777777" w:rsidR="006F3AB5" w:rsidRPr="00610639" w:rsidRDefault="006F3AB5" w:rsidP="0061149C">
            <w:pPr>
              <w:autoSpaceDE w:val="0"/>
              <w:autoSpaceDN w:val="0"/>
              <w:adjustRightInd w:val="0"/>
              <w:spacing w:after="0" w:line="240" w:lineRule="auto"/>
              <w:ind w:right="60"/>
              <w:jc w:val="both"/>
              <w:rPr>
                <w:rFonts w:cs="Times New Roman"/>
                <w:color w:val="000000" w:themeColor="text1"/>
                <w:kern w:val="0"/>
                <w:szCs w:val="24"/>
              </w:rPr>
            </w:pPr>
            <w:r w:rsidRPr="00610639">
              <w:rPr>
                <w:rFonts w:cs="Times New Roman"/>
                <w:color w:val="000000" w:themeColor="text1"/>
                <w:kern w:val="0"/>
                <w:szCs w:val="24"/>
              </w:rPr>
              <w:t>1.18289</w:t>
            </w:r>
          </w:p>
        </w:tc>
      </w:tr>
      <w:tr w:rsidR="006F3AB5" w:rsidRPr="00610639" w14:paraId="159AC04A" w14:textId="77777777" w:rsidTr="00DB68AA">
        <w:trPr>
          <w:cantSplit/>
        </w:trPr>
        <w:tc>
          <w:tcPr>
            <w:tcW w:w="7093" w:type="dxa"/>
            <w:shd w:val="clear" w:color="auto" w:fill="auto"/>
          </w:tcPr>
          <w:p w14:paraId="1142BD4C" w14:textId="77777777" w:rsidR="006F3AB5" w:rsidRPr="00610639" w:rsidRDefault="006F3AB5" w:rsidP="0061149C">
            <w:pPr>
              <w:autoSpaceDE w:val="0"/>
              <w:autoSpaceDN w:val="0"/>
              <w:adjustRightInd w:val="0"/>
              <w:spacing w:after="0" w:line="240" w:lineRule="auto"/>
              <w:ind w:left="60" w:right="60"/>
              <w:jc w:val="both"/>
              <w:rPr>
                <w:rFonts w:cs="Times New Roman"/>
                <w:color w:val="000000" w:themeColor="text1"/>
                <w:kern w:val="0"/>
                <w:szCs w:val="24"/>
              </w:rPr>
            </w:pPr>
            <w:r w:rsidRPr="00610639">
              <w:rPr>
                <w:rFonts w:cs="Times New Roman"/>
                <w:color w:val="000000" w:themeColor="text1"/>
                <w:kern w:val="0"/>
                <w:szCs w:val="24"/>
              </w:rPr>
              <w:t>I have received training from the company on regulatory compliance requirements set by ERA.</w:t>
            </w:r>
          </w:p>
        </w:tc>
        <w:tc>
          <w:tcPr>
            <w:tcW w:w="567" w:type="dxa"/>
            <w:shd w:val="clear" w:color="auto" w:fill="auto"/>
          </w:tcPr>
          <w:p w14:paraId="4864C1A9" w14:textId="77777777" w:rsidR="006F3AB5" w:rsidRPr="00610639" w:rsidRDefault="006F3AB5" w:rsidP="0061149C">
            <w:pPr>
              <w:autoSpaceDE w:val="0"/>
              <w:autoSpaceDN w:val="0"/>
              <w:adjustRightInd w:val="0"/>
              <w:spacing w:after="0" w:line="240" w:lineRule="auto"/>
              <w:ind w:left="60" w:right="60"/>
              <w:jc w:val="both"/>
              <w:rPr>
                <w:rFonts w:cs="Times New Roman"/>
                <w:color w:val="000000" w:themeColor="text1"/>
                <w:kern w:val="0"/>
                <w:szCs w:val="24"/>
              </w:rPr>
            </w:pPr>
            <w:r w:rsidRPr="00610639">
              <w:rPr>
                <w:rFonts w:cs="Times New Roman"/>
                <w:color w:val="000000" w:themeColor="text1"/>
                <w:kern w:val="0"/>
                <w:szCs w:val="24"/>
              </w:rPr>
              <w:t>163</w:t>
            </w:r>
          </w:p>
        </w:tc>
        <w:tc>
          <w:tcPr>
            <w:tcW w:w="850" w:type="dxa"/>
            <w:shd w:val="clear" w:color="auto" w:fill="auto"/>
          </w:tcPr>
          <w:p w14:paraId="5C663AF2" w14:textId="77777777" w:rsidR="006F3AB5" w:rsidRPr="00610639" w:rsidRDefault="006F3AB5" w:rsidP="0061149C">
            <w:pPr>
              <w:autoSpaceDE w:val="0"/>
              <w:autoSpaceDN w:val="0"/>
              <w:adjustRightInd w:val="0"/>
              <w:spacing w:after="0" w:line="240" w:lineRule="auto"/>
              <w:ind w:left="60" w:right="60"/>
              <w:jc w:val="both"/>
              <w:rPr>
                <w:rFonts w:cs="Times New Roman"/>
                <w:color w:val="000000" w:themeColor="text1"/>
                <w:kern w:val="0"/>
                <w:szCs w:val="24"/>
              </w:rPr>
            </w:pPr>
            <w:r w:rsidRPr="00610639">
              <w:rPr>
                <w:rFonts w:cs="Times New Roman"/>
                <w:color w:val="000000" w:themeColor="text1"/>
                <w:kern w:val="0"/>
                <w:szCs w:val="24"/>
              </w:rPr>
              <w:t>3.4049</w:t>
            </w:r>
          </w:p>
        </w:tc>
        <w:tc>
          <w:tcPr>
            <w:tcW w:w="851" w:type="dxa"/>
            <w:shd w:val="clear" w:color="auto" w:fill="auto"/>
          </w:tcPr>
          <w:p w14:paraId="58F04BDA" w14:textId="77777777" w:rsidR="006F3AB5" w:rsidRPr="00610639" w:rsidRDefault="006F3AB5" w:rsidP="0061149C">
            <w:pPr>
              <w:autoSpaceDE w:val="0"/>
              <w:autoSpaceDN w:val="0"/>
              <w:adjustRightInd w:val="0"/>
              <w:spacing w:after="0" w:line="240" w:lineRule="auto"/>
              <w:ind w:right="60"/>
              <w:jc w:val="both"/>
              <w:rPr>
                <w:rFonts w:cs="Times New Roman"/>
                <w:color w:val="000000" w:themeColor="text1"/>
                <w:kern w:val="0"/>
                <w:szCs w:val="24"/>
              </w:rPr>
            </w:pPr>
            <w:r w:rsidRPr="00610639">
              <w:rPr>
                <w:rFonts w:cs="Times New Roman"/>
                <w:color w:val="000000" w:themeColor="text1"/>
                <w:kern w:val="0"/>
                <w:szCs w:val="24"/>
              </w:rPr>
              <w:t>1.05782</w:t>
            </w:r>
          </w:p>
        </w:tc>
      </w:tr>
      <w:tr w:rsidR="006F3AB5" w:rsidRPr="00610639" w14:paraId="570845C6" w14:textId="77777777" w:rsidTr="00DB68AA">
        <w:trPr>
          <w:cantSplit/>
        </w:trPr>
        <w:tc>
          <w:tcPr>
            <w:tcW w:w="7093" w:type="dxa"/>
            <w:shd w:val="clear" w:color="auto" w:fill="auto"/>
          </w:tcPr>
          <w:p w14:paraId="6CCFA568" w14:textId="77777777" w:rsidR="006F3AB5" w:rsidRPr="00610639" w:rsidRDefault="006F3AB5" w:rsidP="0061149C">
            <w:pPr>
              <w:autoSpaceDE w:val="0"/>
              <w:autoSpaceDN w:val="0"/>
              <w:adjustRightInd w:val="0"/>
              <w:spacing w:after="0" w:line="240" w:lineRule="auto"/>
              <w:ind w:left="60" w:right="60"/>
              <w:jc w:val="both"/>
              <w:rPr>
                <w:rFonts w:cs="Times New Roman"/>
                <w:color w:val="000000" w:themeColor="text1"/>
                <w:kern w:val="0"/>
                <w:szCs w:val="24"/>
              </w:rPr>
            </w:pPr>
            <w:r w:rsidRPr="00610639">
              <w:rPr>
                <w:rFonts w:cs="Times New Roman"/>
                <w:color w:val="000000" w:themeColor="text1"/>
                <w:kern w:val="0"/>
                <w:szCs w:val="24"/>
              </w:rPr>
              <w:t>I regularly interact with ERA officials to ensure compliance with regulatory requirements.</w:t>
            </w:r>
          </w:p>
        </w:tc>
        <w:tc>
          <w:tcPr>
            <w:tcW w:w="567" w:type="dxa"/>
            <w:shd w:val="clear" w:color="auto" w:fill="auto"/>
          </w:tcPr>
          <w:p w14:paraId="75096E67" w14:textId="77777777" w:rsidR="006F3AB5" w:rsidRPr="00610639" w:rsidRDefault="006F3AB5" w:rsidP="0061149C">
            <w:pPr>
              <w:autoSpaceDE w:val="0"/>
              <w:autoSpaceDN w:val="0"/>
              <w:adjustRightInd w:val="0"/>
              <w:spacing w:after="0" w:line="240" w:lineRule="auto"/>
              <w:ind w:left="60" w:right="60"/>
              <w:jc w:val="both"/>
              <w:rPr>
                <w:rFonts w:cs="Times New Roman"/>
                <w:color w:val="000000" w:themeColor="text1"/>
                <w:kern w:val="0"/>
                <w:szCs w:val="24"/>
              </w:rPr>
            </w:pPr>
            <w:r w:rsidRPr="00610639">
              <w:rPr>
                <w:rFonts w:cs="Times New Roman"/>
                <w:color w:val="000000" w:themeColor="text1"/>
                <w:kern w:val="0"/>
                <w:szCs w:val="24"/>
              </w:rPr>
              <w:t>163</w:t>
            </w:r>
          </w:p>
        </w:tc>
        <w:tc>
          <w:tcPr>
            <w:tcW w:w="850" w:type="dxa"/>
            <w:shd w:val="clear" w:color="auto" w:fill="auto"/>
          </w:tcPr>
          <w:p w14:paraId="05DD6DB7" w14:textId="77777777" w:rsidR="006F3AB5" w:rsidRPr="00610639" w:rsidRDefault="006F3AB5" w:rsidP="0061149C">
            <w:pPr>
              <w:autoSpaceDE w:val="0"/>
              <w:autoSpaceDN w:val="0"/>
              <w:adjustRightInd w:val="0"/>
              <w:spacing w:after="0" w:line="240" w:lineRule="auto"/>
              <w:ind w:left="60" w:right="60"/>
              <w:jc w:val="both"/>
              <w:rPr>
                <w:rFonts w:cs="Times New Roman"/>
                <w:color w:val="000000" w:themeColor="text1"/>
                <w:kern w:val="0"/>
                <w:szCs w:val="24"/>
              </w:rPr>
            </w:pPr>
            <w:r w:rsidRPr="00610639">
              <w:rPr>
                <w:rFonts w:cs="Times New Roman"/>
                <w:color w:val="000000" w:themeColor="text1"/>
                <w:kern w:val="0"/>
                <w:szCs w:val="24"/>
              </w:rPr>
              <w:t>3.1718</w:t>
            </w:r>
          </w:p>
        </w:tc>
        <w:tc>
          <w:tcPr>
            <w:tcW w:w="851" w:type="dxa"/>
            <w:shd w:val="clear" w:color="auto" w:fill="auto"/>
          </w:tcPr>
          <w:p w14:paraId="1AC6C88B" w14:textId="77777777" w:rsidR="006F3AB5" w:rsidRPr="00610639" w:rsidRDefault="006F3AB5" w:rsidP="0061149C">
            <w:pPr>
              <w:autoSpaceDE w:val="0"/>
              <w:autoSpaceDN w:val="0"/>
              <w:adjustRightInd w:val="0"/>
              <w:spacing w:after="0" w:line="240" w:lineRule="auto"/>
              <w:ind w:right="60"/>
              <w:jc w:val="both"/>
              <w:rPr>
                <w:rFonts w:cs="Times New Roman"/>
                <w:color w:val="000000" w:themeColor="text1"/>
                <w:kern w:val="0"/>
                <w:szCs w:val="24"/>
              </w:rPr>
            </w:pPr>
            <w:r w:rsidRPr="00610639">
              <w:rPr>
                <w:rFonts w:cs="Times New Roman"/>
                <w:color w:val="000000" w:themeColor="text1"/>
                <w:kern w:val="0"/>
                <w:szCs w:val="24"/>
              </w:rPr>
              <w:t>1.09203</w:t>
            </w:r>
          </w:p>
        </w:tc>
      </w:tr>
      <w:tr w:rsidR="006F3AB5" w:rsidRPr="00610639" w14:paraId="13A7484D" w14:textId="77777777" w:rsidTr="00DB68AA">
        <w:trPr>
          <w:cantSplit/>
        </w:trPr>
        <w:tc>
          <w:tcPr>
            <w:tcW w:w="7093" w:type="dxa"/>
            <w:shd w:val="clear" w:color="auto" w:fill="auto"/>
          </w:tcPr>
          <w:p w14:paraId="7369AF7E" w14:textId="77777777" w:rsidR="006F3AB5" w:rsidRPr="00610639" w:rsidRDefault="006F3AB5" w:rsidP="0061149C">
            <w:pPr>
              <w:autoSpaceDE w:val="0"/>
              <w:autoSpaceDN w:val="0"/>
              <w:adjustRightInd w:val="0"/>
              <w:spacing w:after="0" w:line="240" w:lineRule="auto"/>
              <w:ind w:left="60" w:right="60"/>
              <w:jc w:val="both"/>
              <w:rPr>
                <w:rFonts w:cs="Times New Roman"/>
                <w:color w:val="000000" w:themeColor="text1"/>
                <w:kern w:val="0"/>
                <w:szCs w:val="24"/>
              </w:rPr>
            </w:pPr>
            <w:r w:rsidRPr="00610639">
              <w:rPr>
                <w:rFonts w:cs="Times New Roman"/>
                <w:color w:val="000000" w:themeColor="text1"/>
                <w:kern w:val="0"/>
                <w:szCs w:val="24"/>
              </w:rPr>
              <w:t>The company encourages employees to report any regulatory non-compliance to ERA.</w:t>
            </w:r>
          </w:p>
        </w:tc>
        <w:tc>
          <w:tcPr>
            <w:tcW w:w="567" w:type="dxa"/>
            <w:shd w:val="clear" w:color="auto" w:fill="auto"/>
          </w:tcPr>
          <w:p w14:paraId="387E6A90" w14:textId="77777777" w:rsidR="006F3AB5" w:rsidRPr="00610639" w:rsidRDefault="006F3AB5" w:rsidP="0061149C">
            <w:pPr>
              <w:autoSpaceDE w:val="0"/>
              <w:autoSpaceDN w:val="0"/>
              <w:adjustRightInd w:val="0"/>
              <w:spacing w:after="0" w:line="240" w:lineRule="auto"/>
              <w:ind w:left="60" w:right="60"/>
              <w:jc w:val="both"/>
              <w:rPr>
                <w:rFonts w:cs="Times New Roman"/>
                <w:color w:val="000000" w:themeColor="text1"/>
                <w:kern w:val="0"/>
                <w:szCs w:val="24"/>
              </w:rPr>
            </w:pPr>
            <w:r w:rsidRPr="00610639">
              <w:rPr>
                <w:rFonts w:cs="Times New Roman"/>
                <w:color w:val="000000" w:themeColor="text1"/>
                <w:kern w:val="0"/>
                <w:szCs w:val="24"/>
              </w:rPr>
              <w:t>163</w:t>
            </w:r>
          </w:p>
        </w:tc>
        <w:tc>
          <w:tcPr>
            <w:tcW w:w="850" w:type="dxa"/>
            <w:shd w:val="clear" w:color="auto" w:fill="auto"/>
          </w:tcPr>
          <w:p w14:paraId="64CADE77" w14:textId="77777777" w:rsidR="006F3AB5" w:rsidRPr="00610639" w:rsidRDefault="006F3AB5" w:rsidP="0061149C">
            <w:pPr>
              <w:autoSpaceDE w:val="0"/>
              <w:autoSpaceDN w:val="0"/>
              <w:adjustRightInd w:val="0"/>
              <w:spacing w:after="0" w:line="240" w:lineRule="auto"/>
              <w:ind w:left="60" w:right="60"/>
              <w:jc w:val="both"/>
              <w:rPr>
                <w:rFonts w:cs="Times New Roman"/>
                <w:color w:val="000000" w:themeColor="text1"/>
                <w:kern w:val="0"/>
                <w:szCs w:val="24"/>
              </w:rPr>
            </w:pPr>
            <w:r w:rsidRPr="00610639">
              <w:rPr>
                <w:rFonts w:cs="Times New Roman"/>
                <w:color w:val="000000" w:themeColor="text1"/>
                <w:kern w:val="0"/>
                <w:szCs w:val="24"/>
              </w:rPr>
              <w:t>2.7546</w:t>
            </w:r>
          </w:p>
        </w:tc>
        <w:tc>
          <w:tcPr>
            <w:tcW w:w="851" w:type="dxa"/>
            <w:shd w:val="clear" w:color="auto" w:fill="auto"/>
          </w:tcPr>
          <w:p w14:paraId="55C5785C" w14:textId="77777777" w:rsidR="006F3AB5" w:rsidRPr="00610639" w:rsidRDefault="006F3AB5" w:rsidP="0061149C">
            <w:pPr>
              <w:autoSpaceDE w:val="0"/>
              <w:autoSpaceDN w:val="0"/>
              <w:adjustRightInd w:val="0"/>
              <w:spacing w:after="0" w:line="240" w:lineRule="auto"/>
              <w:ind w:right="60"/>
              <w:jc w:val="both"/>
              <w:rPr>
                <w:rFonts w:cs="Times New Roman"/>
                <w:color w:val="000000" w:themeColor="text1"/>
                <w:kern w:val="0"/>
                <w:szCs w:val="24"/>
              </w:rPr>
            </w:pPr>
            <w:r w:rsidRPr="00610639">
              <w:rPr>
                <w:rFonts w:cs="Times New Roman"/>
                <w:color w:val="000000" w:themeColor="text1"/>
                <w:kern w:val="0"/>
                <w:szCs w:val="24"/>
              </w:rPr>
              <w:t>1.23774</w:t>
            </w:r>
          </w:p>
        </w:tc>
      </w:tr>
      <w:tr w:rsidR="006F3AB5" w:rsidRPr="00610639" w14:paraId="5EBE7FC0" w14:textId="77777777" w:rsidTr="00DB68AA">
        <w:trPr>
          <w:cantSplit/>
        </w:trPr>
        <w:tc>
          <w:tcPr>
            <w:tcW w:w="7093" w:type="dxa"/>
            <w:shd w:val="clear" w:color="auto" w:fill="auto"/>
          </w:tcPr>
          <w:p w14:paraId="138D7483" w14:textId="77777777" w:rsidR="006F3AB5" w:rsidRPr="00610639" w:rsidRDefault="006F3AB5" w:rsidP="0061149C">
            <w:pPr>
              <w:autoSpaceDE w:val="0"/>
              <w:autoSpaceDN w:val="0"/>
              <w:adjustRightInd w:val="0"/>
              <w:spacing w:after="0" w:line="240" w:lineRule="auto"/>
              <w:ind w:left="60" w:right="60"/>
              <w:jc w:val="both"/>
              <w:rPr>
                <w:rFonts w:cs="Times New Roman"/>
                <w:color w:val="000000" w:themeColor="text1"/>
                <w:kern w:val="0"/>
                <w:szCs w:val="24"/>
              </w:rPr>
            </w:pPr>
            <w:r w:rsidRPr="00610639">
              <w:rPr>
                <w:rFonts w:cs="Times New Roman"/>
                <w:color w:val="000000" w:themeColor="text1"/>
                <w:kern w:val="0"/>
                <w:szCs w:val="24"/>
              </w:rPr>
              <w:t>I believe that the company's engagement with ERA has improved our regulatory compliance practices.</w:t>
            </w:r>
          </w:p>
        </w:tc>
        <w:tc>
          <w:tcPr>
            <w:tcW w:w="567" w:type="dxa"/>
            <w:shd w:val="clear" w:color="auto" w:fill="auto"/>
          </w:tcPr>
          <w:p w14:paraId="34BB8475" w14:textId="77777777" w:rsidR="006F3AB5" w:rsidRPr="00610639" w:rsidRDefault="006F3AB5" w:rsidP="0061149C">
            <w:pPr>
              <w:autoSpaceDE w:val="0"/>
              <w:autoSpaceDN w:val="0"/>
              <w:adjustRightInd w:val="0"/>
              <w:spacing w:after="0" w:line="240" w:lineRule="auto"/>
              <w:ind w:left="60" w:right="60"/>
              <w:jc w:val="both"/>
              <w:rPr>
                <w:rFonts w:cs="Times New Roman"/>
                <w:color w:val="000000" w:themeColor="text1"/>
                <w:kern w:val="0"/>
                <w:szCs w:val="24"/>
              </w:rPr>
            </w:pPr>
            <w:r w:rsidRPr="00610639">
              <w:rPr>
                <w:rFonts w:cs="Times New Roman"/>
                <w:color w:val="000000" w:themeColor="text1"/>
                <w:kern w:val="0"/>
                <w:szCs w:val="24"/>
              </w:rPr>
              <w:t>163</w:t>
            </w:r>
          </w:p>
        </w:tc>
        <w:tc>
          <w:tcPr>
            <w:tcW w:w="850" w:type="dxa"/>
            <w:shd w:val="clear" w:color="auto" w:fill="auto"/>
          </w:tcPr>
          <w:p w14:paraId="18D53F31" w14:textId="77777777" w:rsidR="006F3AB5" w:rsidRPr="00610639" w:rsidRDefault="006F3AB5" w:rsidP="0061149C">
            <w:pPr>
              <w:autoSpaceDE w:val="0"/>
              <w:autoSpaceDN w:val="0"/>
              <w:adjustRightInd w:val="0"/>
              <w:spacing w:after="0" w:line="240" w:lineRule="auto"/>
              <w:ind w:left="60" w:right="60"/>
              <w:jc w:val="both"/>
              <w:rPr>
                <w:rFonts w:cs="Times New Roman"/>
                <w:color w:val="000000" w:themeColor="text1"/>
                <w:kern w:val="0"/>
                <w:szCs w:val="24"/>
              </w:rPr>
            </w:pPr>
            <w:r w:rsidRPr="00610639">
              <w:rPr>
                <w:rFonts w:cs="Times New Roman"/>
                <w:color w:val="000000" w:themeColor="text1"/>
                <w:kern w:val="0"/>
                <w:szCs w:val="24"/>
              </w:rPr>
              <w:t>3.2331</w:t>
            </w:r>
          </w:p>
        </w:tc>
        <w:tc>
          <w:tcPr>
            <w:tcW w:w="851" w:type="dxa"/>
            <w:shd w:val="clear" w:color="auto" w:fill="auto"/>
          </w:tcPr>
          <w:p w14:paraId="47E6079A" w14:textId="77777777" w:rsidR="006F3AB5" w:rsidRPr="00610639" w:rsidRDefault="006F3AB5" w:rsidP="0061149C">
            <w:pPr>
              <w:autoSpaceDE w:val="0"/>
              <w:autoSpaceDN w:val="0"/>
              <w:adjustRightInd w:val="0"/>
              <w:spacing w:after="0" w:line="240" w:lineRule="auto"/>
              <w:ind w:right="60"/>
              <w:jc w:val="both"/>
              <w:rPr>
                <w:rFonts w:cs="Times New Roman"/>
                <w:color w:val="000000" w:themeColor="text1"/>
                <w:kern w:val="0"/>
                <w:szCs w:val="24"/>
              </w:rPr>
            </w:pPr>
            <w:r w:rsidRPr="00610639">
              <w:rPr>
                <w:rFonts w:cs="Times New Roman"/>
                <w:color w:val="000000" w:themeColor="text1"/>
                <w:kern w:val="0"/>
                <w:szCs w:val="24"/>
              </w:rPr>
              <w:t>1.23514</w:t>
            </w:r>
          </w:p>
        </w:tc>
      </w:tr>
      <w:tr w:rsidR="006F3AB5" w:rsidRPr="00610639" w14:paraId="632C9141" w14:textId="77777777" w:rsidTr="00DB68AA">
        <w:trPr>
          <w:cantSplit/>
        </w:trPr>
        <w:tc>
          <w:tcPr>
            <w:tcW w:w="7093" w:type="dxa"/>
            <w:shd w:val="clear" w:color="auto" w:fill="auto"/>
          </w:tcPr>
          <w:p w14:paraId="4D37DCAA" w14:textId="77777777" w:rsidR="006F3AB5" w:rsidRPr="00610639" w:rsidRDefault="006F3AB5" w:rsidP="0061149C">
            <w:pPr>
              <w:autoSpaceDE w:val="0"/>
              <w:autoSpaceDN w:val="0"/>
              <w:adjustRightInd w:val="0"/>
              <w:spacing w:after="0" w:line="240" w:lineRule="auto"/>
              <w:ind w:left="60" w:right="60"/>
              <w:jc w:val="both"/>
              <w:rPr>
                <w:rFonts w:cs="Times New Roman"/>
                <w:b/>
                <w:color w:val="000000" w:themeColor="text1"/>
                <w:kern w:val="0"/>
                <w:szCs w:val="24"/>
              </w:rPr>
            </w:pPr>
            <w:r w:rsidRPr="00610639">
              <w:rPr>
                <w:rFonts w:cs="Times New Roman"/>
                <w:b/>
                <w:color w:val="000000" w:themeColor="text1"/>
                <w:kern w:val="0"/>
                <w:szCs w:val="24"/>
              </w:rPr>
              <w:t>Valid N (listwise)</w:t>
            </w:r>
          </w:p>
        </w:tc>
        <w:tc>
          <w:tcPr>
            <w:tcW w:w="567" w:type="dxa"/>
            <w:shd w:val="clear" w:color="auto" w:fill="auto"/>
          </w:tcPr>
          <w:p w14:paraId="73193F85" w14:textId="77777777" w:rsidR="006F3AB5" w:rsidRPr="00610639" w:rsidRDefault="006F3AB5" w:rsidP="0061149C">
            <w:pPr>
              <w:autoSpaceDE w:val="0"/>
              <w:autoSpaceDN w:val="0"/>
              <w:adjustRightInd w:val="0"/>
              <w:spacing w:after="0" w:line="240" w:lineRule="auto"/>
              <w:ind w:left="60" w:right="60"/>
              <w:jc w:val="both"/>
              <w:rPr>
                <w:rFonts w:cs="Times New Roman"/>
                <w:b/>
                <w:color w:val="000000" w:themeColor="text1"/>
                <w:kern w:val="0"/>
                <w:szCs w:val="24"/>
              </w:rPr>
            </w:pPr>
            <w:r w:rsidRPr="00610639">
              <w:rPr>
                <w:rFonts w:cs="Times New Roman"/>
                <w:b/>
                <w:color w:val="000000" w:themeColor="text1"/>
                <w:kern w:val="0"/>
                <w:szCs w:val="24"/>
              </w:rPr>
              <w:t>163</w:t>
            </w:r>
          </w:p>
        </w:tc>
        <w:tc>
          <w:tcPr>
            <w:tcW w:w="850" w:type="dxa"/>
            <w:shd w:val="clear" w:color="auto" w:fill="auto"/>
            <w:vAlign w:val="center"/>
          </w:tcPr>
          <w:p w14:paraId="2AA6C263" w14:textId="77777777" w:rsidR="006F3AB5" w:rsidRPr="00610639" w:rsidRDefault="006F3AB5" w:rsidP="0061149C">
            <w:pPr>
              <w:autoSpaceDE w:val="0"/>
              <w:autoSpaceDN w:val="0"/>
              <w:adjustRightInd w:val="0"/>
              <w:spacing w:after="0" w:line="240" w:lineRule="auto"/>
              <w:jc w:val="both"/>
              <w:rPr>
                <w:rFonts w:cs="Times New Roman"/>
                <w:b/>
                <w:color w:val="000000" w:themeColor="text1"/>
                <w:kern w:val="0"/>
                <w:szCs w:val="24"/>
              </w:rPr>
            </w:pPr>
            <w:r w:rsidRPr="00610639">
              <w:rPr>
                <w:rFonts w:cs="Times New Roman"/>
                <w:b/>
                <w:color w:val="000000" w:themeColor="text1"/>
                <w:kern w:val="0"/>
                <w:szCs w:val="24"/>
              </w:rPr>
              <w:fldChar w:fldCharType="begin"/>
            </w:r>
            <w:r w:rsidRPr="00610639">
              <w:rPr>
                <w:rFonts w:cs="Times New Roman"/>
                <w:b/>
                <w:color w:val="000000" w:themeColor="text1"/>
                <w:kern w:val="0"/>
                <w:szCs w:val="24"/>
              </w:rPr>
              <w:instrText xml:space="preserve"> =SUM(ABOVE)/10 </w:instrText>
            </w:r>
            <w:r w:rsidRPr="00610639">
              <w:rPr>
                <w:rFonts w:cs="Times New Roman"/>
                <w:b/>
                <w:color w:val="000000" w:themeColor="text1"/>
                <w:kern w:val="0"/>
                <w:szCs w:val="24"/>
              </w:rPr>
              <w:fldChar w:fldCharType="separate"/>
            </w:r>
            <w:r w:rsidRPr="00610639">
              <w:rPr>
                <w:rFonts w:cs="Times New Roman"/>
                <w:b/>
                <w:noProof/>
                <w:color w:val="000000" w:themeColor="text1"/>
                <w:kern w:val="0"/>
                <w:szCs w:val="24"/>
              </w:rPr>
              <w:t>3.3902</w:t>
            </w:r>
            <w:r w:rsidRPr="00610639">
              <w:rPr>
                <w:rFonts w:cs="Times New Roman"/>
                <w:b/>
                <w:color w:val="000000" w:themeColor="text1"/>
                <w:kern w:val="0"/>
                <w:szCs w:val="24"/>
              </w:rPr>
              <w:fldChar w:fldCharType="end"/>
            </w:r>
          </w:p>
        </w:tc>
        <w:tc>
          <w:tcPr>
            <w:tcW w:w="851" w:type="dxa"/>
            <w:shd w:val="clear" w:color="auto" w:fill="auto"/>
            <w:vAlign w:val="center"/>
          </w:tcPr>
          <w:p w14:paraId="5A7C0730" w14:textId="77777777" w:rsidR="006F3AB5" w:rsidRPr="00610639" w:rsidRDefault="006F3AB5" w:rsidP="0061149C">
            <w:pPr>
              <w:autoSpaceDE w:val="0"/>
              <w:autoSpaceDN w:val="0"/>
              <w:adjustRightInd w:val="0"/>
              <w:spacing w:after="0" w:line="240" w:lineRule="auto"/>
              <w:jc w:val="both"/>
              <w:rPr>
                <w:rFonts w:cs="Times New Roman"/>
                <w:b/>
                <w:color w:val="000000" w:themeColor="text1"/>
                <w:kern w:val="0"/>
                <w:szCs w:val="24"/>
              </w:rPr>
            </w:pPr>
            <w:r w:rsidRPr="00610639">
              <w:rPr>
                <w:rFonts w:cs="Times New Roman"/>
                <w:b/>
                <w:color w:val="000000" w:themeColor="text1"/>
                <w:kern w:val="0"/>
                <w:szCs w:val="24"/>
              </w:rPr>
              <w:fldChar w:fldCharType="begin"/>
            </w:r>
            <w:r w:rsidRPr="00610639">
              <w:rPr>
                <w:rFonts w:cs="Times New Roman"/>
                <w:b/>
                <w:color w:val="000000" w:themeColor="text1"/>
                <w:kern w:val="0"/>
                <w:szCs w:val="24"/>
              </w:rPr>
              <w:instrText xml:space="preserve"> =SUM(ABOVE)/10 </w:instrText>
            </w:r>
            <w:r w:rsidRPr="00610639">
              <w:rPr>
                <w:rFonts w:cs="Times New Roman"/>
                <w:b/>
                <w:color w:val="000000" w:themeColor="text1"/>
                <w:kern w:val="0"/>
                <w:szCs w:val="24"/>
              </w:rPr>
              <w:fldChar w:fldCharType="separate"/>
            </w:r>
            <w:r w:rsidRPr="00610639">
              <w:rPr>
                <w:rFonts w:cs="Times New Roman"/>
                <w:b/>
                <w:noProof/>
                <w:color w:val="000000" w:themeColor="text1"/>
                <w:kern w:val="0"/>
                <w:szCs w:val="24"/>
              </w:rPr>
              <w:t>1.11922</w:t>
            </w:r>
            <w:r w:rsidRPr="00610639">
              <w:rPr>
                <w:rFonts w:cs="Times New Roman"/>
                <w:b/>
                <w:color w:val="000000" w:themeColor="text1"/>
                <w:kern w:val="0"/>
                <w:szCs w:val="24"/>
              </w:rPr>
              <w:fldChar w:fldCharType="end"/>
            </w:r>
          </w:p>
        </w:tc>
      </w:tr>
    </w:tbl>
    <w:p w14:paraId="3FCD5C21" w14:textId="58DD5465" w:rsidR="006F3AB5" w:rsidRPr="00610639" w:rsidRDefault="006F3AB5" w:rsidP="00610639">
      <w:pPr>
        <w:autoSpaceDE w:val="0"/>
        <w:autoSpaceDN w:val="0"/>
        <w:adjustRightInd w:val="0"/>
        <w:spacing w:after="0" w:line="360" w:lineRule="auto"/>
        <w:jc w:val="both"/>
        <w:rPr>
          <w:rFonts w:cs="Times New Roman"/>
          <w:color w:val="000000" w:themeColor="text1"/>
          <w:kern w:val="0"/>
          <w:szCs w:val="24"/>
        </w:rPr>
      </w:pPr>
      <w:r w:rsidRPr="00610639">
        <w:rPr>
          <w:rFonts w:cs="Times New Roman"/>
          <w:color w:val="000000" w:themeColor="text1"/>
          <w:kern w:val="0"/>
          <w:szCs w:val="24"/>
        </w:rPr>
        <w:t>Source Field, 202</w:t>
      </w:r>
      <w:r w:rsidR="00016506">
        <w:rPr>
          <w:rFonts w:cs="Times New Roman"/>
          <w:color w:val="000000" w:themeColor="text1"/>
          <w:kern w:val="0"/>
          <w:szCs w:val="24"/>
        </w:rPr>
        <w:t>5</w:t>
      </w:r>
    </w:p>
    <w:p w14:paraId="718E9C4C" w14:textId="77777777" w:rsidR="002176B0" w:rsidRPr="00610639" w:rsidRDefault="002176B0" w:rsidP="00610639">
      <w:pPr>
        <w:pStyle w:val="NormalWeb"/>
        <w:spacing w:line="360" w:lineRule="auto"/>
        <w:jc w:val="both"/>
      </w:pPr>
      <w:r w:rsidRPr="00610639">
        <w:t>Regulatory compliance (M=3.32, SD=1.14) reflects moderate adherence levels with considerable variation across different areas of the organization. While basic compliance frameworks are established, their application remains inconsistent between departments. This observation aligns with Mwirigi and Kumar's (2023) broader findings on regulatory maturity in East African utilities, where structural reforms are progressing but face operational hurdles. The performance gap between Uganda and Kenya, where higher scores of 4.1 were reported by Okello et al. (2022), suggests that Uganda could benefit from adopting regional best practices to enhance compliance.</w:t>
      </w:r>
    </w:p>
    <w:p w14:paraId="070EFAC3" w14:textId="77777777" w:rsidR="002176B0" w:rsidRPr="00610639" w:rsidRDefault="002176B0" w:rsidP="00610639">
      <w:pPr>
        <w:pStyle w:val="NormalWeb"/>
        <w:spacing w:line="360" w:lineRule="auto"/>
        <w:jc w:val="both"/>
      </w:pPr>
      <w:r w:rsidRPr="00610639">
        <w:t>Policy review and maintenance (M=3.88, SD=0.90) stands out as a strength, demonstrating consistent and systematic attention to policy frameworks throughout the organization. The lower standard deviation indicates widespread alignment on policy updating processes, reinforcing the mature approach to policy maintenance. This approach supports Zhang and Li's (2024) observations about the advancement of regulatory governance in developing markets, marking a significant shift from the fragmented policy landscape described by Wilson (2021) in his study of African state corporations.</w:t>
      </w:r>
    </w:p>
    <w:p w14:paraId="64B6B4B9" w14:textId="77777777" w:rsidR="002176B0" w:rsidRPr="00610639" w:rsidRDefault="002176B0" w:rsidP="00610639">
      <w:pPr>
        <w:pStyle w:val="NormalWeb"/>
        <w:spacing w:line="360" w:lineRule="auto"/>
        <w:jc w:val="both"/>
      </w:pPr>
      <w:r w:rsidRPr="00610639">
        <w:t>Internal compliance reporting systems (M=3.46, SD=1.12) reflect the organization's growing ability to monitor and document regulatory adherence. Although the score suggests the presence of reporting mechanisms, the variation in implementation across units indicates room for improvement. This performance, while encouraging, highlights the need for further development, especially when compared to Tanzania's more robust reporting systems (3.9), as noted by Ndumba (2024). Leadership commitment to compliance (M=3.66, SD=1.11) has strengthened, although it still falls short of regional benchmarks.</w:t>
      </w:r>
    </w:p>
    <w:p w14:paraId="06E47009" w14:textId="77777777" w:rsidR="002176B0" w:rsidRPr="00610639" w:rsidRDefault="002176B0" w:rsidP="00610639">
      <w:pPr>
        <w:pStyle w:val="NormalWeb"/>
        <w:spacing w:line="360" w:lineRule="auto"/>
        <w:jc w:val="both"/>
      </w:pPr>
      <w:r w:rsidRPr="00610639">
        <w:lastRenderedPageBreak/>
        <w:t>Employee regulatory awareness (M=3.50, SD=1.12) and ERA requirement understanding (M=3.52, SD=1.09) indicate moderately effective knowledge dissemination across the organization. The similar means and standard deviations suggest that while information sharing practices are consistent, there is room for improvement. These results align with Mugisha's (2023) research on regulatory knowledge within utility workforces but highlight a clear gap when compared to ERA's 2024 sector assessment benchmark. The training effectiveness score (M=3.40, SD=1.06) further supports this evaluation, pointing to a need for more robust capacity-building programs, similar to those successfully implemented in Rwanda.</w:t>
      </w:r>
    </w:p>
    <w:p w14:paraId="04AAB209" w14:textId="77777777" w:rsidR="002176B0" w:rsidRPr="00610639" w:rsidRDefault="002176B0" w:rsidP="00610639">
      <w:pPr>
        <w:pStyle w:val="NormalWeb"/>
        <w:spacing w:line="360" w:lineRule="auto"/>
        <w:jc w:val="both"/>
      </w:pPr>
      <w:r w:rsidRPr="00610639">
        <w:t>External regulatory engagement (M=3.17, SD=1.09) emerges as a critical area requiring attention, particularly in non-compliance reporting to ERA (M=2.75, SD=1.24). These scores reveal significant weaknesses in regulatory relationship management and transparency practices. The findings echo Thompson's (2024) analysis of regulatory communication patterns in African utilities, which highlights systemic challenges in external stakeholder engagement. The low perceived value of ERA engagement (M=3.23, SD=1.24) further exacerbates these challenges, supporting Kiiza's (2024) observations about the need for more collaborative regulatory relationships.</w:t>
      </w:r>
    </w:p>
    <w:p w14:paraId="237CAF8E" w14:textId="77777777" w:rsidR="002176B0" w:rsidRPr="00610639" w:rsidRDefault="002176B0" w:rsidP="00610639">
      <w:pPr>
        <w:pStyle w:val="NormalWeb"/>
        <w:spacing w:line="360" w:lineRule="auto"/>
        <w:jc w:val="both"/>
      </w:pPr>
      <w:r w:rsidRPr="00610639">
        <w:t>Overall compliance performance (M=3.39, SD=1.11) aligns with regional expectations, as indicated in the World Bank's 2024 African Utility Governance Report. This comprehensive score suggests that while the organization has established compliance foundations, it is at a critical development stage with substantial potential for improvement in certain areas. The results show that while internal systems show promise, external engagement and reporting mechanisms need significant strengthening to meet regional best practices.</w:t>
      </w:r>
    </w:p>
    <w:p w14:paraId="27C8B5CF" w14:textId="77777777" w:rsidR="002176B0" w:rsidRPr="00610639" w:rsidRDefault="002176B0" w:rsidP="00610639">
      <w:pPr>
        <w:spacing w:line="360" w:lineRule="auto"/>
        <w:jc w:val="both"/>
        <w:rPr>
          <w:rFonts w:eastAsia="Times New Roman" w:cs="Times New Roman"/>
          <w:bCs/>
          <w:i/>
          <w:iCs/>
          <w:color w:val="000000" w:themeColor="text1"/>
          <w:kern w:val="0"/>
          <w:szCs w:val="24"/>
          <w:shd w:val="clear" w:color="auto" w:fill="FFFFFF"/>
        </w:rPr>
      </w:pPr>
      <w:r w:rsidRPr="00610639">
        <w:rPr>
          <w:rFonts w:cs="Times New Roman"/>
          <w:bCs/>
          <w:i/>
          <w:iCs/>
          <w:color w:val="000000" w:themeColor="text1"/>
          <w:szCs w:val="24"/>
        </w:rPr>
        <w:t xml:space="preserve">4.4 Service Delivery </w:t>
      </w:r>
      <w:bookmarkStart w:id="3" w:name="_Hlk191743241"/>
      <w:r w:rsidRPr="00610639">
        <w:rPr>
          <w:rFonts w:cs="Times New Roman"/>
          <w:bCs/>
          <w:i/>
          <w:iCs/>
          <w:color w:val="000000" w:themeColor="text1"/>
          <w:szCs w:val="24"/>
        </w:rPr>
        <w:t xml:space="preserve">in </w:t>
      </w:r>
      <w:r w:rsidRPr="00610639">
        <w:rPr>
          <w:rFonts w:eastAsia="Times New Roman" w:cs="Times New Roman"/>
          <w:bCs/>
          <w:i/>
          <w:iCs/>
          <w:kern w:val="0"/>
          <w:szCs w:val="24"/>
        </w:rPr>
        <w:t>Uganda Electricity Distribution Company</w:t>
      </w:r>
      <w:bookmarkEnd w:id="3"/>
    </w:p>
    <w:p w14:paraId="254FC4D3" w14:textId="78538612" w:rsidR="00610639" w:rsidRDefault="002176B0" w:rsidP="00610639">
      <w:pPr>
        <w:spacing w:line="360" w:lineRule="auto"/>
        <w:jc w:val="both"/>
        <w:rPr>
          <w:rFonts w:cs="Times New Roman"/>
          <w:b/>
          <w:color w:val="000000" w:themeColor="text1"/>
          <w:szCs w:val="24"/>
        </w:rPr>
      </w:pPr>
      <w:r w:rsidRPr="00610639">
        <w:rPr>
          <w:rFonts w:eastAsia="Times New Roman" w:cs="Times New Roman"/>
          <w:color w:val="000000" w:themeColor="text1"/>
          <w:kern w:val="0"/>
          <w:szCs w:val="24"/>
          <w:shd w:val="clear" w:color="auto" w:fill="FFFFFF"/>
        </w:rPr>
        <w:t xml:space="preserve">The study sought to determine the perception of respondents on </w:t>
      </w:r>
      <w:r w:rsidRPr="00610639">
        <w:rPr>
          <w:rFonts w:cs="Times New Roman"/>
          <w:color w:val="000000" w:themeColor="text1"/>
          <w:kern w:val="0"/>
          <w:szCs w:val="24"/>
        </w:rPr>
        <w:t xml:space="preserve">service delivery in </w:t>
      </w:r>
      <w:r w:rsidRPr="00610639">
        <w:rPr>
          <w:rFonts w:cs="Times New Roman"/>
          <w:bCs/>
          <w:color w:val="000000" w:themeColor="text1"/>
          <w:szCs w:val="24"/>
          <w:shd w:val="clear" w:color="auto" w:fill="FFFFFF"/>
        </w:rPr>
        <w:t xml:space="preserve">Uganda as shown in Table </w:t>
      </w:r>
      <w:r w:rsidR="00016506">
        <w:rPr>
          <w:rFonts w:cs="Times New Roman"/>
          <w:bCs/>
          <w:color w:val="000000" w:themeColor="text1"/>
          <w:szCs w:val="24"/>
          <w:shd w:val="clear" w:color="auto" w:fill="FFFFFF"/>
        </w:rPr>
        <w:t>6.</w:t>
      </w:r>
    </w:p>
    <w:p w14:paraId="2F7FD72F" w14:textId="77777777" w:rsidR="00610639" w:rsidRDefault="00610639" w:rsidP="00610639">
      <w:pPr>
        <w:spacing w:line="360" w:lineRule="auto"/>
        <w:jc w:val="both"/>
        <w:rPr>
          <w:rFonts w:cs="Times New Roman"/>
          <w:b/>
          <w:color w:val="000000" w:themeColor="text1"/>
          <w:szCs w:val="24"/>
        </w:rPr>
      </w:pPr>
    </w:p>
    <w:p w14:paraId="6DED9A0A" w14:textId="77777777" w:rsidR="00016506" w:rsidRDefault="00016506" w:rsidP="00610639">
      <w:pPr>
        <w:spacing w:line="360" w:lineRule="auto"/>
        <w:jc w:val="both"/>
        <w:rPr>
          <w:rFonts w:cs="Times New Roman"/>
          <w:b/>
          <w:color w:val="000000" w:themeColor="text1"/>
          <w:szCs w:val="24"/>
        </w:rPr>
      </w:pPr>
    </w:p>
    <w:p w14:paraId="336EB463" w14:textId="77777777" w:rsidR="00016506" w:rsidRPr="00610639" w:rsidRDefault="00016506" w:rsidP="00610639">
      <w:pPr>
        <w:spacing w:line="360" w:lineRule="auto"/>
        <w:jc w:val="both"/>
        <w:rPr>
          <w:rFonts w:cs="Times New Roman"/>
          <w:b/>
          <w:color w:val="000000" w:themeColor="text1"/>
          <w:szCs w:val="24"/>
        </w:rPr>
      </w:pPr>
    </w:p>
    <w:p w14:paraId="3D50783B" w14:textId="62DC3E8F" w:rsidR="002176B0" w:rsidRPr="00610639" w:rsidRDefault="002176B0" w:rsidP="00610639">
      <w:pPr>
        <w:spacing w:after="200" w:line="360" w:lineRule="auto"/>
        <w:jc w:val="both"/>
        <w:rPr>
          <w:rFonts w:eastAsia="Calibri" w:cs="Times New Roman"/>
          <w:b/>
          <w:iCs/>
          <w:color w:val="000000" w:themeColor="text1"/>
          <w:kern w:val="0"/>
          <w:szCs w:val="24"/>
        </w:rPr>
      </w:pPr>
      <w:bookmarkStart w:id="4" w:name="_Toc190215837"/>
      <w:r w:rsidRPr="00610639">
        <w:rPr>
          <w:rFonts w:eastAsia="Calibri" w:cs="Times New Roman"/>
          <w:b/>
          <w:iCs/>
          <w:color w:val="000000" w:themeColor="text1"/>
          <w:kern w:val="0"/>
          <w:szCs w:val="24"/>
        </w:rPr>
        <w:lastRenderedPageBreak/>
        <w:t xml:space="preserve">Table </w:t>
      </w:r>
      <w:r w:rsidR="00016506">
        <w:rPr>
          <w:rFonts w:eastAsia="Calibri" w:cs="Times New Roman"/>
          <w:b/>
          <w:iCs/>
          <w:color w:val="000000" w:themeColor="text1"/>
          <w:kern w:val="0"/>
          <w:szCs w:val="24"/>
        </w:rPr>
        <w:t>6</w:t>
      </w:r>
      <w:r w:rsidRPr="00610639">
        <w:rPr>
          <w:rFonts w:eastAsia="Calibri" w:cs="Times New Roman"/>
          <w:b/>
          <w:iCs/>
          <w:color w:val="000000" w:themeColor="text1"/>
          <w:kern w:val="0"/>
          <w:szCs w:val="24"/>
        </w:rPr>
        <w:t>: Service Delivery in</w:t>
      </w:r>
      <w:bookmarkEnd w:id="4"/>
      <w:r w:rsidRPr="00610639">
        <w:rPr>
          <w:rFonts w:eastAsia="Calibri" w:cs="Times New Roman"/>
          <w:b/>
          <w:iCs/>
          <w:color w:val="000000" w:themeColor="text1"/>
          <w:kern w:val="0"/>
          <w:szCs w:val="24"/>
        </w:rPr>
        <w:t xml:space="preserve"> </w:t>
      </w:r>
      <w:r w:rsidRPr="00610639">
        <w:rPr>
          <w:rFonts w:eastAsia="Times New Roman" w:cs="Times New Roman"/>
          <w:b/>
          <w:bCs/>
          <w:kern w:val="0"/>
          <w:szCs w:val="24"/>
        </w:rPr>
        <w:t>Uganda Electricity Distribution Company</w:t>
      </w:r>
    </w:p>
    <w:tbl>
      <w:tblPr>
        <w:tblW w:w="9077"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6809"/>
        <w:gridCol w:w="567"/>
        <w:gridCol w:w="851"/>
        <w:gridCol w:w="850"/>
      </w:tblGrid>
      <w:tr w:rsidR="002176B0" w:rsidRPr="00610639" w14:paraId="1CDA7438" w14:textId="77777777" w:rsidTr="00DB68AA">
        <w:trPr>
          <w:cantSplit/>
        </w:trPr>
        <w:tc>
          <w:tcPr>
            <w:tcW w:w="6809" w:type="dxa"/>
            <w:tcBorders>
              <w:top w:val="single" w:sz="4" w:space="0" w:color="auto"/>
              <w:bottom w:val="single" w:sz="4" w:space="0" w:color="auto"/>
            </w:tcBorders>
            <w:shd w:val="clear" w:color="auto" w:fill="FFFFFF"/>
            <w:vAlign w:val="bottom"/>
          </w:tcPr>
          <w:p w14:paraId="5321575C" w14:textId="77777777" w:rsidR="002176B0" w:rsidRPr="00610639" w:rsidRDefault="002176B0" w:rsidP="00610639">
            <w:pPr>
              <w:autoSpaceDE w:val="0"/>
              <w:autoSpaceDN w:val="0"/>
              <w:adjustRightInd w:val="0"/>
              <w:spacing w:after="0" w:line="360" w:lineRule="auto"/>
              <w:jc w:val="both"/>
              <w:rPr>
                <w:rFonts w:cs="Times New Roman"/>
                <w:b/>
                <w:color w:val="000000" w:themeColor="text1"/>
                <w:kern w:val="0"/>
                <w:szCs w:val="24"/>
              </w:rPr>
            </w:pPr>
            <w:r w:rsidRPr="00610639">
              <w:rPr>
                <w:rFonts w:cs="Times New Roman"/>
                <w:b/>
                <w:color w:val="000000" w:themeColor="text1"/>
                <w:kern w:val="0"/>
                <w:szCs w:val="24"/>
              </w:rPr>
              <w:t>Statement</w:t>
            </w:r>
          </w:p>
        </w:tc>
        <w:tc>
          <w:tcPr>
            <w:tcW w:w="567" w:type="dxa"/>
            <w:tcBorders>
              <w:top w:val="single" w:sz="4" w:space="0" w:color="auto"/>
              <w:bottom w:val="single" w:sz="4" w:space="0" w:color="auto"/>
            </w:tcBorders>
            <w:shd w:val="clear" w:color="auto" w:fill="FFFFFF"/>
            <w:vAlign w:val="bottom"/>
          </w:tcPr>
          <w:p w14:paraId="41213BCA" w14:textId="77777777" w:rsidR="002176B0" w:rsidRPr="00610639" w:rsidRDefault="002176B0" w:rsidP="00610639">
            <w:pPr>
              <w:autoSpaceDE w:val="0"/>
              <w:autoSpaceDN w:val="0"/>
              <w:adjustRightInd w:val="0"/>
              <w:spacing w:after="0" w:line="360" w:lineRule="auto"/>
              <w:ind w:left="60" w:right="60"/>
              <w:jc w:val="both"/>
              <w:rPr>
                <w:rFonts w:cs="Times New Roman"/>
                <w:b/>
                <w:color w:val="000000" w:themeColor="text1"/>
                <w:kern w:val="0"/>
                <w:szCs w:val="24"/>
              </w:rPr>
            </w:pPr>
            <w:r w:rsidRPr="00610639">
              <w:rPr>
                <w:rFonts w:cs="Times New Roman"/>
                <w:b/>
                <w:color w:val="000000" w:themeColor="text1"/>
                <w:kern w:val="0"/>
                <w:szCs w:val="24"/>
              </w:rPr>
              <w:t>N</w:t>
            </w:r>
          </w:p>
        </w:tc>
        <w:tc>
          <w:tcPr>
            <w:tcW w:w="851" w:type="dxa"/>
            <w:tcBorders>
              <w:top w:val="single" w:sz="4" w:space="0" w:color="auto"/>
              <w:bottom w:val="single" w:sz="4" w:space="0" w:color="auto"/>
            </w:tcBorders>
            <w:shd w:val="clear" w:color="auto" w:fill="FFFFFF"/>
            <w:vAlign w:val="bottom"/>
          </w:tcPr>
          <w:p w14:paraId="32FF8648" w14:textId="77777777" w:rsidR="002176B0" w:rsidRPr="00610639" w:rsidRDefault="002176B0" w:rsidP="00610639">
            <w:pPr>
              <w:autoSpaceDE w:val="0"/>
              <w:autoSpaceDN w:val="0"/>
              <w:adjustRightInd w:val="0"/>
              <w:spacing w:after="0" w:line="360" w:lineRule="auto"/>
              <w:ind w:left="60" w:right="60"/>
              <w:jc w:val="both"/>
              <w:rPr>
                <w:rFonts w:cs="Times New Roman"/>
                <w:b/>
                <w:color w:val="000000" w:themeColor="text1"/>
                <w:kern w:val="0"/>
                <w:szCs w:val="24"/>
              </w:rPr>
            </w:pPr>
            <w:r w:rsidRPr="00610639">
              <w:rPr>
                <w:rFonts w:cs="Times New Roman"/>
                <w:b/>
                <w:color w:val="000000" w:themeColor="text1"/>
                <w:kern w:val="0"/>
                <w:szCs w:val="24"/>
              </w:rPr>
              <w:t>Mean</w:t>
            </w:r>
          </w:p>
        </w:tc>
        <w:tc>
          <w:tcPr>
            <w:tcW w:w="850" w:type="dxa"/>
            <w:tcBorders>
              <w:top w:val="single" w:sz="4" w:space="0" w:color="auto"/>
              <w:bottom w:val="single" w:sz="4" w:space="0" w:color="auto"/>
            </w:tcBorders>
            <w:shd w:val="clear" w:color="auto" w:fill="FFFFFF"/>
            <w:vAlign w:val="bottom"/>
          </w:tcPr>
          <w:p w14:paraId="0FCF4017" w14:textId="77777777" w:rsidR="002176B0" w:rsidRPr="00610639" w:rsidRDefault="002176B0" w:rsidP="00610639">
            <w:pPr>
              <w:autoSpaceDE w:val="0"/>
              <w:autoSpaceDN w:val="0"/>
              <w:adjustRightInd w:val="0"/>
              <w:spacing w:after="0" w:line="360" w:lineRule="auto"/>
              <w:ind w:left="60" w:right="60"/>
              <w:jc w:val="both"/>
              <w:rPr>
                <w:rFonts w:cs="Times New Roman"/>
                <w:b/>
                <w:color w:val="000000" w:themeColor="text1"/>
                <w:kern w:val="0"/>
                <w:szCs w:val="24"/>
              </w:rPr>
            </w:pPr>
            <w:r w:rsidRPr="00610639">
              <w:rPr>
                <w:rFonts w:cs="Times New Roman"/>
                <w:b/>
                <w:color w:val="000000" w:themeColor="text1"/>
                <w:kern w:val="0"/>
                <w:szCs w:val="24"/>
              </w:rPr>
              <w:t>SD</w:t>
            </w:r>
          </w:p>
        </w:tc>
      </w:tr>
      <w:tr w:rsidR="002176B0" w:rsidRPr="00610639" w14:paraId="0ECCD53C" w14:textId="77777777" w:rsidTr="00DB68AA">
        <w:trPr>
          <w:cantSplit/>
        </w:trPr>
        <w:tc>
          <w:tcPr>
            <w:tcW w:w="6809" w:type="dxa"/>
            <w:tcBorders>
              <w:top w:val="single" w:sz="4" w:space="0" w:color="auto"/>
            </w:tcBorders>
            <w:shd w:val="clear" w:color="auto" w:fill="auto"/>
          </w:tcPr>
          <w:p w14:paraId="03A95539" w14:textId="77777777" w:rsidR="002176B0" w:rsidRPr="00610639" w:rsidRDefault="002176B0" w:rsidP="0061149C">
            <w:pPr>
              <w:autoSpaceDE w:val="0"/>
              <w:autoSpaceDN w:val="0"/>
              <w:adjustRightInd w:val="0"/>
              <w:spacing w:after="0" w:line="240" w:lineRule="auto"/>
              <w:ind w:left="60" w:right="60"/>
              <w:jc w:val="both"/>
              <w:rPr>
                <w:rFonts w:cs="Times New Roman"/>
                <w:color w:val="000000" w:themeColor="text1"/>
                <w:kern w:val="0"/>
                <w:szCs w:val="24"/>
              </w:rPr>
            </w:pPr>
            <w:r w:rsidRPr="00610639">
              <w:rPr>
                <w:rFonts w:cs="Times New Roman"/>
                <w:color w:val="000000" w:themeColor="text1"/>
                <w:kern w:val="0"/>
                <w:szCs w:val="24"/>
              </w:rPr>
              <w:t>I believe our customers are satisfied with the overall service quality we provide.</w:t>
            </w:r>
          </w:p>
        </w:tc>
        <w:tc>
          <w:tcPr>
            <w:tcW w:w="567" w:type="dxa"/>
            <w:tcBorders>
              <w:top w:val="single" w:sz="4" w:space="0" w:color="auto"/>
            </w:tcBorders>
            <w:shd w:val="clear" w:color="auto" w:fill="auto"/>
          </w:tcPr>
          <w:p w14:paraId="12372D1F" w14:textId="77777777" w:rsidR="002176B0" w:rsidRPr="00610639" w:rsidRDefault="002176B0" w:rsidP="0061149C">
            <w:pPr>
              <w:autoSpaceDE w:val="0"/>
              <w:autoSpaceDN w:val="0"/>
              <w:adjustRightInd w:val="0"/>
              <w:spacing w:after="0" w:line="240" w:lineRule="auto"/>
              <w:ind w:left="60" w:right="60"/>
              <w:jc w:val="both"/>
              <w:rPr>
                <w:rFonts w:cs="Times New Roman"/>
                <w:color w:val="000000" w:themeColor="text1"/>
                <w:kern w:val="0"/>
                <w:szCs w:val="24"/>
              </w:rPr>
            </w:pPr>
            <w:r w:rsidRPr="00610639">
              <w:rPr>
                <w:rFonts w:cs="Times New Roman"/>
                <w:color w:val="000000" w:themeColor="text1"/>
                <w:kern w:val="0"/>
                <w:szCs w:val="24"/>
              </w:rPr>
              <w:t>163</w:t>
            </w:r>
          </w:p>
        </w:tc>
        <w:tc>
          <w:tcPr>
            <w:tcW w:w="851" w:type="dxa"/>
            <w:tcBorders>
              <w:top w:val="single" w:sz="4" w:space="0" w:color="auto"/>
            </w:tcBorders>
            <w:shd w:val="clear" w:color="auto" w:fill="auto"/>
          </w:tcPr>
          <w:p w14:paraId="69CAC7B0" w14:textId="77777777" w:rsidR="002176B0" w:rsidRPr="00610639" w:rsidRDefault="002176B0" w:rsidP="0061149C">
            <w:pPr>
              <w:autoSpaceDE w:val="0"/>
              <w:autoSpaceDN w:val="0"/>
              <w:adjustRightInd w:val="0"/>
              <w:spacing w:after="0" w:line="240" w:lineRule="auto"/>
              <w:ind w:left="60" w:right="60"/>
              <w:jc w:val="both"/>
              <w:rPr>
                <w:rFonts w:cs="Times New Roman"/>
                <w:color w:val="000000" w:themeColor="text1"/>
                <w:kern w:val="0"/>
                <w:szCs w:val="24"/>
              </w:rPr>
            </w:pPr>
            <w:r w:rsidRPr="00610639">
              <w:rPr>
                <w:rFonts w:cs="Times New Roman"/>
                <w:color w:val="000000" w:themeColor="text1"/>
                <w:kern w:val="0"/>
                <w:szCs w:val="24"/>
              </w:rPr>
              <w:t>3.0613</w:t>
            </w:r>
          </w:p>
        </w:tc>
        <w:tc>
          <w:tcPr>
            <w:tcW w:w="850" w:type="dxa"/>
            <w:tcBorders>
              <w:top w:val="single" w:sz="4" w:space="0" w:color="auto"/>
            </w:tcBorders>
            <w:shd w:val="clear" w:color="auto" w:fill="auto"/>
          </w:tcPr>
          <w:p w14:paraId="235BAB71" w14:textId="77777777" w:rsidR="002176B0" w:rsidRPr="00610639" w:rsidRDefault="002176B0" w:rsidP="0061149C">
            <w:pPr>
              <w:autoSpaceDE w:val="0"/>
              <w:autoSpaceDN w:val="0"/>
              <w:adjustRightInd w:val="0"/>
              <w:spacing w:after="0" w:line="240" w:lineRule="auto"/>
              <w:ind w:right="60"/>
              <w:jc w:val="both"/>
              <w:rPr>
                <w:rFonts w:cs="Times New Roman"/>
                <w:color w:val="000000" w:themeColor="text1"/>
                <w:kern w:val="0"/>
                <w:szCs w:val="24"/>
              </w:rPr>
            </w:pPr>
            <w:r w:rsidRPr="00610639">
              <w:rPr>
                <w:rFonts w:cs="Times New Roman"/>
                <w:color w:val="000000" w:themeColor="text1"/>
                <w:kern w:val="0"/>
                <w:szCs w:val="24"/>
              </w:rPr>
              <w:t>1.28953</w:t>
            </w:r>
          </w:p>
        </w:tc>
      </w:tr>
      <w:tr w:rsidR="002176B0" w:rsidRPr="00610639" w14:paraId="20DDDF40" w14:textId="77777777" w:rsidTr="00DB68AA">
        <w:trPr>
          <w:cantSplit/>
        </w:trPr>
        <w:tc>
          <w:tcPr>
            <w:tcW w:w="6809" w:type="dxa"/>
            <w:shd w:val="clear" w:color="auto" w:fill="auto"/>
          </w:tcPr>
          <w:p w14:paraId="631D27B3" w14:textId="77777777" w:rsidR="002176B0" w:rsidRPr="00610639" w:rsidRDefault="002176B0" w:rsidP="0061149C">
            <w:pPr>
              <w:autoSpaceDE w:val="0"/>
              <w:autoSpaceDN w:val="0"/>
              <w:adjustRightInd w:val="0"/>
              <w:spacing w:after="0" w:line="240" w:lineRule="auto"/>
              <w:ind w:left="60" w:right="60"/>
              <w:jc w:val="both"/>
              <w:rPr>
                <w:rFonts w:cs="Times New Roman"/>
                <w:color w:val="000000" w:themeColor="text1"/>
                <w:kern w:val="0"/>
                <w:szCs w:val="24"/>
              </w:rPr>
            </w:pPr>
            <w:r w:rsidRPr="00610639">
              <w:rPr>
                <w:rFonts w:cs="Times New Roman"/>
                <w:color w:val="000000" w:themeColor="text1"/>
                <w:kern w:val="0"/>
                <w:szCs w:val="24"/>
              </w:rPr>
              <w:t>Our customers appreciate the helpfulness and courtesy of our staff.</w:t>
            </w:r>
          </w:p>
        </w:tc>
        <w:tc>
          <w:tcPr>
            <w:tcW w:w="567" w:type="dxa"/>
            <w:shd w:val="clear" w:color="auto" w:fill="auto"/>
          </w:tcPr>
          <w:p w14:paraId="7088F41D" w14:textId="77777777" w:rsidR="002176B0" w:rsidRPr="00610639" w:rsidRDefault="002176B0" w:rsidP="0061149C">
            <w:pPr>
              <w:autoSpaceDE w:val="0"/>
              <w:autoSpaceDN w:val="0"/>
              <w:adjustRightInd w:val="0"/>
              <w:spacing w:after="0" w:line="240" w:lineRule="auto"/>
              <w:ind w:left="60" w:right="60"/>
              <w:jc w:val="both"/>
              <w:rPr>
                <w:rFonts w:cs="Times New Roman"/>
                <w:color w:val="000000" w:themeColor="text1"/>
                <w:kern w:val="0"/>
                <w:szCs w:val="24"/>
              </w:rPr>
            </w:pPr>
            <w:r w:rsidRPr="00610639">
              <w:rPr>
                <w:rFonts w:cs="Times New Roman"/>
                <w:color w:val="000000" w:themeColor="text1"/>
                <w:kern w:val="0"/>
                <w:szCs w:val="24"/>
              </w:rPr>
              <w:t>163</w:t>
            </w:r>
          </w:p>
        </w:tc>
        <w:tc>
          <w:tcPr>
            <w:tcW w:w="851" w:type="dxa"/>
            <w:shd w:val="clear" w:color="auto" w:fill="auto"/>
          </w:tcPr>
          <w:p w14:paraId="5109E090" w14:textId="77777777" w:rsidR="002176B0" w:rsidRPr="00610639" w:rsidRDefault="002176B0" w:rsidP="0061149C">
            <w:pPr>
              <w:autoSpaceDE w:val="0"/>
              <w:autoSpaceDN w:val="0"/>
              <w:adjustRightInd w:val="0"/>
              <w:spacing w:after="0" w:line="240" w:lineRule="auto"/>
              <w:ind w:left="60" w:right="60"/>
              <w:jc w:val="both"/>
              <w:rPr>
                <w:rFonts w:cs="Times New Roman"/>
                <w:color w:val="000000" w:themeColor="text1"/>
                <w:kern w:val="0"/>
                <w:szCs w:val="24"/>
              </w:rPr>
            </w:pPr>
            <w:r w:rsidRPr="00610639">
              <w:rPr>
                <w:rFonts w:cs="Times New Roman"/>
                <w:color w:val="000000" w:themeColor="text1"/>
                <w:kern w:val="0"/>
                <w:szCs w:val="24"/>
              </w:rPr>
              <w:t>3.2086</w:t>
            </w:r>
          </w:p>
        </w:tc>
        <w:tc>
          <w:tcPr>
            <w:tcW w:w="850" w:type="dxa"/>
            <w:shd w:val="clear" w:color="auto" w:fill="auto"/>
          </w:tcPr>
          <w:p w14:paraId="02F8E10A" w14:textId="77777777" w:rsidR="002176B0" w:rsidRPr="00610639" w:rsidRDefault="002176B0" w:rsidP="0061149C">
            <w:pPr>
              <w:autoSpaceDE w:val="0"/>
              <w:autoSpaceDN w:val="0"/>
              <w:adjustRightInd w:val="0"/>
              <w:spacing w:after="0" w:line="240" w:lineRule="auto"/>
              <w:ind w:right="60"/>
              <w:jc w:val="both"/>
              <w:rPr>
                <w:rFonts w:cs="Times New Roman"/>
                <w:color w:val="000000" w:themeColor="text1"/>
                <w:kern w:val="0"/>
                <w:szCs w:val="24"/>
              </w:rPr>
            </w:pPr>
            <w:r w:rsidRPr="00610639">
              <w:rPr>
                <w:rFonts w:cs="Times New Roman"/>
                <w:color w:val="000000" w:themeColor="text1"/>
                <w:kern w:val="0"/>
                <w:szCs w:val="24"/>
              </w:rPr>
              <w:t>1.23954</w:t>
            </w:r>
          </w:p>
        </w:tc>
      </w:tr>
      <w:tr w:rsidR="002176B0" w:rsidRPr="00610639" w14:paraId="5719991E" w14:textId="77777777" w:rsidTr="00DB68AA">
        <w:trPr>
          <w:cantSplit/>
        </w:trPr>
        <w:tc>
          <w:tcPr>
            <w:tcW w:w="6809" w:type="dxa"/>
            <w:shd w:val="clear" w:color="auto" w:fill="auto"/>
          </w:tcPr>
          <w:p w14:paraId="7ACA70F1" w14:textId="77777777" w:rsidR="002176B0" w:rsidRPr="00610639" w:rsidRDefault="002176B0" w:rsidP="0061149C">
            <w:pPr>
              <w:autoSpaceDE w:val="0"/>
              <w:autoSpaceDN w:val="0"/>
              <w:adjustRightInd w:val="0"/>
              <w:spacing w:after="0" w:line="240" w:lineRule="auto"/>
              <w:ind w:left="60" w:right="60"/>
              <w:jc w:val="both"/>
              <w:rPr>
                <w:rFonts w:cs="Times New Roman"/>
                <w:color w:val="000000" w:themeColor="text1"/>
                <w:kern w:val="0"/>
                <w:szCs w:val="24"/>
              </w:rPr>
            </w:pPr>
            <w:r w:rsidRPr="00610639">
              <w:rPr>
                <w:rFonts w:cs="Times New Roman"/>
                <w:color w:val="000000" w:themeColor="text1"/>
                <w:kern w:val="0"/>
                <w:szCs w:val="24"/>
              </w:rPr>
              <w:t>The company's electricity supply reliability meets customer expectations.</w:t>
            </w:r>
          </w:p>
        </w:tc>
        <w:tc>
          <w:tcPr>
            <w:tcW w:w="567" w:type="dxa"/>
            <w:shd w:val="clear" w:color="auto" w:fill="auto"/>
          </w:tcPr>
          <w:p w14:paraId="435BC476" w14:textId="77777777" w:rsidR="002176B0" w:rsidRPr="00610639" w:rsidRDefault="002176B0" w:rsidP="0061149C">
            <w:pPr>
              <w:autoSpaceDE w:val="0"/>
              <w:autoSpaceDN w:val="0"/>
              <w:adjustRightInd w:val="0"/>
              <w:spacing w:after="0" w:line="240" w:lineRule="auto"/>
              <w:ind w:left="60" w:right="60"/>
              <w:jc w:val="both"/>
              <w:rPr>
                <w:rFonts w:cs="Times New Roman"/>
                <w:color w:val="000000" w:themeColor="text1"/>
                <w:kern w:val="0"/>
                <w:szCs w:val="24"/>
              </w:rPr>
            </w:pPr>
            <w:r w:rsidRPr="00610639">
              <w:rPr>
                <w:rFonts w:cs="Times New Roman"/>
                <w:color w:val="000000" w:themeColor="text1"/>
                <w:kern w:val="0"/>
                <w:szCs w:val="24"/>
              </w:rPr>
              <w:t>163</w:t>
            </w:r>
          </w:p>
        </w:tc>
        <w:tc>
          <w:tcPr>
            <w:tcW w:w="851" w:type="dxa"/>
            <w:shd w:val="clear" w:color="auto" w:fill="auto"/>
          </w:tcPr>
          <w:p w14:paraId="328CC6E6" w14:textId="77777777" w:rsidR="002176B0" w:rsidRPr="00610639" w:rsidRDefault="002176B0" w:rsidP="0061149C">
            <w:pPr>
              <w:autoSpaceDE w:val="0"/>
              <w:autoSpaceDN w:val="0"/>
              <w:adjustRightInd w:val="0"/>
              <w:spacing w:after="0" w:line="240" w:lineRule="auto"/>
              <w:ind w:left="60" w:right="60"/>
              <w:jc w:val="both"/>
              <w:rPr>
                <w:rFonts w:cs="Times New Roman"/>
                <w:color w:val="000000" w:themeColor="text1"/>
                <w:kern w:val="0"/>
                <w:szCs w:val="24"/>
              </w:rPr>
            </w:pPr>
            <w:r w:rsidRPr="00610639">
              <w:rPr>
                <w:rFonts w:cs="Times New Roman"/>
                <w:color w:val="000000" w:themeColor="text1"/>
                <w:kern w:val="0"/>
                <w:szCs w:val="24"/>
              </w:rPr>
              <w:t>2.8712</w:t>
            </w:r>
          </w:p>
        </w:tc>
        <w:tc>
          <w:tcPr>
            <w:tcW w:w="850" w:type="dxa"/>
            <w:shd w:val="clear" w:color="auto" w:fill="auto"/>
          </w:tcPr>
          <w:p w14:paraId="5DB72BD6" w14:textId="77777777" w:rsidR="002176B0" w:rsidRPr="00610639" w:rsidRDefault="002176B0" w:rsidP="0061149C">
            <w:pPr>
              <w:autoSpaceDE w:val="0"/>
              <w:autoSpaceDN w:val="0"/>
              <w:adjustRightInd w:val="0"/>
              <w:spacing w:after="0" w:line="240" w:lineRule="auto"/>
              <w:ind w:right="60"/>
              <w:jc w:val="both"/>
              <w:rPr>
                <w:rFonts w:cs="Times New Roman"/>
                <w:color w:val="000000" w:themeColor="text1"/>
                <w:kern w:val="0"/>
                <w:szCs w:val="24"/>
              </w:rPr>
            </w:pPr>
            <w:r w:rsidRPr="00610639">
              <w:rPr>
                <w:rFonts w:cs="Times New Roman"/>
                <w:color w:val="000000" w:themeColor="text1"/>
                <w:kern w:val="0"/>
                <w:szCs w:val="24"/>
              </w:rPr>
              <w:t>1.24299</w:t>
            </w:r>
          </w:p>
        </w:tc>
      </w:tr>
      <w:tr w:rsidR="002176B0" w:rsidRPr="00610639" w14:paraId="2591208A" w14:textId="77777777" w:rsidTr="00DB68AA">
        <w:trPr>
          <w:cantSplit/>
        </w:trPr>
        <w:tc>
          <w:tcPr>
            <w:tcW w:w="6809" w:type="dxa"/>
            <w:shd w:val="clear" w:color="auto" w:fill="auto"/>
          </w:tcPr>
          <w:p w14:paraId="0C13EEB7" w14:textId="77777777" w:rsidR="002176B0" w:rsidRPr="00610639" w:rsidRDefault="002176B0" w:rsidP="0061149C">
            <w:pPr>
              <w:autoSpaceDE w:val="0"/>
              <w:autoSpaceDN w:val="0"/>
              <w:adjustRightInd w:val="0"/>
              <w:spacing w:after="0" w:line="240" w:lineRule="auto"/>
              <w:ind w:left="60" w:right="60"/>
              <w:jc w:val="both"/>
              <w:rPr>
                <w:rFonts w:cs="Times New Roman"/>
                <w:color w:val="000000" w:themeColor="text1"/>
                <w:kern w:val="0"/>
                <w:szCs w:val="24"/>
              </w:rPr>
            </w:pPr>
            <w:r w:rsidRPr="00610639">
              <w:rPr>
                <w:rFonts w:cs="Times New Roman"/>
                <w:color w:val="000000" w:themeColor="text1"/>
                <w:kern w:val="0"/>
                <w:szCs w:val="24"/>
              </w:rPr>
              <w:t>Customers are satisfied with the timeliness of our response to their complaints.</w:t>
            </w:r>
          </w:p>
        </w:tc>
        <w:tc>
          <w:tcPr>
            <w:tcW w:w="567" w:type="dxa"/>
            <w:shd w:val="clear" w:color="auto" w:fill="auto"/>
          </w:tcPr>
          <w:p w14:paraId="73B99BA6" w14:textId="77777777" w:rsidR="002176B0" w:rsidRPr="00610639" w:rsidRDefault="002176B0" w:rsidP="0061149C">
            <w:pPr>
              <w:autoSpaceDE w:val="0"/>
              <w:autoSpaceDN w:val="0"/>
              <w:adjustRightInd w:val="0"/>
              <w:spacing w:after="0" w:line="240" w:lineRule="auto"/>
              <w:ind w:left="60" w:right="60"/>
              <w:jc w:val="both"/>
              <w:rPr>
                <w:rFonts w:cs="Times New Roman"/>
                <w:color w:val="000000" w:themeColor="text1"/>
                <w:kern w:val="0"/>
                <w:szCs w:val="24"/>
              </w:rPr>
            </w:pPr>
            <w:r w:rsidRPr="00610639">
              <w:rPr>
                <w:rFonts w:cs="Times New Roman"/>
                <w:color w:val="000000" w:themeColor="text1"/>
                <w:kern w:val="0"/>
                <w:szCs w:val="24"/>
              </w:rPr>
              <w:t>163</w:t>
            </w:r>
          </w:p>
        </w:tc>
        <w:tc>
          <w:tcPr>
            <w:tcW w:w="851" w:type="dxa"/>
            <w:shd w:val="clear" w:color="auto" w:fill="auto"/>
          </w:tcPr>
          <w:p w14:paraId="32951FD9" w14:textId="77777777" w:rsidR="002176B0" w:rsidRPr="00610639" w:rsidRDefault="002176B0" w:rsidP="0061149C">
            <w:pPr>
              <w:autoSpaceDE w:val="0"/>
              <w:autoSpaceDN w:val="0"/>
              <w:adjustRightInd w:val="0"/>
              <w:spacing w:after="0" w:line="240" w:lineRule="auto"/>
              <w:ind w:left="60" w:right="60"/>
              <w:jc w:val="both"/>
              <w:rPr>
                <w:rFonts w:cs="Times New Roman"/>
                <w:color w:val="000000" w:themeColor="text1"/>
                <w:kern w:val="0"/>
                <w:szCs w:val="24"/>
              </w:rPr>
            </w:pPr>
            <w:r w:rsidRPr="00610639">
              <w:rPr>
                <w:rFonts w:cs="Times New Roman"/>
                <w:color w:val="000000" w:themeColor="text1"/>
                <w:kern w:val="0"/>
                <w:szCs w:val="24"/>
              </w:rPr>
              <w:t>3.1840</w:t>
            </w:r>
          </w:p>
        </w:tc>
        <w:tc>
          <w:tcPr>
            <w:tcW w:w="850" w:type="dxa"/>
            <w:shd w:val="clear" w:color="auto" w:fill="auto"/>
          </w:tcPr>
          <w:p w14:paraId="1DF39B14" w14:textId="77777777" w:rsidR="002176B0" w:rsidRPr="00610639" w:rsidRDefault="002176B0" w:rsidP="0061149C">
            <w:pPr>
              <w:autoSpaceDE w:val="0"/>
              <w:autoSpaceDN w:val="0"/>
              <w:adjustRightInd w:val="0"/>
              <w:spacing w:after="0" w:line="240" w:lineRule="auto"/>
              <w:ind w:right="60"/>
              <w:jc w:val="both"/>
              <w:rPr>
                <w:rFonts w:cs="Times New Roman"/>
                <w:color w:val="000000" w:themeColor="text1"/>
                <w:kern w:val="0"/>
                <w:szCs w:val="24"/>
              </w:rPr>
            </w:pPr>
            <w:r w:rsidRPr="00610639">
              <w:rPr>
                <w:rFonts w:cs="Times New Roman"/>
                <w:color w:val="000000" w:themeColor="text1"/>
                <w:kern w:val="0"/>
                <w:szCs w:val="24"/>
              </w:rPr>
              <w:t>1.26315</w:t>
            </w:r>
          </w:p>
        </w:tc>
      </w:tr>
      <w:tr w:rsidR="002176B0" w:rsidRPr="00610639" w14:paraId="4B366465" w14:textId="77777777" w:rsidTr="00DB68AA">
        <w:trPr>
          <w:cantSplit/>
        </w:trPr>
        <w:tc>
          <w:tcPr>
            <w:tcW w:w="6809" w:type="dxa"/>
            <w:shd w:val="clear" w:color="auto" w:fill="auto"/>
          </w:tcPr>
          <w:p w14:paraId="4B9A128B" w14:textId="77777777" w:rsidR="002176B0" w:rsidRPr="00610639" w:rsidRDefault="002176B0" w:rsidP="0061149C">
            <w:pPr>
              <w:autoSpaceDE w:val="0"/>
              <w:autoSpaceDN w:val="0"/>
              <w:adjustRightInd w:val="0"/>
              <w:spacing w:after="0" w:line="240" w:lineRule="auto"/>
              <w:ind w:left="60" w:right="60"/>
              <w:jc w:val="both"/>
              <w:rPr>
                <w:rFonts w:cs="Times New Roman"/>
                <w:color w:val="000000" w:themeColor="text1"/>
                <w:kern w:val="0"/>
                <w:szCs w:val="24"/>
              </w:rPr>
            </w:pPr>
            <w:r w:rsidRPr="00610639">
              <w:rPr>
                <w:rFonts w:cs="Times New Roman"/>
                <w:color w:val="000000" w:themeColor="text1"/>
                <w:kern w:val="0"/>
                <w:szCs w:val="24"/>
              </w:rPr>
              <w:t>I think our customers are happy with the services we provide.</w:t>
            </w:r>
          </w:p>
        </w:tc>
        <w:tc>
          <w:tcPr>
            <w:tcW w:w="567" w:type="dxa"/>
            <w:shd w:val="clear" w:color="auto" w:fill="auto"/>
          </w:tcPr>
          <w:p w14:paraId="70C6321D" w14:textId="77777777" w:rsidR="002176B0" w:rsidRPr="00610639" w:rsidRDefault="002176B0" w:rsidP="0061149C">
            <w:pPr>
              <w:autoSpaceDE w:val="0"/>
              <w:autoSpaceDN w:val="0"/>
              <w:adjustRightInd w:val="0"/>
              <w:spacing w:after="0" w:line="240" w:lineRule="auto"/>
              <w:ind w:left="60" w:right="60"/>
              <w:jc w:val="both"/>
              <w:rPr>
                <w:rFonts w:cs="Times New Roman"/>
                <w:color w:val="000000" w:themeColor="text1"/>
                <w:kern w:val="0"/>
                <w:szCs w:val="24"/>
              </w:rPr>
            </w:pPr>
            <w:r w:rsidRPr="00610639">
              <w:rPr>
                <w:rFonts w:cs="Times New Roman"/>
                <w:color w:val="000000" w:themeColor="text1"/>
                <w:kern w:val="0"/>
                <w:szCs w:val="24"/>
              </w:rPr>
              <w:t>163</w:t>
            </w:r>
          </w:p>
        </w:tc>
        <w:tc>
          <w:tcPr>
            <w:tcW w:w="851" w:type="dxa"/>
            <w:shd w:val="clear" w:color="auto" w:fill="auto"/>
          </w:tcPr>
          <w:p w14:paraId="7E7D77A5" w14:textId="77777777" w:rsidR="002176B0" w:rsidRPr="00610639" w:rsidRDefault="002176B0" w:rsidP="0061149C">
            <w:pPr>
              <w:autoSpaceDE w:val="0"/>
              <w:autoSpaceDN w:val="0"/>
              <w:adjustRightInd w:val="0"/>
              <w:spacing w:after="0" w:line="240" w:lineRule="auto"/>
              <w:ind w:left="60" w:right="60"/>
              <w:jc w:val="both"/>
              <w:rPr>
                <w:rFonts w:cs="Times New Roman"/>
                <w:color w:val="000000" w:themeColor="text1"/>
                <w:kern w:val="0"/>
                <w:szCs w:val="24"/>
              </w:rPr>
            </w:pPr>
            <w:r w:rsidRPr="00610639">
              <w:rPr>
                <w:rFonts w:cs="Times New Roman"/>
                <w:color w:val="000000" w:themeColor="text1"/>
                <w:kern w:val="0"/>
                <w:szCs w:val="24"/>
              </w:rPr>
              <w:t>2.9755</w:t>
            </w:r>
          </w:p>
        </w:tc>
        <w:tc>
          <w:tcPr>
            <w:tcW w:w="850" w:type="dxa"/>
            <w:shd w:val="clear" w:color="auto" w:fill="auto"/>
          </w:tcPr>
          <w:p w14:paraId="2E63F18C" w14:textId="77777777" w:rsidR="002176B0" w:rsidRPr="00610639" w:rsidRDefault="002176B0" w:rsidP="0061149C">
            <w:pPr>
              <w:autoSpaceDE w:val="0"/>
              <w:autoSpaceDN w:val="0"/>
              <w:adjustRightInd w:val="0"/>
              <w:spacing w:after="0" w:line="240" w:lineRule="auto"/>
              <w:ind w:right="60"/>
              <w:jc w:val="both"/>
              <w:rPr>
                <w:rFonts w:cs="Times New Roman"/>
                <w:color w:val="000000" w:themeColor="text1"/>
                <w:kern w:val="0"/>
                <w:szCs w:val="24"/>
              </w:rPr>
            </w:pPr>
            <w:r w:rsidRPr="00610639">
              <w:rPr>
                <w:rFonts w:cs="Times New Roman"/>
                <w:color w:val="000000" w:themeColor="text1"/>
                <w:kern w:val="0"/>
                <w:szCs w:val="24"/>
              </w:rPr>
              <w:t>1.28116</w:t>
            </w:r>
          </w:p>
        </w:tc>
      </w:tr>
      <w:tr w:rsidR="002176B0" w:rsidRPr="00610639" w14:paraId="7939F06F" w14:textId="77777777" w:rsidTr="00DB68AA">
        <w:trPr>
          <w:cantSplit/>
        </w:trPr>
        <w:tc>
          <w:tcPr>
            <w:tcW w:w="6809" w:type="dxa"/>
            <w:shd w:val="clear" w:color="auto" w:fill="auto"/>
          </w:tcPr>
          <w:p w14:paraId="00B65D0C" w14:textId="77777777" w:rsidR="002176B0" w:rsidRPr="00610639" w:rsidRDefault="002176B0" w:rsidP="0061149C">
            <w:pPr>
              <w:autoSpaceDE w:val="0"/>
              <w:autoSpaceDN w:val="0"/>
              <w:adjustRightInd w:val="0"/>
              <w:spacing w:after="0" w:line="240" w:lineRule="auto"/>
              <w:ind w:left="60" w:right="60"/>
              <w:jc w:val="both"/>
              <w:rPr>
                <w:rFonts w:cs="Times New Roman"/>
                <w:color w:val="000000" w:themeColor="text1"/>
                <w:kern w:val="0"/>
                <w:szCs w:val="24"/>
              </w:rPr>
            </w:pPr>
            <w:r w:rsidRPr="00610639">
              <w:rPr>
                <w:rFonts w:cs="Times New Roman"/>
                <w:color w:val="000000" w:themeColor="text1"/>
                <w:kern w:val="0"/>
                <w:szCs w:val="24"/>
              </w:rPr>
              <w:t>Our customers are generally satisfied with the reliability of our electricity supply.</w:t>
            </w:r>
          </w:p>
        </w:tc>
        <w:tc>
          <w:tcPr>
            <w:tcW w:w="567" w:type="dxa"/>
            <w:shd w:val="clear" w:color="auto" w:fill="auto"/>
          </w:tcPr>
          <w:p w14:paraId="6F1C4D7A" w14:textId="77777777" w:rsidR="002176B0" w:rsidRPr="00610639" w:rsidRDefault="002176B0" w:rsidP="0061149C">
            <w:pPr>
              <w:autoSpaceDE w:val="0"/>
              <w:autoSpaceDN w:val="0"/>
              <w:adjustRightInd w:val="0"/>
              <w:spacing w:after="0" w:line="240" w:lineRule="auto"/>
              <w:ind w:left="60" w:right="60"/>
              <w:jc w:val="both"/>
              <w:rPr>
                <w:rFonts w:cs="Times New Roman"/>
                <w:color w:val="000000" w:themeColor="text1"/>
                <w:kern w:val="0"/>
                <w:szCs w:val="24"/>
              </w:rPr>
            </w:pPr>
            <w:r w:rsidRPr="00610639">
              <w:rPr>
                <w:rFonts w:cs="Times New Roman"/>
                <w:color w:val="000000" w:themeColor="text1"/>
                <w:kern w:val="0"/>
                <w:szCs w:val="24"/>
              </w:rPr>
              <w:t>163</w:t>
            </w:r>
          </w:p>
        </w:tc>
        <w:tc>
          <w:tcPr>
            <w:tcW w:w="851" w:type="dxa"/>
            <w:shd w:val="clear" w:color="auto" w:fill="auto"/>
          </w:tcPr>
          <w:p w14:paraId="2BD54366" w14:textId="77777777" w:rsidR="002176B0" w:rsidRPr="00610639" w:rsidRDefault="002176B0" w:rsidP="0061149C">
            <w:pPr>
              <w:autoSpaceDE w:val="0"/>
              <w:autoSpaceDN w:val="0"/>
              <w:adjustRightInd w:val="0"/>
              <w:spacing w:after="0" w:line="240" w:lineRule="auto"/>
              <w:ind w:left="60" w:right="60"/>
              <w:jc w:val="both"/>
              <w:rPr>
                <w:rFonts w:cs="Times New Roman"/>
                <w:color w:val="000000" w:themeColor="text1"/>
                <w:kern w:val="0"/>
                <w:szCs w:val="24"/>
              </w:rPr>
            </w:pPr>
            <w:r w:rsidRPr="00610639">
              <w:rPr>
                <w:rFonts w:cs="Times New Roman"/>
                <w:color w:val="000000" w:themeColor="text1"/>
                <w:kern w:val="0"/>
                <w:szCs w:val="24"/>
              </w:rPr>
              <w:t>3.0123</w:t>
            </w:r>
          </w:p>
        </w:tc>
        <w:tc>
          <w:tcPr>
            <w:tcW w:w="850" w:type="dxa"/>
            <w:shd w:val="clear" w:color="auto" w:fill="auto"/>
          </w:tcPr>
          <w:p w14:paraId="2F876BA9" w14:textId="77777777" w:rsidR="002176B0" w:rsidRPr="00610639" w:rsidRDefault="002176B0" w:rsidP="0061149C">
            <w:pPr>
              <w:autoSpaceDE w:val="0"/>
              <w:autoSpaceDN w:val="0"/>
              <w:adjustRightInd w:val="0"/>
              <w:spacing w:after="0" w:line="240" w:lineRule="auto"/>
              <w:ind w:right="60"/>
              <w:jc w:val="both"/>
              <w:rPr>
                <w:rFonts w:cs="Times New Roman"/>
                <w:color w:val="000000" w:themeColor="text1"/>
                <w:kern w:val="0"/>
                <w:szCs w:val="24"/>
              </w:rPr>
            </w:pPr>
            <w:r w:rsidRPr="00610639">
              <w:rPr>
                <w:rFonts w:cs="Times New Roman"/>
                <w:color w:val="000000" w:themeColor="text1"/>
                <w:kern w:val="0"/>
                <w:szCs w:val="24"/>
              </w:rPr>
              <w:t>1.14389</w:t>
            </w:r>
          </w:p>
        </w:tc>
      </w:tr>
      <w:tr w:rsidR="002176B0" w:rsidRPr="00610639" w14:paraId="5CF6B277" w14:textId="77777777" w:rsidTr="00DB68AA">
        <w:trPr>
          <w:cantSplit/>
        </w:trPr>
        <w:tc>
          <w:tcPr>
            <w:tcW w:w="6809" w:type="dxa"/>
            <w:shd w:val="clear" w:color="auto" w:fill="auto"/>
          </w:tcPr>
          <w:p w14:paraId="3EC9BB73" w14:textId="77777777" w:rsidR="002176B0" w:rsidRPr="00610639" w:rsidRDefault="002176B0" w:rsidP="0061149C">
            <w:pPr>
              <w:autoSpaceDE w:val="0"/>
              <w:autoSpaceDN w:val="0"/>
              <w:adjustRightInd w:val="0"/>
              <w:spacing w:after="0" w:line="240" w:lineRule="auto"/>
              <w:ind w:left="60" w:right="60"/>
              <w:jc w:val="both"/>
              <w:rPr>
                <w:rFonts w:cs="Times New Roman"/>
                <w:color w:val="000000" w:themeColor="text1"/>
                <w:kern w:val="0"/>
                <w:szCs w:val="24"/>
              </w:rPr>
            </w:pPr>
            <w:r w:rsidRPr="00610639">
              <w:rPr>
                <w:rFonts w:cs="Times New Roman"/>
                <w:color w:val="000000" w:themeColor="text1"/>
                <w:kern w:val="0"/>
                <w:szCs w:val="24"/>
              </w:rPr>
              <w:t>Customers appreciate our prompt response to their complaints and inquiries.</w:t>
            </w:r>
          </w:p>
        </w:tc>
        <w:tc>
          <w:tcPr>
            <w:tcW w:w="567" w:type="dxa"/>
            <w:shd w:val="clear" w:color="auto" w:fill="auto"/>
          </w:tcPr>
          <w:p w14:paraId="5C28FE9F" w14:textId="77777777" w:rsidR="002176B0" w:rsidRPr="00610639" w:rsidRDefault="002176B0" w:rsidP="0061149C">
            <w:pPr>
              <w:autoSpaceDE w:val="0"/>
              <w:autoSpaceDN w:val="0"/>
              <w:adjustRightInd w:val="0"/>
              <w:spacing w:after="0" w:line="240" w:lineRule="auto"/>
              <w:ind w:left="60" w:right="60"/>
              <w:jc w:val="both"/>
              <w:rPr>
                <w:rFonts w:cs="Times New Roman"/>
                <w:color w:val="000000" w:themeColor="text1"/>
                <w:kern w:val="0"/>
                <w:szCs w:val="24"/>
              </w:rPr>
            </w:pPr>
            <w:r w:rsidRPr="00610639">
              <w:rPr>
                <w:rFonts w:cs="Times New Roman"/>
                <w:color w:val="000000" w:themeColor="text1"/>
                <w:kern w:val="0"/>
                <w:szCs w:val="24"/>
              </w:rPr>
              <w:t>163</w:t>
            </w:r>
          </w:p>
        </w:tc>
        <w:tc>
          <w:tcPr>
            <w:tcW w:w="851" w:type="dxa"/>
            <w:shd w:val="clear" w:color="auto" w:fill="auto"/>
          </w:tcPr>
          <w:p w14:paraId="2BBCFD6B" w14:textId="77777777" w:rsidR="002176B0" w:rsidRPr="00610639" w:rsidRDefault="002176B0" w:rsidP="0061149C">
            <w:pPr>
              <w:autoSpaceDE w:val="0"/>
              <w:autoSpaceDN w:val="0"/>
              <w:adjustRightInd w:val="0"/>
              <w:spacing w:after="0" w:line="240" w:lineRule="auto"/>
              <w:ind w:left="60" w:right="60"/>
              <w:jc w:val="both"/>
              <w:rPr>
                <w:rFonts w:cs="Times New Roman"/>
                <w:color w:val="000000" w:themeColor="text1"/>
                <w:kern w:val="0"/>
                <w:szCs w:val="24"/>
              </w:rPr>
            </w:pPr>
            <w:r w:rsidRPr="00610639">
              <w:rPr>
                <w:rFonts w:cs="Times New Roman"/>
                <w:color w:val="000000" w:themeColor="text1"/>
                <w:kern w:val="0"/>
                <w:szCs w:val="24"/>
              </w:rPr>
              <w:t>3.1227</w:t>
            </w:r>
          </w:p>
        </w:tc>
        <w:tc>
          <w:tcPr>
            <w:tcW w:w="850" w:type="dxa"/>
            <w:shd w:val="clear" w:color="auto" w:fill="auto"/>
          </w:tcPr>
          <w:p w14:paraId="0C52BBAE" w14:textId="77777777" w:rsidR="002176B0" w:rsidRPr="00610639" w:rsidRDefault="002176B0" w:rsidP="0061149C">
            <w:pPr>
              <w:autoSpaceDE w:val="0"/>
              <w:autoSpaceDN w:val="0"/>
              <w:adjustRightInd w:val="0"/>
              <w:spacing w:after="0" w:line="240" w:lineRule="auto"/>
              <w:ind w:right="60"/>
              <w:jc w:val="both"/>
              <w:rPr>
                <w:rFonts w:cs="Times New Roman"/>
                <w:color w:val="000000" w:themeColor="text1"/>
                <w:kern w:val="0"/>
                <w:szCs w:val="24"/>
              </w:rPr>
            </w:pPr>
            <w:r w:rsidRPr="00610639">
              <w:rPr>
                <w:rFonts w:cs="Times New Roman"/>
                <w:color w:val="000000" w:themeColor="text1"/>
                <w:kern w:val="0"/>
                <w:szCs w:val="24"/>
              </w:rPr>
              <w:t>1.22108</w:t>
            </w:r>
          </w:p>
        </w:tc>
      </w:tr>
      <w:tr w:rsidR="002176B0" w:rsidRPr="00610639" w14:paraId="7C31DF9D" w14:textId="77777777" w:rsidTr="00DB68AA">
        <w:trPr>
          <w:cantSplit/>
        </w:trPr>
        <w:tc>
          <w:tcPr>
            <w:tcW w:w="6809" w:type="dxa"/>
            <w:shd w:val="clear" w:color="auto" w:fill="auto"/>
          </w:tcPr>
          <w:p w14:paraId="7F29582B" w14:textId="77777777" w:rsidR="002176B0" w:rsidRPr="00610639" w:rsidRDefault="002176B0" w:rsidP="0061149C">
            <w:pPr>
              <w:autoSpaceDE w:val="0"/>
              <w:autoSpaceDN w:val="0"/>
              <w:adjustRightInd w:val="0"/>
              <w:spacing w:after="0" w:line="240" w:lineRule="auto"/>
              <w:ind w:left="60" w:right="60"/>
              <w:jc w:val="both"/>
              <w:rPr>
                <w:rFonts w:cs="Times New Roman"/>
                <w:color w:val="000000" w:themeColor="text1"/>
                <w:kern w:val="0"/>
                <w:szCs w:val="24"/>
              </w:rPr>
            </w:pPr>
            <w:r w:rsidRPr="00610639">
              <w:rPr>
                <w:rFonts w:cs="Times New Roman"/>
                <w:color w:val="000000" w:themeColor="text1"/>
                <w:kern w:val="0"/>
                <w:szCs w:val="24"/>
              </w:rPr>
              <w:t>Our customers are happy with the overall quality of our services.</w:t>
            </w:r>
          </w:p>
        </w:tc>
        <w:tc>
          <w:tcPr>
            <w:tcW w:w="567" w:type="dxa"/>
            <w:shd w:val="clear" w:color="auto" w:fill="auto"/>
          </w:tcPr>
          <w:p w14:paraId="70285AC3" w14:textId="77777777" w:rsidR="002176B0" w:rsidRPr="00610639" w:rsidRDefault="002176B0" w:rsidP="0061149C">
            <w:pPr>
              <w:autoSpaceDE w:val="0"/>
              <w:autoSpaceDN w:val="0"/>
              <w:adjustRightInd w:val="0"/>
              <w:spacing w:after="0" w:line="240" w:lineRule="auto"/>
              <w:ind w:left="60" w:right="60"/>
              <w:jc w:val="both"/>
              <w:rPr>
                <w:rFonts w:cs="Times New Roman"/>
                <w:color w:val="000000" w:themeColor="text1"/>
                <w:kern w:val="0"/>
                <w:szCs w:val="24"/>
              </w:rPr>
            </w:pPr>
            <w:r w:rsidRPr="00610639">
              <w:rPr>
                <w:rFonts w:cs="Times New Roman"/>
                <w:color w:val="000000" w:themeColor="text1"/>
                <w:kern w:val="0"/>
                <w:szCs w:val="24"/>
              </w:rPr>
              <w:t>163</w:t>
            </w:r>
          </w:p>
        </w:tc>
        <w:tc>
          <w:tcPr>
            <w:tcW w:w="851" w:type="dxa"/>
            <w:shd w:val="clear" w:color="auto" w:fill="auto"/>
          </w:tcPr>
          <w:p w14:paraId="572ECF78" w14:textId="77777777" w:rsidR="002176B0" w:rsidRPr="00610639" w:rsidRDefault="002176B0" w:rsidP="0061149C">
            <w:pPr>
              <w:autoSpaceDE w:val="0"/>
              <w:autoSpaceDN w:val="0"/>
              <w:adjustRightInd w:val="0"/>
              <w:spacing w:after="0" w:line="240" w:lineRule="auto"/>
              <w:ind w:left="60" w:right="60"/>
              <w:jc w:val="both"/>
              <w:rPr>
                <w:rFonts w:cs="Times New Roman"/>
                <w:color w:val="000000" w:themeColor="text1"/>
                <w:kern w:val="0"/>
                <w:szCs w:val="24"/>
              </w:rPr>
            </w:pPr>
            <w:r w:rsidRPr="00610639">
              <w:rPr>
                <w:rFonts w:cs="Times New Roman"/>
                <w:color w:val="000000" w:themeColor="text1"/>
                <w:kern w:val="0"/>
                <w:szCs w:val="24"/>
              </w:rPr>
              <w:t>2.9018</w:t>
            </w:r>
          </w:p>
        </w:tc>
        <w:tc>
          <w:tcPr>
            <w:tcW w:w="850" w:type="dxa"/>
            <w:shd w:val="clear" w:color="auto" w:fill="auto"/>
          </w:tcPr>
          <w:p w14:paraId="39DA0656" w14:textId="77777777" w:rsidR="002176B0" w:rsidRPr="00610639" w:rsidRDefault="002176B0" w:rsidP="0061149C">
            <w:pPr>
              <w:autoSpaceDE w:val="0"/>
              <w:autoSpaceDN w:val="0"/>
              <w:adjustRightInd w:val="0"/>
              <w:spacing w:after="0" w:line="240" w:lineRule="auto"/>
              <w:ind w:right="60"/>
              <w:jc w:val="both"/>
              <w:rPr>
                <w:rFonts w:cs="Times New Roman"/>
                <w:color w:val="000000" w:themeColor="text1"/>
                <w:kern w:val="0"/>
                <w:szCs w:val="24"/>
              </w:rPr>
            </w:pPr>
            <w:r w:rsidRPr="00610639">
              <w:rPr>
                <w:rFonts w:cs="Times New Roman"/>
                <w:color w:val="000000" w:themeColor="text1"/>
                <w:kern w:val="0"/>
                <w:szCs w:val="24"/>
              </w:rPr>
              <w:t>1.32038</w:t>
            </w:r>
          </w:p>
        </w:tc>
      </w:tr>
      <w:tr w:rsidR="002176B0" w:rsidRPr="00610639" w14:paraId="5BAA56F6" w14:textId="77777777" w:rsidTr="00DB68AA">
        <w:trPr>
          <w:cantSplit/>
        </w:trPr>
        <w:tc>
          <w:tcPr>
            <w:tcW w:w="6809" w:type="dxa"/>
            <w:shd w:val="clear" w:color="auto" w:fill="auto"/>
          </w:tcPr>
          <w:p w14:paraId="205C8A17" w14:textId="77777777" w:rsidR="002176B0" w:rsidRPr="00610639" w:rsidRDefault="002176B0" w:rsidP="0061149C">
            <w:pPr>
              <w:autoSpaceDE w:val="0"/>
              <w:autoSpaceDN w:val="0"/>
              <w:adjustRightInd w:val="0"/>
              <w:spacing w:after="0" w:line="240" w:lineRule="auto"/>
              <w:ind w:left="60" w:right="60"/>
              <w:jc w:val="both"/>
              <w:rPr>
                <w:rFonts w:cs="Times New Roman"/>
                <w:color w:val="000000" w:themeColor="text1"/>
                <w:kern w:val="0"/>
                <w:szCs w:val="24"/>
              </w:rPr>
            </w:pPr>
            <w:r w:rsidRPr="00610639">
              <w:rPr>
                <w:rFonts w:cs="Times New Roman"/>
                <w:color w:val="000000" w:themeColor="text1"/>
                <w:kern w:val="0"/>
                <w:szCs w:val="24"/>
              </w:rPr>
              <w:t>Customers find our billing and payment processes easy and convenient.</w:t>
            </w:r>
          </w:p>
        </w:tc>
        <w:tc>
          <w:tcPr>
            <w:tcW w:w="567" w:type="dxa"/>
            <w:shd w:val="clear" w:color="auto" w:fill="auto"/>
          </w:tcPr>
          <w:p w14:paraId="192A582B" w14:textId="77777777" w:rsidR="002176B0" w:rsidRPr="00610639" w:rsidRDefault="002176B0" w:rsidP="0061149C">
            <w:pPr>
              <w:autoSpaceDE w:val="0"/>
              <w:autoSpaceDN w:val="0"/>
              <w:adjustRightInd w:val="0"/>
              <w:spacing w:after="0" w:line="240" w:lineRule="auto"/>
              <w:ind w:left="60" w:right="60"/>
              <w:jc w:val="both"/>
              <w:rPr>
                <w:rFonts w:cs="Times New Roman"/>
                <w:color w:val="000000" w:themeColor="text1"/>
                <w:kern w:val="0"/>
                <w:szCs w:val="24"/>
              </w:rPr>
            </w:pPr>
            <w:r w:rsidRPr="00610639">
              <w:rPr>
                <w:rFonts w:cs="Times New Roman"/>
                <w:color w:val="000000" w:themeColor="text1"/>
                <w:kern w:val="0"/>
                <w:szCs w:val="24"/>
              </w:rPr>
              <w:t>163</w:t>
            </w:r>
          </w:p>
        </w:tc>
        <w:tc>
          <w:tcPr>
            <w:tcW w:w="851" w:type="dxa"/>
            <w:shd w:val="clear" w:color="auto" w:fill="auto"/>
          </w:tcPr>
          <w:p w14:paraId="08852BDD" w14:textId="77777777" w:rsidR="002176B0" w:rsidRPr="00610639" w:rsidRDefault="002176B0" w:rsidP="0061149C">
            <w:pPr>
              <w:autoSpaceDE w:val="0"/>
              <w:autoSpaceDN w:val="0"/>
              <w:adjustRightInd w:val="0"/>
              <w:spacing w:after="0" w:line="240" w:lineRule="auto"/>
              <w:ind w:left="60" w:right="60"/>
              <w:jc w:val="both"/>
              <w:rPr>
                <w:rFonts w:cs="Times New Roman"/>
                <w:color w:val="000000" w:themeColor="text1"/>
                <w:kern w:val="0"/>
                <w:szCs w:val="24"/>
              </w:rPr>
            </w:pPr>
            <w:r w:rsidRPr="00610639">
              <w:rPr>
                <w:rFonts w:cs="Times New Roman"/>
                <w:color w:val="000000" w:themeColor="text1"/>
                <w:kern w:val="0"/>
                <w:szCs w:val="24"/>
              </w:rPr>
              <w:t>3.4969</w:t>
            </w:r>
          </w:p>
        </w:tc>
        <w:tc>
          <w:tcPr>
            <w:tcW w:w="850" w:type="dxa"/>
            <w:shd w:val="clear" w:color="auto" w:fill="auto"/>
          </w:tcPr>
          <w:p w14:paraId="77F06046" w14:textId="3F8ECFBD" w:rsidR="002176B0" w:rsidRPr="00610639" w:rsidRDefault="002176B0" w:rsidP="0061149C">
            <w:pPr>
              <w:autoSpaceDE w:val="0"/>
              <w:autoSpaceDN w:val="0"/>
              <w:adjustRightInd w:val="0"/>
              <w:spacing w:after="0" w:line="240" w:lineRule="auto"/>
              <w:ind w:right="60"/>
              <w:jc w:val="both"/>
              <w:rPr>
                <w:rFonts w:cs="Times New Roman"/>
                <w:color w:val="000000" w:themeColor="text1"/>
                <w:kern w:val="0"/>
                <w:szCs w:val="24"/>
              </w:rPr>
            </w:pPr>
            <w:r w:rsidRPr="00610639">
              <w:rPr>
                <w:rFonts w:cs="Times New Roman"/>
                <w:color w:val="000000" w:themeColor="text1"/>
                <w:kern w:val="0"/>
                <w:szCs w:val="24"/>
              </w:rPr>
              <w:t>1.10763</w:t>
            </w:r>
          </w:p>
        </w:tc>
      </w:tr>
      <w:tr w:rsidR="002176B0" w:rsidRPr="00610639" w14:paraId="7EA8080B" w14:textId="77777777" w:rsidTr="00DB68AA">
        <w:trPr>
          <w:cantSplit/>
        </w:trPr>
        <w:tc>
          <w:tcPr>
            <w:tcW w:w="6809" w:type="dxa"/>
            <w:shd w:val="clear" w:color="auto" w:fill="auto"/>
          </w:tcPr>
          <w:p w14:paraId="30D70D2F" w14:textId="77777777" w:rsidR="002176B0" w:rsidRPr="00610639" w:rsidRDefault="002176B0" w:rsidP="0061149C">
            <w:pPr>
              <w:autoSpaceDE w:val="0"/>
              <w:autoSpaceDN w:val="0"/>
              <w:adjustRightInd w:val="0"/>
              <w:spacing w:after="0" w:line="240" w:lineRule="auto"/>
              <w:ind w:left="60" w:right="60"/>
              <w:jc w:val="both"/>
              <w:rPr>
                <w:rFonts w:cs="Times New Roman"/>
                <w:color w:val="000000" w:themeColor="text1"/>
                <w:kern w:val="0"/>
                <w:szCs w:val="24"/>
              </w:rPr>
            </w:pPr>
            <w:r w:rsidRPr="00610639">
              <w:rPr>
                <w:rFonts w:cs="Times New Roman"/>
                <w:color w:val="000000" w:themeColor="text1"/>
                <w:kern w:val="0"/>
                <w:szCs w:val="24"/>
              </w:rPr>
              <w:t>Our customers would recommend our services to others.</w:t>
            </w:r>
          </w:p>
        </w:tc>
        <w:tc>
          <w:tcPr>
            <w:tcW w:w="567" w:type="dxa"/>
            <w:shd w:val="clear" w:color="auto" w:fill="auto"/>
          </w:tcPr>
          <w:p w14:paraId="45219A8B" w14:textId="77777777" w:rsidR="002176B0" w:rsidRPr="00610639" w:rsidRDefault="002176B0" w:rsidP="0061149C">
            <w:pPr>
              <w:autoSpaceDE w:val="0"/>
              <w:autoSpaceDN w:val="0"/>
              <w:adjustRightInd w:val="0"/>
              <w:spacing w:after="0" w:line="240" w:lineRule="auto"/>
              <w:ind w:left="60" w:right="60"/>
              <w:jc w:val="both"/>
              <w:rPr>
                <w:rFonts w:cs="Times New Roman"/>
                <w:color w:val="000000" w:themeColor="text1"/>
                <w:kern w:val="0"/>
                <w:szCs w:val="24"/>
              </w:rPr>
            </w:pPr>
            <w:r w:rsidRPr="00610639">
              <w:rPr>
                <w:rFonts w:cs="Times New Roman"/>
                <w:color w:val="000000" w:themeColor="text1"/>
                <w:kern w:val="0"/>
                <w:szCs w:val="24"/>
              </w:rPr>
              <w:t>163</w:t>
            </w:r>
          </w:p>
        </w:tc>
        <w:tc>
          <w:tcPr>
            <w:tcW w:w="851" w:type="dxa"/>
            <w:shd w:val="clear" w:color="auto" w:fill="auto"/>
          </w:tcPr>
          <w:p w14:paraId="35329180" w14:textId="77777777" w:rsidR="002176B0" w:rsidRPr="00610639" w:rsidRDefault="002176B0" w:rsidP="0061149C">
            <w:pPr>
              <w:autoSpaceDE w:val="0"/>
              <w:autoSpaceDN w:val="0"/>
              <w:adjustRightInd w:val="0"/>
              <w:spacing w:after="0" w:line="240" w:lineRule="auto"/>
              <w:ind w:left="60" w:right="60"/>
              <w:jc w:val="both"/>
              <w:rPr>
                <w:rFonts w:cs="Times New Roman"/>
                <w:color w:val="000000" w:themeColor="text1"/>
                <w:kern w:val="0"/>
                <w:szCs w:val="24"/>
              </w:rPr>
            </w:pPr>
            <w:r w:rsidRPr="00610639">
              <w:rPr>
                <w:rFonts w:cs="Times New Roman"/>
                <w:color w:val="000000" w:themeColor="text1"/>
                <w:kern w:val="0"/>
                <w:szCs w:val="24"/>
              </w:rPr>
              <w:t>2.8650</w:t>
            </w:r>
          </w:p>
        </w:tc>
        <w:tc>
          <w:tcPr>
            <w:tcW w:w="850" w:type="dxa"/>
            <w:shd w:val="clear" w:color="auto" w:fill="auto"/>
          </w:tcPr>
          <w:p w14:paraId="7004AE85" w14:textId="77777777" w:rsidR="002176B0" w:rsidRPr="00610639" w:rsidRDefault="002176B0" w:rsidP="0061149C">
            <w:pPr>
              <w:autoSpaceDE w:val="0"/>
              <w:autoSpaceDN w:val="0"/>
              <w:adjustRightInd w:val="0"/>
              <w:spacing w:after="0" w:line="240" w:lineRule="auto"/>
              <w:ind w:right="60"/>
              <w:jc w:val="both"/>
              <w:rPr>
                <w:rFonts w:cs="Times New Roman"/>
                <w:color w:val="000000" w:themeColor="text1"/>
                <w:kern w:val="0"/>
                <w:szCs w:val="24"/>
              </w:rPr>
            </w:pPr>
            <w:r w:rsidRPr="00610639">
              <w:rPr>
                <w:rFonts w:cs="Times New Roman"/>
                <w:color w:val="000000" w:themeColor="text1"/>
                <w:kern w:val="0"/>
                <w:szCs w:val="24"/>
              </w:rPr>
              <w:t>1.16807</w:t>
            </w:r>
          </w:p>
        </w:tc>
      </w:tr>
      <w:tr w:rsidR="002176B0" w:rsidRPr="00610639" w14:paraId="435F4742" w14:textId="77777777" w:rsidTr="00DB68AA">
        <w:trPr>
          <w:cantSplit/>
        </w:trPr>
        <w:tc>
          <w:tcPr>
            <w:tcW w:w="6809" w:type="dxa"/>
            <w:shd w:val="clear" w:color="auto" w:fill="auto"/>
          </w:tcPr>
          <w:p w14:paraId="0F498536" w14:textId="77777777" w:rsidR="002176B0" w:rsidRPr="00610639" w:rsidRDefault="002176B0" w:rsidP="0061149C">
            <w:pPr>
              <w:autoSpaceDE w:val="0"/>
              <w:autoSpaceDN w:val="0"/>
              <w:adjustRightInd w:val="0"/>
              <w:spacing w:after="0" w:line="240" w:lineRule="auto"/>
              <w:ind w:left="60" w:right="60"/>
              <w:jc w:val="both"/>
              <w:rPr>
                <w:rFonts w:cs="Times New Roman"/>
                <w:b/>
                <w:color w:val="000000" w:themeColor="text1"/>
                <w:kern w:val="0"/>
                <w:szCs w:val="24"/>
              </w:rPr>
            </w:pPr>
            <w:r w:rsidRPr="00610639">
              <w:rPr>
                <w:rFonts w:cs="Times New Roman"/>
                <w:b/>
                <w:color w:val="000000" w:themeColor="text1"/>
                <w:kern w:val="0"/>
                <w:szCs w:val="24"/>
              </w:rPr>
              <w:t>Valid N (listwise)</w:t>
            </w:r>
          </w:p>
        </w:tc>
        <w:tc>
          <w:tcPr>
            <w:tcW w:w="567" w:type="dxa"/>
            <w:shd w:val="clear" w:color="auto" w:fill="auto"/>
          </w:tcPr>
          <w:p w14:paraId="76BFC3B4" w14:textId="77777777" w:rsidR="00610639" w:rsidRDefault="00610639" w:rsidP="0061149C">
            <w:pPr>
              <w:autoSpaceDE w:val="0"/>
              <w:autoSpaceDN w:val="0"/>
              <w:adjustRightInd w:val="0"/>
              <w:spacing w:after="0" w:line="240" w:lineRule="auto"/>
              <w:ind w:left="60" w:right="60"/>
              <w:jc w:val="both"/>
              <w:rPr>
                <w:rFonts w:cs="Times New Roman"/>
                <w:b/>
                <w:color w:val="000000" w:themeColor="text1"/>
                <w:kern w:val="0"/>
                <w:szCs w:val="24"/>
              </w:rPr>
            </w:pPr>
          </w:p>
          <w:p w14:paraId="12881BCC" w14:textId="5020007E" w:rsidR="002176B0" w:rsidRPr="00610639" w:rsidRDefault="002176B0" w:rsidP="0061149C">
            <w:pPr>
              <w:autoSpaceDE w:val="0"/>
              <w:autoSpaceDN w:val="0"/>
              <w:adjustRightInd w:val="0"/>
              <w:spacing w:after="0" w:line="240" w:lineRule="auto"/>
              <w:ind w:left="60" w:right="60"/>
              <w:jc w:val="both"/>
              <w:rPr>
                <w:rFonts w:cs="Times New Roman"/>
                <w:b/>
                <w:color w:val="000000" w:themeColor="text1"/>
                <w:kern w:val="0"/>
                <w:szCs w:val="24"/>
              </w:rPr>
            </w:pPr>
            <w:r w:rsidRPr="00610639">
              <w:rPr>
                <w:rFonts w:cs="Times New Roman"/>
                <w:b/>
                <w:color w:val="000000" w:themeColor="text1"/>
                <w:kern w:val="0"/>
                <w:szCs w:val="24"/>
              </w:rPr>
              <w:t>163</w:t>
            </w:r>
          </w:p>
        </w:tc>
        <w:tc>
          <w:tcPr>
            <w:tcW w:w="851" w:type="dxa"/>
            <w:shd w:val="clear" w:color="auto" w:fill="auto"/>
            <w:vAlign w:val="center"/>
          </w:tcPr>
          <w:p w14:paraId="30B9707C" w14:textId="77777777" w:rsidR="00610639" w:rsidRDefault="00610639" w:rsidP="0061149C">
            <w:pPr>
              <w:autoSpaceDE w:val="0"/>
              <w:autoSpaceDN w:val="0"/>
              <w:adjustRightInd w:val="0"/>
              <w:spacing w:after="0" w:line="240" w:lineRule="auto"/>
              <w:ind w:left="60" w:right="60"/>
              <w:jc w:val="both"/>
              <w:rPr>
                <w:rFonts w:cs="Times New Roman"/>
                <w:b/>
                <w:color w:val="000000" w:themeColor="text1"/>
                <w:kern w:val="0"/>
                <w:szCs w:val="24"/>
              </w:rPr>
            </w:pPr>
          </w:p>
          <w:p w14:paraId="0A9F16E9" w14:textId="35C3B9BE" w:rsidR="002176B0" w:rsidRPr="00610639" w:rsidRDefault="002176B0" w:rsidP="0061149C">
            <w:pPr>
              <w:autoSpaceDE w:val="0"/>
              <w:autoSpaceDN w:val="0"/>
              <w:adjustRightInd w:val="0"/>
              <w:spacing w:after="0" w:line="240" w:lineRule="auto"/>
              <w:ind w:right="60"/>
              <w:jc w:val="both"/>
              <w:rPr>
                <w:rFonts w:cs="Times New Roman"/>
                <w:b/>
                <w:color w:val="000000" w:themeColor="text1"/>
                <w:kern w:val="0"/>
                <w:szCs w:val="24"/>
              </w:rPr>
            </w:pPr>
            <w:r w:rsidRPr="00610639">
              <w:rPr>
                <w:rFonts w:cs="Times New Roman"/>
                <w:b/>
                <w:color w:val="000000" w:themeColor="text1"/>
                <w:kern w:val="0"/>
                <w:szCs w:val="24"/>
              </w:rPr>
              <w:fldChar w:fldCharType="begin"/>
            </w:r>
            <w:r w:rsidRPr="00610639">
              <w:rPr>
                <w:rFonts w:cs="Times New Roman"/>
                <w:b/>
                <w:color w:val="000000" w:themeColor="text1"/>
                <w:kern w:val="0"/>
                <w:szCs w:val="24"/>
              </w:rPr>
              <w:instrText xml:space="preserve"> =SUM(ABOVE)/10 </w:instrText>
            </w:r>
            <w:r w:rsidRPr="00610639">
              <w:rPr>
                <w:rFonts w:cs="Times New Roman"/>
                <w:b/>
                <w:color w:val="000000" w:themeColor="text1"/>
                <w:kern w:val="0"/>
                <w:szCs w:val="24"/>
              </w:rPr>
              <w:fldChar w:fldCharType="separate"/>
            </w:r>
            <w:r w:rsidRPr="00610639">
              <w:rPr>
                <w:rFonts w:cs="Times New Roman"/>
                <w:b/>
                <w:color w:val="000000" w:themeColor="text1"/>
                <w:kern w:val="0"/>
                <w:szCs w:val="24"/>
              </w:rPr>
              <w:t>3.0699</w:t>
            </w:r>
            <w:r w:rsidRPr="00610639">
              <w:rPr>
                <w:rFonts w:cs="Times New Roman"/>
                <w:b/>
                <w:color w:val="000000" w:themeColor="text1"/>
                <w:kern w:val="0"/>
                <w:szCs w:val="24"/>
              </w:rPr>
              <w:fldChar w:fldCharType="end"/>
            </w:r>
          </w:p>
        </w:tc>
        <w:tc>
          <w:tcPr>
            <w:tcW w:w="850" w:type="dxa"/>
            <w:shd w:val="clear" w:color="auto" w:fill="auto"/>
            <w:vAlign w:val="center"/>
          </w:tcPr>
          <w:p w14:paraId="59E05481" w14:textId="77777777" w:rsidR="00610639" w:rsidRDefault="00610639" w:rsidP="0061149C">
            <w:pPr>
              <w:autoSpaceDE w:val="0"/>
              <w:autoSpaceDN w:val="0"/>
              <w:adjustRightInd w:val="0"/>
              <w:spacing w:after="0" w:line="240" w:lineRule="auto"/>
              <w:ind w:right="60"/>
              <w:jc w:val="both"/>
              <w:rPr>
                <w:rFonts w:cs="Times New Roman"/>
                <w:b/>
                <w:color w:val="000000" w:themeColor="text1"/>
                <w:kern w:val="0"/>
                <w:szCs w:val="24"/>
              </w:rPr>
            </w:pPr>
          </w:p>
          <w:p w14:paraId="143EAC28" w14:textId="551D234E" w:rsidR="002176B0" w:rsidRPr="00610639" w:rsidRDefault="002176B0" w:rsidP="0061149C">
            <w:pPr>
              <w:autoSpaceDE w:val="0"/>
              <w:autoSpaceDN w:val="0"/>
              <w:adjustRightInd w:val="0"/>
              <w:spacing w:after="0" w:line="240" w:lineRule="auto"/>
              <w:ind w:right="60"/>
              <w:jc w:val="both"/>
              <w:rPr>
                <w:rFonts w:cs="Times New Roman"/>
                <w:b/>
                <w:color w:val="000000" w:themeColor="text1"/>
                <w:kern w:val="0"/>
                <w:szCs w:val="24"/>
              </w:rPr>
            </w:pPr>
            <w:r w:rsidRPr="00610639">
              <w:rPr>
                <w:rFonts w:cs="Times New Roman"/>
                <w:b/>
                <w:color w:val="000000" w:themeColor="text1"/>
                <w:kern w:val="0"/>
                <w:szCs w:val="24"/>
              </w:rPr>
              <w:fldChar w:fldCharType="begin"/>
            </w:r>
            <w:r w:rsidRPr="00610639">
              <w:rPr>
                <w:rFonts w:cs="Times New Roman"/>
                <w:b/>
                <w:color w:val="000000" w:themeColor="text1"/>
                <w:kern w:val="0"/>
                <w:szCs w:val="24"/>
              </w:rPr>
              <w:instrText xml:space="preserve"> =SUM(ABOVE)/10 </w:instrText>
            </w:r>
            <w:r w:rsidRPr="00610639">
              <w:rPr>
                <w:rFonts w:cs="Times New Roman"/>
                <w:b/>
                <w:color w:val="000000" w:themeColor="text1"/>
                <w:kern w:val="0"/>
                <w:szCs w:val="24"/>
              </w:rPr>
              <w:fldChar w:fldCharType="separate"/>
            </w:r>
            <w:r w:rsidRPr="00610639">
              <w:rPr>
                <w:rFonts w:cs="Times New Roman"/>
                <w:b/>
                <w:color w:val="000000" w:themeColor="text1"/>
                <w:kern w:val="0"/>
                <w:szCs w:val="24"/>
              </w:rPr>
              <w:t>1.22774</w:t>
            </w:r>
            <w:r w:rsidRPr="00610639">
              <w:rPr>
                <w:rFonts w:cs="Times New Roman"/>
                <w:b/>
                <w:color w:val="000000" w:themeColor="text1"/>
                <w:kern w:val="0"/>
                <w:szCs w:val="24"/>
              </w:rPr>
              <w:fldChar w:fldCharType="end"/>
            </w:r>
          </w:p>
        </w:tc>
      </w:tr>
    </w:tbl>
    <w:p w14:paraId="393D88D1" w14:textId="77777777" w:rsidR="002176B0" w:rsidRPr="00610639" w:rsidRDefault="002176B0" w:rsidP="00610639">
      <w:pPr>
        <w:autoSpaceDE w:val="0"/>
        <w:autoSpaceDN w:val="0"/>
        <w:adjustRightInd w:val="0"/>
        <w:spacing w:after="0" w:line="360" w:lineRule="auto"/>
        <w:jc w:val="both"/>
        <w:rPr>
          <w:rFonts w:cs="Times New Roman"/>
          <w:color w:val="000000" w:themeColor="text1"/>
          <w:kern w:val="0"/>
          <w:szCs w:val="24"/>
        </w:rPr>
      </w:pPr>
      <w:r w:rsidRPr="00610639">
        <w:rPr>
          <w:rFonts w:cs="Times New Roman"/>
          <w:b/>
          <w:bCs/>
          <w:color w:val="000000" w:themeColor="text1"/>
          <w:kern w:val="0"/>
          <w:szCs w:val="24"/>
        </w:rPr>
        <w:t>Source:</w:t>
      </w:r>
      <w:r w:rsidRPr="00610639">
        <w:rPr>
          <w:rFonts w:cs="Times New Roman"/>
          <w:color w:val="000000" w:themeColor="text1"/>
          <w:kern w:val="0"/>
          <w:szCs w:val="24"/>
        </w:rPr>
        <w:t xml:space="preserve"> Field, 2024</w:t>
      </w:r>
    </w:p>
    <w:p w14:paraId="0E6D057C" w14:textId="77777777" w:rsidR="002176B0" w:rsidRPr="00610639" w:rsidRDefault="002176B0" w:rsidP="00610639">
      <w:pPr>
        <w:pStyle w:val="NormalWeb"/>
        <w:spacing w:line="360" w:lineRule="auto"/>
        <w:jc w:val="both"/>
      </w:pPr>
      <w:r w:rsidRPr="00610639">
        <w:t>Stakeholder engagement in the utility sector shows moderate effectiveness, with existing feedback mechanisms (M=3.35, SD=1.39), but there are challenges in encouraging stakeholder input (M=2.88, SD=1.34), suggesting insufficient efforts to foster active participation (</w:t>
      </w:r>
      <w:proofErr w:type="spellStart"/>
      <w:r w:rsidRPr="00610639">
        <w:t>Mugera</w:t>
      </w:r>
      <w:proofErr w:type="spellEnd"/>
      <w:r w:rsidRPr="00610639">
        <w:t>, 2024; Nyangoma, 2023). The limited solicitation of feedback (M=2.96, SD=1.29) and weak integration of feedback into decision-making processes (M=2.79, SD=1.19) further highlight engagement shortcomings (</w:t>
      </w:r>
      <w:proofErr w:type="spellStart"/>
      <w:r w:rsidRPr="00610639">
        <w:t>Basalirwa</w:t>
      </w:r>
      <w:proofErr w:type="spellEnd"/>
      <w:r w:rsidRPr="00610639">
        <w:t>, 2024; Wandera, 2023).</w:t>
      </w:r>
    </w:p>
    <w:p w14:paraId="077828E3" w14:textId="77777777" w:rsidR="002176B0" w:rsidRPr="00610639" w:rsidRDefault="002176B0" w:rsidP="00610639">
      <w:pPr>
        <w:pStyle w:val="NormalWeb"/>
        <w:spacing w:line="360" w:lineRule="auto"/>
        <w:jc w:val="both"/>
      </w:pPr>
      <w:r w:rsidRPr="00610639">
        <w:t>The stakeholder response mechanisms (M=2.91, SD=1.29) and collaboration efforts (M=2.94, SD=1.26) reveal inefficiencies, consistent with studies on public enterprise partnerships (Arinaitwe, 2024; Namata, 2023). Addressing stakeholder needs presents the greatest challenge, with the lowest score recorded (M=2.48, SD=1.25), emphasizing deficiencies in inclusive decision-making (Kaweesa, 2024; Nakimuli, 2023).</w:t>
      </w:r>
    </w:p>
    <w:p w14:paraId="27C540D7" w14:textId="77777777" w:rsidR="002176B0" w:rsidRPr="00610639" w:rsidRDefault="002176B0" w:rsidP="00610639">
      <w:pPr>
        <w:pStyle w:val="NormalWeb"/>
        <w:spacing w:line="360" w:lineRule="auto"/>
        <w:jc w:val="both"/>
      </w:pPr>
      <w:r w:rsidRPr="00610639">
        <w:t xml:space="preserve">Collaboration outcomes (M=3.52, SD=1.30) and transparency (M=3.50, SD=1.11) demonstrate that effective engagement leads to beneficial results (Nabasa, 2024; Kisembo, 2023). The overall mean score (M=3.00, SD=1.27) indicates moderate but suboptimal performance, reinforcing the </w:t>
      </w:r>
      <w:r w:rsidRPr="00610639">
        <w:lastRenderedPageBreak/>
        <w:t>need to strengthen stakeholder involvement, particularly in active participation and feedback utilization, to enhance decision-making and service delivery (Muwonge, 2024).</w:t>
      </w:r>
    </w:p>
    <w:p w14:paraId="4D9A2992" w14:textId="010B4F76" w:rsidR="002176B0" w:rsidRPr="00610639" w:rsidRDefault="002176B0" w:rsidP="00610639">
      <w:pPr>
        <w:keepNext/>
        <w:keepLines/>
        <w:spacing w:after="0" w:line="360" w:lineRule="auto"/>
        <w:jc w:val="both"/>
        <w:outlineLvl w:val="1"/>
        <w:rPr>
          <w:rFonts w:eastAsia="Times New Roman" w:cs="Times New Roman"/>
          <w:bCs/>
          <w:i/>
          <w:iCs/>
          <w:color w:val="000000" w:themeColor="text1"/>
          <w:kern w:val="0"/>
          <w:szCs w:val="24"/>
          <w:shd w:val="clear" w:color="auto" w:fill="FFFFFF"/>
        </w:rPr>
      </w:pPr>
      <w:r w:rsidRPr="00610639">
        <w:rPr>
          <w:rFonts w:eastAsiaTheme="majorEastAsia" w:cs="Times New Roman"/>
          <w:bCs/>
          <w:i/>
          <w:iCs/>
          <w:color w:val="000000" w:themeColor="text1"/>
          <w:szCs w:val="24"/>
        </w:rPr>
        <w:t xml:space="preserve">4.4 Correlation Analysis on </w:t>
      </w:r>
      <w:r w:rsidR="00E83171" w:rsidRPr="00610639">
        <w:rPr>
          <w:rFonts w:eastAsia="Times New Roman" w:cs="Times New Roman"/>
          <w:bCs/>
          <w:i/>
          <w:iCs/>
          <w:color w:val="000000" w:themeColor="text1"/>
          <w:kern w:val="0"/>
          <w:szCs w:val="24"/>
          <w:shd w:val="clear" w:color="auto" w:fill="FFFFFF"/>
        </w:rPr>
        <w:t xml:space="preserve">Regulatory Compliance </w:t>
      </w:r>
      <w:r w:rsidRPr="00610639">
        <w:rPr>
          <w:rFonts w:eastAsia="Times New Roman" w:cs="Times New Roman"/>
          <w:bCs/>
          <w:i/>
          <w:iCs/>
          <w:color w:val="000000" w:themeColor="text1"/>
          <w:kern w:val="0"/>
          <w:szCs w:val="24"/>
          <w:shd w:val="clear" w:color="auto" w:fill="FFFFFF"/>
        </w:rPr>
        <w:t>and Service Delivery</w:t>
      </w:r>
    </w:p>
    <w:p w14:paraId="0F7FFBED" w14:textId="6EF045E2" w:rsidR="002176B0" w:rsidRPr="00610639" w:rsidRDefault="002176B0" w:rsidP="00610639">
      <w:pPr>
        <w:keepNext/>
        <w:keepLines/>
        <w:spacing w:after="0" w:line="360" w:lineRule="auto"/>
        <w:jc w:val="both"/>
        <w:outlineLvl w:val="1"/>
        <w:rPr>
          <w:rFonts w:cs="Times New Roman"/>
          <w:szCs w:val="24"/>
        </w:rPr>
      </w:pPr>
      <w:r w:rsidRPr="00610639">
        <w:rPr>
          <w:rFonts w:cs="Times New Roman"/>
          <w:szCs w:val="24"/>
        </w:rPr>
        <w:t>A correlation analysis was performed to explore the relationship between an organization's adherence to regulatory standards and the quality of its service delivery. The objective was to assess whether higher levels of compliance are linked to better service outcomes.</w:t>
      </w:r>
    </w:p>
    <w:p w14:paraId="055F3D89" w14:textId="77777777" w:rsidR="002176B0" w:rsidRPr="00610639" w:rsidRDefault="002176B0" w:rsidP="00610639">
      <w:pPr>
        <w:keepNext/>
        <w:keepLines/>
        <w:spacing w:after="0" w:line="360" w:lineRule="auto"/>
        <w:jc w:val="both"/>
        <w:outlineLvl w:val="1"/>
        <w:rPr>
          <w:rFonts w:eastAsiaTheme="majorEastAsia" w:cs="Times New Roman"/>
          <w:bCs/>
          <w:i/>
          <w:iCs/>
          <w:color w:val="000000" w:themeColor="text1"/>
          <w:szCs w:val="24"/>
        </w:rPr>
      </w:pPr>
    </w:p>
    <w:p w14:paraId="66F9FE86" w14:textId="08B3265C" w:rsidR="007619E4" w:rsidRPr="00610639" w:rsidRDefault="007619E4" w:rsidP="00610639">
      <w:pPr>
        <w:spacing w:after="200" w:line="360" w:lineRule="auto"/>
        <w:jc w:val="both"/>
        <w:rPr>
          <w:rFonts w:eastAsia="Times New Roman" w:cs="Times New Roman"/>
          <w:b/>
          <w:iCs/>
          <w:color w:val="000000" w:themeColor="text1"/>
          <w:kern w:val="0"/>
          <w:szCs w:val="24"/>
          <w:lang w:val="en-GB"/>
        </w:rPr>
      </w:pPr>
      <w:bookmarkStart w:id="5" w:name="_Toc190215838"/>
      <w:bookmarkStart w:id="6" w:name="_Hlk191743850"/>
      <w:r w:rsidRPr="00610639">
        <w:rPr>
          <w:rFonts w:eastAsia="Calibri" w:cs="Times New Roman"/>
          <w:b/>
          <w:iCs/>
          <w:color w:val="000000" w:themeColor="text1"/>
          <w:kern w:val="0"/>
          <w:szCs w:val="24"/>
        </w:rPr>
        <w:t xml:space="preserve">Table </w:t>
      </w:r>
      <w:r w:rsidR="00016506">
        <w:rPr>
          <w:rFonts w:eastAsia="Calibri" w:cs="Times New Roman"/>
          <w:b/>
          <w:iCs/>
          <w:color w:val="000000" w:themeColor="text1"/>
          <w:kern w:val="0"/>
          <w:szCs w:val="24"/>
        </w:rPr>
        <w:t>7</w:t>
      </w:r>
      <w:r w:rsidRPr="00610639">
        <w:rPr>
          <w:rFonts w:eastAsia="Calibri" w:cs="Times New Roman"/>
          <w:b/>
          <w:iCs/>
          <w:color w:val="000000" w:themeColor="text1"/>
          <w:kern w:val="0"/>
          <w:szCs w:val="24"/>
        </w:rPr>
        <w:t xml:space="preserve">: </w:t>
      </w:r>
      <w:r w:rsidRPr="00610639">
        <w:rPr>
          <w:rFonts w:eastAsia="Times New Roman" w:cs="Times New Roman"/>
          <w:b/>
          <w:iCs/>
          <w:color w:val="000000" w:themeColor="text1"/>
          <w:kern w:val="0"/>
          <w:szCs w:val="24"/>
        </w:rPr>
        <w:t>Correlation Matrix</w:t>
      </w:r>
      <w:bookmarkEnd w:id="5"/>
    </w:p>
    <w:tbl>
      <w:tblPr>
        <w:tblW w:w="6186"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2054"/>
        <w:gridCol w:w="1669"/>
        <w:gridCol w:w="1231"/>
        <w:gridCol w:w="1232"/>
      </w:tblGrid>
      <w:tr w:rsidR="007619E4" w:rsidRPr="00610639" w14:paraId="0E037D68" w14:textId="77777777" w:rsidTr="007619E4">
        <w:trPr>
          <w:cantSplit/>
          <w:trHeight w:val="625"/>
        </w:trPr>
        <w:tc>
          <w:tcPr>
            <w:tcW w:w="3723" w:type="dxa"/>
            <w:gridSpan w:val="2"/>
            <w:tcBorders>
              <w:bottom w:val="single" w:sz="4" w:space="0" w:color="auto"/>
            </w:tcBorders>
            <w:shd w:val="clear" w:color="auto" w:fill="FFFFFF"/>
            <w:vAlign w:val="bottom"/>
          </w:tcPr>
          <w:p w14:paraId="1FA6368B" w14:textId="77777777" w:rsidR="007619E4" w:rsidRPr="00610639" w:rsidRDefault="007619E4" w:rsidP="00610639">
            <w:pPr>
              <w:autoSpaceDE w:val="0"/>
              <w:autoSpaceDN w:val="0"/>
              <w:adjustRightInd w:val="0"/>
              <w:spacing w:after="0" w:line="360" w:lineRule="auto"/>
              <w:jc w:val="both"/>
              <w:rPr>
                <w:rFonts w:cs="Times New Roman"/>
                <w:color w:val="000000" w:themeColor="text1"/>
                <w:kern w:val="0"/>
                <w:szCs w:val="24"/>
              </w:rPr>
            </w:pPr>
          </w:p>
        </w:tc>
        <w:tc>
          <w:tcPr>
            <w:tcW w:w="1231" w:type="dxa"/>
            <w:tcBorders>
              <w:bottom w:val="single" w:sz="4" w:space="0" w:color="auto"/>
            </w:tcBorders>
            <w:shd w:val="clear" w:color="auto" w:fill="FFFFFF"/>
            <w:vAlign w:val="bottom"/>
          </w:tcPr>
          <w:p w14:paraId="4687407F" w14:textId="344037D4" w:rsidR="007619E4" w:rsidRPr="00610639" w:rsidRDefault="007619E4" w:rsidP="00610639">
            <w:pPr>
              <w:autoSpaceDE w:val="0"/>
              <w:autoSpaceDN w:val="0"/>
              <w:adjustRightInd w:val="0"/>
              <w:spacing w:after="0" w:line="360" w:lineRule="auto"/>
              <w:ind w:right="60"/>
              <w:jc w:val="both"/>
              <w:rPr>
                <w:rFonts w:cs="Times New Roman"/>
                <w:color w:val="000000" w:themeColor="text1"/>
                <w:kern w:val="0"/>
                <w:szCs w:val="24"/>
              </w:rPr>
            </w:pPr>
            <w:r w:rsidRPr="00610639">
              <w:rPr>
                <w:rFonts w:cs="Times New Roman"/>
                <w:color w:val="000000" w:themeColor="text1"/>
                <w:kern w:val="0"/>
                <w:szCs w:val="24"/>
              </w:rPr>
              <w:t>Regulatory Compliance</w:t>
            </w:r>
          </w:p>
        </w:tc>
        <w:tc>
          <w:tcPr>
            <w:tcW w:w="1232" w:type="dxa"/>
            <w:tcBorders>
              <w:bottom w:val="single" w:sz="4" w:space="0" w:color="auto"/>
            </w:tcBorders>
            <w:shd w:val="clear" w:color="auto" w:fill="FFFFFF"/>
            <w:vAlign w:val="bottom"/>
          </w:tcPr>
          <w:p w14:paraId="52FB4E9B" w14:textId="1E3B1EF6" w:rsidR="007619E4" w:rsidRPr="00610639" w:rsidRDefault="007619E4" w:rsidP="00610639">
            <w:pPr>
              <w:autoSpaceDE w:val="0"/>
              <w:autoSpaceDN w:val="0"/>
              <w:adjustRightInd w:val="0"/>
              <w:spacing w:after="0" w:line="360" w:lineRule="auto"/>
              <w:ind w:left="60" w:right="60"/>
              <w:jc w:val="both"/>
              <w:rPr>
                <w:rFonts w:cs="Times New Roman"/>
                <w:color w:val="000000" w:themeColor="text1"/>
                <w:kern w:val="0"/>
                <w:szCs w:val="24"/>
              </w:rPr>
            </w:pPr>
            <w:r w:rsidRPr="00610639">
              <w:rPr>
                <w:rFonts w:cs="Times New Roman"/>
                <w:color w:val="000000" w:themeColor="text1"/>
                <w:kern w:val="0"/>
                <w:szCs w:val="24"/>
              </w:rPr>
              <w:t>Service Delivery</w:t>
            </w:r>
          </w:p>
        </w:tc>
      </w:tr>
      <w:tr w:rsidR="007619E4" w:rsidRPr="00610639" w14:paraId="10E05FDB" w14:textId="77777777" w:rsidTr="007619E4">
        <w:trPr>
          <w:cantSplit/>
          <w:trHeight w:val="327"/>
        </w:trPr>
        <w:tc>
          <w:tcPr>
            <w:tcW w:w="2054" w:type="dxa"/>
            <w:vMerge w:val="restart"/>
            <w:tcBorders>
              <w:top w:val="single" w:sz="4" w:space="0" w:color="auto"/>
              <w:bottom w:val="nil"/>
            </w:tcBorders>
            <w:shd w:val="clear" w:color="auto" w:fill="auto"/>
          </w:tcPr>
          <w:p w14:paraId="354551FB" w14:textId="77777777" w:rsidR="007619E4" w:rsidRPr="00610639" w:rsidRDefault="007619E4" w:rsidP="00610639">
            <w:pPr>
              <w:autoSpaceDE w:val="0"/>
              <w:autoSpaceDN w:val="0"/>
              <w:adjustRightInd w:val="0"/>
              <w:spacing w:after="0" w:line="360" w:lineRule="auto"/>
              <w:ind w:left="60" w:right="60"/>
              <w:jc w:val="both"/>
              <w:rPr>
                <w:rFonts w:cs="Times New Roman"/>
                <w:color w:val="000000" w:themeColor="text1"/>
                <w:kern w:val="0"/>
                <w:szCs w:val="24"/>
              </w:rPr>
            </w:pPr>
            <w:r w:rsidRPr="00610639">
              <w:rPr>
                <w:rFonts w:cs="Times New Roman"/>
                <w:color w:val="000000" w:themeColor="text1"/>
                <w:kern w:val="0"/>
                <w:szCs w:val="24"/>
              </w:rPr>
              <w:t xml:space="preserve">Regulatory </w:t>
            </w:r>
          </w:p>
          <w:p w14:paraId="36EEC43E" w14:textId="68AFA477" w:rsidR="007619E4" w:rsidRPr="00610639" w:rsidRDefault="007619E4" w:rsidP="00610639">
            <w:pPr>
              <w:autoSpaceDE w:val="0"/>
              <w:autoSpaceDN w:val="0"/>
              <w:adjustRightInd w:val="0"/>
              <w:spacing w:after="0" w:line="360" w:lineRule="auto"/>
              <w:ind w:left="60" w:right="60"/>
              <w:jc w:val="both"/>
              <w:rPr>
                <w:rFonts w:cs="Times New Roman"/>
                <w:color w:val="000000" w:themeColor="text1"/>
                <w:kern w:val="0"/>
                <w:szCs w:val="24"/>
              </w:rPr>
            </w:pPr>
            <w:r w:rsidRPr="00610639">
              <w:rPr>
                <w:rFonts w:cs="Times New Roman"/>
                <w:color w:val="000000" w:themeColor="text1"/>
                <w:kern w:val="0"/>
                <w:szCs w:val="24"/>
              </w:rPr>
              <w:t>Compliance</w:t>
            </w:r>
          </w:p>
        </w:tc>
        <w:tc>
          <w:tcPr>
            <w:tcW w:w="1669" w:type="dxa"/>
            <w:tcBorders>
              <w:top w:val="single" w:sz="4" w:space="0" w:color="auto"/>
              <w:bottom w:val="nil"/>
            </w:tcBorders>
            <w:shd w:val="clear" w:color="auto" w:fill="auto"/>
          </w:tcPr>
          <w:p w14:paraId="00EB409D" w14:textId="77777777" w:rsidR="007619E4" w:rsidRPr="00610639" w:rsidRDefault="007619E4" w:rsidP="00610639">
            <w:pPr>
              <w:autoSpaceDE w:val="0"/>
              <w:autoSpaceDN w:val="0"/>
              <w:adjustRightInd w:val="0"/>
              <w:spacing w:after="0" w:line="360" w:lineRule="auto"/>
              <w:ind w:left="60" w:right="60"/>
              <w:jc w:val="both"/>
              <w:rPr>
                <w:rFonts w:cs="Times New Roman"/>
                <w:color w:val="000000" w:themeColor="text1"/>
                <w:kern w:val="0"/>
                <w:szCs w:val="24"/>
              </w:rPr>
            </w:pPr>
            <w:r w:rsidRPr="00610639">
              <w:rPr>
                <w:rFonts w:cs="Times New Roman"/>
                <w:color w:val="000000" w:themeColor="text1"/>
                <w:kern w:val="0"/>
                <w:szCs w:val="24"/>
              </w:rPr>
              <w:t>Pearson Correlation</w:t>
            </w:r>
          </w:p>
        </w:tc>
        <w:tc>
          <w:tcPr>
            <w:tcW w:w="1231" w:type="dxa"/>
            <w:tcBorders>
              <w:top w:val="single" w:sz="4" w:space="0" w:color="auto"/>
              <w:bottom w:val="nil"/>
            </w:tcBorders>
            <w:shd w:val="clear" w:color="auto" w:fill="auto"/>
          </w:tcPr>
          <w:p w14:paraId="5C1A8274" w14:textId="77777777" w:rsidR="007619E4" w:rsidRPr="00610639" w:rsidRDefault="007619E4" w:rsidP="00610639">
            <w:pPr>
              <w:autoSpaceDE w:val="0"/>
              <w:autoSpaceDN w:val="0"/>
              <w:adjustRightInd w:val="0"/>
              <w:spacing w:after="0" w:line="360" w:lineRule="auto"/>
              <w:ind w:left="60" w:right="60"/>
              <w:jc w:val="both"/>
              <w:rPr>
                <w:rFonts w:cs="Times New Roman"/>
                <w:color w:val="000000" w:themeColor="text1"/>
                <w:kern w:val="0"/>
                <w:szCs w:val="24"/>
              </w:rPr>
            </w:pPr>
            <w:r w:rsidRPr="00610639">
              <w:rPr>
                <w:rFonts w:cs="Times New Roman"/>
                <w:color w:val="000000" w:themeColor="text1"/>
                <w:kern w:val="0"/>
                <w:szCs w:val="24"/>
              </w:rPr>
              <w:t>1</w:t>
            </w:r>
          </w:p>
        </w:tc>
        <w:tc>
          <w:tcPr>
            <w:tcW w:w="1232" w:type="dxa"/>
            <w:tcBorders>
              <w:top w:val="single" w:sz="4" w:space="0" w:color="auto"/>
              <w:bottom w:val="nil"/>
            </w:tcBorders>
            <w:shd w:val="clear" w:color="auto" w:fill="auto"/>
          </w:tcPr>
          <w:p w14:paraId="79CB8CAA" w14:textId="77777777" w:rsidR="007619E4" w:rsidRPr="00610639" w:rsidRDefault="007619E4" w:rsidP="00610639">
            <w:pPr>
              <w:autoSpaceDE w:val="0"/>
              <w:autoSpaceDN w:val="0"/>
              <w:adjustRightInd w:val="0"/>
              <w:spacing w:after="0" w:line="360" w:lineRule="auto"/>
              <w:ind w:left="60" w:right="60"/>
              <w:jc w:val="both"/>
              <w:rPr>
                <w:rFonts w:cs="Times New Roman"/>
                <w:color w:val="000000" w:themeColor="text1"/>
                <w:kern w:val="0"/>
                <w:szCs w:val="24"/>
              </w:rPr>
            </w:pPr>
            <w:r w:rsidRPr="00610639">
              <w:rPr>
                <w:rFonts w:cs="Times New Roman"/>
                <w:color w:val="000000" w:themeColor="text1"/>
                <w:kern w:val="0"/>
                <w:szCs w:val="24"/>
              </w:rPr>
              <w:t>.336</w:t>
            </w:r>
            <w:r w:rsidRPr="00610639">
              <w:rPr>
                <w:rFonts w:cs="Times New Roman"/>
                <w:color w:val="000000" w:themeColor="text1"/>
                <w:kern w:val="0"/>
                <w:szCs w:val="24"/>
                <w:vertAlign w:val="superscript"/>
              </w:rPr>
              <w:t>**</w:t>
            </w:r>
          </w:p>
        </w:tc>
      </w:tr>
      <w:tr w:rsidR="007619E4" w:rsidRPr="00610639" w14:paraId="52FACC90" w14:textId="77777777" w:rsidTr="007619E4">
        <w:trPr>
          <w:cantSplit/>
          <w:trHeight w:val="143"/>
        </w:trPr>
        <w:tc>
          <w:tcPr>
            <w:tcW w:w="2054" w:type="dxa"/>
            <w:vMerge/>
            <w:tcBorders>
              <w:top w:val="nil"/>
            </w:tcBorders>
            <w:shd w:val="clear" w:color="auto" w:fill="auto"/>
          </w:tcPr>
          <w:p w14:paraId="0AC9FF0C" w14:textId="77777777" w:rsidR="007619E4" w:rsidRPr="00610639" w:rsidRDefault="007619E4" w:rsidP="00610639">
            <w:pPr>
              <w:autoSpaceDE w:val="0"/>
              <w:autoSpaceDN w:val="0"/>
              <w:adjustRightInd w:val="0"/>
              <w:spacing w:after="0" w:line="360" w:lineRule="auto"/>
              <w:jc w:val="both"/>
              <w:rPr>
                <w:rFonts w:cs="Times New Roman"/>
                <w:color w:val="000000" w:themeColor="text1"/>
                <w:kern w:val="0"/>
                <w:szCs w:val="24"/>
              </w:rPr>
            </w:pPr>
          </w:p>
        </w:tc>
        <w:tc>
          <w:tcPr>
            <w:tcW w:w="1669" w:type="dxa"/>
            <w:tcBorders>
              <w:top w:val="nil"/>
            </w:tcBorders>
            <w:shd w:val="clear" w:color="auto" w:fill="auto"/>
          </w:tcPr>
          <w:p w14:paraId="024A2277" w14:textId="77777777" w:rsidR="007619E4" w:rsidRPr="00610639" w:rsidRDefault="007619E4" w:rsidP="00610639">
            <w:pPr>
              <w:autoSpaceDE w:val="0"/>
              <w:autoSpaceDN w:val="0"/>
              <w:adjustRightInd w:val="0"/>
              <w:spacing w:after="0" w:line="360" w:lineRule="auto"/>
              <w:ind w:left="60" w:right="60"/>
              <w:jc w:val="both"/>
              <w:rPr>
                <w:rFonts w:cs="Times New Roman"/>
                <w:color w:val="000000" w:themeColor="text1"/>
                <w:kern w:val="0"/>
                <w:szCs w:val="24"/>
              </w:rPr>
            </w:pPr>
            <w:r w:rsidRPr="00610639">
              <w:rPr>
                <w:rFonts w:cs="Times New Roman"/>
                <w:color w:val="000000" w:themeColor="text1"/>
                <w:kern w:val="0"/>
                <w:szCs w:val="24"/>
              </w:rPr>
              <w:t>Sig. (2-tailed)</w:t>
            </w:r>
          </w:p>
        </w:tc>
        <w:tc>
          <w:tcPr>
            <w:tcW w:w="1231" w:type="dxa"/>
            <w:tcBorders>
              <w:top w:val="nil"/>
            </w:tcBorders>
            <w:shd w:val="clear" w:color="auto" w:fill="auto"/>
            <w:vAlign w:val="center"/>
          </w:tcPr>
          <w:p w14:paraId="7118DE0F" w14:textId="77777777" w:rsidR="007619E4" w:rsidRPr="00610639" w:rsidRDefault="007619E4" w:rsidP="00610639">
            <w:pPr>
              <w:autoSpaceDE w:val="0"/>
              <w:autoSpaceDN w:val="0"/>
              <w:adjustRightInd w:val="0"/>
              <w:spacing w:after="0" w:line="360" w:lineRule="auto"/>
              <w:jc w:val="both"/>
              <w:rPr>
                <w:rFonts w:cs="Times New Roman"/>
                <w:color w:val="000000" w:themeColor="text1"/>
                <w:kern w:val="0"/>
                <w:szCs w:val="24"/>
              </w:rPr>
            </w:pPr>
          </w:p>
        </w:tc>
        <w:tc>
          <w:tcPr>
            <w:tcW w:w="1232" w:type="dxa"/>
            <w:tcBorders>
              <w:top w:val="nil"/>
            </w:tcBorders>
            <w:shd w:val="clear" w:color="auto" w:fill="auto"/>
          </w:tcPr>
          <w:p w14:paraId="33BF7511" w14:textId="77777777" w:rsidR="007619E4" w:rsidRPr="00610639" w:rsidRDefault="007619E4" w:rsidP="00610639">
            <w:pPr>
              <w:autoSpaceDE w:val="0"/>
              <w:autoSpaceDN w:val="0"/>
              <w:adjustRightInd w:val="0"/>
              <w:spacing w:after="0" w:line="360" w:lineRule="auto"/>
              <w:ind w:left="60" w:right="60"/>
              <w:jc w:val="both"/>
              <w:rPr>
                <w:rFonts w:cs="Times New Roman"/>
                <w:color w:val="000000" w:themeColor="text1"/>
                <w:kern w:val="0"/>
                <w:szCs w:val="24"/>
              </w:rPr>
            </w:pPr>
            <w:r w:rsidRPr="00610639">
              <w:rPr>
                <w:rFonts w:cs="Times New Roman"/>
                <w:color w:val="000000" w:themeColor="text1"/>
                <w:kern w:val="0"/>
                <w:szCs w:val="24"/>
              </w:rPr>
              <w:t>.000</w:t>
            </w:r>
          </w:p>
        </w:tc>
      </w:tr>
      <w:tr w:rsidR="007619E4" w:rsidRPr="00610639" w14:paraId="7352F932" w14:textId="77777777" w:rsidTr="007619E4">
        <w:trPr>
          <w:cantSplit/>
          <w:trHeight w:val="143"/>
        </w:trPr>
        <w:tc>
          <w:tcPr>
            <w:tcW w:w="2054" w:type="dxa"/>
            <w:vMerge/>
            <w:shd w:val="clear" w:color="auto" w:fill="auto"/>
          </w:tcPr>
          <w:p w14:paraId="7A86A3C6" w14:textId="77777777" w:rsidR="007619E4" w:rsidRPr="00610639" w:rsidRDefault="007619E4" w:rsidP="00610639">
            <w:pPr>
              <w:autoSpaceDE w:val="0"/>
              <w:autoSpaceDN w:val="0"/>
              <w:adjustRightInd w:val="0"/>
              <w:spacing w:after="0" w:line="360" w:lineRule="auto"/>
              <w:jc w:val="both"/>
              <w:rPr>
                <w:rFonts w:cs="Times New Roman"/>
                <w:color w:val="000000" w:themeColor="text1"/>
                <w:kern w:val="0"/>
                <w:szCs w:val="24"/>
              </w:rPr>
            </w:pPr>
          </w:p>
        </w:tc>
        <w:tc>
          <w:tcPr>
            <w:tcW w:w="1669" w:type="dxa"/>
            <w:shd w:val="clear" w:color="auto" w:fill="auto"/>
          </w:tcPr>
          <w:p w14:paraId="1A45DF9D" w14:textId="77777777" w:rsidR="007619E4" w:rsidRPr="00610639" w:rsidRDefault="007619E4" w:rsidP="00610639">
            <w:pPr>
              <w:autoSpaceDE w:val="0"/>
              <w:autoSpaceDN w:val="0"/>
              <w:adjustRightInd w:val="0"/>
              <w:spacing w:after="0" w:line="360" w:lineRule="auto"/>
              <w:ind w:left="60" w:right="60"/>
              <w:jc w:val="both"/>
              <w:rPr>
                <w:rFonts w:cs="Times New Roman"/>
                <w:color w:val="000000" w:themeColor="text1"/>
                <w:kern w:val="0"/>
                <w:szCs w:val="24"/>
              </w:rPr>
            </w:pPr>
            <w:r w:rsidRPr="00610639">
              <w:rPr>
                <w:rFonts w:cs="Times New Roman"/>
                <w:color w:val="000000" w:themeColor="text1"/>
                <w:kern w:val="0"/>
                <w:szCs w:val="24"/>
              </w:rPr>
              <w:t>N</w:t>
            </w:r>
          </w:p>
        </w:tc>
        <w:tc>
          <w:tcPr>
            <w:tcW w:w="1231" w:type="dxa"/>
            <w:shd w:val="clear" w:color="auto" w:fill="auto"/>
          </w:tcPr>
          <w:p w14:paraId="05A0471B" w14:textId="77777777" w:rsidR="007619E4" w:rsidRPr="00610639" w:rsidRDefault="007619E4" w:rsidP="00610639">
            <w:pPr>
              <w:autoSpaceDE w:val="0"/>
              <w:autoSpaceDN w:val="0"/>
              <w:adjustRightInd w:val="0"/>
              <w:spacing w:after="0" w:line="360" w:lineRule="auto"/>
              <w:ind w:left="60" w:right="60"/>
              <w:jc w:val="both"/>
              <w:rPr>
                <w:rFonts w:cs="Times New Roman"/>
                <w:color w:val="000000" w:themeColor="text1"/>
                <w:kern w:val="0"/>
                <w:szCs w:val="24"/>
              </w:rPr>
            </w:pPr>
            <w:r w:rsidRPr="00610639">
              <w:rPr>
                <w:rFonts w:cs="Times New Roman"/>
                <w:color w:val="000000" w:themeColor="text1"/>
                <w:kern w:val="0"/>
                <w:szCs w:val="24"/>
              </w:rPr>
              <w:t>163</w:t>
            </w:r>
          </w:p>
        </w:tc>
        <w:tc>
          <w:tcPr>
            <w:tcW w:w="1232" w:type="dxa"/>
            <w:shd w:val="clear" w:color="auto" w:fill="auto"/>
          </w:tcPr>
          <w:p w14:paraId="3B34CAC0" w14:textId="77777777" w:rsidR="007619E4" w:rsidRPr="00610639" w:rsidRDefault="007619E4" w:rsidP="00610639">
            <w:pPr>
              <w:autoSpaceDE w:val="0"/>
              <w:autoSpaceDN w:val="0"/>
              <w:adjustRightInd w:val="0"/>
              <w:spacing w:after="0" w:line="360" w:lineRule="auto"/>
              <w:ind w:left="60" w:right="60"/>
              <w:jc w:val="both"/>
              <w:rPr>
                <w:rFonts w:cs="Times New Roman"/>
                <w:color w:val="000000" w:themeColor="text1"/>
                <w:kern w:val="0"/>
                <w:szCs w:val="24"/>
              </w:rPr>
            </w:pPr>
            <w:r w:rsidRPr="00610639">
              <w:rPr>
                <w:rFonts w:cs="Times New Roman"/>
                <w:color w:val="000000" w:themeColor="text1"/>
                <w:kern w:val="0"/>
                <w:szCs w:val="24"/>
              </w:rPr>
              <w:t>163</w:t>
            </w:r>
          </w:p>
        </w:tc>
      </w:tr>
      <w:tr w:rsidR="007619E4" w:rsidRPr="00610639" w14:paraId="347CE5B1" w14:textId="77777777" w:rsidTr="007619E4">
        <w:trPr>
          <w:cantSplit/>
          <w:trHeight w:val="327"/>
        </w:trPr>
        <w:tc>
          <w:tcPr>
            <w:tcW w:w="2054" w:type="dxa"/>
            <w:vMerge w:val="restart"/>
            <w:shd w:val="clear" w:color="auto" w:fill="auto"/>
          </w:tcPr>
          <w:p w14:paraId="1ACDEAA6" w14:textId="77777777" w:rsidR="007619E4" w:rsidRPr="00610639" w:rsidRDefault="007619E4" w:rsidP="00610639">
            <w:pPr>
              <w:autoSpaceDE w:val="0"/>
              <w:autoSpaceDN w:val="0"/>
              <w:adjustRightInd w:val="0"/>
              <w:spacing w:after="0" w:line="360" w:lineRule="auto"/>
              <w:ind w:left="60" w:right="60"/>
              <w:jc w:val="both"/>
              <w:rPr>
                <w:rFonts w:cs="Times New Roman"/>
                <w:color w:val="000000" w:themeColor="text1"/>
                <w:kern w:val="0"/>
                <w:szCs w:val="24"/>
              </w:rPr>
            </w:pPr>
            <w:r w:rsidRPr="00610639">
              <w:rPr>
                <w:rFonts w:cs="Times New Roman"/>
                <w:color w:val="000000" w:themeColor="text1"/>
                <w:kern w:val="0"/>
                <w:szCs w:val="24"/>
              </w:rPr>
              <w:t>Service</w:t>
            </w:r>
          </w:p>
          <w:p w14:paraId="00F17B64" w14:textId="634CF7DE" w:rsidR="007619E4" w:rsidRPr="00610639" w:rsidRDefault="007619E4" w:rsidP="00610639">
            <w:pPr>
              <w:autoSpaceDE w:val="0"/>
              <w:autoSpaceDN w:val="0"/>
              <w:adjustRightInd w:val="0"/>
              <w:spacing w:after="0" w:line="360" w:lineRule="auto"/>
              <w:ind w:left="60" w:right="60"/>
              <w:jc w:val="both"/>
              <w:rPr>
                <w:rFonts w:cs="Times New Roman"/>
                <w:color w:val="000000" w:themeColor="text1"/>
                <w:kern w:val="0"/>
                <w:szCs w:val="24"/>
              </w:rPr>
            </w:pPr>
            <w:r w:rsidRPr="00610639">
              <w:rPr>
                <w:rFonts w:cs="Times New Roman"/>
                <w:color w:val="000000" w:themeColor="text1"/>
                <w:kern w:val="0"/>
                <w:szCs w:val="24"/>
              </w:rPr>
              <w:t>Delivery</w:t>
            </w:r>
          </w:p>
        </w:tc>
        <w:tc>
          <w:tcPr>
            <w:tcW w:w="1669" w:type="dxa"/>
            <w:shd w:val="clear" w:color="auto" w:fill="auto"/>
          </w:tcPr>
          <w:p w14:paraId="4B175716" w14:textId="77777777" w:rsidR="007619E4" w:rsidRPr="00610639" w:rsidRDefault="007619E4" w:rsidP="00610639">
            <w:pPr>
              <w:autoSpaceDE w:val="0"/>
              <w:autoSpaceDN w:val="0"/>
              <w:adjustRightInd w:val="0"/>
              <w:spacing w:after="0" w:line="360" w:lineRule="auto"/>
              <w:ind w:left="60" w:right="60"/>
              <w:jc w:val="both"/>
              <w:rPr>
                <w:rFonts w:cs="Times New Roman"/>
                <w:color w:val="000000" w:themeColor="text1"/>
                <w:kern w:val="0"/>
                <w:szCs w:val="24"/>
              </w:rPr>
            </w:pPr>
            <w:r w:rsidRPr="00610639">
              <w:rPr>
                <w:rFonts w:cs="Times New Roman"/>
                <w:color w:val="000000" w:themeColor="text1"/>
                <w:kern w:val="0"/>
                <w:szCs w:val="24"/>
              </w:rPr>
              <w:t>Pearson Correlation</w:t>
            </w:r>
          </w:p>
        </w:tc>
        <w:tc>
          <w:tcPr>
            <w:tcW w:w="1231" w:type="dxa"/>
            <w:shd w:val="clear" w:color="auto" w:fill="auto"/>
          </w:tcPr>
          <w:p w14:paraId="5974C3D4" w14:textId="77777777" w:rsidR="007619E4" w:rsidRPr="00610639" w:rsidRDefault="007619E4" w:rsidP="00610639">
            <w:pPr>
              <w:autoSpaceDE w:val="0"/>
              <w:autoSpaceDN w:val="0"/>
              <w:adjustRightInd w:val="0"/>
              <w:spacing w:after="0" w:line="360" w:lineRule="auto"/>
              <w:ind w:left="60" w:right="60"/>
              <w:jc w:val="both"/>
              <w:rPr>
                <w:rFonts w:cs="Times New Roman"/>
                <w:color w:val="000000" w:themeColor="text1"/>
                <w:kern w:val="0"/>
                <w:szCs w:val="24"/>
              </w:rPr>
            </w:pPr>
            <w:r w:rsidRPr="00610639">
              <w:rPr>
                <w:rFonts w:cs="Times New Roman"/>
                <w:color w:val="000000" w:themeColor="text1"/>
                <w:kern w:val="0"/>
                <w:szCs w:val="24"/>
              </w:rPr>
              <w:t>.336</w:t>
            </w:r>
            <w:r w:rsidRPr="00610639">
              <w:rPr>
                <w:rFonts w:cs="Times New Roman"/>
                <w:color w:val="000000" w:themeColor="text1"/>
                <w:kern w:val="0"/>
                <w:szCs w:val="24"/>
                <w:vertAlign w:val="superscript"/>
              </w:rPr>
              <w:t>**</w:t>
            </w:r>
          </w:p>
        </w:tc>
        <w:tc>
          <w:tcPr>
            <w:tcW w:w="1232" w:type="dxa"/>
            <w:shd w:val="clear" w:color="auto" w:fill="auto"/>
          </w:tcPr>
          <w:p w14:paraId="211EC51E" w14:textId="77777777" w:rsidR="007619E4" w:rsidRPr="00610639" w:rsidRDefault="007619E4" w:rsidP="00610639">
            <w:pPr>
              <w:autoSpaceDE w:val="0"/>
              <w:autoSpaceDN w:val="0"/>
              <w:adjustRightInd w:val="0"/>
              <w:spacing w:after="0" w:line="360" w:lineRule="auto"/>
              <w:ind w:left="60" w:right="60"/>
              <w:jc w:val="both"/>
              <w:rPr>
                <w:rFonts w:cs="Times New Roman"/>
                <w:color w:val="000000" w:themeColor="text1"/>
                <w:kern w:val="0"/>
                <w:szCs w:val="24"/>
              </w:rPr>
            </w:pPr>
            <w:r w:rsidRPr="00610639">
              <w:rPr>
                <w:rFonts w:cs="Times New Roman"/>
                <w:color w:val="000000" w:themeColor="text1"/>
                <w:kern w:val="0"/>
                <w:szCs w:val="24"/>
              </w:rPr>
              <w:t>1</w:t>
            </w:r>
          </w:p>
        </w:tc>
      </w:tr>
      <w:tr w:rsidR="007619E4" w:rsidRPr="00610639" w14:paraId="57EDC334" w14:textId="77777777" w:rsidTr="007619E4">
        <w:trPr>
          <w:cantSplit/>
          <w:trHeight w:val="143"/>
        </w:trPr>
        <w:tc>
          <w:tcPr>
            <w:tcW w:w="2054" w:type="dxa"/>
            <w:vMerge/>
            <w:shd w:val="clear" w:color="auto" w:fill="auto"/>
          </w:tcPr>
          <w:p w14:paraId="36849051" w14:textId="77777777" w:rsidR="007619E4" w:rsidRPr="00610639" w:rsidRDefault="007619E4" w:rsidP="00610639">
            <w:pPr>
              <w:autoSpaceDE w:val="0"/>
              <w:autoSpaceDN w:val="0"/>
              <w:adjustRightInd w:val="0"/>
              <w:spacing w:after="0" w:line="360" w:lineRule="auto"/>
              <w:jc w:val="both"/>
              <w:rPr>
                <w:rFonts w:cs="Times New Roman"/>
                <w:color w:val="000000" w:themeColor="text1"/>
                <w:kern w:val="0"/>
                <w:szCs w:val="24"/>
              </w:rPr>
            </w:pPr>
          </w:p>
        </w:tc>
        <w:tc>
          <w:tcPr>
            <w:tcW w:w="1669" w:type="dxa"/>
            <w:shd w:val="clear" w:color="auto" w:fill="auto"/>
          </w:tcPr>
          <w:p w14:paraId="16A1452D" w14:textId="77777777" w:rsidR="007619E4" w:rsidRPr="00610639" w:rsidRDefault="007619E4" w:rsidP="00610639">
            <w:pPr>
              <w:autoSpaceDE w:val="0"/>
              <w:autoSpaceDN w:val="0"/>
              <w:adjustRightInd w:val="0"/>
              <w:spacing w:after="0" w:line="360" w:lineRule="auto"/>
              <w:ind w:left="60" w:right="60"/>
              <w:jc w:val="both"/>
              <w:rPr>
                <w:rFonts w:cs="Times New Roman"/>
                <w:color w:val="000000" w:themeColor="text1"/>
                <w:kern w:val="0"/>
                <w:szCs w:val="24"/>
              </w:rPr>
            </w:pPr>
            <w:r w:rsidRPr="00610639">
              <w:rPr>
                <w:rFonts w:cs="Times New Roman"/>
                <w:color w:val="000000" w:themeColor="text1"/>
                <w:kern w:val="0"/>
                <w:szCs w:val="24"/>
              </w:rPr>
              <w:t>Sig. (2-tailed)</w:t>
            </w:r>
          </w:p>
        </w:tc>
        <w:tc>
          <w:tcPr>
            <w:tcW w:w="1231" w:type="dxa"/>
            <w:shd w:val="clear" w:color="auto" w:fill="auto"/>
          </w:tcPr>
          <w:p w14:paraId="43E78958" w14:textId="77777777" w:rsidR="007619E4" w:rsidRPr="00610639" w:rsidRDefault="007619E4" w:rsidP="00610639">
            <w:pPr>
              <w:autoSpaceDE w:val="0"/>
              <w:autoSpaceDN w:val="0"/>
              <w:adjustRightInd w:val="0"/>
              <w:spacing w:after="0" w:line="360" w:lineRule="auto"/>
              <w:ind w:left="60" w:right="60"/>
              <w:jc w:val="both"/>
              <w:rPr>
                <w:rFonts w:cs="Times New Roman"/>
                <w:color w:val="000000" w:themeColor="text1"/>
                <w:kern w:val="0"/>
                <w:szCs w:val="24"/>
              </w:rPr>
            </w:pPr>
            <w:r w:rsidRPr="00610639">
              <w:rPr>
                <w:rFonts w:cs="Times New Roman"/>
                <w:color w:val="000000" w:themeColor="text1"/>
                <w:kern w:val="0"/>
                <w:szCs w:val="24"/>
              </w:rPr>
              <w:t>.000</w:t>
            </w:r>
          </w:p>
        </w:tc>
        <w:tc>
          <w:tcPr>
            <w:tcW w:w="1232" w:type="dxa"/>
            <w:shd w:val="clear" w:color="auto" w:fill="auto"/>
            <w:vAlign w:val="center"/>
          </w:tcPr>
          <w:p w14:paraId="02823311" w14:textId="77777777" w:rsidR="007619E4" w:rsidRPr="00610639" w:rsidRDefault="007619E4" w:rsidP="00610639">
            <w:pPr>
              <w:autoSpaceDE w:val="0"/>
              <w:autoSpaceDN w:val="0"/>
              <w:adjustRightInd w:val="0"/>
              <w:spacing w:after="0" w:line="360" w:lineRule="auto"/>
              <w:jc w:val="both"/>
              <w:rPr>
                <w:rFonts w:cs="Times New Roman"/>
                <w:color w:val="000000" w:themeColor="text1"/>
                <w:kern w:val="0"/>
                <w:szCs w:val="24"/>
              </w:rPr>
            </w:pPr>
          </w:p>
        </w:tc>
      </w:tr>
      <w:tr w:rsidR="007619E4" w:rsidRPr="00610639" w14:paraId="4AB82A0F" w14:textId="77777777" w:rsidTr="007619E4">
        <w:trPr>
          <w:cantSplit/>
          <w:trHeight w:val="143"/>
        </w:trPr>
        <w:tc>
          <w:tcPr>
            <w:tcW w:w="2054" w:type="dxa"/>
            <w:vMerge/>
            <w:shd w:val="clear" w:color="auto" w:fill="auto"/>
          </w:tcPr>
          <w:p w14:paraId="57668C4A" w14:textId="77777777" w:rsidR="007619E4" w:rsidRPr="00610639" w:rsidRDefault="007619E4" w:rsidP="00610639">
            <w:pPr>
              <w:autoSpaceDE w:val="0"/>
              <w:autoSpaceDN w:val="0"/>
              <w:adjustRightInd w:val="0"/>
              <w:spacing w:after="0" w:line="360" w:lineRule="auto"/>
              <w:jc w:val="both"/>
              <w:rPr>
                <w:rFonts w:cs="Times New Roman"/>
                <w:color w:val="000000" w:themeColor="text1"/>
                <w:kern w:val="0"/>
                <w:szCs w:val="24"/>
              </w:rPr>
            </w:pPr>
          </w:p>
        </w:tc>
        <w:tc>
          <w:tcPr>
            <w:tcW w:w="1669" w:type="dxa"/>
            <w:shd w:val="clear" w:color="auto" w:fill="auto"/>
          </w:tcPr>
          <w:p w14:paraId="1420E108" w14:textId="77777777" w:rsidR="007619E4" w:rsidRPr="00610639" w:rsidRDefault="007619E4" w:rsidP="00610639">
            <w:pPr>
              <w:autoSpaceDE w:val="0"/>
              <w:autoSpaceDN w:val="0"/>
              <w:adjustRightInd w:val="0"/>
              <w:spacing w:after="0" w:line="360" w:lineRule="auto"/>
              <w:ind w:left="60" w:right="60"/>
              <w:jc w:val="both"/>
              <w:rPr>
                <w:rFonts w:cs="Times New Roman"/>
                <w:color w:val="000000" w:themeColor="text1"/>
                <w:kern w:val="0"/>
                <w:szCs w:val="24"/>
              </w:rPr>
            </w:pPr>
            <w:r w:rsidRPr="00610639">
              <w:rPr>
                <w:rFonts w:cs="Times New Roman"/>
                <w:color w:val="000000" w:themeColor="text1"/>
                <w:kern w:val="0"/>
                <w:szCs w:val="24"/>
              </w:rPr>
              <w:t>N</w:t>
            </w:r>
          </w:p>
        </w:tc>
        <w:tc>
          <w:tcPr>
            <w:tcW w:w="1231" w:type="dxa"/>
            <w:shd w:val="clear" w:color="auto" w:fill="auto"/>
          </w:tcPr>
          <w:p w14:paraId="4C65A3D5" w14:textId="77777777" w:rsidR="007619E4" w:rsidRPr="00610639" w:rsidRDefault="007619E4" w:rsidP="00610639">
            <w:pPr>
              <w:autoSpaceDE w:val="0"/>
              <w:autoSpaceDN w:val="0"/>
              <w:adjustRightInd w:val="0"/>
              <w:spacing w:after="0" w:line="360" w:lineRule="auto"/>
              <w:ind w:left="60" w:right="60"/>
              <w:jc w:val="both"/>
              <w:rPr>
                <w:rFonts w:cs="Times New Roman"/>
                <w:color w:val="000000" w:themeColor="text1"/>
                <w:kern w:val="0"/>
                <w:szCs w:val="24"/>
              </w:rPr>
            </w:pPr>
            <w:r w:rsidRPr="00610639">
              <w:rPr>
                <w:rFonts w:cs="Times New Roman"/>
                <w:color w:val="000000" w:themeColor="text1"/>
                <w:kern w:val="0"/>
                <w:szCs w:val="24"/>
              </w:rPr>
              <w:t>163</w:t>
            </w:r>
          </w:p>
        </w:tc>
        <w:tc>
          <w:tcPr>
            <w:tcW w:w="1232" w:type="dxa"/>
            <w:shd w:val="clear" w:color="auto" w:fill="auto"/>
          </w:tcPr>
          <w:p w14:paraId="59130BCA" w14:textId="77777777" w:rsidR="007619E4" w:rsidRPr="00610639" w:rsidRDefault="007619E4" w:rsidP="00610639">
            <w:pPr>
              <w:autoSpaceDE w:val="0"/>
              <w:autoSpaceDN w:val="0"/>
              <w:adjustRightInd w:val="0"/>
              <w:spacing w:after="0" w:line="360" w:lineRule="auto"/>
              <w:ind w:left="60" w:right="60"/>
              <w:jc w:val="both"/>
              <w:rPr>
                <w:rFonts w:cs="Times New Roman"/>
                <w:color w:val="000000" w:themeColor="text1"/>
                <w:kern w:val="0"/>
                <w:szCs w:val="24"/>
              </w:rPr>
            </w:pPr>
            <w:r w:rsidRPr="00610639">
              <w:rPr>
                <w:rFonts w:cs="Times New Roman"/>
                <w:color w:val="000000" w:themeColor="text1"/>
                <w:kern w:val="0"/>
                <w:szCs w:val="24"/>
              </w:rPr>
              <w:t>163</w:t>
            </w:r>
          </w:p>
        </w:tc>
      </w:tr>
    </w:tbl>
    <w:p w14:paraId="16326DF3" w14:textId="53888FC1" w:rsidR="007619E4" w:rsidRPr="00610639" w:rsidRDefault="00A21572" w:rsidP="00610639">
      <w:pPr>
        <w:autoSpaceDE w:val="0"/>
        <w:autoSpaceDN w:val="0"/>
        <w:adjustRightInd w:val="0"/>
        <w:spacing w:after="0" w:line="360" w:lineRule="auto"/>
        <w:jc w:val="both"/>
        <w:rPr>
          <w:rFonts w:cs="Times New Roman"/>
          <w:color w:val="000000" w:themeColor="text1"/>
          <w:kern w:val="0"/>
          <w:szCs w:val="24"/>
        </w:rPr>
      </w:pPr>
      <w:r w:rsidRPr="00610639">
        <w:rPr>
          <w:rFonts w:cs="Times New Roman"/>
          <w:b/>
          <w:bCs/>
          <w:color w:val="000000" w:themeColor="text1"/>
          <w:kern w:val="0"/>
          <w:szCs w:val="24"/>
        </w:rPr>
        <w:t>Source:</w:t>
      </w:r>
      <w:r w:rsidRPr="00610639">
        <w:rPr>
          <w:rFonts w:cs="Times New Roman"/>
          <w:color w:val="000000" w:themeColor="text1"/>
          <w:kern w:val="0"/>
          <w:szCs w:val="24"/>
        </w:rPr>
        <w:t xml:space="preserve"> </w:t>
      </w:r>
      <w:r w:rsidR="007619E4" w:rsidRPr="00610639">
        <w:rPr>
          <w:rFonts w:cs="Times New Roman"/>
          <w:color w:val="000000" w:themeColor="text1"/>
          <w:kern w:val="0"/>
          <w:szCs w:val="24"/>
        </w:rPr>
        <w:t>Field</w:t>
      </w:r>
      <w:r w:rsidR="00A961E3" w:rsidRPr="00610639">
        <w:rPr>
          <w:rFonts w:cs="Times New Roman"/>
          <w:color w:val="000000" w:themeColor="text1"/>
          <w:kern w:val="0"/>
          <w:szCs w:val="24"/>
        </w:rPr>
        <w:t xml:space="preserve"> Data</w:t>
      </w:r>
      <w:r w:rsidR="007619E4" w:rsidRPr="00610639">
        <w:rPr>
          <w:rFonts w:cs="Times New Roman"/>
          <w:color w:val="000000" w:themeColor="text1"/>
          <w:kern w:val="0"/>
          <w:szCs w:val="24"/>
        </w:rPr>
        <w:t>, 202</w:t>
      </w:r>
      <w:r w:rsidR="00016506">
        <w:rPr>
          <w:rFonts w:cs="Times New Roman"/>
          <w:color w:val="000000" w:themeColor="text1"/>
          <w:kern w:val="0"/>
          <w:szCs w:val="24"/>
        </w:rPr>
        <w:t>5</w:t>
      </w:r>
      <w:r w:rsidR="007619E4" w:rsidRPr="00610639">
        <w:rPr>
          <w:rFonts w:cs="Times New Roman"/>
          <w:color w:val="000000" w:themeColor="text1"/>
          <w:kern w:val="0"/>
          <w:szCs w:val="24"/>
        </w:rPr>
        <w:t xml:space="preserve"> </w:t>
      </w:r>
    </w:p>
    <w:bookmarkEnd w:id="6"/>
    <w:p w14:paraId="27B0B75B" w14:textId="77777777" w:rsidR="007619E4" w:rsidRPr="00610639" w:rsidRDefault="007619E4" w:rsidP="00610639">
      <w:pPr>
        <w:spacing w:line="360" w:lineRule="auto"/>
        <w:jc w:val="both"/>
        <w:rPr>
          <w:rFonts w:eastAsia="Times New Roman" w:cs="Times New Roman"/>
          <w:color w:val="000000" w:themeColor="text1"/>
          <w:kern w:val="0"/>
          <w:szCs w:val="24"/>
          <w:shd w:val="clear" w:color="auto" w:fill="FFFFFF"/>
        </w:rPr>
      </w:pPr>
    </w:p>
    <w:p w14:paraId="68E4D03F" w14:textId="150FBDCA" w:rsidR="007619E4" w:rsidRPr="00610639" w:rsidRDefault="00A21572" w:rsidP="00610639">
      <w:pPr>
        <w:spacing w:line="360" w:lineRule="auto"/>
        <w:jc w:val="both"/>
        <w:rPr>
          <w:rFonts w:eastAsia="Times New Roman" w:cs="Times New Roman"/>
          <w:color w:val="000000" w:themeColor="text1"/>
          <w:kern w:val="0"/>
          <w:szCs w:val="24"/>
          <w:shd w:val="clear" w:color="auto" w:fill="FFFFFF"/>
        </w:rPr>
      </w:pPr>
      <w:bookmarkStart w:id="7" w:name="_Hlk192169665"/>
      <w:r w:rsidRPr="00610639">
        <w:rPr>
          <w:rFonts w:cs="Times New Roman"/>
          <w:szCs w:val="24"/>
        </w:rPr>
        <w:t xml:space="preserve">The correlation analysis indicates a weak positive relationship between </w:t>
      </w:r>
      <w:bookmarkStart w:id="8" w:name="_Hlk192158019"/>
      <w:r w:rsidRPr="00610639">
        <w:rPr>
          <w:rFonts w:cs="Times New Roman"/>
          <w:szCs w:val="24"/>
        </w:rPr>
        <w:t xml:space="preserve">regulatory compliance </w:t>
      </w:r>
      <w:bookmarkEnd w:id="8"/>
      <w:r w:rsidRPr="00610639">
        <w:rPr>
          <w:rFonts w:cs="Times New Roman"/>
          <w:szCs w:val="24"/>
        </w:rPr>
        <w:t xml:space="preserve">and service delivery (r = 0.336, p &lt; 0.01). </w:t>
      </w:r>
      <w:bookmarkEnd w:id="7"/>
      <w:r w:rsidRPr="00610639">
        <w:rPr>
          <w:rFonts w:cs="Times New Roman"/>
          <w:szCs w:val="24"/>
        </w:rPr>
        <w:t>Based on interpretation thresholds (0.10–0.39 indicating a weak correlation), the findings suggest a significant but limited association. This implies that while enhanced regulatory compliance contributes to better service delivery, its impact remains modest, with other factors likely influencing overall service outcomes.</w:t>
      </w:r>
    </w:p>
    <w:p w14:paraId="683E077D" w14:textId="16AEBD31" w:rsidR="00A21572" w:rsidRPr="00610639" w:rsidRDefault="00A21572" w:rsidP="00610639">
      <w:pPr>
        <w:keepNext/>
        <w:keepLines/>
        <w:spacing w:after="0" w:line="360" w:lineRule="auto"/>
        <w:jc w:val="both"/>
        <w:outlineLvl w:val="1"/>
        <w:rPr>
          <w:rFonts w:eastAsiaTheme="majorEastAsia" w:cs="Times New Roman"/>
          <w:bCs/>
          <w:i/>
          <w:iCs/>
          <w:color w:val="000000" w:themeColor="text1"/>
          <w:szCs w:val="24"/>
        </w:rPr>
      </w:pPr>
      <w:r w:rsidRPr="00610639">
        <w:rPr>
          <w:rFonts w:eastAsiaTheme="majorEastAsia" w:cs="Times New Roman"/>
          <w:bCs/>
          <w:i/>
          <w:iCs/>
          <w:color w:val="000000" w:themeColor="text1"/>
          <w:szCs w:val="24"/>
        </w:rPr>
        <w:t xml:space="preserve">4.5 </w:t>
      </w:r>
      <w:bookmarkStart w:id="9" w:name="_Toc89373210"/>
      <w:r w:rsidRPr="00610639">
        <w:rPr>
          <w:rFonts w:eastAsiaTheme="majorEastAsia" w:cs="Times New Roman"/>
          <w:bCs/>
          <w:i/>
          <w:iCs/>
          <w:color w:val="000000" w:themeColor="text1"/>
          <w:szCs w:val="24"/>
        </w:rPr>
        <w:t>Simple Regression Analysis</w:t>
      </w:r>
      <w:bookmarkEnd w:id="9"/>
      <w:r w:rsidRPr="00610639">
        <w:rPr>
          <w:rFonts w:eastAsiaTheme="majorEastAsia" w:cs="Times New Roman"/>
          <w:bCs/>
          <w:i/>
          <w:iCs/>
          <w:color w:val="000000" w:themeColor="text1"/>
          <w:szCs w:val="24"/>
        </w:rPr>
        <w:t xml:space="preserve"> of</w:t>
      </w:r>
      <w:r w:rsidRPr="00610639">
        <w:rPr>
          <w:rFonts w:cs="Times New Roman"/>
          <w:szCs w:val="24"/>
        </w:rPr>
        <w:t xml:space="preserve"> </w:t>
      </w:r>
      <w:r w:rsidR="00E83171" w:rsidRPr="00610639">
        <w:rPr>
          <w:rFonts w:cs="Times New Roman"/>
          <w:i/>
          <w:iCs/>
          <w:szCs w:val="24"/>
        </w:rPr>
        <w:t>Regulatory Compliance</w:t>
      </w:r>
      <w:r w:rsidR="00E83171" w:rsidRPr="00610639">
        <w:rPr>
          <w:rFonts w:eastAsiaTheme="majorEastAsia" w:cs="Times New Roman"/>
          <w:bCs/>
          <w:i/>
          <w:iCs/>
          <w:color w:val="000000" w:themeColor="text1"/>
          <w:szCs w:val="24"/>
        </w:rPr>
        <w:t xml:space="preserve"> </w:t>
      </w:r>
      <w:r w:rsidRPr="00610639">
        <w:rPr>
          <w:rFonts w:eastAsia="Times New Roman" w:cs="Times New Roman"/>
          <w:bCs/>
          <w:i/>
          <w:iCs/>
          <w:color w:val="000000" w:themeColor="text1"/>
          <w:kern w:val="0"/>
          <w:szCs w:val="24"/>
          <w:shd w:val="clear" w:color="auto" w:fill="FFFFFF"/>
        </w:rPr>
        <w:t>on Service Delivery</w:t>
      </w:r>
    </w:p>
    <w:p w14:paraId="01363D1F" w14:textId="35CB5D16" w:rsidR="002176B0" w:rsidRDefault="00A21572" w:rsidP="00610639">
      <w:pPr>
        <w:autoSpaceDE w:val="0"/>
        <w:autoSpaceDN w:val="0"/>
        <w:adjustRightInd w:val="0"/>
        <w:spacing w:after="0" w:line="360" w:lineRule="auto"/>
        <w:jc w:val="both"/>
        <w:rPr>
          <w:rFonts w:cs="Times New Roman"/>
          <w:szCs w:val="24"/>
        </w:rPr>
      </w:pPr>
      <w:r w:rsidRPr="00610639">
        <w:rPr>
          <w:rFonts w:cs="Times New Roman"/>
          <w:szCs w:val="24"/>
        </w:rPr>
        <w:t xml:space="preserve">A </w:t>
      </w:r>
      <w:r w:rsidRPr="00610639">
        <w:rPr>
          <w:rStyle w:val="Strong"/>
          <w:rFonts w:cs="Times New Roman"/>
          <w:b w:val="0"/>
          <w:bCs w:val="0"/>
          <w:szCs w:val="24"/>
        </w:rPr>
        <w:t>simple regression analysis</w:t>
      </w:r>
      <w:r w:rsidRPr="00610639">
        <w:rPr>
          <w:rFonts w:cs="Times New Roman"/>
          <w:szCs w:val="24"/>
        </w:rPr>
        <w:t xml:space="preserve"> was conducted to evaluate the extent to which regulatory compliance influences service delivery. This analysis aimed to quantify the direct impact of compliance on </w:t>
      </w:r>
      <w:r w:rsidRPr="00610639">
        <w:rPr>
          <w:rFonts w:cs="Times New Roman"/>
          <w:szCs w:val="24"/>
        </w:rPr>
        <w:lastRenderedPageBreak/>
        <w:t>service outcomes and determine whether regulatory adherence serves as a significant predictor of service quality.</w:t>
      </w:r>
    </w:p>
    <w:p w14:paraId="6E3D0B64" w14:textId="77777777" w:rsidR="00E83171" w:rsidRDefault="00E83171" w:rsidP="00610639">
      <w:pPr>
        <w:autoSpaceDE w:val="0"/>
        <w:autoSpaceDN w:val="0"/>
        <w:adjustRightInd w:val="0"/>
        <w:spacing w:after="0" w:line="360" w:lineRule="auto"/>
        <w:jc w:val="both"/>
        <w:rPr>
          <w:rFonts w:cs="Times New Roman"/>
          <w:i/>
          <w:iCs/>
          <w:szCs w:val="24"/>
        </w:rPr>
      </w:pPr>
    </w:p>
    <w:p w14:paraId="3C1FBBBC" w14:textId="50DDBA4D" w:rsidR="00E83171" w:rsidRPr="00E83171" w:rsidRDefault="00E83171" w:rsidP="00610639">
      <w:pPr>
        <w:autoSpaceDE w:val="0"/>
        <w:autoSpaceDN w:val="0"/>
        <w:adjustRightInd w:val="0"/>
        <w:spacing w:after="0" w:line="360" w:lineRule="auto"/>
        <w:jc w:val="both"/>
        <w:rPr>
          <w:rFonts w:cs="Times New Roman"/>
          <w:i/>
          <w:iCs/>
          <w:szCs w:val="24"/>
        </w:rPr>
      </w:pPr>
      <w:r>
        <w:rPr>
          <w:rFonts w:cs="Times New Roman"/>
          <w:i/>
          <w:iCs/>
          <w:szCs w:val="24"/>
        </w:rPr>
        <w:t xml:space="preserve">4.5.1 </w:t>
      </w:r>
      <w:r w:rsidRPr="00E83171">
        <w:rPr>
          <w:rFonts w:cs="Times New Roman"/>
          <w:i/>
          <w:iCs/>
          <w:szCs w:val="24"/>
        </w:rPr>
        <w:t xml:space="preserve">ANOVA test </w:t>
      </w:r>
    </w:p>
    <w:p w14:paraId="74965765" w14:textId="73520E35" w:rsidR="00420A96" w:rsidRPr="00610639" w:rsidRDefault="00E83171" w:rsidP="00610639">
      <w:pPr>
        <w:autoSpaceDE w:val="0"/>
        <w:autoSpaceDN w:val="0"/>
        <w:adjustRightInd w:val="0"/>
        <w:spacing w:before="240" w:after="0" w:line="360" w:lineRule="auto"/>
        <w:jc w:val="both"/>
        <w:rPr>
          <w:rFonts w:cs="Times New Roman"/>
          <w:bCs/>
          <w:color w:val="000000" w:themeColor="text1"/>
          <w:szCs w:val="24"/>
        </w:rPr>
      </w:pPr>
      <w:r>
        <w:rPr>
          <w:rFonts w:cs="Times New Roman"/>
          <w:bCs/>
          <w:color w:val="000000" w:themeColor="text1"/>
          <w:szCs w:val="24"/>
        </w:rPr>
        <w:t>The study conducted simple regression analysis to determine</w:t>
      </w:r>
      <w:r w:rsidR="00A21572" w:rsidRPr="00610639">
        <w:rPr>
          <w:rFonts w:cs="Times New Roman"/>
          <w:bCs/>
          <w:color w:val="000000" w:themeColor="text1"/>
          <w:szCs w:val="24"/>
        </w:rPr>
        <w:t xml:space="preserve"> goodness of fit of the model using ANOVA and results presented in Table </w:t>
      </w:r>
      <w:r w:rsidR="00016506">
        <w:rPr>
          <w:rFonts w:cs="Times New Roman"/>
          <w:bCs/>
          <w:color w:val="000000" w:themeColor="text1"/>
          <w:szCs w:val="24"/>
        </w:rPr>
        <w:t>8</w:t>
      </w:r>
      <w:r w:rsidR="00A21572" w:rsidRPr="00610639">
        <w:rPr>
          <w:rFonts w:cs="Times New Roman"/>
          <w:bCs/>
          <w:color w:val="000000" w:themeColor="text1"/>
          <w:szCs w:val="24"/>
        </w:rPr>
        <w:t>.</w:t>
      </w:r>
    </w:p>
    <w:p w14:paraId="5FB94E59" w14:textId="43F46AFF" w:rsidR="00A21572" w:rsidRPr="00610639" w:rsidRDefault="00A21572" w:rsidP="00610639">
      <w:pPr>
        <w:spacing w:after="200" w:line="360" w:lineRule="auto"/>
        <w:jc w:val="both"/>
        <w:rPr>
          <w:rFonts w:eastAsia="Calibri" w:cs="Times New Roman"/>
          <w:b/>
          <w:iCs/>
          <w:color w:val="000000" w:themeColor="text1"/>
          <w:kern w:val="0"/>
          <w:szCs w:val="24"/>
          <w:shd w:val="clear" w:color="auto" w:fill="FFFFFF"/>
        </w:rPr>
      </w:pPr>
      <w:bookmarkStart w:id="10" w:name="_Toc190215840"/>
      <w:r w:rsidRPr="00610639">
        <w:rPr>
          <w:rFonts w:eastAsia="Calibri" w:cs="Times New Roman"/>
          <w:b/>
          <w:iCs/>
          <w:color w:val="000000" w:themeColor="text1"/>
          <w:kern w:val="0"/>
          <w:szCs w:val="24"/>
        </w:rPr>
        <w:t xml:space="preserve">Table </w:t>
      </w:r>
      <w:r w:rsidR="00016506">
        <w:rPr>
          <w:rFonts w:eastAsia="Calibri" w:cs="Times New Roman"/>
          <w:b/>
          <w:iCs/>
          <w:color w:val="000000" w:themeColor="text1"/>
          <w:kern w:val="0"/>
          <w:szCs w:val="24"/>
        </w:rPr>
        <w:t>8</w:t>
      </w:r>
      <w:r w:rsidRPr="00610639">
        <w:rPr>
          <w:rFonts w:eastAsia="Calibri" w:cs="Times New Roman"/>
          <w:b/>
          <w:iCs/>
          <w:color w:val="000000" w:themeColor="text1"/>
          <w:kern w:val="0"/>
          <w:szCs w:val="24"/>
        </w:rPr>
        <w:t xml:space="preserve">: ANOVA on </w:t>
      </w:r>
      <w:r w:rsidR="00420A96" w:rsidRPr="00610639">
        <w:rPr>
          <w:rFonts w:cs="Times New Roman"/>
          <w:b/>
          <w:color w:val="000000" w:themeColor="text1"/>
          <w:kern w:val="0"/>
          <w:szCs w:val="24"/>
        </w:rPr>
        <w:t>Regulatory Compliance</w:t>
      </w:r>
      <w:r w:rsidR="00420A96" w:rsidRPr="00610639">
        <w:rPr>
          <w:rFonts w:eastAsia="Calibri" w:cs="Times New Roman"/>
          <w:b/>
          <w:iCs/>
          <w:color w:val="000000" w:themeColor="text1"/>
          <w:kern w:val="0"/>
          <w:szCs w:val="24"/>
          <w:shd w:val="clear" w:color="auto" w:fill="FFFFFF"/>
        </w:rPr>
        <w:t xml:space="preserve"> </w:t>
      </w:r>
      <w:r w:rsidRPr="00610639">
        <w:rPr>
          <w:rFonts w:eastAsia="Calibri" w:cs="Times New Roman"/>
          <w:b/>
          <w:iCs/>
          <w:color w:val="000000" w:themeColor="text1"/>
          <w:kern w:val="0"/>
          <w:szCs w:val="24"/>
          <w:shd w:val="clear" w:color="auto" w:fill="FFFFFF"/>
        </w:rPr>
        <w:t>and Service Delivery in State-Owned Energy Corporations</w:t>
      </w:r>
      <w:bookmarkEnd w:id="10"/>
    </w:p>
    <w:tbl>
      <w:tblPr>
        <w:tblW w:w="9644"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567"/>
        <w:gridCol w:w="2132"/>
        <w:gridCol w:w="1984"/>
        <w:gridCol w:w="1134"/>
        <w:gridCol w:w="2126"/>
        <w:gridCol w:w="709"/>
        <w:gridCol w:w="992"/>
      </w:tblGrid>
      <w:tr w:rsidR="00A21572" w:rsidRPr="00610639" w14:paraId="66E1292D" w14:textId="77777777" w:rsidTr="00DB68AA">
        <w:trPr>
          <w:cantSplit/>
        </w:trPr>
        <w:tc>
          <w:tcPr>
            <w:tcW w:w="2699" w:type="dxa"/>
            <w:gridSpan w:val="2"/>
            <w:tcBorders>
              <w:bottom w:val="single" w:sz="4" w:space="0" w:color="auto"/>
            </w:tcBorders>
            <w:shd w:val="clear" w:color="auto" w:fill="FFFFFF"/>
            <w:vAlign w:val="bottom"/>
          </w:tcPr>
          <w:p w14:paraId="62FFA890" w14:textId="77777777" w:rsidR="00A21572" w:rsidRPr="00610639" w:rsidRDefault="00A21572" w:rsidP="00610639">
            <w:pPr>
              <w:autoSpaceDE w:val="0"/>
              <w:autoSpaceDN w:val="0"/>
              <w:adjustRightInd w:val="0"/>
              <w:spacing w:after="0" w:line="360" w:lineRule="auto"/>
              <w:ind w:left="60" w:right="60"/>
              <w:jc w:val="both"/>
              <w:rPr>
                <w:rFonts w:cs="Times New Roman"/>
                <w:b/>
                <w:color w:val="000000" w:themeColor="text1"/>
                <w:kern w:val="0"/>
                <w:szCs w:val="24"/>
              </w:rPr>
            </w:pPr>
            <w:r w:rsidRPr="00610639">
              <w:rPr>
                <w:rFonts w:cs="Times New Roman"/>
                <w:b/>
                <w:color w:val="000000" w:themeColor="text1"/>
                <w:kern w:val="0"/>
                <w:szCs w:val="24"/>
              </w:rPr>
              <w:t>Model</w:t>
            </w:r>
          </w:p>
        </w:tc>
        <w:tc>
          <w:tcPr>
            <w:tcW w:w="1984" w:type="dxa"/>
            <w:tcBorders>
              <w:bottom w:val="single" w:sz="4" w:space="0" w:color="auto"/>
            </w:tcBorders>
            <w:shd w:val="clear" w:color="auto" w:fill="FFFFFF"/>
            <w:vAlign w:val="bottom"/>
          </w:tcPr>
          <w:p w14:paraId="04F27C4D" w14:textId="77777777" w:rsidR="00A21572" w:rsidRPr="00610639" w:rsidRDefault="00A21572" w:rsidP="00610639">
            <w:pPr>
              <w:autoSpaceDE w:val="0"/>
              <w:autoSpaceDN w:val="0"/>
              <w:adjustRightInd w:val="0"/>
              <w:spacing w:after="0" w:line="360" w:lineRule="auto"/>
              <w:ind w:left="60" w:right="60"/>
              <w:jc w:val="both"/>
              <w:rPr>
                <w:rFonts w:cs="Times New Roman"/>
                <w:b/>
                <w:color w:val="000000" w:themeColor="text1"/>
                <w:kern w:val="0"/>
                <w:szCs w:val="24"/>
              </w:rPr>
            </w:pPr>
            <w:r w:rsidRPr="00610639">
              <w:rPr>
                <w:rFonts w:cs="Times New Roman"/>
                <w:b/>
                <w:color w:val="000000" w:themeColor="text1"/>
                <w:kern w:val="0"/>
                <w:szCs w:val="24"/>
              </w:rPr>
              <w:t>Sum of Squares</w:t>
            </w:r>
          </w:p>
        </w:tc>
        <w:tc>
          <w:tcPr>
            <w:tcW w:w="1134" w:type="dxa"/>
            <w:tcBorders>
              <w:bottom w:val="single" w:sz="4" w:space="0" w:color="auto"/>
            </w:tcBorders>
            <w:shd w:val="clear" w:color="auto" w:fill="FFFFFF"/>
            <w:vAlign w:val="bottom"/>
          </w:tcPr>
          <w:p w14:paraId="65973D3C" w14:textId="77777777" w:rsidR="00A21572" w:rsidRPr="00610639" w:rsidRDefault="00A21572" w:rsidP="00610639">
            <w:pPr>
              <w:autoSpaceDE w:val="0"/>
              <w:autoSpaceDN w:val="0"/>
              <w:adjustRightInd w:val="0"/>
              <w:spacing w:after="0" w:line="360" w:lineRule="auto"/>
              <w:ind w:left="60" w:right="60"/>
              <w:jc w:val="both"/>
              <w:rPr>
                <w:rFonts w:cs="Times New Roman"/>
                <w:b/>
                <w:color w:val="000000" w:themeColor="text1"/>
                <w:kern w:val="0"/>
                <w:szCs w:val="24"/>
              </w:rPr>
            </w:pPr>
            <w:r w:rsidRPr="00610639">
              <w:rPr>
                <w:rFonts w:cs="Times New Roman"/>
                <w:b/>
                <w:color w:val="000000" w:themeColor="text1"/>
                <w:kern w:val="0"/>
                <w:szCs w:val="24"/>
              </w:rPr>
              <w:t>df</w:t>
            </w:r>
          </w:p>
        </w:tc>
        <w:tc>
          <w:tcPr>
            <w:tcW w:w="2126" w:type="dxa"/>
            <w:tcBorders>
              <w:bottom w:val="single" w:sz="4" w:space="0" w:color="auto"/>
            </w:tcBorders>
            <w:shd w:val="clear" w:color="auto" w:fill="FFFFFF"/>
            <w:vAlign w:val="bottom"/>
          </w:tcPr>
          <w:p w14:paraId="76150787" w14:textId="77777777" w:rsidR="00A21572" w:rsidRPr="00610639" w:rsidRDefault="00A21572" w:rsidP="00610639">
            <w:pPr>
              <w:autoSpaceDE w:val="0"/>
              <w:autoSpaceDN w:val="0"/>
              <w:adjustRightInd w:val="0"/>
              <w:spacing w:after="0" w:line="360" w:lineRule="auto"/>
              <w:ind w:left="60" w:right="60"/>
              <w:jc w:val="both"/>
              <w:rPr>
                <w:rFonts w:cs="Times New Roman"/>
                <w:b/>
                <w:color w:val="000000" w:themeColor="text1"/>
                <w:kern w:val="0"/>
                <w:szCs w:val="24"/>
              </w:rPr>
            </w:pPr>
            <w:r w:rsidRPr="00610639">
              <w:rPr>
                <w:rFonts w:cs="Times New Roman"/>
                <w:b/>
                <w:color w:val="000000" w:themeColor="text1"/>
                <w:kern w:val="0"/>
                <w:szCs w:val="24"/>
              </w:rPr>
              <w:t>Mean Square</w:t>
            </w:r>
          </w:p>
        </w:tc>
        <w:tc>
          <w:tcPr>
            <w:tcW w:w="709" w:type="dxa"/>
            <w:tcBorders>
              <w:bottom w:val="single" w:sz="4" w:space="0" w:color="auto"/>
            </w:tcBorders>
            <w:shd w:val="clear" w:color="auto" w:fill="FFFFFF"/>
            <w:vAlign w:val="bottom"/>
          </w:tcPr>
          <w:p w14:paraId="1FCEB2FE" w14:textId="77777777" w:rsidR="00A21572" w:rsidRPr="00610639" w:rsidRDefault="00A21572" w:rsidP="00610639">
            <w:pPr>
              <w:autoSpaceDE w:val="0"/>
              <w:autoSpaceDN w:val="0"/>
              <w:adjustRightInd w:val="0"/>
              <w:spacing w:after="0" w:line="360" w:lineRule="auto"/>
              <w:ind w:left="60" w:right="60"/>
              <w:jc w:val="both"/>
              <w:rPr>
                <w:rFonts w:cs="Times New Roman"/>
                <w:b/>
                <w:color w:val="000000" w:themeColor="text1"/>
                <w:kern w:val="0"/>
                <w:szCs w:val="24"/>
              </w:rPr>
            </w:pPr>
            <w:r w:rsidRPr="00610639">
              <w:rPr>
                <w:rFonts w:cs="Times New Roman"/>
                <w:b/>
                <w:color w:val="000000" w:themeColor="text1"/>
                <w:kern w:val="0"/>
                <w:szCs w:val="24"/>
              </w:rPr>
              <w:t>F</w:t>
            </w:r>
          </w:p>
        </w:tc>
        <w:tc>
          <w:tcPr>
            <w:tcW w:w="992" w:type="dxa"/>
            <w:tcBorders>
              <w:bottom w:val="single" w:sz="4" w:space="0" w:color="auto"/>
            </w:tcBorders>
            <w:shd w:val="clear" w:color="auto" w:fill="FFFFFF"/>
            <w:vAlign w:val="bottom"/>
          </w:tcPr>
          <w:p w14:paraId="57B571F2" w14:textId="77777777" w:rsidR="00A21572" w:rsidRPr="00610639" w:rsidRDefault="00A21572" w:rsidP="00610639">
            <w:pPr>
              <w:autoSpaceDE w:val="0"/>
              <w:autoSpaceDN w:val="0"/>
              <w:adjustRightInd w:val="0"/>
              <w:spacing w:after="0" w:line="360" w:lineRule="auto"/>
              <w:ind w:left="60" w:right="60"/>
              <w:jc w:val="both"/>
              <w:rPr>
                <w:rFonts w:cs="Times New Roman"/>
                <w:b/>
                <w:color w:val="000000" w:themeColor="text1"/>
                <w:kern w:val="0"/>
                <w:szCs w:val="24"/>
              </w:rPr>
            </w:pPr>
            <w:r w:rsidRPr="00610639">
              <w:rPr>
                <w:rFonts w:cs="Times New Roman"/>
                <w:b/>
                <w:color w:val="000000" w:themeColor="text1"/>
                <w:kern w:val="0"/>
                <w:szCs w:val="24"/>
              </w:rPr>
              <w:t>Sig.</w:t>
            </w:r>
          </w:p>
        </w:tc>
      </w:tr>
      <w:tr w:rsidR="00A21572" w:rsidRPr="00610639" w14:paraId="3D615134" w14:textId="77777777" w:rsidTr="00DB68AA">
        <w:trPr>
          <w:cantSplit/>
        </w:trPr>
        <w:tc>
          <w:tcPr>
            <w:tcW w:w="567" w:type="dxa"/>
            <w:vMerge w:val="restart"/>
            <w:tcBorders>
              <w:top w:val="single" w:sz="4" w:space="0" w:color="auto"/>
              <w:bottom w:val="nil"/>
            </w:tcBorders>
            <w:shd w:val="clear" w:color="auto" w:fill="auto"/>
          </w:tcPr>
          <w:p w14:paraId="66F5A280" w14:textId="77777777" w:rsidR="00A21572" w:rsidRPr="00610639" w:rsidRDefault="00A21572" w:rsidP="00610639">
            <w:pPr>
              <w:autoSpaceDE w:val="0"/>
              <w:autoSpaceDN w:val="0"/>
              <w:adjustRightInd w:val="0"/>
              <w:spacing w:after="0" w:line="360" w:lineRule="auto"/>
              <w:ind w:left="60" w:right="60"/>
              <w:jc w:val="both"/>
              <w:rPr>
                <w:rFonts w:cs="Times New Roman"/>
                <w:color w:val="000000" w:themeColor="text1"/>
                <w:kern w:val="0"/>
                <w:szCs w:val="24"/>
              </w:rPr>
            </w:pPr>
            <w:r w:rsidRPr="00610639">
              <w:rPr>
                <w:rFonts w:cs="Times New Roman"/>
                <w:color w:val="000000" w:themeColor="text1"/>
                <w:kern w:val="0"/>
                <w:szCs w:val="24"/>
              </w:rPr>
              <w:t>1</w:t>
            </w:r>
          </w:p>
        </w:tc>
        <w:tc>
          <w:tcPr>
            <w:tcW w:w="2132" w:type="dxa"/>
            <w:tcBorders>
              <w:top w:val="single" w:sz="4" w:space="0" w:color="auto"/>
              <w:bottom w:val="nil"/>
            </w:tcBorders>
            <w:shd w:val="clear" w:color="auto" w:fill="auto"/>
          </w:tcPr>
          <w:p w14:paraId="7867EBB4" w14:textId="77777777" w:rsidR="00A21572" w:rsidRPr="00610639" w:rsidRDefault="00A21572" w:rsidP="00610639">
            <w:pPr>
              <w:autoSpaceDE w:val="0"/>
              <w:autoSpaceDN w:val="0"/>
              <w:adjustRightInd w:val="0"/>
              <w:spacing w:after="0" w:line="360" w:lineRule="auto"/>
              <w:ind w:left="60" w:right="60"/>
              <w:jc w:val="both"/>
              <w:rPr>
                <w:rFonts w:cs="Times New Roman"/>
                <w:color w:val="000000" w:themeColor="text1"/>
                <w:kern w:val="0"/>
                <w:szCs w:val="24"/>
              </w:rPr>
            </w:pPr>
            <w:r w:rsidRPr="00610639">
              <w:rPr>
                <w:rFonts w:cs="Times New Roman"/>
                <w:color w:val="000000" w:themeColor="text1"/>
                <w:kern w:val="0"/>
                <w:szCs w:val="24"/>
              </w:rPr>
              <w:t>Regression</w:t>
            </w:r>
          </w:p>
        </w:tc>
        <w:tc>
          <w:tcPr>
            <w:tcW w:w="1984" w:type="dxa"/>
            <w:tcBorders>
              <w:top w:val="single" w:sz="4" w:space="0" w:color="auto"/>
              <w:bottom w:val="nil"/>
            </w:tcBorders>
            <w:shd w:val="clear" w:color="auto" w:fill="auto"/>
          </w:tcPr>
          <w:p w14:paraId="45CA451D" w14:textId="77777777" w:rsidR="00A21572" w:rsidRPr="00610639" w:rsidRDefault="00A21572" w:rsidP="00610639">
            <w:pPr>
              <w:autoSpaceDE w:val="0"/>
              <w:autoSpaceDN w:val="0"/>
              <w:adjustRightInd w:val="0"/>
              <w:spacing w:after="0" w:line="360" w:lineRule="auto"/>
              <w:ind w:left="60" w:right="60"/>
              <w:jc w:val="both"/>
              <w:rPr>
                <w:rFonts w:cs="Times New Roman"/>
                <w:color w:val="000000" w:themeColor="text1"/>
                <w:kern w:val="0"/>
                <w:szCs w:val="24"/>
              </w:rPr>
            </w:pPr>
            <w:r w:rsidRPr="00610639">
              <w:rPr>
                <w:rFonts w:cs="Times New Roman"/>
                <w:color w:val="000000" w:themeColor="text1"/>
                <w:kern w:val="0"/>
                <w:szCs w:val="24"/>
              </w:rPr>
              <w:t>19.608</w:t>
            </w:r>
          </w:p>
        </w:tc>
        <w:tc>
          <w:tcPr>
            <w:tcW w:w="1134" w:type="dxa"/>
            <w:tcBorders>
              <w:top w:val="single" w:sz="4" w:space="0" w:color="auto"/>
              <w:bottom w:val="nil"/>
            </w:tcBorders>
            <w:shd w:val="clear" w:color="auto" w:fill="auto"/>
          </w:tcPr>
          <w:p w14:paraId="7BCA3296" w14:textId="36465A4C" w:rsidR="00A21572" w:rsidRPr="00610639" w:rsidRDefault="00420A96" w:rsidP="00610639">
            <w:pPr>
              <w:autoSpaceDE w:val="0"/>
              <w:autoSpaceDN w:val="0"/>
              <w:adjustRightInd w:val="0"/>
              <w:spacing w:after="0" w:line="360" w:lineRule="auto"/>
              <w:ind w:left="60" w:right="60"/>
              <w:jc w:val="both"/>
              <w:rPr>
                <w:rFonts w:cs="Times New Roman"/>
                <w:color w:val="000000" w:themeColor="text1"/>
                <w:kern w:val="0"/>
                <w:szCs w:val="24"/>
              </w:rPr>
            </w:pPr>
            <w:r w:rsidRPr="00610639">
              <w:rPr>
                <w:rFonts w:cs="Times New Roman"/>
                <w:color w:val="000000" w:themeColor="text1"/>
                <w:kern w:val="0"/>
                <w:szCs w:val="24"/>
              </w:rPr>
              <w:t>1</w:t>
            </w:r>
          </w:p>
        </w:tc>
        <w:tc>
          <w:tcPr>
            <w:tcW w:w="2126" w:type="dxa"/>
            <w:tcBorders>
              <w:top w:val="single" w:sz="4" w:space="0" w:color="auto"/>
              <w:bottom w:val="nil"/>
            </w:tcBorders>
            <w:shd w:val="clear" w:color="auto" w:fill="auto"/>
          </w:tcPr>
          <w:p w14:paraId="1703A885" w14:textId="77777777" w:rsidR="00A21572" w:rsidRPr="00610639" w:rsidRDefault="00A21572" w:rsidP="00610639">
            <w:pPr>
              <w:autoSpaceDE w:val="0"/>
              <w:autoSpaceDN w:val="0"/>
              <w:adjustRightInd w:val="0"/>
              <w:spacing w:after="0" w:line="360" w:lineRule="auto"/>
              <w:ind w:left="60" w:right="60"/>
              <w:jc w:val="both"/>
              <w:rPr>
                <w:rFonts w:cs="Times New Roman"/>
                <w:color w:val="000000" w:themeColor="text1"/>
                <w:kern w:val="0"/>
                <w:szCs w:val="24"/>
              </w:rPr>
            </w:pPr>
            <w:r w:rsidRPr="00610639">
              <w:rPr>
                <w:rFonts w:cs="Times New Roman"/>
                <w:color w:val="000000" w:themeColor="text1"/>
                <w:kern w:val="0"/>
                <w:szCs w:val="24"/>
              </w:rPr>
              <w:t>4.902</w:t>
            </w:r>
          </w:p>
        </w:tc>
        <w:tc>
          <w:tcPr>
            <w:tcW w:w="709" w:type="dxa"/>
            <w:tcBorders>
              <w:top w:val="single" w:sz="4" w:space="0" w:color="auto"/>
              <w:bottom w:val="nil"/>
            </w:tcBorders>
            <w:shd w:val="clear" w:color="auto" w:fill="auto"/>
          </w:tcPr>
          <w:p w14:paraId="0264ABE5" w14:textId="77777777" w:rsidR="00A21572" w:rsidRPr="00610639" w:rsidRDefault="00A21572" w:rsidP="00610639">
            <w:pPr>
              <w:autoSpaceDE w:val="0"/>
              <w:autoSpaceDN w:val="0"/>
              <w:adjustRightInd w:val="0"/>
              <w:spacing w:after="0" w:line="360" w:lineRule="auto"/>
              <w:ind w:left="60" w:right="60"/>
              <w:jc w:val="both"/>
              <w:rPr>
                <w:rFonts w:cs="Times New Roman"/>
                <w:color w:val="000000" w:themeColor="text1"/>
                <w:kern w:val="0"/>
                <w:szCs w:val="24"/>
              </w:rPr>
            </w:pPr>
            <w:r w:rsidRPr="00610639">
              <w:rPr>
                <w:rFonts w:cs="Times New Roman"/>
                <w:color w:val="000000" w:themeColor="text1"/>
                <w:kern w:val="0"/>
                <w:szCs w:val="24"/>
              </w:rPr>
              <w:t>16.252</w:t>
            </w:r>
          </w:p>
        </w:tc>
        <w:tc>
          <w:tcPr>
            <w:tcW w:w="992" w:type="dxa"/>
            <w:tcBorders>
              <w:top w:val="single" w:sz="4" w:space="0" w:color="auto"/>
              <w:bottom w:val="nil"/>
            </w:tcBorders>
            <w:shd w:val="clear" w:color="auto" w:fill="auto"/>
          </w:tcPr>
          <w:p w14:paraId="6B231ECB" w14:textId="77777777" w:rsidR="00A21572" w:rsidRPr="00610639" w:rsidRDefault="00A21572" w:rsidP="00610639">
            <w:pPr>
              <w:autoSpaceDE w:val="0"/>
              <w:autoSpaceDN w:val="0"/>
              <w:adjustRightInd w:val="0"/>
              <w:spacing w:after="0" w:line="360" w:lineRule="auto"/>
              <w:ind w:left="60" w:right="60"/>
              <w:jc w:val="both"/>
              <w:rPr>
                <w:rFonts w:cs="Times New Roman"/>
                <w:color w:val="000000" w:themeColor="text1"/>
                <w:kern w:val="0"/>
                <w:szCs w:val="24"/>
              </w:rPr>
            </w:pPr>
            <w:r w:rsidRPr="00610639">
              <w:rPr>
                <w:rFonts w:cs="Times New Roman"/>
                <w:color w:val="000000" w:themeColor="text1"/>
                <w:kern w:val="0"/>
                <w:szCs w:val="24"/>
              </w:rPr>
              <w:t>.000</w:t>
            </w:r>
            <w:r w:rsidRPr="00610639">
              <w:rPr>
                <w:rFonts w:cs="Times New Roman"/>
                <w:color w:val="000000" w:themeColor="text1"/>
                <w:kern w:val="0"/>
                <w:szCs w:val="24"/>
                <w:vertAlign w:val="superscript"/>
              </w:rPr>
              <w:t>b</w:t>
            </w:r>
          </w:p>
        </w:tc>
      </w:tr>
      <w:tr w:rsidR="00A21572" w:rsidRPr="00610639" w14:paraId="26AB9309" w14:textId="77777777" w:rsidTr="00DB68AA">
        <w:trPr>
          <w:cantSplit/>
        </w:trPr>
        <w:tc>
          <w:tcPr>
            <w:tcW w:w="567" w:type="dxa"/>
            <w:vMerge/>
            <w:tcBorders>
              <w:top w:val="nil"/>
              <w:bottom w:val="nil"/>
            </w:tcBorders>
            <w:shd w:val="clear" w:color="auto" w:fill="auto"/>
          </w:tcPr>
          <w:p w14:paraId="5975013F" w14:textId="77777777" w:rsidR="00A21572" w:rsidRPr="00610639" w:rsidRDefault="00A21572" w:rsidP="00610639">
            <w:pPr>
              <w:autoSpaceDE w:val="0"/>
              <w:autoSpaceDN w:val="0"/>
              <w:adjustRightInd w:val="0"/>
              <w:spacing w:after="0" w:line="360" w:lineRule="auto"/>
              <w:jc w:val="both"/>
              <w:rPr>
                <w:rFonts w:cs="Times New Roman"/>
                <w:color w:val="000000" w:themeColor="text1"/>
                <w:kern w:val="0"/>
                <w:szCs w:val="24"/>
              </w:rPr>
            </w:pPr>
          </w:p>
        </w:tc>
        <w:tc>
          <w:tcPr>
            <w:tcW w:w="2132" w:type="dxa"/>
            <w:tcBorders>
              <w:top w:val="nil"/>
              <w:bottom w:val="nil"/>
            </w:tcBorders>
            <w:shd w:val="clear" w:color="auto" w:fill="auto"/>
          </w:tcPr>
          <w:p w14:paraId="78BDA10E" w14:textId="77777777" w:rsidR="00A21572" w:rsidRPr="00610639" w:rsidRDefault="00A21572" w:rsidP="00610639">
            <w:pPr>
              <w:autoSpaceDE w:val="0"/>
              <w:autoSpaceDN w:val="0"/>
              <w:adjustRightInd w:val="0"/>
              <w:spacing w:after="0" w:line="360" w:lineRule="auto"/>
              <w:ind w:left="60" w:right="60"/>
              <w:jc w:val="both"/>
              <w:rPr>
                <w:rFonts w:cs="Times New Roman"/>
                <w:color w:val="000000" w:themeColor="text1"/>
                <w:kern w:val="0"/>
                <w:szCs w:val="24"/>
              </w:rPr>
            </w:pPr>
            <w:r w:rsidRPr="00610639">
              <w:rPr>
                <w:rFonts w:cs="Times New Roman"/>
                <w:color w:val="000000" w:themeColor="text1"/>
                <w:kern w:val="0"/>
                <w:szCs w:val="24"/>
              </w:rPr>
              <w:t>Residual</w:t>
            </w:r>
          </w:p>
        </w:tc>
        <w:tc>
          <w:tcPr>
            <w:tcW w:w="1984" w:type="dxa"/>
            <w:tcBorders>
              <w:top w:val="nil"/>
              <w:bottom w:val="nil"/>
            </w:tcBorders>
            <w:shd w:val="clear" w:color="auto" w:fill="auto"/>
          </w:tcPr>
          <w:p w14:paraId="1DD887C1" w14:textId="77777777" w:rsidR="00A21572" w:rsidRPr="00610639" w:rsidRDefault="00A21572" w:rsidP="00610639">
            <w:pPr>
              <w:autoSpaceDE w:val="0"/>
              <w:autoSpaceDN w:val="0"/>
              <w:adjustRightInd w:val="0"/>
              <w:spacing w:after="0" w:line="360" w:lineRule="auto"/>
              <w:ind w:left="60" w:right="60"/>
              <w:jc w:val="both"/>
              <w:rPr>
                <w:rFonts w:cs="Times New Roman"/>
                <w:color w:val="000000" w:themeColor="text1"/>
                <w:kern w:val="0"/>
                <w:szCs w:val="24"/>
              </w:rPr>
            </w:pPr>
            <w:r w:rsidRPr="00610639">
              <w:rPr>
                <w:rFonts w:cs="Times New Roman"/>
                <w:color w:val="000000" w:themeColor="text1"/>
                <w:kern w:val="0"/>
                <w:szCs w:val="24"/>
              </w:rPr>
              <w:t>47.356</w:t>
            </w:r>
          </w:p>
        </w:tc>
        <w:tc>
          <w:tcPr>
            <w:tcW w:w="1134" w:type="dxa"/>
            <w:tcBorders>
              <w:top w:val="nil"/>
              <w:bottom w:val="nil"/>
            </w:tcBorders>
            <w:shd w:val="clear" w:color="auto" w:fill="auto"/>
          </w:tcPr>
          <w:p w14:paraId="16DCBFB9" w14:textId="2EB82554" w:rsidR="00A21572" w:rsidRPr="00610639" w:rsidRDefault="00420A96" w:rsidP="00610639">
            <w:pPr>
              <w:autoSpaceDE w:val="0"/>
              <w:autoSpaceDN w:val="0"/>
              <w:adjustRightInd w:val="0"/>
              <w:spacing w:after="0" w:line="360" w:lineRule="auto"/>
              <w:ind w:left="60" w:right="60"/>
              <w:jc w:val="both"/>
              <w:rPr>
                <w:rFonts w:cs="Times New Roman"/>
                <w:color w:val="000000" w:themeColor="text1"/>
                <w:kern w:val="0"/>
                <w:szCs w:val="24"/>
              </w:rPr>
            </w:pPr>
            <w:r w:rsidRPr="00610639">
              <w:rPr>
                <w:rFonts w:cs="Times New Roman"/>
                <w:color w:val="000000" w:themeColor="text1"/>
                <w:kern w:val="0"/>
                <w:szCs w:val="24"/>
              </w:rPr>
              <w:t>160</w:t>
            </w:r>
          </w:p>
        </w:tc>
        <w:tc>
          <w:tcPr>
            <w:tcW w:w="2126" w:type="dxa"/>
            <w:tcBorders>
              <w:top w:val="nil"/>
              <w:bottom w:val="nil"/>
            </w:tcBorders>
            <w:shd w:val="clear" w:color="auto" w:fill="auto"/>
          </w:tcPr>
          <w:p w14:paraId="2DB3D00F" w14:textId="77777777" w:rsidR="00A21572" w:rsidRPr="00610639" w:rsidRDefault="00A21572" w:rsidP="00610639">
            <w:pPr>
              <w:autoSpaceDE w:val="0"/>
              <w:autoSpaceDN w:val="0"/>
              <w:adjustRightInd w:val="0"/>
              <w:spacing w:after="0" w:line="360" w:lineRule="auto"/>
              <w:ind w:left="60" w:right="60"/>
              <w:jc w:val="both"/>
              <w:rPr>
                <w:rFonts w:cs="Times New Roman"/>
                <w:color w:val="000000" w:themeColor="text1"/>
                <w:kern w:val="0"/>
                <w:szCs w:val="24"/>
              </w:rPr>
            </w:pPr>
            <w:r w:rsidRPr="00610639">
              <w:rPr>
                <w:rFonts w:cs="Times New Roman"/>
                <w:color w:val="000000" w:themeColor="text1"/>
                <w:kern w:val="0"/>
                <w:szCs w:val="24"/>
              </w:rPr>
              <w:t>.302</w:t>
            </w:r>
          </w:p>
        </w:tc>
        <w:tc>
          <w:tcPr>
            <w:tcW w:w="709" w:type="dxa"/>
            <w:tcBorders>
              <w:top w:val="nil"/>
              <w:bottom w:val="nil"/>
            </w:tcBorders>
            <w:shd w:val="clear" w:color="auto" w:fill="auto"/>
            <w:vAlign w:val="center"/>
          </w:tcPr>
          <w:p w14:paraId="66419D99" w14:textId="77777777" w:rsidR="00A21572" w:rsidRPr="00610639" w:rsidRDefault="00A21572" w:rsidP="00610639">
            <w:pPr>
              <w:autoSpaceDE w:val="0"/>
              <w:autoSpaceDN w:val="0"/>
              <w:adjustRightInd w:val="0"/>
              <w:spacing w:after="0" w:line="360" w:lineRule="auto"/>
              <w:jc w:val="both"/>
              <w:rPr>
                <w:rFonts w:cs="Times New Roman"/>
                <w:color w:val="000000" w:themeColor="text1"/>
                <w:kern w:val="0"/>
                <w:szCs w:val="24"/>
              </w:rPr>
            </w:pPr>
          </w:p>
        </w:tc>
        <w:tc>
          <w:tcPr>
            <w:tcW w:w="992" w:type="dxa"/>
            <w:tcBorders>
              <w:top w:val="nil"/>
              <w:bottom w:val="nil"/>
            </w:tcBorders>
            <w:shd w:val="clear" w:color="auto" w:fill="auto"/>
            <w:vAlign w:val="center"/>
          </w:tcPr>
          <w:p w14:paraId="7E47E1BA" w14:textId="77777777" w:rsidR="00A21572" w:rsidRPr="00610639" w:rsidRDefault="00A21572" w:rsidP="00610639">
            <w:pPr>
              <w:autoSpaceDE w:val="0"/>
              <w:autoSpaceDN w:val="0"/>
              <w:adjustRightInd w:val="0"/>
              <w:spacing w:after="0" w:line="360" w:lineRule="auto"/>
              <w:jc w:val="both"/>
              <w:rPr>
                <w:rFonts w:cs="Times New Roman"/>
                <w:color w:val="000000" w:themeColor="text1"/>
                <w:kern w:val="0"/>
                <w:szCs w:val="24"/>
              </w:rPr>
            </w:pPr>
          </w:p>
        </w:tc>
      </w:tr>
      <w:tr w:rsidR="00A21572" w:rsidRPr="00610639" w14:paraId="613ED20B" w14:textId="77777777" w:rsidTr="00DB68AA">
        <w:trPr>
          <w:cantSplit/>
        </w:trPr>
        <w:tc>
          <w:tcPr>
            <w:tcW w:w="567" w:type="dxa"/>
            <w:vMerge/>
            <w:tcBorders>
              <w:top w:val="nil"/>
              <w:bottom w:val="single" w:sz="4" w:space="0" w:color="auto"/>
            </w:tcBorders>
            <w:shd w:val="clear" w:color="auto" w:fill="auto"/>
          </w:tcPr>
          <w:p w14:paraId="1F347A7E" w14:textId="77777777" w:rsidR="00A21572" w:rsidRPr="00610639" w:rsidRDefault="00A21572" w:rsidP="00610639">
            <w:pPr>
              <w:autoSpaceDE w:val="0"/>
              <w:autoSpaceDN w:val="0"/>
              <w:adjustRightInd w:val="0"/>
              <w:spacing w:after="0" w:line="360" w:lineRule="auto"/>
              <w:jc w:val="both"/>
              <w:rPr>
                <w:rFonts w:cs="Times New Roman"/>
                <w:color w:val="000000" w:themeColor="text1"/>
                <w:kern w:val="0"/>
                <w:szCs w:val="24"/>
              </w:rPr>
            </w:pPr>
          </w:p>
        </w:tc>
        <w:tc>
          <w:tcPr>
            <w:tcW w:w="2132" w:type="dxa"/>
            <w:tcBorders>
              <w:top w:val="nil"/>
              <w:bottom w:val="single" w:sz="4" w:space="0" w:color="auto"/>
            </w:tcBorders>
            <w:shd w:val="clear" w:color="auto" w:fill="auto"/>
          </w:tcPr>
          <w:p w14:paraId="3B4BEC6B" w14:textId="77777777" w:rsidR="00A21572" w:rsidRPr="00610639" w:rsidRDefault="00A21572" w:rsidP="00610639">
            <w:pPr>
              <w:autoSpaceDE w:val="0"/>
              <w:autoSpaceDN w:val="0"/>
              <w:adjustRightInd w:val="0"/>
              <w:spacing w:after="0" w:line="360" w:lineRule="auto"/>
              <w:ind w:left="60" w:right="60"/>
              <w:jc w:val="both"/>
              <w:rPr>
                <w:rFonts w:cs="Times New Roman"/>
                <w:color w:val="000000" w:themeColor="text1"/>
                <w:kern w:val="0"/>
                <w:szCs w:val="24"/>
              </w:rPr>
            </w:pPr>
            <w:r w:rsidRPr="00610639">
              <w:rPr>
                <w:rFonts w:cs="Times New Roman"/>
                <w:color w:val="000000" w:themeColor="text1"/>
                <w:kern w:val="0"/>
                <w:szCs w:val="24"/>
              </w:rPr>
              <w:t>Total</w:t>
            </w:r>
          </w:p>
        </w:tc>
        <w:tc>
          <w:tcPr>
            <w:tcW w:w="1984" w:type="dxa"/>
            <w:tcBorders>
              <w:top w:val="nil"/>
              <w:bottom w:val="single" w:sz="4" w:space="0" w:color="auto"/>
            </w:tcBorders>
            <w:shd w:val="clear" w:color="auto" w:fill="auto"/>
          </w:tcPr>
          <w:p w14:paraId="6AB9AAFF" w14:textId="77777777" w:rsidR="00A21572" w:rsidRPr="00610639" w:rsidRDefault="00A21572" w:rsidP="00610639">
            <w:pPr>
              <w:autoSpaceDE w:val="0"/>
              <w:autoSpaceDN w:val="0"/>
              <w:adjustRightInd w:val="0"/>
              <w:spacing w:after="0" w:line="360" w:lineRule="auto"/>
              <w:ind w:left="60" w:right="60"/>
              <w:jc w:val="both"/>
              <w:rPr>
                <w:rFonts w:cs="Times New Roman"/>
                <w:color w:val="000000" w:themeColor="text1"/>
                <w:kern w:val="0"/>
                <w:szCs w:val="24"/>
              </w:rPr>
            </w:pPr>
            <w:r w:rsidRPr="00610639">
              <w:rPr>
                <w:rFonts w:cs="Times New Roman"/>
                <w:color w:val="000000" w:themeColor="text1"/>
                <w:kern w:val="0"/>
                <w:szCs w:val="24"/>
              </w:rPr>
              <w:t>66.963</w:t>
            </w:r>
          </w:p>
        </w:tc>
        <w:tc>
          <w:tcPr>
            <w:tcW w:w="1134" w:type="dxa"/>
            <w:tcBorders>
              <w:top w:val="nil"/>
              <w:bottom w:val="single" w:sz="4" w:space="0" w:color="auto"/>
            </w:tcBorders>
            <w:shd w:val="clear" w:color="auto" w:fill="auto"/>
          </w:tcPr>
          <w:p w14:paraId="6FE1E894" w14:textId="77777777" w:rsidR="00A21572" w:rsidRPr="00610639" w:rsidRDefault="00A21572" w:rsidP="00610639">
            <w:pPr>
              <w:autoSpaceDE w:val="0"/>
              <w:autoSpaceDN w:val="0"/>
              <w:adjustRightInd w:val="0"/>
              <w:spacing w:after="0" w:line="360" w:lineRule="auto"/>
              <w:ind w:left="60" w:right="60"/>
              <w:jc w:val="both"/>
              <w:rPr>
                <w:rFonts w:cs="Times New Roman"/>
                <w:color w:val="000000" w:themeColor="text1"/>
                <w:kern w:val="0"/>
                <w:szCs w:val="24"/>
              </w:rPr>
            </w:pPr>
            <w:r w:rsidRPr="00610639">
              <w:rPr>
                <w:rFonts w:cs="Times New Roman"/>
                <w:color w:val="000000" w:themeColor="text1"/>
                <w:kern w:val="0"/>
                <w:szCs w:val="24"/>
              </w:rPr>
              <w:t>161</w:t>
            </w:r>
          </w:p>
        </w:tc>
        <w:tc>
          <w:tcPr>
            <w:tcW w:w="2126" w:type="dxa"/>
            <w:tcBorders>
              <w:top w:val="nil"/>
              <w:bottom w:val="single" w:sz="4" w:space="0" w:color="auto"/>
            </w:tcBorders>
            <w:shd w:val="clear" w:color="auto" w:fill="auto"/>
            <w:vAlign w:val="center"/>
          </w:tcPr>
          <w:p w14:paraId="48A45DD7" w14:textId="77777777" w:rsidR="00A21572" w:rsidRPr="00610639" w:rsidRDefault="00A21572" w:rsidP="00610639">
            <w:pPr>
              <w:autoSpaceDE w:val="0"/>
              <w:autoSpaceDN w:val="0"/>
              <w:adjustRightInd w:val="0"/>
              <w:spacing w:after="0" w:line="360" w:lineRule="auto"/>
              <w:jc w:val="both"/>
              <w:rPr>
                <w:rFonts w:cs="Times New Roman"/>
                <w:color w:val="000000" w:themeColor="text1"/>
                <w:kern w:val="0"/>
                <w:szCs w:val="24"/>
              </w:rPr>
            </w:pPr>
          </w:p>
        </w:tc>
        <w:tc>
          <w:tcPr>
            <w:tcW w:w="709" w:type="dxa"/>
            <w:tcBorders>
              <w:top w:val="nil"/>
              <w:bottom w:val="single" w:sz="4" w:space="0" w:color="auto"/>
            </w:tcBorders>
            <w:shd w:val="clear" w:color="auto" w:fill="auto"/>
            <w:vAlign w:val="center"/>
          </w:tcPr>
          <w:p w14:paraId="64B0E67B" w14:textId="77777777" w:rsidR="00A21572" w:rsidRPr="00610639" w:rsidRDefault="00A21572" w:rsidP="00610639">
            <w:pPr>
              <w:autoSpaceDE w:val="0"/>
              <w:autoSpaceDN w:val="0"/>
              <w:adjustRightInd w:val="0"/>
              <w:spacing w:after="0" w:line="360" w:lineRule="auto"/>
              <w:jc w:val="both"/>
              <w:rPr>
                <w:rFonts w:cs="Times New Roman"/>
                <w:color w:val="000000" w:themeColor="text1"/>
                <w:kern w:val="0"/>
                <w:szCs w:val="24"/>
              </w:rPr>
            </w:pPr>
          </w:p>
        </w:tc>
        <w:tc>
          <w:tcPr>
            <w:tcW w:w="992" w:type="dxa"/>
            <w:tcBorders>
              <w:top w:val="nil"/>
              <w:bottom w:val="single" w:sz="4" w:space="0" w:color="auto"/>
            </w:tcBorders>
            <w:shd w:val="clear" w:color="auto" w:fill="auto"/>
            <w:vAlign w:val="center"/>
          </w:tcPr>
          <w:p w14:paraId="7186F3AB" w14:textId="77777777" w:rsidR="00A21572" w:rsidRPr="00610639" w:rsidRDefault="00A21572" w:rsidP="00610639">
            <w:pPr>
              <w:autoSpaceDE w:val="0"/>
              <w:autoSpaceDN w:val="0"/>
              <w:adjustRightInd w:val="0"/>
              <w:spacing w:after="0" w:line="360" w:lineRule="auto"/>
              <w:jc w:val="both"/>
              <w:rPr>
                <w:rFonts w:cs="Times New Roman"/>
                <w:color w:val="000000" w:themeColor="text1"/>
                <w:kern w:val="0"/>
                <w:szCs w:val="24"/>
              </w:rPr>
            </w:pPr>
          </w:p>
        </w:tc>
      </w:tr>
    </w:tbl>
    <w:p w14:paraId="420CD1A1" w14:textId="3871002F" w:rsidR="00A21572" w:rsidRPr="00610639" w:rsidRDefault="00420A96" w:rsidP="00610639">
      <w:pPr>
        <w:autoSpaceDE w:val="0"/>
        <w:autoSpaceDN w:val="0"/>
        <w:adjustRightInd w:val="0"/>
        <w:spacing w:after="0" w:line="360" w:lineRule="auto"/>
        <w:jc w:val="both"/>
        <w:rPr>
          <w:rFonts w:cs="Times New Roman"/>
          <w:color w:val="000000" w:themeColor="text1"/>
          <w:kern w:val="0"/>
          <w:szCs w:val="24"/>
        </w:rPr>
      </w:pPr>
      <w:r w:rsidRPr="00610639">
        <w:rPr>
          <w:rFonts w:cs="Times New Roman"/>
          <w:b/>
          <w:bCs/>
          <w:color w:val="000000" w:themeColor="text1"/>
          <w:kern w:val="0"/>
          <w:szCs w:val="24"/>
        </w:rPr>
        <w:t>Source:</w:t>
      </w:r>
      <w:r w:rsidRPr="00610639">
        <w:rPr>
          <w:rFonts w:cs="Times New Roman"/>
          <w:color w:val="000000" w:themeColor="text1"/>
          <w:kern w:val="0"/>
          <w:szCs w:val="24"/>
        </w:rPr>
        <w:t xml:space="preserve"> </w:t>
      </w:r>
      <w:r w:rsidR="00A21572" w:rsidRPr="00610639">
        <w:rPr>
          <w:rFonts w:cs="Times New Roman"/>
          <w:color w:val="000000" w:themeColor="text1"/>
          <w:kern w:val="0"/>
          <w:szCs w:val="24"/>
        </w:rPr>
        <w:t xml:space="preserve">Field, 2024; Key: a. Dependent Variable: Service Delivery b. Predictor: (Constant), </w:t>
      </w:r>
      <w:bookmarkStart w:id="11" w:name="_Hlk192158240"/>
      <w:r w:rsidR="00A21572" w:rsidRPr="00610639">
        <w:rPr>
          <w:rFonts w:cs="Times New Roman"/>
          <w:color w:val="000000" w:themeColor="text1"/>
          <w:kern w:val="0"/>
          <w:szCs w:val="24"/>
        </w:rPr>
        <w:t>Regulatory Compliance</w:t>
      </w:r>
      <w:bookmarkEnd w:id="11"/>
    </w:p>
    <w:p w14:paraId="256BD16D" w14:textId="77777777" w:rsidR="00420A96" w:rsidRPr="00610639" w:rsidRDefault="00420A96" w:rsidP="00610639">
      <w:pPr>
        <w:autoSpaceDE w:val="0"/>
        <w:autoSpaceDN w:val="0"/>
        <w:adjustRightInd w:val="0"/>
        <w:spacing w:after="0" w:line="360" w:lineRule="auto"/>
        <w:jc w:val="both"/>
        <w:rPr>
          <w:rFonts w:cs="Times New Roman"/>
          <w:szCs w:val="24"/>
        </w:rPr>
      </w:pPr>
    </w:p>
    <w:p w14:paraId="46018AF0" w14:textId="3AAAA19D" w:rsidR="00E83171" w:rsidRDefault="00E83171" w:rsidP="00610639">
      <w:pPr>
        <w:autoSpaceDE w:val="0"/>
        <w:autoSpaceDN w:val="0"/>
        <w:adjustRightInd w:val="0"/>
        <w:spacing w:after="0" w:line="360" w:lineRule="auto"/>
        <w:jc w:val="both"/>
      </w:pPr>
      <w:r>
        <w:t>The ANOVA results show that the regression model is statistically significant (F = 16.252, p &lt; .000), indicating that regulatory compliance has a meaningful impact on service delivery. The model explains 19.608 units of the total variation, with the residuals accounting for 47.356 units. These findings suggest that while regulatory compliance significantly influences service delivery, other factors also contribute to the outcomes.</w:t>
      </w:r>
    </w:p>
    <w:p w14:paraId="3D5D90D4" w14:textId="77777777" w:rsidR="00E83171" w:rsidRDefault="00E83171" w:rsidP="00610639">
      <w:pPr>
        <w:autoSpaceDE w:val="0"/>
        <w:autoSpaceDN w:val="0"/>
        <w:adjustRightInd w:val="0"/>
        <w:spacing w:after="0" w:line="360" w:lineRule="auto"/>
        <w:jc w:val="both"/>
      </w:pPr>
    </w:p>
    <w:p w14:paraId="07BE62C4" w14:textId="7D9457AC" w:rsidR="00E83171" w:rsidRPr="00E83171" w:rsidRDefault="00E83171" w:rsidP="00610639">
      <w:pPr>
        <w:autoSpaceDE w:val="0"/>
        <w:autoSpaceDN w:val="0"/>
        <w:adjustRightInd w:val="0"/>
        <w:spacing w:after="0" w:line="360" w:lineRule="auto"/>
        <w:jc w:val="both"/>
        <w:rPr>
          <w:rFonts w:cs="Times New Roman"/>
          <w:i/>
          <w:iCs/>
          <w:szCs w:val="24"/>
        </w:rPr>
      </w:pPr>
      <w:r>
        <w:rPr>
          <w:i/>
          <w:iCs/>
        </w:rPr>
        <w:t xml:space="preserve">4.5.2 </w:t>
      </w:r>
      <w:r w:rsidRPr="00E83171">
        <w:rPr>
          <w:i/>
          <w:iCs/>
        </w:rPr>
        <w:t>Coefficient test</w:t>
      </w:r>
    </w:p>
    <w:p w14:paraId="76D77D63" w14:textId="1C3DA81E" w:rsidR="00610639" w:rsidRDefault="00E83171" w:rsidP="00610639">
      <w:pPr>
        <w:autoSpaceDE w:val="0"/>
        <w:autoSpaceDN w:val="0"/>
        <w:adjustRightInd w:val="0"/>
        <w:spacing w:after="0" w:line="360" w:lineRule="auto"/>
        <w:jc w:val="both"/>
        <w:rPr>
          <w:rFonts w:cs="Times New Roman"/>
          <w:color w:val="000000" w:themeColor="text1"/>
          <w:szCs w:val="24"/>
        </w:rPr>
      </w:pPr>
      <w:r>
        <w:rPr>
          <w:rFonts w:cs="Times New Roman"/>
          <w:color w:val="000000" w:themeColor="text1"/>
          <w:szCs w:val="24"/>
        </w:rPr>
        <w:t xml:space="preserve">The study conducted regression analysis to determine the significance of the independent variable and the dependent variable a shown Table </w:t>
      </w:r>
      <w:r w:rsidR="00016506">
        <w:rPr>
          <w:rFonts w:cs="Times New Roman"/>
          <w:color w:val="000000" w:themeColor="text1"/>
          <w:szCs w:val="24"/>
        </w:rPr>
        <w:t>9</w:t>
      </w:r>
      <w:r>
        <w:rPr>
          <w:rFonts w:cs="Times New Roman"/>
          <w:color w:val="000000" w:themeColor="text1"/>
          <w:szCs w:val="24"/>
        </w:rPr>
        <w:t>.</w:t>
      </w:r>
    </w:p>
    <w:p w14:paraId="51C8293A" w14:textId="77777777" w:rsidR="00016506" w:rsidRDefault="00016506" w:rsidP="00610639">
      <w:pPr>
        <w:autoSpaceDE w:val="0"/>
        <w:autoSpaceDN w:val="0"/>
        <w:adjustRightInd w:val="0"/>
        <w:spacing w:after="0" w:line="360" w:lineRule="auto"/>
        <w:jc w:val="both"/>
        <w:rPr>
          <w:rFonts w:cs="Times New Roman"/>
          <w:color w:val="000000" w:themeColor="text1"/>
          <w:szCs w:val="24"/>
        </w:rPr>
      </w:pPr>
    </w:p>
    <w:p w14:paraId="37C6B100" w14:textId="77777777" w:rsidR="00016506" w:rsidRDefault="00016506" w:rsidP="00610639">
      <w:pPr>
        <w:autoSpaceDE w:val="0"/>
        <w:autoSpaceDN w:val="0"/>
        <w:adjustRightInd w:val="0"/>
        <w:spacing w:after="0" w:line="360" w:lineRule="auto"/>
        <w:jc w:val="both"/>
        <w:rPr>
          <w:rFonts w:cs="Times New Roman"/>
          <w:color w:val="000000" w:themeColor="text1"/>
          <w:szCs w:val="24"/>
        </w:rPr>
      </w:pPr>
    </w:p>
    <w:p w14:paraId="62DC83FD" w14:textId="77777777" w:rsidR="00016506" w:rsidRDefault="00016506" w:rsidP="00610639">
      <w:pPr>
        <w:autoSpaceDE w:val="0"/>
        <w:autoSpaceDN w:val="0"/>
        <w:adjustRightInd w:val="0"/>
        <w:spacing w:after="0" w:line="360" w:lineRule="auto"/>
        <w:jc w:val="both"/>
        <w:rPr>
          <w:rFonts w:cs="Times New Roman"/>
          <w:color w:val="000000" w:themeColor="text1"/>
          <w:szCs w:val="24"/>
        </w:rPr>
      </w:pPr>
    </w:p>
    <w:p w14:paraId="144659E8" w14:textId="77777777" w:rsidR="00016506" w:rsidRDefault="00016506" w:rsidP="00610639">
      <w:pPr>
        <w:autoSpaceDE w:val="0"/>
        <w:autoSpaceDN w:val="0"/>
        <w:adjustRightInd w:val="0"/>
        <w:spacing w:after="0" w:line="360" w:lineRule="auto"/>
        <w:jc w:val="both"/>
        <w:rPr>
          <w:rFonts w:cs="Times New Roman"/>
          <w:color w:val="000000" w:themeColor="text1"/>
          <w:szCs w:val="24"/>
        </w:rPr>
      </w:pPr>
    </w:p>
    <w:p w14:paraId="1C374E14" w14:textId="77777777" w:rsidR="00016506" w:rsidRPr="00E83171" w:rsidRDefault="00016506" w:rsidP="00610639">
      <w:pPr>
        <w:autoSpaceDE w:val="0"/>
        <w:autoSpaceDN w:val="0"/>
        <w:adjustRightInd w:val="0"/>
        <w:spacing w:after="0" w:line="360" w:lineRule="auto"/>
        <w:jc w:val="both"/>
        <w:rPr>
          <w:rFonts w:cs="Times New Roman"/>
          <w:szCs w:val="24"/>
        </w:rPr>
      </w:pPr>
    </w:p>
    <w:p w14:paraId="676AF7A9" w14:textId="08A45620" w:rsidR="00D11BCB" w:rsidRPr="00610639" w:rsidRDefault="00D11BCB" w:rsidP="00610639">
      <w:pPr>
        <w:spacing w:after="200" w:line="360" w:lineRule="auto"/>
        <w:jc w:val="both"/>
        <w:rPr>
          <w:rFonts w:eastAsia="Calibri" w:cs="Times New Roman"/>
          <w:b/>
          <w:iCs/>
          <w:strike/>
          <w:color w:val="000000" w:themeColor="text1"/>
          <w:kern w:val="0"/>
          <w:szCs w:val="24"/>
        </w:rPr>
      </w:pPr>
      <w:bookmarkStart w:id="12" w:name="_Toc190215841"/>
      <w:r w:rsidRPr="00610639">
        <w:rPr>
          <w:rFonts w:eastAsia="Calibri" w:cs="Times New Roman"/>
          <w:b/>
          <w:iCs/>
          <w:color w:val="000000" w:themeColor="text1"/>
          <w:kern w:val="0"/>
          <w:szCs w:val="24"/>
        </w:rPr>
        <w:lastRenderedPageBreak/>
        <w:t xml:space="preserve">Table </w:t>
      </w:r>
      <w:r w:rsidR="00016506">
        <w:rPr>
          <w:rFonts w:eastAsia="Calibri" w:cs="Times New Roman"/>
          <w:b/>
          <w:iCs/>
          <w:color w:val="000000" w:themeColor="text1"/>
          <w:kern w:val="0"/>
          <w:szCs w:val="24"/>
        </w:rPr>
        <w:t>9</w:t>
      </w:r>
      <w:r w:rsidRPr="00610639">
        <w:rPr>
          <w:rFonts w:eastAsia="Calibri" w:cs="Times New Roman"/>
          <w:b/>
          <w:iCs/>
          <w:color w:val="000000" w:themeColor="text1"/>
          <w:kern w:val="0"/>
          <w:szCs w:val="24"/>
        </w:rPr>
        <w:t>: Coefficients Regulatory Compliance Influence Service Delivery</w:t>
      </w:r>
      <w:r w:rsidRPr="00610639">
        <w:rPr>
          <w:rFonts w:eastAsia="Calibri" w:cs="Times New Roman"/>
          <w:b/>
          <w:iCs/>
          <w:strike/>
          <w:color w:val="000000" w:themeColor="text1"/>
          <w:kern w:val="0"/>
          <w:szCs w:val="24"/>
        </w:rPr>
        <w:t xml:space="preserve"> </w:t>
      </w:r>
      <w:bookmarkEnd w:id="12"/>
    </w:p>
    <w:tbl>
      <w:tblPr>
        <w:tblW w:w="940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736"/>
        <w:gridCol w:w="2388"/>
        <w:gridCol w:w="1410"/>
        <w:gridCol w:w="1338"/>
        <w:gridCol w:w="2071"/>
        <w:gridCol w:w="709"/>
        <w:gridCol w:w="756"/>
      </w:tblGrid>
      <w:tr w:rsidR="00D11BCB" w:rsidRPr="00610639" w14:paraId="163371F3" w14:textId="77777777" w:rsidTr="00DB68AA">
        <w:trPr>
          <w:cantSplit/>
        </w:trPr>
        <w:tc>
          <w:tcPr>
            <w:tcW w:w="3124" w:type="dxa"/>
            <w:gridSpan w:val="2"/>
            <w:vMerge w:val="restart"/>
            <w:tcBorders>
              <w:top w:val="single" w:sz="4" w:space="0" w:color="auto"/>
              <w:bottom w:val="single" w:sz="4" w:space="0" w:color="auto"/>
            </w:tcBorders>
            <w:shd w:val="clear" w:color="auto" w:fill="FFFFFF"/>
            <w:vAlign w:val="bottom"/>
          </w:tcPr>
          <w:p w14:paraId="0DAC08C1" w14:textId="77777777" w:rsidR="00D11BCB" w:rsidRPr="00610639" w:rsidRDefault="00D11BCB" w:rsidP="00610639">
            <w:pPr>
              <w:autoSpaceDE w:val="0"/>
              <w:autoSpaceDN w:val="0"/>
              <w:adjustRightInd w:val="0"/>
              <w:spacing w:after="0" w:line="360" w:lineRule="auto"/>
              <w:ind w:left="60" w:right="60"/>
              <w:jc w:val="both"/>
              <w:rPr>
                <w:rFonts w:cs="Times New Roman"/>
                <w:color w:val="000000" w:themeColor="text1"/>
                <w:kern w:val="0"/>
                <w:szCs w:val="24"/>
              </w:rPr>
            </w:pPr>
            <w:r w:rsidRPr="00610639">
              <w:rPr>
                <w:rFonts w:cs="Times New Roman"/>
                <w:color w:val="000000" w:themeColor="text1"/>
                <w:kern w:val="0"/>
                <w:szCs w:val="24"/>
              </w:rPr>
              <w:t>Model</w:t>
            </w:r>
          </w:p>
        </w:tc>
        <w:tc>
          <w:tcPr>
            <w:tcW w:w="2748" w:type="dxa"/>
            <w:gridSpan w:val="2"/>
            <w:tcBorders>
              <w:top w:val="single" w:sz="4" w:space="0" w:color="auto"/>
              <w:bottom w:val="single" w:sz="4" w:space="0" w:color="auto"/>
            </w:tcBorders>
            <w:shd w:val="clear" w:color="auto" w:fill="FFFFFF"/>
            <w:vAlign w:val="bottom"/>
          </w:tcPr>
          <w:p w14:paraId="1BD89F58" w14:textId="77777777" w:rsidR="00D11BCB" w:rsidRPr="00610639" w:rsidRDefault="00D11BCB" w:rsidP="00610639">
            <w:pPr>
              <w:autoSpaceDE w:val="0"/>
              <w:autoSpaceDN w:val="0"/>
              <w:adjustRightInd w:val="0"/>
              <w:spacing w:after="0" w:line="360" w:lineRule="auto"/>
              <w:ind w:left="60" w:right="60"/>
              <w:jc w:val="both"/>
              <w:rPr>
                <w:rFonts w:cs="Times New Roman"/>
                <w:color w:val="000000" w:themeColor="text1"/>
                <w:kern w:val="0"/>
                <w:szCs w:val="24"/>
              </w:rPr>
            </w:pPr>
            <w:r w:rsidRPr="00610639">
              <w:rPr>
                <w:rFonts w:cs="Times New Roman"/>
                <w:color w:val="000000" w:themeColor="text1"/>
                <w:kern w:val="0"/>
                <w:szCs w:val="24"/>
              </w:rPr>
              <w:t>Unstandardized Coefficients</w:t>
            </w:r>
          </w:p>
        </w:tc>
        <w:tc>
          <w:tcPr>
            <w:tcW w:w="2071" w:type="dxa"/>
            <w:tcBorders>
              <w:top w:val="single" w:sz="4" w:space="0" w:color="auto"/>
              <w:bottom w:val="single" w:sz="4" w:space="0" w:color="auto"/>
            </w:tcBorders>
            <w:shd w:val="clear" w:color="auto" w:fill="FFFFFF"/>
            <w:vAlign w:val="bottom"/>
          </w:tcPr>
          <w:p w14:paraId="6065B488" w14:textId="77777777" w:rsidR="00D11BCB" w:rsidRPr="00610639" w:rsidRDefault="00D11BCB" w:rsidP="00610639">
            <w:pPr>
              <w:autoSpaceDE w:val="0"/>
              <w:autoSpaceDN w:val="0"/>
              <w:adjustRightInd w:val="0"/>
              <w:spacing w:after="0" w:line="360" w:lineRule="auto"/>
              <w:ind w:left="60" w:right="60"/>
              <w:jc w:val="both"/>
              <w:rPr>
                <w:rFonts w:cs="Times New Roman"/>
                <w:color w:val="000000" w:themeColor="text1"/>
                <w:kern w:val="0"/>
                <w:szCs w:val="24"/>
              </w:rPr>
            </w:pPr>
            <w:r w:rsidRPr="00610639">
              <w:rPr>
                <w:rFonts w:cs="Times New Roman"/>
                <w:color w:val="000000" w:themeColor="text1"/>
                <w:kern w:val="0"/>
                <w:szCs w:val="24"/>
              </w:rPr>
              <w:t>Standardized Coefficients</w:t>
            </w:r>
          </w:p>
        </w:tc>
        <w:tc>
          <w:tcPr>
            <w:tcW w:w="709" w:type="dxa"/>
            <w:vMerge w:val="restart"/>
            <w:shd w:val="clear" w:color="auto" w:fill="FFFFFF"/>
            <w:vAlign w:val="bottom"/>
          </w:tcPr>
          <w:p w14:paraId="38CB9CC6" w14:textId="77777777" w:rsidR="00D11BCB" w:rsidRPr="00610639" w:rsidRDefault="00D11BCB" w:rsidP="00610639">
            <w:pPr>
              <w:autoSpaceDE w:val="0"/>
              <w:autoSpaceDN w:val="0"/>
              <w:adjustRightInd w:val="0"/>
              <w:spacing w:after="0" w:line="360" w:lineRule="auto"/>
              <w:ind w:left="60" w:right="60"/>
              <w:jc w:val="both"/>
              <w:rPr>
                <w:rFonts w:cs="Times New Roman"/>
                <w:color w:val="000000" w:themeColor="text1"/>
                <w:kern w:val="0"/>
                <w:szCs w:val="24"/>
              </w:rPr>
            </w:pPr>
            <w:r w:rsidRPr="00610639">
              <w:rPr>
                <w:rFonts w:cs="Times New Roman"/>
                <w:color w:val="000000" w:themeColor="text1"/>
                <w:kern w:val="0"/>
                <w:szCs w:val="24"/>
              </w:rPr>
              <w:t>t</w:t>
            </w:r>
          </w:p>
        </w:tc>
        <w:tc>
          <w:tcPr>
            <w:tcW w:w="756" w:type="dxa"/>
            <w:vMerge w:val="restart"/>
            <w:shd w:val="clear" w:color="auto" w:fill="FFFFFF"/>
            <w:vAlign w:val="bottom"/>
          </w:tcPr>
          <w:p w14:paraId="764A29D3" w14:textId="77777777" w:rsidR="00D11BCB" w:rsidRPr="00610639" w:rsidRDefault="00D11BCB" w:rsidP="00610639">
            <w:pPr>
              <w:autoSpaceDE w:val="0"/>
              <w:autoSpaceDN w:val="0"/>
              <w:adjustRightInd w:val="0"/>
              <w:spacing w:after="0" w:line="360" w:lineRule="auto"/>
              <w:ind w:left="60" w:right="60"/>
              <w:jc w:val="both"/>
              <w:rPr>
                <w:rFonts w:cs="Times New Roman"/>
                <w:color w:val="000000" w:themeColor="text1"/>
                <w:kern w:val="0"/>
                <w:szCs w:val="24"/>
              </w:rPr>
            </w:pPr>
            <w:r w:rsidRPr="00610639">
              <w:rPr>
                <w:rFonts w:cs="Times New Roman"/>
                <w:color w:val="000000" w:themeColor="text1"/>
                <w:kern w:val="0"/>
                <w:szCs w:val="24"/>
              </w:rPr>
              <w:t>Sig.</w:t>
            </w:r>
          </w:p>
        </w:tc>
      </w:tr>
      <w:tr w:rsidR="00D11BCB" w:rsidRPr="00610639" w14:paraId="33878DC2" w14:textId="77777777" w:rsidTr="00DB68AA">
        <w:trPr>
          <w:cantSplit/>
        </w:trPr>
        <w:tc>
          <w:tcPr>
            <w:tcW w:w="3124" w:type="dxa"/>
            <w:gridSpan w:val="2"/>
            <w:vMerge/>
            <w:tcBorders>
              <w:top w:val="single" w:sz="4" w:space="0" w:color="auto"/>
              <w:bottom w:val="single" w:sz="4" w:space="0" w:color="auto"/>
            </w:tcBorders>
            <w:shd w:val="clear" w:color="auto" w:fill="FFFFFF"/>
            <w:vAlign w:val="bottom"/>
          </w:tcPr>
          <w:p w14:paraId="4EA73924" w14:textId="77777777" w:rsidR="00D11BCB" w:rsidRPr="00610639" w:rsidRDefault="00D11BCB" w:rsidP="00610639">
            <w:pPr>
              <w:autoSpaceDE w:val="0"/>
              <w:autoSpaceDN w:val="0"/>
              <w:adjustRightInd w:val="0"/>
              <w:spacing w:after="0" w:line="360" w:lineRule="auto"/>
              <w:jc w:val="both"/>
              <w:rPr>
                <w:rFonts w:cs="Times New Roman"/>
                <w:color w:val="000000" w:themeColor="text1"/>
                <w:kern w:val="0"/>
                <w:szCs w:val="24"/>
              </w:rPr>
            </w:pPr>
          </w:p>
        </w:tc>
        <w:tc>
          <w:tcPr>
            <w:tcW w:w="1410" w:type="dxa"/>
            <w:tcBorders>
              <w:top w:val="single" w:sz="4" w:space="0" w:color="auto"/>
              <w:bottom w:val="single" w:sz="4" w:space="0" w:color="auto"/>
            </w:tcBorders>
            <w:shd w:val="clear" w:color="auto" w:fill="FFFFFF"/>
            <w:vAlign w:val="bottom"/>
          </w:tcPr>
          <w:p w14:paraId="0047E6F5" w14:textId="77777777" w:rsidR="00D11BCB" w:rsidRPr="00610639" w:rsidRDefault="00D11BCB" w:rsidP="00610639">
            <w:pPr>
              <w:autoSpaceDE w:val="0"/>
              <w:autoSpaceDN w:val="0"/>
              <w:adjustRightInd w:val="0"/>
              <w:spacing w:after="0" w:line="360" w:lineRule="auto"/>
              <w:ind w:left="60" w:right="60"/>
              <w:jc w:val="both"/>
              <w:rPr>
                <w:rFonts w:cs="Times New Roman"/>
                <w:color w:val="000000" w:themeColor="text1"/>
                <w:kern w:val="0"/>
                <w:szCs w:val="24"/>
              </w:rPr>
            </w:pPr>
            <w:r w:rsidRPr="00610639">
              <w:rPr>
                <w:rFonts w:cs="Times New Roman"/>
                <w:color w:val="000000" w:themeColor="text1"/>
                <w:kern w:val="0"/>
                <w:szCs w:val="24"/>
              </w:rPr>
              <w:t>B</w:t>
            </w:r>
          </w:p>
        </w:tc>
        <w:tc>
          <w:tcPr>
            <w:tcW w:w="1338" w:type="dxa"/>
            <w:tcBorders>
              <w:top w:val="single" w:sz="4" w:space="0" w:color="auto"/>
              <w:bottom w:val="single" w:sz="4" w:space="0" w:color="auto"/>
            </w:tcBorders>
            <w:shd w:val="clear" w:color="auto" w:fill="FFFFFF"/>
            <w:vAlign w:val="bottom"/>
          </w:tcPr>
          <w:p w14:paraId="6174066A" w14:textId="77777777" w:rsidR="00D11BCB" w:rsidRPr="00610639" w:rsidRDefault="00D11BCB" w:rsidP="00610639">
            <w:pPr>
              <w:autoSpaceDE w:val="0"/>
              <w:autoSpaceDN w:val="0"/>
              <w:adjustRightInd w:val="0"/>
              <w:spacing w:after="0" w:line="360" w:lineRule="auto"/>
              <w:ind w:left="60" w:right="60"/>
              <w:jc w:val="both"/>
              <w:rPr>
                <w:rFonts w:cs="Times New Roman"/>
                <w:color w:val="000000" w:themeColor="text1"/>
                <w:kern w:val="0"/>
                <w:szCs w:val="24"/>
              </w:rPr>
            </w:pPr>
            <w:r w:rsidRPr="00610639">
              <w:rPr>
                <w:rFonts w:cs="Times New Roman"/>
                <w:color w:val="000000" w:themeColor="text1"/>
                <w:kern w:val="0"/>
                <w:szCs w:val="24"/>
              </w:rPr>
              <w:t>Std. Error</w:t>
            </w:r>
          </w:p>
        </w:tc>
        <w:tc>
          <w:tcPr>
            <w:tcW w:w="2071" w:type="dxa"/>
            <w:tcBorders>
              <w:top w:val="single" w:sz="4" w:space="0" w:color="auto"/>
              <w:bottom w:val="single" w:sz="4" w:space="0" w:color="auto"/>
            </w:tcBorders>
            <w:shd w:val="clear" w:color="auto" w:fill="FFFFFF"/>
            <w:vAlign w:val="bottom"/>
          </w:tcPr>
          <w:p w14:paraId="3B27004E" w14:textId="77777777" w:rsidR="00D11BCB" w:rsidRPr="00610639" w:rsidRDefault="00D11BCB" w:rsidP="00610639">
            <w:pPr>
              <w:autoSpaceDE w:val="0"/>
              <w:autoSpaceDN w:val="0"/>
              <w:adjustRightInd w:val="0"/>
              <w:spacing w:after="0" w:line="360" w:lineRule="auto"/>
              <w:ind w:left="60" w:right="60"/>
              <w:jc w:val="both"/>
              <w:rPr>
                <w:rFonts w:cs="Times New Roman"/>
                <w:color w:val="000000" w:themeColor="text1"/>
                <w:kern w:val="0"/>
                <w:szCs w:val="24"/>
              </w:rPr>
            </w:pPr>
            <w:r w:rsidRPr="00610639">
              <w:rPr>
                <w:rFonts w:cs="Times New Roman"/>
                <w:color w:val="000000" w:themeColor="text1"/>
                <w:kern w:val="0"/>
                <w:szCs w:val="24"/>
              </w:rPr>
              <w:t>Beta</w:t>
            </w:r>
          </w:p>
        </w:tc>
        <w:tc>
          <w:tcPr>
            <w:tcW w:w="709" w:type="dxa"/>
            <w:vMerge/>
            <w:tcBorders>
              <w:bottom w:val="single" w:sz="4" w:space="0" w:color="auto"/>
            </w:tcBorders>
            <w:shd w:val="clear" w:color="auto" w:fill="FFFFFF"/>
            <w:vAlign w:val="bottom"/>
          </w:tcPr>
          <w:p w14:paraId="6243727F" w14:textId="77777777" w:rsidR="00D11BCB" w:rsidRPr="00610639" w:rsidRDefault="00D11BCB" w:rsidP="00610639">
            <w:pPr>
              <w:autoSpaceDE w:val="0"/>
              <w:autoSpaceDN w:val="0"/>
              <w:adjustRightInd w:val="0"/>
              <w:spacing w:after="0" w:line="360" w:lineRule="auto"/>
              <w:jc w:val="both"/>
              <w:rPr>
                <w:rFonts w:cs="Times New Roman"/>
                <w:color w:val="000000" w:themeColor="text1"/>
                <w:kern w:val="0"/>
                <w:szCs w:val="24"/>
              </w:rPr>
            </w:pPr>
          </w:p>
        </w:tc>
        <w:tc>
          <w:tcPr>
            <w:tcW w:w="756" w:type="dxa"/>
            <w:vMerge/>
            <w:tcBorders>
              <w:bottom w:val="single" w:sz="4" w:space="0" w:color="auto"/>
            </w:tcBorders>
            <w:shd w:val="clear" w:color="auto" w:fill="FFFFFF"/>
            <w:vAlign w:val="bottom"/>
          </w:tcPr>
          <w:p w14:paraId="508C5AE3" w14:textId="77777777" w:rsidR="00D11BCB" w:rsidRPr="00610639" w:rsidRDefault="00D11BCB" w:rsidP="00610639">
            <w:pPr>
              <w:autoSpaceDE w:val="0"/>
              <w:autoSpaceDN w:val="0"/>
              <w:adjustRightInd w:val="0"/>
              <w:spacing w:after="0" w:line="360" w:lineRule="auto"/>
              <w:jc w:val="both"/>
              <w:rPr>
                <w:rFonts w:cs="Times New Roman"/>
                <w:color w:val="000000" w:themeColor="text1"/>
                <w:kern w:val="0"/>
                <w:szCs w:val="24"/>
              </w:rPr>
            </w:pPr>
          </w:p>
        </w:tc>
      </w:tr>
      <w:tr w:rsidR="00D11BCB" w:rsidRPr="00610639" w14:paraId="67DCEAA0" w14:textId="77777777" w:rsidTr="00DB68AA">
        <w:trPr>
          <w:cantSplit/>
        </w:trPr>
        <w:tc>
          <w:tcPr>
            <w:tcW w:w="736" w:type="dxa"/>
            <w:vMerge w:val="restart"/>
            <w:tcBorders>
              <w:top w:val="single" w:sz="4" w:space="0" w:color="auto"/>
              <w:bottom w:val="nil"/>
            </w:tcBorders>
            <w:shd w:val="clear" w:color="auto" w:fill="auto"/>
          </w:tcPr>
          <w:p w14:paraId="72561667" w14:textId="77777777" w:rsidR="00D11BCB" w:rsidRPr="00610639" w:rsidRDefault="00D11BCB" w:rsidP="00610639">
            <w:pPr>
              <w:autoSpaceDE w:val="0"/>
              <w:autoSpaceDN w:val="0"/>
              <w:adjustRightInd w:val="0"/>
              <w:spacing w:after="0" w:line="360" w:lineRule="auto"/>
              <w:ind w:left="60" w:right="60"/>
              <w:jc w:val="both"/>
              <w:rPr>
                <w:rFonts w:cs="Times New Roman"/>
                <w:color w:val="000000" w:themeColor="text1"/>
                <w:kern w:val="0"/>
                <w:szCs w:val="24"/>
              </w:rPr>
            </w:pPr>
            <w:r w:rsidRPr="00610639">
              <w:rPr>
                <w:rFonts w:cs="Times New Roman"/>
                <w:color w:val="000000" w:themeColor="text1"/>
                <w:kern w:val="0"/>
                <w:szCs w:val="24"/>
              </w:rPr>
              <w:t>1</w:t>
            </w:r>
          </w:p>
        </w:tc>
        <w:tc>
          <w:tcPr>
            <w:tcW w:w="2388" w:type="dxa"/>
            <w:tcBorders>
              <w:top w:val="single" w:sz="4" w:space="0" w:color="auto"/>
              <w:bottom w:val="nil"/>
            </w:tcBorders>
            <w:shd w:val="clear" w:color="auto" w:fill="auto"/>
          </w:tcPr>
          <w:p w14:paraId="6BA65FD5" w14:textId="77777777" w:rsidR="00D11BCB" w:rsidRPr="00610639" w:rsidRDefault="00D11BCB" w:rsidP="00610639">
            <w:pPr>
              <w:autoSpaceDE w:val="0"/>
              <w:autoSpaceDN w:val="0"/>
              <w:adjustRightInd w:val="0"/>
              <w:spacing w:after="0" w:line="360" w:lineRule="auto"/>
              <w:ind w:left="60" w:right="60"/>
              <w:jc w:val="both"/>
              <w:rPr>
                <w:rFonts w:cs="Times New Roman"/>
                <w:color w:val="000000" w:themeColor="text1"/>
                <w:kern w:val="0"/>
                <w:szCs w:val="24"/>
              </w:rPr>
            </w:pPr>
            <w:r w:rsidRPr="00610639">
              <w:rPr>
                <w:rFonts w:cs="Times New Roman"/>
                <w:color w:val="000000" w:themeColor="text1"/>
                <w:kern w:val="0"/>
                <w:szCs w:val="24"/>
              </w:rPr>
              <w:t>(Constant)</w:t>
            </w:r>
          </w:p>
        </w:tc>
        <w:tc>
          <w:tcPr>
            <w:tcW w:w="1410" w:type="dxa"/>
            <w:tcBorders>
              <w:top w:val="single" w:sz="4" w:space="0" w:color="auto"/>
              <w:bottom w:val="nil"/>
            </w:tcBorders>
            <w:shd w:val="clear" w:color="auto" w:fill="auto"/>
          </w:tcPr>
          <w:p w14:paraId="68B7564D" w14:textId="77777777" w:rsidR="00D11BCB" w:rsidRPr="00610639" w:rsidRDefault="00D11BCB" w:rsidP="00610639">
            <w:pPr>
              <w:autoSpaceDE w:val="0"/>
              <w:autoSpaceDN w:val="0"/>
              <w:adjustRightInd w:val="0"/>
              <w:spacing w:after="0" w:line="360" w:lineRule="auto"/>
              <w:ind w:left="60" w:right="60"/>
              <w:jc w:val="both"/>
              <w:rPr>
                <w:rFonts w:cs="Times New Roman"/>
                <w:color w:val="000000" w:themeColor="text1"/>
                <w:kern w:val="0"/>
                <w:szCs w:val="24"/>
              </w:rPr>
            </w:pPr>
            <w:r w:rsidRPr="00610639">
              <w:rPr>
                <w:rFonts w:cs="Times New Roman"/>
                <w:color w:val="000000" w:themeColor="text1"/>
                <w:kern w:val="0"/>
                <w:szCs w:val="24"/>
              </w:rPr>
              <w:t>1.372</w:t>
            </w:r>
          </w:p>
        </w:tc>
        <w:tc>
          <w:tcPr>
            <w:tcW w:w="1338" w:type="dxa"/>
            <w:tcBorders>
              <w:top w:val="single" w:sz="4" w:space="0" w:color="auto"/>
              <w:bottom w:val="nil"/>
            </w:tcBorders>
            <w:shd w:val="clear" w:color="auto" w:fill="auto"/>
          </w:tcPr>
          <w:p w14:paraId="5C76C5C7" w14:textId="77777777" w:rsidR="00D11BCB" w:rsidRPr="00610639" w:rsidRDefault="00D11BCB" w:rsidP="00610639">
            <w:pPr>
              <w:autoSpaceDE w:val="0"/>
              <w:autoSpaceDN w:val="0"/>
              <w:adjustRightInd w:val="0"/>
              <w:spacing w:after="0" w:line="360" w:lineRule="auto"/>
              <w:ind w:left="60" w:right="60"/>
              <w:jc w:val="both"/>
              <w:rPr>
                <w:rFonts w:cs="Times New Roman"/>
                <w:color w:val="000000" w:themeColor="text1"/>
                <w:kern w:val="0"/>
                <w:szCs w:val="24"/>
              </w:rPr>
            </w:pPr>
            <w:r w:rsidRPr="00610639">
              <w:rPr>
                <w:rFonts w:cs="Times New Roman"/>
                <w:color w:val="000000" w:themeColor="text1"/>
                <w:kern w:val="0"/>
                <w:szCs w:val="24"/>
              </w:rPr>
              <w:t>.340</w:t>
            </w:r>
          </w:p>
        </w:tc>
        <w:tc>
          <w:tcPr>
            <w:tcW w:w="2071" w:type="dxa"/>
            <w:tcBorders>
              <w:top w:val="single" w:sz="4" w:space="0" w:color="auto"/>
              <w:bottom w:val="nil"/>
            </w:tcBorders>
            <w:shd w:val="clear" w:color="auto" w:fill="auto"/>
            <w:vAlign w:val="center"/>
          </w:tcPr>
          <w:p w14:paraId="538E3C28" w14:textId="77777777" w:rsidR="00D11BCB" w:rsidRPr="00610639" w:rsidRDefault="00D11BCB" w:rsidP="00610639">
            <w:pPr>
              <w:autoSpaceDE w:val="0"/>
              <w:autoSpaceDN w:val="0"/>
              <w:adjustRightInd w:val="0"/>
              <w:spacing w:after="0" w:line="360" w:lineRule="auto"/>
              <w:jc w:val="both"/>
              <w:rPr>
                <w:rFonts w:cs="Times New Roman"/>
                <w:color w:val="000000" w:themeColor="text1"/>
                <w:kern w:val="0"/>
                <w:szCs w:val="24"/>
              </w:rPr>
            </w:pPr>
          </w:p>
        </w:tc>
        <w:tc>
          <w:tcPr>
            <w:tcW w:w="709" w:type="dxa"/>
            <w:tcBorders>
              <w:top w:val="single" w:sz="4" w:space="0" w:color="auto"/>
              <w:bottom w:val="nil"/>
            </w:tcBorders>
            <w:shd w:val="clear" w:color="auto" w:fill="auto"/>
          </w:tcPr>
          <w:p w14:paraId="12A6B4B5" w14:textId="77777777" w:rsidR="00D11BCB" w:rsidRPr="00610639" w:rsidRDefault="00D11BCB" w:rsidP="00610639">
            <w:pPr>
              <w:autoSpaceDE w:val="0"/>
              <w:autoSpaceDN w:val="0"/>
              <w:adjustRightInd w:val="0"/>
              <w:spacing w:after="0" w:line="360" w:lineRule="auto"/>
              <w:ind w:left="60" w:right="60"/>
              <w:jc w:val="both"/>
              <w:rPr>
                <w:rFonts w:cs="Times New Roman"/>
                <w:color w:val="000000" w:themeColor="text1"/>
                <w:kern w:val="0"/>
                <w:szCs w:val="24"/>
              </w:rPr>
            </w:pPr>
            <w:r w:rsidRPr="00610639">
              <w:rPr>
                <w:rFonts w:cs="Times New Roman"/>
                <w:color w:val="000000" w:themeColor="text1"/>
                <w:kern w:val="0"/>
                <w:szCs w:val="24"/>
              </w:rPr>
              <w:t>4.041</w:t>
            </w:r>
          </w:p>
        </w:tc>
        <w:tc>
          <w:tcPr>
            <w:tcW w:w="756" w:type="dxa"/>
            <w:tcBorders>
              <w:top w:val="single" w:sz="4" w:space="0" w:color="auto"/>
              <w:bottom w:val="nil"/>
            </w:tcBorders>
            <w:shd w:val="clear" w:color="auto" w:fill="auto"/>
          </w:tcPr>
          <w:p w14:paraId="206F45FE" w14:textId="77777777" w:rsidR="00D11BCB" w:rsidRPr="00610639" w:rsidRDefault="00D11BCB" w:rsidP="00610639">
            <w:pPr>
              <w:autoSpaceDE w:val="0"/>
              <w:autoSpaceDN w:val="0"/>
              <w:adjustRightInd w:val="0"/>
              <w:spacing w:after="0" w:line="360" w:lineRule="auto"/>
              <w:ind w:left="60" w:right="60"/>
              <w:jc w:val="both"/>
              <w:rPr>
                <w:rFonts w:cs="Times New Roman"/>
                <w:color w:val="000000" w:themeColor="text1"/>
                <w:kern w:val="0"/>
                <w:szCs w:val="24"/>
              </w:rPr>
            </w:pPr>
            <w:r w:rsidRPr="00610639">
              <w:rPr>
                <w:rFonts w:cs="Times New Roman"/>
                <w:color w:val="000000" w:themeColor="text1"/>
                <w:kern w:val="0"/>
                <w:szCs w:val="24"/>
              </w:rPr>
              <w:t>.000</w:t>
            </w:r>
          </w:p>
        </w:tc>
      </w:tr>
      <w:tr w:rsidR="00D11BCB" w:rsidRPr="00610639" w14:paraId="7C39F769" w14:textId="77777777" w:rsidTr="00DB68AA">
        <w:trPr>
          <w:cantSplit/>
        </w:trPr>
        <w:tc>
          <w:tcPr>
            <w:tcW w:w="736" w:type="dxa"/>
            <w:vMerge/>
            <w:tcBorders>
              <w:top w:val="nil"/>
              <w:bottom w:val="nil"/>
            </w:tcBorders>
            <w:shd w:val="clear" w:color="auto" w:fill="auto"/>
          </w:tcPr>
          <w:p w14:paraId="2121F5A9" w14:textId="77777777" w:rsidR="00D11BCB" w:rsidRPr="00610639" w:rsidRDefault="00D11BCB" w:rsidP="00610639">
            <w:pPr>
              <w:autoSpaceDE w:val="0"/>
              <w:autoSpaceDN w:val="0"/>
              <w:adjustRightInd w:val="0"/>
              <w:spacing w:after="0" w:line="360" w:lineRule="auto"/>
              <w:jc w:val="both"/>
              <w:rPr>
                <w:rFonts w:cs="Times New Roman"/>
                <w:color w:val="000000" w:themeColor="text1"/>
                <w:kern w:val="0"/>
                <w:szCs w:val="24"/>
              </w:rPr>
            </w:pPr>
          </w:p>
        </w:tc>
        <w:tc>
          <w:tcPr>
            <w:tcW w:w="2388" w:type="dxa"/>
            <w:tcBorders>
              <w:top w:val="nil"/>
              <w:bottom w:val="nil"/>
            </w:tcBorders>
            <w:shd w:val="clear" w:color="auto" w:fill="auto"/>
          </w:tcPr>
          <w:p w14:paraId="664F13E0" w14:textId="77777777" w:rsidR="00D11BCB" w:rsidRPr="00610639" w:rsidRDefault="00D11BCB" w:rsidP="00610639">
            <w:pPr>
              <w:autoSpaceDE w:val="0"/>
              <w:autoSpaceDN w:val="0"/>
              <w:adjustRightInd w:val="0"/>
              <w:spacing w:after="0" w:line="360" w:lineRule="auto"/>
              <w:ind w:left="60" w:right="60"/>
              <w:jc w:val="both"/>
              <w:rPr>
                <w:rFonts w:cs="Times New Roman"/>
                <w:color w:val="000000" w:themeColor="text1"/>
                <w:kern w:val="0"/>
                <w:szCs w:val="24"/>
              </w:rPr>
            </w:pPr>
            <w:r w:rsidRPr="00610639">
              <w:rPr>
                <w:rFonts w:cs="Times New Roman"/>
                <w:color w:val="000000" w:themeColor="text1"/>
                <w:kern w:val="0"/>
                <w:szCs w:val="24"/>
              </w:rPr>
              <w:t>Regulatory</w:t>
            </w:r>
          </w:p>
          <w:p w14:paraId="2EDA1FB3" w14:textId="5E4DB614" w:rsidR="00D11BCB" w:rsidRPr="00610639" w:rsidRDefault="00D11BCB" w:rsidP="00610639">
            <w:pPr>
              <w:autoSpaceDE w:val="0"/>
              <w:autoSpaceDN w:val="0"/>
              <w:adjustRightInd w:val="0"/>
              <w:spacing w:after="0" w:line="360" w:lineRule="auto"/>
              <w:ind w:left="60" w:right="60"/>
              <w:jc w:val="both"/>
              <w:rPr>
                <w:rFonts w:cs="Times New Roman"/>
                <w:color w:val="000000" w:themeColor="text1"/>
                <w:kern w:val="0"/>
                <w:szCs w:val="24"/>
              </w:rPr>
            </w:pPr>
            <w:r w:rsidRPr="00610639">
              <w:rPr>
                <w:rFonts w:cs="Times New Roman"/>
                <w:color w:val="000000" w:themeColor="text1"/>
                <w:kern w:val="0"/>
                <w:szCs w:val="24"/>
              </w:rPr>
              <w:t>Compliance</w:t>
            </w:r>
          </w:p>
        </w:tc>
        <w:tc>
          <w:tcPr>
            <w:tcW w:w="1410" w:type="dxa"/>
            <w:tcBorders>
              <w:top w:val="nil"/>
              <w:bottom w:val="nil"/>
            </w:tcBorders>
            <w:shd w:val="clear" w:color="auto" w:fill="auto"/>
          </w:tcPr>
          <w:p w14:paraId="00FEDE90" w14:textId="77777777" w:rsidR="00D11BCB" w:rsidRPr="00610639" w:rsidRDefault="00D11BCB" w:rsidP="00610639">
            <w:pPr>
              <w:autoSpaceDE w:val="0"/>
              <w:autoSpaceDN w:val="0"/>
              <w:adjustRightInd w:val="0"/>
              <w:spacing w:after="0" w:line="360" w:lineRule="auto"/>
              <w:ind w:left="60" w:right="60"/>
              <w:jc w:val="both"/>
              <w:rPr>
                <w:rFonts w:cs="Times New Roman"/>
                <w:color w:val="000000" w:themeColor="text1"/>
                <w:kern w:val="0"/>
                <w:szCs w:val="24"/>
              </w:rPr>
            </w:pPr>
            <w:r w:rsidRPr="00610639">
              <w:rPr>
                <w:rFonts w:cs="Times New Roman"/>
                <w:color w:val="000000" w:themeColor="text1"/>
                <w:kern w:val="0"/>
                <w:szCs w:val="24"/>
              </w:rPr>
              <w:t>.312</w:t>
            </w:r>
          </w:p>
        </w:tc>
        <w:tc>
          <w:tcPr>
            <w:tcW w:w="1338" w:type="dxa"/>
            <w:tcBorders>
              <w:top w:val="nil"/>
              <w:bottom w:val="nil"/>
            </w:tcBorders>
            <w:shd w:val="clear" w:color="auto" w:fill="auto"/>
          </w:tcPr>
          <w:p w14:paraId="4CACE732" w14:textId="77777777" w:rsidR="00D11BCB" w:rsidRPr="00610639" w:rsidRDefault="00D11BCB" w:rsidP="00610639">
            <w:pPr>
              <w:autoSpaceDE w:val="0"/>
              <w:autoSpaceDN w:val="0"/>
              <w:adjustRightInd w:val="0"/>
              <w:spacing w:after="0" w:line="360" w:lineRule="auto"/>
              <w:ind w:left="60" w:right="60"/>
              <w:jc w:val="both"/>
              <w:rPr>
                <w:rFonts w:cs="Times New Roman"/>
                <w:color w:val="000000" w:themeColor="text1"/>
                <w:kern w:val="0"/>
                <w:szCs w:val="24"/>
              </w:rPr>
            </w:pPr>
            <w:r w:rsidRPr="00610639">
              <w:rPr>
                <w:rFonts w:cs="Times New Roman"/>
                <w:color w:val="000000" w:themeColor="text1"/>
                <w:kern w:val="0"/>
                <w:szCs w:val="24"/>
              </w:rPr>
              <w:t>.087</w:t>
            </w:r>
          </w:p>
        </w:tc>
        <w:tc>
          <w:tcPr>
            <w:tcW w:w="2071" w:type="dxa"/>
            <w:tcBorders>
              <w:top w:val="nil"/>
              <w:bottom w:val="nil"/>
            </w:tcBorders>
            <w:shd w:val="clear" w:color="auto" w:fill="auto"/>
          </w:tcPr>
          <w:p w14:paraId="202E3B70" w14:textId="77777777" w:rsidR="00D11BCB" w:rsidRPr="00610639" w:rsidRDefault="00D11BCB" w:rsidP="00610639">
            <w:pPr>
              <w:autoSpaceDE w:val="0"/>
              <w:autoSpaceDN w:val="0"/>
              <w:adjustRightInd w:val="0"/>
              <w:spacing w:after="0" w:line="360" w:lineRule="auto"/>
              <w:ind w:left="60" w:right="60"/>
              <w:jc w:val="both"/>
              <w:rPr>
                <w:rFonts w:cs="Times New Roman"/>
                <w:color w:val="000000" w:themeColor="text1"/>
                <w:kern w:val="0"/>
                <w:szCs w:val="24"/>
              </w:rPr>
            </w:pPr>
            <w:r w:rsidRPr="00610639">
              <w:rPr>
                <w:rFonts w:cs="Times New Roman"/>
                <w:color w:val="000000" w:themeColor="text1"/>
                <w:kern w:val="0"/>
                <w:szCs w:val="24"/>
              </w:rPr>
              <w:t>.260</w:t>
            </w:r>
          </w:p>
        </w:tc>
        <w:tc>
          <w:tcPr>
            <w:tcW w:w="709" w:type="dxa"/>
            <w:tcBorders>
              <w:top w:val="nil"/>
              <w:bottom w:val="nil"/>
            </w:tcBorders>
            <w:shd w:val="clear" w:color="auto" w:fill="auto"/>
          </w:tcPr>
          <w:p w14:paraId="28AB0790" w14:textId="77777777" w:rsidR="00D11BCB" w:rsidRPr="00610639" w:rsidRDefault="00D11BCB" w:rsidP="00610639">
            <w:pPr>
              <w:autoSpaceDE w:val="0"/>
              <w:autoSpaceDN w:val="0"/>
              <w:adjustRightInd w:val="0"/>
              <w:spacing w:after="0" w:line="360" w:lineRule="auto"/>
              <w:ind w:left="60" w:right="60"/>
              <w:jc w:val="both"/>
              <w:rPr>
                <w:rFonts w:cs="Times New Roman"/>
                <w:color w:val="000000" w:themeColor="text1"/>
                <w:kern w:val="0"/>
                <w:szCs w:val="24"/>
              </w:rPr>
            </w:pPr>
            <w:r w:rsidRPr="00610639">
              <w:rPr>
                <w:rFonts w:cs="Times New Roman"/>
                <w:color w:val="000000" w:themeColor="text1"/>
                <w:kern w:val="0"/>
                <w:szCs w:val="24"/>
              </w:rPr>
              <w:t>3.594</w:t>
            </w:r>
          </w:p>
        </w:tc>
        <w:tc>
          <w:tcPr>
            <w:tcW w:w="756" w:type="dxa"/>
            <w:tcBorders>
              <w:top w:val="nil"/>
              <w:bottom w:val="nil"/>
            </w:tcBorders>
            <w:shd w:val="clear" w:color="auto" w:fill="auto"/>
          </w:tcPr>
          <w:p w14:paraId="444DEAEA" w14:textId="77777777" w:rsidR="00D11BCB" w:rsidRPr="00610639" w:rsidRDefault="00D11BCB" w:rsidP="00610639">
            <w:pPr>
              <w:autoSpaceDE w:val="0"/>
              <w:autoSpaceDN w:val="0"/>
              <w:adjustRightInd w:val="0"/>
              <w:spacing w:after="0" w:line="360" w:lineRule="auto"/>
              <w:ind w:left="60" w:right="60"/>
              <w:jc w:val="both"/>
              <w:rPr>
                <w:rFonts w:cs="Times New Roman"/>
                <w:color w:val="000000" w:themeColor="text1"/>
                <w:kern w:val="0"/>
                <w:szCs w:val="24"/>
              </w:rPr>
            </w:pPr>
            <w:r w:rsidRPr="00610639">
              <w:rPr>
                <w:rFonts w:cs="Times New Roman"/>
                <w:color w:val="000000" w:themeColor="text1"/>
                <w:kern w:val="0"/>
                <w:szCs w:val="24"/>
              </w:rPr>
              <w:t>.000</w:t>
            </w:r>
          </w:p>
        </w:tc>
      </w:tr>
      <w:tr w:rsidR="00D11BCB" w:rsidRPr="00610639" w14:paraId="095D670B" w14:textId="77777777" w:rsidTr="00E70933">
        <w:trPr>
          <w:cantSplit/>
          <w:trHeight w:val="73"/>
        </w:trPr>
        <w:tc>
          <w:tcPr>
            <w:tcW w:w="736" w:type="dxa"/>
            <w:vMerge/>
            <w:shd w:val="clear" w:color="auto" w:fill="auto"/>
          </w:tcPr>
          <w:p w14:paraId="643F2C77" w14:textId="77777777" w:rsidR="00D11BCB" w:rsidRPr="00610639" w:rsidRDefault="00D11BCB" w:rsidP="00610639">
            <w:pPr>
              <w:autoSpaceDE w:val="0"/>
              <w:autoSpaceDN w:val="0"/>
              <w:adjustRightInd w:val="0"/>
              <w:spacing w:after="0" w:line="360" w:lineRule="auto"/>
              <w:jc w:val="both"/>
              <w:rPr>
                <w:rFonts w:cs="Times New Roman"/>
                <w:color w:val="000000" w:themeColor="text1"/>
                <w:kern w:val="0"/>
                <w:szCs w:val="24"/>
              </w:rPr>
            </w:pPr>
          </w:p>
        </w:tc>
        <w:tc>
          <w:tcPr>
            <w:tcW w:w="2388" w:type="dxa"/>
            <w:shd w:val="clear" w:color="auto" w:fill="auto"/>
          </w:tcPr>
          <w:p w14:paraId="6699AFDD" w14:textId="5C53CB7E" w:rsidR="00D11BCB" w:rsidRPr="00610639" w:rsidRDefault="00D11BCB" w:rsidP="00610639">
            <w:pPr>
              <w:autoSpaceDE w:val="0"/>
              <w:autoSpaceDN w:val="0"/>
              <w:adjustRightInd w:val="0"/>
              <w:spacing w:after="0" w:line="360" w:lineRule="auto"/>
              <w:ind w:right="60"/>
              <w:jc w:val="both"/>
              <w:rPr>
                <w:rFonts w:cs="Times New Roman"/>
                <w:color w:val="000000" w:themeColor="text1"/>
                <w:kern w:val="0"/>
                <w:szCs w:val="24"/>
              </w:rPr>
            </w:pPr>
          </w:p>
        </w:tc>
        <w:tc>
          <w:tcPr>
            <w:tcW w:w="1410" w:type="dxa"/>
            <w:shd w:val="clear" w:color="auto" w:fill="auto"/>
          </w:tcPr>
          <w:p w14:paraId="30FC9AEF" w14:textId="6B956B99" w:rsidR="00D11BCB" w:rsidRPr="00610639" w:rsidRDefault="00D11BCB" w:rsidP="00610639">
            <w:pPr>
              <w:autoSpaceDE w:val="0"/>
              <w:autoSpaceDN w:val="0"/>
              <w:adjustRightInd w:val="0"/>
              <w:spacing w:after="0" w:line="360" w:lineRule="auto"/>
              <w:ind w:right="60"/>
              <w:jc w:val="both"/>
              <w:rPr>
                <w:rFonts w:cs="Times New Roman"/>
                <w:color w:val="000000" w:themeColor="text1"/>
                <w:kern w:val="0"/>
                <w:szCs w:val="24"/>
              </w:rPr>
            </w:pPr>
          </w:p>
        </w:tc>
        <w:tc>
          <w:tcPr>
            <w:tcW w:w="1338" w:type="dxa"/>
            <w:shd w:val="clear" w:color="auto" w:fill="auto"/>
          </w:tcPr>
          <w:p w14:paraId="65D0A102" w14:textId="75C0F9A2" w:rsidR="00D11BCB" w:rsidRPr="00610639" w:rsidRDefault="00D11BCB" w:rsidP="00610639">
            <w:pPr>
              <w:autoSpaceDE w:val="0"/>
              <w:autoSpaceDN w:val="0"/>
              <w:adjustRightInd w:val="0"/>
              <w:spacing w:after="0" w:line="360" w:lineRule="auto"/>
              <w:ind w:right="60"/>
              <w:jc w:val="both"/>
              <w:rPr>
                <w:rFonts w:cs="Times New Roman"/>
                <w:color w:val="000000" w:themeColor="text1"/>
                <w:kern w:val="0"/>
                <w:szCs w:val="24"/>
              </w:rPr>
            </w:pPr>
          </w:p>
        </w:tc>
        <w:tc>
          <w:tcPr>
            <w:tcW w:w="2071" w:type="dxa"/>
            <w:shd w:val="clear" w:color="auto" w:fill="auto"/>
          </w:tcPr>
          <w:p w14:paraId="0FBDAFEF" w14:textId="229851B1" w:rsidR="00D11BCB" w:rsidRPr="00610639" w:rsidRDefault="00D11BCB" w:rsidP="00610639">
            <w:pPr>
              <w:autoSpaceDE w:val="0"/>
              <w:autoSpaceDN w:val="0"/>
              <w:adjustRightInd w:val="0"/>
              <w:spacing w:after="0" w:line="360" w:lineRule="auto"/>
              <w:ind w:right="60"/>
              <w:jc w:val="both"/>
              <w:rPr>
                <w:rFonts w:cs="Times New Roman"/>
                <w:color w:val="000000" w:themeColor="text1"/>
                <w:kern w:val="0"/>
                <w:szCs w:val="24"/>
              </w:rPr>
            </w:pPr>
          </w:p>
        </w:tc>
        <w:tc>
          <w:tcPr>
            <w:tcW w:w="709" w:type="dxa"/>
            <w:shd w:val="clear" w:color="auto" w:fill="auto"/>
          </w:tcPr>
          <w:p w14:paraId="7B130E01" w14:textId="471D8292" w:rsidR="00D11BCB" w:rsidRPr="00610639" w:rsidRDefault="00D11BCB" w:rsidP="00610639">
            <w:pPr>
              <w:autoSpaceDE w:val="0"/>
              <w:autoSpaceDN w:val="0"/>
              <w:adjustRightInd w:val="0"/>
              <w:spacing w:after="0" w:line="360" w:lineRule="auto"/>
              <w:ind w:right="60"/>
              <w:jc w:val="both"/>
              <w:rPr>
                <w:rFonts w:cs="Times New Roman"/>
                <w:color w:val="000000" w:themeColor="text1"/>
                <w:kern w:val="0"/>
                <w:szCs w:val="24"/>
              </w:rPr>
            </w:pPr>
          </w:p>
        </w:tc>
        <w:tc>
          <w:tcPr>
            <w:tcW w:w="756" w:type="dxa"/>
            <w:shd w:val="clear" w:color="auto" w:fill="auto"/>
          </w:tcPr>
          <w:p w14:paraId="250D46AF" w14:textId="41CC4992" w:rsidR="00D11BCB" w:rsidRPr="00610639" w:rsidRDefault="00D11BCB" w:rsidP="00610639">
            <w:pPr>
              <w:autoSpaceDE w:val="0"/>
              <w:autoSpaceDN w:val="0"/>
              <w:adjustRightInd w:val="0"/>
              <w:spacing w:after="0" w:line="360" w:lineRule="auto"/>
              <w:ind w:right="60"/>
              <w:jc w:val="both"/>
              <w:rPr>
                <w:rFonts w:cs="Times New Roman"/>
                <w:color w:val="000000" w:themeColor="text1"/>
                <w:kern w:val="0"/>
                <w:szCs w:val="24"/>
              </w:rPr>
            </w:pPr>
          </w:p>
        </w:tc>
      </w:tr>
    </w:tbl>
    <w:p w14:paraId="5F46BEB3" w14:textId="559E484B" w:rsidR="00D11BCB" w:rsidRPr="00610639" w:rsidRDefault="002A405D" w:rsidP="00610639">
      <w:pPr>
        <w:autoSpaceDE w:val="0"/>
        <w:autoSpaceDN w:val="0"/>
        <w:adjustRightInd w:val="0"/>
        <w:spacing w:after="0" w:line="360" w:lineRule="auto"/>
        <w:jc w:val="both"/>
        <w:rPr>
          <w:rFonts w:cs="Times New Roman"/>
          <w:color w:val="000000" w:themeColor="text1"/>
          <w:kern w:val="0"/>
          <w:szCs w:val="24"/>
        </w:rPr>
      </w:pPr>
      <w:r w:rsidRPr="00610639">
        <w:rPr>
          <w:rFonts w:cs="Times New Roman"/>
          <w:b/>
          <w:bCs/>
          <w:color w:val="000000" w:themeColor="text1"/>
          <w:kern w:val="0"/>
          <w:szCs w:val="24"/>
        </w:rPr>
        <w:t>Source:</w:t>
      </w:r>
      <w:r w:rsidRPr="00610639">
        <w:rPr>
          <w:rFonts w:cs="Times New Roman"/>
          <w:color w:val="000000" w:themeColor="text1"/>
          <w:kern w:val="0"/>
          <w:szCs w:val="24"/>
        </w:rPr>
        <w:t xml:space="preserve"> </w:t>
      </w:r>
      <w:r w:rsidR="00D11BCB" w:rsidRPr="00610639">
        <w:rPr>
          <w:rFonts w:cs="Times New Roman"/>
          <w:color w:val="000000" w:themeColor="text1"/>
          <w:kern w:val="0"/>
          <w:szCs w:val="24"/>
        </w:rPr>
        <w:t>Field, 2024; a. Dependent Variable:  Service Delivery</w:t>
      </w:r>
      <w:r w:rsidRPr="00610639">
        <w:rPr>
          <w:rFonts w:cs="Times New Roman"/>
          <w:color w:val="000000" w:themeColor="text1"/>
          <w:kern w:val="0"/>
          <w:szCs w:val="24"/>
        </w:rPr>
        <w:t xml:space="preserve">; Predictor: Regulatory Compliance </w:t>
      </w:r>
    </w:p>
    <w:p w14:paraId="380ED196" w14:textId="75BA6172" w:rsidR="00D11BCB" w:rsidRPr="00610639" w:rsidRDefault="00D11BCB" w:rsidP="00610639">
      <w:pPr>
        <w:spacing w:before="240" w:after="0" w:line="360" w:lineRule="auto"/>
        <w:jc w:val="both"/>
        <w:rPr>
          <w:rFonts w:cs="Times New Roman"/>
          <w:color w:val="000000" w:themeColor="text1"/>
          <w:szCs w:val="24"/>
        </w:rPr>
      </w:pPr>
      <w:r w:rsidRPr="00610639">
        <w:rPr>
          <w:rFonts w:cs="Times New Roman"/>
          <w:color w:val="000000" w:themeColor="text1"/>
          <w:szCs w:val="24"/>
        </w:rPr>
        <w:t xml:space="preserve">The </w:t>
      </w:r>
      <w:r w:rsidR="00E70933" w:rsidRPr="00610639">
        <w:rPr>
          <w:rFonts w:cs="Times New Roman"/>
          <w:color w:val="000000" w:themeColor="text1"/>
          <w:szCs w:val="24"/>
        </w:rPr>
        <w:t>coefficients present</w:t>
      </w:r>
      <w:r w:rsidRPr="00610639">
        <w:rPr>
          <w:rFonts w:cs="Times New Roman"/>
          <w:color w:val="000000" w:themeColor="text1"/>
          <w:szCs w:val="24"/>
        </w:rPr>
        <w:t xml:space="preserve"> the detailed analysis of how each</w:t>
      </w:r>
      <w:bookmarkStart w:id="13" w:name="_Hlk190432928"/>
      <w:r w:rsidR="00E70933" w:rsidRPr="00610639">
        <w:rPr>
          <w:rFonts w:cs="Times New Roman"/>
          <w:color w:val="000000" w:themeColor="text1"/>
          <w:szCs w:val="24"/>
        </w:rPr>
        <w:t xml:space="preserve"> regulatory compliance </w:t>
      </w:r>
      <w:r w:rsidRPr="00610639">
        <w:rPr>
          <w:rFonts w:cs="Times New Roman"/>
          <w:color w:val="000000" w:themeColor="text1"/>
          <w:szCs w:val="24"/>
        </w:rPr>
        <w:t>influences service delivery</w:t>
      </w:r>
      <w:bookmarkEnd w:id="13"/>
      <w:r w:rsidRPr="00610639">
        <w:rPr>
          <w:rFonts w:cs="Times New Roman"/>
          <w:color w:val="000000" w:themeColor="text1"/>
          <w:szCs w:val="24"/>
        </w:rPr>
        <w:t xml:space="preserve">. </w:t>
      </w:r>
      <w:bookmarkStart w:id="14" w:name="_Hlk192169715"/>
      <w:r w:rsidR="002A405D" w:rsidRPr="00610639">
        <w:rPr>
          <w:rFonts w:cs="Times New Roman"/>
          <w:color w:val="000000" w:themeColor="text1"/>
          <w:szCs w:val="24"/>
        </w:rPr>
        <w:t>R</w:t>
      </w:r>
      <w:r w:rsidR="00E70933" w:rsidRPr="00610639">
        <w:rPr>
          <w:rFonts w:cs="Times New Roman"/>
          <w:color w:val="000000" w:themeColor="text1"/>
          <w:szCs w:val="24"/>
        </w:rPr>
        <w:t xml:space="preserve">egulatory compliance </w:t>
      </w:r>
      <w:r w:rsidRPr="00610639">
        <w:rPr>
          <w:rFonts w:cs="Times New Roman"/>
          <w:color w:val="000000" w:themeColor="text1"/>
          <w:szCs w:val="24"/>
        </w:rPr>
        <w:t>also shows a significant positive relationship</w:t>
      </w:r>
      <w:r w:rsidR="00E70933" w:rsidRPr="00610639">
        <w:rPr>
          <w:rFonts w:cs="Times New Roman"/>
          <w:color w:val="000000" w:themeColor="text1"/>
          <w:szCs w:val="24"/>
        </w:rPr>
        <w:t xml:space="preserve"> with service delivery</w:t>
      </w:r>
      <w:r w:rsidRPr="00610639">
        <w:rPr>
          <w:rFonts w:cs="Times New Roman"/>
          <w:color w:val="000000" w:themeColor="text1"/>
          <w:szCs w:val="24"/>
        </w:rPr>
        <w:t xml:space="preserve"> (β = 0.312, t = 3.594, p = 0.000)</w:t>
      </w:r>
      <w:r w:rsidR="00E70933" w:rsidRPr="00610639">
        <w:rPr>
          <w:rFonts w:cs="Times New Roman"/>
          <w:color w:val="000000" w:themeColor="text1"/>
          <w:szCs w:val="24"/>
        </w:rPr>
        <w:t xml:space="preserve">. </w:t>
      </w:r>
      <w:bookmarkEnd w:id="14"/>
      <w:r w:rsidRPr="00610639">
        <w:rPr>
          <w:rFonts w:cs="Times New Roman"/>
          <w:color w:val="000000" w:themeColor="text1"/>
          <w:szCs w:val="24"/>
        </w:rPr>
        <w:t xml:space="preserve">The constant term (β = 1.372, t = 4.041, p = 0.000) represents the baseline level of service delivery when all predictors are zero. </w:t>
      </w:r>
      <w:r w:rsidR="002A405D" w:rsidRPr="00610639">
        <w:rPr>
          <w:rFonts w:eastAsia="Times New Roman" w:cs="Times New Roman"/>
          <w:kern w:val="0"/>
          <w:szCs w:val="24"/>
        </w:rPr>
        <w:t xml:space="preserve">This result indicates that each unit increase in regulatory compliance leads to a 0.312-unit improvement in service delivery (31.2%), assuming other variables remain constant. </w:t>
      </w:r>
      <w:r w:rsidRPr="00610639">
        <w:rPr>
          <w:rFonts w:cs="Times New Roman"/>
          <w:color w:val="000000" w:themeColor="text1"/>
          <w:szCs w:val="24"/>
        </w:rPr>
        <w:t xml:space="preserve">These </w:t>
      </w:r>
      <w:r w:rsidR="002A405D" w:rsidRPr="00610639">
        <w:rPr>
          <w:rFonts w:cs="Times New Roman"/>
          <w:color w:val="000000" w:themeColor="text1"/>
          <w:szCs w:val="24"/>
        </w:rPr>
        <w:t>findings</w:t>
      </w:r>
      <w:r w:rsidRPr="00610639">
        <w:rPr>
          <w:rFonts w:cs="Times New Roman"/>
          <w:color w:val="000000" w:themeColor="text1"/>
          <w:szCs w:val="24"/>
        </w:rPr>
        <w:t xml:space="preserve"> highlight that regulatory compliance play the most crucial positive roles in determining service delivery effectiveness</w:t>
      </w:r>
      <w:r w:rsidR="00E70933" w:rsidRPr="00610639">
        <w:rPr>
          <w:rFonts w:cs="Times New Roman"/>
          <w:color w:val="000000" w:themeColor="text1"/>
          <w:szCs w:val="24"/>
        </w:rPr>
        <w:t>.</w:t>
      </w:r>
    </w:p>
    <w:p w14:paraId="7CC2E361" w14:textId="35B9A24F" w:rsidR="00E70933" w:rsidRPr="00610639" w:rsidRDefault="002A405D" w:rsidP="00610639">
      <w:pPr>
        <w:spacing w:before="240" w:after="0" w:line="360" w:lineRule="auto"/>
        <w:jc w:val="both"/>
        <w:rPr>
          <w:rFonts w:cs="Times New Roman"/>
          <w:color w:val="000000" w:themeColor="text1"/>
          <w:szCs w:val="24"/>
        </w:rPr>
      </w:pPr>
      <w:r w:rsidRPr="00610639">
        <w:rPr>
          <w:rFonts w:cs="Times New Roman"/>
          <w:color w:val="000000" w:themeColor="text1"/>
          <w:szCs w:val="24"/>
        </w:rPr>
        <w:t>Consequently,</w:t>
      </w:r>
      <w:r w:rsidR="00E70933" w:rsidRPr="00610639">
        <w:rPr>
          <w:rFonts w:cs="Times New Roman"/>
          <w:color w:val="000000" w:themeColor="text1"/>
          <w:szCs w:val="24"/>
        </w:rPr>
        <w:t xml:space="preserve"> the hull hypothesis was rejected and alternative hypothesis adopted.</w:t>
      </w:r>
    </w:p>
    <w:p w14:paraId="2B8B4B4C" w14:textId="77777777" w:rsidR="00D11BCB" w:rsidRPr="00610639" w:rsidRDefault="00D11BCB" w:rsidP="00610639">
      <w:pPr>
        <w:spacing w:after="0" w:line="360" w:lineRule="auto"/>
        <w:jc w:val="both"/>
        <w:rPr>
          <w:rFonts w:cs="Times New Roman"/>
          <w:color w:val="000000" w:themeColor="text1"/>
          <w:szCs w:val="24"/>
          <w:shd w:val="clear" w:color="auto" w:fill="FFFFFF"/>
        </w:rPr>
      </w:pPr>
      <w:r w:rsidRPr="00610639">
        <w:rPr>
          <w:rFonts w:cs="Times New Roman"/>
          <w:color w:val="000000" w:themeColor="text1"/>
          <w:szCs w:val="24"/>
          <w:shd w:val="clear" w:color="auto" w:fill="FFFFFF"/>
        </w:rPr>
        <w:t>The model equation can be expressed as:</w:t>
      </w:r>
    </w:p>
    <w:p w14:paraId="19D47A5A" w14:textId="70F75857" w:rsidR="00D11BCB" w:rsidRPr="00610639" w:rsidRDefault="00D11BCB" w:rsidP="00610639">
      <w:pPr>
        <w:spacing w:before="240" w:line="360" w:lineRule="auto"/>
        <w:jc w:val="both"/>
        <w:rPr>
          <w:rFonts w:cs="Times New Roman"/>
          <w:color w:val="000000" w:themeColor="text1"/>
          <w:szCs w:val="24"/>
          <w:shd w:val="clear" w:color="auto" w:fill="FFFFFF"/>
        </w:rPr>
      </w:pPr>
      <w:r w:rsidRPr="00610639">
        <w:rPr>
          <w:rFonts w:cs="Times New Roman"/>
          <w:color w:val="000000" w:themeColor="text1"/>
          <w:szCs w:val="24"/>
          <w:shd w:val="clear" w:color="auto" w:fill="FFFFFF"/>
        </w:rPr>
        <w:t xml:space="preserve">Y = β₀ + β₁X₁ </w:t>
      </w:r>
    </w:p>
    <w:p w14:paraId="07669D13" w14:textId="77777777" w:rsidR="00D11BCB" w:rsidRPr="00610639" w:rsidRDefault="00D11BCB" w:rsidP="00610639">
      <w:pPr>
        <w:spacing w:after="0" w:line="360" w:lineRule="auto"/>
        <w:jc w:val="both"/>
        <w:rPr>
          <w:rFonts w:cs="Times New Roman"/>
          <w:color w:val="000000" w:themeColor="text1"/>
          <w:szCs w:val="24"/>
          <w:shd w:val="clear" w:color="auto" w:fill="FFFFFF"/>
        </w:rPr>
      </w:pPr>
      <w:r w:rsidRPr="00610639">
        <w:rPr>
          <w:rFonts w:cs="Times New Roman"/>
          <w:color w:val="000000" w:themeColor="text1"/>
          <w:szCs w:val="24"/>
          <w:shd w:val="clear" w:color="auto" w:fill="FFFFFF"/>
        </w:rPr>
        <w:t>Where:</w:t>
      </w:r>
    </w:p>
    <w:p w14:paraId="72FDBC2A" w14:textId="696571D8" w:rsidR="00D11BCB" w:rsidRPr="00610639" w:rsidRDefault="00D11BCB" w:rsidP="00610639">
      <w:pPr>
        <w:spacing w:after="0" w:line="360" w:lineRule="auto"/>
        <w:jc w:val="both"/>
        <w:rPr>
          <w:rFonts w:cs="Times New Roman"/>
          <w:color w:val="000000" w:themeColor="text1"/>
          <w:szCs w:val="24"/>
          <w:shd w:val="clear" w:color="auto" w:fill="FFFFFF"/>
        </w:rPr>
      </w:pPr>
      <w:r w:rsidRPr="00610639">
        <w:rPr>
          <w:rFonts w:cs="Times New Roman"/>
          <w:color w:val="000000" w:themeColor="text1"/>
          <w:szCs w:val="24"/>
          <w:shd w:val="clear" w:color="auto" w:fill="FFFFFF"/>
        </w:rPr>
        <w:t xml:space="preserve">Y = Service Delivery </w:t>
      </w:r>
    </w:p>
    <w:p w14:paraId="2C2D7B06" w14:textId="67F23BB1" w:rsidR="00D11BCB" w:rsidRPr="00610639" w:rsidRDefault="00D11BCB" w:rsidP="00610639">
      <w:pPr>
        <w:spacing w:after="0" w:line="360" w:lineRule="auto"/>
        <w:jc w:val="both"/>
        <w:rPr>
          <w:rFonts w:cs="Times New Roman"/>
          <w:color w:val="000000" w:themeColor="text1"/>
          <w:szCs w:val="24"/>
          <w:shd w:val="clear" w:color="auto" w:fill="FFFFFF"/>
        </w:rPr>
      </w:pPr>
      <w:r w:rsidRPr="00610639">
        <w:rPr>
          <w:rFonts w:cs="Times New Roman"/>
          <w:color w:val="000000" w:themeColor="text1"/>
          <w:szCs w:val="24"/>
          <w:shd w:val="clear" w:color="auto" w:fill="FFFFFF"/>
        </w:rPr>
        <w:t>X</w:t>
      </w:r>
      <w:r w:rsidR="00E70933" w:rsidRPr="00610639">
        <w:rPr>
          <w:rFonts w:cs="Times New Roman"/>
          <w:color w:val="000000" w:themeColor="text1"/>
          <w:szCs w:val="24"/>
          <w:shd w:val="clear" w:color="auto" w:fill="FFFFFF"/>
          <w:vertAlign w:val="subscript"/>
        </w:rPr>
        <w:t>1</w:t>
      </w:r>
      <w:r w:rsidRPr="00610639">
        <w:rPr>
          <w:rFonts w:cs="Times New Roman"/>
          <w:color w:val="000000" w:themeColor="text1"/>
          <w:szCs w:val="24"/>
          <w:shd w:val="clear" w:color="auto" w:fill="FFFFFF"/>
        </w:rPr>
        <w:t>= Regulatory Compliance</w:t>
      </w:r>
    </w:p>
    <w:p w14:paraId="67D55FE2" w14:textId="77777777" w:rsidR="00D11BCB" w:rsidRPr="00610639" w:rsidRDefault="00D11BCB" w:rsidP="00610639">
      <w:pPr>
        <w:spacing w:after="0" w:line="360" w:lineRule="auto"/>
        <w:jc w:val="both"/>
        <w:rPr>
          <w:rFonts w:cs="Times New Roman"/>
          <w:color w:val="000000" w:themeColor="text1"/>
          <w:szCs w:val="24"/>
          <w:shd w:val="clear" w:color="auto" w:fill="FFFFFF"/>
        </w:rPr>
      </w:pPr>
      <w:r w:rsidRPr="00610639">
        <w:rPr>
          <w:rFonts w:cs="Times New Roman"/>
          <w:color w:val="000000" w:themeColor="text1"/>
          <w:szCs w:val="24"/>
          <w:shd w:val="clear" w:color="auto" w:fill="FFFFFF"/>
        </w:rPr>
        <w:t>Based on the coefficients provided:</w:t>
      </w:r>
    </w:p>
    <w:p w14:paraId="39BB26D7" w14:textId="4989DCCC" w:rsidR="00D11BCB" w:rsidRDefault="00D11BCB" w:rsidP="00E83171">
      <w:pPr>
        <w:spacing w:after="0" w:line="360" w:lineRule="auto"/>
        <w:jc w:val="both"/>
        <w:rPr>
          <w:rFonts w:cs="Times New Roman"/>
          <w:bCs/>
          <w:color w:val="000000" w:themeColor="text1"/>
          <w:szCs w:val="24"/>
          <w:shd w:val="clear" w:color="auto" w:fill="FFFFFF"/>
        </w:rPr>
      </w:pPr>
      <w:r w:rsidRPr="0061149C">
        <w:rPr>
          <w:rFonts w:cs="Times New Roman"/>
          <w:bCs/>
          <w:color w:val="000000" w:themeColor="text1"/>
          <w:szCs w:val="24"/>
          <w:shd w:val="clear" w:color="auto" w:fill="FFFFFF"/>
        </w:rPr>
        <w:t xml:space="preserve">Y = 1.372 + 0.312X₂ </w:t>
      </w:r>
    </w:p>
    <w:p w14:paraId="26E69F04" w14:textId="77777777" w:rsidR="00016506" w:rsidRDefault="00016506" w:rsidP="00E83171">
      <w:pPr>
        <w:spacing w:after="0" w:line="360" w:lineRule="auto"/>
        <w:jc w:val="both"/>
        <w:rPr>
          <w:rFonts w:cs="Times New Roman"/>
          <w:bCs/>
          <w:color w:val="000000" w:themeColor="text1"/>
          <w:szCs w:val="24"/>
          <w:shd w:val="clear" w:color="auto" w:fill="FFFFFF"/>
        </w:rPr>
      </w:pPr>
    </w:p>
    <w:p w14:paraId="15421F35" w14:textId="77777777" w:rsidR="00016506" w:rsidRDefault="00016506" w:rsidP="00E83171">
      <w:pPr>
        <w:spacing w:after="0" w:line="360" w:lineRule="auto"/>
        <w:jc w:val="both"/>
        <w:rPr>
          <w:rFonts w:cs="Times New Roman"/>
          <w:bCs/>
          <w:color w:val="000000" w:themeColor="text1"/>
          <w:szCs w:val="24"/>
          <w:shd w:val="clear" w:color="auto" w:fill="FFFFFF"/>
        </w:rPr>
      </w:pPr>
    </w:p>
    <w:p w14:paraId="252C9E57" w14:textId="77777777" w:rsidR="00016506" w:rsidRPr="00E83171" w:rsidRDefault="00016506" w:rsidP="00E83171">
      <w:pPr>
        <w:spacing w:after="0" w:line="360" w:lineRule="auto"/>
        <w:jc w:val="both"/>
        <w:rPr>
          <w:rFonts w:cs="Times New Roman"/>
          <w:bCs/>
          <w:color w:val="000000" w:themeColor="text1"/>
          <w:szCs w:val="24"/>
          <w:shd w:val="clear" w:color="auto" w:fill="FFFFFF"/>
        </w:rPr>
      </w:pPr>
    </w:p>
    <w:p w14:paraId="5546C288" w14:textId="6E2F08E7" w:rsidR="002A405D" w:rsidRPr="00610639" w:rsidRDefault="002A405D" w:rsidP="00610639">
      <w:pPr>
        <w:autoSpaceDE w:val="0"/>
        <w:autoSpaceDN w:val="0"/>
        <w:adjustRightInd w:val="0"/>
        <w:spacing w:after="0" w:line="360" w:lineRule="auto"/>
        <w:jc w:val="both"/>
        <w:rPr>
          <w:rFonts w:cs="Times New Roman"/>
          <w:b/>
          <w:bCs/>
          <w:color w:val="000000" w:themeColor="text1"/>
          <w:kern w:val="0"/>
          <w:szCs w:val="24"/>
        </w:rPr>
      </w:pPr>
      <w:r w:rsidRPr="00610639">
        <w:rPr>
          <w:rFonts w:cs="Times New Roman"/>
          <w:b/>
          <w:bCs/>
          <w:color w:val="000000" w:themeColor="text1"/>
          <w:kern w:val="0"/>
          <w:szCs w:val="24"/>
        </w:rPr>
        <w:lastRenderedPageBreak/>
        <w:t xml:space="preserve">Conclusion </w:t>
      </w:r>
    </w:p>
    <w:p w14:paraId="3ED579F6" w14:textId="0F92E93D" w:rsidR="002A405D" w:rsidRPr="00610639" w:rsidRDefault="00D30AC3" w:rsidP="00610639">
      <w:pPr>
        <w:autoSpaceDE w:val="0"/>
        <w:autoSpaceDN w:val="0"/>
        <w:adjustRightInd w:val="0"/>
        <w:spacing w:after="0" w:line="360" w:lineRule="auto"/>
        <w:jc w:val="both"/>
        <w:rPr>
          <w:rFonts w:cs="Times New Roman"/>
          <w:szCs w:val="24"/>
        </w:rPr>
      </w:pPr>
      <w:r w:rsidRPr="00610639">
        <w:rPr>
          <w:rFonts w:cs="Times New Roman"/>
          <w:szCs w:val="24"/>
        </w:rPr>
        <w:t>The results reveal a significant positive association between regulatory compliance and service delivery, as indicated by the regression coefficient (β = 0.312, p = 0.000). The mean score of 3.3902 suggests a moderate level of regulatory compliance within the organization. However, the relatively high standard deviation (1.11922) signifies considerable variation in adherence levels across different areas. This variability implies that while compliance plays a crucial role in enhancing service delivery, inconsistencies in implementation may limit its overall effectiveness. Strengthening regulatory adherence through more uniform application of compliance measures could further improve service outcomes.</w:t>
      </w:r>
    </w:p>
    <w:p w14:paraId="351B5D9F" w14:textId="61F6449C" w:rsidR="00D30AC3" w:rsidRPr="00610639" w:rsidRDefault="00D30AC3" w:rsidP="00610639">
      <w:pPr>
        <w:autoSpaceDE w:val="0"/>
        <w:autoSpaceDN w:val="0"/>
        <w:adjustRightInd w:val="0"/>
        <w:spacing w:after="0" w:line="360" w:lineRule="auto"/>
        <w:jc w:val="both"/>
        <w:rPr>
          <w:rFonts w:cs="Times New Roman"/>
          <w:b/>
          <w:bCs/>
          <w:szCs w:val="24"/>
        </w:rPr>
      </w:pPr>
      <w:r w:rsidRPr="00610639">
        <w:rPr>
          <w:rFonts w:cs="Times New Roman"/>
          <w:b/>
          <w:bCs/>
          <w:szCs w:val="24"/>
        </w:rPr>
        <w:t>Recommendations</w:t>
      </w:r>
    </w:p>
    <w:p w14:paraId="4969DA0F" w14:textId="77777777" w:rsidR="00D30AC3" w:rsidRPr="00610639" w:rsidRDefault="00D30AC3" w:rsidP="00610639">
      <w:pPr>
        <w:pStyle w:val="NormalWeb"/>
        <w:spacing w:line="360" w:lineRule="auto"/>
        <w:jc w:val="both"/>
      </w:pPr>
      <w:r w:rsidRPr="00610639">
        <w:t>To enhance the positive correlation between regulatory compliance and service delivery in Uganda, a comprehensive and strategic revision of compliance mechanisms is essential. The initial step involves standardizing compliance monitoring systems across all service delivery units. The considerable variation in compliance levels, indicated by the high standard deviation in current data, suggests that different departments or units within the organization may be adhering to regulatory standards inconsistently. By establishing a uniform monitoring system, every unit will operate under the same regulatory framework, reducing discrepancies and promoting uniformity in performance. This consistency is key to improving overall service delivery outcomes.</w:t>
      </w:r>
    </w:p>
    <w:p w14:paraId="7CDF5028" w14:textId="77777777" w:rsidR="00D30AC3" w:rsidRPr="00610639" w:rsidRDefault="00D30AC3" w:rsidP="00610639">
      <w:pPr>
        <w:pStyle w:val="NormalWeb"/>
        <w:spacing w:line="360" w:lineRule="auto"/>
        <w:jc w:val="both"/>
      </w:pPr>
      <w:r w:rsidRPr="00610639">
        <w:t>In conjunction with standardization, it is vital to implement extensive compliance training programs for employees at all organizational levels. Ensuring that all staff, from junior to senior management, possess a clear understanding of regulatory requirements is fundamental to achieving effective compliance. These training sessions should cover the core regulations relevant to the organization, outline the consequences of non-compliance, and emphasize the benefits of meeting established standards. Updating training materials regularly will ensure that employees stay informed of any regulatory changes and integrate compliance practices seamlessly into their daily operations.</w:t>
      </w:r>
    </w:p>
    <w:p w14:paraId="1E12FF27" w14:textId="77777777" w:rsidR="00D30AC3" w:rsidRPr="00610639" w:rsidRDefault="00D30AC3" w:rsidP="00610639">
      <w:pPr>
        <w:pStyle w:val="NormalWeb"/>
        <w:spacing w:line="360" w:lineRule="auto"/>
        <w:jc w:val="both"/>
      </w:pPr>
      <w:r w:rsidRPr="00610639">
        <w:t xml:space="preserve">Additionally, a robust compliance support system must be established to offer continuous guidance to employees navigating complex regulatory requirements. This system should include easily accessible, well-defined guidelines outlining the necessary compliance steps, as well as regular </w:t>
      </w:r>
      <w:r w:rsidRPr="00610639">
        <w:lastRenderedPageBreak/>
        <w:t>audits to monitor performance. Introducing a dedicated support desk would provide real-time assistance for staff members who face difficulties or need clarification on regulatory matters. By adopting a proactive support system, the organization can promptly address any challenges, preventing minor issues from escalating into significant compliance failures.</w:t>
      </w:r>
    </w:p>
    <w:p w14:paraId="59D32EF1" w14:textId="77777777" w:rsidR="00D30AC3" w:rsidRPr="00610639" w:rsidRDefault="00D30AC3" w:rsidP="00610639">
      <w:pPr>
        <w:pStyle w:val="NormalWeb"/>
        <w:spacing w:line="360" w:lineRule="auto"/>
        <w:jc w:val="both"/>
      </w:pPr>
      <w:r w:rsidRPr="00610639">
        <w:t>To encourage sustained adherence to regulations, organizations could introduce performance-based incentives for departments that consistently meet or exceed compliance standards. This would foster a healthy competitive atmosphere, where departments that excel in compliance are recognized and rewarded, motivating others to follow suit. These incentives could range from financial rewards to public acknowledgment or even career advancement opportunities, all of which would bolster employees' commitment to upholding regulatory standards.</w:t>
      </w:r>
    </w:p>
    <w:p w14:paraId="15BCC119" w14:textId="2E335EED" w:rsidR="00D30AC3" w:rsidRPr="00610639" w:rsidRDefault="00D30AC3" w:rsidP="00610639">
      <w:pPr>
        <w:pStyle w:val="NormalWeb"/>
        <w:spacing w:line="360" w:lineRule="auto"/>
        <w:jc w:val="both"/>
      </w:pPr>
      <w:r w:rsidRPr="00610639">
        <w:t>It is important to incorporate regular assessment and feedback mechanisms into the compliance framework. These assessments will help track the organization’s progress in maintaining compliance over time, ensuring that standards are met consistently. Feedback mechanisms, such as surveys or performance evaluations, will allow departments to identify areas requiring improvement. Providing constructive feedback and pinpointing gaps in compliance will facilitate continuous refinement of practices, ensuring that service delivery consistently aligns with the organization's regulatory goals.</w:t>
      </w:r>
    </w:p>
    <w:p w14:paraId="052051E0" w14:textId="633FCE5A" w:rsidR="00D30AC3" w:rsidRPr="00610639" w:rsidRDefault="00D30AC3" w:rsidP="00610639">
      <w:pPr>
        <w:autoSpaceDE w:val="0"/>
        <w:autoSpaceDN w:val="0"/>
        <w:adjustRightInd w:val="0"/>
        <w:spacing w:after="0" w:line="360" w:lineRule="auto"/>
        <w:jc w:val="both"/>
        <w:rPr>
          <w:rFonts w:cs="Times New Roman"/>
          <w:i/>
          <w:iCs/>
          <w:szCs w:val="24"/>
        </w:rPr>
      </w:pPr>
      <w:r w:rsidRPr="00610639">
        <w:rPr>
          <w:rFonts w:cs="Times New Roman"/>
          <w:i/>
          <w:iCs/>
          <w:szCs w:val="24"/>
        </w:rPr>
        <w:t xml:space="preserve">Limitation of the Study </w:t>
      </w:r>
    </w:p>
    <w:p w14:paraId="21B6918D" w14:textId="77777777" w:rsidR="00505AB4" w:rsidRPr="00610639" w:rsidRDefault="00505AB4" w:rsidP="00610639">
      <w:pPr>
        <w:spacing w:before="100" w:beforeAutospacing="1" w:after="100" w:afterAutospacing="1" w:line="360" w:lineRule="auto"/>
        <w:jc w:val="both"/>
        <w:rPr>
          <w:rFonts w:eastAsia="Times New Roman" w:cs="Times New Roman"/>
          <w:kern w:val="0"/>
          <w:szCs w:val="24"/>
        </w:rPr>
      </w:pPr>
      <w:r w:rsidRPr="00610639">
        <w:rPr>
          <w:rFonts w:eastAsia="Times New Roman" w:cs="Times New Roman"/>
          <w:kern w:val="0"/>
          <w:szCs w:val="24"/>
        </w:rPr>
        <w:t>A key limitation of this study is the potential for response bias in the data collection process. Since the study relied on self-reported data from employees and organizational stakeholders, respondents may have been inclined to provide answers that align with what they perceive as socially acceptable or desirable, rather than accurately reflecting their true behaviors and perceptions. This could lead to an overestimation of the levels of regulatory compliance and service delivery, thus affecting the overall accuracy of the findings. To address this limitation, future research could incorporate objective performance indicators or third-party assessments to complement the self-reported data, ensuring a more reliable and balanced evaluation.</w:t>
      </w:r>
    </w:p>
    <w:p w14:paraId="73FA8D3C" w14:textId="77777777" w:rsidR="00505AB4" w:rsidRPr="00610639" w:rsidRDefault="00505AB4" w:rsidP="00610639">
      <w:pPr>
        <w:spacing w:before="100" w:beforeAutospacing="1" w:after="100" w:afterAutospacing="1" w:line="360" w:lineRule="auto"/>
        <w:jc w:val="both"/>
        <w:rPr>
          <w:rFonts w:eastAsia="Times New Roman" w:cs="Times New Roman"/>
          <w:kern w:val="0"/>
          <w:szCs w:val="24"/>
        </w:rPr>
      </w:pPr>
      <w:r w:rsidRPr="00610639">
        <w:rPr>
          <w:rFonts w:eastAsia="Times New Roman" w:cs="Times New Roman"/>
          <w:kern w:val="0"/>
          <w:szCs w:val="24"/>
        </w:rPr>
        <w:t xml:space="preserve">Another limitation lies in the use of cross-sectional data, which captures a snapshot of information at a single point in time. While this approach provides useful insights into the relationship between </w:t>
      </w:r>
      <w:r w:rsidRPr="00610639">
        <w:rPr>
          <w:rFonts w:eastAsia="Times New Roman" w:cs="Times New Roman"/>
          <w:kern w:val="0"/>
          <w:szCs w:val="24"/>
        </w:rPr>
        <w:lastRenderedPageBreak/>
        <w:t>regulatory compliance and service delivery at that moment, it does not account for changes that may occur over time. As a result, the study is unable to establish causal relationships or examine the long-term effects of regulatory compliance on service delivery. To gain a deeper understanding, future studies could adopt a longitudinal approach, tracking the same organizations or participants over time to assess how regulatory compliance impacts service delivery in the long run and whether improvements in compliance result in sustained enhancements in performance.</w:t>
      </w:r>
    </w:p>
    <w:p w14:paraId="044262FC" w14:textId="06E91474" w:rsidR="00505AB4" w:rsidRPr="00610639" w:rsidRDefault="00505AB4" w:rsidP="00610639">
      <w:pPr>
        <w:spacing w:before="100" w:beforeAutospacing="1" w:after="100" w:afterAutospacing="1" w:line="360" w:lineRule="auto"/>
        <w:jc w:val="both"/>
        <w:rPr>
          <w:rFonts w:eastAsia="Times New Roman" w:cs="Times New Roman"/>
          <w:i/>
          <w:iCs/>
          <w:kern w:val="0"/>
          <w:szCs w:val="24"/>
        </w:rPr>
      </w:pPr>
      <w:r w:rsidRPr="00610639">
        <w:rPr>
          <w:rFonts w:eastAsia="Times New Roman" w:cs="Times New Roman"/>
          <w:i/>
          <w:iCs/>
          <w:kern w:val="0"/>
          <w:szCs w:val="24"/>
        </w:rPr>
        <w:t xml:space="preserve">Suggestion for Further Studies </w:t>
      </w:r>
    </w:p>
    <w:p w14:paraId="27E71C8B" w14:textId="1629A9BB" w:rsidR="00016506" w:rsidRDefault="00016506" w:rsidP="00610639">
      <w:pPr>
        <w:autoSpaceDE w:val="0"/>
        <w:autoSpaceDN w:val="0"/>
        <w:adjustRightInd w:val="0"/>
        <w:spacing w:after="0" w:line="360" w:lineRule="auto"/>
        <w:jc w:val="both"/>
      </w:pPr>
      <w:r>
        <w:t>Another area for further study could involve examining the role of leadership and organizational culture in enhancing regulatory compliance and improving service delivery within state-owned enterprises. Investigating how leadership styles, managerial support, and a strong compliance-oriented culture influence the implementation of regulatory frameworks could provide deeper insights into the drivers of compliance and service efficiency. This research could also explore the barriers faced by employees and managers in adhering to regulatory standards and how these challenges could be mitigated to foster better service delivery.</w:t>
      </w:r>
    </w:p>
    <w:p w14:paraId="5761175D" w14:textId="42CA3FF9" w:rsidR="00637CDD" w:rsidRDefault="00637CDD" w:rsidP="00610639">
      <w:pPr>
        <w:autoSpaceDE w:val="0"/>
        <w:autoSpaceDN w:val="0"/>
        <w:adjustRightInd w:val="0"/>
        <w:spacing w:after="0" w:line="360" w:lineRule="auto"/>
        <w:jc w:val="both"/>
        <w:rPr>
          <w:rFonts w:cs="Times New Roman"/>
          <w:szCs w:val="24"/>
        </w:rPr>
      </w:pPr>
    </w:p>
    <w:p w14:paraId="64051097" w14:textId="315A6898" w:rsidR="00637CDD" w:rsidRDefault="00637CDD" w:rsidP="00610639">
      <w:pPr>
        <w:autoSpaceDE w:val="0"/>
        <w:autoSpaceDN w:val="0"/>
        <w:adjustRightInd w:val="0"/>
        <w:spacing w:after="0" w:line="360" w:lineRule="auto"/>
        <w:jc w:val="both"/>
        <w:rPr>
          <w:rFonts w:cs="Times New Roman"/>
          <w:szCs w:val="24"/>
        </w:rPr>
      </w:pPr>
    </w:p>
    <w:p w14:paraId="2A1119D6" w14:textId="77777777" w:rsidR="00B26FD0" w:rsidRPr="00B26FD0" w:rsidRDefault="00B26FD0" w:rsidP="00B26FD0">
      <w:pPr>
        <w:spacing w:after="200" w:line="276" w:lineRule="auto"/>
        <w:rPr>
          <w:rFonts w:ascii="Arial" w:eastAsia="Times New Roman" w:hAnsi="Arial" w:cs="Arial"/>
          <w:kern w:val="0"/>
          <w:sz w:val="20"/>
          <w:szCs w:val="20"/>
        </w:rPr>
      </w:pPr>
      <w:r w:rsidRPr="00B26FD0">
        <w:rPr>
          <w:rFonts w:ascii="Arial" w:eastAsia="Times New Roman" w:hAnsi="Arial" w:cs="Arial"/>
          <w:kern w:val="0"/>
          <w:sz w:val="20"/>
          <w:szCs w:val="20"/>
        </w:rPr>
        <w:t>COMPETING INTERESTS</w:t>
      </w:r>
    </w:p>
    <w:p w14:paraId="6D18F544" w14:textId="77777777" w:rsidR="00B26FD0" w:rsidRPr="00B26FD0" w:rsidRDefault="00B26FD0" w:rsidP="00B26FD0">
      <w:pPr>
        <w:spacing w:after="200" w:line="276" w:lineRule="auto"/>
        <w:rPr>
          <w:rFonts w:ascii="Arial" w:eastAsia="Times New Roman" w:hAnsi="Arial" w:cs="Arial"/>
          <w:kern w:val="0"/>
          <w:sz w:val="20"/>
          <w:szCs w:val="20"/>
        </w:rPr>
      </w:pPr>
      <w:r w:rsidRPr="00B26FD0">
        <w:rPr>
          <w:rFonts w:ascii="Arial" w:eastAsia="Times New Roman" w:hAnsi="Arial" w:cs="Arial"/>
          <w:kern w:val="0"/>
          <w:sz w:val="20"/>
          <w:szCs w:val="20"/>
        </w:rPr>
        <w:t>Authors have declared that they have no known competing financial interests OR non-financial interests OR personal relationships that could have appeared to influence the work reported in this paper.</w:t>
      </w:r>
    </w:p>
    <w:p w14:paraId="746B4CBB" w14:textId="536BA701" w:rsidR="00637CDD" w:rsidRDefault="00637CDD" w:rsidP="00610639">
      <w:pPr>
        <w:autoSpaceDE w:val="0"/>
        <w:autoSpaceDN w:val="0"/>
        <w:adjustRightInd w:val="0"/>
        <w:spacing w:after="0" w:line="360" w:lineRule="auto"/>
        <w:jc w:val="both"/>
        <w:rPr>
          <w:rFonts w:cs="Times New Roman"/>
          <w:szCs w:val="24"/>
        </w:rPr>
      </w:pPr>
    </w:p>
    <w:p w14:paraId="63F2C1FB" w14:textId="7308943F" w:rsidR="00637CDD" w:rsidRDefault="00637CDD" w:rsidP="00610639">
      <w:pPr>
        <w:autoSpaceDE w:val="0"/>
        <w:autoSpaceDN w:val="0"/>
        <w:adjustRightInd w:val="0"/>
        <w:spacing w:after="0" w:line="360" w:lineRule="auto"/>
        <w:jc w:val="both"/>
        <w:rPr>
          <w:rFonts w:cs="Times New Roman"/>
          <w:szCs w:val="24"/>
        </w:rPr>
      </w:pPr>
    </w:p>
    <w:p w14:paraId="5098F083" w14:textId="17EED0DB" w:rsidR="009E5653" w:rsidRDefault="00B26FD0" w:rsidP="009E5653">
      <w:pPr>
        <w:pStyle w:val="NormalWeb"/>
        <w:spacing w:line="360" w:lineRule="auto"/>
        <w:jc w:val="both"/>
      </w:pPr>
      <w:r>
        <w:t xml:space="preserve">Ethical approval and </w:t>
      </w:r>
      <w:r w:rsidR="009E5653">
        <w:t>Consent</w:t>
      </w:r>
    </w:p>
    <w:p w14:paraId="0570C2DD" w14:textId="0B8FB432" w:rsidR="009E5653" w:rsidRPr="00610639" w:rsidRDefault="009E5653" w:rsidP="009E5653">
      <w:pPr>
        <w:pStyle w:val="NormalWeb"/>
        <w:spacing w:line="360" w:lineRule="auto"/>
        <w:jc w:val="both"/>
      </w:pPr>
      <w:r w:rsidRPr="00610639">
        <w:t>Ethical principles were strictly adhered to throughout the study to ensure integrity, confidentiality, and respect for all participants. Informed consent was obtained from respondents before data collection, guaranteeing voluntary participation based on a clear understanding of the study’s objectives, potential risks, and anticipated benefits</w:t>
      </w:r>
      <w:r>
        <w:t xml:space="preserve">. </w:t>
      </w:r>
      <w:r w:rsidRPr="00610639">
        <w:t xml:space="preserve">Confidentiality and anonymity were preserved by assigning unique identification codes instead of personal details, thereby safeguarding respondents’ privacy and preventing </w:t>
      </w:r>
      <w:proofErr w:type="spellStart"/>
      <w:r w:rsidRPr="00610639">
        <w:t>unauthorised</w:t>
      </w:r>
      <w:proofErr w:type="spellEnd"/>
      <w:r w:rsidRPr="00610639">
        <w:t xml:space="preserve"> access to sensitive information</w:t>
      </w:r>
      <w:r>
        <w:t>.</w:t>
      </w:r>
      <w:r w:rsidRPr="00610639">
        <w:t xml:space="preserve"> </w:t>
      </w:r>
    </w:p>
    <w:p w14:paraId="2B2C1B77" w14:textId="56267155" w:rsidR="00637CDD" w:rsidRDefault="00637CDD" w:rsidP="00610639">
      <w:pPr>
        <w:autoSpaceDE w:val="0"/>
        <w:autoSpaceDN w:val="0"/>
        <w:adjustRightInd w:val="0"/>
        <w:spacing w:after="0" w:line="360" w:lineRule="auto"/>
        <w:jc w:val="both"/>
        <w:rPr>
          <w:rFonts w:cs="Times New Roman"/>
          <w:szCs w:val="24"/>
        </w:rPr>
      </w:pPr>
    </w:p>
    <w:p w14:paraId="1BD6A033" w14:textId="13CC8199" w:rsidR="00637CDD" w:rsidRDefault="00637CDD" w:rsidP="00610639">
      <w:pPr>
        <w:autoSpaceDE w:val="0"/>
        <w:autoSpaceDN w:val="0"/>
        <w:adjustRightInd w:val="0"/>
        <w:spacing w:after="0" w:line="360" w:lineRule="auto"/>
        <w:jc w:val="both"/>
        <w:rPr>
          <w:rFonts w:cs="Times New Roman"/>
          <w:szCs w:val="24"/>
        </w:rPr>
      </w:pPr>
    </w:p>
    <w:p w14:paraId="27947F7C" w14:textId="06EB74AB" w:rsidR="00637CDD" w:rsidRDefault="00637CDD" w:rsidP="00610639">
      <w:pPr>
        <w:autoSpaceDE w:val="0"/>
        <w:autoSpaceDN w:val="0"/>
        <w:adjustRightInd w:val="0"/>
        <w:spacing w:after="0" w:line="360" w:lineRule="auto"/>
        <w:jc w:val="both"/>
        <w:rPr>
          <w:rFonts w:cs="Times New Roman"/>
          <w:szCs w:val="24"/>
        </w:rPr>
      </w:pPr>
    </w:p>
    <w:p w14:paraId="11E77594" w14:textId="77965DBE" w:rsidR="00637CDD" w:rsidRDefault="00637CDD" w:rsidP="00610639">
      <w:pPr>
        <w:autoSpaceDE w:val="0"/>
        <w:autoSpaceDN w:val="0"/>
        <w:adjustRightInd w:val="0"/>
        <w:spacing w:after="0" w:line="360" w:lineRule="auto"/>
        <w:jc w:val="both"/>
        <w:rPr>
          <w:rFonts w:cs="Times New Roman"/>
          <w:szCs w:val="24"/>
        </w:rPr>
      </w:pPr>
    </w:p>
    <w:p w14:paraId="5E973DF4" w14:textId="6B30A443" w:rsidR="00637CDD" w:rsidRDefault="00637CDD" w:rsidP="00610639">
      <w:pPr>
        <w:autoSpaceDE w:val="0"/>
        <w:autoSpaceDN w:val="0"/>
        <w:adjustRightInd w:val="0"/>
        <w:spacing w:after="0" w:line="360" w:lineRule="auto"/>
        <w:jc w:val="both"/>
        <w:rPr>
          <w:rFonts w:cs="Times New Roman"/>
          <w:szCs w:val="24"/>
        </w:rPr>
      </w:pPr>
    </w:p>
    <w:p w14:paraId="493BCF1B" w14:textId="77777777" w:rsidR="00637CDD" w:rsidRPr="009C5487" w:rsidRDefault="00637CDD" w:rsidP="00637CDD">
      <w:pPr>
        <w:rPr>
          <w:rFonts w:ascii="Calibri" w:eastAsia="Calibri" w:hAnsi="Calibri" w:cs="Times New Roman"/>
          <w:highlight w:val="yellow"/>
        </w:rPr>
      </w:pPr>
      <w:bookmarkStart w:id="15" w:name="_Hlk180402183"/>
      <w:bookmarkStart w:id="16" w:name="_Hlk183680988"/>
      <w:r w:rsidRPr="009C5487">
        <w:rPr>
          <w:rFonts w:ascii="Calibri" w:eastAsia="Calibri" w:hAnsi="Calibri" w:cs="Times New Roman"/>
          <w:highlight w:val="yellow"/>
        </w:rPr>
        <w:t>Disclaimer (Artificial intelligence)</w:t>
      </w:r>
    </w:p>
    <w:p w14:paraId="1685222B" w14:textId="77777777" w:rsidR="00637CDD" w:rsidRPr="009C5487" w:rsidRDefault="00637CDD" w:rsidP="00637CDD">
      <w:pPr>
        <w:rPr>
          <w:rFonts w:ascii="Calibri" w:eastAsia="Calibri" w:hAnsi="Calibri" w:cs="Times New Roman"/>
          <w:highlight w:val="yellow"/>
        </w:rPr>
      </w:pPr>
      <w:r w:rsidRPr="009C5487">
        <w:rPr>
          <w:rFonts w:ascii="Calibri" w:eastAsia="Calibri" w:hAnsi="Calibri" w:cs="Times New Roman"/>
          <w:highlight w:val="yellow"/>
        </w:rPr>
        <w:t xml:space="preserve">Option 1: </w:t>
      </w:r>
    </w:p>
    <w:p w14:paraId="0C7C798E" w14:textId="77777777" w:rsidR="00637CDD" w:rsidRPr="009C5487" w:rsidRDefault="00637CDD" w:rsidP="00637CDD">
      <w:pPr>
        <w:rPr>
          <w:rFonts w:ascii="Calibri" w:eastAsia="Calibri" w:hAnsi="Calibri" w:cs="Times New Roman"/>
          <w:highlight w:val="yellow"/>
        </w:rPr>
      </w:pPr>
      <w:r w:rsidRPr="009C5487">
        <w:rPr>
          <w:rFonts w:ascii="Calibri" w:eastAsia="Calibri" w:hAnsi="Calibri" w:cs="Times New Roman"/>
          <w:highlight w:val="yellow"/>
        </w:rPr>
        <w:t xml:space="preserve">Author(s) hereby declare that NO generative AI technologies such as Large Language Models (ChatGPT, COPILOT, etc.) and text-to-image generators have been used during the writing or editing of this manuscript. </w:t>
      </w:r>
    </w:p>
    <w:p w14:paraId="1E4FFD54" w14:textId="77777777" w:rsidR="00637CDD" w:rsidRPr="009C5487" w:rsidRDefault="00637CDD" w:rsidP="00637CDD">
      <w:pPr>
        <w:rPr>
          <w:rFonts w:ascii="Calibri" w:eastAsia="Calibri" w:hAnsi="Calibri" w:cs="Times New Roman"/>
          <w:highlight w:val="yellow"/>
        </w:rPr>
      </w:pPr>
      <w:r w:rsidRPr="009C5487">
        <w:rPr>
          <w:rFonts w:ascii="Calibri" w:eastAsia="Calibri" w:hAnsi="Calibri" w:cs="Times New Roman"/>
          <w:highlight w:val="yellow"/>
        </w:rPr>
        <w:t xml:space="preserve">Option 2: </w:t>
      </w:r>
    </w:p>
    <w:p w14:paraId="7DB63097" w14:textId="77777777" w:rsidR="00637CDD" w:rsidRPr="009C5487" w:rsidRDefault="00637CDD" w:rsidP="00637CDD">
      <w:pPr>
        <w:rPr>
          <w:rFonts w:ascii="Calibri" w:eastAsia="Calibri" w:hAnsi="Calibri" w:cs="Times New Roman"/>
          <w:highlight w:val="yellow"/>
        </w:rPr>
      </w:pPr>
      <w:r w:rsidRPr="009C5487">
        <w:rPr>
          <w:rFonts w:ascii="Calibri" w:eastAsia="Calibri" w:hAnsi="Calibri" w:cs="Times New Roman"/>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1731015" w14:textId="77777777" w:rsidR="00637CDD" w:rsidRPr="009C5487" w:rsidRDefault="00637CDD" w:rsidP="00637CDD">
      <w:pPr>
        <w:rPr>
          <w:rFonts w:ascii="Calibri" w:eastAsia="Calibri" w:hAnsi="Calibri" w:cs="Times New Roman"/>
          <w:highlight w:val="yellow"/>
        </w:rPr>
      </w:pPr>
      <w:r w:rsidRPr="009C5487">
        <w:rPr>
          <w:rFonts w:ascii="Calibri" w:eastAsia="Calibri" w:hAnsi="Calibri" w:cs="Times New Roman"/>
          <w:highlight w:val="yellow"/>
        </w:rPr>
        <w:t>Details of the AI usage are given below:</w:t>
      </w:r>
    </w:p>
    <w:p w14:paraId="463CDFF4" w14:textId="77777777" w:rsidR="00637CDD" w:rsidRPr="009C5487" w:rsidRDefault="00637CDD" w:rsidP="00637CDD">
      <w:pPr>
        <w:rPr>
          <w:rFonts w:ascii="Calibri" w:eastAsia="Calibri" w:hAnsi="Calibri" w:cs="Times New Roman"/>
          <w:highlight w:val="yellow"/>
        </w:rPr>
      </w:pPr>
      <w:r w:rsidRPr="009C5487">
        <w:rPr>
          <w:rFonts w:ascii="Calibri" w:eastAsia="Calibri" w:hAnsi="Calibri" w:cs="Times New Roman"/>
          <w:highlight w:val="yellow"/>
        </w:rPr>
        <w:t>1.</w:t>
      </w:r>
    </w:p>
    <w:p w14:paraId="286863D1" w14:textId="77777777" w:rsidR="00637CDD" w:rsidRPr="009C5487" w:rsidRDefault="00637CDD" w:rsidP="00637CDD">
      <w:pPr>
        <w:rPr>
          <w:rFonts w:ascii="Calibri" w:eastAsia="Calibri" w:hAnsi="Calibri" w:cs="Times New Roman"/>
          <w:highlight w:val="yellow"/>
        </w:rPr>
      </w:pPr>
      <w:r w:rsidRPr="009C5487">
        <w:rPr>
          <w:rFonts w:ascii="Calibri" w:eastAsia="Calibri" w:hAnsi="Calibri" w:cs="Times New Roman"/>
          <w:highlight w:val="yellow"/>
        </w:rPr>
        <w:t>2.</w:t>
      </w:r>
    </w:p>
    <w:p w14:paraId="47CA0A0A" w14:textId="77777777" w:rsidR="00637CDD" w:rsidRPr="009C5487" w:rsidRDefault="00637CDD" w:rsidP="00637CDD">
      <w:pPr>
        <w:rPr>
          <w:rFonts w:ascii="Calibri" w:eastAsia="Calibri" w:hAnsi="Calibri" w:cs="Times New Roman"/>
        </w:rPr>
      </w:pPr>
      <w:r w:rsidRPr="009C5487">
        <w:rPr>
          <w:rFonts w:ascii="Calibri" w:eastAsia="Calibri" w:hAnsi="Calibri" w:cs="Times New Roman"/>
          <w:highlight w:val="yellow"/>
        </w:rPr>
        <w:t>3.</w:t>
      </w:r>
    </w:p>
    <w:bookmarkEnd w:id="15"/>
    <w:bookmarkEnd w:id="16"/>
    <w:p w14:paraId="441A8A63" w14:textId="77777777" w:rsidR="00637CDD" w:rsidRDefault="00637CDD" w:rsidP="00610639">
      <w:pPr>
        <w:autoSpaceDE w:val="0"/>
        <w:autoSpaceDN w:val="0"/>
        <w:adjustRightInd w:val="0"/>
        <w:spacing w:after="0" w:line="360" w:lineRule="auto"/>
        <w:jc w:val="both"/>
        <w:rPr>
          <w:rFonts w:cs="Times New Roman"/>
          <w:szCs w:val="24"/>
        </w:rPr>
      </w:pPr>
    </w:p>
    <w:p w14:paraId="25EE7ADD" w14:textId="77777777" w:rsidR="001658D4" w:rsidRDefault="001658D4" w:rsidP="00610639">
      <w:pPr>
        <w:autoSpaceDE w:val="0"/>
        <w:autoSpaceDN w:val="0"/>
        <w:adjustRightInd w:val="0"/>
        <w:spacing w:after="0" w:line="360" w:lineRule="auto"/>
        <w:jc w:val="both"/>
        <w:rPr>
          <w:rFonts w:cs="Times New Roman"/>
          <w:b/>
          <w:bCs/>
          <w:szCs w:val="24"/>
        </w:rPr>
      </w:pPr>
    </w:p>
    <w:p w14:paraId="5BCC1359" w14:textId="02CDA2E2" w:rsidR="00505AB4" w:rsidRPr="00610639" w:rsidRDefault="00505AB4" w:rsidP="00610639">
      <w:pPr>
        <w:autoSpaceDE w:val="0"/>
        <w:autoSpaceDN w:val="0"/>
        <w:adjustRightInd w:val="0"/>
        <w:spacing w:after="0" w:line="360" w:lineRule="auto"/>
        <w:jc w:val="both"/>
        <w:rPr>
          <w:rFonts w:cs="Times New Roman"/>
          <w:b/>
          <w:bCs/>
          <w:szCs w:val="24"/>
        </w:rPr>
      </w:pPr>
      <w:r w:rsidRPr="00610639">
        <w:rPr>
          <w:rFonts w:cs="Times New Roman"/>
          <w:b/>
          <w:bCs/>
          <w:szCs w:val="24"/>
        </w:rPr>
        <w:t xml:space="preserve">References </w:t>
      </w:r>
    </w:p>
    <w:p w14:paraId="7517E91B" w14:textId="77777777" w:rsidR="00410B5E" w:rsidRPr="00610639" w:rsidRDefault="00410B5E" w:rsidP="0061149C">
      <w:pPr>
        <w:spacing w:before="100" w:beforeAutospacing="1" w:after="100" w:afterAutospacing="1" w:line="240" w:lineRule="auto"/>
        <w:rPr>
          <w:rFonts w:eastAsia="Times New Roman" w:cs="Times New Roman"/>
          <w:kern w:val="0"/>
          <w:szCs w:val="24"/>
        </w:rPr>
      </w:pPr>
      <w:r w:rsidRPr="00610639">
        <w:rPr>
          <w:rFonts w:eastAsia="Times New Roman" w:cs="Times New Roman"/>
          <w:kern w:val="0"/>
          <w:szCs w:val="24"/>
        </w:rPr>
        <w:t xml:space="preserve">African Development Bank. (2023). </w:t>
      </w:r>
      <w:r w:rsidRPr="00610639">
        <w:rPr>
          <w:rFonts w:eastAsiaTheme="majorEastAsia" w:cs="Times New Roman"/>
          <w:i/>
          <w:iCs/>
          <w:kern w:val="0"/>
          <w:szCs w:val="24"/>
        </w:rPr>
        <w:t>Gender equality in infrastructure: Addressing disparities in employment and leadership</w:t>
      </w:r>
      <w:r w:rsidRPr="00610639">
        <w:rPr>
          <w:rFonts w:eastAsia="Times New Roman" w:cs="Times New Roman"/>
          <w:kern w:val="0"/>
          <w:szCs w:val="24"/>
        </w:rPr>
        <w:t>.</w:t>
      </w:r>
    </w:p>
    <w:p w14:paraId="3156AB9E" w14:textId="77777777" w:rsidR="00410B5E" w:rsidRPr="00610639" w:rsidRDefault="00410B5E" w:rsidP="0061149C">
      <w:pPr>
        <w:spacing w:before="100" w:beforeAutospacing="1" w:after="100" w:afterAutospacing="1" w:line="240" w:lineRule="auto"/>
        <w:rPr>
          <w:rFonts w:eastAsia="Times New Roman" w:cs="Times New Roman"/>
          <w:kern w:val="0"/>
          <w:szCs w:val="24"/>
        </w:rPr>
      </w:pPr>
      <w:r w:rsidRPr="00610639">
        <w:rPr>
          <w:rFonts w:eastAsia="Times New Roman" w:cs="Times New Roman"/>
          <w:kern w:val="0"/>
          <w:szCs w:val="24"/>
        </w:rPr>
        <w:t xml:space="preserve">African Development Bank. (2024). </w:t>
      </w:r>
      <w:r w:rsidRPr="00610639">
        <w:rPr>
          <w:rFonts w:eastAsiaTheme="majorEastAsia" w:cs="Times New Roman"/>
          <w:i/>
          <w:iCs/>
          <w:kern w:val="0"/>
          <w:szCs w:val="24"/>
        </w:rPr>
        <w:t>Utility performance and workforce sustainability: Addressing retention challenges</w:t>
      </w:r>
      <w:r w:rsidRPr="00610639">
        <w:rPr>
          <w:rFonts w:eastAsia="Times New Roman" w:cs="Times New Roman"/>
          <w:kern w:val="0"/>
          <w:szCs w:val="24"/>
        </w:rPr>
        <w:t>.</w:t>
      </w:r>
    </w:p>
    <w:p w14:paraId="65029B25" w14:textId="77777777" w:rsidR="00410B5E" w:rsidRPr="00610639" w:rsidRDefault="00410B5E" w:rsidP="0061149C">
      <w:pPr>
        <w:spacing w:before="100" w:beforeAutospacing="1" w:after="100" w:afterAutospacing="1" w:line="240" w:lineRule="auto"/>
        <w:rPr>
          <w:rFonts w:eastAsia="Times New Roman" w:cs="Times New Roman"/>
          <w:kern w:val="0"/>
          <w:szCs w:val="24"/>
        </w:rPr>
      </w:pPr>
      <w:r w:rsidRPr="00610639">
        <w:rPr>
          <w:rFonts w:eastAsia="Times New Roman" w:cs="Times New Roman"/>
          <w:kern w:val="0"/>
          <w:szCs w:val="24"/>
        </w:rPr>
        <w:t xml:space="preserve">Arinaitwe, J. (2024). </w:t>
      </w:r>
      <w:r w:rsidRPr="00610639">
        <w:rPr>
          <w:rFonts w:eastAsia="Times New Roman" w:cs="Times New Roman"/>
          <w:i/>
          <w:iCs/>
          <w:kern w:val="0"/>
          <w:szCs w:val="24"/>
        </w:rPr>
        <w:t>Stakeholder response mechanisms in public enterprises: Challenges and opportunities.</w:t>
      </w:r>
    </w:p>
    <w:p w14:paraId="3006D6F9" w14:textId="77777777" w:rsidR="00410B5E" w:rsidRPr="00610639" w:rsidRDefault="00410B5E" w:rsidP="0061149C">
      <w:pPr>
        <w:spacing w:before="100" w:beforeAutospacing="1" w:after="100" w:afterAutospacing="1" w:line="240" w:lineRule="auto"/>
        <w:rPr>
          <w:rFonts w:eastAsia="Times New Roman" w:cs="Times New Roman"/>
          <w:kern w:val="0"/>
          <w:szCs w:val="24"/>
        </w:rPr>
      </w:pPr>
      <w:proofErr w:type="spellStart"/>
      <w:r w:rsidRPr="00610639">
        <w:rPr>
          <w:rFonts w:eastAsia="Times New Roman" w:cs="Times New Roman"/>
          <w:kern w:val="0"/>
          <w:szCs w:val="24"/>
        </w:rPr>
        <w:t>Bardouille</w:t>
      </w:r>
      <w:proofErr w:type="spellEnd"/>
      <w:r w:rsidRPr="00610639">
        <w:rPr>
          <w:rFonts w:eastAsia="Times New Roman" w:cs="Times New Roman"/>
          <w:kern w:val="0"/>
          <w:szCs w:val="24"/>
        </w:rPr>
        <w:t xml:space="preserve">, P. (2020). Transparency and accountability in South Africa's energy sector. </w:t>
      </w:r>
      <w:r w:rsidRPr="00610639">
        <w:rPr>
          <w:rFonts w:eastAsiaTheme="majorEastAsia" w:cs="Times New Roman"/>
          <w:i/>
          <w:iCs/>
          <w:kern w:val="0"/>
          <w:szCs w:val="24"/>
        </w:rPr>
        <w:t>Journal of Energy and Natural Resources Law, 38</w:t>
      </w:r>
      <w:r w:rsidRPr="00610639">
        <w:rPr>
          <w:rFonts w:eastAsia="Times New Roman" w:cs="Times New Roman"/>
          <w:kern w:val="0"/>
          <w:szCs w:val="24"/>
        </w:rPr>
        <w:t>(2), 147–162. https://doi.org/10.1080/02646811.2020.1718532</w:t>
      </w:r>
    </w:p>
    <w:p w14:paraId="1171E3F4" w14:textId="77777777" w:rsidR="00410B5E" w:rsidRPr="00610639" w:rsidRDefault="00410B5E" w:rsidP="0061149C">
      <w:pPr>
        <w:spacing w:before="100" w:beforeAutospacing="1" w:after="100" w:afterAutospacing="1" w:line="240" w:lineRule="auto"/>
        <w:rPr>
          <w:rFonts w:eastAsia="Times New Roman" w:cs="Times New Roman"/>
          <w:kern w:val="0"/>
          <w:szCs w:val="24"/>
        </w:rPr>
      </w:pPr>
      <w:proofErr w:type="spellStart"/>
      <w:r w:rsidRPr="00610639">
        <w:rPr>
          <w:rFonts w:eastAsia="Times New Roman" w:cs="Times New Roman"/>
          <w:kern w:val="0"/>
          <w:szCs w:val="24"/>
        </w:rPr>
        <w:lastRenderedPageBreak/>
        <w:t>Bardouille</w:t>
      </w:r>
      <w:proofErr w:type="spellEnd"/>
      <w:r w:rsidRPr="00610639">
        <w:rPr>
          <w:rFonts w:eastAsia="Times New Roman" w:cs="Times New Roman"/>
          <w:kern w:val="0"/>
          <w:szCs w:val="24"/>
        </w:rPr>
        <w:t xml:space="preserve">, P. (2022). State-owned enterprises in the energy sector: Challenges and opportunities. </w:t>
      </w:r>
      <w:r w:rsidRPr="00610639">
        <w:rPr>
          <w:rFonts w:eastAsiaTheme="majorEastAsia" w:cs="Times New Roman"/>
          <w:i/>
          <w:iCs/>
          <w:kern w:val="0"/>
          <w:szCs w:val="24"/>
        </w:rPr>
        <w:t>Energy Policy, 165</w:t>
      </w:r>
      <w:r w:rsidRPr="00610639">
        <w:rPr>
          <w:rFonts w:eastAsia="Times New Roman" w:cs="Times New Roman"/>
          <w:kern w:val="0"/>
          <w:szCs w:val="24"/>
        </w:rPr>
        <w:t>, 112893. https://doi.org/10.1016/j.enpol.2022.112893</w:t>
      </w:r>
    </w:p>
    <w:p w14:paraId="5942C4C8" w14:textId="77777777" w:rsidR="00410B5E" w:rsidRPr="00610639" w:rsidRDefault="00410B5E" w:rsidP="0061149C">
      <w:pPr>
        <w:spacing w:before="100" w:beforeAutospacing="1" w:after="100" w:afterAutospacing="1" w:line="240" w:lineRule="auto"/>
        <w:rPr>
          <w:rFonts w:cs="Times New Roman"/>
          <w:szCs w:val="24"/>
          <w14:ligatures w14:val="standardContextual"/>
        </w:rPr>
      </w:pPr>
      <w:r w:rsidRPr="00610639">
        <w:rPr>
          <w:rFonts w:cs="Times New Roman"/>
          <w:szCs w:val="24"/>
          <w14:ligatures w14:val="standardContextual"/>
        </w:rPr>
        <w:t xml:space="preserve">Baruch, Y., &amp; Holtom, B. C. (2008). Survey response rate levels and trends in organizational research. </w:t>
      </w:r>
      <w:r w:rsidRPr="00610639">
        <w:rPr>
          <w:rFonts w:cs="Times New Roman"/>
          <w:i/>
          <w:iCs/>
          <w:szCs w:val="24"/>
          <w14:ligatures w14:val="standardContextual"/>
        </w:rPr>
        <w:t>Human Relations, 61</w:t>
      </w:r>
      <w:r w:rsidRPr="00610639">
        <w:rPr>
          <w:rFonts w:cs="Times New Roman"/>
          <w:szCs w:val="24"/>
          <w14:ligatures w14:val="standardContextual"/>
        </w:rPr>
        <w:t>(8), 1139-1160.</w:t>
      </w:r>
    </w:p>
    <w:p w14:paraId="71840EE2" w14:textId="77777777" w:rsidR="00410B5E" w:rsidRPr="00610639" w:rsidRDefault="00410B5E" w:rsidP="0061149C">
      <w:pPr>
        <w:spacing w:before="100" w:beforeAutospacing="1" w:after="100" w:afterAutospacing="1" w:line="240" w:lineRule="auto"/>
        <w:rPr>
          <w:rFonts w:eastAsia="Times New Roman" w:cs="Times New Roman"/>
          <w:kern w:val="0"/>
          <w:szCs w:val="24"/>
        </w:rPr>
      </w:pPr>
      <w:proofErr w:type="spellStart"/>
      <w:r w:rsidRPr="00610639">
        <w:rPr>
          <w:rFonts w:eastAsia="Times New Roman" w:cs="Times New Roman"/>
          <w:kern w:val="0"/>
          <w:szCs w:val="24"/>
        </w:rPr>
        <w:t>Basalirwa</w:t>
      </w:r>
      <w:proofErr w:type="spellEnd"/>
      <w:r w:rsidRPr="00610639">
        <w:rPr>
          <w:rFonts w:eastAsia="Times New Roman" w:cs="Times New Roman"/>
          <w:kern w:val="0"/>
          <w:szCs w:val="24"/>
        </w:rPr>
        <w:t xml:space="preserve">, H. (2024). </w:t>
      </w:r>
      <w:r w:rsidRPr="00610639">
        <w:rPr>
          <w:rFonts w:eastAsia="Times New Roman" w:cs="Times New Roman"/>
          <w:i/>
          <w:iCs/>
          <w:kern w:val="0"/>
          <w:szCs w:val="24"/>
        </w:rPr>
        <w:t>Organizational decision-making and stakeholder feedback integration in the utility sector.</w:t>
      </w:r>
    </w:p>
    <w:p w14:paraId="723BF952" w14:textId="77777777" w:rsidR="00410B5E" w:rsidRPr="00610639" w:rsidRDefault="00410B5E" w:rsidP="0061149C">
      <w:pPr>
        <w:spacing w:before="100" w:beforeAutospacing="1" w:after="100" w:afterAutospacing="1" w:line="240" w:lineRule="auto"/>
        <w:rPr>
          <w:rFonts w:eastAsia="Times New Roman" w:cs="Times New Roman"/>
          <w:kern w:val="0"/>
          <w:szCs w:val="24"/>
        </w:rPr>
      </w:pPr>
      <w:r w:rsidRPr="00610639">
        <w:rPr>
          <w:rFonts w:eastAsia="Times New Roman" w:cs="Times New Roman"/>
          <w:kern w:val="0"/>
          <w:szCs w:val="24"/>
        </w:rPr>
        <w:t xml:space="preserve">Bategeka, L. (2020). Transparency and accountability in Uganda's energy sector. </w:t>
      </w:r>
      <w:r w:rsidRPr="00610639">
        <w:rPr>
          <w:rFonts w:eastAsia="Times New Roman" w:cs="Times New Roman"/>
          <w:i/>
          <w:iCs/>
          <w:kern w:val="0"/>
          <w:szCs w:val="24"/>
        </w:rPr>
        <w:t>Journal of Energy and Natural Resources Law, 38</w:t>
      </w:r>
      <w:r w:rsidRPr="00610639">
        <w:rPr>
          <w:rFonts w:eastAsia="Times New Roman" w:cs="Times New Roman"/>
          <w:kern w:val="0"/>
          <w:szCs w:val="24"/>
        </w:rPr>
        <w:t>(3), 257–274. https://doi.org/10.1080/02646811.2020.1744283</w:t>
      </w:r>
    </w:p>
    <w:p w14:paraId="01D8BD7F" w14:textId="77777777" w:rsidR="00410B5E" w:rsidRPr="00610639" w:rsidRDefault="00410B5E" w:rsidP="0061149C">
      <w:pPr>
        <w:spacing w:before="100" w:beforeAutospacing="1" w:after="100" w:afterAutospacing="1" w:line="240" w:lineRule="auto"/>
        <w:rPr>
          <w:rFonts w:eastAsia="Times New Roman" w:cs="Times New Roman"/>
          <w:kern w:val="0"/>
          <w:szCs w:val="24"/>
        </w:rPr>
      </w:pPr>
      <w:r w:rsidRPr="00610639">
        <w:rPr>
          <w:rFonts w:eastAsia="Times New Roman" w:cs="Times New Roman"/>
          <w:kern w:val="0"/>
          <w:szCs w:val="24"/>
        </w:rPr>
        <w:t xml:space="preserve">Bell, E., Harley, B., &amp; Bryman, A. (2022). </w:t>
      </w:r>
      <w:r w:rsidRPr="00610639">
        <w:rPr>
          <w:rFonts w:eastAsiaTheme="majorEastAsia" w:cs="Times New Roman"/>
          <w:i/>
          <w:iCs/>
          <w:kern w:val="0"/>
          <w:szCs w:val="24"/>
        </w:rPr>
        <w:t>Business research methods</w:t>
      </w:r>
      <w:r w:rsidRPr="00610639">
        <w:rPr>
          <w:rFonts w:eastAsia="Times New Roman" w:cs="Times New Roman"/>
          <w:kern w:val="0"/>
          <w:szCs w:val="24"/>
        </w:rPr>
        <w:t xml:space="preserve"> (6th ed.). Oxford University Press.</w:t>
      </w:r>
    </w:p>
    <w:p w14:paraId="72EA6A9B" w14:textId="77777777" w:rsidR="00410B5E" w:rsidRPr="00610639" w:rsidRDefault="00410B5E" w:rsidP="0061149C">
      <w:pPr>
        <w:spacing w:before="100" w:beforeAutospacing="1" w:after="100" w:afterAutospacing="1" w:line="240" w:lineRule="auto"/>
        <w:rPr>
          <w:rFonts w:eastAsia="Times New Roman" w:cs="Times New Roman"/>
          <w:kern w:val="0"/>
          <w:szCs w:val="24"/>
        </w:rPr>
      </w:pPr>
      <w:r w:rsidRPr="00610639">
        <w:rPr>
          <w:rFonts w:eastAsia="Times New Roman" w:cs="Times New Roman"/>
          <w:kern w:val="0"/>
          <w:szCs w:val="24"/>
        </w:rPr>
        <w:t xml:space="preserve">Bell, E., Harley, B., &amp; Bryman, A. (2022). </w:t>
      </w:r>
      <w:r w:rsidRPr="00610639">
        <w:rPr>
          <w:rFonts w:eastAsia="Times New Roman" w:cs="Times New Roman"/>
          <w:i/>
          <w:iCs/>
          <w:kern w:val="0"/>
          <w:szCs w:val="24"/>
        </w:rPr>
        <w:t>Business research methods</w:t>
      </w:r>
      <w:r w:rsidRPr="00610639">
        <w:rPr>
          <w:rFonts w:eastAsia="Times New Roman" w:cs="Times New Roman"/>
          <w:kern w:val="0"/>
          <w:szCs w:val="24"/>
        </w:rPr>
        <w:t xml:space="preserve"> (6th ed.). Oxford University Press.</w:t>
      </w:r>
    </w:p>
    <w:p w14:paraId="2608A25D" w14:textId="77777777" w:rsidR="00410B5E" w:rsidRPr="00610639" w:rsidRDefault="00410B5E" w:rsidP="0061149C">
      <w:pPr>
        <w:spacing w:before="100" w:beforeAutospacing="1" w:after="100" w:afterAutospacing="1" w:line="240" w:lineRule="auto"/>
        <w:rPr>
          <w:rFonts w:eastAsia="Times New Roman" w:cs="Times New Roman"/>
          <w:kern w:val="0"/>
          <w:szCs w:val="24"/>
        </w:rPr>
      </w:pPr>
      <w:r w:rsidRPr="00610639">
        <w:rPr>
          <w:rFonts w:eastAsia="Times New Roman" w:cs="Times New Roman"/>
          <w:kern w:val="0"/>
          <w:szCs w:val="24"/>
        </w:rPr>
        <w:t xml:space="preserve">Bhattacharya, S., et al. (2020). Stakeholder engagement in the energy sector: A systematic review. </w:t>
      </w:r>
      <w:r w:rsidRPr="00610639">
        <w:rPr>
          <w:rFonts w:eastAsia="Times New Roman" w:cs="Times New Roman"/>
          <w:i/>
          <w:iCs/>
          <w:kern w:val="0"/>
          <w:szCs w:val="24"/>
        </w:rPr>
        <w:t>Energy Research &amp; Social Science, 69</w:t>
      </w:r>
      <w:r w:rsidRPr="00610639">
        <w:rPr>
          <w:rFonts w:eastAsia="Times New Roman" w:cs="Times New Roman"/>
          <w:kern w:val="0"/>
          <w:szCs w:val="24"/>
        </w:rPr>
        <w:t>, 101734. https://doi.org/10.1016/j.erss.2020.101734</w:t>
      </w:r>
    </w:p>
    <w:p w14:paraId="3449A37A" w14:textId="77777777" w:rsidR="00410B5E" w:rsidRPr="00610639" w:rsidRDefault="00410B5E" w:rsidP="0061149C">
      <w:pPr>
        <w:spacing w:before="100" w:beforeAutospacing="1" w:after="100" w:afterAutospacing="1" w:line="240" w:lineRule="auto"/>
        <w:rPr>
          <w:rFonts w:eastAsia="Times New Roman" w:cs="Times New Roman"/>
          <w:kern w:val="0"/>
          <w:szCs w:val="24"/>
        </w:rPr>
      </w:pPr>
      <w:r w:rsidRPr="00610639">
        <w:rPr>
          <w:rFonts w:eastAsia="Times New Roman" w:cs="Times New Roman"/>
          <w:kern w:val="0"/>
          <w:szCs w:val="24"/>
        </w:rPr>
        <w:t xml:space="preserve">Bloomfield, J., &amp; Fisher, M. J. (2019). </w:t>
      </w:r>
      <w:r w:rsidRPr="00610639">
        <w:rPr>
          <w:rFonts w:eastAsia="Times New Roman" w:cs="Times New Roman"/>
          <w:i/>
          <w:iCs/>
          <w:kern w:val="0"/>
          <w:szCs w:val="24"/>
        </w:rPr>
        <w:t>Validity and reliability in social research: A practical guide</w:t>
      </w:r>
      <w:r w:rsidRPr="00610639">
        <w:rPr>
          <w:rFonts w:eastAsia="Times New Roman" w:cs="Times New Roman"/>
          <w:kern w:val="0"/>
          <w:szCs w:val="24"/>
        </w:rPr>
        <w:t>. Journal of Research Methods, 45(3), 112–128.</w:t>
      </w:r>
    </w:p>
    <w:p w14:paraId="0811430F" w14:textId="77777777" w:rsidR="00410B5E" w:rsidRPr="00610639" w:rsidRDefault="00410B5E" w:rsidP="0061149C">
      <w:pPr>
        <w:spacing w:before="100" w:beforeAutospacing="1" w:after="100" w:afterAutospacing="1" w:line="240" w:lineRule="auto"/>
        <w:rPr>
          <w:rFonts w:eastAsia="Times New Roman" w:cs="Times New Roman"/>
          <w:kern w:val="0"/>
          <w:szCs w:val="24"/>
        </w:rPr>
      </w:pPr>
      <w:r w:rsidRPr="00610639">
        <w:rPr>
          <w:rFonts w:eastAsia="Times New Roman" w:cs="Times New Roman"/>
          <w:kern w:val="0"/>
          <w:szCs w:val="24"/>
        </w:rPr>
        <w:t xml:space="preserve">Bryman, A. (2022). </w:t>
      </w:r>
      <w:r w:rsidRPr="00610639">
        <w:rPr>
          <w:rFonts w:eastAsiaTheme="majorEastAsia" w:cs="Times New Roman"/>
          <w:i/>
          <w:iCs/>
          <w:kern w:val="0"/>
          <w:szCs w:val="24"/>
        </w:rPr>
        <w:t>Social research methods</w:t>
      </w:r>
      <w:r w:rsidRPr="00610639">
        <w:rPr>
          <w:rFonts w:eastAsia="Times New Roman" w:cs="Times New Roman"/>
          <w:kern w:val="0"/>
          <w:szCs w:val="24"/>
        </w:rPr>
        <w:t xml:space="preserve"> (6th ed.). Oxford University Press.</w:t>
      </w:r>
    </w:p>
    <w:p w14:paraId="194651B8" w14:textId="77777777" w:rsidR="00410B5E" w:rsidRPr="00610639" w:rsidRDefault="00410B5E" w:rsidP="0061149C">
      <w:pPr>
        <w:spacing w:before="100" w:beforeAutospacing="1" w:after="100" w:afterAutospacing="1" w:line="240" w:lineRule="auto"/>
        <w:rPr>
          <w:rFonts w:eastAsia="Times New Roman" w:cs="Times New Roman"/>
          <w:kern w:val="0"/>
          <w:szCs w:val="24"/>
        </w:rPr>
      </w:pPr>
      <w:r w:rsidRPr="00610639">
        <w:rPr>
          <w:rFonts w:eastAsia="Times New Roman" w:cs="Times New Roman"/>
          <w:kern w:val="0"/>
          <w:szCs w:val="24"/>
        </w:rPr>
        <w:t xml:space="preserve">Clancy, J., Mohlakoana, N., &amp; </w:t>
      </w:r>
      <w:proofErr w:type="spellStart"/>
      <w:r w:rsidRPr="00610639">
        <w:rPr>
          <w:rFonts w:eastAsia="Times New Roman" w:cs="Times New Roman"/>
          <w:kern w:val="0"/>
          <w:szCs w:val="24"/>
        </w:rPr>
        <w:t>Sijm</w:t>
      </w:r>
      <w:proofErr w:type="spellEnd"/>
      <w:r w:rsidRPr="00610639">
        <w:rPr>
          <w:rFonts w:eastAsia="Times New Roman" w:cs="Times New Roman"/>
          <w:kern w:val="0"/>
          <w:szCs w:val="24"/>
        </w:rPr>
        <w:t xml:space="preserve">, J. (2020). </w:t>
      </w:r>
      <w:r w:rsidRPr="00610639">
        <w:rPr>
          <w:rFonts w:eastAsiaTheme="majorEastAsia" w:cs="Times New Roman"/>
          <w:i/>
          <w:iCs/>
          <w:kern w:val="0"/>
          <w:szCs w:val="24"/>
        </w:rPr>
        <w:t>Energy sector employment to 2030: An analysis of energy workforce trends</w:t>
      </w:r>
      <w:r w:rsidRPr="00610639">
        <w:rPr>
          <w:rFonts w:eastAsia="Times New Roman" w:cs="Times New Roman"/>
          <w:kern w:val="0"/>
          <w:szCs w:val="24"/>
        </w:rPr>
        <w:t>.</w:t>
      </w:r>
    </w:p>
    <w:p w14:paraId="39B9CD52" w14:textId="77777777" w:rsidR="00410B5E" w:rsidRPr="00610639" w:rsidRDefault="00410B5E" w:rsidP="0061149C">
      <w:pPr>
        <w:spacing w:before="100" w:beforeAutospacing="1" w:after="100" w:afterAutospacing="1" w:line="240" w:lineRule="auto"/>
        <w:rPr>
          <w:rFonts w:eastAsia="Times New Roman" w:cs="Times New Roman"/>
          <w:kern w:val="0"/>
          <w:szCs w:val="24"/>
        </w:rPr>
      </w:pPr>
      <w:r w:rsidRPr="00610639">
        <w:rPr>
          <w:rFonts w:eastAsia="Times New Roman" w:cs="Times New Roman"/>
          <w:kern w:val="0"/>
          <w:szCs w:val="24"/>
        </w:rPr>
        <w:t xml:space="preserve">Climate Investment Funds. (2020). </w:t>
      </w:r>
      <w:r w:rsidRPr="00610639">
        <w:rPr>
          <w:rFonts w:eastAsia="Times New Roman" w:cs="Times New Roman"/>
          <w:i/>
          <w:iCs/>
          <w:kern w:val="0"/>
          <w:szCs w:val="24"/>
        </w:rPr>
        <w:t>Enhancing climate action through stakeholder engagement</w:t>
      </w:r>
      <w:r w:rsidRPr="00610639">
        <w:rPr>
          <w:rFonts w:eastAsia="Times New Roman" w:cs="Times New Roman"/>
          <w:kern w:val="0"/>
          <w:szCs w:val="24"/>
        </w:rPr>
        <w:t xml:space="preserve">. </w:t>
      </w:r>
      <w:hyperlink r:id="rId7" w:tgtFrame="_new" w:history="1">
        <w:r w:rsidRPr="00610639">
          <w:rPr>
            <w:rFonts w:eastAsia="Times New Roman" w:cs="Times New Roman"/>
            <w:color w:val="0000FF"/>
            <w:kern w:val="0"/>
            <w:szCs w:val="24"/>
            <w:u w:val="single"/>
          </w:rPr>
          <w:t>https://www.cif.org/sites/cif_enc/files/knowledge-documents/country_level_stakeholder_engagement_study.pdf</w:t>
        </w:r>
      </w:hyperlink>
    </w:p>
    <w:p w14:paraId="28069596" w14:textId="77777777" w:rsidR="00410B5E" w:rsidRPr="00610639" w:rsidRDefault="00410B5E" w:rsidP="0061149C">
      <w:pPr>
        <w:spacing w:before="100" w:beforeAutospacing="1" w:after="100" w:afterAutospacing="1" w:line="240" w:lineRule="auto"/>
        <w:rPr>
          <w:rFonts w:eastAsia="Times New Roman" w:cs="Times New Roman"/>
          <w:kern w:val="0"/>
          <w:szCs w:val="24"/>
        </w:rPr>
      </w:pPr>
      <w:r w:rsidRPr="00610639">
        <w:rPr>
          <w:rFonts w:eastAsia="Times New Roman" w:cs="Times New Roman"/>
          <w:kern w:val="0"/>
          <w:szCs w:val="24"/>
        </w:rPr>
        <w:t xml:space="preserve">Cohen, L., Manion, L., &amp; Morrison, K. (2023). </w:t>
      </w:r>
      <w:r w:rsidRPr="00610639">
        <w:rPr>
          <w:rFonts w:eastAsiaTheme="majorEastAsia" w:cs="Times New Roman"/>
          <w:i/>
          <w:iCs/>
          <w:kern w:val="0"/>
          <w:szCs w:val="24"/>
        </w:rPr>
        <w:t>Research methods in education</w:t>
      </w:r>
      <w:r w:rsidRPr="00610639">
        <w:rPr>
          <w:rFonts w:eastAsia="Times New Roman" w:cs="Times New Roman"/>
          <w:kern w:val="0"/>
          <w:szCs w:val="24"/>
        </w:rPr>
        <w:t xml:space="preserve"> (9th ed.). Routledge.</w:t>
      </w:r>
    </w:p>
    <w:p w14:paraId="1FA56A52" w14:textId="77777777" w:rsidR="00410B5E" w:rsidRPr="00610639" w:rsidRDefault="00410B5E" w:rsidP="0061149C">
      <w:pPr>
        <w:spacing w:before="100" w:beforeAutospacing="1" w:after="100" w:afterAutospacing="1" w:line="240" w:lineRule="auto"/>
        <w:rPr>
          <w:rFonts w:eastAsia="Times New Roman" w:cs="Times New Roman"/>
          <w:kern w:val="0"/>
          <w:szCs w:val="24"/>
        </w:rPr>
      </w:pPr>
      <w:r w:rsidRPr="00610639">
        <w:rPr>
          <w:rFonts w:eastAsia="Times New Roman" w:cs="Times New Roman"/>
          <w:kern w:val="0"/>
          <w:szCs w:val="24"/>
        </w:rPr>
        <w:t xml:space="preserve">Creswell, J. W., &amp; Creswell, J. D. (2023). </w:t>
      </w:r>
      <w:r w:rsidRPr="00610639">
        <w:rPr>
          <w:rFonts w:eastAsiaTheme="majorEastAsia" w:cs="Times New Roman"/>
          <w:i/>
          <w:iCs/>
          <w:kern w:val="0"/>
          <w:szCs w:val="24"/>
        </w:rPr>
        <w:t>Research design: Qualitative, quantitative, and mixed methods approaches</w:t>
      </w:r>
      <w:r w:rsidRPr="00610639">
        <w:rPr>
          <w:rFonts w:eastAsia="Times New Roman" w:cs="Times New Roman"/>
          <w:kern w:val="0"/>
          <w:szCs w:val="24"/>
        </w:rPr>
        <w:t xml:space="preserve"> (6th ed.). Sage Publications.</w:t>
      </w:r>
    </w:p>
    <w:p w14:paraId="27EC8290" w14:textId="77777777" w:rsidR="00410B5E" w:rsidRPr="00610639" w:rsidRDefault="00410B5E" w:rsidP="0061149C">
      <w:pPr>
        <w:spacing w:before="100" w:beforeAutospacing="1" w:after="100" w:afterAutospacing="1" w:line="240" w:lineRule="auto"/>
        <w:rPr>
          <w:rFonts w:eastAsia="Times New Roman" w:cs="Times New Roman"/>
          <w:kern w:val="0"/>
          <w:szCs w:val="24"/>
        </w:rPr>
      </w:pPr>
      <w:r w:rsidRPr="00610639">
        <w:rPr>
          <w:rFonts w:eastAsia="Times New Roman" w:cs="Times New Roman"/>
          <w:kern w:val="0"/>
          <w:szCs w:val="24"/>
        </w:rPr>
        <w:t>CT Insider. (2025). How your electric bill breaks down. Retrieved from [Include URL]</w:t>
      </w:r>
    </w:p>
    <w:p w14:paraId="37599FAF" w14:textId="77777777" w:rsidR="00410B5E" w:rsidRPr="00610639" w:rsidRDefault="00410B5E" w:rsidP="0061149C">
      <w:pPr>
        <w:spacing w:before="100" w:beforeAutospacing="1" w:after="100" w:afterAutospacing="1" w:line="240" w:lineRule="auto"/>
        <w:rPr>
          <w:rFonts w:eastAsia="Times New Roman" w:cs="Times New Roman"/>
          <w:kern w:val="0"/>
          <w:szCs w:val="24"/>
        </w:rPr>
      </w:pPr>
      <w:r w:rsidRPr="00610639">
        <w:rPr>
          <w:rFonts w:eastAsia="Times New Roman" w:cs="Times New Roman"/>
          <w:kern w:val="0"/>
          <w:szCs w:val="24"/>
        </w:rPr>
        <w:t xml:space="preserve">Electricity Regulatory Authority (ERA). (2022). </w:t>
      </w:r>
      <w:r w:rsidRPr="00610639">
        <w:rPr>
          <w:rFonts w:eastAsiaTheme="majorEastAsia" w:cs="Times New Roman"/>
          <w:i/>
          <w:iCs/>
          <w:kern w:val="0"/>
          <w:szCs w:val="24"/>
        </w:rPr>
        <w:t>ERA Consults Stakeholders on the 2022 Electricity Tariffs</w:t>
      </w:r>
      <w:r w:rsidRPr="00610639">
        <w:rPr>
          <w:rFonts w:eastAsia="Times New Roman" w:cs="Times New Roman"/>
          <w:kern w:val="0"/>
          <w:szCs w:val="24"/>
        </w:rPr>
        <w:t xml:space="preserve">. Retrieved from </w:t>
      </w:r>
      <w:hyperlink r:id="rId8" w:tgtFrame="_new" w:history="1">
        <w:r w:rsidRPr="00610639">
          <w:rPr>
            <w:rFonts w:eastAsiaTheme="majorEastAsia" w:cs="Times New Roman"/>
            <w:color w:val="0000FF"/>
            <w:kern w:val="0"/>
            <w:szCs w:val="24"/>
            <w:u w:val="single"/>
          </w:rPr>
          <w:t>https://www.era.go.ug/index.php/media-centre/what-s-new/369-era-consults-stakeholders-on-the-2022-electricity-tariffs</w:t>
        </w:r>
      </w:hyperlink>
    </w:p>
    <w:p w14:paraId="044FE075" w14:textId="77777777" w:rsidR="00410B5E" w:rsidRPr="00610639" w:rsidRDefault="00410B5E" w:rsidP="0061149C">
      <w:pPr>
        <w:spacing w:before="100" w:beforeAutospacing="1" w:after="100" w:afterAutospacing="1" w:line="240" w:lineRule="auto"/>
        <w:rPr>
          <w:rFonts w:eastAsia="Times New Roman" w:cs="Times New Roman"/>
          <w:kern w:val="0"/>
          <w:szCs w:val="24"/>
        </w:rPr>
      </w:pPr>
      <w:r w:rsidRPr="00610639">
        <w:rPr>
          <w:rFonts w:eastAsia="Times New Roman" w:cs="Times New Roman"/>
          <w:kern w:val="0"/>
          <w:szCs w:val="24"/>
        </w:rPr>
        <w:lastRenderedPageBreak/>
        <w:t xml:space="preserve">Electricity Regulatory Authority (ERA). (2022). Public consultation on electricity tariffs. </w:t>
      </w:r>
      <w:r w:rsidRPr="00610639">
        <w:rPr>
          <w:rFonts w:eastAsiaTheme="majorEastAsia" w:cs="Times New Roman"/>
          <w:i/>
          <w:iCs/>
          <w:kern w:val="0"/>
          <w:szCs w:val="24"/>
        </w:rPr>
        <w:t>Electricity Regulatory Authority</w:t>
      </w:r>
      <w:r w:rsidRPr="00610639">
        <w:rPr>
          <w:rFonts w:eastAsia="Times New Roman" w:cs="Times New Roman"/>
          <w:kern w:val="0"/>
          <w:szCs w:val="24"/>
        </w:rPr>
        <w:t xml:space="preserve">. Retrieved from </w:t>
      </w:r>
      <w:hyperlink r:id="rId9" w:tgtFrame="_new" w:history="1">
        <w:r w:rsidRPr="00610639">
          <w:rPr>
            <w:rFonts w:eastAsiaTheme="majorEastAsia" w:cs="Times New Roman"/>
            <w:color w:val="0000FF"/>
            <w:kern w:val="0"/>
            <w:szCs w:val="24"/>
            <w:u w:val="single"/>
          </w:rPr>
          <w:t>https://www.era.go.ug</w:t>
        </w:r>
      </w:hyperlink>
    </w:p>
    <w:p w14:paraId="0762A0DB" w14:textId="77777777" w:rsidR="00410B5E" w:rsidRPr="00610639" w:rsidRDefault="00410B5E" w:rsidP="0061149C">
      <w:pPr>
        <w:spacing w:before="100" w:beforeAutospacing="1" w:after="100" w:afterAutospacing="1" w:line="240" w:lineRule="auto"/>
        <w:rPr>
          <w:rFonts w:eastAsia="Times New Roman" w:cs="Times New Roman"/>
          <w:kern w:val="0"/>
          <w:szCs w:val="24"/>
        </w:rPr>
      </w:pPr>
      <w:proofErr w:type="spellStart"/>
      <w:r w:rsidRPr="00610639">
        <w:rPr>
          <w:rFonts w:eastAsia="Times New Roman" w:cs="Times New Roman"/>
          <w:kern w:val="0"/>
          <w:szCs w:val="24"/>
        </w:rPr>
        <w:t>Etikan</w:t>
      </w:r>
      <w:proofErr w:type="spellEnd"/>
      <w:r w:rsidRPr="00610639">
        <w:rPr>
          <w:rFonts w:eastAsia="Times New Roman" w:cs="Times New Roman"/>
          <w:kern w:val="0"/>
          <w:szCs w:val="24"/>
        </w:rPr>
        <w:t xml:space="preserve">, I., Musa, S. A., &amp; </w:t>
      </w:r>
      <w:proofErr w:type="spellStart"/>
      <w:r w:rsidRPr="00610639">
        <w:rPr>
          <w:rFonts w:eastAsia="Times New Roman" w:cs="Times New Roman"/>
          <w:kern w:val="0"/>
          <w:szCs w:val="24"/>
        </w:rPr>
        <w:t>Alkassim</w:t>
      </w:r>
      <w:proofErr w:type="spellEnd"/>
      <w:r w:rsidRPr="00610639">
        <w:rPr>
          <w:rFonts w:eastAsia="Times New Roman" w:cs="Times New Roman"/>
          <w:kern w:val="0"/>
          <w:szCs w:val="24"/>
        </w:rPr>
        <w:t xml:space="preserve">, R. S. (2023). </w:t>
      </w:r>
      <w:r w:rsidRPr="00610639">
        <w:rPr>
          <w:rFonts w:eastAsiaTheme="majorEastAsia" w:cs="Times New Roman"/>
          <w:i/>
          <w:iCs/>
          <w:kern w:val="0"/>
          <w:szCs w:val="24"/>
        </w:rPr>
        <w:t>Comparison of convenience sampling and purposive sampling</w:t>
      </w:r>
      <w:r w:rsidRPr="00610639">
        <w:rPr>
          <w:rFonts w:eastAsia="Times New Roman" w:cs="Times New Roman"/>
          <w:kern w:val="0"/>
          <w:szCs w:val="24"/>
        </w:rPr>
        <w:t>. American Journal of Theoretical and Applied Statistics, 5(1), 1–4.</w:t>
      </w:r>
    </w:p>
    <w:p w14:paraId="6DC19572" w14:textId="77777777" w:rsidR="00410B5E" w:rsidRPr="00610639" w:rsidRDefault="00410B5E" w:rsidP="0061149C">
      <w:pPr>
        <w:spacing w:before="100" w:beforeAutospacing="1" w:after="100" w:afterAutospacing="1" w:line="240" w:lineRule="auto"/>
        <w:rPr>
          <w:rFonts w:eastAsia="Times New Roman" w:cs="Times New Roman"/>
          <w:kern w:val="0"/>
          <w:szCs w:val="24"/>
        </w:rPr>
      </w:pPr>
      <w:r w:rsidRPr="00610639">
        <w:rPr>
          <w:rFonts w:eastAsia="Times New Roman" w:cs="Times New Roman"/>
          <w:kern w:val="0"/>
          <w:szCs w:val="24"/>
        </w:rPr>
        <w:t xml:space="preserve">Field, A. (2022). </w:t>
      </w:r>
      <w:r w:rsidRPr="00610639">
        <w:rPr>
          <w:rFonts w:eastAsiaTheme="majorEastAsia" w:cs="Times New Roman"/>
          <w:i/>
          <w:iCs/>
          <w:kern w:val="0"/>
          <w:szCs w:val="24"/>
        </w:rPr>
        <w:t>Discovering statistics using SPSS</w:t>
      </w:r>
      <w:r w:rsidRPr="00610639">
        <w:rPr>
          <w:rFonts w:eastAsia="Times New Roman" w:cs="Times New Roman"/>
          <w:kern w:val="0"/>
          <w:szCs w:val="24"/>
        </w:rPr>
        <w:t xml:space="preserve"> (5th ed.). Sage Publications.</w:t>
      </w:r>
    </w:p>
    <w:p w14:paraId="368F36D8" w14:textId="77777777" w:rsidR="00410B5E" w:rsidRPr="00610639" w:rsidRDefault="00410B5E" w:rsidP="0061149C">
      <w:pPr>
        <w:spacing w:before="100" w:beforeAutospacing="1" w:after="100" w:afterAutospacing="1" w:line="240" w:lineRule="auto"/>
        <w:rPr>
          <w:rFonts w:eastAsia="Times New Roman" w:cs="Times New Roman"/>
          <w:kern w:val="0"/>
          <w:szCs w:val="24"/>
        </w:rPr>
      </w:pPr>
      <w:r w:rsidRPr="00610639">
        <w:rPr>
          <w:rFonts w:eastAsia="Times New Roman" w:cs="Times New Roman"/>
          <w:kern w:val="0"/>
          <w:szCs w:val="24"/>
        </w:rPr>
        <w:t xml:space="preserve">Freeman, R. E. (1984). </w:t>
      </w:r>
      <w:r w:rsidRPr="00610639">
        <w:rPr>
          <w:rFonts w:eastAsiaTheme="majorEastAsia" w:cs="Times New Roman"/>
          <w:i/>
          <w:iCs/>
          <w:kern w:val="0"/>
          <w:szCs w:val="24"/>
        </w:rPr>
        <w:t>Strategic management: A stakeholder approach</w:t>
      </w:r>
      <w:r w:rsidRPr="00610639">
        <w:rPr>
          <w:rFonts w:eastAsia="Times New Roman" w:cs="Times New Roman"/>
          <w:kern w:val="0"/>
          <w:szCs w:val="24"/>
        </w:rPr>
        <w:t>. Pitman.</w:t>
      </w:r>
    </w:p>
    <w:p w14:paraId="2F37BCD5" w14:textId="77777777" w:rsidR="00410B5E" w:rsidRPr="00610639" w:rsidRDefault="00410B5E" w:rsidP="0061149C">
      <w:pPr>
        <w:spacing w:before="100" w:beforeAutospacing="1" w:after="100" w:afterAutospacing="1" w:line="240" w:lineRule="auto"/>
        <w:rPr>
          <w:rFonts w:eastAsia="Times New Roman" w:cs="Times New Roman"/>
          <w:kern w:val="0"/>
          <w:szCs w:val="24"/>
        </w:rPr>
      </w:pPr>
      <w:r w:rsidRPr="00610639">
        <w:rPr>
          <w:rFonts w:eastAsia="Times New Roman" w:cs="Times New Roman"/>
          <w:kern w:val="0"/>
          <w:szCs w:val="24"/>
        </w:rPr>
        <w:t xml:space="preserve">Freeman, R. E., Harrison, J. S., &amp; </w:t>
      </w:r>
      <w:proofErr w:type="spellStart"/>
      <w:r w:rsidRPr="00610639">
        <w:rPr>
          <w:rFonts w:eastAsia="Times New Roman" w:cs="Times New Roman"/>
          <w:kern w:val="0"/>
          <w:szCs w:val="24"/>
        </w:rPr>
        <w:t>Zyglidopoulos</w:t>
      </w:r>
      <w:proofErr w:type="spellEnd"/>
      <w:r w:rsidRPr="00610639">
        <w:rPr>
          <w:rFonts w:eastAsia="Times New Roman" w:cs="Times New Roman"/>
          <w:kern w:val="0"/>
          <w:szCs w:val="24"/>
        </w:rPr>
        <w:t xml:space="preserve">, S. (2018). </w:t>
      </w:r>
      <w:r w:rsidRPr="00610639">
        <w:rPr>
          <w:rFonts w:eastAsiaTheme="majorEastAsia" w:cs="Times New Roman"/>
          <w:i/>
          <w:iCs/>
          <w:kern w:val="0"/>
          <w:szCs w:val="24"/>
        </w:rPr>
        <w:t>Stakeholder theory: Concepts and strategies</w:t>
      </w:r>
      <w:r w:rsidRPr="00610639">
        <w:rPr>
          <w:rFonts w:eastAsia="Times New Roman" w:cs="Times New Roman"/>
          <w:kern w:val="0"/>
          <w:szCs w:val="24"/>
        </w:rPr>
        <w:t xml:space="preserve">. Cambridge University Press. </w:t>
      </w:r>
      <w:hyperlink r:id="rId10" w:tgtFrame="_new" w:history="1">
        <w:r w:rsidRPr="00610639">
          <w:rPr>
            <w:rFonts w:eastAsiaTheme="majorEastAsia" w:cs="Times New Roman"/>
            <w:color w:val="0000FF"/>
            <w:kern w:val="0"/>
            <w:szCs w:val="24"/>
            <w:u w:val="single"/>
          </w:rPr>
          <w:t>https://doi.org/10.1017/9781108235594</w:t>
        </w:r>
      </w:hyperlink>
    </w:p>
    <w:p w14:paraId="08541258" w14:textId="77777777" w:rsidR="00410B5E" w:rsidRPr="00610639" w:rsidRDefault="00410B5E" w:rsidP="0061149C">
      <w:pPr>
        <w:spacing w:before="100" w:beforeAutospacing="1" w:after="100" w:afterAutospacing="1" w:line="240" w:lineRule="auto"/>
        <w:rPr>
          <w:rFonts w:eastAsia="Times New Roman" w:cs="Times New Roman"/>
          <w:kern w:val="0"/>
          <w:szCs w:val="24"/>
        </w:rPr>
      </w:pPr>
      <w:r w:rsidRPr="00610639">
        <w:rPr>
          <w:rFonts w:eastAsia="Times New Roman" w:cs="Times New Roman"/>
          <w:kern w:val="0"/>
          <w:szCs w:val="24"/>
        </w:rPr>
        <w:t xml:space="preserve">Ghosh, A., et al. (2022). Stakeholder engagement in the energy sector: An empirical study. </w:t>
      </w:r>
      <w:r w:rsidRPr="00610639">
        <w:rPr>
          <w:rFonts w:eastAsiaTheme="majorEastAsia" w:cs="Times New Roman"/>
          <w:i/>
          <w:iCs/>
          <w:kern w:val="0"/>
          <w:szCs w:val="24"/>
        </w:rPr>
        <w:t>Energy Policy, 165</w:t>
      </w:r>
      <w:r w:rsidRPr="00610639">
        <w:rPr>
          <w:rFonts w:eastAsia="Times New Roman" w:cs="Times New Roman"/>
          <w:kern w:val="0"/>
          <w:szCs w:val="24"/>
        </w:rPr>
        <w:t>, 112893. https://doi.org/10.1016/j.enpol.2022.112893</w:t>
      </w:r>
    </w:p>
    <w:p w14:paraId="1C508114" w14:textId="77777777" w:rsidR="00410B5E" w:rsidRPr="00610639" w:rsidRDefault="00410B5E" w:rsidP="0061149C">
      <w:pPr>
        <w:spacing w:before="100" w:beforeAutospacing="1" w:after="100" w:afterAutospacing="1" w:line="240" w:lineRule="auto"/>
        <w:rPr>
          <w:rFonts w:eastAsia="Times New Roman" w:cs="Times New Roman"/>
          <w:kern w:val="0"/>
          <w:szCs w:val="24"/>
        </w:rPr>
      </w:pPr>
      <w:r w:rsidRPr="00610639">
        <w:rPr>
          <w:rFonts w:eastAsia="Times New Roman" w:cs="Times New Roman"/>
          <w:kern w:val="0"/>
          <w:szCs w:val="24"/>
        </w:rPr>
        <w:t xml:space="preserve">Ghosh, A., et al. (2022). Stakeholder satisfaction and engagement in the energy sector: An empirical study. </w:t>
      </w:r>
      <w:r w:rsidRPr="00610639">
        <w:rPr>
          <w:rFonts w:eastAsia="Times New Roman" w:cs="Times New Roman"/>
          <w:i/>
          <w:iCs/>
          <w:kern w:val="0"/>
          <w:szCs w:val="24"/>
        </w:rPr>
        <w:t>Energy Policy, 165</w:t>
      </w:r>
      <w:r w:rsidRPr="00610639">
        <w:rPr>
          <w:rFonts w:eastAsia="Times New Roman" w:cs="Times New Roman"/>
          <w:kern w:val="0"/>
          <w:szCs w:val="24"/>
        </w:rPr>
        <w:t>, 112893. https://doi.org/10.1016/j.enpol.2022.112893</w:t>
      </w:r>
    </w:p>
    <w:p w14:paraId="57749E34" w14:textId="77777777" w:rsidR="00410B5E" w:rsidRPr="00610639" w:rsidRDefault="00410B5E" w:rsidP="0061149C">
      <w:pPr>
        <w:spacing w:before="100" w:beforeAutospacing="1" w:after="100" w:afterAutospacing="1" w:line="240" w:lineRule="auto"/>
        <w:rPr>
          <w:rFonts w:eastAsia="Times New Roman" w:cs="Times New Roman"/>
          <w:kern w:val="0"/>
          <w:szCs w:val="24"/>
        </w:rPr>
      </w:pPr>
      <w:r w:rsidRPr="00610639">
        <w:rPr>
          <w:rFonts w:eastAsia="Times New Roman" w:cs="Times New Roman"/>
          <w:kern w:val="0"/>
          <w:szCs w:val="24"/>
        </w:rPr>
        <w:t xml:space="preserve">Haley, B., Cunningham, K. T., Jacks, A., &amp; </w:t>
      </w:r>
      <w:proofErr w:type="spellStart"/>
      <w:r w:rsidRPr="00610639">
        <w:rPr>
          <w:rFonts w:eastAsia="Times New Roman" w:cs="Times New Roman"/>
          <w:kern w:val="0"/>
          <w:szCs w:val="24"/>
        </w:rPr>
        <w:t>Turkeltaub</w:t>
      </w:r>
      <w:proofErr w:type="spellEnd"/>
      <w:r w:rsidRPr="00610639">
        <w:rPr>
          <w:rFonts w:eastAsia="Times New Roman" w:cs="Times New Roman"/>
          <w:kern w:val="0"/>
          <w:szCs w:val="24"/>
        </w:rPr>
        <w:t xml:space="preserve">, P. (2021). </w:t>
      </w:r>
      <w:r w:rsidRPr="00610639">
        <w:rPr>
          <w:rFonts w:eastAsia="Times New Roman" w:cs="Times New Roman"/>
          <w:i/>
          <w:iCs/>
          <w:kern w:val="0"/>
          <w:szCs w:val="24"/>
        </w:rPr>
        <w:t>Measuring consistency in research instruments: The role of reliability testing</w:t>
      </w:r>
      <w:r w:rsidRPr="00610639">
        <w:rPr>
          <w:rFonts w:eastAsia="Times New Roman" w:cs="Times New Roman"/>
          <w:kern w:val="0"/>
          <w:szCs w:val="24"/>
        </w:rPr>
        <w:t>. Journal of Applied Social Research, 12(4), 98–115.</w:t>
      </w:r>
    </w:p>
    <w:p w14:paraId="2FE604BD" w14:textId="77777777" w:rsidR="00410B5E" w:rsidRPr="00610639" w:rsidRDefault="00410B5E" w:rsidP="0061149C">
      <w:pPr>
        <w:spacing w:before="100" w:beforeAutospacing="1" w:after="100" w:afterAutospacing="1" w:line="240" w:lineRule="auto"/>
        <w:rPr>
          <w:rFonts w:eastAsia="Times New Roman" w:cs="Times New Roman"/>
          <w:kern w:val="0"/>
          <w:szCs w:val="24"/>
        </w:rPr>
      </w:pPr>
      <w:r w:rsidRPr="00610639">
        <w:rPr>
          <w:rFonts w:eastAsia="Times New Roman" w:cs="Times New Roman"/>
          <w:kern w:val="0"/>
          <w:szCs w:val="24"/>
        </w:rPr>
        <w:t xml:space="preserve">Hou, H., &amp; Cheng, Y. (2021). </w:t>
      </w:r>
      <w:r w:rsidRPr="00610639">
        <w:rPr>
          <w:rFonts w:eastAsiaTheme="majorEastAsia" w:cs="Times New Roman"/>
          <w:i/>
          <w:iCs/>
          <w:kern w:val="0"/>
          <w:szCs w:val="24"/>
        </w:rPr>
        <w:t>The role of pilot studies in social research: Assessing reliability and validity</w:t>
      </w:r>
      <w:r w:rsidRPr="00610639">
        <w:rPr>
          <w:rFonts w:eastAsia="Times New Roman" w:cs="Times New Roman"/>
          <w:kern w:val="0"/>
          <w:szCs w:val="24"/>
        </w:rPr>
        <w:t>. Journal of Social Research Methods, 34(2), 112–129.</w:t>
      </w:r>
    </w:p>
    <w:p w14:paraId="265083F4" w14:textId="77777777" w:rsidR="00410B5E" w:rsidRPr="00610639" w:rsidRDefault="00410B5E" w:rsidP="0061149C">
      <w:pPr>
        <w:spacing w:before="100" w:beforeAutospacing="1" w:after="100" w:afterAutospacing="1" w:line="240" w:lineRule="auto"/>
        <w:rPr>
          <w:rFonts w:eastAsia="Times New Roman" w:cs="Times New Roman"/>
          <w:kern w:val="0"/>
          <w:szCs w:val="24"/>
        </w:rPr>
      </w:pPr>
      <w:r w:rsidRPr="00610639">
        <w:rPr>
          <w:rFonts w:eastAsia="Times New Roman" w:cs="Times New Roman"/>
          <w:kern w:val="0"/>
          <w:szCs w:val="24"/>
        </w:rPr>
        <w:t xml:space="preserve">Ibrahim, M., </w:t>
      </w:r>
      <w:proofErr w:type="spellStart"/>
      <w:r w:rsidRPr="00610639">
        <w:rPr>
          <w:rFonts w:eastAsia="Times New Roman" w:cs="Times New Roman"/>
          <w:kern w:val="0"/>
          <w:szCs w:val="24"/>
        </w:rPr>
        <w:t>Chikafutwa</w:t>
      </w:r>
      <w:proofErr w:type="spellEnd"/>
      <w:r w:rsidRPr="00610639">
        <w:rPr>
          <w:rFonts w:eastAsia="Times New Roman" w:cs="Times New Roman"/>
          <w:kern w:val="0"/>
          <w:szCs w:val="24"/>
        </w:rPr>
        <w:t xml:space="preserve">, C., &amp; Ndung'u, J. (2023). </w:t>
      </w:r>
      <w:r w:rsidRPr="00610639">
        <w:rPr>
          <w:rFonts w:eastAsiaTheme="majorEastAsia" w:cs="Times New Roman"/>
          <w:i/>
          <w:iCs/>
          <w:kern w:val="0"/>
          <w:szCs w:val="24"/>
        </w:rPr>
        <w:t>State-owned utilities: Workforce experience and its impact on service delivery</w:t>
      </w:r>
      <w:r w:rsidRPr="00610639">
        <w:rPr>
          <w:rFonts w:eastAsia="Times New Roman" w:cs="Times New Roman"/>
          <w:kern w:val="0"/>
          <w:szCs w:val="24"/>
        </w:rPr>
        <w:t>.</w:t>
      </w:r>
    </w:p>
    <w:p w14:paraId="79E2F171" w14:textId="77777777" w:rsidR="00410B5E" w:rsidRPr="00610639" w:rsidRDefault="00410B5E" w:rsidP="0061149C">
      <w:pPr>
        <w:spacing w:before="100" w:beforeAutospacing="1" w:after="100" w:afterAutospacing="1" w:line="240" w:lineRule="auto"/>
        <w:rPr>
          <w:rFonts w:eastAsia="Times New Roman" w:cs="Times New Roman"/>
          <w:kern w:val="0"/>
          <w:szCs w:val="24"/>
        </w:rPr>
      </w:pPr>
      <w:r w:rsidRPr="00610639">
        <w:rPr>
          <w:rFonts w:eastAsia="Times New Roman" w:cs="Times New Roman"/>
          <w:kern w:val="0"/>
          <w:szCs w:val="24"/>
        </w:rPr>
        <w:t xml:space="preserve">Initiative for Climate Action Transparency. (2020). </w:t>
      </w:r>
      <w:r w:rsidRPr="00610639">
        <w:rPr>
          <w:rFonts w:eastAsia="Times New Roman" w:cs="Times New Roman"/>
          <w:i/>
          <w:iCs/>
          <w:kern w:val="0"/>
          <w:szCs w:val="24"/>
        </w:rPr>
        <w:t>Stakeholder participation guide</w:t>
      </w:r>
      <w:r w:rsidRPr="00610639">
        <w:rPr>
          <w:rFonts w:eastAsia="Times New Roman" w:cs="Times New Roman"/>
          <w:kern w:val="0"/>
          <w:szCs w:val="24"/>
        </w:rPr>
        <w:t xml:space="preserve">. </w:t>
      </w:r>
      <w:hyperlink r:id="rId11" w:tgtFrame="_new" w:history="1">
        <w:r w:rsidRPr="00610639">
          <w:rPr>
            <w:rFonts w:eastAsia="Times New Roman" w:cs="Times New Roman"/>
            <w:color w:val="0000FF"/>
            <w:kern w:val="0"/>
            <w:szCs w:val="24"/>
            <w:u w:val="single"/>
          </w:rPr>
          <w:t>https://climateactiontransparency.org/wp-content/uploads/2020/04/Stakeholder-Participation-Assessment-Guide.pdf</w:t>
        </w:r>
      </w:hyperlink>
    </w:p>
    <w:p w14:paraId="12557909" w14:textId="77777777" w:rsidR="00410B5E" w:rsidRPr="00610639" w:rsidRDefault="00410B5E" w:rsidP="0061149C">
      <w:pPr>
        <w:spacing w:before="100" w:beforeAutospacing="1" w:after="100" w:afterAutospacing="1" w:line="240" w:lineRule="auto"/>
        <w:rPr>
          <w:rFonts w:eastAsia="Times New Roman" w:cs="Times New Roman"/>
          <w:kern w:val="0"/>
          <w:szCs w:val="24"/>
        </w:rPr>
      </w:pPr>
      <w:r w:rsidRPr="00610639">
        <w:rPr>
          <w:rFonts w:eastAsia="Times New Roman" w:cs="Times New Roman"/>
          <w:kern w:val="0"/>
          <w:szCs w:val="24"/>
        </w:rPr>
        <w:t xml:space="preserve">International Energy Agency. (2020). </w:t>
      </w:r>
      <w:r w:rsidRPr="00610639">
        <w:rPr>
          <w:rFonts w:eastAsia="Times New Roman" w:cs="Times New Roman"/>
          <w:i/>
          <w:iCs/>
          <w:kern w:val="0"/>
          <w:szCs w:val="24"/>
        </w:rPr>
        <w:t>World Energy Outlook 2020</w:t>
      </w:r>
      <w:r w:rsidRPr="00610639">
        <w:rPr>
          <w:rFonts w:eastAsia="Times New Roman" w:cs="Times New Roman"/>
          <w:kern w:val="0"/>
          <w:szCs w:val="24"/>
        </w:rPr>
        <w:t>. https://www.iea.org/reports/world-energy-outlook-2020</w:t>
      </w:r>
    </w:p>
    <w:p w14:paraId="741100D8" w14:textId="77777777" w:rsidR="00410B5E" w:rsidRPr="00610639" w:rsidRDefault="00410B5E" w:rsidP="0061149C">
      <w:pPr>
        <w:spacing w:before="100" w:beforeAutospacing="1" w:after="100" w:afterAutospacing="1" w:line="240" w:lineRule="auto"/>
        <w:rPr>
          <w:rFonts w:eastAsia="Times New Roman" w:cs="Times New Roman"/>
          <w:kern w:val="0"/>
          <w:szCs w:val="24"/>
        </w:rPr>
      </w:pPr>
      <w:r w:rsidRPr="00610639">
        <w:rPr>
          <w:rFonts w:eastAsia="Times New Roman" w:cs="Times New Roman"/>
          <w:kern w:val="0"/>
          <w:szCs w:val="24"/>
        </w:rPr>
        <w:t xml:space="preserve">International Renewable Energy Agency (IRENA). (2019). </w:t>
      </w:r>
      <w:r w:rsidRPr="00610639">
        <w:rPr>
          <w:rFonts w:eastAsiaTheme="majorEastAsia" w:cs="Times New Roman"/>
          <w:i/>
          <w:iCs/>
          <w:kern w:val="0"/>
          <w:szCs w:val="24"/>
        </w:rPr>
        <w:t>Renewable energy: A gender perspective</w:t>
      </w:r>
      <w:r w:rsidRPr="00610639">
        <w:rPr>
          <w:rFonts w:eastAsia="Times New Roman" w:cs="Times New Roman"/>
          <w:kern w:val="0"/>
          <w:szCs w:val="24"/>
        </w:rPr>
        <w:t>.</w:t>
      </w:r>
    </w:p>
    <w:p w14:paraId="4B5A4F9C" w14:textId="77777777" w:rsidR="00410B5E" w:rsidRPr="00610639" w:rsidRDefault="00410B5E" w:rsidP="0061149C">
      <w:pPr>
        <w:spacing w:before="100" w:beforeAutospacing="1" w:after="100" w:afterAutospacing="1" w:line="240" w:lineRule="auto"/>
        <w:rPr>
          <w:rFonts w:eastAsia="Times New Roman" w:cs="Times New Roman"/>
          <w:kern w:val="0"/>
          <w:szCs w:val="24"/>
        </w:rPr>
      </w:pPr>
      <w:r w:rsidRPr="00610639">
        <w:rPr>
          <w:rFonts w:eastAsia="Times New Roman" w:cs="Times New Roman"/>
          <w:kern w:val="0"/>
          <w:szCs w:val="24"/>
        </w:rPr>
        <w:t xml:space="preserve">International Renewable Energy Agency. (2022). </w:t>
      </w:r>
      <w:r w:rsidRPr="00610639">
        <w:rPr>
          <w:rFonts w:eastAsia="Times New Roman" w:cs="Times New Roman"/>
          <w:i/>
          <w:iCs/>
          <w:kern w:val="0"/>
          <w:szCs w:val="24"/>
        </w:rPr>
        <w:t>Global Energy Transformation 2022</w:t>
      </w:r>
      <w:r w:rsidRPr="00610639">
        <w:rPr>
          <w:rFonts w:eastAsia="Times New Roman" w:cs="Times New Roman"/>
          <w:kern w:val="0"/>
          <w:szCs w:val="24"/>
        </w:rPr>
        <w:t>. https://www.irena.org/Publications/2022/Apr/Global-Energy-Transformation-2022</w:t>
      </w:r>
    </w:p>
    <w:p w14:paraId="62ACF84C" w14:textId="77777777" w:rsidR="00410B5E" w:rsidRPr="00610639" w:rsidRDefault="00410B5E" w:rsidP="0061149C">
      <w:pPr>
        <w:spacing w:before="100" w:beforeAutospacing="1" w:after="100" w:afterAutospacing="1" w:line="240" w:lineRule="auto"/>
        <w:rPr>
          <w:rFonts w:eastAsia="Times New Roman" w:cs="Times New Roman"/>
          <w:kern w:val="0"/>
          <w:szCs w:val="24"/>
        </w:rPr>
      </w:pPr>
      <w:proofErr w:type="spellStart"/>
      <w:r w:rsidRPr="00610639">
        <w:rPr>
          <w:rFonts w:eastAsia="Times New Roman" w:cs="Times New Roman"/>
          <w:kern w:val="0"/>
          <w:szCs w:val="24"/>
        </w:rPr>
        <w:t>Kagenyi</w:t>
      </w:r>
      <w:proofErr w:type="spellEnd"/>
      <w:r w:rsidRPr="00610639">
        <w:rPr>
          <w:rFonts w:eastAsia="Times New Roman" w:cs="Times New Roman"/>
          <w:kern w:val="0"/>
          <w:szCs w:val="24"/>
        </w:rPr>
        <w:t xml:space="preserve">, E. (2022). Stakeholder participation in Uganda's energy sector: Challenges and opportunities. </w:t>
      </w:r>
      <w:r w:rsidRPr="00610639">
        <w:rPr>
          <w:rFonts w:eastAsia="Times New Roman" w:cs="Times New Roman"/>
          <w:i/>
          <w:iCs/>
          <w:kern w:val="0"/>
          <w:szCs w:val="24"/>
        </w:rPr>
        <w:t>Energy Policy, 165</w:t>
      </w:r>
      <w:r w:rsidRPr="00610639">
        <w:rPr>
          <w:rFonts w:eastAsia="Times New Roman" w:cs="Times New Roman"/>
          <w:kern w:val="0"/>
          <w:szCs w:val="24"/>
        </w:rPr>
        <w:t>, 112893. https://doi.org/10.1016/j.enpol.2022.112893</w:t>
      </w:r>
    </w:p>
    <w:p w14:paraId="20BE79A4" w14:textId="77777777" w:rsidR="00410B5E" w:rsidRPr="00610639" w:rsidRDefault="00410B5E" w:rsidP="0061149C">
      <w:pPr>
        <w:spacing w:before="100" w:beforeAutospacing="1" w:after="100" w:afterAutospacing="1" w:line="240" w:lineRule="auto"/>
        <w:rPr>
          <w:rFonts w:eastAsia="Times New Roman" w:cs="Times New Roman"/>
          <w:kern w:val="0"/>
          <w:szCs w:val="24"/>
        </w:rPr>
      </w:pPr>
      <w:proofErr w:type="spellStart"/>
      <w:r w:rsidRPr="00610639">
        <w:rPr>
          <w:rFonts w:eastAsia="Times New Roman" w:cs="Times New Roman"/>
          <w:kern w:val="0"/>
          <w:szCs w:val="24"/>
        </w:rPr>
        <w:lastRenderedPageBreak/>
        <w:t>Kagenyi</w:t>
      </w:r>
      <w:proofErr w:type="spellEnd"/>
      <w:r w:rsidRPr="00610639">
        <w:rPr>
          <w:rFonts w:eastAsia="Times New Roman" w:cs="Times New Roman"/>
          <w:kern w:val="0"/>
          <w:szCs w:val="24"/>
        </w:rPr>
        <w:t xml:space="preserve">, E. (2022). Stakeholder participation in Uganda's energy sector: Challenges and opportunities. </w:t>
      </w:r>
      <w:r w:rsidRPr="00610639">
        <w:rPr>
          <w:rFonts w:eastAsiaTheme="majorEastAsia" w:cs="Times New Roman"/>
          <w:i/>
          <w:iCs/>
          <w:kern w:val="0"/>
          <w:szCs w:val="24"/>
        </w:rPr>
        <w:t>Energy Policy, 165</w:t>
      </w:r>
      <w:r w:rsidRPr="00610639">
        <w:rPr>
          <w:rFonts w:eastAsia="Times New Roman" w:cs="Times New Roman"/>
          <w:kern w:val="0"/>
          <w:szCs w:val="24"/>
        </w:rPr>
        <w:t xml:space="preserve">, 112893. </w:t>
      </w:r>
      <w:hyperlink r:id="rId12" w:tgtFrame="_new" w:history="1">
        <w:r w:rsidRPr="00610639">
          <w:rPr>
            <w:rFonts w:eastAsiaTheme="majorEastAsia" w:cs="Times New Roman"/>
            <w:color w:val="0000FF"/>
            <w:kern w:val="0"/>
            <w:szCs w:val="24"/>
            <w:u w:val="single"/>
          </w:rPr>
          <w:t>https://doi.org/10.1016/j.enpol.2022.112893</w:t>
        </w:r>
      </w:hyperlink>
    </w:p>
    <w:p w14:paraId="464D4FFC" w14:textId="77777777" w:rsidR="00410B5E" w:rsidRPr="00610639" w:rsidRDefault="00410B5E" w:rsidP="0061149C">
      <w:pPr>
        <w:spacing w:before="100" w:beforeAutospacing="1" w:after="100" w:afterAutospacing="1" w:line="240" w:lineRule="auto"/>
        <w:rPr>
          <w:rFonts w:eastAsia="Times New Roman" w:cs="Times New Roman"/>
          <w:kern w:val="0"/>
          <w:szCs w:val="24"/>
        </w:rPr>
      </w:pPr>
      <w:r w:rsidRPr="00610639">
        <w:rPr>
          <w:rFonts w:eastAsia="Times New Roman" w:cs="Times New Roman"/>
          <w:kern w:val="0"/>
          <w:szCs w:val="24"/>
        </w:rPr>
        <w:t xml:space="preserve">Kasozi, D. (2022). Community engagement in Uganda's energy sector: A case study of UEDCL. </w:t>
      </w:r>
      <w:r w:rsidRPr="00610639">
        <w:rPr>
          <w:rFonts w:eastAsiaTheme="majorEastAsia" w:cs="Times New Roman"/>
          <w:i/>
          <w:iCs/>
          <w:kern w:val="0"/>
          <w:szCs w:val="24"/>
        </w:rPr>
        <w:t>Journal of Community Development, 53</w:t>
      </w:r>
      <w:r w:rsidRPr="00610639">
        <w:rPr>
          <w:rFonts w:eastAsia="Times New Roman" w:cs="Times New Roman"/>
          <w:kern w:val="0"/>
          <w:szCs w:val="24"/>
        </w:rPr>
        <w:t xml:space="preserve">(3), 432–448. </w:t>
      </w:r>
      <w:hyperlink r:id="rId13" w:tgtFrame="_new" w:history="1">
        <w:r w:rsidRPr="00610639">
          <w:rPr>
            <w:rFonts w:eastAsiaTheme="majorEastAsia" w:cs="Times New Roman"/>
            <w:color w:val="0000FF"/>
            <w:kern w:val="0"/>
            <w:szCs w:val="24"/>
            <w:u w:val="single"/>
          </w:rPr>
          <w:t>https://doi.org/10.1080/15575330.2022.2040134</w:t>
        </w:r>
      </w:hyperlink>
    </w:p>
    <w:p w14:paraId="1F02545C" w14:textId="77777777" w:rsidR="00410B5E" w:rsidRPr="00610639" w:rsidRDefault="00410B5E" w:rsidP="0061149C">
      <w:pPr>
        <w:spacing w:before="100" w:beforeAutospacing="1" w:after="100" w:afterAutospacing="1" w:line="240" w:lineRule="auto"/>
        <w:rPr>
          <w:rFonts w:eastAsia="Times New Roman" w:cs="Times New Roman"/>
          <w:kern w:val="0"/>
          <w:szCs w:val="24"/>
        </w:rPr>
      </w:pPr>
      <w:r w:rsidRPr="00610639">
        <w:rPr>
          <w:rFonts w:eastAsia="Times New Roman" w:cs="Times New Roman"/>
          <w:kern w:val="0"/>
          <w:szCs w:val="24"/>
        </w:rPr>
        <w:t xml:space="preserve">Kaweesa, P. (2024). </w:t>
      </w:r>
      <w:r w:rsidRPr="00610639">
        <w:rPr>
          <w:rFonts w:eastAsia="Times New Roman" w:cs="Times New Roman"/>
          <w:i/>
          <w:iCs/>
          <w:kern w:val="0"/>
          <w:szCs w:val="24"/>
        </w:rPr>
        <w:t>Participatory governance in state-owned enterprises: Evaluating stakeholder involvement.</w:t>
      </w:r>
    </w:p>
    <w:p w14:paraId="376B10C9" w14:textId="77777777" w:rsidR="00410B5E" w:rsidRPr="00610639" w:rsidRDefault="00410B5E" w:rsidP="0061149C">
      <w:pPr>
        <w:spacing w:before="100" w:beforeAutospacing="1" w:after="100" w:afterAutospacing="1" w:line="240" w:lineRule="auto"/>
        <w:rPr>
          <w:rFonts w:eastAsia="Times New Roman" w:cs="Times New Roman"/>
          <w:kern w:val="0"/>
          <w:szCs w:val="24"/>
        </w:rPr>
      </w:pPr>
      <w:r w:rsidRPr="00610639">
        <w:rPr>
          <w:rFonts w:eastAsia="Times New Roman" w:cs="Times New Roman"/>
          <w:kern w:val="0"/>
          <w:szCs w:val="24"/>
        </w:rPr>
        <w:t xml:space="preserve">Kisembo, R. (2023). </w:t>
      </w:r>
      <w:r w:rsidRPr="00610639">
        <w:rPr>
          <w:rFonts w:eastAsia="Times New Roman" w:cs="Times New Roman"/>
          <w:i/>
          <w:iCs/>
          <w:kern w:val="0"/>
          <w:szCs w:val="24"/>
        </w:rPr>
        <w:t>Evolving communication cultures in public enterprises: A case study of Uganda’s utility sector.</w:t>
      </w:r>
    </w:p>
    <w:p w14:paraId="216FADD0" w14:textId="77777777" w:rsidR="00410B5E" w:rsidRPr="00610639" w:rsidRDefault="00410B5E" w:rsidP="0061149C">
      <w:pPr>
        <w:spacing w:before="100" w:beforeAutospacing="1" w:after="100" w:afterAutospacing="1" w:line="240" w:lineRule="auto"/>
        <w:rPr>
          <w:rFonts w:eastAsia="Times New Roman" w:cs="Times New Roman"/>
          <w:kern w:val="0"/>
          <w:szCs w:val="24"/>
        </w:rPr>
      </w:pPr>
      <w:r w:rsidRPr="00610639">
        <w:rPr>
          <w:rFonts w:eastAsia="Times New Roman" w:cs="Times New Roman"/>
          <w:kern w:val="0"/>
          <w:szCs w:val="24"/>
        </w:rPr>
        <w:t xml:space="preserve">Kumar, P., et al. (2022). Challenges and opportunities for state-owned energy corporations: A systematic review. </w:t>
      </w:r>
      <w:r w:rsidRPr="00610639">
        <w:rPr>
          <w:rFonts w:eastAsia="Times New Roman" w:cs="Times New Roman"/>
          <w:i/>
          <w:iCs/>
          <w:kern w:val="0"/>
          <w:szCs w:val="24"/>
        </w:rPr>
        <w:t>Energy Strategy Reviews, 43</w:t>
      </w:r>
      <w:r w:rsidRPr="00610639">
        <w:rPr>
          <w:rFonts w:eastAsia="Times New Roman" w:cs="Times New Roman"/>
          <w:kern w:val="0"/>
          <w:szCs w:val="24"/>
        </w:rPr>
        <w:t>, 100844. https://doi.org/10.1016/j.esr.2022.100844</w:t>
      </w:r>
    </w:p>
    <w:p w14:paraId="546BC048" w14:textId="77777777" w:rsidR="00410B5E" w:rsidRPr="00610639" w:rsidRDefault="00410B5E" w:rsidP="0061149C">
      <w:pPr>
        <w:spacing w:before="100" w:beforeAutospacing="1" w:after="100" w:afterAutospacing="1" w:line="240" w:lineRule="auto"/>
        <w:rPr>
          <w:rFonts w:eastAsia="Times New Roman" w:cs="Times New Roman"/>
          <w:kern w:val="0"/>
          <w:szCs w:val="24"/>
        </w:rPr>
      </w:pPr>
      <w:r w:rsidRPr="00610639">
        <w:rPr>
          <w:rFonts w:eastAsia="Times New Roman" w:cs="Times New Roman"/>
          <w:kern w:val="0"/>
          <w:szCs w:val="24"/>
        </w:rPr>
        <w:t xml:space="preserve">Kumar, R. (2023). </w:t>
      </w:r>
      <w:r w:rsidRPr="00610639">
        <w:rPr>
          <w:rFonts w:eastAsiaTheme="majorEastAsia" w:cs="Times New Roman"/>
          <w:i/>
          <w:iCs/>
          <w:kern w:val="0"/>
          <w:szCs w:val="24"/>
        </w:rPr>
        <w:t>Research methodology: A step-by-step guide for beginners</w:t>
      </w:r>
      <w:r w:rsidRPr="00610639">
        <w:rPr>
          <w:rFonts w:eastAsia="Times New Roman" w:cs="Times New Roman"/>
          <w:kern w:val="0"/>
          <w:szCs w:val="24"/>
        </w:rPr>
        <w:t xml:space="preserve"> (6th ed.). Sage Publications.</w:t>
      </w:r>
    </w:p>
    <w:p w14:paraId="44BC5B14" w14:textId="77777777" w:rsidR="00410B5E" w:rsidRPr="00610639" w:rsidRDefault="00410B5E" w:rsidP="0061149C">
      <w:pPr>
        <w:spacing w:before="100" w:beforeAutospacing="1" w:after="100" w:afterAutospacing="1" w:line="240" w:lineRule="auto"/>
        <w:rPr>
          <w:rFonts w:eastAsia="Times New Roman" w:cs="Times New Roman"/>
          <w:kern w:val="0"/>
          <w:szCs w:val="24"/>
        </w:rPr>
      </w:pPr>
      <w:r w:rsidRPr="00610639">
        <w:rPr>
          <w:rFonts w:eastAsia="Times New Roman" w:cs="Times New Roman"/>
          <w:kern w:val="0"/>
          <w:szCs w:val="24"/>
        </w:rPr>
        <w:t xml:space="preserve">Littlechild, S. (2020). Stakeholder participation in energy regulation. </w:t>
      </w:r>
      <w:r w:rsidRPr="00610639">
        <w:rPr>
          <w:rFonts w:eastAsiaTheme="majorEastAsia" w:cs="Times New Roman"/>
          <w:i/>
          <w:iCs/>
          <w:kern w:val="0"/>
          <w:szCs w:val="24"/>
        </w:rPr>
        <w:t>Utilities Policy, 66</w:t>
      </w:r>
      <w:r w:rsidRPr="00610639">
        <w:rPr>
          <w:rFonts w:eastAsia="Times New Roman" w:cs="Times New Roman"/>
          <w:kern w:val="0"/>
          <w:szCs w:val="24"/>
        </w:rPr>
        <w:t>, 101083. https://doi.org/10.1016/j.jup.2020.101083</w:t>
      </w:r>
    </w:p>
    <w:p w14:paraId="08FEEEB4" w14:textId="77777777" w:rsidR="00410B5E" w:rsidRPr="00610639" w:rsidRDefault="00410B5E" w:rsidP="0061149C">
      <w:pPr>
        <w:spacing w:before="100" w:beforeAutospacing="1" w:after="100" w:afterAutospacing="1" w:line="240" w:lineRule="auto"/>
        <w:rPr>
          <w:rFonts w:eastAsia="Times New Roman" w:cs="Times New Roman"/>
          <w:kern w:val="0"/>
          <w:szCs w:val="24"/>
        </w:rPr>
      </w:pPr>
      <w:r w:rsidRPr="00610639">
        <w:rPr>
          <w:rFonts w:eastAsia="Times New Roman" w:cs="Times New Roman"/>
          <w:kern w:val="0"/>
          <w:szCs w:val="24"/>
        </w:rPr>
        <w:t xml:space="preserve">Mahapatra, S., &amp; Mahapatra, S. (2020). Stakeholder participation in the energy sector: A review of the literature. </w:t>
      </w:r>
      <w:r w:rsidRPr="00610639">
        <w:rPr>
          <w:rFonts w:eastAsia="Times New Roman" w:cs="Times New Roman"/>
          <w:i/>
          <w:iCs/>
          <w:kern w:val="0"/>
          <w:szCs w:val="24"/>
        </w:rPr>
        <w:t>Journal of Cleaner Production, 274</w:t>
      </w:r>
      <w:r w:rsidRPr="00610639">
        <w:rPr>
          <w:rFonts w:eastAsia="Times New Roman" w:cs="Times New Roman"/>
          <w:kern w:val="0"/>
          <w:szCs w:val="24"/>
        </w:rPr>
        <w:t>, 122831. https://doi.org/10.1016/j.jclepro.2020.122831</w:t>
      </w:r>
    </w:p>
    <w:p w14:paraId="37181A1A" w14:textId="77777777" w:rsidR="00410B5E" w:rsidRPr="00610639" w:rsidRDefault="00410B5E" w:rsidP="0061149C">
      <w:pPr>
        <w:spacing w:before="100" w:beforeAutospacing="1" w:after="100" w:afterAutospacing="1" w:line="240" w:lineRule="auto"/>
        <w:rPr>
          <w:rFonts w:eastAsia="Times New Roman" w:cs="Times New Roman"/>
          <w:kern w:val="0"/>
          <w:szCs w:val="24"/>
        </w:rPr>
      </w:pPr>
      <w:r w:rsidRPr="00610639">
        <w:rPr>
          <w:rFonts w:eastAsia="Times New Roman" w:cs="Times New Roman"/>
          <w:kern w:val="0"/>
          <w:szCs w:val="24"/>
        </w:rPr>
        <w:t xml:space="preserve">Manyak, T. (2020). Enhancing communication strategies for effective stakeholder engagement in Uganda's energy sector. </w:t>
      </w:r>
      <w:r w:rsidRPr="00610639">
        <w:rPr>
          <w:rFonts w:eastAsia="Times New Roman" w:cs="Times New Roman"/>
          <w:i/>
          <w:iCs/>
          <w:kern w:val="0"/>
          <w:szCs w:val="24"/>
        </w:rPr>
        <w:t>Journal of Communication Management, 24</w:t>
      </w:r>
      <w:r w:rsidRPr="00610639">
        <w:rPr>
          <w:rFonts w:eastAsia="Times New Roman" w:cs="Times New Roman"/>
          <w:kern w:val="0"/>
          <w:szCs w:val="24"/>
        </w:rPr>
        <w:t>(3), 257–274. https://doi.org/10.1108/JCOM-04-2020-0038</w:t>
      </w:r>
    </w:p>
    <w:p w14:paraId="32AE1F74" w14:textId="77777777" w:rsidR="00410B5E" w:rsidRPr="00610639" w:rsidRDefault="00410B5E" w:rsidP="0061149C">
      <w:pPr>
        <w:spacing w:before="100" w:beforeAutospacing="1" w:after="100" w:afterAutospacing="1" w:line="240" w:lineRule="auto"/>
        <w:rPr>
          <w:rFonts w:eastAsia="Times New Roman" w:cs="Times New Roman"/>
          <w:kern w:val="0"/>
          <w:szCs w:val="24"/>
        </w:rPr>
      </w:pPr>
      <w:r w:rsidRPr="00610639">
        <w:rPr>
          <w:rFonts w:eastAsia="Times New Roman" w:cs="Times New Roman"/>
          <w:kern w:val="0"/>
          <w:szCs w:val="24"/>
        </w:rPr>
        <w:t xml:space="preserve">Marples, D. R. (2020). Energy policy and stakeholder engagement in emerging economies. </w:t>
      </w:r>
      <w:r w:rsidRPr="00610639">
        <w:rPr>
          <w:rFonts w:eastAsiaTheme="majorEastAsia" w:cs="Times New Roman"/>
          <w:i/>
          <w:iCs/>
          <w:kern w:val="0"/>
          <w:szCs w:val="24"/>
        </w:rPr>
        <w:t>Energy Research &amp; Social Science, 69</w:t>
      </w:r>
      <w:r w:rsidRPr="00610639">
        <w:rPr>
          <w:rFonts w:eastAsia="Times New Roman" w:cs="Times New Roman"/>
          <w:kern w:val="0"/>
          <w:szCs w:val="24"/>
        </w:rPr>
        <w:t>, 101734. https://doi.org/10.1016/j.erss.2020.101734</w:t>
      </w:r>
    </w:p>
    <w:p w14:paraId="5CF96DF8" w14:textId="77777777" w:rsidR="00410B5E" w:rsidRPr="00610639" w:rsidRDefault="00410B5E" w:rsidP="0061149C">
      <w:pPr>
        <w:spacing w:before="100" w:beforeAutospacing="1" w:after="100" w:afterAutospacing="1" w:line="240" w:lineRule="auto"/>
        <w:rPr>
          <w:rFonts w:eastAsia="Times New Roman" w:cs="Times New Roman"/>
          <w:kern w:val="0"/>
          <w:szCs w:val="24"/>
        </w:rPr>
      </w:pPr>
      <w:r w:rsidRPr="00610639">
        <w:rPr>
          <w:rFonts w:eastAsia="Times New Roman" w:cs="Times New Roman"/>
          <w:kern w:val="0"/>
          <w:szCs w:val="24"/>
        </w:rPr>
        <w:t xml:space="preserve">Mugenda, O. M., &amp; Mugenda, A. G. (2003). </w:t>
      </w:r>
      <w:r w:rsidRPr="00610639">
        <w:rPr>
          <w:rFonts w:eastAsiaTheme="majorEastAsia" w:cs="Times New Roman"/>
          <w:i/>
          <w:iCs/>
          <w:kern w:val="0"/>
          <w:szCs w:val="24"/>
        </w:rPr>
        <w:t>Research methods: Quantitative and qualitative approaches</w:t>
      </w:r>
      <w:r w:rsidRPr="00610639">
        <w:rPr>
          <w:rFonts w:eastAsia="Times New Roman" w:cs="Times New Roman"/>
          <w:kern w:val="0"/>
          <w:szCs w:val="24"/>
        </w:rPr>
        <w:t>. Acts Press.</w:t>
      </w:r>
    </w:p>
    <w:p w14:paraId="67FCB236" w14:textId="77777777" w:rsidR="00410B5E" w:rsidRPr="00610639" w:rsidRDefault="00410B5E" w:rsidP="0061149C">
      <w:pPr>
        <w:spacing w:before="100" w:beforeAutospacing="1" w:after="100" w:afterAutospacing="1" w:line="240" w:lineRule="auto"/>
        <w:rPr>
          <w:rFonts w:eastAsia="Times New Roman" w:cs="Times New Roman"/>
          <w:kern w:val="0"/>
          <w:szCs w:val="24"/>
        </w:rPr>
      </w:pPr>
      <w:proofErr w:type="spellStart"/>
      <w:r w:rsidRPr="00610639">
        <w:rPr>
          <w:rFonts w:eastAsia="Times New Roman" w:cs="Times New Roman"/>
          <w:kern w:val="0"/>
          <w:szCs w:val="24"/>
        </w:rPr>
        <w:t>Mugera</w:t>
      </w:r>
      <w:proofErr w:type="spellEnd"/>
      <w:r w:rsidRPr="00610639">
        <w:rPr>
          <w:rFonts w:eastAsia="Times New Roman" w:cs="Times New Roman"/>
          <w:kern w:val="0"/>
          <w:szCs w:val="24"/>
        </w:rPr>
        <w:t xml:space="preserve">, F. (2024). </w:t>
      </w:r>
      <w:r w:rsidRPr="00610639">
        <w:rPr>
          <w:rFonts w:eastAsia="Times New Roman" w:cs="Times New Roman"/>
          <w:i/>
          <w:iCs/>
          <w:kern w:val="0"/>
          <w:szCs w:val="24"/>
        </w:rPr>
        <w:t>Stakeholder engagement barriers in public utilities: An empirical study.</w:t>
      </w:r>
    </w:p>
    <w:p w14:paraId="644DA9C4" w14:textId="77777777" w:rsidR="00410B5E" w:rsidRPr="00610639" w:rsidRDefault="00410B5E" w:rsidP="0061149C">
      <w:pPr>
        <w:spacing w:before="100" w:beforeAutospacing="1" w:after="100" w:afterAutospacing="1" w:line="240" w:lineRule="auto"/>
        <w:rPr>
          <w:rFonts w:eastAsia="Times New Roman" w:cs="Times New Roman"/>
          <w:kern w:val="0"/>
          <w:szCs w:val="24"/>
        </w:rPr>
      </w:pPr>
      <w:r w:rsidRPr="00610639">
        <w:rPr>
          <w:rFonts w:eastAsia="Times New Roman" w:cs="Times New Roman"/>
          <w:kern w:val="0"/>
          <w:szCs w:val="24"/>
        </w:rPr>
        <w:t xml:space="preserve">Mugisha, J. (2022). Inclusive participation in Uganda's energy sector: A review of the literature. </w:t>
      </w:r>
      <w:r w:rsidRPr="00610639">
        <w:rPr>
          <w:rFonts w:eastAsia="Times New Roman" w:cs="Times New Roman"/>
          <w:i/>
          <w:iCs/>
          <w:kern w:val="0"/>
          <w:szCs w:val="24"/>
        </w:rPr>
        <w:t>Energy Research &amp; Social Science, 89</w:t>
      </w:r>
      <w:r w:rsidRPr="00610639">
        <w:rPr>
          <w:rFonts w:eastAsia="Times New Roman" w:cs="Times New Roman"/>
          <w:kern w:val="0"/>
          <w:szCs w:val="24"/>
        </w:rPr>
        <w:t>, 102514. https://doi.org/10.1016/j.erss.2022.102514</w:t>
      </w:r>
    </w:p>
    <w:p w14:paraId="1276B07A" w14:textId="77777777" w:rsidR="00410B5E" w:rsidRPr="00610639" w:rsidRDefault="00410B5E" w:rsidP="0061149C">
      <w:pPr>
        <w:spacing w:before="100" w:beforeAutospacing="1" w:after="100" w:afterAutospacing="1" w:line="240" w:lineRule="auto"/>
        <w:rPr>
          <w:rFonts w:eastAsia="Times New Roman" w:cs="Times New Roman"/>
          <w:kern w:val="0"/>
          <w:szCs w:val="24"/>
        </w:rPr>
      </w:pPr>
      <w:r w:rsidRPr="00610639">
        <w:rPr>
          <w:rFonts w:eastAsia="Times New Roman" w:cs="Times New Roman"/>
          <w:kern w:val="0"/>
          <w:szCs w:val="24"/>
        </w:rPr>
        <w:t xml:space="preserve">Mugisha, J. (2022). Inclusive participation in Uganda's energy sector: A review of the literature. </w:t>
      </w:r>
      <w:r w:rsidRPr="00610639">
        <w:rPr>
          <w:rFonts w:eastAsiaTheme="majorEastAsia" w:cs="Times New Roman"/>
          <w:i/>
          <w:iCs/>
          <w:kern w:val="0"/>
          <w:szCs w:val="24"/>
        </w:rPr>
        <w:t>Energy Research &amp; Social Science, 89</w:t>
      </w:r>
      <w:r w:rsidRPr="00610639">
        <w:rPr>
          <w:rFonts w:eastAsia="Times New Roman" w:cs="Times New Roman"/>
          <w:kern w:val="0"/>
          <w:szCs w:val="24"/>
        </w:rPr>
        <w:t xml:space="preserve">, 102514. </w:t>
      </w:r>
      <w:hyperlink r:id="rId14" w:tgtFrame="_new" w:history="1">
        <w:r w:rsidRPr="00610639">
          <w:rPr>
            <w:rFonts w:eastAsiaTheme="majorEastAsia" w:cs="Times New Roman"/>
            <w:color w:val="0000FF"/>
            <w:kern w:val="0"/>
            <w:szCs w:val="24"/>
            <w:u w:val="single"/>
          </w:rPr>
          <w:t>https://doi.org/10.1016/j.erss.2022.102514</w:t>
        </w:r>
      </w:hyperlink>
    </w:p>
    <w:p w14:paraId="6E5CFDDA" w14:textId="77777777" w:rsidR="00410B5E" w:rsidRPr="00610639" w:rsidRDefault="00410B5E" w:rsidP="0061149C">
      <w:pPr>
        <w:spacing w:before="100" w:beforeAutospacing="1" w:after="100" w:afterAutospacing="1" w:line="240" w:lineRule="auto"/>
        <w:rPr>
          <w:rFonts w:eastAsia="Times New Roman" w:cs="Times New Roman"/>
          <w:kern w:val="0"/>
          <w:szCs w:val="24"/>
        </w:rPr>
      </w:pPr>
      <w:r w:rsidRPr="00610639">
        <w:rPr>
          <w:rFonts w:eastAsia="Times New Roman" w:cs="Times New Roman"/>
          <w:kern w:val="0"/>
          <w:szCs w:val="24"/>
        </w:rPr>
        <w:lastRenderedPageBreak/>
        <w:t xml:space="preserve">Muhumuza, F. (2022). Limited communication channels and stakeholder engagement in Uganda's energy sector. </w:t>
      </w:r>
      <w:r w:rsidRPr="00610639">
        <w:rPr>
          <w:rFonts w:eastAsia="Times New Roman" w:cs="Times New Roman"/>
          <w:i/>
          <w:iCs/>
          <w:kern w:val="0"/>
          <w:szCs w:val="24"/>
        </w:rPr>
        <w:t>Journal of Energy and Natural Resources Law, 40</w:t>
      </w:r>
      <w:r w:rsidRPr="00610639">
        <w:rPr>
          <w:rFonts w:eastAsia="Times New Roman" w:cs="Times New Roman"/>
          <w:kern w:val="0"/>
          <w:szCs w:val="24"/>
        </w:rPr>
        <w:t>(1), 35–50. https://doi.org/10.1080/02646811.2022.2048749</w:t>
      </w:r>
    </w:p>
    <w:p w14:paraId="0083839E" w14:textId="77777777" w:rsidR="00410B5E" w:rsidRPr="00610639" w:rsidRDefault="00410B5E" w:rsidP="0061149C">
      <w:pPr>
        <w:spacing w:before="100" w:beforeAutospacing="1" w:after="100" w:afterAutospacing="1" w:line="240" w:lineRule="auto"/>
        <w:rPr>
          <w:rFonts w:eastAsia="Times New Roman" w:cs="Times New Roman"/>
          <w:kern w:val="0"/>
          <w:szCs w:val="24"/>
        </w:rPr>
      </w:pPr>
      <w:r w:rsidRPr="00610639">
        <w:rPr>
          <w:rFonts w:eastAsia="Times New Roman" w:cs="Times New Roman"/>
          <w:kern w:val="0"/>
          <w:szCs w:val="24"/>
        </w:rPr>
        <w:t xml:space="preserve">Muhumuza, F. (2022). Limited communication channels and stakeholder engagement in Uganda's energy sector. </w:t>
      </w:r>
      <w:r w:rsidRPr="00610639">
        <w:rPr>
          <w:rFonts w:eastAsiaTheme="majorEastAsia" w:cs="Times New Roman"/>
          <w:i/>
          <w:iCs/>
          <w:kern w:val="0"/>
          <w:szCs w:val="24"/>
        </w:rPr>
        <w:t>Journal of Energy and Natural Resources Law, 40</w:t>
      </w:r>
      <w:r w:rsidRPr="00610639">
        <w:rPr>
          <w:rFonts w:eastAsia="Times New Roman" w:cs="Times New Roman"/>
          <w:kern w:val="0"/>
          <w:szCs w:val="24"/>
        </w:rPr>
        <w:t xml:space="preserve">(1), 35–50. </w:t>
      </w:r>
      <w:hyperlink r:id="rId15" w:tgtFrame="_new" w:history="1">
        <w:r w:rsidRPr="00610639">
          <w:rPr>
            <w:rFonts w:eastAsiaTheme="majorEastAsia" w:cs="Times New Roman"/>
            <w:color w:val="0000FF"/>
            <w:kern w:val="0"/>
            <w:szCs w:val="24"/>
            <w:u w:val="single"/>
          </w:rPr>
          <w:t>https://doi.org/10.1080/02646811.2022.2026699</w:t>
        </w:r>
      </w:hyperlink>
    </w:p>
    <w:p w14:paraId="505CFBC5" w14:textId="77777777" w:rsidR="00410B5E" w:rsidRPr="00610639" w:rsidRDefault="00410B5E" w:rsidP="0061149C">
      <w:pPr>
        <w:spacing w:before="100" w:beforeAutospacing="1" w:after="100" w:afterAutospacing="1" w:line="240" w:lineRule="auto"/>
        <w:rPr>
          <w:rFonts w:eastAsia="Times New Roman" w:cs="Times New Roman"/>
          <w:kern w:val="0"/>
          <w:szCs w:val="24"/>
        </w:rPr>
      </w:pPr>
      <w:r w:rsidRPr="00610639">
        <w:rPr>
          <w:rFonts w:eastAsia="Times New Roman" w:cs="Times New Roman"/>
          <w:kern w:val="0"/>
          <w:szCs w:val="24"/>
        </w:rPr>
        <w:t xml:space="preserve">Muwonge, D. (2024). </w:t>
      </w:r>
      <w:r w:rsidRPr="00610639">
        <w:rPr>
          <w:rFonts w:eastAsia="Times New Roman" w:cs="Times New Roman"/>
          <w:i/>
          <w:iCs/>
          <w:kern w:val="0"/>
          <w:szCs w:val="24"/>
        </w:rPr>
        <w:t>Comprehensive analysis of stakeholder engagement in African utilities: Trends and recommendations.</w:t>
      </w:r>
    </w:p>
    <w:p w14:paraId="1A339753" w14:textId="77777777" w:rsidR="00410B5E" w:rsidRPr="00610639" w:rsidRDefault="00410B5E" w:rsidP="0061149C">
      <w:pPr>
        <w:spacing w:before="100" w:beforeAutospacing="1" w:after="100" w:afterAutospacing="1" w:line="240" w:lineRule="auto"/>
        <w:rPr>
          <w:rFonts w:eastAsia="Times New Roman" w:cs="Times New Roman"/>
          <w:kern w:val="0"/>
          <w:szCs w:val="24"/>
        </w:rPr>
      </w:pPr>
      <w:r w:rsidRPr="00610639">
        <w:rPr>
          <w:rFonts w:eastAsia="Times New Roman" w:cs="Times New Roman"/>
          <w:kern w:val="0"/>
          <w:szCs w:val="24"/>
        </w:rPr>
        <w:t xml:space="preserve">Mwesigwa, R., &amp; </w:t>
      </w:r>
      <w:proofErr w:type="spellStart"/>
      <w:r w:rsidRPr="00610639">
        <w:rPr>
          <w:rFonts w:eastAsia="Times New Roman" w:cs="Times New Roman"/>
          <w:kern w:val="0"/>
          <w:szCs w:val="24"/>
        </w:rPr>
        <w:t>Namiyingo</w:t>
      </w:r>
      <w:proofErr w:type="spellEnd"/>
      <w:r w:rsidRPr="00610639">
        <w:rPr>
          <w:rFonts w:eastAsia="Times New Roman" w:cs="Times New Roman"/>
          <w:kern w:val="0"/>
          <w:szCs w:val="24"/>
        </w:rPr>
        <w:t xml:space="preserve">, P. (2021). </w:t>
      </w:r>
      <w:r w:rsidRPr="00610639">
        <w:rPr>
          <w:rFonts w:eastAsiaTheme="majorEastAsia" w:cs="Times New Roman"/>
          <w:i/>
          <w:iCs/>
          <w:kern w:val="0"/>
          <w:szCs w:val="24"/>
        </w:rPr>
        <w:t>Public utility workforce trends in East Africa: Turnover and retention challenges</w:t>
      </w:r>
      <w:r w:rsidRPr="00610639">
        <w:rPr>
          <w:rFonts w:eastAsia="Times New Roman" w:cs="Times New Roman"/>
          <w:kern w:val="0"/>
          <w:szCs w:val="24"/>
        </w:rPr>
        <w:t>.</w:t>
      </w:r>
    </w:p>
    <w:p w14:paraId="48411987" w14:textId="77777777" w:rsidR="00410B5E" w:rsidRPr="00610639" w:rsidRDefault="00410B5E" w:rsidP="0061149C">
      <w:pPr>
        <w:spacing w:before="100" w:beforeAutospacing="1" w:after="100" w:afterAutospacing="1" w:line="240" w:lineRule="auto"/>
        <w:rPr>
          <w:rFonts w:eastAsia="Times New Roman" w:cs="Times New Roman"/>
          <w:kern w:val="0"/>
          <w:szCs w:val="24"/>
        </w:rPr>
      </w:pPr>
      <w:r w:rsidRPr="00610639">
        <w:rPr>
          <w:rFonts w:eastAsia="Times New Roman" w:cs="Times New Roman"/>
          <w:kern w:val="0"/>
          <w:szCs w:val="24"/>
        </w:rPr>
        <w:t xml:space="preserve">Nabasa, S. (2024). </w:t>
      </w:r>
      <w:r w:rsidRPr="00610639">
        <w:rPr>
          <w:rFonts w:eastAsia="Times New Roman" w:cs="Times New Roman"/>
          <w:i/>
          <w:iCs/>
          <w:kern w:val="0"/>
          <w:szCs w:val="24"/>
        </w:rPr>
        <w:t>The value of stakeholder collaboration in the utility sector: Assessing engagement outcomes.</w:t>
      </w:r>
    </w:p>
    <w:p w14:paraId="047D29BC" w14:textId="77777777" w:rsidR="00410B5E" w:rsidRPr="00610639" w:rsidRDefault="00410B5E" w:rsidP="0061149C">
      <w:pPr>
        <w:spacing w:before="100" w:beforeAutospacing="1" w:after="100" w:afterAutospacing="1" w:line="240" w:lineRule="auto"/>
        <w:rPr>
          <w:rFonts w:eastAsia="Times New Roman" w:cs="Times New Roman"/>
          <w:kern w:val="0"/>
          <w:szCs w:val="24"/>
        </w:rPr>
      </w:pPr>
      <w:r w:rsidRPr="00610639">
        <w:rPr>
          <w:rFonts w:eastAsia="Times New Roman" w:cs="Times New Roman"/>
          <w:kern w:val="0"/>
          <w:szCs w:val="24"/>
        </w:rPr>
        <w:t xml:space="preserve">Nakimuli, T. (2023). </w:t>
      </w:r>
      <w:r w:rsidRPr="00610639">
        <w:rPr>
          <w:rFonts w:eastAsia="Times New Roman" w:cs="Times New Roman"/>
          <w:i/>
          <w:iCs/>
          <w:kern w:val="0"/>
          <w:szCs w:val="24"/>
        </w:rPr>
        <w:t>Stakeholder need assessment challenges in public utilities: Implications for service delivery.</w:t>
      </w:r>
    </w:p>
    <w:p w14:paraId="50B6D508" w14:textId="77777777" w:rsidR="00410B5E" w:rsidRPr="00610639" w:rsidRDefault="00410B5E" w:rsidP="0061149C">
      <w:pPr>
        <w:spacing w:before="100" w:beforeAutospacing="1" w:after="100" w:afterAutospacing="1" w:line="240" w:lineRule="auto"/>
        <w:rPr>
          <w:rFonts w:eastAsia="Times New Roman" w:cs="Times New Roman"/>
          <w:kern w:val="0"/>
          <w:szCs w:val="24"/>
        </w:rPr>
      </w:pPr>
      <w:r w:rsidRPr="00610639">
        <w:rPr>
          <w:rFonts w:eastAsia="Times New Roman" w:cs="Times New Roman"/>
          <w:kern w:val="0"/>
          <w:szCs w:val="24"/>
        </w:rPr>
        <w:t xml:space="preserve">Namata, V. (2023). </w:t>
      </w:r>
      <w:r w:rsidRPr="00610639">
        <w:rPr>
          <w:rFonts w:eastAsia="Times New Roman" w:cs="Times New Roman"/>
          <w:i/>
          <w:iCs/>
          <w:kern w:val="0"/>
          <w:szCs w:val="24"/>
        </w:rPr>
        <w:t>Utility sector partnerships and stakeholder collaboration effectiveness: A critical review.</w:t>
      </w:r>
    </w:p>
    <w:p w14:paraId="1117758A" w14:textId="77777777" w:rsidR="00410B5E" w:rsidRPr="00610639" w:rsidRDefault="00410B5E" w:rsidP="0061149C">
      <w:pPr>
        <w:spacing w:before="100" w:beforeAutospacing="1" w:after="100" w:afterAutospacing="1" w:line="240" w:lineRule="auto"/>
        <w:rPr>
          <w:rFonts w:eastAsia="Times New Roman" w:cs="Times New Roman"/>
          <w:kern w:val="0"/>
          <w:szCs w:val="24"/>
        </w:rPr>
      </w:pPr>
      <w:r w:rsidRPr="00610639">
        <w:rPr>
          <w:rFonts w:eastAsia="Times New Roman" w:cs="Times New Roman"/>
          <w:kern w:val="0"/>
          <w:szCs w:val="24"/>
        </w:rPr>
        <w:t xml:space="preserve">National Renewable Energy Laboratory. (2021). </w:t>
      </w:r>
      <w:r w:rsidRPr="00610639">
        <w:rPr>
          <w:rFonts w:eastAsia="Times New Roman" w:cs="Times New Roman"/>
          <w:i/>
          <w:iCs/>
          <w:kern w:val="0"/>
          <w:szCs w:val="24"/>
        </w:rPr>
        <w:t>Community energy planning: Best practices and lessons learned</w:t>
      </w:r>
      <w:r w:rsidRPr="00610639">
        <w:rPr>
          <w:rFonts w:eastAsia="Times New Roman" w:cs="Times New Roman"/>
          <w:kern w:val="0"/>
          <w:szCs w:val="24"/>
        </w:rPr>
        <w:t xml:space="preserve">. </w:t>
      </w:r>
      <w:hyperlink r:id="rId16" w:tgtFrame="_new" w:history="1">
        <w:r w:rsidRPr="00610639">
          <w:rPr>
            <w:rFonts w:eastAsia="Times New Roman" w:cs="Times New Roman"/>
            <w:color w:val="0000FF"/>
            <w:kern w:val="0"/>
            <w:szCs w:val="24"/>
            <w:u w:val="single"/>
          </w:rPr>
          <w:t>https://www.nrel.gov/docs/fy22osti/82937.pdf</w:t>
        </w:r>
      </w:hyperlink>
    </w:p>
    <w:p w14:paraId="4C04FC9C" w14:textId="77777777" w:rsidR="00410B5E" w:rsidRPr="00610639" w:rsidRDefault="00410B5E" w:rsidP="0061149C">
      <w:pPr>
        <w:spacing w:before="100" w:beforeAutospacing="1" w:after="100" w:afterAutospacing="1" w:line="240" w:lineRule="auto"/>
        <w:rPr>
          <w:rFonts w:eastAsia="Times New Roman" w:cs="Times New Roman"/>
          <w:kern w:val="0"/>
          <w:szCs w:val="24"/>
        </w:rPr>
      </w:pPr>
      <w:r w:rsidRPr="00610639">
        <w:rPr>
          <w:rFonts w:eastAsia="Times New Roman" w:cs="Times New Roman"/>
          <w:kern w:val="0"/>
          <w:szCs w:val="24"/>
        </w:rPr>
        <w:t xml:space="preserve">New Vision. (2024). </w:t>
      </w:r>
      <w:r w:rsidRPr="00610639">
        <w:rPr>
          <w:rFonts w:eastAsiaTheme="majorEastAsia" w:cs="Times New Roman"/>
          <w:i/>
          <w:iCs/>
          <w:kern w:val="0"/>
          <w:szCs w:val="24"/>
        </w:rPr>
        <w:t>Delayed merger disrupting energy sector service delivery, MPs told</w:t>
      </w:r>
      <w:r w:rsidRPr="00610639">
        <w:rPr>
          <w:rFonts w:eastAsia="Times New Roman" w:cs="Times New Roman"/>
          <w:kern w:val="0"/>
          <w:szCs w:val="24"/>
        </w:rPr>
        <w:t xml:space="preserve">. Retrieved from </w:t>
      </w:r>
      <w:hyperlink r:id="rId17" w:tgtFrame="_new" w:history="1">
        <w:r w:rsidRPr="00610639">
          <w:rPr>
            <w:rFonts w:eastAsiaTheme="majorEastAsia" w:cs="Times New Roman"/>
            <w:color w:val="0000FF"/>
            <w:kern w:val="0"/>
            <w:szCs w:val="24"/>
            <w:u w:val="single"/>
          </w:rPr>
          <w:t>https://www.newvision.co.ug/category/news/delayed-merger-disrupting-energy-sector-servi-NV_183453</w:t>
        </w:r>
      </w:hyperlink>
    </w:p>
    <w:p w14:paraId="765BBF77" w14:textId="77777777" w:rsidR="00410B5E" w:rsidRPr="00610639" w:rsidRDefault="00410B5E" w:rsidP="0061149C">
      <w:pPr>
        <w:spacing w:before="100" w:beforeAutospacing="1" w:after="100" w:afterAutospacing="1" w:line="240" w:lineRule="auto"/>
        <w:rPr>
          <w:rFonts w:eastAsia="Times New Roman" w:cs="Times New Roman"/>
          <w:kern w:val="0"/>
          <w:szCs w:val="24"/>
        </w:rPr>
      </w:pPr>
      <w:r w:rsidRPr="00610639">
        <w:rPr>
          <w:rFonts w:eastAsia="Times New Roman" w:cs="Times New Roman"/>
          <w:kern w:val="0"/>
          <w:szCs w:val="24"/>
        </w:rPr>
        <w:t xml:space="preserve">Nyangoma, L. (2023). </w:t>
      </w:r>
      <w:r w:rsidRPr="00610639">
        <w:rPr>
          <w:rFonts w:eastAsia="Times New Roman" w:cs="Times New Roman"/>
          <w:i/>
          <w:iCs/>
          <w:kern w:val="0"/>
          <w:szCs w:val="24"/>
        </w:rPr>
        <w:t>Optimizing stakeholder systems in utility sector engagement: A policy perspective.</w:t>
      </w:r>
    </w:p>
    <w:p w14:paraId="38CD2D6B" w14:textId="77777777" w:rsidR="00410B5E" w:rsidRPr="00610639" w:rsidRDefault="00410B5E" w:rsidP="0061149C">
      <w:pPr>
        <w:spacing w:before="100" w:beforeAutospacing="1" w:after="100" w:afterAutospacing="1" w:line="240" w:lineRule="auto"/>
        <w:rPr>
          <w:rFonts w:eastAsia="Times New Roman" w:cs="Times New Roman"/>
          <w:kern w:val="0"/>
          <w:szCs w:val="24"/>
        </w:rPr>
      </w:pPr>
      <w:r w:rsidRPr="00610639">
        <w:rPr>
          <w:rFonts w:eastAsia="Times New Roman" w:cs="Times New Roman"/>
          <w:kern w:val="0"/>
          <w:szCs w:val="24"/>
        </w:rPr>
        <w:t xml:space="preserve">Osborn, J., &amp; Waters, R. (2012). </w:t>
      </w:r>
      <w:r w:rsidRPr="00610639">
        <w:rPr>
          <w:rFonts w:eastAsia="Times New Roman" w:cs="Times New Roman"/>
          <w:i/>
          <w:iCs/>
          <w:kern w:val="0"/>
          <w:szCs w:val="24"/>
        </w:rPr>
        <w:t>Using Cronbach's alpha to test reliability in quantitative research</w:t>
      </w:r>
      <w:r w:rsidRPr="00610639">
        <w:rPr>
          <w:rFonts w:eastAsia="Times New Roman" w:cs="Times New Roman"/>
          <w:kern w:val="0"/>
          <w:szCs w:val="24"/>
        </w:rPr>
        <w:t>. Journal of Statistical Methods, 10(2), 45–62.</w:t>
      </w:r>
    </w:p>
    <w:p w14:paraId="32543F02" w14:textId="77777777" w:rsidR="00410B5E" w:rsidRPr="00610639" w:rsidRDefault="00410B5E" w:rsidP="0061149C">
      <w:pPr>
        <w:spacing w:before="100" w:beforeAutospacing="1" w:after="100" w:afterAutospacing="1" w:line="240" w:lineRule="auto"/>
        <w:rPr>
          <w:rFonts w:eastAsia="Times New Roman" w:cs="Times New Roman"/>
          <w:kern w:val="0"/>
          <w:szCs w:val="24"/>
        </w:rPr>
      </w:pPr>
      <w:r w:rsidRPr="00610639">
        <w:rPr>
          <w:rFonts w:eastAsia="Times New Roman" w:cs="Times New Roman"/>
          <w:kern w:val="0"/>
          <w:szCs w:val="24"/>
        </w:rPr>
        <w:t xml:space="preserve">Pallant, J. (2023). </w:t>
      </w:r>
      <w:r w:rsidRPr="00610639">
        <w:rPr>
          <w:rFonts w:eastAsiaTheme="majorEastAsia" w:cs="Times New Roman"/>
          <w:i/>
          <w:iCs/>
          <w:kern w:val="0"/>
          <w:szCs w:val="24"/>
        </w:rPr>
        <w:t>SPSS survival manual: A step-by-step guide to data analysis using IBM SPSS</w:t>
      </w:r>
      <w:r w:rsidRPr="00610639">
        <w:rPr>
          <w:rFonts w:eastAsia="Times New Roman" w:cs="Times New Roman"/>
          <w:kern w:val="0"/>
          <w:szCs w:val="24"/>
        </w:rPr>
        <w:t xml:space="preserve"> (8th ed.). Routledge.</w:t>
      </w:r>
    </w:p>
    <w:p w14:paraId="65020119" w14:textId="77777777" w:rsidR="00410B5E" w:rsidRPr="00610639" w:rsidRDefault="00410B5E" w:rsidP="0061149C">
      <w:pPr>
        <w:spacing w:before="100" w:beforeAutospacing="1" w:after="100" w:afterAutospacing="1" w:line="240" w:lineRule="auto"/>
        <w:rPr>
          <w:rFonts w:eastAsia="Times New Roman" w:cs="Times New Roman"/>
          <w:kern w:val="0"/>
          <w:szCs w:val="24"/>
        </w:rPr>
      </w:pPr>
      <w:r w:rsidRPr="00610639">
        <w:rPr>
          <w:rFonts w:eastAsia="Times New Roman" w:cs="Times New Roman"/>
          <w:kern w:val="0"/>
          <w:szCs w:val="24"/>
        </w:rPr>
        <w:t xml:space="preserve">Patton, M. Q. (2022). </w:t>
      </w:r>
      <w:r w:rsidRPr="00610639">
        <w:rPr>
          <w:rFonts w:eastAsiaTheme="majorEastAsia" w:cs="Times New Roman"/>
          <w:i/>
          <w:iCs/>
          <w:kern w:val="0"/>
          <w:szCs w:val="24"/>
        </w:rPr>
        <w:t>Qualitative research &amp; evaluation methods</w:t>
      </w:r>
      <w:r w:rsidRPr="00610639">
        <w:rPr>
          <w:rFonts w:eastAsia="Times New Roman" w:cs="Times New Roman"/>
          <w:kern w:val="0"/>
          <w:szCs w:val="24"/>
        </w:rPr>
        <w:t xml:space="preserve"> (5th ed.). Sage Publications.</w:t>
      </w:r>
    </w:p>
    <w:p w14:paraId="18F0FFF7" w14:textId="77777777" w:rsidR="00410B5E" w:rsidRPr="00610639" w:rsidRDefault="00410B5E" w:rsidP="0061149C">
      <w:pPr>
        <w:spacing w:before="100" w:beforeAutospacing="1" w:after="100" w:afterAutospacing="1" w:line="240" w:lineRule="auto"/>
        <w:rPr>
          <w:rFonts w:eastAsia="Times New Roman" w:cs="Times New Roman"/>
          <w:kern w:val="0"/>
          <w:szCs w:val="24"/>
        </w:rPr>
      </w:pPr>
      <w:r w:rsidRPr="00610639">
        <w:rPr>
          <w:rFonts w:eastAsia="Times New Roman" w:cs="Times New Roman"/>
          <w:kern w:val="0"/>
          <w:szCs w:val="24"/>
        </w:rPr>
        <w:t xml:space="preserve">Resnik, D. B. (2023). </w:t>
      </w:r>
      <w:r w:rsidRPr="00610639">
        <w:rPr>
          <w:rFonts w:eastAsiaTheme="majorEastAsia" w:cs="Times New Roman"/>
          <w:i/>
          <w:iCs/>
          <w:kern w:val="0"/>
          <w:szCs w:val="24"/>
        </w:rPr>
        <w:t>The ethics of research with human subjects: Protecting people, advancing science, promoting trust.</w:t>
      </w:r>
      <w:r w:rsidRPr="00610639">
        <w:rPr>
          <w:rFonts w:eastAsia="Times New Roman" w:cs="Times New Roman"/>
          <w:kern w:val="0"/>
          <w:szCs w:val="24"/>
        </w:rPr>
        <w:t xml:space="preserve"> Springer.</w:t>
      </w:r>
    </w:p>
    <w:p w14:paraId="70985F13" w14:textId="77777777" w:rsidR="00410B5E" w:rsidRPr="00610639" w:rsidRDefault="00410B5E" w:rsidP="0061149C">
      <w:pPr>
        <w:spacing w:before="100" w:beforeAutospacing="1" w:after="100" w:afterAutospacing="1" w:line="240" w:lineRule="auto"/>
        <w:rPr>
          <w:rFonts w:eastAsia="Times New Roman" w:cs="Times New Roman"/>
          <w:kern w:val="0"/>
          <w:szCs w:val="24"/>
        </w:rPr>
      </w:pPr>
      <w:r w:rsidRPr="00610639">
        <w:rPr>
          <w:rFonts w:eastAsia="Times New Roman" w:cs="Times New Roman"/>
          <w:kern w:val="0"/>
          <w:szCs w:val="24"/>
        </w:rPr>
        <w:t>Reuters. (2025). India considers financial aid for indebted power utilities. Retrieved from [Include URL]</w:t>
      </w:r>
    </w:p>
    <w:p w14:paraId="20844C86" w14:textId="77777777" w:rsidR="00410B5E" w:rsidRPr="00610639" w:rsidRDefault="00410B5E" w:rsidP="0061149C">
      <w:pPr>
        <w:spacing w:before="100" w:beforeAutospacing="1" w:after="100" w:afterAutospacing="1" w:line="240" w:lineRule="auto"/>
        <w:rPr>
          <w:rFonts w:eastAsia="Times New Roman" w:cs="Times New Roman"/>
          <w:kern w:val="0"/>
          <w:szCs w:val="24"/>
        </w:rPr>
      </w:pPr>
      <w:r w:rsidRPr="00610639">
        <w:rPr>
          <w:rFonts w:eastAsia="Times New Roman" w:cs="Times New Roman"/>
          <w:kern w:val="0"/>
          <w:szCs w:val="24"/>
        </w:rPr>
        <w:lastRenderedPageBreak/>
        <w:t xml:space="preserve">Saunders, M., Lewis, P., &amp; Thornhill, A. (2023). </w:t>
      </w:r>
      <w:r w:rsidRPr="00610639">
        <w:rPr>
          <w:rFonts w:eastAsiaTheme="majorEastAsia" w:cs="Times New Roman"/>
          <w:i/>
          <w:iCs/>
          <w:kern w:val="0"/>
          <w:szCs w:val="24"/>
        </w:rPr>
        <w:t>Research methods for business students</w:t>
      </w:r>
      <w:r w:rsidRPr="00610639">
        <w:rPr>
          <w:rFonts w:eastAsia="Times New Roman" w:cs="Times New Roman"/>
          <w:kern w:val="0"/>
          <w:szCs w:val="24"/>
        </w:rPr>
        <w:t xml:space="preserve"> (9th ed.). Pearson.</w:t>
      </w:r>
    </w:p>
    <w:p w14:paraId="0E786475" w14:textId="77777777" w:rsidR="00410B5E" w:rsidRPr="00610639" w:rsidRDefault="00410B5E" w:rsidP="0061149C">
      <w:pPr>
        <w:spacing w:before="100" w:beforeAutospacing="1" w:after="100" w:afterAutospacing="1" w:line="240" w:lineRule="auto"/>
        <w:rPr>
          <w:rFonts w:eastAsia="Times New Roman" w:cs="Times New Roman"/>
          <w:kern w:val="0"/>
          <w:szCs w:val="24"/>
        </w:rPr>
      </w:pPr>
      <w:proofErr w:type="spellStart"/>
      <w:r w:rsidRPr="00610639">
        <w:rPr>
          <w:rFonts w:eastAsia="Times New Roman" w:cs="Times New Roman"/>
          <w:kern w:val="0"/>
          <w:szCs w:val="24"/>
        </w:rPr>
        <w:t>Sovacool</w:t>
      </w:r>
      <w:proofErr w:type="spellEnd"/>
      <w:r w:rsidRPr="00610639">
        <w:rPr>
          <w:rFonts w:eastAsia="Times New Roman" w:cs="Times New Roman"/>
          <w:kern w:val="0"/>
          <w:szCs w:val="24"/>
        </w:rPr>
        <w:t xml:space="preserve">, B. K., et al. (2020). Stakeholder participation and energy justice. </w:t>
      </w:r>
      <w:r w:rsidRPr="00610639">
        <w:rPr>
          <w:rFonts w:eastAsiaTheme="majorEastAsia" w:cs="Times New Roman"/>
          <w:i/>
          <w:iCs/>
          <w:kern w:val="0"/>
          <w:szCs w:val="24"/>
        </w:rPr>
        <w:t>Energy Research &amp; Social Science, 69</w:t>
      </w:r>
      <w:r w:rsidRPr="00610639">
        <w:rPr>
          <w:rFonts w:eastAsia="Times New Roman" w:cs="Times New Roman"/>
          <w:kern w:val="0"/>
          <w:szCs w:val="24"/>
        </w:rPr>
        <w:t>, 101734. https://doi.org/10.1016/j.erss.2020.101734</w:t>
      </w:r>
    </w:p>
    <w:p w14:paraId="3BB2A3B0" w14:textId="77777777" w:rsidR="00410B5E" w:rsidRPr="00610639" w:rsidRDefault="00410B5E" w:rsidP="0061149C">
      <w:pPr>
        <w:spacing w:before="100" w:beforeAutospacing="1" w:after="100" w:afterAutospacing="1" w:line="240" w:lineRule="auto"/>
        <w:rPr>
          <w:rFonts w:eastAsia="Times New Roman" w:cs="Times New Roman"/>
          <w:kern w:val="0"/>
          <w:szCs w:val="24"/>
        </w:rPr>
      </w:pPr>
      <w:proofErr w:type="spellStart"/>
      <w:r w:rsidRPr="00610639">
        <w:rPr>
          <w:rFonts w:eastAsia="Times New Roman" w:cs="Times New Roman"/>
          <w:kern w:val="0"/>
          <w:szCs w:val="24"/>
        </w:rPr>
        <w:t>Ssekandi</w:t>
      </w:r>
      <w:proofErr w:type="spellEnd"/>
      <w:r w:rsidRPr="00610639">
        <w:rPr>
          <w:rFonts w:eastAsia="Times New Roman" w:cs="Times New Roman"/>
          <w:kern w:val="0"/>
          <w:szCs w:val="24"/>
        </w:rPr>
        <w:t xml:space="preserve">, J. (2022). Transparency and accountability in Uganda's energy sector: Challenges and opportunities. </w:t>
      </w:r>
      <w:r w:rsidRPr="00610639">
        <w:rPr>
          <w:rFonts w:eastAsia="Times New Roman" w:cs="Times New Roman"/>
          <w:i/>
          <w:iCs/>
          <w:kern w:val="0"/>
          <w:szCs w:val="24"/>
        </w:rPr>
        <w:t>Journal of Energy and Natural Resources Law, 40</w:t>
      </w:r>
      <w:r w:rsidRPr="00610639">
        <w:rPr>
          <w:rFonts w:eastAsia="Times New Roman" w:cs="Times New Roman"/>
          <w:kern w:val="0"/>
          <w:szCs w:val="24"/>
        </w:rPr>
        <w:t>(2), 151–166. https://doi.org/10.1080/02646811.2022.2083842</w:t>
      </w:r>
    </w:p>
    <w:p w14:paraId="4F3E5FD8" w14:textId="77777777" w:rsidR="00410B5E" w:rsidRPr="00610639" w:rsidRDefault="00410B5E" w:rsidP="0061149C">
      <w:pPr>
        <w:spacing w:before="100" w:beforeAutospacing="1" w:after="100" w:afterAutospacing="1" w:line="240" w:lineRule="auto"/>
        <w:rPr>
          <w:rFonts w:eastAsia="Times New Roman" w:cs="Times New Roman"/>
          <w:kern w:val="0"/>
          <w:szCs w:val="24"/>
        </w:rPr>
      </w:pPr>
      <w:proofErr w:type="spellStart"/>
      <w:r w:rsidRPr="00610639">
        <w:rPr>
          <w:rFonts w:eastAsia="Times New Roman" w:cs="Times New Roman"/>
          <w:kern w:val="0"/>
          <w:szCs w:val="24"/>
        </w:rPr>
        <w:t>Taherdoost</w:t>
      </w:r>
      <w:proofErr w:type="spellEnd"/>
      <w:r w:rsidRPr="00610639">
        <w:rPr>
          <w:rFonts w:eastAsia="Times New Roman" w:cs="Times New Roman"/>
          <w:kern w:val="0"/>
          <w:szCs w:val="24"/>
        </w:rPr>
        <w:t xml:space="preserve">, H. (2021). </w:t>
      </w:r>
      <w:r w:rsidRPr="00610639">
        <w:rPr>
          <w:rFonts w:eastAsiaTheme="majorEastAsia" w:cs="Times New Roman"/>
          <w:i/>
          <w:iCs/>
          <w:kern w:val="0"/>
          <w:szCs w:val="24"/>
        </w:rPr>
        <w:t>Sampling methods in research methodology; how to choose a sampling technique for research</w:t>
      </w:r>
      <w:r w:rsidRPr="00610639">
        <w:rPr>
          <w:rFonts w:eastAsia="Times New Roman" w:cs="Times New Roman"/>
          <w:kern w:val="0"/>
          <w:szCs w:val="24"/>
        </w:rPr>
        <w:t>. International Journal of Academic Research in Management, 5(2), 18–27.</w:t>
      </w:r>
    </w:p>
    <w:p w14:paraId="26EFB132" w14:textId="77777777" w:rsidR="00410B5E" w:rsidRPr="00610639" w:rsidRDefault="00410B5E" w:rsidP="0061149C">
      <w:pPr>
        <w:spacing w:before="100" w:beforeAutospacing="1" w:after="100" w:afterAutospacing="1" w:line="240" w:lineRule="auto"/>
        <w:rPr>
          <w:rFonts w:eastAsia="Times New Roman" w:cs="Times New Roman"/>
          <w:kern w:val="0"/>
          <w:szCs w:val="24"/>
        </w:rPr>
      </w:pPr>
      <w:r w:rsidRPr="00610639">
        <w:rPr>
          <w:rFonts w:eastAsia="Times New Roman" w:cs="Times New Roman"/>
          <w:kern w:val="0"/>
          <w:szCs w:val="24"/>
        </w:rPr>
        <w:t xml:space="preserve">Tumwine, F. (2022). Political influences on stakeholder engagement in Uganda's energy sector. </w:t>
      </w:r>
      <w:r w:rsidRPr="00610639">
        <w:rPr>
          <w:rFonts w:eastAsiaTheme="majorEastAsia" w:cs="Times New Roman"/>
          <w:i/>
          <w:iCs/>
          <w:kern w:val="0"/>
          <w:szCs w:val="24"/>
        </w:rPr>
        <w:t>Energy Policy, 165</w:t>
      </w:r>
      <w:r w:rsidRPr="00610639">
        <w:rPr>
          <w:rFonts w:eastAsia="Times New Roman" w:cs="Times New Roman"/>
          <w:kern w:val="0"/>
          <w:szCs w:val="24"/>
        </w:rPr>
        <w:t xml:space="preserve">, 112893. </w:t>
      </w:r>
      <w:hyperlink r:id="rId18" w:tgtFrame="_new" w:history="1">
        <w:r w:rsidRPr="00610639">
          <w:rPr>
            <w:rFonts w:eastAsiaTheme="majorEastAsia" w:cs="Times New Roman"/>
            <w:color w:val="0000FF"/>
            <w:kern w:val="0"/>
            <w:szCs w:val="24"/>
            <w:u w:val="single"/>
          </w:rPr>
          <w:t>https://doi.org/10.1016/j.enpol.2022.112893</w:t>
        </w:r>
      </w:hyperlink>
    </w:p>
    <w:p w14:paraId="546D88D4" w14:textId="77777777" w:rsidR="00410B5E" w:rsidRPr="00610639" w:rsidRDefault="00410B5E" w:rsidP="0061149C">
      <w:pPr>
        <w:spacing w:before="100" w:beforeAutospacing="1" w:after="100" w:afterAutospacing="1" w:line="240" w:lineRule="auto"/>
        <w:rPr>
          <w:rFonts w:eastAsia="Times New Roman" w:cs="Times New Roman"/>
          <w:kern w:val="0"/>
          <w:szCs w:val="24"/>
        </w:rPr>
      </w:pPr>
      <w:r w:rsidRPr="00610639">
        <w:rPr>
          <w:rFonts w:eastAsia="Times New Roman" w:cs="Times New Roman"/>
          <w:kern w:val="0"/>
          <w:szCs w:val="24"/>
        </w:rPr>
        <w:t xml:space="preserve">Uganda Bureau of Statistics. (2024). </w:t>
      </w:r>
      <w:r w:rsidRPr="00610639">
        <w:rPr>
          <w:rFonts w:eastAsiaTheme="majorEastAsia" w:cs="Times New Roman"/>
          <w:i/>
          <w:iCs/>
          <w:kern w:val="0"/>
          <w:szCs w:val="24"/>
        </w:rPr>
        <w:t>Workforce participation in public utilities: Trends and statistics</w:t>
      </w:r>
      <w:r w:rsidRPr="00610639">
        <w:rPr>
          <w:rFonts w:eastAsia="Times New Roman" w:cs="Times New Roman"/>
          <w:kern w:val="0"/>
          <w:szCs w:val="24"/>
        </w:rPr>
        <w:t>.</w:t>
      </w:r>
    </w:p>
    <w:p w14:paraId="092719AA" w14:textId="77777777" w:rsidR="00410B5E" w:rsidRPr="00610639" w:rsidRDefault="00410B5E" w:rsidP="0061149C">
      <w:pPr>
        <w:spacing w:before="100" w:beforeAutospacing="1" w:after="100" w:afterAutospacing="1" w:line="240" w:lineRule="auto"/>
        <w:rPr>
          <w:rFonts w:eastAsia="Times New Roman" w:cs="Times New Roman"/>
          <w:kern w:val="0"/>
          <w:szCs w:val="24"/>
        </w:rPr>
      </w:pPr>
      <w:r w:rsidRPr="00610639">
        <w:rPr>
          <w:rFonts w:eastAsia="Times New Roman" w:cs="Times New Roman"/>
          <w:kern w:val="0"/>
          <w:szCs w:val="24"/>
        </w:rPr>
        <w:t xml:space="preserve">United Nations Development </w:t>
      </w:r>
      <w:proofErr w:type="spellStart"/>
      <w:r w:rsidRPr="00610639">
        <w:rPr>
          <w:rFonts w:eastAsia="Times New Roman" w:cs="Times New Roman"/>
          <w:kern w:val="0"/>
          <w:szCs w:val="24"/>
        </w:rPr>
        <w:t>Programme</w:t>
      </w:r>
      <w:proofErr w:type="spellEnd"/>
      <w:r w:rsidRPr="00610639">
        <w:rPr>
          <w:rFonts w:eastAsia="Times New Roman" w:cs="Times New Roman"/>
          <w:kern w:val="0"/>
          <w:szCs w:val="24"/>
        </w:rPr>
        <w:t xml:space="preserve">. (2020). </w:t>
      </w:r>
      <w:r w:rsidRPr="00610639">
        <w:rPr>
          <w:rFonts w:eastAsia="Times New Roman" w:cs="Times New Roman"/>
          <w:i/>
          <w:iCs/>
          <w:kern w:val="0"/>
          <w:szCs w:val="24"/>
        </w:rPr>
        <w:t>Sustainable Energy for All 2020</w:t>
      </w:r>
      <w:r w:rsidRPr="00610639">
        <w:rPr>
          <w:rFonts w:eastAsia="Times New Roman" w:cs="Times New Roman"/>
          <w:kern w:val="0"/>
          <w:szCs w:val="24"/>
        </w:rPr>
        <w:t>. https://www.undp.org/publications/sustainable-energy-all-2020</w:t>
      </w:r>
    </w:p>
    <w:p w14:paraId="3C1050C5" w14:textId="77777777" w:rsidR="00410B5E" w:rsidRPr="00610639" w:rsidRDefault="00410B5E" w:rsidP="0061149C">
      <w:pPr>
        <w:spacing w:before="100" w:beforeAutospacing="1" w:after="100" w:afterAutospacing="1" w:line="240" w:lineRule="auto"/>
        <w:rPr>
          <w:rFonts w:eastAsia="Times New Roman" w:cs="Times New Roman"/>
          <w:kern w:val="0"/>
          <w:szCs w:val="24"/>
        </w:rPr>
      </w:pPr>
      <w:r w:rsidRPr="00610639">
        <w:rPr>
          <w:rFonts w:eastAsia="Times New Roman" w:cs="Times New Roman"/>
          <w:kern w:val="0"/>
          <w:szCs w:val="24"/>
        </w:rPr>
        <w:t xml:space="preserve">Wandera, P. (2023). </w:t>
      </w:r>
      <w:r w:rsidRPr="00610639">
        <w:rPr>
          <w:rFonts w:eastAsia="Times New Roman" w:cs="Times New Roman"/>
          <w:i/>
          <w:iCs/>
          <w:kern w:val="0"/>
          <w:szCs w:val="24"/>
        </w:rPr>
        <w:t>Stakeholder communication in energy sectors: Challenges and best practices</w:t>
      </w:r>
      <w:r w:rsidRPr="00610639">
        <w:rPr>
          <w:rFonts w:eastAsia="Times New Roman" w:cs="Times New Roman"/>
          <w:kern w:val="0"/>
          <w:szCs w:val="24"/>
        </w:rPr>
        <w:t>.</w:t>
      </w:r>
    </w:p>
    <w:p w14:paraId="58F77061" w14:textId="77777777" w:rsidR="00410B5E" w:rsidRPr="00610639" w:rsidRDefault="00410B5E" w:rsidP="0061149C">
      <w:pPr>
        <w:spacing w:before="100" w:beforeAutospacing="1" w:after="100" w:afterAutospacing="1" w:line="240" w:lineRule="auto"/>
        <w:rPr>
          <w:rFonts w:eastAsia="Times New Roman" w:cs="Times New Roman"/>
          <w:kern w:val="0"/>
          <w:szCs w:val="24"/>
        </w:rPr>
      </w:pPr>
      <w:r w:rsidRPr="00610639">
        <w:rPr>
          <w:rFonts w:eastAsia="Times New Roman" w:cs="Times New Roman"/>
          <w:kern w:val="0"/>
          <w:szCs w:val="24"/>
        </w:rPr>
        <w:t xml:space="preserve">World Bank. (2020). </w:t>
      </w:r>
      <w:r w:rsidRPr="00610639">
        <w:rPr>
          <w:rFonts w:eastAsiaTheme="majorEastAsia" w:cs="Times New Roman"/>
          <w:i/>
          <w:iCs/>
          <w:kern w:val="0"/>
          <w:szCs w:val="24"/>
        </w:rPr>
        <w:t>Getting to gender equality in energy infrastructure: Challenges and opportunities</w:t>
      </w:r>
      <w:r w:rsidRPr="00610639">
        <w:rPr>
          <w:rFonts w:eastAsia="Times New Roman" w:cs="Times New Roman"/>
          <w:kern w:val="0"/>
          <w:szCs w:val="24"/>
        </w:rPr>
        <w:t>.</w:t>
      </w:r>
    </w:p>
    <w:p w14:paraId="279F18C6" w14:textId="77777777" w:rsidR="00410B5E" w:rsidRPr="00610639" w:rsidRDefault="00410B5E" w:rsidP="0061149C">
      <w:pPr>
        <w:spacing w:before="100" w:beforeAutospacing="1" w:after="100" w:afterAutospacing="1" w:line="240" w:lineRule="auto"/>
        <w:rPr>
          <w:rFonts w:eastAsia="Times New Roman" w:cs="Times New Roman"/>
          <w:kern w:val="0"/>
          <w:szCs w:val="24"/>
        </w:rPr>
      </w:pPr>
      <w:r w:rsidRPr="00610639">
        <w:rPr>
          <w:rFonts w:eastAsia="Times New Roman" w:cs="Times New Roman"/>
          <w:kern w:val="0"/>
          <w:szCs w:val="24"/>
        </w:rPr>
        <w:t xml:space="preserve">World Bank. (2023). </w:t>
      </w:r>
      <w:r w:rsidRPr="00610639">
        <w:rPr>
          <w:rFonts w:eastAsiaTheme="majorEastAsia" w:cs="Times New Roman"/>
          <w:i/>
          <w:iCs/>
          <w:kern w:val="0"/>
          <w:szCs w:val="24"/>
        </w:rPr>
        <w:t>Developing nations’ energy sector workforce: Trends, challenges, and policy recommendations</w:t>
      </w:r>
      <w:r w:rsidRPr="00610639">
        <w:rPr>
          <w:rFonts w:eastAsia="Times New Roman" w:cs="Times New Roman"/>
          <w:kern w:val="0"/>
          <w:szCs w:val="24"/>
        </w:rPr>
        <w:t>.</w:t>
      </w:r>
    </w:p>
    <w:p w14:paraId="1D862E1C" w14:textId="77777777" w:rsidR="00410B5E" w:rsidRPr="00610639" w:rsidRDefault="00410B5E" w:rsidP="0061149C">
      <w:pPr>
        <w:spacing w:before="100" w:beforeAutospacing="1" w:after="100" w:afterAutospacing="1" w:line="240" w:lineRule="auto"/>
        <w:rPr>
          <w:rFonts w:eastAsia="Times New Roman" w:cs="Times New Roman"/>
          <w:kern w:val="0"/>
          <w:szCs w:val="24"/>
        </w:rPr>
      </w:pPr>
      <w:r w:rsidRPr="00610639">
        <w:rPr>
          <w:rFonts w:eastAsia="Times New Roman" w:cs="Times New Roman"/>
          <w:kern w:val="0"/>
          <w:szCs w:val="24"/>
        </w:rPr>
        <w:t xml:space="preserve">Yasir, M. (2016). </w:t>
      </w:r>
      <w:r w:rsidRPr="00610639">
        <w:rPr>
          <w:rFonts w:eastAsia="Times New Roman" w:cs="Times New Roman"/>
          <w:i/>
          <w:iCs/>
          <w:kern w:val="0"/>
          <w:szCs w:val="24"/>
        </w:rPr>
        <w:t>Understanding research instrument validity: A methodological perspective</w:t>
      </w:r>
      <w:r w:rsidRPr="00610639">
        <w:rPr>
          <w:rFonts w:eastAsia="Times New Roman" w:cs="Times New Roman"/>
          <w:kern w:val="0"/>
          <w:szCs w:val="24"/>
        </w:rPr>
        <w:t>. International Journal of Social Sciences, 14(1), 78–92.</w:t>
      </w:r>
    </w:p>
    <w:p w14:paraId="6DB181EC" w14:textId="77777777" w:rsidR="00505AB4" w:rsidRPr="00610639" w:rsidRDefault="00505AB4" w:rsidP="0061149C">
      <w:pPr>
        <w:autoSpaceDE w:val="0"/>
        <w:autoSpaceDN w:val="0"/>
        <w:adjustRightInd w:val="0"/>
        <w:spacing w:after="0" w:line="240" w:lineRule="auto"/>
        <w:rPr>
          <w:rFonts w:cs="Times New Roman"/>
          <w:b/>
          <w:bCs/>
          <w:szCs w:val="24"/>
        </w:rPr>
      </w:pPr>
    </w:p>
    <w:sectPr w:rsidR="00505AB4" w:rsidRPr="00610639">
      <w:headerReference w:type="even" r:id="rId19"/>
      <w:headerReference w:type="default" r:id="rId20"/>
      <w:footerReference w:type="default" r:id="rId21"/>
      <w:headerReference w:type="first" r:id="rId2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87FBB" w14:textId="77777777" w:rsidR="00582BDA" w:rsidRDefault="00582BDA" w:rsidP="001658D4">
      <w:pPr>
        <w:spacing w:after="0" w:line="240" w:lineRule="auto"/>
      </w:pPr>
      <w:r>
        <w:separator/>
      </w:r>
    </w:p>
  </w:endnote>
  <w:endnote w:type="continuationSeparator" w:id="0">
    <w:p w14:paraId="3A67B0EF" w14:textId="77777777" w:rsidR="00582BDA" w:rsidRDefault="00582BDA" w:rsidP="00165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9968416"/>
      <w:docPartObj>
        <w:docPartGallery w:val="Page Numbers (Bottom of Page)"/>
        <w:docPartUnique/>
      </w:docPartObj>
    </w:sdtPr>
    <w:sdtEndPr>
      <w:rPr>
        <w:noProof/>
      </w:rPr>
    </w:sdtEndPr>
    <w:sdtContent>
      <w:p w14:paraId="64792463" w14:textId="2C934658" w:rsidR="00EE60A7" w:rsidRDefault="00EE60A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047708" w14:textId="77777777" w:rsidR="001658D4" w:rsidRDefault="001658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41C58" w14:textId="77777777" w:rsidR="00582BDA" w:rsidRDefault="00582BDA" w:rsidP="001658D4">
      <w:pPr>
        <w:spacing w:after="0" w:line="240" w:lineRule="auto"/>
      </w:pPr>
      <w:r>
        <w:separator/>
      </w:r>
    </w:p>
  </w:footnote>
  <w:footnote w:type="continuationSeparator" w:id="0">
    <w:p w14:paraId="05BA8D33" w14:textId="77777777" w:rsidR="00582BDA" w:rsidRDefault="00582BDA" w:rsidP="001658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7C3B1" w14:textId="2640561D" w:rsidR="001658D4" w:rsidRDefault="00000000">
    <w:pPr>
      <w:pStyle w:val="Header"/>
    </w:pPr>
    <w:r>
      <w:rPr>
        <w:noProof/>
      </w:rPr>
      <w:pict w14:anchorId="7758D7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36BCD" w14:textId="14A40547" w:rsidR="001658D4" w:rsidRDefault="00000000">
    <w:pPr>
      <w:pStyle w:val="Header"/>
    </w:pPr>
    <w:r>
      <w:rPr>
        <w:noProof/>
      </w:rPr>
      <w:pict w14:anchorId="5A589D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0E1D2" w14:textId="23A172BA" w:rsidR="001658D4" w:rsidRDefault="00000000">
    <w:pPr>
      <w:pStyle w:val="Header"/>
    </w:pPr>
    <w:r>
      <w:rPr>
        <w:noProof/>
      </w:rPr>
      <w:pict w14:anchorId="3A6A85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DD401B"/>
    <w:multiLevelType w:val="multilevel"/>
    <w:tmpl w:val="0B24C5BE"/>
    <w:lvl w:ilvl="0">
      <w:start w:val="1"/>
      <w:numFmt w:val="lowerRoman"/>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8E80F69"/>
    <w:multiLevelType w:val="multilevel"/>
    <w:tmpl w:val="AE6E6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8A1F11"/>
    <w:multiLevelType w:val="multilevel"/>
    <w:tmpl w:val="20DE4C88"/>
    <w:lvl w:ilvl="0">
      <w:start w:val="1"/>
      <w:numFmt w:val="lowerRoman"/>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EA17E3A"/>
    <w:multiLevelType w:val="hybridMultilevel"/>
    <w:tmpl w:val="D6A8A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5442738">
    <w:abstractNumId w:val="3"/>
  </w:num>
  <w:num w:numId="2" w16cid:durableId="664478278">
    <w:abstractNumId w:val="1"/>
  </w:num>
  <w:num w:numId="3" w16cid:durableId="2097704801">
    <w:abstractNumId w:val="2"/>
  </w:num>
  <w:num w:numId="4" w16cid:durableId="2000380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DCE"/>
    <w:rsid w:val="00016506"/>
    <w:rsid w:val="00052579"/>
    <w:rsid w:val="00057EF6"/>
    <w:rsid w:val="000906ED"/>
    <w:rsid w:val="000D5E11"/>
    <w:rsid w:val="000E5493"/>
    <w:rsid w:val="00112010"/>
    <w:rsid w:val="0011557F"/>
    <w:rsid w:val="00144FD4"/>
    <w:rsid w:val="001658D4"/>
    <w:rsid w:val="00170DAE"/>
    <w:rsid w:val="001B72EF"/>
    <w:rsid w:val="001E5335"/>
    <w:rsid w:val="002176B0"/>
    <w:rsid w:val="00231147"/>
    <w:rsid w:val="002A405D"/>
    <w:rsid w:val="003629AB"/>
    <w:rsid w:val="003E7518"/>
    <w:rsid w:val="00410B5E"/>
    <w:rsid w:val="00420A96"/>
    <w:rsid w:val="00421AA6"/>
    <w:rsid w:val="004D1292"/>
    <w:rsid w:val="00505AB4"/>
    <w:rsid w:val="00507EDC"/>
    <w:rsid w:val="00582BDA"/>
    <w:rsid w:val="005F1EFC"/>
    <w:rsid w:val="00610639"/>
    <w:rsid w:val="0061149C"/>
    <w:rsid w:val="00625C09"/>
    <w:rsid w:val="00627C0C"/>
    <w:rsid w:val="00637CDD"/>
    <w:rsid w:val="006518EF"/>
    <w:rsid w:val="006555D0"/>
    <w:rsid w:val="00687193"/>
    <w:rsid w:val="006B01E3"/>
    <w:rsid w:val="006F3AB5"/>
    <w:rsid w:val="0075692E"/>
    <w:rsid w:val="007619E4"/>
    <w:rsid w:val="00807CC4"/>
    <w:rsid w:val="008346B2"/>
    <w:rsid w:val="00893389"/>
    <w:rsid w:val="008A0842"/>
    <w:rsid w:val="009E5653"/>
    <w:rsid w:val="009E5FF7"/>
    <w:rsid w:val="00A21572"/>
    <w:rsid w:val="00A95DDC"/>
    <w:rsid w:val="00A961E3"/>
    <w:rsid w:val="00AE5259"/>
    <w:rsid w:val="00B12DE7"/>
    <w:rsid w:val="00B16D27"/>
    <w:rsid w:val="00B26FD0"/>
    <w:rsid w:val="00B52120"/>
    <w:rsid w:val="00B60714"/>
    <w:rsid w:val="00B854FC"/>
    <w:rsid w:val="00BC004C"/>
    <w:rsid w:val="00BE5AD6"/>
    <w:rsid w:val="00C3189B"/>
    <w:rsid w:val="00C52CF0"/>
    <w:rsid w:val="00C846C2"/>
    <w:rsid w:val="00CB6B2C"/>
    <w:rsid w:val="00D11BCB"/>
    <w:rsid w:val="00D30AC3"/>
    <w:rsid w:val="00D53E68"/>
    <w:rsid w:val="00E05E58"/>
    <w:rsid w:val="00E10DCE"/>
    <w:rsid w:val="00E657D7"/>
    <w:rsid w:val="00E70933"/>
    <w:rsid w:val="00E83171"/>
    <w:rsid w:val="00E97895"/>
    <w:rsid w:val="00EE60A7"/>
    <w:rsid w:val="00EF69D2"/>
    <w:rsid w:val="00F34AFD"/>
    <w:rsid w:val="00FE154F"/>
    <w:rsid w:val="00FE6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E407B"/>
  <w15:chartTrackingRefBased/>
  <w15:docId w15:val="{47994B19-339C-4A47-8658-101BA11CA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DCE"/>
    <w:pPr>
      <w:spacing w:line="259" w:lineRule="auto"/>
    </w:pPr>
    <w:rPr>
      <w:rFonts w:ascii="Times New Roman" w:hAnsi="Times New Roman"/>
      <w:szCs w:val="22"/>
      <w14:ligatures w14:val="none"/>
    </w:rPr>
  </w:style>
  <w:style w:type="paragraph" w:styleId="Heading1">
    <w:name w:val="heading 1"/>
    <w:basedOn w:val="Normal"/>
    <w:next w:val="Normal"/>
    <w:link w:val="Heading1Char"/>
    <w:uiPriority w:val="9"/>
    <w:qFormat/>
    <w:rsid w:val="00E10DC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10DC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10DC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10DC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10DC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10D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0D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0D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0D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0DC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10DC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10DC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10DC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10DC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10D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0D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0D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0DCE"/>
    <w:rPr>
      <w:rFonts w:eastAsiaTheme="majorEastAsia" w:cstheme="majorBidi"/>
      <w:color w:val="272727" w:themeColor="text1" w:themeTint="D8"/>
    </w:rPr>
  </w:style>
  <w:style w:type="paragraph" w:styleId="Title">
    <w:name w:val="Title"/>
    <w:basedOn w:val="Normal"/>
    <w:next w:val="Normal"/>
    <w:link w:val="TitleChar"/>
    <w:uiPriority w:val="10"/>
    <w:qFormat/>
    <w:rsid w:val="00E10D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0D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0D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0D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0DCE"/>
    <w:pPr>
      <w:spacing w:before="160"/>
      <w:jc w:val="center"/>
    </w:pPr>
    <w:rPr>
      <w:i/>
      <w:iCs/>
      <w:color w:val="404040" w:themeColor="text1" w:themeTint="BF"/>
    </w:rPr>
  </w:style>
  <w:style w:type="character" w:customStyle="1" w:styleId="QuoteChar">
    <w:name w:val="Quote Char"/>
    <w:basedOn w:val="DefaultParagraphFont"/>
    <w:link w:val="Quote"/>
    <w:uiPriority w:val="29"/>
    <w:rsid w:val="00E10DCE"/>
    <w:rPr>
      <w:i/>
      <w:iCs/>
      <w:color w:val="404040" w:themeColor="text1" w:themeTint="BF"/>
    </w:rPr>
  </w:style>
  <w:style w:type="paragraph" w:styleId="ListParagraph">
    <w:name w:val="List Paragraph"/>
    <w:basedOn w:val="Normal"/>
    <w:uiPriority w:val="34"/>
    <w:qFormat/>
    <w:rsid w:val="00E10DCE"/>
    <w:pPr>
      <w:ind w:left="720"/>
      <w:contextualSpacing/>
    </w:pPr>
  </w:style>
  <w:style w:type="character" w:styleId="IntenseEmphasis">
    <w:name w:val="Intense Emphasis"/>
    <w:basedOn w:val="DefaultParagraphFont"/>
    <w:uiPriority w:val="21"/>
    <w:qFormat/>
    <w:rsid w:val="00E10DCE"/>
    <w:rPr>
      <w:i/>
      <w:iCs/>
      <w:color w:val="2F5496" w:themeColor="accent1" w:themeShade="BF"/>
    </w:rPr>
  </w:style>
  <w:style w:type="paragraph" w:styleId="IntenseQuote">
    <w:name w:val="Intense Quote"/>
    <w:basedOn w:val="Normal"/>
    <w:next w:val="Normal"/>
    <w:link w:val="IntenseQuoteChar"/>
    <w:uiPriority w:val="30"/>
    <w:qFormat/>
    <w:rsid w:val="00E10D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10DCE"/>
    <w:rPr>
      <w:i/>
      <w:iCs/>
      <w:color w:val="2F5496" w:themeColor="accent1" w:themeShade="BF"/>
    </w:rPr>
  </w:style>
  <w:style w:type="character" w:styleId="IntenseReference">
    <w:name w:val="Intense Reference"/>
    <w:basedOn w:val="DefaultParagraphFont"/>
    <w:uiPriority w:val="32"/>
    <w:qFormat/>
    <w:rsid w:val="00E10DCE"/>
    <w:rPr>
      <w:b/>
      <w:bCs/>
      <w:smallCaps/>
      <w:color w:val="2F5496" w:themeColor="accent1" w:themeShade="BF"/>
      <w:spacing w:val="5"/>
    </w:rPr>
  </w:style>
  <w:style w:type="paragraph" w:styleId="NormalWeb">
    <w:name w:val="Normal (Web)"/>
    <w:basedOn w:val="Normal"/>
    <w:uiPriority w:val="99"/>
    <w:unhideWhenUsed/>
    <w:rsid w:val="00893389"/>
    <w:pPr>
      <w:spacing w:before="100" w:beforeAutospacing="1" w:after="100" w:afterAutospacing="1" w:line="240" w:lineRule="auto"/>
    </w:pPr>
    <w:rPr>
      <w:rFonts w:eastAsia="Times New Roman" w:cs="Times New Roman"/>
      <w:kern w:val="0"/>
      <w:szCs w:val="24"/>
    </w:rPr>
  </w:style>
  <w:style w:type="table" w:styleId="TableGrid">
    <w:name w:val="Table Grid"/>
    <w:basedOn w:val="TableNormal"/>
    <w:uiPriority w:val="39"/>
    <w:rsid w:val="004D1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97895"/>
    <w:rPr>
      <w:b/>
      <w:bCs/>
    </w:rPr>
  </w:style>
  <w:style w:type="character" w:customStyle="1" w:styleId="katex-mathml">
    <w:name w:val="katex-mathml"/>
    <w:basedOn w:val="DefaultParagraphFont"/>
    <w:rsid w:val="0011557F"/>
  </w:style>
  <w:style w:type="character" w:customStyle="1" w:styleId="mord">
    <w:name w:val="mord"/>
    <w:basedOn w:val="DefaultParagraphFont"/>
    <w:rsid w:val="0011557F"/>
  </w:style>
  <w:style w:type="character" w:customStyle="1" w:styleId="mrel">
    <w:name w:val="mrel"/>
    <w:basedOn w:val="DefaultParagraphFont"/>
    <w:rsid w:val="0011557F"/>
  </w:style>
  <w:style w:type="character" w:customStyle="1" w:styleId="mopen">
    <w:name w:val="mopen"/>
    <w:basedOn w:val="DefaultParagraphFont"/>
    <w:rsid w:val="0011557F"/>
  </w:style>
  <w:style w:type="character" w:customStyle="1" w:styleId="mbin">
    <w:name w:val="mbin"/>
    <w:basedOn w:val="DefaultParagraphFont"/>
    <w:rsid w:val="0011557F"/>
  </w:style>
  <w:style w:type="character" w:customStyle="1" w:styleId="mclose">
    <w:name w:val="mclose"/>
    <w:basedOn w:val="DefaultParagraphFont"/>
    <w:rsid w:val="0011557F"/>
  </w:style>
  <w:style w:type="character" w:customStyle="1" w:styleId="vlist-s">
    <w:name w:val="vlist-s"/>
    <w:basedOn w:val="DefaultParagraphFont"/>
    <w:rsid w:val="0011557F"/>
  </w:style>
  <w:style w:type="table" w:customStyle="1" w:styleId="TableGrid1">
    <w:name w:val="Table Grid1"/>
    <w:basedOn w:val="TableNormal"/>
    <w:next w:val="TableGrid"/>
    <w:uiPriority w:val="59"/>
    <w:rsid w:val="000906ED"/>
    <w:pPr>
      <w:spacing w:after="0" w:line="240" w:lineRule="auto"/>
    </w:pPr>
    <w:rPr>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518EF"/>
    <w:rPr>
      <w:color w:val="0563C1" w:themeColor="hyperlink"/>
      <w:u w:val="single"/>
    </w:rPr>
  </w:style>
  <w:style w:type="character" w:styleId="UnresolvedMention">
    <w:name w:val="Unresolved Mention"/>
    <w:basedOn w:val="DefaultParagraphFont"/>
    <w:uiPriority w:val="99"/>
    <w:semiHidden/>
    <w:unhideWhenUsed/>
    <w:rsid w:val="006518EF"/>
    <w:rPr>
      <w:color w:val="605E5C"/>
      <w:shd w:val="clear" w:color="auto" w:fill="E1DFDD"/>
    </w:rPr>
  </w:style>
  <w:style w:type="paragraph" w:styleId="Header">
    <w:name w:val="header"/>
    <w:basedOn w:val="Normal"/>
    <w:link w:val="HeaderChar"/>
    <w:uiPriority w:val="99"/>
    <w:unhideWhenUsed/>
    <w:rsid w:val="001658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58D4"/>
    <w:rPr>
      <w:rFonts w:ascii="Times New Roman" w:hAnsi="Times New Roman"/>
      <w:szCs w:val="22"/>
      <w14:ligatures w14:val="none"/>
    </w:rPr>
  </w:style>
  <w:style w:type="paragraph" w:styleId="Footer">
    <w:name w:val="footer"/>
    <w:basedOn w:val="Normal"/>
    <w:link w:val="FooterChar"/>
    <w:uiPriority w:val="99"/>
    <w:unhideWhenUsed/>
    <w:rsid w:val="001658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8D4"/>
    <w:rPr>
      <w:rFonts w:ascii="Times New Roman" w:hAnsi="Times New Roman"/>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480746">
      <w:bodyDiv w:val="1"/>
      <w:marLeft w:val="0"/>
      <w:marRight w:val="0"/>
      <w:marTop w:val="0"/>
      <w:marBottom w:val="0"/>
      <w:divBdr>
        <w:top w:val="none" w:sz="0" w:space="0" w:color="auto"/>
        <w:left w:val="none" w:sz="0" w:space="0" w:color="auto"/>
        <w:bottom w:val="none" w:sz="0" w:space="0" w:color="auto"/>
        <w:right w:val="none" w:sz="0" w:space="0" w:color="auto"/>
      </w:divBdr>
    </w:div>
    <w:div w:id="335570879">
      <w:bodyDiv w:val="1"/>
      <w:marLeft w:val="0"/>
      <w:marRight w:val="0"/>
      <w:marTop w:val="0"/>
      <w:marBottom w:val="0"/>
      <w:divBdr>
        <w:top w:val="none" w:sz="0" w:space="0" w:color="auto"/>
        <w:left w:val="none" w:sz="0" w:space="0" w:color="auto"/>
        <w:bottom w:val="none" w:sz="0" w:space="0" w:color="auto"/>
        <w:right w:val="none" w:sz="0" w:space="0" w:color="auto"/>
      </w:divBdr>
      <w:divsChild>
        <w:div w:id="1248882167">
          <w:marLeft w:val="0"/>
          <w:marRight w:val="0"/>
          <w:marTop w:val="0"/>
          <w:marBottom w:val="0"/>
          <w:divBdr>
            <w:top w:val="none" w:sz="0" w:space="0" w:color="auto"/>
            <w:left w:val="none" w:sz="0" w:space="0" w:color="auto"/>
            <w:bottom w:val="none" w:sz="0" w:space="0" w:color="auto"/>
            <w:right w:val="none" w:sz="0" w:space="0" w:color="auto"/>
          </w:divBdr>
          <w:divsChild>
            <w:div w:id="282812078">
              <w:marLeft w:val="0"/>
              <w:marRight w:val="0"/>
              <w:marTop w:val="0"/>
              <w:marBottom w:val="240"/>
              <w:divBdr>
                <w:top w:val="none" w:sz="0" w:space="0" w:color="auto"/>
                <w:left w:val="none" w:sz="0" w:space="0" w:color="auto"/>
                <w:bottom w:val="none" w:sz="0" w:space="0" w:color="auto"/>
                <w:right w:val="none" w:sz="0" w:space="0" w:color="auto"/>
              </w:divBdr>
            </w:div>
          </w:divsChild>
        </w:div>
        <w:div w:id="1258905844">
          <w:marLeft w:val="0"/>
          <w:marRight w:val="0"/>
          <w:marTop w:val="0"/>
          <w:marBottom w:val="0"/>
          <w:divBdr>
            <w:top w:val="none" w:sz="0" w:space="0" w:color="auto"/>
            <w:left w:val="none" w:sz="0" w:space="0" w:color="auto"/>
            <w:bottom w:val="none" w:sz="0" w:space="0" w:color="auto"/>
            <w:right w:val="none" w:sz="0" w:space="0" w:color="auto"/>
          </w:divBdr>
          <w:divsChild>
            <w:div w:id="891581250">
              <w:marLeft w:val="0"/>
              <w:marRight w:val="0"/>
              <w:marTop w:val="0"/>
              <w:marBottom w:val="240"/>
              <w:divBdr>
                <w:top w:val="none" w:sz="0" w:space="0" w:color="auto"/>
                <w:left w:val="none" w:sz="0" w:space="0" w:color="auto"/>
                <w:bottom w:val="none" w:sz="0" w:space="0" w:color="auto"/>
                <w:right w:val="none" w:sz="0" w:space="0" w:color="auto"/>
              </w:divBdr>
            </w:div>
          </w:divsChild>
        </w:div>
        <w:div w:id="1058170211">
          <w:marLeft w:val="0"/>
          <w:marRight w:val="0"/>
          <w:marTop w:val="0"/>
          <w:marBottom w:val="0"/>
          <w:divBdr>
            <w:top w:val="none" w:sz="0" w:space="0" w:color="auto"/>
            <w:left w:val="none" w:sz="0" w:space="0" w:color="auto"/>
            <w:bottom w:val="none" w:sz="0" w:space="0" w:color="auto"/>
            <w:right w:val="none" w:sz="0" w:space="0" w:color="auto"/>
          </w:divBdr>
          <w:divsChild>
            <w:div w:id="170028195">
              <w:marLeft w:val="0"/>
              <w:marRight w:val="0"/>
              <w:marTop w:val="0"/>
              <w:marBottom w:val="240"/>
              <w:divBdr>
                <w:top w:val="none" w:sz="0" w:space="0" w:color="auto"/>
                <w:left w:val="none" w:sz="0" w:space="0" w:color="auto"/>
                <w:bottom w:val="none" w:sz="0" w:space="0" w:color="auto"/>
                <w:right w:val="none" w:sz="0" w:space="0" w:color="auto"/>
              </w:divBdr>
            </w:div>
          </w:divsChild>
        </w:div>
        <w:div w:id="1223447215">
          <w:marLeft w:val="0"/>
          <w:marRight w:val="0"/>
          <w:marTop w:val="0"/>
          <w:marBottom w:val="0"/>
          <w:divBdr>
            <w:top w:val="none" w:sz="0" w:space="0" w:color="auto"/>
            <w:left w:val="none" w:sz="0" w:space="0" w:color="auto"/>
            <w:bottom w:val="none" w:sz="0" w:space="0" w:color="auto"/>
            <w:right w:val="none" w:sz="0" w:space="0" w:color="auto"/>
          </w:divBdr>
          <w:divsChild>
            <w:div w:id="6904990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56657515">
      <w:bodyDiv w:val="1"/>
      <w:marLeft w:val="0"/>
      <w:marRight w:val="0"/>
      <w:marTop w:val="0"/>
      <w:marBottom w:val="0"/>
      <w:divBdr>
        <w:top w:val="none" w:sz="0" w:space="0" w:color="auto"/>
        <w:left w:val="none" w:sz="0" w:space="0" w:color="auto"/>
        <w:bottom w:val="none" w:sz="0" w:space="0" w:color="auto"/>
        <w:right w:val="none" w:sz="0" w:space="0" w:color="auto"/>
      </w:divBdr>
    </w:div>
    <w:div w:id="424813536">
      <w:bodyDiv w:val="1"/>
      <w:marLeft w:val="0"/>
      <w:marRight w:val="0"/>
      <w:marTop w:val="0"/>
      <w:marBottom w:val="0"/>
      <w:divBdr>
        <w:top w:val="none" w:sz="0" w:space="0" w:color="auto"/>
        <w:left w:val="none" w:sz="0" w:space="0" w:color="auto"/>
        <w:bottom w:val="none" w:sz="0" w:space="0" w:color="auto"/>
        <w:right w:val="none" w:sz="0" w:space="0" w:color="auto"/>
      </w:divBdr>
    </w:div>
    <w:div w:id="455561556">
      <w:bodyDiv w:val="1"/>
      <w:marLeft w:val="0"/>
      <w:marRight w:val="0"/>
      <w:marTop w:val="0"/>
      <w:marBottom w:val="0"/>
      <w:divBdr>
        <w:top w:val="none" w:sz="0" w:space="0" w:color="auto"/>
        <w:left w:val="none" w:sz="0" w:space="0" w:color="auto"/>
        <w:bottom w:val="none" w:sz="0" w:space="0" w:color="auto"/>
        <w:right w:val="none" w:sz="0" w:space="0" w:color="auto"/>
      </w:divBdr>
    </w:div>
    <w:div w:id="569509864">
      <w:bodyDiv w:val="1"/>
      <w:marLeft w:val="0"/>
      <w:marRight w:val="0"/>
      <w:marTop w:val="0"/>
      <w:marBottom w:val="0"/>
      <w:divBdr>
        <w:top w:val="none" w:sz="0" w:space="0" w:color="auto"/>
        <w:left w:val="none" w:sz="0" w:space="0" w:color="auto"/>
        <w:bottom w:val="none" w:sz="0" w:space="0" w:color="auto"/>
        <w:right w:val="none" w:sz="0" w:space="0" w:color="auto"/>
      </w:divBdr>
      <w:divsChild>
        <w:div w:id="1938561369">
          <w:marLeft w:val="0"/>
          <w:marRight w:val="0"/>
          <w:marTop w:val="0"/>
          <w:marBottom w:val="0"/>
          <w:divBdr>
            <w:top w:val="none" w:sz="0" w:space="0" w:color="auto"/>
            <w:left w:val="none" w:sz="0" w:space="0" w:color="auto"/>
            <w:bottom w:val="none" w:sz="0" w:space="0" w:color="auto"/>
            <w:right w:val="none" w:sz="0" w:space="0" w:color="auto"/>
          </w:divBdr>
          <w:divsChild>
            <w:div w:id="891768076">
              <w:marLeft w:val="0"/>
              <w:marRight w:val="0"/>
              <w:marTop w:val="0"/>
              <w:marBottom w:val="0"/>
              <w:divBdr>
                <w:top w:val="none" w:sz="0" w:space="0" w:color="auto"/>
                <w:left w:val="none" w:sz="0" w:space="0" w:color="auto"/>
                <w:bottom w:val="none" w:sz="0" w:space="0" w:color="auto"/>
                <w:right w:val="none" w:sz="0" w:space="0" w:color="auto"/>
              </w:divBdr>
              <w:divsChild>
                <w:div w:id="730423037">
                  <w:marLeft w:val="0"/>
                  <w:marRight w:val="0"/>
                  <w:marTop w:val="0"/>
                  <w:marBottom w:val="0"/>
                  <w:divBdr>
                    <w:top w:val="none" w:sz="0" w:space="0" w:color="auto"/>
                    <w:left w:val="none" w:sz="0" w:space="0" w:color="auto"/>
                    <w:bottom w:val="none" w:sz="0" w:space="0" w:color="auto"/>
                    <w:right w:val="none" w:sz="0" w:space="0" w:color="auto"/>
                  </w:divBdr>
                  <w:divsChild>
                    <w:div w:id="172880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649209">
          <w:marLeft w:val="0"/>
          <w:marRight w:val="0"/>
          <w:marTop w:val="0"/>
          <w:marBottom w:val="0"/>
          <w:divBdr>
            <w:top w:val="none" w:sz="0" w:space="0" w:color="auto"/>
            <w:left w:val="none" w:sz="0" w:space="0" w:color="auto"/>
            <w:bottom w:val="none" w:sz="0" w:space="0" w:color="auto"/>
            <w:right w:val="none" w:sz="0" w:space="0" w:color="auto"/>
          </w:divBdr>
          <w:divsChild>
            <w:div w:id="335157992">
              <w:marLeft w:val="0"/>
              <w:marRight w:val="0"/>
              <w:marTop w:val="0"/>
              <w:marBottom w:val="0"/>
              <w:divBdr>
                <w:top w:val="none" w:sz="0" w:space="0" w:color="auto"/>
                <w:left w:val="none" w:sz="0" w:space="0" w:color="auto"/>
                <w:bottom w:val="none" w:sz="0" w:space="0" w:color="auto"/>
                <w:right w:val="none" w:sz="0" w:space="0" w:color="auto"/>
              </w:divBdr>
              <w:divsChild>
                <w:div w:id="900944609">
                  <w:marLeft w:val="0"/>
                  <w:marRight w:val="0"/>
                  <w:marTop w:val="0"/>
                  <w:marBottom w:val="0"/>
                  <w:divBdr>
                    <w:top w:val="none" w:sz="0" w:space="0" w:color="auto"/>
                    <w:left w:val="none" w:sz="0" w:space="0" w:color="auto"/>
                    <w:bottom w:val="none" w:sz="0" w:space="0" w:color="auto"/>
                    <w:right w:val="none" w:sz="0" w:space="0" w:color="auto"/>
                  </w:divBdr>
                  <w:divsChild>
                    <w:div w:id="1586305888">
                      <w:marLeft w:val="0"/>
                      <w:marRight w:val="0"/>
                      <w:marTop w:val="0"/>
                      <w:marBottom w:val="0"/>
                      <w:divBdr>
                        <w:top w:val="none" w:sz="0" w:space="0" w:color="auto"/>
                        <w:left w:val="none" w:sz="0" w:space="0" w:color="auto"/>
                        <w:bottom w:val="none" w:sz="0" w:space="0" w:color="auto"/>
                        <w:right w:val="none" w:sz="0" w:space="0" w:color="auto"/>
                      </w:divBdr>
                      <w:divsChild>
                        <w:div w:id="18279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558965">
      <w:bodyDiv w:val="1"/>
      <w:marLeft w:val="0"/>
      <w:marRight w:val="0"/>
      <w:marTop w:val="0"/>
      <w:marBottom w:val="0"/>
      <w:divBdr>
        <w:top w:val="none" w:sz="0" w:space="0" w:color="auto"/>
        <w:left w:val="none" w:sz="0" w:space="0" w:color="auto"/>
        <w:bottom w:val="none" w:sz="0" w:space="0" w:color="auto"/>
        <w:right w:val="none" w:sz="0" w:space="0" w:color="auto"/>
      </w:divBdr>
    </w:div>
    <w:div w:id="591351801">
      <w:bodyDiv w:val="1"/>
      <w:marLeft w:val="0"/>
      <w:marRight w:val="0"/>
      <w:marTop w:val="0"/>
      <w:marBottom w:val="0"/>
      <w:divBdr>
        <w:top w:val="none" w:sz="0" w:space="0" w:color="auto"/>
        <w:left w:val="none" w:sz="0" w:space="0" w:color="auto"/>
        <w:bottom w:val="none" w:sz="0" w:space="0" w:color="auto"/>
        <w:right w:val="none" w:sz="0" w:space="0" w:color="auto"/>
      </w:divBdr>
    </w:div>
    <w:div w:id="599292898">
      <w:bodyDiv w:val="1"/>
      <w:marLeft w:val="0"/>
      <w:marRight w:val="0"/>
      <w:marTop w:val="0"/>
      <w:marBottom w:val="0"/>
      <w:divBdr>
        <w:top w:val="none" w:sz="0" w:space="0" w:color="auto"/>
        <w:left w:val="none" w:sz="0" w:space="0" w:color="auto"/>
        <w:bottom w:val="none" w:sz="0" w:space="0" w:color="auto"/>
        <w:right w:val="none" w:sz="0" w:space="0" w:color="auto"/>
      </w:divBdr>
    </w:div>
    <w:div w:id="806436011">
      <w:bodyDiv w:val="1"/>
      <w:marLeft w:val="0"/>
      <w:marRight w:val="0"/>
      <w:marTop w:val="0"/>
      <w:marBottom w:val="0"/>
      <w:divBdr>
        <w:top w:val="none" w:sz="0" w:space="0" w:color="auto"/>
        <w:left w:val="none" w:sz="0" w:space="0" w:color="auto"/>
        <w:bottom w:val="none" w:sz="0" w:space="0" w:color="auto"/>
        <w:right w:val="none" w:sz="0" w:space="0" w:color="auto"/>
      </w:divBdr>
    </w:div>
    <w:div w:id="833226133">
      <w:bodyDiv w:val="1"/>
      <w:marLeft w:val="0"/>
      <w:marRight w:val="0"/>
      <w:marTop w:val="0"/>
      <w:marBottom w:val="0"/>
      <w:divBdr>
        <w:top w:val="none" w:sz="0" w:space="0" w:color="auto"/>
        <w:left w:val="none" w:sz="0" w:space="0" w:color="auto"/>
        <w:bottom w:val="none" w:sz="0" w:space="0" w:color="auto"/>
        <w:right w:val="none" w:sz="0" w:space="0" w:color="auto"/>
      </w:divBdr>
      <w:divsChild>
        <w:div w:id="469985056">
          <w:marLeft w:val="0"/>
          <w:marRight w:val="0"/>
          <w:marTop w:val="0"/>
          <w:marBottom w:val="0"/>
          <w:divBdr>
            <w:top w:val="none" w:sz="0" w:space="0" w:color="auto"/>
            <w:left w:val="none" w:sz="0" w:space="0" w:color="auto"/>
            <w:bottom w:val="none" w:sz="0" w:space="0" w:color="auto"/>
            <w:right w:val="none" w:sz="0" w:space="0" w:color="auto"/>
          </w:divBdr>
          <w:divsChild>
            <w:div w:id="653874413">
              <w:marLeft w:val="0"/>
              <w:marRight w:val="0"/>
              <w:marTop w:val="0"/>
              <w:marBottom w:val="0"/>
              <w:divBdr>
                <w:top w:val="none" w:sz="0" w:space="0" w:color="auto"/>
                <w:left w:val="none" w:sz="0" w:space="0" w:color="auto"/>
                <w:bottom w:val="none" w:sz="0" w:space="0" w:color="auto"/>
                <w:right w:val="none" w:sz="0" w:space="0" w:color="auto"/>
              </w:divBdr>
              <w:divsChild>
                <w:div w:id="687634481">
                  <w:marLeft w:val="0"/>
                  <w:marRight w:val="0"/>
                  <w:marTop w:val="0"/>
                  <w:marBottom w:val="0"/>
                  <w:divBdr>
                    <w:top w:val="none" w:sz="0" w:space="0" w:color="auto"/>
                    <w:left w:val="none" w:sz="0" w:space="0" w:color="auto"/>
                    <w:bottom w:val="none" w:sz="0" w:space="0" w:color="auto"/>
                    <w:right w:val="none" w:sz="0" w:space="0" w:color="auto"/>
                  </w:divBdr>
                  <w:divsChild>
                    <w:div w:id="161343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575434">
          <w:marLeft w:val="0"/>
          <w:marRight w:val="0"/>
          <w:marTop w:val="0"/>
          <w:marBottom w:val="0"/>
          <w:divBdr>
            <w:top w:val="none" w:sz="0" w:space="0" w:color="auto"/>
            <w:left w:val="none" w:sz="0" w:space="0" w:color="auto"/>
            <w:bottom w:val="none" w:sz="0" w:space="0" w:color="auto"/>
            <w:right w:val="none" w:sz="0" w:space="0" w:color="auto"/>
          </w:divBdr>
          <w:divsChild>
            <w:div w:id="985472533">
              <w:marLeft w:val="0"/>
              <w:marRight w:val="0"/>
              <w:marTop w:val="0"/>
              <w:marBottom w:val="0"/>
              <w:divBdr>
                <w:top w:val="none" w:sz="0" w:space="0" w:color="auto"/>
                <w:left w:val="none" w:sz="0" w:space="0" w:color="auto"/>
                <w:bottom w:val="none" w:sz="0" w:space="0" w:color="auto"/>
                <w:right w:val="none" w:sz="0" w:space="0" w:color="auto"/>
              </w:divBdr>
              <w:divsChild>
                <w:div w:id="782573448">
                  <w:marLeft w:val="0"/>
                  <w:marRight w:val="0"/>
                  <w:marTop w:val="0"/>
                  <w:marBottom w:val="0"/>
                  <w:divBdr>
                    <w:top w:val="none" w:sz="0" w:space="0" w:color="auto"/>
                    <w:left w:val="none" w:sz="0" w:space="0" w:color="auto"/>
                    <w:bottom w:val="none" w:sz="0" w:space="0" w:color="auto"/>
                    <w:right w:val="none" w:sz="0" w:space="0" w:color="auto"/>
                  </w:divBdr>
                  <w:divsChild>
                    <w:div w:id="176110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901525">
      <w:bodyDiv w:val="1"/>
      <w:marLeft w:val="0"/>
      <w:marRight w:val="0"/>
      <w:marTop w:val="0"/>
      <w:marBottom w:val="0"/>
      <w:divBdr>
        <w:top w:val="none" w:sz="0" w:space="0" w:color="auto"/>
        <w:left w:val="none" w:sz="0" w:space="0" w:color="auto"/>
        <w:bottom w:val="none" w:sz="0" w:space="0" w:color="auto"/>
        <w:right w:val="none" w:sz="0" w:space="0" w:color="auto"/>
      </w:divBdr>
    </w:div>
    <w:div w:id="915632791">
      <w:bodyDiv w:val="1"/>
      <w:marLeft w:val="0"/>
      <w:marRight w:val="0"/>
      <w:marTop w:val="0"/>
      <w:marBottom w:val="0"/>
      <w:divBdr>
        <w:top w:val="none" w:sz="0" w:space="0" w:color="auto"/>
        <w:left w:val="none" w:sz="0" w:space="0" w:color="auto"/>
        <w:bottom w:val="none" w:sz="0" w:space="0" w:color="auto"/>
        <w:right w:val="none" w:sz="0" w:space="0" w:color="auto"/>
      </w:divBdr>
      <w:divsChild>
        <w:div w:id="852649283">
          <w:marLeft w:val="0"/>
          <w:marRight w:val="0"/>
          <w:marTop w:val="0"/>
          <w:marBottom w:val="0"/>
          <w:divBdr>
            <w:top w:val="none" w:sz="0" w:space="0" w:color="auto"/>
            <w:left w:val="none" w:sz="0" w:space="0" w:color="auto"/>
            <w:bottom w:val="none" w:sz="0" w:space="0" w:color="auto"/>
            <w:right w:val="none" w:sz="0" w:space="0" w:color="auto"/>
          </w:divBdr>
          <w:divsChild>
            <w:div w:id="1245528710">
              <w:marLeft w:val="0"/>
              <w:marRight w:val="0"/>
              <w:marTop w:val="0"/>
              <w:marBottom w:val="0"/>
              <w:divBdr>
                <w:top w:val="none" w:sz="0" w:space="0" w:color="auto"/>
                <w:left w:val="none" w:sz="0" w:space="0" w:color="auto"/>
                <w:bottom w:val="none" w:sz="0" w:space="0" w:color="auto"/>
                <w:right w:val="none" w:sz="0" w:space="0" w:color="auto"/>
              </w:divBdr>
              <w:divsChild>
                <w:div w:id="289170834">
                  <w:marLeft w:val="0"/>
                  <w:marRight w:val="0"/>
                  <w:marTop w:val="0"/>
                  <w:marBottom w:val="0"/>
                  <w:divBdr>
                    <w:top w:val="none" w:sz="0" w:space="0" w:color="auto"/>
                    <w:left w:val="none" w:sz="0" w:space="0" w:color="auto"/>
                    <w:bottom w:val="none" w:sz="0" w:space="0" w:color="auto"/>
                    <w:right w:val="none" w:sz="0" w:space="0" w:color="auto"/>
                  </w:divBdr>
                  <w:divsChild>
                    <w:div w:id="172224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467955">
          <w:marLeft w:val="0"/>
          <w:marRight w:val="0"/>
          <w:marTop w:val="0"/>
          <w:marBottom w:val="0"/>
          <w:divBdr>
            <w:top w:val="none" w:sz="0" w:space="0" w:color="auto"/>
            <w:left w:val="none" w:sz="0" w:space="0" w:color="auto"/>
            <w:bottom w:val="none" w:sz="0" w:space="0" w:color="auto"/>
            <w:right w:val="none" w:sz="0" w:space="0" w:color="auto"/>
          </w:divBdr>
          <w:divsChild>
            <w:div w:id="9530987">
              <w:marLeft w:val="0"/>
              <w:marRight w:val="0"/>
              <w:marTop w:val="0"/>
              <w:marBottom w:val="0"/>
              <w:divBdr>
                <w:top w:val="none" w:sz="0" w:space="0" w:color="auto"/>
                <w:left w:val="none" w:sz="0" w:space="0" w:color="auto"/>
                <w:bottom w:val="none" w:sz="0" w:space="0" w:color="auto"/>
                <w:right w:val="none" w:sz="0" w:space="0" w:color="auto"/>
              </w:divBdr>
              <w:divsChild>
                <w:div w:id="1461000941">
                  <w:marLeft w:val="0"/>
                  <w:marRight w:val="0"/>
                  <w:marTop w:val="0"/>
                  <w:marBottom w:val="0"/>
                  <w:divBdr>
                    <w:top w:val="none" w:sz="0" w:space="0" w:color="auto"/>
                    <w:left w:val="none" w:sz="0" w:space="0" w:color="auto"/>
                    <w:bottom w:val="none" w:sz="0" w:space="0" w:color="auto"/>
                    <w:right w:val="none" w:sz="0" w:space="0" w:color="auto"/>
                  </w:divBdr>
                  <w:divsChild>
                    <w:div w:id="1698848770">
                      <w:marLeft w:val="0"/>
                      <w:marRight w:val="0"/>
                      <w:marTop w:val="0"/>
                      <w:marBottom w:val="0"/>
                      <w:divBdr>
                        <w:top w:val="none" w:sz="0" w:space="0" w:color="auto"/>
                        <w:left w:val="none" w:sz="0" w:space="0" w:color="auto"/>
                        <w:bottom w:val="none" w:sz="0" w:space="0" w:color="auto"/>
                        <w:right w:val="none" w:sz="0" w:space="0" w:color="auto"/>
                      </w:divBdr>
                      <w:divsChild>
                        <w:div w:id="188409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697068">
      <w:bodyDiv w:val="1"/>
      <w:marLeft w:val="0"/>
      <w:marRight w:val="0"/>
      <w:marTop w:val="0"/>
      <w:marBottom w:val="0"/>
      <w:divBdr>
        <w:top w:val="none" w:sz="0" w:space="0" w:color="auto"/>
        <w:left w:val="none" w:sz="0" w:space="0" w:color="auto"/>
        <w:bottom w:val="none" w:sz="0" w:space="0" w:color="auto"/>
        <w:right w:val="none" w:sz="0" w:space="0" w:color="auto"/>
      </w:divBdr>
      <w:divsChild>
        <w:div w:id="783426409">
          <w:marLeft w:val="0"/>
          <w:marRight w:val="0"/>
          <w:marTop w:val="0"/>
          <w:marBottom w:val="0"/>
          <w:divBdr>
            <w:top w:val="none" w:sz="0" w:space="0" w:color="auto"/>
            <w:left w:val="none" w:sz="0" w:space="0" w:color="auto"/>
            <w:bottom w:val="none" w:sz="0" w:space="0" w:color="auto"/>
            <w:right w:val="none" w:sz="0" w:space="0" w:color="auto"/>
          </w:divBdr>
          <w:divsChild>
            <w:div w:id="1144813381">
              <w:marLeft w:val="0"/>
              <w:marRight w:val="0"/>
              <w:marTop w:val="0"/>
              <w:marBottom w:val="0"/>
              <w:divBdr>
                <w:top w:val="none" w:sz="0" w:space="0" w:color="auto"/>
                <w:left w:val="none" w:sz="0" w:space="0" w:color="auto"/>
                <w:bottom w:val="none" w:sz="0" w:space="0" w:color="auto"/>
                <w:right w:val="none" w:sz="0" w:space="0" w:color="auto"/>
              </w:divBdr>
              <w:divsChild>
                <w:div w:id="1661806400">
                  <w:marLeft w:val="0"/>
                  <w:marRight w:val="0"/>
                  <w:marTop w:val="0"/>
                  <w:marBottom w:val="0"/>
                  <w:divBdr>
                    <w:top w:val="none" w:sz="0" w:space="0" w:color="auto"/>
                    <w:left w:val="none" w:sz="0" w:space="0" w:color="auto"/>
                    <w:bottom w:val="none" w:sz="0" w:space="0" w:color="auto"/>
                    <w:right w:val="none" w:sz="0" w:space="0" w:color="auto"/>
                  </w:divBdr>
                  <w:divsChild>
                    <w:div w:id="58426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990279">
          <w:marLeft w:val="0"/>
          <w:marRight w:val="0"/>
          <w:marTop w:val="0"/>
          <w:marBottom w:val="0"/>
          <w:divBdr>
            <w:top w:val="none" w:sz="0" w:space="0" w:color="auto"/>
            <w:left w:val="none" w:sz="0" w:space="0" w:color="auto"/>
            <w:bottom w:val="none" w:sz="0" w:space="0" w:color="auto"/>
            <w:right w:val="none" w:sz="0" w:space="0" w:color="auto"/>
          </w:divBdr>
          <w:divsChild>
            <w:div w:id="2036736329">
              <w:marLeft w:val="0"/>
              <w:marRight w:val="0"/>
              <w:marTop w:val="0"/>
              <w:marBottom w:val="0"/>
              <w:divBdr>
                <w:top w:val="none" w:sz="0" w:space="0" w:color="auto"/>
                <w:left w:val="none" w:sz="0" w:space="0" w:color="auto"/>
                <w:bottom w:val="none" w:sz="0" w:space="0" w:color="auto"/>
                <w:right w:val="none" w:sz="0" w:space="0" w:color="auto"/>
              </w:divBdr>
              <w:divsChild>
                <w:div w:id="1838888103">
                  <w:marLeft w:val="0"/>
                  <w:marRight w:val="0"/>
                  <w:marTop w:val="0"/>
                  <w:marBottom w:val="0"/>
                  <w:divBdr>
                    <w:top w:val="none" w:sz="0" w:space="0" w:color="auto"/>
                    <w:left w:val="none" w:sz="0" w:space="0" w:color="auto"/>
                    <w:bottom w:val="none" w:sz="0" w:space="0" w:color="auto"/>
                    <w:right w:val="none" w:sz="0" w:space="0" w:color="auto"/>
                  </w:divBdr>
                  <w:divsChild>
                    <w:div w:id="23161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452072">
      <w:bodyDiv w:val="1"/>
      <w:marLeft w:val="0"/>
      <w:marRight w:val="0"/>
      <w:marTop w:val="0"/>
      <w:marBottom w:val="0"/>
      <w:divBdr>
        <w:top w:val="none" w:sz="0" w:space="0" w:color="auto"/>
        <w:left w:val="none" w:sz="0" w:space="0" w:color="auto"/>
        <w:bottom w:val="none" w:sz="0" w:space="0" w:color="auto"/>
        <w:right w:val="none" w:sz="0" w:space="0" w:color="auto"/>
      </w:divBdr>
      <w:divsChild>
        <w:div w:id="1317492292">
          <w:marLeft w:val="0"/>
          <w:marRight w:val="0"/>
          <w:marTop w:val="0"/>
          <w:marBottom w:val="0"/>
          <w:divBdr>
            <w:top w:val="none" w:sz="0" w:space="0" w:color="auto"/>
            <w:left w:val="none" w:sz="0" w:space="0" w:color="auto"/>
            <w:bottom w:val="none" w:sz="0" w:space="0" w:color="auto"/>
            <w:right w:val="none" w:sz="0" w:space="0" w:color="auto"/>
          </w:divBdr>
          <w:divsChild>
            <w:div w:id="420875744">
              <w:marLeft w:val="0"/>
              <w:marRight w:val="0"/>
              <w:marTop w:val="0"/>
              <w:marBottom w:val="240"/>
              <w:divBdr>
                <w:top w:val="none" w:sz="0" w:space="0" w:color="auto"/>
                <w:left w:val="none" w:sz="0" w:space="0" w:color="auto"/>
                <w:bottom w:val="none" w:sz="0" w:space="0" w:color="auto"/>
                <w:right w:val="none" w:sz="0" w:space="0" w:color="auto"/>
              </w:divBdr>
            </w:div>
          </w:divsChild>
        </w:div>
        <w:div w:id="1085490312">
          <w:marLeft w:val="0"/>
          <w:marRight w:val="0"/>
          <w:marTop w:val="0"/>
          <w:marBottom w:val="0"/>
          <w:divBdr>
            <w:top w:val="none" w:sz="0" w:space="0" w:color="auto"/>
            <w:left w:val="none" w:sz="0" w:space="0" w:color="auto"/>
            <w:bottom w:val="none" w:sz="0" w:space="0" w:color="auto"/>
            <w:right w:val="none" w:sz="0" w:space="0" w:color="auto"/>
          </w:divBdr>
          <w:divsChild>
            <w:div w:id="324554058">
              <w:marLeft w:val="0"/>
              <w:marRight w:val="0"/>
              <w:marTop w:val="0"/>
              <w:marBottom w:val="240"/>
              <w:divBdr>
                <w:top w:val="none" w:sz="0" w:space="0" w:color="auto"/>
                <w:left w:val="none" w:sz="0" w:space="0" w:color="auto"/>
                <w:bottom w:val="none" w:sz="0" w:space="0" w:color="auto"/>
                <w:right w:val="none" w:sz="0" w:space="0" w:color="auto"/>
              </w:divBdr>
            </w:div>
          </w:divsChild>
        </w:div>
        <w:div w:id="1510606400">
          <w:marLeft w:val="0"/>
          <w:marRight w:val="0"/>
          <w:marTop w:val="0"/>
          <w:marBottom w:val="0"/>
          <w:divBdr>
            <w:top w:val="none" w:sz="0" w:space="0" w:color="auto"/>
            <w:left w:val="none" w:sz="0" w:space="0" w:color="auto"/>
            <w:bottom w:val="none" w:sz="0" w:space="0" w:color="auto"/>
            <w:right w:val="none" w:sz="0" w:space="0" w:color="auto"/>
          </w:divBdr>
          <w:divsChild>
            <w:div w:id="559874177">
              <w:marLeft w:val="0"/>
              <w:marRight w:val="0"/>
              <w:marTop w:val="0"/>
              <w:marBottom w:val="240"/>
              <w:divBdr>
                <w:top w:val="none" w:sz="0" w:space="0" w:color="auto"/>
                <w:left w:val="none" w:sz="0" w:space="0" w:color="auto"/>
                <w:bottom w:val="none" w:sz="0" w:space="0" w:color="auto"/>
                <w:right w:val="none" w:sz="0" w:space="0" w:color="auto"/>
              </w:divBdr>
            </w:div>
          </w:divsChild>
        </w:div>
        <w:div w:id="2064214353">
          <w:marLeft w:val="0"/>
          <w:marRight w:val="0"/>
          <w:marTop w:val="0"/>
          <w:marBottom w:val="0"/>
          <w:divBdr>
            <w:top w:val="none" w:sz="0" w:space="0" w:color="auto"/>
            <w:left w:val="none" w:sz="0" w:space="0" w:color="auto"/>
            <w:bottom w:val="none" w:sz="0" w:space="0" w:color="auto"/>
            <w:right w:val="none" w:sz="0" w:space="0" w:color="auto"/>
          </w:divBdr>
          <w:divsChild>
            <w:div w:id="11951941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11877280">
      <w:bodyDiv w:val="1"/>
      <w:marLeft w:val="0"/>
      <w:marRight w:val="0"/>
      <w:marTop w:val="0"/>
      <w:marBottom w:val="0"/>
      <w:divBdr>
        <w:top w:val="none" w:sz="0" w:space="0" w:color="auto"/>
        <w:left w:val="none" w:sz="0" w:space="0" w:color="auto"/>
        <w:bottom w:val="none" w:sz="0" w:space="0" w:color="auto"/>
        <w:right w:val="none" w:sz="0" w:space="0" w:color="auto"/>
      </w:divBdr>
      <w:divsChild>
        <w:div w:id="779296780">
          <w:marLeft w:val="0"/>
          <w:marRight w:val="0"/>
          <w:marTop w:val="0"/>
          <w:marBottom w:val="0"/>
          <w:divBdr>
            <w:top w:val="none" w:sz="0" w:space="0" w:color="auto"/>
            <w:left w:val="none" w:sz="0" w:space="0" w:color="auto"/>
            <w:bottom w:val="none" w:sz="0" w:space="0" w:color="auto"/>
            <w:right w:val="none" w:sz="0" w:space="0" w:color="auto"/>
          </w:divBdr>
          <w:divsChild>
            <w:div w:id="1469127403">
              <w:marLeft w:val="0"/>
              <w:marRight w:val="0"/>
              <w:marTop w:val="0"/>
              <w:marBottom w:val="240"/>
              <w:divBdr>
                <w:top w:val="none" w:sz="0" w:space="0" w:color="auto"/>
                <w:left w:val="none" w:sz="0" w:space="0" w:color="auto"/>
                <w:bottom w:val="none" w:sz="0" w:space="0" w:color="auto"/>
                <w:right w:val="none" w:sz="0" w:space="0" w:color="auto"/>
              </w:divBdr>
            </w:div>
          </w:divsChild>
        </w:div>
        <w:div w:id="1751849259">
          <w:marLeft w:val="0"/>
          <w:marRight w:val="0"/>
          <w:marTop w:val="0"/>
          <w:marBottom w:val="0"/>
          <w:divBdr>
            <w:top w:val="none" w:sz="0" w:space="0" w:color="auto"/>
            <w:left w:val="none" w:sz="0" w:space="0" w:color="auto"/>
            <w:bottom w:val="none" w:sz="0" w:space="0" w:color="auto"/>
            <w:right w:val="none" w:sz="0" w:space="0" w:color="auto"/>
          </w:divBdr>
          <w:divsChild>
            <w:div w:id="106168753">
              <w:marLeft w:val="0"/>
              <w:marRight w:val="0"/>
              <w:marTop w:val="0"/>
              <w:marBottom w:val="240"/>
              <w:divBdr>
                <w:top w:val="none" w:sz="0" w:space="0" w:color="auto"/>
                <w:left w:val="none" w:sz="0" w:space="0" w:color="auto"/>
                <w:bottom w:val="none" w:sz="0" w:space="0" w:color="auto"/>
                <w:right w:val="none" w:sz="0" w:space="0" w:color="auto"/>
              </w:divBdr>
            </w:div>
          </w:divsChild>
        </w:div>
        <w:div w:id="1452213469">
          <w:marLeft w:val="0"/>
          <w:marRight w:val="0"/>
          <w:marTop w:val="0"/>
          <w:marBottom w:val="0"/>
          <w:divBdr>
            <w:top w:val="none" w:sz="0" w:space="0" w:color="auto"/>
            <w:left w:val="none" w:sz="0" w:space="0" w:color="auto"/>
            <w:bottom w:val="none" w:sz="0" w:space="0" w:color="auto"/>
            <w:right w:val="none" w:sz="0" w:space="0" w:color="auto"/>
          </w:divBdr>
          <w:divsChild>
            <w:div w:id="591208095">
              <w:marLeft w:val="0"/>
              <w:marRight w:val="0"/>
              <w:marTop w:val="0"/>
              <w:marBottom w:val="240"/>
              <w:divBdr>
                <w:top w:val="none" w:sz="0" w:space="0" w:color="auto"/>
                <w:left w:val="none" w:sz="0" w:space="0" w:color="auto"/>
                <w:bottom w:val="none" w:sz="0" w:space="0" w:color="auto"/>
                <w:right w:val="none" w:sz="0" w:space="0" w:color="auto"/>
              </w:divBdr>
            </w:div>
          </w:divsChild>
        </w:div>
        <w:div w:id="135075356">
          <w:marLeft w:val="0"/>
          <w:marRight w:val="0"/>
          <w:marTop w:val="0"/>
          <w:marBottom w:val="0"/>
          <w:divBdr>
            <w:top w:val="none" w:sz="0" w:space="0" w:color="auto"/>
            <w:left w:val="none" w:sz="0" w:space="0" w:color="auto"/>
            <w:bottom w:val="none" w:sz="0" w:space="0" w:color="auto"/>
            <w:right w:val="none" w:sz="0" w:space="0" w:color="auto"/>
          </w:divBdr>
          <w:divsChild>
            <w:div w:id="396822102">
              <w:marLeft w:val="0"/>
              <w:marRight w:val="0"/>
              <w:marTop w:val="0"/>
              <w:marBottom w:val="240"/>
              <w:divBdr>
                <w:top w:val="none" w:sz="0" w:space="0" w:color="auto"/>
                <w:left w:val="none" w:sz="0" w:space="0" w:color="auto"/>
                <w:bottom w:val="none" w:sz="0" w:space="0" w:color="auto"/>
                <w:right w:val="none" w:sz="0" w:space="0" w:color="auto"/>
              </w:divBdr>
            </w:div>
          </w:divsChild>
        </w:div>
        <w:div w:id="1900439620">
          <w:marLeft w:val="0"/>
          <w:marRight w:val="0"/>
          <w:marTop w:val="0"/>
          <w:marBottom w:val="0"/>
          <w:divBdr>
            <w:top w:val="none" w:sz="0" w:space="0" w:color="auto"/>
            <w:left w:val="none" w:sz="0" w:space="0" w:color="auto"/>
            <w:bottom w:val="none" w:sz="0" w:space="0" w:color="auto"/>
            <w:right w:val="none" w:sz="0" w:space="0" w:color="auto"/>
          </w:divBdr>
          <w:divsChild>
            <w:div w:id="983705225">
              <w:marLeft w:val="0"/>
              <w:marRight w:val="0"/>
              <w:marTop w:val="0"/>
              <w:marBottom w:val="240"/>
              <w:divBdr>
                <w:top w:val="none" w:sz="0" w:space="0" w:color="auto"/>
                <w:left w:val="none" w:sz="0" w:space="0" w:color="auto"/>
                <w:bottom w:val="none" w:sz="0" w:space="0" w:color="auto"/>
                <w:right w:val="none" w:sz="0" w:space="0" w:color="auto"/>
              </w:divBdr>
            </w:div>
          </w:divsChild>
        </w:div>
        <w:div w:id="670715161">
          <w:marLeft w:val="0"/>
          <w:marRight w:val="0"/>
          <w:marTop w:val="0"/>
          <w:marBottom w:val="0"/>
          <w:divBdr>
            <w:top w:val="none" w:sz="0" w:space="0" w:color="auto"/>
            <w:left w:val="none" w:sz="0" w:space="0" w:color="auto"/>
            <w:bottom w:val="none" w:sz="0" w:space="0" w:color="auto"/>
            <w:right w:val="none" w:sz="0" w:space="0" w:color="auto"/>
          </w:divBdr>
          <w:divsChild>
            <w:div w:id="6645511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25369833">
      <w:bodyDiv w:val="1"/>
      <w:marLeft w:val="0"/>
      <w:marRight w:val="0"/>
      <w:marTop w:val="0"/>
      <w:marBottom w:val="0"/>
      <w:divBdr>
        <w:top w:val="none" w:sz="0" w:space="0" w:color="auto"/>
        <w:left w:val="none" w:sz="0" w:space="0" w:color="auto"/>
        <w:bottom w:val="none" w:sz="0" w:space="0" w:color="auto"/>
        <w:right w:val="none" w:sz="0" w:space="0" w:color="auto"/>
      </w:divBdr>
    </w:div>
    <w:div w:id="1808282109">
      <w:bodyDiv w:val="1"/>
      <w:marLeft w:val="0"/>
      <w:marRight w:val="0"/>
      <w:marTop w:val="0"/>
      <w:marBottom w:val="0"/>
      <w:divBdr>
        <w:top w:val="none" w:sz="0" w:space="0" w:color="auto"/>
        <w:left w:val="none" w:sz="0" w:space="0" w:color="auto"/>
        <w:bottom w:val="none" w:sz="0" w:space="0" w:color="auto"/>
        <w:right w:val="none" w:sz="0" w:space="0" w:color="auto"/>
      </w:divBdr>
    </w:div>
    <w:div w:id="1878616811">
      <w:bodyDiv w:val="1"/>
      <w:marLeft w:val="0"/>
      <w:marRight w:val="0"/>
      <w:marTop w:val="0"/>
      <w:marBottom w:val="0"/>
      <w:divBdr>
        <w:top w:val="none" w:sz="0" w:space="0" w:color="auto"/>
        <w:left w:val="none" w:sz="0" w:space="0" w:color="auto"/>
        <w:bottom w:val="none" w:sz="0" w:space="0" w:color="auto"/>
        <w:right w:val="none" w:sz="0" w:space="0" w:color="auto"/>
      </w:divBdr>
      <w:divsChild>
        <w:div w:id="1302659085">
          <w:marLeft w:val="0"/>
          <w:marRight w:val="0"/>
          <w:marTop w:val="0"/>
          <w:marBottom w:val="0"/>
          <w:divBdr>
            <w:top w:val="none" w:sz="0" w:space="0" w:color="auto"/>
            <w:left w:val="none" w:sz="0" w:space="0" w:color="auto"/>
            <w:bottom w:val="none" w:sz="0" w:space="0" w:color="auto"/>
            <w:right w:val="none" w:sz="0" w:space="0" w:color="auto"/>
          </w:divBdr>
          <w:divsChild>
            <w:div w:id="2007978258">
              <w:marLeft w:val="0"/>
              <w:marRight w:val="0"/>
              <w:marTop w:val="0"/>
              <w:marBottom w:val="0"/>
              <w:divBdr>
                <w:top w:val="none" w:sz="0" w:space="0" w:color="auto"/>
                <w:left w:val="none" w:sz="0" w:space="0" w:color="auto"/>
                <w:bottom w:val="none" w:sz="0" w:space="0" w:color="auto"/>
                <w:right w:val="none" w:sz="0" w:space="0" w:color="auto"/>
              </w:divBdr>
              <w:divsChild>
                <w:div w:id="263344370">
                  <w:marLeft w:val="0"/>
                  <w:marRight w:val="0"/>
                  <w:marTop w:val="0"/>
                  <w:marBottom w:val="0"/>
                  <w:divBdr>
                    <w:top w:val="none" w:sz="0" w:space="0" w:color="auto"/>
                    <w:left w:val="none" w:sz="0" w:space="0" w:color="auto"/>
                    <w:bottom w:val="none" w:sz="0" w:space="0" w:color="auto"/>
                    <w:right w:val="none" w:sz="0" w:space="0" w:color="auto"/>
                  </w:divBdr>
                  <w:divsChild>
                    <w:div w:id="180631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777478">
          <w:marLeft w:val="0"/>
          <w:marRight w:val="0"/>
          <w:marTop w:val="0"/>
          <w:marBottom w:val="0"/>
          <w:divBdr>
            <w:top w:val="none" w:sz="0" w:space="0" w:color="auto"/>
            <w:left w:val="none" w:sz="0" w:space="0" w:color="auto"/>
            <w:bottom w:val="none" w:sz="0" w:space="0" w:color="auto"/>
            <w:right w:val="none" w:sz="0" w:space="0" w:color="auto"/>
          </w:divBdr>
          <w:divsChild>
            <w:div w:id="1099444950">
              <w:marLeft w:val="0"/>
              <w:marRight w:val="0"/>
              <w:marTop w:val="0"/>
              <w:marBottom w:val="0"/>
              <w:divBdr>
                <w:top w:val="none" w:sz="0" w:space="0" w:color="auto"/>
                <w:left w:val="none" w:sz="0" w:space="0" w:color="auto"/>
                <w:bottom w:val="none" w:sz="0" w:space="0" w:color="auto"/>
                <w:right w:val="none" w:sz="0" w:space="0" w:color="auto"/>
              </w:divBdr>
              <w:divsChild>
                <w:div w:id="1885483230">
                  <w:marLeft w:val="0"/>
                  <w:marRight w:val="0"/>
                  <w:marTop w:val="0"/>
                  <w:marBottom w:val="0"/>
                  <w:divBdr>
                    <w:top w:val="none" w:sz="0" w:space="0" w:color="auto"/>
                    <w:left w:val="none" w:sz="0" w:space="0" w:color="auto"/>
                    <w:bottom w:val="none" w:sz="0" w:space="0" w:color="auto"/>
                    <w:right w:val="none" w:sz="0" w:space="0" w:color="auto"/>
                  </w:divBdr>
                  <w:divsChild>
                    <w:div w:id="20244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863427">
      <w:bodyDiv w:val="1"/>
      <w:marLeft w:val="0"/>
      <w:marRight w:val="0"/>
      <w:marTop w:val="0"/>
      <w:marBottom w:val="0"/>
      <w:divBdr>
        <w:top w:val="none" w:sz="0" w:space="0" w:color="auto"/>
        <w:left w:val="none" w:sz="0" w:space="0" w:color="auto"/>
        <w:bottom w:val="none" w:sz="0" w:space="0" w:color="auto"/>
        <w:right w:val="none" w:sz="0" w:space="0" w:color="auto"/>
      </w:divBdr>
    </w:div>
    <w:div w:id="1897089186">
      <w:bodyDiv w:val="1"/>
      <w:marLeft w:val="0"/>
      <w:marRight w:val="0"/>
      <w:marTop w:val="0"/>
      <w:marBottom w:val="0"/>
      <w:divBdr>
        <w:top w:val="none" w:sz="0" w:space="0" w:color="auto"/>
        <w:left w:val="none" w:sz="0" w:space="0" w:color="auto"/>
        <w:bottom w:val="none" w:sz="0" w:space="0" w:color="auto"/>
        <w:right w:val="none" w:sz="0" w:space="0" w:color="auto"/>
      </w:divBdr>
      <w:divsChild>
        <w:div w:id="362244841">
          <w:marLeft w:val="0"/>
          <w:marRight w:val="0"/>
          <w:marTop w:val="0"/>
          <w:marBottom w:val="0"/>
          <w:divBdr>
            <w:top w:val="none" w:sz="0" w:space="0" w:color="auto"/>
            <w:left w:val="none" w:sz="0" w:space="0" w:color="auto"/>
            <w:bottom w:val="none" w:sz="0" w:space="0" w:color="auto"/>
            <w:right w:val="none" w:sz="0" w:space="0" w:color="auto"/>
          </w:divBdr>
          <w:divsChild>
            <w:div w:id="842085844">
              <w:marLeft w:val="0"/>
              <w:marRight w:val="0"/>
              <w:marTop w:val="0"/>
              <w:marBottom w:val="0"/>
              <w:divBdr>
                <w:top w:val="none" w:sz="0" w:space="0" w:color="auto"/>
                <w:left w:val="none" w:sz="0" w:space="0" w:color="auto"/>
                <w:bottom w:val="none" w:sz="0" w:space="0" w:color="auto"/>
                <w:right w:val="none" w:sz="0" w:space="0" w:color="auto"/>
              </w:divBdr>
              <w:divsChild>
                <w:div w:id="287245143">
                  <w:marLeft w:val="0"/>
                  <w:marRight w:val="0"/>
                  <w:marTop w:val="0"/>
                  <w:marBottom w:val="0"/>
                  <w:divBdr>
                    <w:top w:val="none" w:sz="0" w:space="0" w:color="auto"/>
                    <w:left w:val="none" w:sz="0" w:space="0" w:color="auto"/>
                    <w:bottom w:val="none" w:sz="0" w:space="0" w:color="auto"/>
                    <w:right w:val="none" w:sz="0" w:space="0" w:color="auto"/>
                  </w:divBdr>
                  <w:divsChild>
                    <w:div w:id="58788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5632">
          <w:marLeft w:val="0"/>
          <w:marRight w:val="0"/>
          <w:marTop w:val="0"/>
          <w:marBottom w:val="0"/>
          <w:divBdr>
            <w:top w:val="none" w:sz="0" w:space="0" w:color="auto"/>
            <w:left w:val="none" w:sz="0" w:space="0" w:color="auto"/>
            <w:bottom w:val="none" w:sz="0" w:space="0" w:color="auto"/>
            <w:right w:val="none" w:sz="0" w:space="0" w:color="auto"/>
          </w:divBdr>
          <w:divsChild>
            <w:div w:id="987630739">
              <w:marLeft w:val="0"/>
              <w:marRight w:val="0"/>
              <w:marTop w:val="0"/>
              <w:marBottom w:val="0"/>
              <w:divBdr>
                <w:top w:val="none" w:sz="0" w:space="0" w:color="auto"/>
                <w:left w:val="none" w:sz="0" w:space="0" w:color="auto"/>
                <w:bottom w:val="none" w:sz="0" w:space="0" w:color="auto"/>
                <w:right w:val="none" w:sz="0" w:space="0" w:color="auto"/>
              </w:divBdr>
              <w:divsChild>
                <w:div w:id="802505037">
                  <w:marLeft w:val="0"/>
                  <w:marRight w:val="0"/>
                  <w:marTop w:val="0"/>
                  <w:marBottom w:val="0"/>
                  <w:divBdr>
                    <w:top w:val="none" w:sz="0" w:space="0" w:color="auto"/>
                    <w:left w:val="none" w:sz="0" w:space="0" w:color="auto"/>
                    <w:bottom w:val="none" w:sz="0" w:space="0" w:color="auto"/>
                    <w:right w:val="none" w:sz="0" w:space="0" w:color="auto"/>
                  </w:divBdr>
                  <w:divsChild>
                    <w:div w:id="453643039">
                      <w:marLeft w:val="0"/>
                      <w:marRight w:val="0"/>
                      <w:marTop w:val="0"/>
                      <w:marBottom w:val="0"/>
                      <w:divBdr>
                        <w:top w:val="none" w:sz="0" w:space="0" w:color="auto"/>
                        <w:left w:val="none" w:sz="0" w:space="0" w:color="auto"/>
                        <w:bottom w:val="none" w:sz="0" w:space="0" w:color="auto"/>
                        <w:right w:val="none" w:sz="0" w:space="0" w:color="auto"/>
                      </w:divBdr>
                      <w:divsChild>
                        <w:div w:id="66454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7837938">
      <w:bodyDiv w:val="1"/>
      <w:marLeft w:val="0"/>
      <w:marRight w:val="0"/>
      <w:marTop w:val="0"/>
      <w:marBottom w:val="0"/>
      <w:divBdr>
        <w:top w:val="none" w:sz="0" w:space="0" w:color="auto"/>
        <w:left w:val="none" w:sz="0" w:space="0" w:color="auto"/>
        <w:bottom w:val="none" w:sz="0" w:space="0" w:color="auto"/>
        <w:right w:val="none" w:sz="0" w:space="0" w:color="auto"/>
      </w:divBdr>
    </w:div>
    <w:div w:id="1915356272">
      <w:bodyDiv w:val="1"/>
      <w:marLeft w:val="0"/>
      <w:marRight w:val="0"/>
      <w:marTop w:val="0"/>
      <w:marBottom w:val="0"/>
      <w:divBdr>
        <w:top w:val="none" w:sz="0" w:space="0" w:color="auto"/>
        <w:left w:val="none" w:sz="0" w:space="0" w:color="auto"/>
        <w:bottom w:val="none" w:sz="0" w:space="0" w:color="auto"/>
        <w:right w:val="none" w:sz="0" w:space="0" w:color="auto"/>
      </w:divBdr>
      <w:divsChild>
        <w:div w:id="1865290904">
          <w:marLeft w:val="0"/>
          <w:marRight w:val="0"/>
          <w:marTop w:val="0"/>
          <w:marBottom w:val="0"/>
          <w:divBdr>
            <w:top w:val="none" w:sz="0" w:space="0" w:color="auto"/>
            <w:left w:val="none" w:sz="0" w:space="0" w:color="auto"/>
            <w:bottom w:val="none" w:sz="0" w:space="0" w:color="auto"/>
            <w:right w:val="none" w:sz="0" w:space="0" w:color="auto"/>
          </w:divBdr>
          <w:divsChild>
            <w:div w:id="806120435">
              <w:marLeft w:val="0"/>
              <w:marRight w:val="0"/>
              <w:marTop w:val="0"/>
              <w:marBottom w:val="0"/>
              <w:divBdr>
                <w:top w:val="none" w:sz="0" w:space="0" w:color="auto"/>
                <w:left w:val="none" w:sz="0" w:space="0" w:color="auto"/>
                <w:bottom w:val="none" w:sz="0" w:space="0" w:color="auto"/>
                <w:right w:val="none" w:sz="0" w:space="0" w:color="auto"/>
              </w:divBdr>
              <w:divsChild>
                <w:div w:id="705107761">
                  <w:marLeft w:val="0"/>
                  <w:marRight w:val="0"/>
                  <w:marTop w:val="0"/>
                  <w:marBottom w:val="0"/>
                  <w:divBdr>
                    <w:top w:val="none" w:sz="0" w:space="0" w:color="auto"/>
                    <w:left w:val="none" w:sz="0" w:space="0" w:color="auto"/>
                    <w:bottom w:val="none" w:sz="0" w:space="0" w:color="auto"/>
                    <w:right w:val="none" w:sz="0" w:space="0" w:color="auto"/>
                  </w:divBdr>
                  <w:divsChild>
                    <w:div w:id="1408838600">
                      <w:marLeft w:val="0"/>
                      <w:marRight w:val="0"/>
                      <w:marTop w:val="0"/>
                      <w:marBottom w:val="0"/>
                      <w:divBdr>
                        <w:top w:val="none" w:sz="0" w:space="0" w:color="auto"/>
                        <w:left w:val="none" w:sz="0" w:space="0" w:color="auto"/>
                        <w:bottom w:val="none" w:sz="0" w:space="0" w:color="auto"/>
                        <w:right w:val="none" w:sz="0" w:space="0" w:color="auto"/>
                      </w:divBdr>
                      <w:divsChild>
                        <w:div w:id="164639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526630">
          <w:marLeft w:val="0"/>
          <w:marRight w:val="0"/>
          <w:marTop w:val="0"/>
          <w:marBottom w:val="0"/>
          <w:divBdr>
            <w:top w:val="none" w:sz="0" w:space="0" w:color="auto"/>
            <w:left w:val="none" w:sz="0" w:space="0" w:color="auto"/>
            <w:bottom w:val="none" w:sz="0" w:space="0" w:color="auto"/>
            <w:right w:val="none" w:sz="0" w:space="0" w:color="auto"/>
          </w:divBdr>
          <w:divsChild>
            <w:div w:id="460223352">
              <w:marLeft w:val="0"/>
              <w:marRight w:val="0"/>
              <w:marTop w:val="0"/>
              <w:marBottom w:val="0"/>
              <w:divBdr>
                <w:top w:val="none" w:sz="0" w:space="0" w:color="auto"/>
                <w:left w:val="none" w:sz="0" w:space="0" w:color="auto"/>
                <w:bottom w:val="none" w:sz="0" w:space="0" w:color="auto"/>
                <w:right w:val="none" w:sz="0" w:space="0" w:color="auto"/>
              </w:divBdr>
              <w:divsChild>
                <w:div w:id="1866598151">
                  <w:marLeft w:val="0"/>
                  <w:marRight w:val="0"/>
                  <w:marTop w:val="0"/>
                  <w:marBottom w:val="0"/>
                  <w:divBdr>
                    <w:top w:val="none" w:sz="0" w:space="0" w:color="auto"/>
                    <w:left w:val="none" w:sz="0" w:space="0" w:color="auto"/>
                    <w:bottom w:val="none" w:sz="0" w:space="0" w:color="auto"/>
                    <w:right w:val="none" w:sz="0" w:space="0" w:color="auto"/>
                  </w:divBdr>
                  <w:divsChild>
                    <w:div w:id="945311586">
                      <w:marLeft w:val="0"/>
                      <w:marRight w:val="0"/>
                      <w:marTop w:val="0"/>
                      <w:marBottom w:val="0"/>
                      <w:divBdr>
                        <w:top w:val="none" w:sz="0" w:space="0" w:color="auto"/>
                        <w:left w:val="none" w:sz="0" w:space="0" w:color="auto"/>
                        <w:bottom w:val="none" w:sz="0" w:space="0" w:color="auto"/>
                        <w:right w:val="none" w:sz="0" w:space="0" w:color="auto"/>
                      </w:divBdr>
                      <w:divsChild>
                        <w:div w:id="53670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045620">
      <w:bodyDiv w:val="1"/>
      <w:marLeft w:val="0"/>
      <w:marRight w:val="0"/>
      <w:marTop w:val="0"/>
      <w:marBottom w:val="0"/>
      <w:divBdr>
        <w:top w:val="none" w:sz="0" w:space="0" w:color="auto"/>
        <w:left w:val="none" w:sz="0" w:space="0" w:color="auto"/>
        <w:bottom w:val="none" w:sz="0" w:space="0" w:color="auto"/>
        <w:right w:val="none" w:sz="0" w:space="0" w:color="auto"/>
      </w:divBdr>
      <w:divsChild>
        <w:div w:id="94596578">
          <w:marLeft w:val="0"/>
          <w:marRight w:val="0"/>
          <w:marTop w:val="0"/>
          <w:marBottom w:val="0"/>
          <w:divBdr>
            <w:top w:val="none" w:sz="0" w:space="0" w:color="auto"/>
            <w:left w:val="none" w:sz="0" w:space="0" w:color="auto"/>
            <w:bottom w:val="none" w:sz="0" w:space="0" w:color="auto"/>
            <w:right w:val="none" w:sz="0" w:space="0" w:color="auto"/>
          </w:divBdr>
          <w:divsChild>
            <w:div w:id="1933316110">
              <w:marLeft w:val="0"/>
              <w:marRight w:val="0"/>
              <w:marTop w:val="0"/>
              <w:marBottom w:val="0"/>
              <w:divBdr>
                <w:top w:val="none" w:sz="0" w:space="0" w:color="auto"/>
                <w:left w:val="none" w:sz="0" w:space="0" w:color="auto"/>
                <w:bottom w:val="none" w:sz="0" w:space="0" w:color="auto"/>
                <w:right w:val="none" w:sz="0" w:space="0" w:color="auto"/>
              </w:divBdr>
              <w:divsChild>
                <w:div w:id="936015690">
                  <w:marLeft w:val="0"/>
                  <w:marRight w:val="0"/>
                  <w:marTop w:val="0"/>
                  <w:marBottom w:val="0"/>
                  <w:divBdr>
                    <w:top w:val="none" w:sz="0" w:space="0" w:color="auto"/>
                    <w:left w:val="none" w:sz="0" w:space="0" w:color="auto"/>
                    <w:bottom w:val="none" w:sz="0" w:space="0" w:color="auto"/>
                    <w:right w:val="none" w:sz="0" w:space="0" w:color="auto"/>
                  </w:divBdr>
                  <w:divsChild>
                    <w:div w:id="162145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460753">
          <w:marLeft w:val="0"/>
          <w:marRight w:val="0"/>
          <w:marTop w:val="0"/>
          <w:marBottom w:val="0"/>
          <w:divBdr>
            <w:top w:val="none" w:sz="0" w:space="0" w:color="auto"/>
            <w:left w:val="none" w:sz="0" w:space="0" w:color="auto"/>
            <w:bottom w:val="none" w:sz="0" w:space="0" w:color="auto"/>
            <w:right w:val="none" w:sz="0" w:space="0" w:color="auto"/>
          </w:divBdr>
          <w:divsChild>
            <w:div w:id="188495994">
              <w:marLeft w:val="0"/>
              <w:marRight w:val="0"/>
              <w:marTop w:val="0"/>
              <w:marBottom w:val="0"/>
              <w:divBdr>
                <w:top w:val="none" w:sz="0" w:space="0" w:color="auto"/>
                <w:left w:val="none" w:sz="0" w:space="0" w:color="auto"/>
                <w:bottom w:val="none" w:sz="0" w:space="0" w:color="auto"/>
                <w:right w:val="none" w:sz="0" w:space="0" w:color="auto"/>
              </w:divBdr>
              <w:divsChild>
                <w:div w:id="1058824716">
                  <w:marLeft w:val="0"/>
                  <w:marRight w:val="0"/>
                  <w:marTop w:val="0"/>
                  <w:marBottom w:val="0"/>
                  <w:divBdr>
                    <w:top w:val="none" w:sz="0" w:space="0" w:color="auto"/>
                    <w:left w:val="none" w:sz="0" w:space="0" w:color="auto"/>
                    <w:bottom w:val="none" w:sz="0" w:space="0" w:color="auto"/>
                    <w:right w:val="none" w:sz="0" w:space="0" w:color="auto"/>
                  </w:divBdr>
                  <w:divsChild>
                    <w:div w:id="1577400112">
                      <w:marLeft w:val="0"/>
                      <w:marRight w:val="0"/>
                      <w:marTop w:val="0"/>
                      <w:marBottom w:val="0"/>
                      <w:divBdr>
                        <w:top w:val="none" w:sz="0" w:space="0" w:color="auto"/>
                        <w:left w:val="none" w:sz="0" w:space="0" w:color="auto"/>
                        <w:bottom w:val="none" w:sz="0" w:space="0" w:color="auto"/>
                        <w:right w:val="none" w:sz="0" w:space="0" w:color="auto"/>
                      </w:divBdr>
                      <w:divsChild>
                        <w:div w:id="24218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a.go.ug/index.php/media-centre/what-s-new/369-era-consults-stakeholders-on-the-2022-electricity-tariffs" TargetMode="External"/><Relationship Id="rId13" Type="http://schemas.openxmlformats.org/officeDocument/2006/relationships/hyperlink" Target="https://doi.org/10.1080/15575330.2022.2040134" TargetMode="External"/><Relationship Id="rId18" Type="http://schemas.openxmlformats.org/officeDocument/2006/relationships/hyperlink" Target="https://doi.org/10.1016/j.enpol.2022.112893"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cif.org/sites/cif_enc/files/knowledge-documents/country_level_stakeholder_engagement_study.pdf" TargetMode="External"/><Relationship Id="rId12" Type="http://schemas.openxmlformats.org/officeDocument/2006/relationships/hyperlink" Target="https://doi.org/10.1016/j.enpol.2022.112893" TargetMode="External"/><Relationship Id="rId17" Type="http://schemas.openxmlformats.org/officeDocument/2006/relationships/hyperlink" Target="https://www.newvision.co.ug/category/news/delayed-merger-disrupting-energy-sector-servi-NV_183453" TargetMode="External"/><Relationship Id="rId2" Type="http://schemas.openxmlformats.org/officeDocument/2006/relationships/styles" Target="styles.xml"/><Relationship Id="rId16" Type="http://schemas.openxmlformats.org/officeDocument/2006/relationships/hyperlink" Target="https://www.nrel.gov/docs/fy22osti/82937.pdf"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limateactiontransparency.org/wp-content/uploads/2020/04/Stakeholder-Participation-Assessment-Guide.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1080/02646811.2022.2026699" TargetMode="External"/><Relationship Id="rId23" Type="http://schemas.openxmlformats.org/officeDocument/2006/relationships/fontTable" Target="fontTable.xml"/><Relationship Id="rId10" Type="http://schemas.openxmlformats.org/officeDocument/2006/relationships/hyperlink" Target="https://doi.org/10.1017/9781108235594"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ra.go.ug" TargetMode="External"/><Relationship Id="rId14" Type="http://schemas.openxmlformats.org/officeDocument/2006/relationships/hyperlink" Target="https://doi.org/10.1016/j.erss.2022.102514"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TotalTime>
  <Pages>26</Pages>
  <Words>7658</Words>
  <Characters>43654</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Editor GP 005</cp:lastModifiedBy>
  <cp:revision>30</cp:revision>
  <dcterms:created xsi:type="dcterms:W3CDTF">2025-03-03T15:42:00Z</dcterms:created>
  <dcterms:modified xsi:type="dcterms:W3CDTF">2025-03-25T10:01:00Z</dcterms:modified>
</cp:coreProperties>
</file>