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932F3" w14:textId="643DA378" w:rsidR="00C040CF" w:rsidRPr="00826725" w:rsidRDefault="008925D7" w:rsidP="00A06214">
      <w:pPr>
        <w:spacing w:before="84"/>
        <w:ind w:right="136"/>
        <w:jc w:val="right"/>
        <w:rPr>
          <w:rFonts w:ascii="Arial" w:hAnsi="Arial" w:cs="Arial"/>
          <w:b/>
          <w:bCs/>
          <w:sz w:val="48"/>
          <w:szCs w:val="48"/>
          <w:lang w:val="en-US"/>
        </w:rPr>
      </w:pPr>
      <w:r w:rsidRPr="005C33F2">
        <w:rPr>
          <w:rFonts w:ascii="Arial" w:hAnsi="Arial" w:cs="Arial"/>
          <w:b/>
          <w:bCs/>
          <w:sz w:val="48"/>
          <w:szCs w:val="48"/>
          <w:highlight w:val="yellow"/>
          <w:lang w:val="en-US"/>
        </w:rPr>
        <w:t xml:space="preserve">Exploring </w:t>
      </w:r>
      <w:r w:rsidR="00A82DF2" w:rsidRPr="005C33F2">
        <w:rPr>
          <w:rFonts w:ascii="Arial" w:hAnsi="Arial" w:cs="Arial"/>
          <w:b/>
          <w:bCs/>
          <w:sz w:val="48"/>
          <w:szCs w:val="48"/>
          <w:highlight w:val="yellow"/>
          <w:lang w:val="en-US"/>
        </w:rPr>
        <w:t>Internal M</w:t>
      </w:r>
      <w:r w:rsidR="00FD32D3" w:rsidRPr="005C33F2">
        <w:rPr>
          <w:rFonts w:ascii="Arial" w:hAnsi="Arial" w:cs="Arial"/>
          <w:b/>
          <w:bCs/>
          <w:sz w:val="48"/>
          <w:szCs w:val="48"/>
          <w:highlight w:val="yellow"/>
          <w:lang w:val="en-US"/>
        </w:rPr>
        <w:t xml:space="preserve">arketing </w:t>
      </w:r>
      <w:r w:rsidR="00A82DF2" w:rsidRPr="005C33F2">
        <w:rPr>
          <w:rFonts w:ascii="Arial" w:hAnsi="Arial" w:cs="Arial"/>
          <w:b/>
          <w:bCs/>
          <w:sz w:val="48"/>
          <w:szCs w:val="48"/>
          <w:highlight w:val="yellow"/>
          <w:lang w:val="en-US"/>
        </w:rPr>
        <w:t>Dimensions in the Bank</w:t>
      </w:r>
      <w:r w:rsidRPr="005C33F2">
        <w:rPr>
          <w:rFonts w:ascii="Arial" w:hAnsi="Arial" w:cs="Arial"/>
          <w:b/>
          <w:bCs/>
          <w:sz w:val="48"/>
          <w:szCs w:val="48"/>
          <w:highlight w:val="yellow"/>
          <w:lang w:val="en-US"/>
        </w:rPr>
        <w:t>ing Sector of</w:t>
      </w:r>
      <w:r w:rsidR="00A82DF2" w:rsidRPr="005C33F2">
        <w:rPr>
          <w:rFonts w:ascii="Arial" w:hAnsi="Arial" w:cs="Arial"/>
          <w:b/>
          <w:bCs/>
          <w:sz w:val="48"/>
          <w:szCs w:val="48"/>
          <w:highlight w:val="yellow"/>
          <w:lang w:val="en-US"/>
        </w:rPr>
        <w:t xml:space="preserve"> Bosnia and Herzegovina</w:t>
      </w:r>
    </w:p>
    <w:p w14:paraId="6DF446C7" w14:textId="77777777" w:rsidR="00C040CF" w:rsidRPr="00826725" w:rsidRDefault="00C040CF" w:rsidP="00C040CF">
      <w:pPr>
        <w:spacing w:line="276" w:lineRule="auto"/>
        <w:jc w:val="center"/>
        <w:rPr>
          <w:rFonts w:ascii="Arial" w:hAnsi="Arial" w:cs="Arial"/>
          <w:b/>
          <w:bCs/>
          <w:lang w:val="en-US"/>
        </w:rPr>
      </w:pPr>
    </w:p>
    <w:p w14:paraId="67125D2B" w14:textId="77777777" w:rsidR="00940B3B" w:rsidRPr="00940B3B" w:rsidRDefault="00940B3B" w:rsidP="00A3747A">
      <w:pPr>
        <w:jc w:val="right"/>
        <w:rPr>
          <w:rFonts w:ascii="Arial" w:hAnsi="Arial" w:cs="Arial"/>
          <w:i/>
          <w:sz w:val="20"/>
          <w:szCs w:val="20"/>
          <w:shd w:val="clear" w:color="auto" w:fill="FFFFFF"/>
        </w:rPr>
      </w:pPr>
    </w:p>
    <w:p w14:paraId="365D045C" w14:textId="77777777" w:rsidR="00C040CF" w:rsidRPr="00826725" w:rsidRDefault="00C040CF" w:rsidP="00C040CF">
      <w:pPr>
        <w:spacing w:line="276" w:lineRule="auto"/>
        <w:rPr>
          <w:rFonts w:ascii="Arial" w:hAnsi="Arial" w:cs="Arial"/>
          <w:lang w:val="en-US"/>
        </w:rPr>
      </w:pPr>
    </w:p>
    <w:p w14:paraId="297D091A" w14:textId="0E2D4480" w:rsidR="00C040CF" w:rsidRPr="00826725" w:rsidRDefault="00C040CF" w:rsidP="00C040CF">
      <w:pPr>
        <w:spacing w:line="276" w:lineRule="auto"/>
        <w:rPr>
          <w:rFonts w:ascii="Arial" w:hAnsi="Arial" w:cs="Arial"/>
          <w:b/>
          <w:bCs/>
          <w:lang w:val="en-US"/>
        </w:rPr>
      </w:pPr>
      <w:r w:rsidRPr="00826725">
        <w:rPr>
          <w:rFonts w:ascii="Arial" w:hAnsi="Arial" w:cs="Arial"/>
          <w:b/>
          <w:bCs/>
          <w:lang w:val="en-US"/>
        </w:rPr>
        <w:t>A</w:t>
      </w:r>
      <w:r w:rsidR="00593A78" w:rsidRPr="00826725">
        <w:rPr>
          <w:rFonts w:ascii="Arial" w:hAnsi="Arial" w:cs="Arial"/>
          <w:b/>
          <w:bCs/>
          <w:lang w:val="en-US"/>
        </w:rPr>
        <w:t>B</w:t>
      </w:r>
      <w:r w:rsidRPr="00826725">
        <w:rPr>
          <w:rFonts w:ascii="Arial" w:hAnsi="Arial" w:cs="Arial"/>
          <w:b/>
          <w:bCs/>
          <w:lang w:val="en-US"/>
        </w:rPr>
        <w:t>STRA</w:t>
      </w:r>
      <w:r w:rsidR="00593A78" w:rsidRPr="00826725">
        <w:rPr>
          <w:rFonts w:ascii="Arial" w:hAnsi="Arial" w:cs="Arial"/>
          <w:b/>
          <w:bCs/>
          <w:lang w:val="en-US"/>
        </w:rPr>
        <w:t>C</w:t>
      </w:r>
      <w:r w:rsidRPr="00826725">
        <w:rPr>
          <w:rFonts w:ascii="Arial" w:hAnsi="Arial" w:cs="Arial"/>
          <w:b/>
          <w:bCs/>
          <w:lang w:val="en-US"/>
        </w:rPr>
        <w:t>T</w:t>
      </w:r>
    </w:p>
    <w:p w14:paraId="5AA5CDC5" w14:textId="4E6F3DD7" w:rsidR="00C040CF" w:rsidRPr="00826725" w:rsidRDefault="00C040CF" w:rsidP="00C040CF">
      <w:pPr>
        <w:spacing w:line="276" w:lineRule="auto"/>
        <w:jc w:val="both"/>
        <w:rPr>
          <w:rFonts w:ascii="Arial" w:hAnsi="Arial" w:cs="Arial"/>
          <w:sz w:val="20"/>
          <w:szCs w:val="20"/>
          <w:lang w:val="en-US"/>
        </w:rPr>
      </w:pPr>
    </w:p>
    <w:p w14:paraId="50B5654B" w14:textId="37ECD5D7" w:rsidR="00C040CF" w:rsidRPr="008610EE" w:rsidRDefault="00C040CF" w:rsidP="008610EE">
      <w:pPr>
        <w:jc w:val="both"/>
        <w:rPr>
          <w:rFonts w:ascii="Arial" w:hAnsi="Arial" w:cs="Arial"/>
          <w:sz w:val="20"/>
          <w:szCs w:val="20"/>
        </w:rPr>
      </w:pPr>
      <w:r w:rsidRPr="008610EE">
        <w:rPr>
          <w:rFonts w:ascii="Arial" w:hAnsi="Arial" w:cs="Arial"/>
          <w:b/>
          <w:sz w:val="20"/>
          <w:szCs w:val="20"/>
        </w:rPr>
        <w:t>Aims:</w:t>
      </w:r>
      <w:r w:rsidRPr="008610EE">
        <w:rPr>
          <w:rFonts w:ascii="Arial" w:hAnsi="Arial" w:cs="Arial"/>
          <w:sz w:val="20"/>
          <w:szCs w:val="20"/>
        </w:rPr>
        <w:t xml:space="preserve"> </w:t>
      </w:r>
      <w:r w:rsidR="000B1BC3" w:rsidRPr="000B1BC3">
        <w:rPr>
          <w:rFonts w:ascii="Arial" w:hAnsi="Arial" w:cs="Arial"/>
          <w:sz w:val="20"/>
          <w:szCs w:val="20"/>
          <w:highlight w:val="yellow"/>
        </w:rPr>
        <w:t>This</w:t>
      </w:r>
      <w:r w:rsidR="00726698" w:rsidRPr="000B1BC3">
        <w:rPr>
          <w:rFonts w:ascii="Arial" w:hAnsi="Arial" w:cs="Arial"/>
          <w:sz w:val="20"/>
          <w:szCs w:val="20"/>
          <w:highlight w:val="yellow"/>
        </w:rPr>
        <w:t xml:space="preserve"> paper </w:t>
      </w:r>
      <w:r w:rsidR="000B1BC3" w:rsidRPr="000B1BC3">
        <w:rPr>
          <w:rFonts w:ascii="Arial" w:hAnsi="Arial" w:cs="Arial"/>
          <w:sz w:val="20"/>
          <w:szCs w:val="20"/>
          <w:highlight w:val="yellow"/>
        </w:rPr>
        <w:t>aims to investigate</w:t>
      </w:r>
      <w:r w:rsidR="000B1BC3">
        <w:rPr>
          <w:rFonts w:ascii="Arial" w:hAnsi="Arial" w:cs="Arial"/>
          <w:sz w:val="20"/>
          <w:szCs w:val="20"/>
        </w:rPr>
        <w:t xml:space="preserve"> </w:t>
      </w:r>
      <w:r w:rsidR="009D51C7" w:rsidRPr="008610EE">
        <w:rPr>
          <w:rFonts w:ascii="Arial" w:hAnsi="Arial" w:cs="Arial"/>
          <w:sz w:val="20"/>
          <w:szCs w:val="20"/>
        </w:rPr>
        <w:t>internal marketing dimensions in banks in the market of Bosnia and Herzegovina</w:t>
      </w:r>
      <w:r w:rsidR="008E47F8" w:rsidRPr="008610EE">
        <w:rPr>
          <w:rFonts w:ascii="Arial" w:hAnsi="Arial" w:cs="Arial"/>
          <w:sz w:val="20"/>
          <w:szCs w:val="20"/>
        </w:rPr>
        <w:t xml:space="preserve"> (BiH)</w:t>
      </w:r>
      <w:r w:rsidR="009D51C7" w:rsidRPr="008610EE">
        <w:rPr>
          <w:rFonts w:ascii="Arial" w:hAnsi="Arial" w:cs="Arial"/>
          <w:sz w:val="20"/>
          <w:szCs w:val="20"/>
        </w:rPr>
        <w:t xml:space="preserve">. The research aims are: 1) To determine the attitudes of employees and management regarding the presence of the observed internal marketing dimensions (familiarity with the vision, reward system, training and development, internal communication) in </w:t>
      </w:r>
      <w:r w:rsidR="008E47F8" w:rsidRPr="008610EE">
        <w:rPr>
          <w:rFonts w:ascii="Arial" w:hAnsi="Arial" w:cs="Arial"/>
          <w:sz w:val="20"/>
          <w:szCs w:val="20"/>
        </w:rPr>
        <w:t xml:space="preserve">the </w:t>
      </w:r>
      <w:r w:rsidR="009D51C7" w:rsidRPr="008610EE">
        <w:rPr>
          <w:rFonts w:ascii="Arial" w:hAnsi="Arial" w:cs="Arial"/>
          <w:sz w:val="20"/>
          <w:szCs w:val="20"/>
        </w:rPr>
        <w:t xml:space="preserve">banks in </w:t>
      </w:r>
      <w:r w:rsidR="008E47F8" w:rsidRPr="008610EE">
        <w:rPr>
          <w:rFonts w:ascii="Arial" w:hAnsi="Arial" w:cs="Arial"/>
          <w:sz w:val="20"/>
          <w:szCs w:val="20"/>
        </w:rPr>
        <w:t>BiH</w:t>
      </w:r>
      <w:r w:rsidR="009D51C7" w:rsidRPr="008610EE">
        <w:rPr>
          <w:rFonts w:ascii="Arial" w:hAnsi="Arial" w:cs="Arial"/>
          <w:sz w:val="20"/>
          <w:szCs w:val="20"/>
        </w:rPr>
        <w:t xml:space="preserve">, 2) To determine the existence of a statistically significant difference in the attitudes of employees and management regarding the presence of the observed internal marketing dimensions in </w:t>
      </w:r>
      <w:r w:rsidR="008E47F8" w:rsidRPr="008610EE">
        <w:rPr>
          <w:rFonts w:ascii="Arial" w:hAnsi="Arial" w:cs="Arial"/>
          <w:sz w:val="20"/>
          <w:szCs w:val="20"/>
        </w:rPr>
        <w:t xml:space="preserve">the </w:t>
      </w:r>
      <w:r w:rsidR="009D51C7" w:rsidRPr="008610EE">
        <w:rPr>
          <w:rFonts w:ascii="Arial" w:hAnsi="Arial" w:cs="Arial"/>
          <w:sz w:val="20"/>
          <w:szCs w:val="20"/>
        </w:rPr>
        <w:t xml:space="preserve">banks in </w:t>
      </w:r>
      <w:r w:rsidR="008E47F8" w:rsidRPr="008610EE">
        <w:rPr>
          <w:rFonts w:ascii="Arial" w:hAnsi="Arial" w:cs="Arial"/>
          <w:sz w:val="20"/>
          <w:szCs w:val="20"/>
        </w:rPr>
        <w:t>BiH</w:t>
      </w:r>
      <w:r w:rsidR="009D51C7" w:rsidRPr="008610EE">
        <w:rPr>
          <w:rFonts w:ascii="Arial" w:hAnsi="Arial" w:cs="Arial"/>
          <w:sz w:val="20"/>
          <w:szCs w:val="20"/>
        </w:rPr>
        <w:t xml:space="preserve">, 3) To determine the impact of socio-demographic characteristics on the attitudes of employees and management regarding the presence of the observed internal marketing dimensions in </w:t>
      </w:r>
      <w:r w:rsidR="008E47F8" w:rsidRPr="008610EE">
        <w:rPr>
          <w:rFonts w:ascii="Arial" w:hAnsi="Arial" w:cs="Arial"/>
          <w:sz w:val="20"/>
          <w:szCs w:val="20"/>
        </w:rPr>
        <w:t xml:space="preserve">the </w:t>
      </w:r>
      <w:r w:rsidR="009D51C7" w:rsidRPr="008610EE">
        <w:rPr>
          <w:rFonts w:ascii="Arial" w:hAnsi="Arial" w:cs="Arial"/>
          <w:sz w:val="20"/>
          <w:szCs w:val="20"/>
        </w:rPr>
        <w:t>banks in Bosnia and Herzegovina.</w:t>
      </w:r>
    </w:p>
    <w:p w14:paraId="066BFC92" w14:textId="04EBB101" w:rsidR="007F7565" w:rsidRPr="008610EE" w:rsidRDefault="000C78FD" w:rsidP="008610EE">
      <w:pPr>
        <w:jc w:val="both"/>
        <w:rPr>
          <w:rFonts w:ascii="Arial" w:hAnsi="Arial" w:cs="Arial"/>
          <w:sz w:val="20"/>
          <w:szCs w:val="20"/>
        </w:rPr>
      </w:pPr>
      <w:r w:rsidRPr="008610EE">
        <w:rPr>
          <w:rFonts w:ascii="Arial" w:hAnsi="Arial" w:cs="Arial"/>
          <w:b/>
          <w:sz w:val="20"/>
          <w:szCs w:val="20"/>
        </w:rPr>
        <w:t>Study design:</w:t>
      </w:r>
      <w:r w:rsidRPr="008610EE">
        <w:rPr>
          <w:rFonts w:ascii="Arial" w:hAnsi="Arial" w:cs="Arial"/>
          <w:sz w:val="20"/>
          <w:szCs w:val="20"/>
        </w:rPr>
        <w:t xml:space="preserve"> </w:t>
      </w:r>
      <w:r w:rsidR="00EC2FEF" w:rsidRPr="008610EE">
        <w:rPr>
          <w:rFonts w:ascii="Arial" w:hAnsi="Arial" w:cs="Arial"/>
          <w:sz w:val="20"/>
          <w:szCs w:val="20"/>
        </w:rPr>
        <w:t xml:space="preserve">A quantitative research approach was employed to investigate internal marketing dimensions, </w:t>
      </w:r>
      <w:r w:rsidR="00940B3B" w:rsidRPr="008610EE">
        <w:rPr>
          <w:rFonts w:ascii="Arial" w:hAnsi="Arial" w:cs="Arial"/>
          <w:sz w:val="20"/>
          <w:szCs w:val="20"/>
        </w:rPr>
        <w:t>utilizing a survey method</w:t>
      </w:r>
      <w:r w:rsidR="00EC2FEF" w:rsidRPr="008610EE">
        <w:rPr>
          <w:rFonts w:ascii="Arial" w:hAnsi="Arial" w:cs="Arial"/>
          <w:sz w:val="20"/>
          <w:szCs w:val="20"/>
        </w:rPr>
        <w:t xml:space="preserve"> to c</w:t>
      </w:r>
      <w:r w:rsidR="00940B3B" w:rsidRPr="008610EE">
        <w:rPr>
          <w:rFonts w:ascii="Arial" w:hAnsi="Arial" w:cs="Arial"/>
          <w:sz w:val="20"/>
          <w:szCs w:val="20"/>
        </w:rPr>
        <w:t xml:space="preserve">ollect empirical data from </w:t>
      </w:r>
      <w:r w:rsidR="000B1BC3" w:rsidRPr="000B1BC3">
        <w:rPr>
          <w:rFonts w:ascii="Arial" w:hAnsi="Arial" w:cs="Arial"/>
          <w:sz w:val="20"/>
          <w:szCs w:val="20"/>
          <w:highlight w:val="yellow"/>
        </w:rPr>
        <w:t xml:space="preserve">management </w:t>
      </w:r>
      <w:r w:rsidR="00940B3B" w:rsidRPr="000B1BC3">
        <w:rPr>
          <w:rFonts w:ascii="Arial" w:hAnsi="Arial" w:cs="Arial"/>
          <w:sz w:val="20"/>
          <w:szCs w:val="20"/>
          <w:highlight w:val="yellow"/>
        </w:rPr>
        <w:t>and</w:t>
      </w:r>
      <w:r w:rsidR="00940B3B" w:rsidRPr="008610EE">
        <w:rPr>
          <w:rFonts w:ascii="Arial" w:hAnsi="Arial" w:cs="Arial"/>
          <w:sz w:val="20"/>
          <w:szCs w:val="20"/>
        </w:rPr>
        <w:t xml:space="preserve"> employees in banks across Bosnia and Herzegovina.</w:t>
      </w:r>
    </w:p>
    <w:p w14:paraId="2BAAC07E" w14:textId="7D1AE94A" w:rsidR="00C040CF" w:rsidRPr="008610EE" w:rsidRDefault="00C040CF" w:rsidP="008610EE">
      <w:pPr>
        <w:jc w:val="both"/>
        <w:rPr>
          <w:rFonts w:ascii="Arial" w:hAnsi="Arial" w:cs="Arial"/>
          <w:sz w:val="20"/>
          <w:szCs w:val="20"/>
        </w:rPr>
      </w:pPr>
      <w:r w:rsidRPr="008610EE">
        <w:rPr>
          <w:rFonts w:ascii="Arial" w:hAnsi="Arial" w:cs="Arial"/>
          <w:b/>
          <w:sz w:val="20"/>
          <w:szCs w:val="20"/>
        </w:rPr>
        <w:t xml:space="preserve">Place </w:t>
      </w:r>
      <w:r w:rsidR="000C78FD" w:rsidRPr="008610EE">
        <w:rPr>
          <w:rFonts w:ascii="Arial" w:hAnsi="Arial" w:cs="Arial"/>
          <w:b/>
          <w:sz w:val="20"/>
          <w:szCs w:val="20"/>
        </w:rPr>
        <w:t xml:space="preserve">and Duration </w:t>
      </w:r>
      <w:r w:rsidRPr="008610EE">
        <w:rPr>
          <w:rFonts w:ascii="Arial" w:hAnsi="Arial" w:cs="Arial"/>
          <w:b/>
          <w:sz w:val="20"/>
          <w:szCs w:val="20"/>
        </w:rPr>
        <w:t>of Study:</w:t>
      </w:r>
      <w:r w:rsidRPr="008610EE">
        <w:rPr>
          <w:rFonts w:ascii="Arial" w:hAnsi="Arial" w:cs="Arial"/>
          <w:sz w:val="20"/>
          <w:szCs w:val="20"/>
        </w:rPr>
        <w:t xml:space="preserve"> </w:t>
      </w:r>
      <w:r w:rsidR="009D51C7" w:rsidRPr="008610EE">
        <w:rPr>
          <w:rFonts w:ascii="Arial" w:hAnsi="Arial" w:cs="Arial"/>
          <w:sz w:val="20"/>
          <w:szCs w:val="20"/>
        </w:rPr>
        <w:t xml:space="preserve">The data were collected in </w:t>
      </w:r>
      <w:r w:rsidR="008E47F8" w:rsidRPr="008610EE">
        <w:rPr>
          <w:rFonts w:ascii="Arial" w:hAnsi="Arial" w:cs="Arial"/>
          <w:sz w:val="20"/>
          <w:szCs w:val="20"/>
        </w:rPr>
        <w:t>B</w:t>
      </w:r>
      <w:r w:rsidR="000B1BC3">
        <w:rPr>
          <w:rFonts w:ascii="Arial" w:hAnsi="Arial" w:cs="Arial"/>
          <w:sz w:val="20"/>
          <w:szCs w:val="20"/>
        </w:rPr>
        <w:t>osnia and Herzegovina</w:t>
      </w:r>
      <w:r w:rsidR="009D51C7" w:rsidRPr="008610EE">
        <w:rPr>
          <w:rFonts w:ascii="Arial" w:hAnsi="Arial" w:cs="Arial"/>
          <w:sz w:val="20"/>
          <w:szCs w:val="20"/>
        </w:rPr>
        <w:t xml:space="preserve"> from </w:t>
      </w:r>
      <w:r w:rsidR="000B1BC3" w:rsidRPr="000B1BC3">
        <w:rPr>
          <w:rFonts w:ascii="Arial" w:hAnsi="Arial" w:cs="Arial"/>
          <w:sz w:val="20"/>
          <w:szCs w:val="20"/>
          <w:highlight w:val="yellow"/>
        </w:rPr>
        <w:t>management</w:t>
      </w:r>
      <w:r w:rsidR="009D51C7" w:rsidRPr="008610EE">
        <w:rPr>
          <w:rFonts w:ascii="Arial" w:hAnsi="Arial" w:cs="Arial"/>
          <w:sz w:val="20"/>
          <w:szCs w:val="20"/>
        </w:rPr>
        <w:t xml:space="preserve"> and employees of the banks during the last quarter of 2023.</w:t>
      </w:r>
    </w:p>
    <w:p w14:paraId="4277DC24" w14:textId="7EA1D626" w:rsidR="00C040CF" w:rsidRPr="0029451C" w:rsidRDefault="00C040CF" w:rsidP="0029451C">
      <w:pPr>
        <w:pStyle w:val="NormalWeb"/>
        <w:spacing w:before="0" w:beforeAutospacing="0" w:after="0" w:afterAutospacing="0"/>
        <w:jc w:val="both"/>
        <w:rPr>
          <w:rFonts w:ascii="Arial" w:hAnsi="Arial" w:cs="Arial"/>
          <w:sz w:val="20"/>
          <w:szCs w:val="20"/>
          <w:highlight w:val="yellow"/>
        </w:rPr>
      </w:pPr>
      <w:r w:rsidRPr="000B1BC3">
        <w:rPr>
          <w:rFonts w:ascii="Arial" w:hAnsi="Arial" w:cs="Arial"/>
          <w:b/>
          <w:sz w:val="20"/>
          <w:szCs w:val="20"/>
        </w:rPr>
        <w:t>Met</w:t>
      </w:r>
      <w:r w:rsidR="00EC2FEF" w:rsidRPr="000B1BC3">
        <w:rPr>
          <w:rFonts w:ascii="Arial" w:hAnsi="Arial" w:cs="Arial"/>
          <w:b/>
          <w:sz w:val="20"/>
          <w:szCs w:val="20"/>
        </w:rPr>
        <w:t>h</w:t>
      </w:r>
      <w:r w:rsidRPr="000B1BC3">
        <w:rPr>
          <w:rFonts w:ascii="Arial" w:hAnsi="Arial" w:cs="Arial"/>
          <w:b/>
          <w:sz w:val="20"/>
          <w:szCs w:val="20"/>
        </w:rPr>
        <w:t>odology:</w:t>
      </w:r>
      <w:r w:rsidRPr="008610EE">
        <w:rPr>
          <w:rFonts w:ascii="Arial" w:hAnsi="Arial" w:cs="Arial"/>
          <w:sz w:val="20"/>
          <w:szCs w:val="20"/>
        </w:rPr>
        <w:t xml:space="preserve"> </w:t>
      </w:r>
      <w:r w:rsidR="001F2781" w:rsidRPr="000B1BC3">
        <w:rPr>
          <w:rFonts w:ascii="Arial" w:hAnsi="Arial" w:cs="Arial"/>
          <w:sz w:val="20"/>
          <w:szCs w:val="20"/>
          <w:highlight w:val="yellow"/>
        </w:rPr>
        <w:t>This</w:t>
      </w:r>
      <w:r w:rsidR="001F2781">
        <w:rPr>
          <w:rFonts w:ascii="Arial" w:hAnsi="Arial" w:cs="Arial"/>
          <w:sz w:val="20"/>
          <w:szCs w:val="20"/>
        </w:rPr>
        <w:t xml:space="preserve"> </w:t>
      </w:r>
      <w:r w:rsidR="001F2781" w:rsidRPr="008610EE">
        <w:rPr>
          <w:rFonts w:ascii="Arial" w:hAnsi="Arial" w:cs="Arial"/>
          <w:sz w:val="20"/>
          <w:szCs w:val="20"/>
        </w:rPr>
        <w:t>paper is based on empirical data collected through the</w:t>
      </w:r>
      <w:r w:rsidR="001F2781">
        <w:rPr>
          <w:rFonts w:ascii="Arial" w:hAnsi="Arial" w:cs="Arial"/>
          <w:sz w:val="20"/>
          <w:szCs w:val="20"/>
        </w:rPr>
        <w:t xml:space="preserve"> written structured questionnaire. </w:t>
      </w:r>
      <w:r w:rsidR="001F2781">
        <w:rPr>
          <w:rFonts w:ascii="Arial" w:hAnsi="Arial" w:cs="Arial"/>
          <w:sz w:val="20"/>
          <w:szCs w:val="20"/>
          <w:highlight w:val="yellow"/>
        </w:rPr>
        <w:t>The</w:t>
      </w:r>
      <w:r w:rsidR="00D05BDC" w:rsidRPr="00DD1F7E">
        <w:rPr>
          <w:rFonts w:ascii="Arial" w:hAnsi="Arial" w:cs="Arial"/>
          <w:sz w:val="20"/>
          <w:szCs w:val="20"/>
          <w:highlight w:val="yellow"/>
        </w:rPr>
        <w:t xml:space="preserve"> total of 250 questionnaires were collected, of which 18</w:t>
      </w:r>
      <w:r w:rsidR="00D05BDC">
        <w:rPr>
          <w:rFonts w:ascii="Arial" w:hAnsi="Arial" w:cs="Arial"/>
          <w:sz w:val="20"/>
          <w:szCs w:val="20"/>
          <w:highlight w:val="yellow"/>
        </w:rPr>
        <w:t>4</w:t>
      </w:r>
      <w:r w:rsidR="00D05BDC" w:rsidRPr="00DD1F7E">
        <w:rPr>
          <w:rFonts w:ascii="Arial" w:hAnsi="Arial" w:cs="Arial"/>
          <w:sz w:val="20"/>
          <w:szCs w:val="20"/>
          <w:highlight w:val="yellow"/>
        </w:rPr>
        <w:t xml:space="preserve"> were included in the analysis. The total numb</w:t>
      </w:r>
      <w:r w:rsidR="00D05BDC">
        <w:rPr>
          <w:rFonts w:ascii="Arial" w:hAnsi="Arial" w:cs="Arial"/>
          <w:sz w:val="20"/>
          <w:szCs w:val="20"/>
          <w:highlight w:val="yellow"/>
        </w:rPr>
        <w:t>er of validated responses was 63 from managers and 121</w:t>
      </w:r>
      <w:r w:rsidR="00D05BDC" w:rsidRPr="00DD1F7E">
        <w:rPr>
          <w:rFonts w:ascii="Arial" w:hAnsi="Arial" w:cs="Arial"/>
          <w:sz w:val="20"/>
          <w:szCs w:val="20"/>
          <w:highlight w:val="yellow"/>
        </w:rPr>
        <w:t xml:space="preserve"> from employees.</w:t>
      </w:r>
      <w:r w:rsidR="0029451C">
        <w:rPr>
          <w:rFonts w:ascii="Arial" w:hAnsi="Arial" w:cs="Arial"/>
          <w:sz w:val="20"/>
          <w:szCs w:val="20"/>
        </w:rPr>
        <w:t xml:space="preserve"> </w:t>
      </w:r>
      <w:r w:rsidR="007F7565" w:rsidRPr="008610EE">
        <w:rPr>
          <w:rFonts w:ascii="Arial" w:hAnsi="Arial" w:cs="Arial"/>
          <w:sz w:val="20"/>
          <w:szCs w:val="20"/>
        </w:rPr>
        <w:t>To analyze the data, an independent samples t-test was conducted to determine whether significant differences existed between employees' and management's perceptions of internal marketing dimensions. Additionally, a chi-square (χ2) test was used to examine the relationship between socio-demographic characteristics and respondents' attitudes toward internal marketing dimensions.</w:t>
      </w:r>
    </w:p>
    <w:p w14:paraId="09B1A814" w14:textId="5D51B985" w:rsidR="000C78FD" w:rsidRPr="008610EE" w:rsidRDefault="00C040CF" w:rsidP="008610EE">
      <w:pPr>
        <w:jc w:val="both"/>
        <w:rPr>
          <w:rFonts w:ascii="Arial" w:hAnsi="Arial" w:cs="Arial"/>
          <w:sz w:val="20"/>
          <w:szCs w:val="20"/>
        </w:rPr>
      </w:pPr>
      <w:r w:rsidRPr="008610EE">
        <w:rPr>
          <w:rFonts w:ascii="Arial" w:hAnsi="Arial" w:cs="Arial"/>
          <w:b/>
          <w:sz w:val="20"/>
          <w:szCs w:val="20"/>
        </w:rPr>
        <w:t>Results:</w:t>
      </w:r>
      <w:r w:rsidRPr="008610EE">
        <w:rPr>
          <w:rFonts w:ascii="Arial" w:hAnsi="Arial" w:cs="Arial"/>
          <w:sz w:val="20"/>
          <w:szCs w:val="20"/>
        </w:rPr>
        <w:t xml:space="preserve"> </w:t>
      </w:r>
      <w:r w:rsidR="008E47F8" w:rsidRPr="008610EE">
        <w:rPr>
          <w:rFonts w:ascii="Arial" w:hAnsi="Arial" w:cs="Arial"/>
          <w:sz w:val="20"/>
          <w:szCs w:val="20"/>
        </w:rPr>
        <w:t xml:space="preserve">The results </w:t>
      </w:r>
      <w:r w:rsidR="002543A5" w:rsidRPr="008610EE">
        <w:rPr>
          <w:rFonts w:ascii="Arial" w:hAnsi="Arial" w:cs="Arial"/>
          <w:sz w:val="20"/>
          <w:szCs w:val="20"/>
        </w:rPr>
        <w:t>indicate</w:t>
      </w:r>
      <w:r w:rsidR="008E47F8" w:rsidRPr="008610EE">
        <w:rPr>
          <w:rFonts w:ascii="Arial" w:hAnsi="Arial" w:cs="Arial"/>
          <w:sz w:val="20"/>
          <w:szCs w:val="20"/>
        </w:rPr>
        <w:t xml:space="preserve"> that the attitudes of employees and management differ in two out of four observed internal marketing dimensions: familiarity with the vision and the presence of the reward system in BiH banks. </w:t>
      </w:r>
      <w:r w:rsidR="002543A5" w:rsidRPr="008610EE">
        <w:rPr>
          <w:rFonts w:ascii="Arial" w:hAnsi="Arial" w:cs="Arial"/>
          <w:sz w:val="20"/>
          <w:szCs w:val="20"/>
        </w:rPr>
        <w:t>However, no significant differences were found in attitudes toward training and development or internal communication. Additionally, socio-demographic characteristics did not show any significant correlation with internal marketing perceptions.</w:t>
      </w:r>
    </w:p>
    <w:p w14:paraId="62C66A03" w14:textId="26E1F9D2" w:rsidR="000C78FD" w:rsidRPr="008610EE" w:rsidRDefault="000C78FD" w:rsidP="008610EE">
      <w:pPr>
        <w:jc w:val="both"/>
        <w:rPr>
          <w:rFonts w:ascii="Arial" w:hAnsi="Arial" w:cs="Arial"/>
          <w:sz w:val="20"/>
          <w:szCs w:val="20"/>
        </w:rPr>
      </w:pPr>
      <w:r w:rsidRPr="008610EE">
        <w:rPr>
          <w:rFonts w:ascii="Arial" w:hAnsi="Arial" w:cs="Arial"/>
          <w:b/>
          <w:sz w:val="20"/>
          <w:szCs w:val="20"/>
        </w:rPr>
        <w:t>Conclusion:</w:t>
      </w:r>
      <w:r w:rsidRPr="008610EE">
        <w:rPr>
          <w:rFonts w:ascii="Arial" w:hAnsi="Arial" w:cs="Arial"/>
          <w:sz w:val="20"/>
          <w:szCs w:val="20"/>
        </w:rPr>
        <w:t xml:space="preserve"> </w:t>
      </w:r>
      <w:r w:rsidR="008610EE" w:rsidRPr="000B1BC3">
        <w:rPr>
          <w:rFonts w:ascii="Arial" w:hAnsi="Arial" w:cs="Arial"/>
          <w:sz w:val="20"/>
          <w:szCs w:val="20"/>
          <w:highlight w:val="yellow"/>
        </w:rPr>
        <w:t>Th</w:t>
      </w:r>
      <w:r w:rsidR="000B1BC3" w:rsidRPr="000B1BC3">
        <w:rPr>
          <w:rFonts w:ascii="Arial" w:hAnsi="Arial" w:cs="Arial"/>
          <w:sz w:val="20"/>
          <w:szCs w:val="20"/>
          <w:highlight w:val="yellow"/>
        </w:rPr>
        <w:t>is</w:t>
      </w:r>
      <w:r w:rsidR="008610EE" w:rsidRPr="008610EE">
        <w:rPr>
          <w:rFonts w:ascii="Arial" w:hAnsi="Arial" w:cs="Arial"/>
          <w:sz w:val="20"/>
          <w:szCs w:val="20"/>
        </w:rPr>
        <w:t xml:space="preserve"> study highlights the need for a more consistent and strategic approach to internal marketing within BiH banks, particularly in aligning employees and management on key dimensions. Addressing these gaps could enhance organizational cohesion and effectiveness.</w:t>
      </w:r>
    </w:p>
    <w:p w14:paraId="4E71B000" w14:textId="685DB3BF" w:rsidR="008E47F8" w:rsidRPr="008610EE" w:rsidRDefault="008E47F8" w:rsidP="008610EE">
      <w:pPr>
        <w:jc w:val="both"/>
        <w:rPr>
          <w:rFonts w:ascii="Arial" w:hAnsi="Arial" w:cs="Arial"/>
          <w:sz w:val="20"/>
          <w:szCs w:val="20"/>
        </w:rPr>
      </w:pPr>
    </w:p>
    <w:p w14:paraId="0AF75C4B" w14:textId="7988E81B" w:rsidR="00557394" w:rsidRPr="008610EE" w:rsidRDefault="00A926EF" w:rsidP="008610EE">
      <w:pPr>
        <w:jc w:val="both"/>
        <w:rPr>
          <w:rFonts w:ascii="Arial" w:hAnsi="Arial" w:cs="Arial"/>
          <w:i/>
          <w:sz w:val="20"/>
          <w:szCs w:val="20"/>
        </w:rPr>
      </w:pPr>
      <w:r w:rsidRPr="00826FBC">
        <w:rPr>
          <w:rFonts w:ascii="Arial" w:hAnsi="Arial" w:cs="Arial"/>
          <w:b/>
          <w:i/>
          <w:sz w:val="20"/>
          <w:szCs w:val="20"/>
        </w:rPr>
        <w:t>Keywords:</w:t>
      </w:r>
      <w:r w:rsidRPr="008610EE">
        <w:rPr>
          <w:rFonts w:ascii="Arial" w:hAnsi="Arial" w:cs="Arial"/>
          <w:i/>
          <w:sz w:val="20"/>
          <w:szCs w:val="20"/>
        </w:rPr>
        <w:t xml:space="preserve"> </w:t>
      </w:r>
      <w:r w:rsidR="0025213D" w:rsidRPr="008610EE">
        <w:rPr>
          <w:rFonts w:ascii="Arial" w:hAnsi="Arial" w:cs="Arial"/>
          <w:i/>
          <w:sz w:val="20"/>
          <w:szCs w:val="20"/>
        </w:rPr>
        <w:t>Inte</w:t>
      </w:r>
      <w:r w:rsidR="0025213D">
        <w:rPr>
          <w:rFonts w:ascii="Arial" w:hAnsi="Arial" w:cs="Arial"/>
          <w:i/>
          <w:sz w:val="20"/>
          <w:szCs w:val="20"/>
        </w:rPr>
        <w:t>rnal Marketing, Vision, Reward S</w:t>
      </w:r>
      <w:r w:rsidR="0025213D" w:rsidRPr="008610EE">
        <w:rPr>
          <w:rFonts w:ascii="Arial" w:hAnsi="Arial" w:cs="Arial"/>
          <w:i/>
          <w:sz w:val="20"/>
          <w:szCs w:val="20"/>
        </w:rPr>
        <w:t xml:space="preserve">ystem, </w:t>
      </w:r>
      <w:r w:rsidR="0025213D">
        <w:rPr>
          <w:rFonts w:ascii="Arial" w:hAnsi="Arial" w:cs="Arial"/>
          <w:i/>
          <w:sz w:val="20"/>
          <w:szCs w:val="20"/>
        </w:rPr>
        <w:t>Training and D</w:t>
      </w:r>
      <w:r w:rsidR="0025213D" w:rsidRPr="008610EE">
        <w:rPr>
          <w:rFonts w:ascii="Arial" w:hAnsi="Arial" w:cs="Arial"/>
          <w:i/>
          <w:sz w:val="20"/>
          <w:szCs w:val="20"/>
        </w:rPr>
        <w:t xml:space="preserve">evelopment, Internal Communication, </w:t>
      </w:r>
      <w:r w:rsidR="0025213D" w:rsidRPr="0025213D">
        <w:rPr>
          <w:rFonts w:ascii="Arial" w:hAnsi="Arial" w:cs="Arial"/>
          <w:i/>
          <w:sz w:val="20"/>
          <w:szCs w:val="20"/>
          <w:highlight w:val="yellow"/>
        </w:rPr>
        <w:t>Management, Employees,</w:t>
      </w:r>
      <w:r w:rsidR="0025213D">
        <w:rPr>
          <w:rFonts w:ascii="Arial" w:hAnsi="Arial" w:cs="Arial"/>
          <w:i/>
          <w:sz w:val="20"/>
          <w:szCs w:val="20"/>
        </w:rPr>
        <w:t xml:space="preserve"> </w:t>
      </w:r>
      <w:r w:rsidR="008610EE">
        <w:rPr>
          <w:rFonts w:ascii="Arial" w:hAnsi="Arial" w:cs="Arial"/>
          <w:i/>
          <w:sz w:val="20"/>
          <w:szCs w:val="20"/>
        </w:rPr>
        <w:t>Bank</w:t>
      </w:r>
      <w:r w:rsidR="0056730C">
        <w:rPr>
          <w:rFonts w:ascii="Arial" w:hAnsi="Arial" w:cs="Arial"/>
          <w:i/>
          <w:sz w:val="20"/>
          <w:szCs w:val="20"/>
        </w:rPr>
        <w:t>s</w:t>
      </w:r>
    </w:p>
    <w:p w14:paraId="7408E6C4" w14:textId="79154744" w:rsidR="00A926EF" w:rsidRPr="00D76A93" w:rsidRDefault="00A926EF" w:rsidP="00C040CF">
      <w:pPr>
        <w:jc w:val="both"/>
        <w:rPr>
          <w:rFonts w:ascii="Arial" w:hAnsi="Arial" w:cs="Arial"/>
          <w:lang w:val="en-US"/>
        </w:rPr>
      </w:pPr>
    </w:p>
    <w:p w14:paraId="1984E764" w14:textId="77777777" w:rsidR="007E6181" w:rsidRDefault="007E6181" w:rsidP="00D76A93">
      <w:pPr>
        <w:pStyle w:val="ListParagraph"/>
        <w:numPr>
          <w:ilvl w:val="0"/>
          <w:numId w:val="24"/>
        </w:numPr>
        <w:jc w:val="both"/>
        <w:rPr>
          <w:rFonts w:ascii="Arial" w:hAnsi="Arial" w:cs="Arial"/>
          <w:b/>
          <w:bCs/>
          <w:lang w:val="en-US"/>
        </w:rPr>
        <w:sectPr w:rsidR="007E6181" w:rsidSect="008F6B76">
          <w:headerReference w:type="even" r:id="rId8"/>
          <w:headerReference w:type="default" r:id="rId9"/>
          <w:footerReference w:type="even" r:id="rId10"/>
          <w:footerReference w:type="default" r:id="rId11"/>
          <w:headerReference w:type="first" r:id="rId12"/>
          <w:footerReference w:type="first" r:id="rId13"/>
          <w:footnotePr>
            <w:numFmt w:val="chicago"/>
          </w:footnotePr>
          <w:endnotePr>
            <w:numFmt w:val="chicago"/>
          </w:endnotePr>
          <w:pgSz w:w="11906" w:h="16838"/>
          <w:pgMar w:top="1440" w:right="1440" w:bottom="1440" w:left="1440" w:header="708" w:footer="708" w:gutter="0"/>
          <w:cols w:space="708"/>
          <w:docGrid w:linePitch="360"/>
        </w:sectPr>
      </w:pPr>
    </w:p>
    <w:p w14:paraId="1E09EB4C" w14:textId="45EC68FF" w:rsidR="00C040CF" w:rsidRPr="00D76A93" w:rsidRDefault="008E47F8" w:rsidP="003C6317">
      <w:pPr>
        <w:pStyle w:val="ListParagraph"/>
        <w:numPr>
          <w:ilvl w:val="0"/>
          <w:numId w:val="24"/>
        </w:numPr>
        <w:ind w:left="284" w:hanging="284"/>
        <w:jc w:val="both"/>
        <w:rPr>
          <w:rFonts w:ascii="Arial" w:hAnsi="Arial" w:cs="Arial"/>
          <w:lang w:val="en-US"/>
        </w:rPr>
      </w:pPr>
      <w:r w:rsidRPr="00D76A93">
        <w:rPr>
          <w:rFonts w:ascii="Arial" w:hAnsi="Arial" w:cs="Arial"/>
          <w:b/>
          <w:bCs/>
          <w:lang w:val="en-US"/>
        </w:rPr>
        <w:t>INTRODUCTION</w:t>
      </w:r>
    </w:p>
    <w:p w14:paraId="6D1EEFF4" w14:textId="77777777" w:rsidR="00C040CF" w:rsidRPr="00826725" w:rsidRDefault="00C040CF" w:rsidP="00C040CF">
      <w:pPr>
        <w:jc w:val="both"/>
        <w:rPr>
          <w:rFonts w:ascii="Arial" w:hAnsi="Arial" w:cs="Arial"/>
          <w:sz w:val="20"/>
          <w:szCs w:val="20"/>
          <w:lang w:val="en-US"/>
        </w:rPr>
      </w:pPr>
    </w:p>
    <w:p w14:paraId="704E2E09" w14:textId="3CD1DC22" w:rsidR="001927FC" w:rsidRPr="000C7EE9" w:rsidRDefault="008E47F8" w:rsidP="001927FC">
      <w:pPr>
        <w:jc w:val="both"/>
        <w:rPr>
          <w:rFonts w:ascii="Arial" w:hAnsi="Arial" w:cs="Arial"/>
          <w:sz w:val="20"/>
          <w:szCs w:val="20"/>
          <w:lang w:val="en-US"/>
        </w:rPr>
      </w:pPr>
      <w:r w:rsidRPr="000C7EE9">
        <w:rPr>
          <w:rFonts w:ascii="Arial" w:hAnsi="Arial" w:cs="Arial"/>
          <w:sz w:val="20"/>
          <w:szCs w:val="20"/>
          <w:lang w:val="en-US"/>
        </w:rPr>
        <w:t xml:space="preserve">Internal marketing is an important concept through which companies attract and retain the best employees, achieve defined goals, and improve their business results. </w:t>
      </w:r>
      <w:r w:rsidR="009B1066" w:rsidRPr="000C7EE9">
        <w:rPr>
          <w:rFonts w:ascii="Arial" w:hAnsi="Arial" w:cs="Arial"/>
          <w:sz w:val="20"/>
          <w:szCs w:val="20"/>
          <w:lang w:val="en-US"/>
        </w:rPr>
        <w:t xml:space="preserve">The growing globalization of the market and the rapid development of the service sector led to an increased demand for high-quality employees who would be ready to deliver services of the highest quality to end users. Since the creation and delivery of a service is directly linked to the human factor (employees), the delivery of high-quality services is determined by an adequate understanding of employee demands and needs, as well as the improvement of their motivation and satisfaction. This indicates that company management must pay special attention to the concept of internal marketing, as its proper implementation may result in higher employee motivation and satisfaction, which ultimately reflects on improving the company’s competitiveness and achieving better business performance. Many authors in their studies show that internal marketing is an effective system for improving employee motivation and satisfaction, as well as </w:t>
      </w:r>
      <w:r w:rsidR="009B1066" w:rsidRPr="000C7EE9">
        <w:rPr>
          <w:rFonts w:ascii="Arial" w:hAnsi="Arial" w:cs="Arial"/>
          <w:sz w:val="20"/>
          <w:szCs w:val="20"/>
          <w:lang w:val="en-US"/>
        </w:rPr>
        <w:lastRenderedPageBreak/>
        <w:t xml:space="preserve">company’s market efficiency </w:t>
      </w:r>
      <w:r w:rsidR="00A244A3" w:rsidRPr="001927FC">
        <w:rPr>
          <w:rFonts w:ascii="Arial" w:hAnsi="Arial" w:cs="Arial"/>
          <w:sz w:val="20"/>
          <w:szCs w:val="20"/>
          <w:highlight w:val="yellow"/>
          <w:lang w:val="en-US"/>
        </w:rPr>
        <w:t>(</w:t>
      </w:r>
      <w:proofErr w:type="spellStart"/>
      <w:r w:rsidR="001927FC" w:rsidRPr="001927FC">
        <w:rPr>
          <w:rFonts w:ascii="Arial" w:hAnsi="Arial" w:cs="Arial"/>
          <w:sz w:val="20"/>
          <w:szCs w:val="20"/>
          <w:highlight w:val="yellow"/>
          <w:lang w:val="en-US"/>
        </w:rPr>
        <w:t>Milanović</w:t>
      </w:r>
      <w:proofErr w:type="spellEnd"/>
      <w:r w:rsidR="001927FC" w:rsidRPr="001927FC">
        <w:rPr>
          <w:rFonts w:ascii="Arial" w:hAnsi="Arial" w:cs="Arial"/>
          <w:sz w:val="20"/>
          <w:szCs w:val="20"/>
          <w:highlight w:val="yellow"/>
          <w:lang w:val="en-US"/>
        </w:rPr>
        <w:t xml:space="preserve"> &amp; </w:t>
      </w:r>
      <w:proofErr w:type="spellStart"/>
      <w:r w:rsidR="001927FC" w:rsidRPr="001927FC">
        <w:rPr>
          <w:rFonts w:ascii="Arial" w:hAnsi="Arial" w:cs="Arial"/>
          <w:sz w:val="20"/>
          <w:szCs w:val="20"/>
          <w:highlight w:val="yellow"/>
          <w:lang w:val="en-US"/>
        </w:rPr>
        <w:t>Miletić</w:t>
      </w:r>
      <w:proofErr w:type="spellEnd"/>
      <w:r w:rsidR="001927FC" w:rsidRPr="001927FC">
        <w:rPr>
          <w:rFonts w:ascii="Arial" w:hAnsi="Arial" w:cs="Arial"/>
          <w:sz w:val="20"/>
          <w:szCs w:val="20"/>
          <w:highlight w:val="yellow"/>
          <w:lang w:val="en-US"/>
        </w:rPr>
        <w:t xml:space="preserve">, 2023; </w:t>
      </w:r>
      <w:proofErr w:type="spellStart"/>
      <w:r w:rsidR="001927FC" w:rsidRPr="001927FC">
        <w:rPr>
          <w:rFonts w:ascii="Arial" w:hAnsi="Arial" w:cs="Arial"/>
          <w:sz w:val="20"/>
          <w:szCs w:val="20"/>
          <w:highlight w:val="yellow"/>
          <w:lang w:val="en-US"/>
        </w:rPr>
        <w:t>Amitov</w:t>
      </w:r>
      <w:proofErr w:type="spellEnd"/>
      <w:r w:rsidR="001927FC" w:rsidRPr="001927FC">
        <w:rPr>
          <w:rFonts w:ascii="Arial" w:hAnsi="Arial" w:cs="Arial"/>
          <w:sz w:val="20"/>
          <w:szCs w:val="20"/>
          <w:highlight w:val="yellow"/>
          <w:lang w:val="en-US"/>
        </w:rPr>
        <w:t xml:space="preserve"> et al., 2022; </w:t>
      </w:r>
      <w:proofErr w:type="spellStart"/>
      <w:r w:rsidR="001927FC" w:rsidRPr="001927FC">
        <w:rPr>
          <w:rFonts w:ascii="Arial" w:hAnsi="Arial" w:cs="Arial"/>
          <w:sz w:val="20"/>
          <w:szCs w:val="20"/>
          <w:highlight w:val="yellow"/>
          <w:lang w:val="en-US"/>
        </w:rPr>
        <w:t>Taştan</w:t>
      </w:r>
      <w:proofErr w:type="spellEnd"/>
      <w:r w:rsidR="001927FC" w:rsidRPr="001927FC">
        <w:rPr>
          <w:rFonts w:ascii="Arial" w:hAnsi="Arial" w:cs="Arial"/>
          <w:sz w:val="20"/>
          <w:szCs w:val="20"/>
          <w:highlight w:val="yellow"/>
          <w:lang w:val="en-US"/>
        </w:rPr>
        <w:t xml:space="preserve"> &amp; </w:t>
      </w:r>
      <w:proofErr w:type="spellStart"/>
      <w:r w:rsidR="001927FC" w:rsidRPr="001927FC">
        <w:rPr>
          <w:rFonts w:ascii="Arial" w:hAnsi="Arial" w:cs="Arial"/>
          <w:sz w:val="20"/>
          <w:szCs w:val="20"/>
          <w:highlight w:val="yellow"/>
          <w:lang w:val="en-US"/>
        </w:rPr>
        <w:t>Davoudi</w:t>
      </w:r>
      <w:proofErr w:type="spellEnd"/>
      <w:r w:rsidR="001927FC" w:rsidRPr="001927FC">
        <w:rPr>
          <w:rFonts w:ascii="Arial" w:hAnsi="Arial" w:cs="Arial"/>
          <w:sz w:val="20"/>
          <w:szCs w:val="20"/>
          <w:highlight w:val="yellow"/>
          <w:lang w:val="en-US"/>
        </w:rPr>
        <w:t xml:space="preserve">, 2020; Yu et al., 2019; </w:t>
      </w:r>
      <w:proofErr w:type="spellStart"/>
      <w:r w:rsidR="001927FC" w:rsidRPr="001927FC">
        <w:rPr>
          <w:rFonts w:ascii="Arial" w:hAnsi="Arial" w:cs="Arial"/>
          <w:sz w:val="20"/>
          <w:szCs w:val="20"/>
          <w:highlight w:val="yellow"/>
          <w:lang w:val="en-US"/>
        </w:rPr>
        <w:t>Mainardes</w:t>
      </w:r>
      <w:proofErr w:type="spellEnd"/>
      <w:r w:rsidR="001927FC" w:rsidRPr="001927FC">
        <w:rPr>
          <w:rFonts w:ascii="Arial" w:hAnsi="Arial" w:cs="Arial"/>
          <w:sz w:val="20"/>
          <w:szCs w:val="20"/>
          <w:highlight w:val="yellow"/>
          <w:lang w:val="en-US"/>
        </w:rPr>
        <w:t xml:space="preserve">, Rodrigues &amp; Teixeira, 2019; Park &amp; Tran, 2018; Fang et al., 2014; Rodrigues &amp; </w:t>
      </w:r>
      <w:proofErr w:type="spellStart"/>
      <w:r w:rsidR="001927FC" w:rsidRPr="001927FC">
        <w:rPr>
          <w:rFonts w:ascii="Arial" w:hAnsi="Arial" w:cs="Arial"/>
          <w:sz w:val="20"/>
          <w:szCs w:val="20"/>
          <w:highlight w:val="yellow"/>
          <w:lang w:val="en-US"/>
        </w:rPr>
        <w:t>Pinho</w:t>
      </w:r>
      <w:proofErr w:type="spellEnd"/>
      <w:r w:rsidR="001927FC" w:rsidRPr="001927FC">
        <w:rPr>
          <w:rFonts w:ascii="Arial" w:hAnsi="Arial" w:cs="Arial"/>
          <w:sz w:val="20"/>
          <w:szCs w:val="20"/>
          <w:highlight w:val="yellow"/>
          <w:lang w:val="en-US"/>
        </w:rPr>
        <w:t xml:space="preserve">, 2012; Lings &amp; </w:t>
      </w:r>
      <w:proofErr w:type="spellStart"/>
      <w:r w:rsidR="001927FC" w:rsidRPr="001927FC">
        <w:rPr>
          <w:rFonts w:ascii="Arial" w:hAnsi="Arial" w:cs="Arial"/>
          <w:sz w:val="20"/>
          <w:szCs w:val="20"/>
          <w:highlight w:val="yellow"/>
          <w:lang w:val="en-US"/>
        </w:rPr>
        <w:t>Greenley</w:t>
      </w:r>
      <w:proofErr w:type="spellEnd"/>
      <w:r w:rsidR="001927FC" w:rsidRPr="001927FC">
        <w:rPr>
          <w:rFonts w:ascii="Arial" w:hAnsi="Arial" w:cs="Arial"/>
          <w:sz w:val="20"/>
          <w:szCs w:val="20"/>
          <w:highlight w:val="yellow"/>
          <w:lang w:val="en-US"/>
        </w:rPr>
        <w:t>, 2009; Varey, 1995)</w:t>
      </w:r>
    </w:p>
    <w:p w14:paraId="1905E7E8" w14:textId="6DBD5F56" w:rsidR="006B1F53" w:rsidRPr="000C7EE9" w:rsidRDefault="001927FC" w:rsidP="000C7EE9">
      <w:pPr>
        <w:jc w:val="both"/>
        <w:rPr>
          <w:rFonts w:ascii="Arial" w:hAnsi="Arial" w:cs="Arial"/>
          <w:sz w:val="20"/>
          <w:szCs w:val="20"/>
          <w:lang w:val="en-US"/>
        </w:rPr>
      </w:pPr>
      <w:r w:rsidRPr="003E31C1">
        <w:rPr>
          <w:rFonts w:ascii="Arial" w:hAnsi="Arial" w:cs="Arial"/>
        </w:rPr>
        <w:t xml:space="preserve"> </w:t>
      </w:r>
    </w:p>
    <w:p w14:paraId="4180EB96" w14:textId="3EAC27A8" w:rsidR="006B1F53" w:rsidRPr="000C7EE9" w:rsidRDefault="00AC174E" w:rsidP="000C7EE9">
      <w:pPr>
        <w:jc w:val="both"/>
        <w:rPr>
          <w:rFonts w:ascii="Arial" w:hAnsi="Arial" w:cs="Arial"/>
          <w:sz w:val="20"/>
          <w:szCs w:val="20"/>
          <w:lang w:val="en-US"/>
        </w:rPr>
      </w:pPr>
      <w:r w:rsidRPr="000C7EE9">
        <w:rPr>
          <w:rFonts w:ascii="Arial" w:hAnsi="Arial" w:cs="Arial"/>
          <w:sz w:val="20"/>
          <w:szCs w:val="20"/>
          <w:lang w:val="en-US"/>
        </w:rPr>
        <w:t>The concept of internal marketing in the field of service marketing first appeared in the mid-1970s in the works of Berry and collaborators, Sasser and Arbeit, and many others. It was introduced as a solution to the problem of delivering high-quality services, establishing the link between employee satisfaction and customer satisfaction, and achieving business success for companies</w:t>
      </w:r>
      <w:r w:rsidR="006B1F53" w:rsidRPr="000C7EE9">
        <w:rPr>
          <w:rFonts w:ascii="Arial" w:hAnsi="Arial" w:cs="Arial"/>
          <w:sz w:val="20"/>
          <w:szCs w:val="20"/>
          <w:lang w:val="en-US"/>
        </w:rPr>
        <w:t xml:space="preserve"> </w:t>
      </w:r>
      <w:r w:rsidR="00B8409B" w:rsidRPr="000C7EE9">
        <w:rPr>
          <w:rFonts w:ascii="Arial" w:hAnsi="Arial" w:cs="Arial"/>
          <w:sz w:val="20"/>
          <w:szCs w:val="20"/>
          <w:lang w:val="en-US"/>
        </w:rPr>
        <w:t xml:space="preserve">(Berry, Hensel, Burke, 1976; Sasser </w:t>
      </w:r>
      <w:r w:rsidRPr="000C7EE9">
        <w:rPr>
          <w:rFonts w:ascii="Arial" w:hAnsi="Arial" w:cs="Arial"/>
          <w:sz w:val="20"/>
          <w:szCs w:val="20"/>
          <w:lang w:val="en-US"/>
        </w:rPr>
        <w:t>&amp;</w:t>
      </w:r>
      <w:r w:rsidR="00B8409B" w:rsidRPr="000C7EE9">
        <w:rPr>
          <w:rFonts w:ascii="Arial" w:hAnsi="Arial" w:cs="Arial"/>
          <w:sz w:val="20"/>
          <w:szCs w:val="20"/>
          <w:lang w:val="en-US"/>
        </w:rPr>
        <w:t xml:space="preserve"> Arbeit, 1976</w:t>
      </w:r>
      <w:r w:rsidR="003A7B6F" w:rsidRPr="000C7EE9">
        <w:rPr>
          <w:rFonts w:ascii="Arial" w:hAnsi="Arial" w:cs="Arial"/>
          <w:sz w:val="20"/>
          <w:szCs w:val="20"/>
          <w:lang w:val="en-US"/>
        </w:rPr>
        <w:t xml:space="preserve">, </w:t>
      </w:r>
      <w:proofErr w:type="spellStart"/>
      <w:r w:rsidR="003A7B6F" w:rsidRPr="000C7EE9">
        <w:rPr>
          <w:rFonts w:ascii="Arial" w:hAnsi="Arial" w:cs="Arial"/>
          <w:sz w:val="20"/>
          <w:szCs w:val="20"/>
          <w:lang w:val="en-US"/>
        </w:rPr>
        <w:t>Gr</w:t>
      </w:r>
      <w:r w:rsidR="004424F2" w:rsidRPr="000C7EE9">
        <w:rPr>
          <w:rFonts w:ascii="Arial" w:hAnsi="Arial" w:cs="Arial"/>
          <w:sz w:val="20"/>
          <w:szCs w:val="20"/>
          <w:lang w:val="en-US"/>
        </w:rPr>
        <w:t>ö</w:t>
      </w:r>
      <w:r w:rsidR="003A7B6F" w:rsidRPr="000C7EE9">
        <w:rPr>
          <w:rFonts w:ascii="Arial" w:hAnsi="Arial" w:cs="Arial"/>
          <w:sz w:val="20"/>
          <w:szCs w:val="20"/>
          <w:lang w:val="en-US"/>
        </w:rPr>
        <w:t>nroos</w:t>
      </w:r>
      <w:proofErr w:type="spellEnd"/>
      <w:r w:rsidR="003A7B6F" w:rsidRPr="000C7EE9">
        <w:rPr>
          <w:rFonts w:ascii="Arial" w:hAnsi="Arial" w:cs="Arial"/>
          <w:sz w:val="20"/>
          <w:szCs w:val="20"/>
          <w:lang w:val="en-US"/>
        </w:rPr>
        <w:t>, 1978; Heskett, 1977; Kotler, 1972</w:t>
      </w:r>
      <w:r w:rsidR="00B8409B" w:rsidRPr="000C7EE9">
        <w:rPr>
          <w:rFonts w:ascii="Arial" w:hAnsi="Arial" w:cs="Arial"/>
          <w:sz w:val="20"/>
          <w:szCs w:val="20"/>
          <w:lang w:val="en-US"/>
        </w:rPr>
        <w:t>)</w:t>
      </w:r>
      <w:r w:rsidR="00821D1E" w:rsidRPr="000C7EE9">
        <w:rPr>
          <w:rFonts w:ascii="Arial" w:hAnsi="Arial" w:cs="Arial"/>
          <w:sz w:val="20"/>
          <w:szCs w:val="20"/>
          <w:lang w:val="en-US"/>
        </w:rPr>
        <w:t xml:space="preserve">. </w:t>
      </w:r>
      <w:r w:rsidRPr="000C7EE9">
        <w:rPr>
          <w:rFonts w:ascii="Arial" w:hAnsi="Arial" w:cs="Arial"/>
          <w:sz w:val="20"/>
          <w:szCs w:val="20"/>
          <w:lang w:val="en-US"/>
        </w:rPr>
        <w:t xml:space="preserve">However, a greater number of studies in the field of internal marketing showed up during the 1980s and 1990s </w:t>
      </w:r>
      <w:r w:rsidR="004424F2" w:rsidRPr="000C7EE9">
        <w:rPr>
          <w:rFonts w:ascii="Arial" w:hAnsi="Arial" w:cs="Arial"/>
          <w:sz w:val="20"/>
          <w:szCs w:val="20"/>
          <w:lang w:val="en-US"/>
        </w:rPr>
        <w:t>(</w:t>
      </w:r>
      <w:r w:rsidR="006B1F53" w:rsidRPr="000C7EE9">
        <w:rPr>
          <w:rFonts w:ascii="Arial" w:hAnsi="Arial" w:cs="Arial"/>
          <w:sz w:val="20"/>
          <w:szCs w:val="20"/>
          <w:lang w:val="en-US"/>
        </w:rPr>
        <w:t xml:space="preserve">Berry, 1981; </w:t>
      </w:r>
      <w:proofErr w:type="spellStart"/>
      <w:r w:rsidR="006B1F53" w:rsidRPr="000C7EE9">
        <w:rPr>
          <w:rFonts w:ascii="Arial" w:hAnsi="Arial" w:cs="Arial"/>
          <w:sz w:val="20"/>
          <w:szCs w:val="20"/>
          <w:lang w:val="en-US"/>
        </w:rPr>
        <w:t>Grönroos</w:t>
      </w:r>
      <w:proofErr w:type="spellEnd"/>
      <w:r w:rsidR="006B1F53" w:rsidRPr="000C7EE9">
        <w:rPr>
          <w:rFonts w:ascii="Arial" w:hAnsi="Arial" w:cs="Arial"/>
          <w:sz w:val="20"/>
          <w:szCs w:val="20"/>
          <w:lang w:val="en-US"/>
        </w:rPr>
        <w:t>, 1981</w:t>
      </w:r>
      <w:r w:rsidRPr="000C7EE9">
        <w:rPr>
          <w:rFonts w:ascii="Arial" w:hAnsi="Arial" w:cs="Arial"/>
          <w:sz w:val="20"/>
          <w:szCs w:val="20"/>
          <w:lang w:val="en-US"/>
        </w:rPr>
        <w:t xml:space="preserve">, </w:t>
      </w:r>
      <w:r w:rsidR="005C33F2">
        <w:rPr>
          <w:rFonts w:ascii="Arial" w:hAnsi="Arial" w:cs="Arial"/>
          <w:sz w:val="20"/>
          <w:szCs w:val="20"/>
          <w:lang w:val="en-US"/>
        </w:rPr>
        <w:t>1994;</w:t>
      </w:r>
      <w:r w:rsidR="005C33F2">
        <w:rPr>
          <w:rFonts w:ascii="Arial" w:hAnsi="Arial" w:cs="Arial"/>
          <w:color w:val="FF0000"/>
          <w:sz w:val="20"/>
          <w:szCs w:val="20"/>
          <w:lang w:val="en-US"/>
        </w:rPr>
        <w:t xml:space="preserve"> </w:t>
      </w:r>
      <w:r w:rsidR="006B1F53" w:rsidRPr="000C7EE9">
        <w:rPr>
          <w:rFonts w:ascii="Arial" w:hAnsi="Arial" w:cs="Arial"/>
          <w:sz w:val="20"/>
          <w:szCs w:val="20"/>
          <w:lang w:val="en-US"/>
        </w:rPr>
        <w:t xml:space="preserve">Piercy </w:t>
      </w:r>
      <w:r w:rsidRPr="000C7EE9">
        <w:rPr>
          <w:rFonts w:ascii="Arial" w:hAnsi="Arial" w:cs="Arial"/>
          <w:sz w:val="20"/>
          <w:szCs w:val="20"/>
          <w:lang w:val="en-US"/>
        </w:rPr>
        <w:t>&amp;</w:t>
      </w:r>
      <w:r w:rsidR="006B1F53" w:rsidRPr="000C7EE9">
        <w:rPr>
          <w:rFonts w:ascii="Arial" w:hAnsi="Arial" w:cs="Arial"/>
          <w:sz w:val="20"/>
          <w:szCs w:val="20"/>
          <w:lang w:val="en-US"/>
        </w:rPr>
        <w:t xml:space="preserve"> Morgan, 1990, 1991; Foreman </w:t>
      </w:r>
      <w:r w:rsidRPr="000C7EE9">
        <w:rPr>
          <w:rFonts w:ascii="Arial" w:hAnsi="Arial" w:cs="Arial"/>
          <w:sz w:val="20"/>
          <w:szCs w:val="20"/>
          <w:lang w:val="en-US"/>
        </w:rPr>
        <w:t>&amp;</w:t>
      </w:r>
      <w:r w:rsidR="006B1F53" w:rsidRPr="000C7EE9">
        <w:rPr>
          <w:rFonts w:ascii="Arial" w:hAnsi="Arial" w:cs="Arial"/>
          <w:sz w:val="20"/>
          <w:szCs w:val="20"/>
          <w:lang w:val="en-US"/>
        </w:rPr>
        <w:t xml:space="preserve"> </w:t>
      </w:r>
      <w:r w:rsidR="006B1F53" w:rsidRPr="005C33F2">
        <w:rPr>
          <w:rFonts w:ascii="Arial" w:hAnsi="Arial" w:cs="Arial"/>
          <w:sz w:val="20"/>
          <w:szCs w:val="20"/>
          <w:lang w:val="en-US"/>
        </w:rPr>
        <w:t xml:space="preserve">Money, 1995; Varey, 1995; Sergeant </w:t>
      </w:r>
      <w:r w:rsidRPr="005C33F2">
        <w:rPr>
          <w:rFonts w:ascii="Arial" w:hAnsi="Arial" w:cs="Arial"/>
          <w:sz w:val="20"/>
          <w:szCs w:val="20"/>
          <w:lang w:val="en-US"/>
        </w:rPr>
        <w:t>&amp;</w:t>
      </w:r>
      <w:r w:rsidR="006B1F53" w:rsidRPr="005C33F2">
        <w:rPr>
          <w:rFonts w:ascii="Arial" w:hAnsi="Arial" w:cs="Arial"/>
          <w:sz w:val="20"/>
          <w:szCs w:val="20"/>
          <w:lang w:val="en-US"/>
        </w:rPr>
        <w:t xml:space="preserve"> Asi</w:t>
      </w:r>
      <w:r w:rsidR="004424F2" w:rsidRPr="005C33F2">
        <w:rPr>
          <w:rFonts w:ascii="Arial" w:hAnsi="Arial" w:cs="Arial"/>
          <w:sz w:val="20"/>
          <w:szCs w:val="20"/>
          <w:lang w:val="en-US"/>
        </w:rPr>
        <w:t xml:space="preserve">f, 1998; Pitt </w:t>
      </w:r>
      <w:r w:rsidRPr="005C33F2">
        <w:rPr>
          <w:rFonts w:ascii="Arial" w:hAnsi="Arial" w:cs="Arial"/>
          <w:sz w:val="20"/>
          <w:szCs w:val="20"/>
          <w:lang w:val="en-US"/>
        </w:rPr>
        <w:t>&amp;</w:t>
      </w:r>
      <w:r w:rsidR="005C33F2" w:rsidRPr="005C33F2">
        <w:rPr>
          <w:rFonts w:ascii="Arial" w:hAnsi="Arial" w:cs="Arial"/>
          <w:sz w:val="20"/>
          <w:szCs w:val="20"/>
          <w:lang w:val="en-US"/>
        </w:rPr>
        <w:t xml:space="preserve"> Foreman, 1999; </w:t>
      </w:r>
      <w:r w:rsidR="006B1F53" w:rsidRPr="005C33F2">
        <w:rPr>
          <w:rFonts w:ascii="Arial" w:hAnsi="Arial" w:cs="Arial"/>
          <w:sz w:val="20"/>
          <w:szCs w:val="20"/>
          <w:lang w:val="en-US"/>
        </w:rPr>
        <w:t xml:space="preserve">Rafiq </w:t>
      </w:r>
      <w:r w:rsidRPr="005C33F2">
        <w:rPr>
          <w:rFonts w:ascii="Arial" w:hAnsi="Arial" w:cs="Arial"/>
          <w:sz w:val="20"/>
          <w:szCs w:val="20"/>
          <w:lang w:val="en-US"/>
        </w:rPr>
        <w:t>&amp;</w:t>
      </w:r>
      <w:r w:rsidR="006B1F53" w:rsidRPr="005C33F2">
        <w:rPr>
          <w:rFonts w:ascii="Arial" w:hAnsi="Arial" w:cs="Arial"/>
          <w:sz w:val="20"/>
          <w:szCs w:val="20"/>
          <w:lang w:val="en-US"/>
        </w:rPr>
        <w:t xml:space="preserve"> Ahmed, 1993; </w:t>
      </w:r>
      <w:r w:rsidR="004424F2" w:rsidRPr="005C33F2">
        <w:rPr>
          <w:rFonts w:ascii="Arial" w:hAnsi="Arial" w:cs="Arial"/>
          <w:sz w:val="20"/>
          <w:szCs w:val="20"/>
          <w:lang w:val="en-US"/>
        </w:rPr>
        <w:t xml:space="preserve">Varey </w:t>
      </w:r>
      <w:r w:rsidRPr="005C33F2">
        <w:rPr>
          <w:rFonts w:ascii="Arial" w:hAnsi="Arial" w:cs="Arial"/>
          <w:sz w:val="20"/>
          <w:szCs w:val="20"/>
          <w:lang w:val="en-US"/>
        </w:rPr>
        <w:t>&amp;</w:t>
      </w:r>
      <w:r w:rsidR="004424F2" w:rsidRPr="005C33F2">
        <w:rPr>
          <w:rFonts w:ascii="Arial" w:hAnsi="Arial" w:cs="Arial"/>
          <w:sz w:val="20"/>
          <w:szCs w:val="20"/>
          <w:lang w:val="en-US"/>
        </w:rPr>
        <w:t xml:space="preserve"> Lewis, 1999)</w:t>
      </w:r>
      <w:r w:rsidR="003A43B5" w:rsidRPr="005C33F2">
        <w:rPr>
          <w:rFonts w:ascii="Arial" w:hAnsi="Arial" w:cs="Arial"/>
          <w:sz w:val="20"/>
          <w:szCs w:val="20"/>
          <w:lang w:val="en-US"/>
        </w:rPr>
        <w:t>.</w:t>
      </w:r>
      <w:r w:rsidR="003A43B5" w:rsidRPr="000C7EE9">
        <w:rPr>
          <w:rFonts w:ascii="Arial" w:hAnsi="Arial" w:cs="Arial"/>
          <w:sz w:val="20"/>
          <w:szCs w:val="20"/>
          <w:lang w:val="en-US"/>
        </w:rPr>
        <w:t xml:space="preserve"> </w:t>
      </w:r>
    </w:p>
    <w:p w14:paraId="64EC5BB2" w14:textId="77777777" w:rsidR="006B1F53" w:rsidRPr="000C7EE9" w:rsidRDefault="006B1F53" w:rsidP="000C7EE9">
      <w:pPr>
        <w:jc w:val="both"/>
        <w:rPr>
          <w:rFonts w:ascii="Arial" w:hAnsi="Arial" w:cs="Arial"/>
          <w:sz w:val="20"/>
          <w:szCs w:val="20"/>
          <w:lang w:val="en-US"/>
        </w:rPr>
      </w:pPr>
    </w:p>
    <w:p w14:paraId="0A7D8EBD" w14:textId="7AB17E7A" w:rsidR="00A244A3" w:rsidRPr="000C7EE9" w:rsidRDefault="00AC174E" w:rsidP="000C7EE9">
      <w:pPr>
        <w:jc w:val="both"/>
        <w:rPr>
          <w:rFonts w:ascii="Arial" w:hAnsi="Arial" w:cs="Arial"/>
          <w:sz w:val="20"/>
          <w:szCs w:val="20"/>
          <w:lang w:val="en-US"/>
        </w:rPr>
      </w:pPr>
      <w:r w:rsidRPr="000C7EE9">
        <w:rPr>
          <w:rFonts w:ascii="Arial" w:hAnsi="Arial" w:cs="Arial"/>
          <w:sz w:val="20"/>
          <w:szCs w:val="20"/>
          <w:lang w:val="en-US"/>
        </w:rPr>
        <w:t>Internal marketing is defined as a strategy that uses marketing techniques within a company to help e</w:t>
      </w:r>
      <w:r w:rsidR="00123DC7">
        <w:rPr>
          <w:rFonts w:ascii="Arial" w:hAnsi="Arial" w:cs="Arial"/>
          <w:sz w:val="20"/>
          <w:szCs w:val="20"/>
          <w:lang w:val="en-US"/>
        </w:rPr>
        <w:t>mployees better serve customers</w:t>
      </w:r>
      <w:r w:rsidR="00244F73" w:rsidRPr="000C7EE9">
        <w:rPr>
          <w:rFonts w:ascii="Arial" w:hAnsi="Arial" w:cs="Arial"/>
          <w:sz w:val="20"/>
          <w:szCs w:val="20"/>
          <w:lang w:val="en-US"/>
        </w:rPr>
        <w:t xml:space="preserve"> (Berry, 1981</w:t>
      </w:r>
      <w:r w:rsidR="00B548ED" w:rsidRPr="000C7EE9">
        <w:rPr>
          <w:rFonts w:ascii="Arial" w:hAnsi="Arial" w:cs="Arial"/>
          <w:sz w:val="20"/>
          <w:szCs w:val="20"/>
          <w:lang w:val="en-US"/>
        </w:rPr>
        <w:t>; Kotler &amp; Armstrong, 1991</w:t>
      </w:r>
      <w:r w:rsidR="00244F73" w:rsidRPr="000C7EE9">
        <w:rPr>
          <w:rFonts w:ascii="Arial" w:hAnsi="Arial" w:cs="Arial"/>
          <w:sz w:val="20"/>
          <w:szCs w:val="20"/>
          <w:lang w:val="en-US"/>
        </w:rPr>
        <w:t>).</w:t>
      </w:r>
      <w:r w:rsidR="000C452E" w:rsidRPr="000C7EE9">
        <w:rPr>
          <w:rFonts w:ascii="Arial" w:hAnsi="Arial" w:cs="Arial"/>
          <w:sz w:val="20"/>
          <w:szCs w:val="20"/>
          <w:lang w:val="en-US"/>
        </w:rPr>
        <w:t xml:space="preserve"> </w:t>
      </w:r>
      <w:r w:rsidRPr="000C7EE9">
        <w:rPr>
          <w:rFonts w:ascii="Arial" w:hAnsi="Arial" w:cs="Arial"/>
          <w:sz w:val="20"/>
          <w:szCs w:val="20"/>
          <w:lang w:val="en-US"/>
        </w:rPr>
        <w:t>According to Lovelock, internal marketing is the process of training and motivating employees to deliver high service standards to customers</w:t>
      </w:r>
      <w:r w:rsidR="000C452E" w:rsidRPr="000C7EE9">
        <w:rPr>
          <w:rFonts w:ascii="Arial" w:hAnsi="Arial" w:cs="Arial"/>
          <w:sz w:val="20"/>
          <w:szCs w:val="20"/>
          <w:lang w:val="en-US"/>
        </w:rPr>
        <w:t xml:space="preserve"> (Lovelock, 1992).</w:t>
      </w:r>
      <w:r w:rsidR="00817E23" w:rsidRPr="000C7EE9">
        <w:rPr>
          <w:rFonts w:ascii="Arial" w:hAnsi="Arial" w:cs="Arial"/>
          <w:sz w:val="20"/>
          <w:szCs w:val="20"/>
          <w:lang w:val="en-US"/>
        </w:rPr>
        <w:t xml:space="preserve"> </w:t>
      </w:r>
      <w:proofErr w:type="spellStart"/>
      <w:r w:rsidR="00817E23" w:rsidRPr="000C7EE9">
        <w:rPr>
          <w:rFonts w:ascii="Arial" w:hAnsi="Arial" w:cs="Arial"/>
          <w:sz w:val="20"/>
          <w:szCs w:val="20"/>
          <w:lang w:val="en-US"/>
        </w:rPr>
        <w:t>T</w:t>
      </w:r>
      <w:r w:rsidR="00EB2F21" w:rsidRPr="000C7EE9">
        <w:rPr>
          <w:rFonts w:ascii="Arial" w:hAnsi="Arial" w:cs="Arial"/>
          <w:sz w:val="20"/>
          <w:szCs w:val="20"/>
          <w:lang w:val="en-US"/>
        </w:rPr>
        <w:t>hise</w:t>
      </w:r>
      <w:proofErr w:type="spellEnd"/>
      <w:r w:rsidR="00EB2F21" w:rsidRPr="000C7EE9">
        <w:rPr>
          <w:rFonts w:ascii="Arial" w:hAnsi="Arial" w:cs="Arial"/>
          <w:sz w:val="20"/>
          <w:szCs w:val="20"/>
          <w:lang w:val="en-US"/>
        </w:rPr>
        <w:t xml:space="preserve"> process</w:t>
      </w:r>
      <w:r w:rsidR="00817E23" w:rsidRPr="000C7EE9">
        <w:rPr>
          <w:rFonts w:ascii="Arial" w:hAnsi="Arial" w:cs="Arial"/>
          <w:sz w:val="20"/>
          <w:szCs w:val="20"/>
          <w:lang w:val="en-US"/>
        </w:rPr>
        <w:t xml:space="preserve"> take place within the company and help motivate employees to serve end customers </w:t>
      </w:r>
      <w:r w:rsidR="000C452E" w:rsidRPr="000C7EE9">
        <w:rPr>
          <w:rFonts w:ascii="Arial" w:hAnsi="Arial" w:cs="Arial"/>
          <w:sz w:val="20"/>
          <w:szCs w:val="20"/>
          <w:lang w:val="en-US"/>
        </w:rPr>
        <w:t>(Foreman, 1995).</w:t>
      </w:r>
      <w:r w:rsidR="008F0D20" w:rsidRPr="000C7EE9">
        <w:rPr>
          <w:rFonts w:ascii="Arial" w:hAnsi="Arial" w:cs="Arial"/>
          <w:sz w:val="20"/>
          <w:szCs w:val="20"/>
          <w:lang w:val="en-US"/>
        </w:rPr>
        <w:t xml:space="preserve"> </w:t>
      </w:r>
      <w:r w:rsidR="00AF1C2F" w:rsidRPr="000C7EE9">
        <w:rPr>
          <w:rFonts w:ascii="Arial" w:hAnsi="Arial" w:cs="Arial"/>
          <w:sz w:val="20"/>
          <w:szCs w:val="20"/>
          <w:lang w:val="en-US"/>
        </w:rPr>
        <w:t xml:space="preserve">Internal marketing is considered an approach aimed at creating happy and satisfied employees through the available resources of the company, focused on the relationship between the company and its employees. This ensures high-quality services and customer satisfaction through effective external </w:t>
      </w:r>
      <w:r w:rsidR="00AF1C2F" w:rsidRPr="00F86018">
        <w:rPr>
          <w:rFonts w:ascii="Arial" w:hAnsi="Arial" w:cs="Arial"/>
          <w:sz w:val="20"/>
          <w:szCs w:val="20"/>
          <w:highlight w:val="yellow"/>
          <w:lang w:val="en-US"/>
        </w:rPr>
        <w:t>marketing</w:t>
      </w:r>
      <w:r w:rsidR="003D1C80" w:rsidRPr="00F86018">
        <w:rPr>
          <w:rFonts w:ascii="Arial" w:hAnsi="Arial" w:cs="Arial"/>
          <w:sz w:val="20"/>
          <w:szCs w:val="20"/>
          <w:highlight w:val="yellow"/>
          <w:lang w:val="en-US"/>
        </w:rPr>
        <w:t xml:space="preserve"> </w:t>
      </w:r>
      <w:r w:rsidR="00F86018" w:rsidRPr="00F86018">
        <w:rPr>
          <w:rFonts w:ascii="Arial" w:hAnsi="Arial" w:cs="Arial"/>
          <w:sz w:val="20"/>
          <w:szCs w:val="20"/>
          <w:highlight w:val="yellow"/>
          <w:lang w:val="en-US"/>
        </w:rPr>
        <w:t>in banking sector</w:t>
      </w:r>
      <w:r w:rsidR="00F86018">
        <w:rPr>
          <w:rFonts w:ascii="Arial" w:hAnsi="Arial" w:cs="Arial"/>
          <w:sz w:val="20"/>
          <w:szCs w:val="20"/>
          <w:lang w:val="en-US"/>
        </w:rPr>
        <w:t xml:space="preserve"> </w:t>
      </w:r>
      <w:r w:rsidR="003D1C80" w:rsidRPr="000C7EE9">
        <w:rPr>
          <w:rFonts w:ascii="Arial" w:hAnsi="Arial" w:cs="Arial"/>
          <w:sz w:val="20"/>
          <w:szCs w:val="20"/>
          <w:lang w:val="en-US"/>
        </w:rPr>
        <w:t>(</w:t>
      </w:r>
      <w:proofErr w:type="spellStart"/>
      <w:r w:rsidR="003D1C80" w:rsidRPr="000C7EE9">
        <w:rPr>
          <w:rFonts w:ascii="Arial" w:hAnsi="Arial" w:cs="Arial"/>
          <w:sz w:val="20"/>
          <w:szCs w:val="20"/>
          <w:lang w:val="en-US"/>
        </w:rPr>
        <w:t>Tomić</w:t>
      </w:r>
      <w:proofErr w:type="spellEnd"/>
      <w:r w:rsidR="003D1C80" w:rsidRPr="000C7EE9">
        <w:rPr>
          <w:rFonts w:ascii="Arial" w:hAnsi="Arial" w:cs="Arial"/>
          <w:sz w:val="20"/>
          <w:szCs w:val="20"/>
          <w:lang w:val="en-US"/>
        </w:rPr>
        <w:t xml:space="preserve"> </w:t>
      </w:r>
      <w:proofErr w:type="spellStart"/>
      <w:r w:rsidR="003D1C80" w:rsidRPr="000C7EE9">
        <w:rPr>
          <w:rFonts w:ascii="Arial" w:hAnsi="Arial" w:cs="Arial"/>
          <w:sz w:val="20"/>
          <w:szCs w:val="20"/>
          <w:lang w:val="en-US"/>
        </w:rPr>
        <w:t>Osmanović</w:t>
      </w:r>
      <w:proofErr w:type="spellEnd"/>
      <w:r w:rsidR="003D1C80" w:rsidRPr="000C7EE9">
        <w:rPr>
          <w:rFonts w:ascii="Arial" w:hAnsi="Arial" w:cs="Arial"/>
          <w:sz w:val="20"/>
          <w:szCs w:val="20"/>
          <w:lang w:val="en-US"/>
        </w:rPr>
        <w:t xml:space="preserve">, </w:t>
      </w:r>
      <w:proofErr w:type="spellStart"/>
      <w:r w:rsidR="003D1C80" w:rsidRPr="000C7EE9">
        <w:rPr>
          <w:rFonts w:ascii="Arial" w:hAnsi="Arial" w:cs="Arial"/>
          <w:sz w:val="20"/>
          <w:szCs w:val="20"/>
          <w:lang w:val="en-US"/>
        </w:rPr>
        <w:t>Muratović</w:t>
      </w:r>
      <w:proofErr w:type="spellEnd"/>
      <w:r w:rsidR="003D1C80" w:rsidRPr="000C7EE9">
        <w:rPr>
          <w:rFonts w:ascii="Arial" w:hAnsi="Arial" w:cs="Arial"/>
          <w:sz w:val="20"/>
          <w:szCs w:val="20"/>
          <w:lang w:val="en-US"/>
        </w:rPr>
        <w:t xml:space="preserve">, </w:t>
      </w:r>
      <w:proofErr w:type="spellStart"/>
      <w:r w:rsidR="003D1C80" w:rsidRPr="000C7EE9">
        <w:rPr>
          <w:rFonts w:ascii="Arial" w:hAnsi="Arial" w:cs="Arial"/>
          <w:sz w:val="20"/>
          <w:szCs w:val="20"/>
          <w:lang w:val="en-US"/>
        </w:rPr>
        <w:t>Čivić</w:t>
      </w:r>
      <w:proofErr w:type="spellEnd"/>
      <w:r w:rsidR="003D1C80" w:rsidRPr="000C7EE9">
        <w:rPr>
          <w:rFonts w:ascii="Arial" w:hAnsi="Arial" w:cs="Arial"/>
          <w:sz w:val="20"/>
          <w:szCs w:val="20"/>
          <w:lang w:val="en-US"/>
        </w:rPr>
        <w:t>, 2024; 54).</w:t>
      </w:r>
      <w:r w:rsidR="00CB5C9B" w:rsidRPr="000C7EE9">
        <w:rPr>
          <w:rFonts w:ascii="Arial" w:hAnsi="Arial" w:cs="Arial"/>
          <w:sz w:val="20"/>
          <w:szCs w:val="20"/>
          <w:lang w:val="en-US"/>
        </w:rPr>
        <w:t xml:space="preserve"> </w:t>
      </w:r>
      <w:r w:rsidR="00AF1C2F" w:rsidRPr="000C7EE9">
        <w:rPr>
          <w:rFonts w:ascii="Arial" w:hAnsi="Arial" w:cs="Arial"/>
          <w:sz w:val="20"/>
          <w:szCs w:val="20"/>
          <w:lang w:val="en-US"/>
        </w:rPr>
        <w:t xml:space="preserve">According to Kong et al., internal marketing is a management philosophy aimed at satisfying employee needs, improving their satisfaction, and achieving company’s better business performance through the delivery of higher-quality services </w:t>
      </w:r>
      <w:r w:rsidR="00CB5C9B" w:rsidRPr="000C7EE9">
        <w:rPr>
          <w:rFonts w:ascii="Arial" w:hAnsi="Arial" w:cs="Arial"/>
          <w:sz w:val="20"/>
          <w:szCs w:val="20"/>
          <w:lang w:val="en-US"/>
        </w:rPr>
        <w:t>(</w:t>
      </w:r>
      <w:r w:rsidR="00AF1C2F" w:rsidRPr="000C7EE9">
        <w:rPr>
          <w:rFonts w:ascii="Arial" w:hAnsi="Arial" w:cs="Arial"/>
          <w:sz w:val="20"/>
          <w:szCs w:val="20"/>
          <w:lang w:val="en-US"/>
        </w:rPr>
        <w:t>adapted from</w:t>
      </w:r>
      <w:r w:rsidR="00CB5C9B" w:rsidRPr="000C7EE9">
        <w:rPr>
          <w:rFonts w:ascii="Arial" w:hAnsi="Arial" w:cs="Arial"/>
          <w:sz w:val="20"/>
          <w:szCs w:val="20"/>
          <w:lang w:val="en-US"/>
        </w:rPr>
        <w:t xml:space="preserve"> Kong, Bu, Yuan, Wang, Kong, Wang, 2020; 2)</w:t>
      </w:r>
      <w:r w:rsidR="0061213D" w:rsidRPr="000C7EE9">
        <w:rPr>
          <w:rFonts w:ascii="Arial" w:hAnsi="Arial" w:cs="Arial"/>
          <w:sz w:val="20"/>
          <w:szCs w:val="20"/>
          <w:lang w:val="en-US"/>
        </w:rPr>
        <w:t>.</w:t>
      </w:r>
    </w:p>
    <w:p w14:paraId="3D05F6B6" w14:textId="77777777" w:rsidR="006B581B" w:rsidRPr="000C7EE9" w:rsidRDefault="006B581B" w:rsidP="000C7EE9">
      <w:pPr>
        <w:jc w:val="both"/>
        <w:rPr>
          <w:rFonts w:ascii="Arial" w:hAnsi="Arial" w:cs="Arial"/>
          <w:sz w:val="20"/>
          <w:szCs w:val="20"/>
          <w:lang w:val="en-US"/>
        </w:rPr>
      </w:pPr>
    </w:p>
    <w:p w14:paraId="67399FCB" w14:textId="2F8AF3C9" w:rsidR="003A43B5" w:rsidRPr="000C7EE9" w:rsidRDefault="00C15B7D" w:rsidP="000C7EE9">
      <w:pPr>
        <w:jc w:val="both"/>
        <w:rPr>
          <w:rFonts w:ascii="Arial" w:hAnsi="Arial" w:cs="Arial"/>
          <w:sz w:val="20"/>
          <w:szCs w:val="20"/>
          <w:lang w:val="en-US"/>
        </w:rPr>
      </w:pPr>
      <w:r w:rsidRPr="000C7EE9">
        <w:rPr>
          <w:rFonts w:ascii="Arial" w:hAnsi="Arial" w:cs="Arial"/>
          <w:sz w:val="20"/>
          <w:szCs w:val="20"/>
          <w:lang w:val="en-US"/>
        </w:rPr>
        <w:t xml:space="preserve">The studies dealing with the issue of internal marketing highlight two main reasons for studying this topic. The first involves complementing external strategic marketing efforts through the interaction between employees as internal customers and service users as external customers. Two-way communication based on honesty and trust is considered a significant predictor of encouraging and attracting customers, as well as achieving their satisfaction </w:t>
      </w:r>
      <w:r w:rsidR="00E0326E" w:rsidRPr="000C7EE9">
        <w:rPr>
          <w:rFonts w:ascii="Arial" w:hAnsi="Arial" w:cs="Arial"/>
          <w:sz w:val="20"/>
          <w:szCs w:val="20"/>
          <w:lang w:val="en-US"/>
        </w:rPr>
        <w:t xml:space="preserve">(Rafiq, Ahmed, 2000; Dahl, Peltier, 2017; </w:t>
      </w:r>
      <w:r w:rsidR="000A761D" w:rsidRPr="000C7EE9">
        <w:rPr>
          <w:rFonts w:ascii="Arial" w:hAnsi="Arial" w:cs="Arial"/>
          <w:sz w:val="20"/>
          <w:szCs w:val="20"/>
          <w:lang w:val="en-US"/>
        </w:rPr>
        <w:t>Dwyer, 2005; Bansal et al., 2001</w:t>
      </w:r>
      <w:r w:rsidR="00E0326E" w:rsidRPr="000C7EE9">
        <w:rPr>
          <w:rFonts w:ascii="Arial" w:hAnsi="Arial" w:cs="Arial"/>
          <w:sz w:val="20"/>
          <w:szCs w:val="20"/>
          <w:lang w:val="en-US"/>
        </w:rPr>
        <w:t>)</w:t>
      </w:r>
      <w:r w:rsidR="003A43B5" w:rsidRPr="000C7EE9">
        <w:rPr>
          <w:rFonts w:ascii="Arial" w:hAnsi="Arial" w:cs="Arial"/>
          <w:sz w:val="20"/>
          <w:szCs w:val="20"/>
          <w:lang w:val="en-US"/>
        </w:rPr>
        <w:t>.</w:t>
      </w:r>
      <w:r w:rsidRPr="000C7EE9">
        <w:rPr>
          <w:rFonts w:ascii="Arial" w:hAnsi="Arial" w:cs="Arial"/>
          <w:sz w:val="20"/>
          <w:szCs w:val="20"/>
          <w:lang w:val="en-US"/>
        </w:rPr>
        <w:t xml:space="preserve"> The second reason for studying internal marketing lies in the fact that investing in employee training and development leads to increased motivation and satisfaction among employees </w:t>
      </w:r>
      <w:r w:rsidR="002043D7" w:rsidRPr="000C7EE9">
        <w:rPr>
          <w:rFonts w:ascii="Arial" w:hAnsi="Arial" w:cs="Arial"/>
          <w:sz w:val="20"/>
          <w:szCs w:val="20"/>
          <w:lang w:val="en-US"/>
        </w:rPr>
        <w:t>(</w:t>
      </w:r>
      <w:proofErr w:type="spellStart"/>
      <w:r w:rsidR="002043D7" w:rsidRPr="000C7EE9">
        <w:rPr>
          <w:rFonts w:ascii="Arial" w:hAnsi="Arial" w:cs="Arial"/>
          <w:sz w:val="20"/>
          <w:szCs w:val="20"/>
          <w:lang w:val="en-US"/>
        </w:rPr>
        <w:t>Boukis</w:t>
      </w:r>
      <w:proofErr w:type="spellEnd"/>
      <w:r w:rsidR="002043D7" w:rsidRPr="000C7EE9">
        <w:rPr>
          <w:rFonts w:ascii="Arial" w:hAnsi="Arial" w:cs="Arial"/>
          <w:sz w:val="20"/>
          <w:szCs w:val="20"/>
          <w:lang w:val="en-US"/>
        </w:rPr>
        <w:t xml:space="preserve"> et al, 2015; Bailey, </w:t>
      </w:r>
      <w:proofErr w:type="spellStart"/>
      <w:r w:rsidR="002043D7" w:rsidRPr="000C7EE9">
        <w:rPr>
          <w:rFonts w:ascii="Arial" w:hAnsi="Arial" w:cs="Arial"/>
          <w:sz w:val="20"/>
          <w:szCs w:val="20"/>
          <w:lang w:val="en-US"/>
        </w:rPr>
        <w:t>Albassami</w:t>
      </w:r>
      <w:proofErr w:type="spellEnd"/>
      <w:r w:rsidR="002043D7" w:rsidRPr="000C7EE9">
        <w:rPr>
          <w:rFonts w:ascii="Arial" w:hAnsi="Arial" w:cs="Arial"/>
          <w:sz w:val="20"/>
          <w:szCs w:val="20"/>
          <w:lang w:val="en-US"/>
        </w:rPr>
        <w:t>, Al-</w:t>
      </w:r>
      <w:proofErr w:type="spellStart"/>
      <w:r w:rsidR="002043D7" w:rsidRPr="000C7EE9">
        <w:rPr>
          <w:rFonts w:ascii="Arial" w:hAnsi="Arial" w:cs="Arial"/>
          <w:sz w:val="20"/>
          <w:szCs w:val="20"/>
          <w:lang w:val="en-US"/>
        </w:rPr>
        <w:t>Meshal</w:t>
      </w:r>
      <w:proofErr w:type="spellEnd"/>
      <w:r w:rsidR="002043D7" w:rsidRPr="000C7EE9">
        <w:rPr>
          <w:rFonts w:ascii="Arial" w:hAnsi="Arial" w:cs="Arial"/>
          <w:sz w:val="20"/>
          <w:szCs w:val="20"/>
          <w:lang w:val="en-US"/>
        </w:rPr>
        <w:t xml:space="preserve">, 2016; Ferdous </w:t>
      </w:r>
      <w:r w:rsidRPr="000C7EE9">
        <w:rPr>
          <w:rFonts w:ascii="Arial" w:hAnsi="Arial" w:cs="Arial"/>
          <w:sz w:val="20"/>
          <w:szCs w:val="20"/>
          <w:lang w:val="en-US"/>
        </w:rPr>
        <w:t>&amp;</w:t>
      </w:r>
      <w:r w:rsidR="002043D7" w:rsidRPr="000C7EE9">
        <w:rPr>
          <w:rFonts w:ascii="Arial" w:hAnsi="Arial" w:cs="Arial"/>
          <w:sz w:val="20"/>
          <w:szCs w:val="20"/>
          <w:lang w:val="en-US"/>
        </w:rPr>
        <w:t xml:space="preserve"> Polonsky, 2014; Hernandez-Diaz, Calderon-Abreu, Amador-</w:t>
      </w:r>
      <w:proofErr w:type="spellStart"/>
      <w:r w:rsidR="002043D7" w:rsidRPr="000C7EE9">
        <w:rPr>
          <w:rFonts w:ascii="Arial" w:hAnsi="Arial" w:cs="Arial"/>
          <w:sz w:val="20"/>
          <w:szCs w:val="20"/>
          <w:lang w:val="en-US"/>
        </w:rPr>
        <w:t>Dumo</w:t>
      </w:r>
      <w:r w:rsidR="00F4495D" w:rsidRPr="000C7EE9">
        <w:rPr>
          <w:rFonts w:ascii="Arial" w:hAnsi="Arial" w:cs="Arial"/>
          <w:sz w:val="20"/>
          <w:szCs w:val="20"/>
          <w:lang w:val="en-US"/>
        </w:rPr>
        <w:t>is</w:t>
      </w:r>
      <w:proofErr w:type="spellEnd"/>
      <w:r w:rsidR="00F4495D" w:rsidRPr="000C7EE9">
        <w:rPr>
          <w:rFonts w:ascii="Arial" w:hAnsi="Arial" w:cs="Arial"/>
          <w:sz w:val="20"/>
          <w:szCs w:val="20"/>
          <w:lang w:val="en-US"/>
        </w:rPr>
        <w:t xml:space="preserve">, 2017; </w:t>
      </w:r>
      <w:proofErr w:type="spellStart"/>
      <w:r w:rsidR="002043D7" w:rsidRPr="000C7EE9">
        <w:rPr>
          <w:rFonts w:ascii="Arial" w:hAnsi="Arial" w:cs="Arial"/>
          <w:sz w:val="20"/>
          <w:szCs w:val="20"/>
          <w:lang w:val="en-US"/>
        </w:rPr>
        <w:t>Sohail</w:t>
      </w:r>
      <w:proofErr w:type="spellEnd"/>
      <w:r w:rsidR="002043D7" w:rsidRPr="000C7EE9">
        <w:rPr>
          <w:rFonts w:ascii="Arial" w:hAnsi="Arial" w:cs="Arial"/>
          <w:sz w:val="20"/>
          <w:szCs w:val="20"/>
          <w:lang w:val="en-US"/>
        </w:rPr>
        <w:t xml:space="preserve"> </w:t>
      </w:r>
      <w:r w:rsidRPr="000C7EE9">
        <w:rPr>
          <w:rFonts w:ascii="Arial" w:hAnsi="Arial" w:cs="Arial"/>
          <w:sz w:val="20"/>
          <w:szCs w:val="20"/>
          <w:lang w:val="en-US"/>
        </w:rPr>
        <w:t>&amp;</w:t>
      </w:r>
      <w:r w:rsidR="002043D7" w:rsidRPr="000C7EE9">
        <w:rPr>
          <w:rFonts w:ascii="Arial" w:hAnsi="Arial" w:cs="Arial"/>
          <w:sz w:val="20"/>
          <w:szCs w:val="20"/>
          <w:lang w:val="en-US"/>
        </w:rPr>
        <w:t xml:space="preserve"> Jang, 2017</w:t>
      </w:r>
      <w:r w:rsidR="003A43B5" w:rsidRPr="000C7EE9">
        <w:rPr>
          <w:rFonts w:ascii="Arial" w:hAnsi="Arial" w:cs="Arial"/>
          <w:sz w:val="20"/>
          <w:szCs w:val="20"/>
          <w:lang w:val="en-US"/>
        </w:rPr>
        <w:t xml:space="preserve">). </w:t>
      </w:r>
    </w:p>
    <w:p w14:paraId="23A49584" w14:textId="77777777" w:rsidR="008F0D20" w:rsidRPr="000C7EE9" w:rsidRDefault="008F0D20" w:rsidP="000C7EE9">
      <w:pPr>
        <w:jc w:val="both"/>
        <w:rPr>
          <w:rFonts w:ascii="Arial" w:hAnsi="Arial" w:cs="Arial"/>
          <w:sz w:val="20"/>
          <w:szCs w:val="20"/>
          <w:lang w:val="en-US"/>
        </w:rPr>
      </w:pPr>
    </w:p>
    <w:p w14:paraId="188CF2D8" w14:textId="042A1707" w:rsidR="0020627A" w:rsidRDefault="00E523ED" w:rsidP="000C7EE9">
      <w:pPr>
        <w:jc w:val="both"/>
      </w:pPr>
      <w:r w:rsidRPr="000C7EE9">
        <w:rPr>
          <w:rFonts w:ascii="Arial" w:hAnsi="Arial" w:cs="Arial"/>
          <w:sz w:val="20"/>
          <w:szCs w:val="20"/>
          <w:lang w:val="en-US"/>
        </w:rPr>
        <w:t xml:space="preserve">The previously mentioned definitions demonstrate that the foundation of successfully meeting the needs of external customers and achieving the company’s business success lies in satisfied employees. Creating their satisfaction can be achieved through various internal marketing programs (dimensions), which include an adequate reward system, employee training and development system, an appropriate interactive communication system, familiarity with the company’s vision, and more. George and </w:t>
      </w:r>
      <w:proofErr w:type="spellStart"/>
      <w:r w:rsidRPr="000C7EE9">
        <w:rPr>
          <w:rFonts w:ascii="Arial" w:hAnsi="Arial" w:cs="Arial"/>
          <w:sz w:val="20"/>
          <w:szCs w:val="20"/>
          <w:lang w:val="en-US"/>
        </w:rPr>
        <w:t>Theodoridis</w:t>
      </w:r>
      <w:proofErr w:type="spellEnd"/>
      <w:r w:rsidRPr="000C7EE9">
        <w:rPr>
          <w:rFonts w:ascii="Arial" w:hAnsi="Arial" w:cs="Arial"/>
          <w:sz w:val="20"/>
          <w:szCs w:val="20"/>
          <w:lang w:val="en-US"/>
        </w:rPr>
        <w:t xml:space="preserve"> believe that internal marketing programs are important predictors of company’s business success, as reflected in the quality of services delivered to customers, customer awareness, organizational commitment, employee turnover, etc., (</w:t>
      </w:r>
      <w:proofErr w:type="spellStart"/>
      <w:r w:rsidRPr="000C7EE9">
        <w:rPr>
          <w:rFonts w:ascii="Arial" w:hAnsi="Arial" w:cs="Arial"/>
          <w:sz w:val="20"/>
          <w:szCs w:val="20"/>
          <w:lang w:val="en-US"/>
        </w:rPr>
        <w:t>Panigyrakis</w:t>
      </w:r>
      <w:proofErr w:type="spellEnd"/>
      <w:r w:rsidRPr="000C7EE9">
        <w:rPr>
          <w:rFonts w:ascii="Arial" w:hAnsi="Arial" w:cs="Arial"/>
          <w:sz w:val="20"/>
          <w:szCs w:val="20"/>
          <w:lang w:val="en-US"/>
        </w:rPr>
        <w:t xml:space="preserve">, </w:t>
      </w:r>
      <w:proofErr w:type="spellStart"/>
      <w:r w:rsidRPr="000C7EE9">
        <w:rPr>
          <w:rFonts w:ascii="Arial" w:hAnsi="Arial" w:cs="Arial"/>
          <w:sz w:val="20"/>
          <w:szCs w:val="20"/>
          <w:lang w:val="en-US"/>
        </w:rPr>
        <w:t>Theodoridis</w:t>
      </w:r>
      <w:proofErr w:type="spellEnd"/>
      <w:r w:rsidRPr="000C7EE9">
        <w:rPr>
          <w:rFonts w:ascii="Arial" w:hAnsi="Arial" w:cs="Arial"/>
          <w:sz w:val="20"/>
          <w:szCs w:val="20"/>
          <w:lang w:val="en-US"/>
        </w:rPr>
        <w:t xml:space="preserve">, 2009; 609). </w:t>
      </w:r>
      <w:r w:rsidR="0020627A" w:rsidRPr="0020627A">
        <w:rPr>
          <w:rFonts w:ascii="Arial" w:hAnsi="Arial" w:cs="Arial"/>
          <w:sz w:val="20"/>
          <w:szCs w:val="20"/>
          <w:highlight w:val="yellow"/>
          <w:lang w:val="en-US"/>
        </w:rPr>
        <w:t>Keeping this in mind, bank management must make significant efforts to develop internal marketing strategies in order to motivate employees and foster satisfaction among them. This, in turn, will lead to satisfied c</w:t>
      </w:r>
      <w:r w:rsidR="00BB494D">
        <w:rPr>
          <w:rFonts w:ascii="Arial" w:hAnsi="Arial" w:cs="Arial"/>
          <w:sz w:val="20"/>
          <w:szCs w:val="20"/>
          <w:highlight w:val="yellow"/>
          <w:lang w:val="en-US"/>
        </w:rPr>
        <w:t>ustomers</w:t>
      </w:r>
      <w:r w:rsidR="0020627A" w:rsidRPr="0020627A">
        <w:rPr>
          <w:rFonts w:ascii="Arial" w:hAnsi="Arial" w:cs="Arial"/>
          <w:sz w:val="20"/>
          <w:szCs w:val="20"/>
          <w:highlight w:val="yellow"/>
          <w:lang w:val="en-US"/>
        </w:rPr>
        <w:t>, contributing to the bank's competitive advantage and overall market success.</w:t>
      </w:r>
    </w:p>
    <w:p w14:paraId="51A82AC6" w14:textId="3FE38D65" w:rsidR="00093472" w:rsidRDefault="00093472" w:rsidP="000C7EE9">
      <w:pPr>
        <w:jc w:val="both"/>
        <w:rPr>
          <w:rFonts w:ascii="Arial" w:hAnsi="Arial" w:cs="Arial"/>
          <w:sz w:val="20"/>
          <w:szCs w:val="20"/>
          <w:lang w:val="en-US"/>
        </w:rPr>
      </w:pPr>
    </w:p>
    <w:p w14:paraId="17B42174" w14:textId="7E9B83FA" w:rsidR="00093472" w:rsidRDefault="00093472" w:rsidP="000C7EE9">
      <w:pPr>
        <w:jc w:val="both"/>
        <w:rPr>
          <w:rFonts w:ascii="Arial" w:hAnsi="Arial" w:cs="Arial"/>
          <w:sz w:val="20"/>
          <w:szCs w:val="20"/>
        </w:rPr>
      </w:pPr>
      <w:r w:rsidRPr="00093472">
        <w:rPr>
          <w:rFonts w:ascii="Arial" w:hAnsi="Arial" w:cs="Arial"/>
          <w:sz w:val="20"/>
          <w:szCs w:val="20"/>
          <w:highlight w:val="yellow"/>
        </w:rPr>
        <w:t>The previous literature indicates that the concept of internal marketing has been primarily explored in the service sector, including banking, hospitality, and healthcare institutions. However, there is a lack of empirical studies that examine the persistence of differences in the perceptions of managers and employees regarding the presence of specific internal marketing dimensions in the banking sector of Bosnia and Herzegovina. Most previous research has focused on the general implications of internal marketing for employee satisfaction and business success but has not thoroughly analyzed the existence of differences in respondents' perceptions of individual internal marketing dimensions between employees and management. Therefore, this study fills the existing research gap by providing insight into the presence of key internal marketing dimensions in the banking sector of Bosnia and Herzegovina and analyzing differences in perceptions between employees and management.</w:t>
      </w:r>
    </w:p>
    <w:p w14:paraId="2F230063" w14:textId="76EB4A51" w:rsidR="00C52E2C" w:rsidRDefault="00C52E2C" w:rsidP="000C7EE9">
      <w:pPr>
        <w:jc w:val="both"/>
        <w:rPr>
          <w:rFonts w:ascii="Arial" w:hAnsi="Arial" w:cs="Arial"/>
          <w:sz w:val="20"/>
          <w:szCs w:val="20"/>
        </w:rPr>
      </w:pPr>
    </w:p>
    <w:p w14:paraId="24128ADA" w14:textId="6C08B6DA" w:rsidR="00C52E2C" w:rsidRPr="000C7EE9" w:rsidRDefault="00C52E2C" w:rsidP="00C52E2C">
      <w:pPr>
        <w:jc w:val="both"/>
        <w:rPr>
          <w:rFonts w:ascii="Arial" w:hAnsi="Arial" w:cs="Arial"/>
          <w:sz w:val="20"/>
          <w:szCs w:val="20"/>
          <w:lang w:val="en-US"/>
        </w:rPr>
      </w:pPr>
      <w:r w:rsidRPr="00C52E2C">
        <w:rPr>
          <w:rFonts w:ascii="Arial" w:hAnsi="Arial" w:cs="Arial"/>
          <w:sz w:val="20"/>
          <w:szCs w:val="20"/>
          <w:highlight w:val="yellow"/>
          <w:lang w:val="en-US"/>
        </w:rPr>
        <w:lastRenderedPageBreak/>
        <w:t xml:space="preserve">The goal of the paper is to highlight the significance of internal marketing (through the presence of adequate interactive communication, appropriate reward system, employee training and development, employee familiarity with the company vision, etc.) primarily on employee motivation and satisfaction, and consequently, on creating a competitive advantage and achieving a better market position for the banks in </w:t>
      </w:r>
      <w:proofErr w:type="spellStart"/>
      <w:r w:rsidRPr="00C52E2C">
        <w:rPr>
          <w:rFonts w:ascii="Arial" w:hAnsi="Arial" w:cs="Arial"/>
          <w:sz w:val="20"/>
          <w:szCs w:val="20"/>
          <w:highlight w:val="yellow"/>
          <w:lang w:val="en-US"/>
        </w:rPr>
        <w:t>BiH</w:t>
      </w:r>
      <w:proofErr w:type="spellEnd"/>
      <w:r w:rsidRPr="00C52E2C">
        <w:rPr>
          <w:rFonts w:ascii="Arial" w:hAnsi="Arial" w:cs="Arial"/>
          <w:sz w:val="20"/>
          <w:szCs w:val="20"/>
          <w:highlight w:val="yellow"/>
          <w:lang w:val="en-US"/>
        </w:rPr>
        <w:t>.</w:t>
      </w:r>
    </w:p>
    <w:p w14:paraId="3B8EF778" w14:textId="77777777" w:rsidR="00C52E2C" w:rsidRPr="00093472" w:rsidRDefault="00C52E2C" w:rsidP="000C7EE9">
      <w:pPr>
        <w:jc w:val="both"/>
        <w:rPr>
          <w:rFonts w:ascii="Arial" w:hAnsi="Arial" w:cs="Arial"/>
          <w:sz w:val="20"/>
          <w:szCs w:val="20"/>
        </w:rPr>
      </w:pPr>
    </w:p>
    <w:p w14:paraId="3F8310D0" w14:textId="29DEDCFF" w:rsidR="003034E0" w:rsidRPr="003034E0" w:rsidRDefault="003034E0" w:rsidP="003034E0">
      <w:pPr>
        <w:jc w:val="both"/>
        <w:rPr>
          <w:rFonts w:ascii="Arial" w:hAnsi="Arial" w:cs="Arial"/>
          <w:sz w:val="20"/>
          <w:szCs w:val="20"/>
          <w:highlight w:val="yellow"/>
        </w:rPr>
      </w:pPr>
      <w:r w:rsidRPr="003034E0">
        <w:rPr>
          <w:rFonts w:ascii="Arial" w:hAnsi="Arial" w:cs="Arial"/>
          <w:sz w:val="20"/>
          <w:szCs w:val="20"/>
          <w:highlight w:val="yellow"/>
        </w:rPr>
        <w:t xml:space="preserve">Considering the identified research gap in the literature, the </w:t>
      </w:r>
      <w:r w:rsidR="007A1BAE">
        <w:rPr>
          <w:rFonts w:ascii="Arial" w:hAnsi="Arial" w:cs="Arial"/>
          <w:sz w:val="20"/>
          <w:szCs w:val="20"/>
          <w:highlight w:val="yellow"/>
        </w:rPr>
        <w:t>research questions of this paper</w:t>
      </w:r>
      <w:r w:rsidRPr="003034E0">
        <w:rPr>
          <w:rFonts w:ascii="Arial" w:hAnsi="Arial" w:cs="Arial"/>
          <w:sz w:val="20"/>
          <w:szCs w:val="20"/>
          <w:highlight w:val="yellow"/>
        </w:rPr>
        <w:t xml:space="preserve"> are:</w:t>
      </w:r>
    </w:p>
    <w:p w14:paraId="2228D4A8" w14:textId="77777777" w:rsidR="003034E0" w:rsidRPr="003034E0" w:rsidRDefault="003034E0" w:rsidP="003034E0">
      <w:pPr>
        <w:numPr>
          <w:ilvl w:val="0"/>
          <w:numId w:val="25"/>
        </w:numPr>
        <w:spacing w:after="100" w:afterAutospacing="1"/>
        <w:jc w:val="both"/>
        <w:rPr>
          <w:rFonts w:ascii="Arial" w:hAnsi="Arial" w:cs="Arial"/>
          <w:sz w:val="20"/>
          <w:szCs w:val="20"/>
          <w:highlight w:val="yellow"/>
        </w:rPr>
      </w:pPr>
      <w:r w:rsidRPr="003034E0">
        <w:rPr>
          <w:rFonts w:ascii="Arial" w:hAnsi="Arial" w:cs="Arial"/>
          <w:sz w:val="20"/>
          <w:szCs w:val="20"/>
          <w:highlight w:val="yellow"/>
        </w:rPr>
        <w:t>To what extent are the dimensions of internal marketing (familiarity with the company’s vision, reward system, employee training and development, internal communication) present in the banking sector of Bosnia and Herzegovina?</w:t>
      </w:r>
    </w:p>
    <w:p w14:paraId="1372E363" w14:textId="77777777" w:rsidR="003034E0" w:rsidRPr="003034E0" w:rsidRDefault="003034E0" w:rsidP="003034E0">
      <w:pPr>
        <w:numPr>
          <w:ilvl w:val="0"/>
          <w:numId w:val="25"/>
        </w:numPr>
        <w:spacing w:before="100" w:beforeAutospacing="1" w:after="100" w:afterAutospacing="1"/>
        <w:jc w:val="both"/>
        <w:rPr>
          <w:rFonts w:ascii="Arial" w:hAnsi="Arial" w:cs="Arial"/>
          <w:sz w:val="20"/>
          <w:szCs w:val="20"/>
          <w:highlight w:val="yellow"/>
        </w:rPr>
      </w:pPr>
      <w:r w:rsidRPr="003034E0">
        <w:rPr>
          <w:rFonts w:ascii="Arial" w:hAnsi="Arial" w:cs="Arial"/>
          <w:sz w:val="20"/>
          <w:szCs w:val="20"/>
          <w:highlight w:val="yellow"/>
        </w:rPr>
        <w:t>Are there statistically significant differences in the attitudes of employees and managers regarding the presence of specific internal marketing dimensions in banks in Bosnia and Herzegovina?</w:t>
      </w:r>
    </w:p>
    <w:p w14:paraId="5AEBE3D5" w14:textId="51639662" w:rsidR="00093472" w:rsidRPr="003034E0" w:rsidRDefault="003034E0" w:rsidP="003034E0">
      <w:pPr>
        <w:numPr>
          <w:ilvl w:val="0"/>
          <w:numId w:val="25"/>
        </w:numPr>
        <w:spacing w:before="100" w:beforeAutospacing="1"/>
        <w:jc w:val="both"/>
        <w:rPr>
          <w:rFonts w:ascii="Arial" w:hAnsi="Arial" w:cs="Arial"/>
          <w:sz w:val="20"/>
          <w:szCs w:val="20"/>
          <w:highlight w:val="yellow"/>
        </w:rPr>
      </w:pPr>
      <w:r w:rsidRPr="003034E0">
        <w:rPr>
          <w:rFonts w:ascii="Arial" w:hAnsi="Arial" w:cs="Arial"/>
          <w:sz w:val="20"/>
          <w:szCs w:val="20"/>
          <w:highlight w:val="yellow"/>
        </w:rPr>
        <w:t>What is the impact of socio-demographic characteristics on the attitudes of employees and management regarding the presence of the observed internal marketing dimensions in banks in Bosnia and Herzegovina?</w:t>
      </w:r>
    </w:p>
    <w:p w14:paraId="7A73FFD2" w14:textId="1BFBC34B" w:rsidR="0034180A" w:rsidRPr="000C7EE9" w:rsidRDefault="00093472" w:rsidP="000C7EE9">
      <w:pPr>
        <w:jc w:val="both"/>
        <w:rPr>
          <w:rFonts w:ascii="Arial" w:hAnsi="Arial" w:cs="Arial"/>
          <w:sz w:val="20"/>
          <w:szCs w:val="20"/>
          <w:lang w:val="en-US"/>
        </w:rPr>
      </w:pPr>
      <w:r w:rsidRPr="00093472">
        <w:rPr>
          <w:rFonts w:ascii="Arial" w:hAnsi="Arial" w:cs="Arial"/>
          <w:sz w:val="20"/>
          <w:szCs w:val="20"/>
          <w:highlight w:val="yellow"/>
        </w:rPr>
        <w:t xml:space="preserve">This </w:t>
      </w:r>
      <w:r w:rsidR="007A1BAE">
        <w:rPr>
          <w:rFonts w:ascii="Arial" w:hAnsi="Arial" w:cs="Arial"/>
          <w:sz w:val="20"/>
          <w:szCs w:val="20"/>
          <w:highlight w:val="yellow"/>
        </w:rPr>
        <w:t>paper</w:t>
      </w:r>
      <w:r w:rsidRPr="00093472">
        <w:rPr>
          <w:rFonts w:ascii="Arial" w:hAnsi="Arial" w:cs="Arial"/>
          <w:sz w:val="20"/>
          <w:szCs w:val="20"/>
          <w:highlight w:val="yellow"/>
        </w:rPr>
        <w:t xml:space="preserve"> contributes to the internal marketing literature by providing empirical evidence on the presence of observed internal marketing dimensions (familiarity with the company’s vision, reward system, employee training and development, and internal communication) in the banking sector of Bosnia and Herzegovina. The study highlights the importance of articulating the company's vision, implementing an adequate reward system, enhancing employee competencies through training and development programs, and ensuring effective internal communication in achieving employee satisfaction and the overall success of banks. The practical contribution of this study lies in formulating recommendations for banks, whose effective implementation could create the necessary conditions for improving competitive advantage and market positioning.</w:t>
      </w:r>
    </w:p>
    <w:p w14:paraId="632F67C0" w14:textId="0D37651B" w:rsidR="00FF146D" w:rsidRPr="00826725" w:rsidRDefault="00FF146D" w:rsidP="00546E5F">
      <w:pPr>
        <w:autoSpaceDE w:val="0"/>
        <w:autoSpaceDN w:val="0"/>
        <w:adjustRightInd w:val="0"/>
        <w:spacing w:line="276" w:lineRule="auto"/>
        <w:jc w:val="both"/>
        <w:rPr>
          <w:rFonts w:ascii="Arial" w:hAnsi="Arial" w:cs="Arial"/>
          <w:lang w:val="en-US"/>
        </w:rPr>
      </w:pPr>
    </w:p>
    <w:p w14:paraId="703A82F2" w14:textId="7CA040B9" w:rsidR="00592F1C" w:rsidRDefault="00423E2A" w:rsidP="00345227">
      <w:pPr>
        <w:pStyle w:val="ListParagraph"/>
        <w:numPr>
          <w:ilvl w:val="0"/>
          <w:numId w:val="22"/>
        </w:numPr>
        <w:spacing w:line="276" w:lineRule="auto"/>
        <w:ind w:left="284" w:hanging="284"/>
        <w:jc w:val="both"/>
        <w:rPr>
          <w:rFonts w:ascii="Arial" w:hAnsi="Arial" w:cs="Arial"/>
          <w:b/>
          <w:bCs/>
          <w:lang w:val="en-US"/>
        </w:rPr>
      </w:pPr>
      <w:r w:rsidRPr="00E42526">
        <w:rPr>
          <w:rFonts w:ascii="Arial" w:hAnsi="Arial" w:cs="Arial"/>
          <w:b/>
          <w:bCs/>
          <w:lang w:val="en-US"/>
        </w:rPr>
        <w:t xml:space="preserve">THEORETICAL FRAMEWORK </w:t>
      </w:r>
    </w:p>
    <w:p w14:paraId="2ADFEA5A" w14:textId="77777777" w:rsidR="00E42526" w:rsidRPr="00E42526" w:rsidRDefault="00E42526" w:rsidP="00E42526">
      <w:pPr>
        <w:pStyle w:val="ListParagraph"/>
        <w:spacing w:line="276" w:lineRule="auto"/>
        <w:ind w:left="284"/>
        <w:jc w:val="both"/>
        <w:rPr>
          <w:rFonts w:ascii="Arial" w:hAnsi="Arial" w:cs="Arial"/>
          <w:b/>
          <w:bCs/>
          <w:lang w:val="en-US"/>
        </w:rPr>
      </w:pPr>
    </w:p>
    <w:p w14:paraId="396D43B6" w14:textId="7BE220AD" w:rsidR="00040DDA" w:rsidRPr="00826725" w:rsidRDefault="00DA73CF" w:rsidP="00C040CF">
      <w:pPr>
        <w:jc w:val="both"/>
        <w:rPr>
          <w:rFonts w:ascii="Arial" w:hAnsi="Arial" w:cs="Arial"/>
          <w:sz w:val="20"/>
          <w:szCs w:val="20"/>
          <w:lang w:val="en-US"/>
        </w:rPr>
      </w:pPr>
      <w:r w:rsidRPr="00826725">
        <w:rPr>
          <w:rFonts w:ascii="Arial" w:hAnsi="Arial" w:cs="Arial"/>
          <w:sz w:val="20"/>
          <w:szCs w:val="20"/>
          <w:lang w:val="en-US"/>
        </w:rPr>
        <w:t xml:space="preserve">Although many authors attempted to provide a comprehensive explanation of the theoretical concept of internal marketing and its practical application, they were not entirely successful. This is primarily because most authors do not have a unified stance on what internal marketing truly represents and what its purpose is. Additionally, the number of empirical studies on this topic is rather negligible </w:t>
      </w:r>
      <w:r w:rsidR="00925063" w:rsidRPr="00826725">
        <w:rPr>
          <w:rFonts w:ascii="Arial" w:hAnsi="Arial" w:cs="Arial"/>
          <w:sz w:val="20"/>
          <w:szCs w:val="20"/>
          <w:lang w:val="en-US"/>
        </w:rPr>
        <w:t xml:space="preserve">(Berry, 1984; </w:t>
      </w:r>
      <w:proofErr w:type="spellStart"/>
      <w:r w:rsidR="00925063" w:rsidRPr="00826725">
        <w:rPr>
          <w:rFonts w:ascii="Arial" w:hAnsi="Arial" w:cs="Arial"/>
          <w:sz w:val="20"/>
          <w:szCs w:val="20"/>
          <w:lang w:val="en-US"/>
        </w:rPr>
        <w:t>Grönroos</w:t>
      </w:r>
      <w:proofErr w:type="spellEnd"/>
      <w:r w:rsidR="00925063" w:rsidRPr="00826725">
        <w:rPr>
          <w:rFonts w:ascii="Arial" w:hAnsi="Arial" w:cs="Arial"/>
          <w:sz w:val="20"/>
          <w:szCs w:val="20"/>
          <w:lang w:val="en-US"/>
        </w:rPr>
        <w:t xml:space="preserve">, 1985; </w:t>
      </w:r>
      <w:proofErr w:type="spellStart"/>
      <w:r w:rsidR="00925063" w:rsidRPr="00826725">
        <w:rPr>
          <w:rFonts w:ascii="Arial" w:hAnsi="Arial" w:cs="Arial"/>
          <w:sz w:val="20"/>
          <w:szCs w:val="20"/>
          <w:lang w:val="en-US"/>
        </w:rPr>
        <w:t>Tansuhaj</w:t>
      </w:r>
      <w:proofErr w:type="spellEnd"/>
      <w:r w:rsidR="00925063" w:rsidRPr="00826725">
        <w:rPr>
          <w:rFonts w:ascii="Arial" w:hAnsi="Arial" w:cs="Arial"/>
          <w:sz w:val="20"/>
          <w:szCs w:val="20"/>
          <w:lang w:val="en-US"/>
        </w:rPr>
        <w:t xml:space="preserve"> </w:t>
      </w:r>
      <w:r w:rsidR="001C454E" w:rsidRPr="00826725">
        <w:rPr>
          <w:rFonts w:ascii="Arial" w:hAnsi="Arial" w:cs="Arial"/>
          <w:sz w:val="20"/>
          <w:szCs w:val="20"/>
          <w:lang w:val="en-US"/>
        </w:rPr>
        <w:t>et al</w:t>
      </w:r>
      <w:r w:rsidR="00925063" w:rsidRPr="00826725">
        <w:rPr>
          <w:rFonts w:ascii="Arial" w:hAnsi="Arial" w:cs="Arial"/>
          <w:sz w:val="20"/>
          <w:szCs w:val="20"/>
          <w:lang w:val="en-US"/>
        </w:rPr>
        <w:t xml:space="preserve">., 1987; Ballantyne, 2003; Rafiq </w:t>
      </w:r>
      <w:r w:rsidRPr="00826725">
        <w:rPr>
          <w:rFonts w:ascii="Arial" w:hAnsi="Arial" w:cs="Arial"/>
          <w:sz w:val="20"/>
          <w:szCs w:val="20"/>
          <w:lang w:val="en-US"/>
        </w:rPr>
        <w:t>&amp;</w:t>
      </w:r>
      <w:r w:rsidR="00925063" w:rsidRPr="00826725">
        <w:rPr>
          <w:rFonts w:ascii="Arial" w:hAnsi="Arial" w:cs="Arial"/>
          <w:sz w:val="20"/>
          <w:szCs w:val="20"/>
          <w:lang w:val="en-US"/>
        </w:rPr>
        <w:t xml:space="preserve"> Ahmed, 2000; Schultz, 2004; </w:t>
      </w:r>
      <w:proofErr w:type="spellStart"/>
      <w:r w:rsidR="00925063" w:rsidRPr="00826725">
        <w:rPr>
          <w:rFonts w:ascii="Arial" w:hAnsi="Arial" w:cs="Arial"/>
          <w:sz w:val="20"/>
          <w:szCs w:val="20"/>
          <w:lang w:val="en-US"/>
        </w:rPr>
        <w:t>Gounaris</w:t>
      </w:r>
      <w:proofErr w:type="spellEnd"/>
      <w:r w:rsidR="00925063" w:rsidRPr="00826725">
        <w:rPr>
          <w:rFonts w:ascii="Arial" w:hAnsi="Arial" w:cs="Arial"/>
          <w:sz w:val="20"/>
          <w:szCs w:val="20"/>
          <w:lang w:val="en-US"/>
        </w:rPr>
        <w:t>, 2006)</w:t>
      </w:r>
      <w:r w:rsidR="00592F1C" w:rsidRPr="00826725">
        <w:rPr>
          <w:rFonts w:ascii="Arial" w:hAnsi="Arial" w:cs="Arial"/>
          <w:sz w:val="20"/>
          <w:szCs w:val="20"/>
          <w:lang w:val="en-US"/>
        </w:rPr>
        <w:t>.</w:t>
      </w:r>
    </w:p>
    <w:p w14:paraId="610E1F71" w14:textId="77777777" w:rsidR="00592F1C" w:rsidRPr="00826725" w:rsidRDefault="00592F1C" w:rsidP="00C040CF">
      <w:pPr>
        <w:jc w:val="both"/>
        <w:rPr>
          <w:rFonts w:ascii="Arial" w:hAnsi="Arial" w:cs="Arial"/>
          <w:sz w:val="20"/>
          <w:szCs w:val="20"/>
          <w:lang w:val="en-US"/>
        </w:rPr>
      </w:pPr>
    </w:p>
    <w:p w14:paraId="505EE6FB" w14:textId="5A04D56B" w:rsidR="00040DDA" w:rsidRPr="00826725" w:rsidRDefault="00DA73CF" w:rsidP="00C040CF">
      <w:pPr>
        <w:jc w:val="both"/>
        <w:rPr>
          <w:rFonts w:ascii="Arial" w:hAnsi="Arial" w:cs="Arial"/>
          <w:sz w:val="20"/>
          <w:szCs w:val="20"/>
          <w:lang w:val="en-US"/>
        </w:rPr>
      </w:pPr>
      <w:r w:rsidRPr="00826725">
        <w:rPr>
          <w:rFonts w:ascii="Arial" w:hAnsi="Arial" w:cs="Arial"/>
          <w:sz w:val="20"/>
          <w:szCs w:val="20"/>
          <w:lang w:val="en-US"/>
        </w:rPr>
        <w:t>Despite the confusion surrounding the field of internal marketing, it is important to highlight that it has been the subject of interest for a significant number of authors from the fields of human resource management and marketing. In recent years, this concept also gained attention in sectors such as banking, healthcare, tourism, hospitality, and other service industries</w:t>
      </w:r>
      <w:r w:rsidR="006C0FF1" w:rsidRPr="00826725">
        <w:rPr>
          <w:rFonts w:ascii="Arial" w:hAnsi="Arial" w:cs="Arial"/>
          <w:sz w:val="20"/>
          <w:szCs w:val="20"/>
          <w:lang w:val="en-US"/>
        </w:rPr>
        <w:t xml:space="preserve"> </w:t>
      </w:r>
      <w:r w:rsidR="00040DDA" w:rsidRPr="00826725">
        <w:rPr>
          <w:rFonts w:ascii="Arial" w:hAnsi="Arial" w:cs="Arial"/>
          <w:sz w:val="20"/>
          <w:szCs w:val="20"/>
          <w:lang w:val="en-US"/>
        </w:rPr>
        <w:t>(</w:t>
      </w:r>
      <w:r w:rsidR="00F56017" w:rsidRPr="00826725">
        <w:rPr>
          <w:rFonts w:ascii="Arial" w:hAnsi="Arial" w:cs="Arial"/>
          <w:sz w:val="20"/>
          <w:szCs w:val="20"/>
          <w:lang w:val="en-US"/>
        </w:rPr>
        <w:t xml:space="preserve">Ahmed </w:t>
      </w:r>
      <w:r w:rsidRPr="00826725">
        <w:rPr>
          <w:rFonts w:ascii="Arial" w:hAnsi="Arial" w:cs="Arial"/>
          <w:sz w:val="20"/>
          <w:szCs w:val="20"/>
          <w:lang w:val="en-US"/>
        </w:rPr>
        <w:t>&amp;</w:t>
      </w:r>
      <w:r w:rsidR="00F56017" w:rsidRPr="00826725">
        <w:rPr>
          <w:rFonts w:ascii="Arial" w:hAnsi="Arial" w:cs="Arial"/>
          <w:sz w:val="20"/>
          <w:szCs w:val="20"/>
          <w:lang w:val="en-US"/>
        </w:rPr>
        <w:t xml:space="preserve"> Rafiq, 1995; </w:t>
      </w:r>
      <w:proofErr w:type="spellStart"/>
      <w:r w:rsidR="00F56017" w:rsidRPr="00826725">
        <w:rPr>
          <w:rFonts w:ascii="Arial" w:hAnsi="Arial" w:cs="Arial"/>
          <w:sz w:val="20"/>
          <w:szCs w:val="20"/>
          <w:lang w:val="en-US"/>
        </w:rPr>
        <w:t>Altarifi</w:t>
      </w:r>
      <w:proofErr w:type="spellEnd"/>
      <w:r w:rsidR="00F56017" w:rsidRPr="00826725">
        <w:rPr>
          <w:rFonts w:ascii="Arial" w:hAnsi="Arial" w:cs="Arial"/>
          <w:sz w:val="20"/>
          <w:szCs w:val="20"/>
          <w:lang w:val="en-US"/>
        </w:rPr>
        <w:t xml:space="preserve">, 2014; </w:t>
      </w:r>
      <w:proofErr w:type="spellStart"/>
      <w:r w:rsidR="00F56017" w:rsidRPr="00826725">
        <w:rPr>
          <w:rFonts w:ascii="Arial" w:hAnsi="Arial" w:cs="Arial"/>
          <w:sz w:val="20"/>
          <w:szCs w:val="20"/>
          <w:lang w:val="en-US"/>
        </w:rPr>
        <w:t>Awwad</w:t>
      </w:r>
      <w:proofErr w:type="spellEnd"/>
      <w:r w:rsidR="00F56017" w:rsidRPr="00826725">
        <w:rPr>
          <w:rFonts w:ascii="Arial" w:hAnsi="Arial" w:cs="Arial"/>
          <w:sz w:val="20"/>
          <w:szCs w:val="20"/>
          <w:lang w:val="en-US"/>
        </w:rPr>
        <w:t>, 2019; Dahl,</w:t>
      </w:r>
      <w:r w:rsidR="00385536" w:rsidRPr="00826725">
        <w:rPr>
          <w:rFonts w:ascii="Arial" w:hAnsi="Arial" w:cs="Arial"/>
          <w:sz w:val="20"/>
          <w:szCs w:val="20"/>
          <w:lang w:val="en-US"/>
        </w:rPr>
        <w:t xml:space="preserve"> Peltier,</w:t>
      </w:r>
      <w:r w:rsidRPr="00826725">
        <w:rPr>
          <w:rFonts w:ascii="Arial" w:hAnsi="Arial" w:cs="Arial"/>
          <w:sz w:val="20"/>
          <w:szCs w:val="20"/>
          <w:lang w:val="en-US"/>
        </w:rPr>
        <w:t xml:space="preserve"> </w:t>
      </w:r>
      <w:r w:rsidR="00F56017" w:rsidRPr="00826725">
        <w:rPr>
          <w:rFonts w:ascii="Arial" w:hAnsi="Arial" w:cs="Arial"/>
          <w:sz w:val="20"/>
          <w:szCs w:val="20"/>
          <w:lang w:val="en-US"/>
        </w:rPr>
        <w:t xml:space="preserve">2017; Kelemen, </w:t>
      </w:r>
      <w:proofErr w:type="spellStart"/>
      <w:r w:rsidR="00F56017" w:rsidRPr="00826725">
        <w:rPr>
          <w:rFonts w:ascii="Arial" w:hAnsi="Arial" w:cs="Arial"/>
          <w:sz w:val="20"/>
          <w:szCs w:val="20"/>
          <w:lang w:val="en-US"/>
        </w:rPr>
        <w:t>Papasolomou</w:t>
      </w:r>
      <w:proofErr w:type="spellEnd"/>
      <w:r w:rsidR="00F56017" w:rsidRPr="00826725">
        <w:rPr>
          <w:rFonts w:ascii="Arial" w:hAnsi="Arial" w:cs="Arial"/>
          <w:sz w:val="20"/>
          <w:szCs w:val="20"/>
          <w:lang w:val="en-US"/>
        </w:rPr>
        <w:t xml:space="preserve">, 2007; Jaworski, Kohli, 1993; </w:t>
      </w:r>
      <w:proofErr w:type="spellStart"/>
      <w:r w:rsidR="006C0FF1" w:rsidRPr="00826725">
        <w:rPr>
          <w:rFonts w:ascii="Arial" w:hAnsi="Arial" w:cs="Arial"/>
          <w:sz w:val="20"/>
          <w:szCs w:val="20"/>
          <w:lang w:val="en-US"/>
        </w:rPr>
        <w:t>Papasolomou</w:t>
      </w:r>
      <w:proofErr w:type="spellEnd"/>
      <w:r w:rsidR="006C0FF1" w:rsidRPr="00826725">
        <w:rPr>
          <w:rFonts w:ascii="Arial" w:hAnsi="Arial" w:cs="Arial"/>
          <w:sz w:val="20"/>
          <w:szCs w:val="20"/>
          <w:lang w:val="en-US"/>
        </w:rPr>
        <w:t xml:space="preserve"> </w:t>
      </w:r>
      <w:r w:rsidRPr="00826725">
        <w:rPr>
          <w:rFonts w:ascii="Arial" w:hAnsi="Arial" w:cs="Arial"/>
          <w:sz w:val="20"/>
          <w:szCs w:val="20"/>
          <w:lang w:val="en-US"/>
        </w:rPr>
        <w:t>&amp;</w:t>
      </w:r>
      <w:r w:rsidR="006C0FF1" w:rsidRPr="00826725">
        <w:rPr>
          <w:rFonts w:ascii="Arial" w:hAnsi="Arial" w:cs="Arial"/>
          <w:sz w:val="20"/>
          <w:szCs w:val="20"/>
          <w:lang w:val="en-US"/>
        </w:rPr>
        <w:t xml:space="preserve"> </w:t>
      </w:r>
      <w:proofErr w:type="spellStart"/>
      <w:r w:rsidR="006C0FF1" w:rsidRPr="00826725">
        <w:rPr>
          <w:rFonts w:ascii="Arial" w:hAnsi="Arial" w:cs="Arial"/>
          <w:sz w:val="20"/>
          <w:szCs w:val="20"/>
          <w:lang w:val="en-US"/>
        </w:rPr>
        <w:t>Vrontis</w:t>
      </w:r>
      <w:proofErr w:type="spellEnd"/>
      <w:r w:rsidR="006C0FF1" w:rsidRPr="00826725">
        <w:rPr>
          <w:rFonts w:ascii="Arial" w:hAnsi="Arial" w:cs="Arial"/>
          <w:sz w:val="20"/>
          <w:szCs w:val="20"/>
          <w:lang w:val="en-US"/>
        </w:rPr>
        <w:t xml:space="preserve">, 2006; </w:t>
      </w:r>
      <w:proofErr w:type="spellStart"/>
      <w:r w:rsidR="006C0FF1" w:rsidRPr="00826725">
        <w:rPr>
          <w:rFonts w:ascii="Arial" w:hAnsi="Arial" w:cs="Arial"/>
          <w:sz w:val="20"/>
          <w:szCs w:val="20"/>
          <w:lang w:val="en-US"/>
        </w:rPr>
        <w:t>Mainardes</w:t>
      </w:r>
      <w:proofErr w:type="spellEnd"/>
      <w:r w:rsidR="006C0FF1" w:rsidRPr="00826725">
        <w:rPr>
          <w:rFonts w:ascii="Arial" w:hAnsi="Arial" w:cs="Arial"/>
          <w:sz w:val="20"/>
          <w:szCs w:val="20"/>
          <w:lang w:val="en-US"/>
        </w:rPr>
        <w:t xml:space="preserve"> </w:t>
      </w:r>
      <w:r w:rsidRPr="00826725">
        <w:rPr>
          <w:rFonts w:ascii="Arial" w:hAnsi="Arial" w:cs="Arial"/>
          <w:sz w:val="20"/>
          <w:szCs w:val="20"/>
          <w:lang w:val="en-US"/>
        </w:rPr>
        <w:t>et al</w:t>
      </w:r>
      <w:r w:rsidR="006C0FF1" w:rsidRPr="00826725">
        <w:rPr>
          <w:rFonts w:ascii="Arial" w:hAnsi="Arial" w:cs="Arial"/>
          <w:sz w:val="20"/>
          <w:szCs w:val="20"/>
          <w:lang w:val="en-US"/>
        </w:rPr>
        <w:t xml:space="preserve">., 2019; </w:t>
      </w:r>
      <w:r w:rsidR="00F56017" w:rsidRPr="00826725">
        <w:rPr>
          <w:rFonts w:ascii="Arial" w:hAnsi="Arial" w:cs="Arial"/>
          <w:sz w:val="20"/>
          <w:szCs w:val="20"/>
          <w:lang w:val="en-US"/>
        </w:rPr>
        <w:t xml:space="preserve">Sleiman, </w:t>
      </w:r>
      <w:r w:rsidR="006C0FF1" w:rsidRPr="00826725">
        <w:rPr>
          <w:rFonts w:ascii="Arial" w:hAnsi="Arial" w:cs="Arial"/>
          <w:sz w:val="20"/>
          <w:szCs w:val="20"/>
          <w:lang w:val="en-US"/>
        </w:rPr>
        <w:t>Ismail</w:t>
      </w:r>
      <w:r w:rsidR="00F56017" w:rsidRPr="00826725">
        <w:rPr>
          <w:rFonts w:ascii="Arial" w:hAnsi="Arial" w:cs="Arial"/>
          <w:sz w:val="20"/>
          <w:szCs w:val="20"/>
          <w:lang w:val="en-US"/>
        </w:rPr>
        <w:t>,</w:t>
      </w:r>
      <w:r w:rsidR="006C0FF1" w:rsidRPr="00826725">
        <w:rPr>
          <w:rFonts w:ascii="Arial" w:hAnsi="Arial" w:cs="Arial"/>
          <w:sz w:val="20"/>
          <w:szCs w:val="20"/>
          <w:lang w:val="en-US"/>
        </w:rPr>
        <w:t xml:space="preserve"> Sheriff, 20</w:t>
      </w:r>
      <w:r w:rsidR="00F56017" w:rsidRPr="00826725">
        <w:rPr>
          <w:rFonts w:ascii="Arial" w:hAnsi="Arial" w:cs="Arial"/>
          <w:sz w:val="20"/>
          <w:szCs w:val="20"/>
          <w:lang w:val="en-US"/>
        </w:rPr>
        <w:t>21</w:t>
      </w:r>
      <w:r w:rsidR="00040DDA" w:rsidRPr="00826725">
        <w:rPr>
          <w:rFonts w:ascii="Arial" w:hAnsi="Arial" w:cs="Arial"/>
          <w:sz w:val="20"/>
          <w:szCs w:val="20"/>
          <w:lang w:val="en-US"/>
        </w:rPr>
        <w:t xml:space="preserve">). </w:t>
      </w:r>
    </w:p>
    <w:p w14:paraId="6607C6FE" w14:textId="77777777" w:rsidR="00C040CF" w:rsidRPr="00826725" w:rsidRDefault="00C040CF" w:rsidP="00C040CF">
      <w:pPr>
        <w:jc w:val="both"/>
        <w:rPr>
          <w:rFonts w:ascii="Arial" w:hAnsi="Arial" w:cs="Arial"/>
          <w:sz w:val="20"/>
          <w:szCs w:val="20"/>
          <w:lang w:val="en-US"/>
        </w:rPr>
      </w:pPr>
    </w:p>
    <w:p w14:paraId="1CD3F6C3" w14:textId="04A12E7F" w:rsidR="00A5139F" w:rsidRPr="00826725" w:rsidRDefault="00CC0DC5" w:rsidP="00C040CF">
      <w:pPr>
        <w:jc w:val="both"/>
        <w:rPr>
          <w:rFonts w:ascii="Arial" w:hAnsi="Arial" w:cs="Arial"/>
          <w:sz w:val="20"/>
          <w:szCs w:val="20"/>
          <w:lang w:val="en-US"/>
        </w:rPr>
      </w:pPr>
      <w:r w:rsidRPr="00826725">
        <w:rPr>
          <w:rFonts w:ascii="Arial" w:hAnsi="Arial" w:cs="Arial"/>
          <w:sz w:val="20"/>
          <w:szCs w:val="20"/>
          <w:lang w:val="en-US"/>
        </w:rPr>
        <w:t>Internal marketing is a process in which effective communication, training, motivation, employee involvement, and rewards lead to greater satisfaction for end customers. According to Ballantyne, internal marketing is a form of relationship management where employees play a key role in delivering value to customers</w:t>
      </w:r>
      <w:r w:rsidR="005153CD" w:rsidRPr="00826725">
        <w:rPr>
          <w:rFonts w:ascii="Arial" w:hAnsi="Arial" w:cs="Arial"/>
          <w:sz w:val="20"/>
          <w:szCs w:val="20"/>
          <w:lang w:val="en-US"/>
        </w:rPr>
        <w:t xml:space="preserve"> (Ballantyne, 2003; 42). </w:t>
      </w:r>
      <w:r w:rsidR="0032551B" w:rsidRPr="00826725">
        <w:rPr>
          <w:rFonts w:ascii="Arial" w:hAnsi="Arial" w:cs="Arial"/>
          <w:sz w:val="20"/>
          <w:szCs w:val="20"/>
          <w:lang w:val="en-US"/>
        </w:rPr>
        <w:t xml:space="preserve">Defining internal marketing as a multidimensional process, Musa et al. argued that its primary purpose is to assist companies in understanding employee demands and needs, recognizing the importance of their training, and achieving interactive communication. This, in turn, improves teamwork, contributes to better relationships among employees, and helps implement the company’s defined strategy focused on enhancing employee satisfaction and achieving better business performance </w:t>
      </w:r>
      <w:r w:rsidR="00A5139F" w:rsidRPr="00826725">
        <w:rPr>
          <w:rFonts w:ascii="Arial" w:hAnsi="Arial" w:cs="Arial"/>
          <w:sz w:val="20"/>
          <w:szCs w:val="20"/>
          <w:lang w:val="en-US"/>
        </w:rPr>
        <w:t>(</w:t>
      </w:r>
      <w:r w:rsidR="00DA73CF" w:rsidRPr="00826725">
        <w:rPr>
          <w:rFonts w:ascii="Arial" w:hAnsi="Arial" w:cs="Arial"/>
          <w:sz w:val="20"/>
          <w:szCs w:val="20"/>
          <w:lang w:val="en-US"/>
        </w:rPr>
        <w:t>adapted from</w:t>
      </w:r>
      <w:r w:rsidR="00A5139F" w:rsidRPr="00826725">
        <w:rPr>
          <w:rFonts w:ascii="Arial" w:hAnsi="Arial" w:cs="Arial"/>
          <w:sz w:val="20"/>
          <w:szCs w:val="20"/>
          <w:lang w:val="en-US"/>
        </w:rPr>
        <w:t xml:space="preserve"> Musa, </w:t>
      </w:r>
      <w:proofErr w:type="spellStart"/>
      <w:r w:rsidR="00A5139F" w:rsidRPr="00826725">
        <w:rPr>
          <w:rFonts w:ascii="Arial" w:hAnsi="Arial" w:cs="Arial"/>
          <w:sz w:val="20"/>
          <w:szCs w:val="20"/>
          <w:lang w:val="en-US"/>
        </w:rPr>
        <w:t>Ijaiya</w:t>
      </w:r>
      <w:proofErr w:type="spellEnd"/>
      <w:r w:rsidR="00A5139F" w:rsidRPr="00826725">
        <w:rPr>
          <w:rFonts w:ascii="Arial" w:hAnsi="Arial" w:cs="Arial"/>
          <w:sz w:val="20"/>
          <w:szCs w:val="20"/>
          <w:lang w:val="en-US"/>
        </w:rPr>
        <w:t xml:space="preserve">, </w:t>
      </w:r>
      <w:proofErr w:type="spellStart"/>
      <w:r w:rsidR="00A5139F" w:rsidRPr="00826725">
        <w:rPr>
          <w:rFonts w:ascii="Arial" w:hAnsi="Arial" w:cs="Arial"/>
          <w:sz w:val="20"/>
          <w:szCs w:val="20"/>
          <w:lang w:val="en-US"/>
        </w:rPr>
        <w:t>Zubairu</w:t>
      </w:r>
      <w:proofErr w:type="spellEnd"/>
      <w:r w:rsidR="00A5139F" w:rsidRPr="00826725">
        <w:rPr>
          <w:rFonts w:ascii="Arial" w:hAnsi="Arial" w:cs="Arial"/>
          <w:sz w:val="20"/>
          <w:szCs w:val="20"/>
          <w:lang w:val="en-US"/>
        </w:rPr>
        <w:t>, 2021: 36).</w:t>
      </w:r>
    </w:p>
    <w:p w14:paraId="41279C99" w14:textId="77777777" w:rsidR="00B20FE6" w:rsidRPr="00826725" w:rsidRDefault="00B20FE6" w:rsidP="00C040CF">
      <w:pPr>
        <w:jc w:val="both"/>
        <w:rPr>
          <w:rFonts w:ascii="Arial" w:hAnsi="Arial" w:cs="Arial"/>
          <w:sz w:val="20"/>
          <w:szCs w:val="20"/>
          <w:lang w:val="en-US"/>
        </w:rPr>
      </w:pPr>
    </w:p>
    <w:p w14:paraId="14906B62" w14:textId="700F1504" w:rsidR="0017461C" w:rsidRPr="00C33EC0" w:rsidRDefault="00EF18E2" w:rsidP="002B620B">
      <w:pPr>
        <w:jc w:val="both"/>
        <w:rPr>
          <w:rFonts w:ascii="Arial" w:hAnsi="Arial" w:cs="Arial"/>
          <w:sz w:val="20"/>
          <w:szCs w:val="20"/>
          <w:highlight w:val="yellow"/>
          <w:lang w:val="en-US"/>
        </w:rPr>
      </w:pPr>
      <w:r w:rsidRPr="00EF18E2">
        <w:rPr>
          <w:rFonts w:ascii="Arial" w:hAnsi="Arial" w:cs="Arial"/>
          <w:sz w:val="20"/>
          <w:szCs w:val="20"/>
          <w:highlight w:val="yellow"/>
          <w:lang w:val="en-US"/>
        </w:rPr>
        <w:t>Considered from the perspective of the banking sector, internal marketing refers to marketing directed towards the bank's employees, enabling them to effectively perform the tasks assigned to them. This includes, among other things, the way they establish contact with potential banking customers and adequately meet their demands and needs, which indirectly impacts the achievement of the bank's business performance (</w:t>
      </w:r>
      <w:proofErr w:type="spellStart"/>
      <w:r w:rsidRPr="00EF18E2">
        <w:rPr>
          <w:rFonts w:ascii="Arial" w:hAnsi="Arial" w:cs="Arial"/>
          <w:sz w:val="20"/>
          <w:szCs w:val="20"/>
          <w:highlight w:val="yellow"/>
          <w:lang w:val="en-US"/>
        </w:rPr>
        <w:t>Tomić</w:t>
      </w:r>
      <w:proofErr w:type="spellEnd"/>
      <w:r w:rsidRPr="00EF18E2">
        <w:rPr>
          <w:rFonts w:ascii="Arial" w:hAnsi="Arial" w:cs="Arial"/>
          <w:sz w:val="20"/>
          <w:szCs w:val="20"/>
          <w:highlight w:val="yellow"/>
          <w:lang w:val="en-US"/>
        </w:rPr>
        <w:t xml:space="preserve"> </w:t>
      </w:r>
      <w:proofErr w:type="spellStart"/>
      <w:r w:rsidRPr="00EF18E2">
        <w:rPr>
          <w:rFonts w:ascii="Arial" w:hAnsi="Arial" w:cs="Arial"/>
          <w:sz w:val="20"/>
          <w:szCs w:val="20"/>
          <w:highlight w:val="yellow"/>
          <w:lang w:val="en-US"/>
        </w:rPr>
        <w:t>Osmanović</w:t>
      </w:r>
      <w:proofErr w:type="spellEnd"/>
      <w:r w:rsidRPr="00EF18E2">
        <w:rPr>
          <w:rFonts w:ascii="Arial" w:hAnsi="Arial" w:cs="Arial"/>
          <w:sz w:val="20"/>
          <w:szCs w:val="20"/>
          <w:highlight w:val="yellow"/>
          <w:lang w:val="en-US"/>
        </w:rPr>
        <w:t xml:space="preserve">, </w:t>
      </w:r>
      <w:proofErr w:type="spellStart"/>
      <w:r w:rsidRPr="00EF18E2">
        <w:rPr>
          <w:rFonts w:ascii="Arial" w:hAnsi="Arial" w:cs="Arial"/>
          <w:sz w:val="20"/>
          <w:szCs w:val="20"/>
          <w:highlight w:val="yellow"/>
          <w:lang w:val="en-US"/>
        </w:rPr>
        <w:t>Muratović</w:t>
      </w:r>
      <w:proofErr w:type="spellEnd"/>
      <w:r w:rsidRPr="00EF18E2">
        <w:rPr>
          <w:rFonts w:ascii="Arial" w:hAnsi="Arial" w:cs="Arial"/>
          <w:sz w:val="20"/>
          <w:szCs w:val="20"/>
          <w:highlight w:val="yellow"/>
          <w:lang w:val="en-US"/>
        </w:rPr>
        <w:t xml:space="preserve">, </w:t>
      </w:r>
      <w:proofErr w:type="spellStart"/>
      <w:r w:rsidRPr="00EF18E2">
        <w:rPr>
          <w:rFonts w:ascii="Arial" w:hAnsi="Arial" w:cs="Arial"/>
          <w:sz w:val="20"/>
          <w:szCs w:val="20"/>
          <w:highlight w:val="yellow"/>
          <w:lang w:val="en-US"/>
        </w:rPr>
        <w:t>Čivić</w:t>
      </w:r>
      <w:proofErr w:type="spellEnd"/>
      <w:r w:rsidRPr="00EF18E2">
        <w:rPr>
          <w:rFonts w:ascii="Arial" w:hAnsi="Arial" w:cs="Arial"/>
          <w:sz w:val="20"/>
          <w:szCs w:val="20"/>
          <w:highlight w:val="yellow"/>
          <w:lang w:val="en-US"/>
        </w:rPr>
        <w:t>, 2024; 53).</w:t>
      </w:r>
      <w:r w:rsidRPr="00EF18E2">
        <w:t xml:space="preserve"> </w:t>
      </w:r>
      <w:r w:rsidR="00D746B8" w:rsidRPr="00D746B8">
        <w:rPr>
          <w:rFonts w:ascii="Arial" w:hAnsi="Arial" w:cs="Arial"/>
          <w:sz w:val="20"/>
          <w:szCs w:val="20"/>
          <w:highlight w:val="yellow"/>
          <w:lang w:val="en-US"/>
        </w:rPr>
        <w:t>According to Brown, internal marketing in banking rep</w:t>
      </w:r>
      <w:r w:rsidR="00D746B8" w:rsidRPr="00C33EC0">
        <w:rPr>
          <w:rFonts w:ascii="Arial" w:hAnsi="Arial" w:cs="Arial"/>
          <w:sz w:val="20"/>
          <w:szCs w:val="20"/>
          <w:highlight w:val="yellow"/>
          <w:lang w:val="en-US"/>
        </w:rPr>
        <w:t>resents</w:t>
      </w:r>
      <w:r w:rsidR="00D746B8" w:rsidRPr="00D746B8">
        <w:rPr>
          <w:rFonts w:ascii="Arial" w:hAnsi="Arial" w:cs="Arial"/>
          <w:sz w:val="20"/>
          <w:szCs w:val="20"/>
          <w:highlight w:val="yellow"/>
          <w:lang w:val="en-US"/>
        </w:rPr>
        <w:t xml:space="preserve"> a strategic approach aimed at enhancing the satisfaction of banking employees and their retention through continuous development, transparent reward systems, open two-</w:t>
      </w:r>
      <w:r w:rsidR="00D746B8" w:rsidRPr="00D746B8">
        <w:rPr>
          <w:rFonts w:ascii="Arial" w:hAnsi="Arial" w:cs="Arial"/>
          <w:sz w:val="20"/>
          <w:szCs w:val="20"/>
          <w:highlight w:val="yellow"/>
          <w:lang w:val="en-US"/>
        </w:rPr>
        <w:lastRenderedPageBreak/>
        <w:t xml:space="preserve">way communication, and inclusive decision-making </w:t>
      </w:r>
      <w:r w:rsidRPr="00D746B8">
        <w:rPr>
          <w:rFonts w:ascii="Arial" w:hAnsi="Arial" w:cs="Arial"/>
          <w:sz w:val="20"/>
          <w:szCs w:val="20"/>
          <w:highlight w:val="yellow"/>
          <w:lang w:val="en-US"/>
        </w:rPr>
        <w:t>(</w:t>
      </w:r>
      <w:r w:rsidR="00D746B8" w:rsidRPr="00D746B8">
        <w:rPr>
          <w:rFonts w:ascii="Arial" w:hAnsi="Arial" w:cs="Arial"/>
          <w:sz w:val="20"/>
          <w:szCs w:val="20"/>
          <w:highlight w:val="yellow"/>
          <w:lang w:val="en-US"/>
        </w:rPr>
        <w:t xml:space="preserve">adapted according to: </w:t>
      </w:r>
      <w:r w:rsidRPr="00D746B8">
        <w:rPr>
          <w:rFonts w:ascii="Arial" w:hAnsi="Arial" w:cs="Arial"/>
          <w:sz w:val="20"/>
          <w:szCs w:val="20"/>
          <w:highlight w:val="yellow"/>
          <w:lang w:val="en-US"/>
        </w:rPr>
        <w:t>Brown, 2025)</w:t>
      </w:r>
      <w:r w:rsidR="00D746B8" w:rsidRPr="00C33EC0">
        <w:rPr>
          <w:rFonts w:ascii="Arial" w:hAnsi="Arial" w:cs="Arial"/>
          <w:sz w:val="20"/>
          <w:szCs w:val="20"/>
          <w:highlight w:val="yellow"/>
          <w:lang w:val="en-US"/>
        </w:rPr>
        <w:t>.</w:t>
      </w:r>
      <w:r w:rsidR="00C33EC0" w:rsidRPr="00C33EC0">
        <w:rPr>
          <w:rFonts w:ascii="Arial" w:hAnsi="Arial" w:cs="Arial"/>
          <w:sz w:val="20"/>
          <w:szCs w:val="20"/>
          <w:highlight w:val="yellow"/>
          <w:lang w:val="en-US"/>
        </w:rPr>
        <w:t xml:space="preserve"> Internal marketing in banks, according to </w:t>
      </w:r>
      <w:proofErr w:type="spellStart"/>
      <w:r w:rsidR="00C33EC0" w:rsidRPr="00C33EC0">
        <w:rPr>
          <w:rFonts w:ascii="Arial" w:hAnsi="Arial" w:cs="Arial"/>
          <w:sz w:val="20"/>
          <w:szCs w:val="20"/>
          <w:highlight w:val="yellow"/>
          <w:lang w:val="en-US"/>
        </w:rPr>
        <w:t>Sulejman</w:t>
      </w:r>
      <w:proofErr w:type="spellEnd"/>
      <w:r w:rsidR="00C33EC0" w:rsidRPr="00C33EC0">
        <w:rPr>
          <w:rFonts w:ascii="Arial" w:hAnsi="Arial" w:cs="Arial"/>
          <w:sz w:val="20"/>
          <w:szCs w:val="20"/>
          <w:highlight w:val="yellow"/>
          <w:lang w:val="en-US"/>
        </w:rPr>
        <w:t xml:space="preserve"> and Mohammad, represents the process of implementing marketing principles within the bank, aiming to improve employee motivation and internal communication, as well as increase their commitment to the bank, thereby contributing to better market positioning of the bank</w:t>
      </w:r>
      <w:r w:rsidR="00C33EC0">
        <w:rPr>
          <w:rFonts w:ascii="Arial" w:hAnsi="Arial" w:cs="Arial"/>
          <w:sz w:val="20"/>
          <w:szCs w:val="20"/>
          <w:highlight w:val="yellow"/>
          <w:lang w:val="en-US"/>
        </w:rPr>
        <w:t xml:space="preserve"> (</w:t>
      </w:r>
      <w:r w:rsidR="00C33EC0" w:rsidRPr="00D746B8">
        <w:rPr>
          <w:rFonts w:ascii="Arial" w:hAnsi="Arial" w:cs="Arial"/>
          <w:sz w:val="20"/>
          <w:szCs w:val="20"/>
          <w:highlight w:val="yellow"/>
          <w:lang w:val="en-US"/>
        </w:rPr>
        <w:t>acc</w:t>
      </w:r>
      <w:r w:rsidR="00C33EC0" w:rsidRPr="00C33EC0">
        <w:rPr>
          <w:rFonts w:ascii="Arial" w:hAnsi="Arial" w:cs="Arial"/>
          <w:sz w:val="20"/>
          <w:szCs w:val="20"/>
          <w:highlight w:val="yellow"/>
          <w:lang w:val="en-US"/>
        </w:rPr>
        <w:t>ordi</w:t>
      </w:r>
      <w:r w:rsidR="00C33EC0" w:rsidRPr="00D746B8">
        <w:rPr>
          <w:rFonts w:ascii="Arial" w:hAnsi="Arial" w:cs="Arial"/>
          <w:sz w:val="20"/>
          <w:szCs w:val="20"/>
          <w:highlight w:val="yellow"/>
          <w:lang w:val="en-US"/>
        </w:rPr>
        <w:t>ng to</w:t>
      </w:r>
      <w:r w:rsidR="00C33EC0" w:rsidRPr="00C33EC0">
        <w:rPr>
          <w:rFonts w:ascii="Arial" w:hAnsi="Arial" w:cs="Arial"/>
          <w:sz w:val="20"/>
          <w:szCs w:val="20"/>
          <w:highlight w:val="yellow"/>
          <w:lang w:val="en-US"/>
        </w:rPr>
        <w:t xml:space="preserve"> </w:t>
      </w:r>
      <w:proofErr w:type="spellStart"/>
      <w:r w:rsidR="00C33EC0" w:rsidRPr="00C33EC0">
        <w:rPr>
          <w:rFonts w:ascii="Arial" w:hAnsi="Arial" w:cs="Arial"/>
          <w:sz w:val="20"/>
          <w:szCs w:val="20"/>
          <w:highlight w:val="yellow"/>
          <w:lang w:val="en-US"/>
        </w:rPr>
        <w:t>Awwad</w:t>
      </w:r>
      <w:proofErr w:type="spellEnd"/>
      <w:r w:rsidR="00C33EC0" w:rsidRPr="00C33EC0">
        <w:rPr>
          <w:rFonts w:ascii="Arial" w:hAnsi="Arial" w:cs="Arial"/>
          <w:sz w:val="20"/>
          <w:szCs w:val="20"/>
          <w:highlight w:val="yellow"/>
          <w:lang w:val="en-US"/>
        </w:rPr>
        <w:t xml:space="preserve">, </w:t>
      </w:r>
      <w:proofErr w:type="spellStart"/>
      <w:r w:rsidR="00C33EC0" w:rsidRPr="00C33EC0">
        <w:rPr>
          <w:rFonts w:ascii="Arial" w:hAnsi="Arial" w:cs="Arial"/>
          <w:sz w:val="20"/>
          <w:szCs w:val="20"/>
          <w:highlight w:val="yellow"/>
          <w:lang w:val="en-US"/>
        </w:rPr>
        <w:t>Agti</w:t>
      </w:r>
      <w:proofErr w:type="spellEnd"/>
      <w:r w:rsidR="00C33EC0" w:rsidRPr="00C33EC0">
        <w:rPr>
          <w:rFonts w:ascii="Arial" w:hAnsi="Arial" w:cs="Arial"/>
          <w:sz w:val="20"/>
          <w:szCs w:val="20"/>
          <w:highlight w:val="yellow"/>
          <w:lang w:val="en-US"/>
        </w:rPr>
        <w:t>, 2011</w:t>
      </w:r>
      <w:r w:rsidR="00C33EC0">
        <w:rPr>
          <w:rFonts w:ascii="Arial" w:hAnsi="Arial" w:cs="Arial"/>
          <w:sz w:val="20"/>
          <w:szCs w:val="20"/>
          <w:highlight w:val="yellow"/>
          <w:lang w:val="en-US"/>
        </w:rPr>
        <w:t>)</w:t>
      </w:r>
      <w:r w:rsidR="00C33EC0" w:rsidRPr="00C33EC0">
        <w:rPr>
          <w:rFonts w:ascii="Arial" w:hAnsi="Arial" w:cs="Arial"/>
          <w:sz w:val="20"/>
          <w:szCs w:val="20"/>
          <w:highlight w:val="yellow"/>
          <w:lang w:val="en-US"/>
        </w:rPr>
        <w:t>.</w:t>
      </w:r>
      <w:r w:rsidR="00CA0E1C">
        <w:rPr>
          <w:rFonts w:ascii="Arial" w:hAnsi="Arial" w:cs="Arial"/>
          <w:sz w:val="20"/>
          <w:szCs w:val="20"/>
          <w:highlight w:val="yellow"/>
          <w:lang w:val="en-US"/>
        </w:rPr>
        <w:t xml:space="preserve"> </w:t>
      </w:r>
      <w:r w:rsidR="00CA0E1C" w:rsidRPr="00CA0E1C">
        <w:rPr>
          <w:rFonts w:ascii="Arial" w:hAnsi="Arial" w:cs="Arial"/>
          <w:sz w:val="20"/>
          <w:szCs w:val="20"/>
          <w:highlight w:val="yellow"/>
          <w:lang w:val="en-US"/>
        </w:rPr>
        <w:t>It also represents the systematic efforts of the bank's management to increase employee satisfaction through effective internal communication, adequate employee development programs, and incentive reward systems, which ultimately results in better business performance of the bank</w:t>
      </w:r>
      <w:r w:rsidR="0007461E">
        <w:rPr>
          <w:rFonts w:ascii="Arial" w:hAnsi="Arial" w:cs="Arial"/>
          <w:sz w:val="20"/>
          <w:szCs w:val="20"/>
          <w:highlight w:val="yellow"/>
          <w:lang w:val="en-US"/>
        </w:rPr>
        <w:t xml:space="preserve"> </w:t>
      </w:r>
      <w:r w:rsidR="00CA0E1C">
        <w:rPr>
          <w:rFonts w:ascii="Arial" w:hAnsi="Arial" w:cs="Arial"/>
          <w:sz w:val="20"/>
          <w:szCs w:val="20"/>
          <w:highlight w:val="yellow"/>
          <w:lang w:val="en-US"/>
        </w:rPr>
        <w:t>(</w:t>
      </w:r>
      <w:r w:rsidR="0007461E" w:rsidRPr="0007461E">
        <w:rPr>
          <w:rFonts w:ascii="Arial" w:hAnsi="Arial" w:cs="Arial"/>
          <w:sz w:val="20"/>
          <w:szCs w:val="20"/>
          <w:highlight w:val="yellow"/>
          <w:lang w:val="en-US"/>
        </w:rPr>
        <w:t xml:space="preserve">adapted according to </w:t>
      </w:r>
      <w:proofErr w:type="spellStart"/>
      <w:r w:rsidR="00CA0E1C" w:rsidRPr="00CA0E1C">
        <w:rPr>
          <w:rFonts w:ascii="Arial" w:hAnsi="Arial" w:cs="Arial"/>
          <w:sz w:val="20"/>
          <w:szCs w:val="20"/>
          <w:highlight w:val="yellow"/>
          <w:lang w:val="en-US"/>
        </w:rPr>
        <w:t>Mainardes</w:t>
      </w:r>
      <w:proofErr w:type="spellEnd"/>
      <w:r w:rsidR="00CA0E1C" w:rsidRPr="00CA0E1C">
        <w:rPr>
          <w:rFonts w:ascii="Arial" w:hAnsi="Arial" w:cs="Arial"/>
          <w:sz w:val="20"/>
          <w:szCs w:val="20"/>
          <w:highlight w:val="yellow"/>
          <w:lang w:val="en-US"/>
        </w:rPr>
        <w:t xml:space="preserve">, Rodrigues, Teixeira, </w:t>
      </w:r>
      <w:r w:rsidR="00CA0E1C">
        <w:rPr>
          <w:rFonts w:ascii="Arial" w:hAnsi="Arial" w:cs="Arial"/>
          <w:sz w:val="20"/>
          <w:szCs w:val="20"/>
          <w:highlight w:val="yellow"/>
          <w:lang w:val="en-US"/>
        </w:rPr>
        <w:t>2019)</w:t>
      </w:r>
      <w:r w:rsidR="00CA0E1C" w:rsidRPr="00CA0E1C">
        <w:rPr>
          <w:rFonts w:ascii="Arial" w:hAnsi="Arial" w:cs="Arial"/>
          <w:sz w:val="20"/>
          <w:szCs w:val="20"/>
          <w:highlight w:val="yellow"/>
          <w:lang w:val="en-US"/>
        </w:rPr>
        <w:t>.</w:t>
      </w:r>
    </w:p>
    <w:p w14:paraId="23F0AB70" w14:textId="77777777" w:rsidR="00592F1C" w:rsidRPr="00826725" w:rsidRDefault="00592F1C" w:rsidP="00C040CF">
      <w:pPr>
        <w:jc w:val="both"/>
        <w:rPr>
          <w:rFonts w:ascii="Arial" w:hAnsi="Arial" w:cs="Arial"/>
          <w:sz w:val="20"/>
          <w:szCs w:val="20"/>
          <w:lang w:val="en-US"/>
        </w:rPr>
      </w:pPr>
    </w:p>
    <w:p w14:paraId="45894F77" w14:textId="24046FE4" w:rsidR="00592F1C" w:rsidRPr="00826725" w:rsidRDefault="00B8226D" w:rsidP="00C040CF">
      <w:pPr>
        <w:jc w:val="both"/>
        <w:rPr>
          <w:rFonts w:ascii="Arial" w:hAnsi="Arial" w:cs="Arial"/>
          <w:sz w:val="20"/>
          <w:szCs w:val="20"/>
          <w:lang w:val="en-US"/>
        </w:rPr>
      </w:pPr>
      <w:r w:rsidRPr="00826725">
        <w:rPr>
          <w:rFonts w:ascii="Arial" w:hAnsi="Arial" w:cs="Arial"/>
          <w:sz w:val="20"/>
          <w:szCs w:val="20"/>
          <w:lang w:val="en-US"/>
        </w:rPr>
        <w:t>Based on the previously mentioned definitions, we can conclude that the philosophy of internal marketing believes that internal customers are just as important as external customers. Therefore, the goal of every manager should be to create an environment within the company that encourages employees to give their best while serving external customers. This is because only satisfied customers are a clear indicator that management is doing the right things, which will lead to better positioning in the market.</w:t>
      </w:r>
    </w:p>
    <w:p w14:paraId="096972E3" w14:textId="77777777" w:rsidR="00592F1C" w:rsidRPr="00826725" w:rsidRDefault="00592F1C" w:rsidP="00C040CF">
      <w:pPr>
        <w:jc w:val="both"/>
        <w:rPr>
          <w:rFonts w:ascii="Arial" w:hAnsi="Arial" w:cs="Arial"/>
          <w:sz w:val="20"/>
          <w:szCs w:val="20"/>
          <w:lang w:val="en-US"/>
        </w:rPr>
      </w:pPr>
    </w:p>
    <w:p w14:paraId="1505B799" w14:textId="40C4D4D8" w:rsidR="00592F1C" w:rsidRPr="00826725" w:rsidRDefault="00B8226D" w:rsidP="00C040CF">
      <w:pPr>
        <w:jc w:val="both"/>
        <w:rPr>
          <w:rFonts w:ascii="Arial" w:hAnsi="Arial" w:cs="Arial"/>
          <w:sz w:val="20"/>
          <w:szCs w:val="20"/>
          <w:lang w:val="en-US"/>
        </w:rPr>
      </w:pPr>
      <w:r w:rsidRPr="00826725">
        <w:rPr>
          <w:rFonts w:ascii="Arial" w:hAnsi="Arial" w:cs="Arial"/>
          <w:sz w:val="20"/>
          <w:szCs w:val="20"/>
          <w:lang w:val="en-US"/>
        </w:rPr>
        <w:t xml:space="preserve">The activities available to company’s management in their efforts to adequately satisfy and motivate their employees are numerous. According to </w:t>
      </w:r>
      <w:proofErr w:type="spellStart"/>
      <w:r w:rsidRPr="00826725">
        <w:rPr>
          <w:rFonts w:ascii="Arial" w:hAnsi="Arial" w:cs="Arial"/>
          <w:sz w:val="20"/>
          <w:szCs w:val="20"/>
          <w:lang w:val="en-US"/>
        </w:rPr>
        <w:t>Jarvi</w:t>
      </w:r>
      <w:proofErr w:type="spellEnd"/>
      <w:r w:rsidRPr="00826725">
        <w:rPr>
          <w:rFonts w:ascii="Arial" w:hAnsi="Arial" w:cs="Arial"/>
          <w:sz w:val="20"/>
          <w:szCs w:val="20"/>
          <w:lang w:val="en-US"/>
        </w:rPr>
        <w:t xml:space="preserve">, the core activities of internal marketing are based on proper internal provision of information to employees, their internal training, fostering a sense of unity and teamwork, as well as creating an appropriate system of rewards and motivation </w:t>
      </w:r>
      <w:r w:rsidR="008430A2" w:rsidRPr="00826725">
        <w:rPr>
          <w:rFonts w:ascii="Arial" w:hAnsi="Arial" w:cs="Arial"/>
          <w:sz w:val="20"/>
          <w:szCs w:val="20"/>
          <w:lang w:val="en-US"/>
        </w:rPr>
        <w:t>(</w:t>
      </w:r>
      <w:proofErr w:type="spellStart"/>
      <w:r w:rsidR="008430A2" w:rsidRPr="00826725">
        <w:rPr>
          <w:rFonts w:ascii="Arial" w:hAnsi="Arial" w:cs="Arial"/>
          <w:sz w:val="20"/>
          <w:szCs w:val="20"/>
          <w:lang w:val="en-US"/>
        </w:rPr>
        <w:t>Jarvi</w:t>
      </w:r>
      <w:proofErr w:type="spellEnd"/>
      <w:r w:rsidR="008430A2" w:rsidRPr="00826725">
        <w:rPr>
          <w:rFonts w:ascii="Arial" w:hAnsi="Arial" w:cs="Arial"/>
          <w:sz w:val="20"/>
          <w:szCs w:val="20"/>
          <w:lang w:val="en-US"/>
        </w:rPr>
        <w:t xml:space="preserve">, 2009). </w:t>
      </w:r>
      <w:r w:rsidRPr="00826725">
        <w:rPr>
          <w:rFonts w:ascii="Arial" w:hAnsi="Arial" w:cs="Arial"/>
          <w:sz w:val="20"/>
          <w:szCs w:val="20"/>
          <w:lang w:val="en-US"/>
        </w:rPr>
        <w:t xml:space="preserve">Herington et al. believe that only the work environment based on collaboration, interactive communication, understanding, an adequate reward system, commitment, and trust between </w:t>
      </w:r>
      <w:r w:rsidRPr="0007461E">
        <w:rPr>
          <w:rFonts w:ascii="Arial" w:hAnsi="Arial" w:cs="Arial"/>
          <w:sz w:val="20"/>
          <w:szCs w:val="20"/>
          <w:lang w:val="en-US"/>
        </w:rPr>
        <w:t>employees and their superiors can</w:t>
      </w:r>
      <w:r w:rsidR="00FB537B" w:rsidRPr="0007461E">
        <w:rPr>
          <w:rFonts w:ascii="Arial" w:hAnsi="Arial" w:cs="Arial"/>
          <w:sz w:val="20"/>
          <w:szCs w:val="20"/>
          <w:lang w:val="en-US"/>
        </w:rPr>
        <w:t xml:space="preserve"> </w:t>
      </w:r>
      <w:r w:rsidRPr="0007461E">
        <w:rPr>
          <w:rFonts w:ascii="Arial" w:hAnsi="Arial" w:cs="Arial"/>
          <w:sz w:val="20"/>
          <w:szCs w:val="20"/>
          <w:lang w:val="en-US"/>
        </w:rPr>
        <w:t>influence employees' dedication and commitment to their tasks. This, in turn, is reflected in the quality and satisfaction</w:t>
      </w:r>
      <w:r w:rsidR="00FB537B" w:rsidRPr="0007461E">
        <w:rPr>
          <w:rFonts w:ascii="Arial" w:hAnsi="Arial" w:cs="Arial"/>
          <w:sz w:val="20"/>
          <w:szCs w:val="20"/>
          <w:lang w:val="en-US"/>
        </w:rPr>
        <w:t xml:space="preserve"> by</w:t>
      </w:r>
      <w:r w:rsidRPr="0007461E">
        <w:rPr>
          <w:rFonts w:ascii="Arial" w:hAnsi="Arial" w:cs="Arial"/>
          <w:sz w:val="20"/>
          <w:szCs w:val="20"/>
          <w:lang w:val="en-US"/>
        </w:rPr>
        <w:t xml:space="preserve"> the services provided to the end customers</w:t>
      </w:r>
      <w:r w:rsidR="008430A2" w:rsidRPr="0007461E">
        <w:rPr>
          <w:rFonts w:ascii="Arial" w:hAnsi="Arial" w:cs="Arial"/>
          <w:sz w:val="20"/>
          <w:szCs w:val="20"/>
          <w:lang w:val="en-US"/>
        </w:rPr>
        <w:t xml:space="preserve"> (</w:t>
      </w:r>
      <w:r w:rsidRPr="0007461E">
        <w:rPr>
          <w:rFonts w:ascii="Arial" w:hAnsi="Arial" w:cs="Arial"/>
          <w:sz w:val="20"/>
          <w:szCs w:val="20"/>
          <w:lang w:val="en-US"/>
        </w:rPr>
        <w:t>adapted according to</w:t>
      </w:r>
      <w:r w:rsidR="008430A2" w:rsidRPr="0007461E">
        <w:rPr>
          <w:rFonts w:ascii="Arial" w:hAnsi="Arial" w:cs="Arial"/>
          <w:sz w:val="20"/>
          <w:szCs w:val="20"/>
          <w:lang w:val="en-US"/>
        </w:rPr>
        <w:t xml:space="preserve"> Herington, Scott, Johnson, </w:t>
      </w:r>
      <w:r w:rsidR="00592F1C" w:rsidRPr="0007461E">
        <w:rPr>
          <w:rFonts w:ascii="Arial" w:hAnsi="Arial" w:cs="Arial"/>
          <w:sz w:val="20"/>
          <w:szCs w:val="20"/>
          <w:lang w:val="en-US"/>
        </w:rPr>
        <w:t xml:space="preserve">2005; </w:t>
      </w:r>
      <w:proofErr w:type="spellStart"/>
      <w:r w:rsidR="00592F1C" w:rsidRPr="0007461E">
        <w:rPr>
          <w:rFonts w:ascii="Arial" w:hAnsi="Arial" w:cs="Arial"/>
          <w:sz w:val="20"/>
          <w:szCs w:val="20"/>
          <w:lang w:val="en-US"/>
        </w:rPr>
        <w:t>Jovović</w:t>
      </w:r>
      <w:proofErr w:type="spellEnd"/>
      <w:r w:rsidR="00592F1C" w:rsidRPr="0007461E">
        <w:rPr>
          <w:rFonts w:ascii="Arial" w:hAnsi="Arial" w:cs="Arial"/>
          <w:sz w:val="20"/>
          <w:szCs w:val="20"/>
          <w:lang w:val="en-US"/>
        </w:rPr>
        <w:t xml:space="preserve"> et al., 2022). </w:t>
      </w:r>
      <w:r w:rsidR="00FB537B" w:rsidRPr="0007461E">
        <w:rPr>
          <w:rFonts w:ascii="Arial" w:hAnsi="Arial" w:cs="Arial"/>
          <w:sz w:val="20"/>
          <w:szCs w:val="20"/>
          <w:lang w:val="en-US"/>
        </w:rPr>
        <w:t xml:space="preserve">Key dimensions of internal marketing, according to </w:t>
      </w:r>
      <w:proofErr w:type="spellStart"/>
      <w:r w:rsidR="00FB537B" w:rsidRPr="0007461E">
        <w:rPr>
          <w:rFonts w:ascii="Arial" w:hAnsi="Arial" w:cs="Arial"/>
          <w:sz w:val="20"/>
          <w:szCs w:val="20"/>
          <w:lang w:val="en-US"/>
        </w:rPr>
        <w:t>Akroush</w:t>
      </w:r>
      <w:proofErr w:type="spellEnd"/>
      <w:r w:rsidR="00FB537B" w:rsidRPr="0007461E">
        <w:rPr>
          <w:rFonts w:ascii="Arial" w:hAnsi="Arial" w:cs="Arial"/>
          <w:sz w:val="20"/>
          <w:szCs w:val="20"/>
          <w:lang w:val="en-US"/>
        </w:rPr>
        <w:t xml:space="preserve"> et al., include </w:t>
      </w:r>
      <w:r w:rsidR="00A81DFA" w:rsidRPr="0007461E">
        <w:rPr>
          <w:rFonts w:ascii="Arial" w:hAnsi="Arial" w:cs="Arial"/>
          <w:sz w:val="20"/>
          <w:szCs w:val="20"/>
          <w:lang w:val="hr-BA"/>
        </w:rPr>
        <w:t>employee</w:t>
      </w:r>
      <w:r w:rsidR="00FB537B" w:rsidRPr="0007461E">
        <w:rPr>
          <w:rFonts w:ascii="Arial" w:hAnsi="Arial" w:cs="Arial"/>
          <w:sz w:val="20"/>
          <w:szCs w:val="20"/>
          <w:lang w:val="en-US"/>
        </w:rPr>
        <w:t xml:space="preserve"> motivation, recruitment, internal communication, staff training, staff retention, and job security </w:t>
      </w:r>
      <w:r w:rsidR="004C10F8" w:rsidRPr="0007461E">
        <w:rPr>
          <w:rFonts w:ascii="Arial" w:hAnsi="Arial" w:cs="Arial"/>
          <w:sz w:val="20"/>
          <w:szCs w:val="20"/>
          <w:lang w:val="en-US"/>
        </w:rPr>
        <w:t>(</w:t>
      </w:r>
      <w:r w:rsidRPr="0007461E">
        <w:rPr>
          <w:rFonts w:ascii="Arial" w:hAnsi="Arial" w:cs="Arial"/>
          <w:sz w:val="20"/>
          <w:szCs w:val="20"/>
          <w:lang w:val="en-US"/>
        </w:rPr>
        <w:t>according to</w:t>
      </w:r>
      <w:r w:rsidR="004C10F8" w:rsidRPr="0007461E">
        <w:rPr>
          <w:rFonts w:ascii="Arial" w:hAnsi="Arial" w:cs="Arial"/>
          <w:sz w:val="20"/>
          <w:szCs w:val="20"/>
          <w:lang w:val="en-US"/>
        </w:rPr>
        <w:t xml:space="preserve"> </w:t>
      </w:r>
      <w:proofErr w:type="spellStart"/>
      <w:r w:rsidR="004C10F8" w:rsidRPr="0007461E">
        <w:rPr>
          <w:rFonts w:ascii="Arial" w:hAnsi="Arial" w:cs="Arial"/>
          <w:sz w:val="20"/>
          <w:szCs w:val="20"/>
          <w:lang w:val="en-US"/>
        </w:rPr>
        <w:t>Črnjar</w:t>
      </w:r>
      <w:proofErr w:type="spellEnd"/>
      <w:r w:rsidR="004C10F8" w:rsidRPr="0007461E">
        <w:rPr>
          <w:rFonts w:ascii="Arial" w:hAnsi="Arial" w:cs="Arial"/>
          <w:sz w:val="20"/>
          <w:szCs w:val="20"/>
          <w:lang w:val="en-US"/>
        </w:rPr>
        <w:t xml:space="preserve">, </w:t>
      </w:r>
      <w:proofErr w:type="spellStart"/>
      <w:r w:rsidR="004C10F8" w:rsidRPr="0007461E">
        <w:rPr>
          <w:rFonts w:ascii="Arial" w:hAnsi="Arial" w:cs="Arial"/>
          <w:sz w:val="20"/>
          <w:szCs w:val="20"/>
          <w:lang w:val="en-US"/>
        </w:rPr>
        <w:t>Dlačić</w:t>
      </w:r>
      <w:proofErr w:type="spellEnd"/>
      <w:r w:rsidR="004C10F8" w:rsidRPr="0007461E">
        <w:rPr>
          <w:rFonts w:ascii="Arial" w:hAnsi="Arial" w:cs="Arial"/>
          <w:sz w:val="20"/>
          <w:szCs w:val="20"/>
          <w:lang w:val="en-US"/>
        </w:rPr>
        <w:t xml:space="preserve">, </w:t>
      </w:r>
      <w:proofErr w:type="spellStart"/>
      <w:r w:rsidR="004C10F8" w:rsidRPr="0007461E">
        <w:rPr>
          <w:rFonts w:ascii="Arial" w:hAnsi="Arial" w:cs="Arial"/>
          <w:sz w:val="20"/>
          <w:szCs w:val="20"/>
          <w:lang w:val="en-US"/>
        </w:rPr>
        <w:t>Milfelner</w:t>
      </w:r>
      <w:proofErr w:type="spellEnd"/>
      <w:r w:rsidR="004C10F8" w:rsidRPr="0007461E">
        <w:rPr>
          <w:rFonts w:ascii="Arial" w:hAnsi="Arial" w:cs="Arial"/>
          <w:sz w:val="20"/>
          <w:szCs w:val="20"/>
          <w:lang w:val="en-US"/>
        </w:rPr>
        <w:t>, 2020: 52).</w:t>
      </w:r>
      <w:r w:rsidR="00E7495F" w:rsidRPr="00826725">
        <w:rPr>
          <w:rFonts w:ascii="Arial" w:hAnsi="Arial" w:cs="Arial"/>
          <w:sz w:val="20"/>
          <w:szCs w:val="20"/>
          <w:lang w:val="en-US"/>
        </w:rPr>
        <w:t xml:space="preserve"> </w:t>
      </w:r>
    </w:p>
    <w:p w14:paraId="71E48C19" w14:textId="77777777" w:rsidR="00592F1C" w:rsidRPr="00826725" w:rsidRDefault="00592F1C" w:rsidP="00C040CF">
      <w:pPr>
        <w:jc w:val="both"/>
        <w:rPr>
          <w:rFonts w:ascii="Arial" w:hAnsi="Arial" w:cs="Arial"/>
          <w:sz w:val="20"/>
          <w:szCs w:val="20"/>
          <w:lang w:val="en-US"/>
        </w:rPr>
      </w:pPr>
    </w:p>
    <w:p w14:paraId="4ADEBBF8" w14:textId="2E10C312" w:rsidR="00C645ED" w:rsidRPr="00826725" w:rsidRDefault="00F77D10" w:rsidP="00C040CF">
      <w:pPr>
        <w:jc w:val="both"/>
        <w:rPr>
          <w:rFonts w:ascii="Arial" w:hAnsi="Arial" w:cs="Arial"/>
          <w:sz w:val="20"/>
          <w:szCs w:val="20"/>
          <w:lang w:val="en-US"/>
        </w:rPr>
      </w:pPr>
      <w:r w:rsidRPr="00826725">
        <w:rPr>
          <w:rFonts w:ascii="Arial" w:hAnsi="Arial" w:cs="Arial"/>
          <w:sz w:val="20"/>
          <w:szCs w:val="20"/>
          <w:lang w:val="en-US"/>
        </w:rPr>
        <w:t xml:space="preserve">The results obtained in the research conducted by the aforementioned authors show that recruitment and training of employees, along with effective internal communication, significantly impact employee motivation. Consequently, this positively influences job security and leads to lower employee turnover within the company. The research by </w:t>
      </w:r>
      <w:r w:rsidR="00D44EBD" w:rsidRPr="00826725">
        <w:rPr>
          <w:rFonts w:ascii="Arial" w:hAnsi="Arial" w:cs="Arial"/>
          <w:sz w:val="20"/>
          <w:szCs w:val="20"/>
          <w:lang w:val="en-US"/>
        </w:rPr>
        <w:t xml:space="preserve">Chang </w:t>
      </w:r>
      <w:r w:rsidRPr="00826725">
        <w:rPr>
          <w:rFonts w:ascii="Arial" w:hAnsi="Arial" w:cs="Arial"/>
          <w:sz w:val="20"/>
          <w:szCs w:val="20"/>
          <w:lang w:val="en-US"/>
        </w:rPr>
        <w:t>&amp;</w:t>
      </w:r>
      <w:r w:rsidR="00D44EBD" w:rsidRPr="00826725">
        <w:rPr>
          <w:rFonts w:ascii="Arial" w:hAnsi="Arial" w:cs="Arial"/>
          <w:sz w:val="20"/>
          <w:szCs w:val="20"/>
          <w:lang w:val="en-US"/>
        </w:rPr>
        <w:t xml:space="preserve"> Chang (2007), Tsai </w:t>
      </w:r>
      <w:r w:rsidRPr="00826725">
        <w:rPr>
          <w:rFonts w:ascii="Arial" w:hAnsi="Arial" w:cs="Arial"/>
          <w:sz w:val="20"/>
          <w:szCs w:val="20"/>
          <w:lang w:val="en-US"/>
        </w:rPr>
        <w:t xml:space="preserve">&amp; </w:t>
      </w:r>
      <w:r w:rsidR="00D44EBD" w:rsidRPr="00826725">
        <w:rPr>
          <w:rFonts w:ascii="Arial" w:hAnsi="Arial" w:cs="Arial"/>
          <w:sz w:val="20"/>
          <w:szCs w:val="20"/>
          <w:lang w:val="en-US"/>
        </w:rPr>
        <w:t>Tang (2008)</w:t>
      </w:r>
      <w:r w:rsidRPr="00826725">
        <w:rPr>
          <w:rFonts w:ascii="Arial" w:hAnsi="Arial" w:cs="Arial"/>
          <w:sz w:val="20"/>
          <w:szCs w:val="20"/>
          <w:lang w:val="en-US"/>
        </w:rPr>
        <w:t>, and</w:t>
      </w:r>
      <w:r w:rsidR="00D44EBD" w:rsidRPr="00826725">
        <w:rPr>
          <w:rFonts w:ascii="Arial" w:hAnsi="Arial" w:cs="Arial"/>
          <w:sz w:val="20"/>
          <w:szCs w:val="20"/>
          <w:lang w:val="en-US"/>
        </w:rPr>
        <w:t xml:space="preserve"> Braimah (2016) </w:t>
      </w:r>
      <w:r w:rsidRPr="00826725">
        <w:rPr>
          <w:rFonts w:ascii="Arial" w:hAnsi="Arial" w:cs="Arial"/>
          <w:sz w:val="20"/>
          <w:szCs w:val="20"/>
          <w:lang w:val="en-US"/>
        </w:rPr>
        <w:t>provides a more comprehensive overview of internal marketing dimensions. In addition to the previously mentioned dimensions, they emphasize administrative support, teamwork, reward system, and employee empowerment. George believes that the support provided to employees by management through adequate training, effective two-way communication, proper personnel management, and certain external activities are key aspects of internal marketin</w:t>
      </w:r>
      <w:r w:rsidR="0063295F" w:rsidRPr="00826725">
        <w:rPr>
          <w:rFonts w:ascii="Arial" w:hAnsi="Arial" w:cs="Arial"/>
          <w:sz w:val="20"/>
          <w:szCs w:val="20"/>
          <w:lang w:val="en-US"/>
        </w:rPr>
        <w:t>g</w:t>
      </w:r>
      <w:r w:rsidR="00D44EBD" w:rsidRPr="00826725">
        <w:rPr>
          <w:rFonts w:ascii="Arial" w:hAnsi="Arial" w:cs="Arial"/>
          <w:sz w:val="20"/>
          <w:szCs w:val="20"/>
          <w:lang w:val="en-US"/>
        </w:rPr>
        <w:t xml:space="preserve"> (George, 1990: 68). </w:t>
      </w:r>
      <w:r w:rsidR="0063295F" w:rsidRPr="00826725">
        <w:rPr>
          <w:rFonts w:ascii="Arial" w:hAnsi="Arial" w:cs="Arial"/>
          <w:sz w:val="20"/>
          <w:szCs w:val="20"/>
          <w:lang w:val="en-US"/>
        </w:rPr>
        <w:t xml:space="preserve">According to Joseph, a successful internal marketing strategy is based on mechanisms that encourage management to listen to the opinions, demands, and desires of their employees, understand their mood, encourage their progress and development, and foster positive attitudes among all members of the organization </w:t>
      </w:r>
      <w:r w:rsidR="00D44EBD" w:rsidRPr="00826725">
        <w:rPr>
          <w:rFonts w:ascii="Arial" w:hAnsi="Arial" w:cs="Arial"/>
          <w:sz w:val="20"/>
          <w:szCs w:val="20"/>
          <w:lang w:val="en-US"/>
        </w:rPr>
        <w:t>(</w:t>
      </w:r>
      <w:r w:rsidR="0063295F" w:rsidRPr="00826725">
        <w:rPr>
          <w:rFonts w:ascii="Arial" w:hAnsi="Arial" w:cs="Arial"/>
          <w:sz w:val="20"/>
          <w:szCs w:val="20"/>
          <w:lang w:val="en-US"/>
        </w:rPr>
        <w:t>adapted according to</w:t>
      </w:r>
      <w:r w:rsidR="00592F1C" w:rsidRPr="00826725">
        <w:rPr>
          <w:rFonts w:ascii="Arial" w:hAnsi="Arial" w:cs="Arial"/>
          <w:sz w:val="20"/>
          <w:szCs w:val="20"/>
          <w:lang w:val="en-US"/>
        </w:rPr>
        <w:t xml:space="preserve"> Chen, Wu, 2016: 19).</w:t>
      </w:r>
      <w:r w:rsidR="0063295F" w:rsidRPr="00826725">
        <w:rPr>
          <w:rFonts w:ascii="Arial" w:hAnsi="Arial" w:cs="Arial"/>
          <w:lang w:val="en-US"/>
        </w:rPr>
        <w:t xml:space="preserve"> </w:t>
      </w:r>
      <w:r w:rsidR="0063295F" w:rsidRPr="00826725">
        <w:rPr>
          <w:rFonts w:ascii="Arial" w:hAnsi="Arial" w:cs="Arial"/>
          <w:sz w:val="20"/>
          <w:szCs w:val="20"/>
          <w:lang w:val="en-US"/>
        </w:rPr>
        <w:t>Although the company’s growth and development are determined by the availability of financial resources, these alone are not sufficient to ensure its survival. In addition to material investment, companies need a qualified, competent, satisfied, and motivated workforce (employees). Pointing to the importance of employee motivation, Rafiq and Ahmed emphasize that various employee motivation strategies act like the "bloodstream" that keeps employees alive, thus influencing company's competitiveness and business success. According to this group of authors,</w:t>
      </w:r>
      <w:r w:rsidR="0063295F" w:rsidRPr="00826725">
        <w:rPr>
          <w:rFonts w:ascii="Arial" w:hAnsi="Arial" w:cs="Arial"/>
          <w:lang w:val="en-US"/>
        </w:rPr>
        <w:t xml:space="preserve"> </w:t>
      </w:r>
      <w:r w:rsidR="0063295F" w:rsidRPr="00826725">
        <w:rPr>
          <w:rFonts w:ascii="Arial" w:hAnsi="Arial" w:cs="Arial"/>
          <w:sz w:val="20"/>
          <w:szCs w:val="20"/>
          <w:lang w:val="en-US"/>
        </w:rPr>
        <w:t xml:space="preserve">the key internal marketing dimensions include opportunities for employee advancement, the work environment, internal communication, reward system, employee training and development, as well as employee autonomy and freedom in performing delegated tasks </w:t>
      </w:r>
      <w:r w:rsidR="00D44EBD" w:rsidRPr="00826725">
        <w:rPr>
          <w:rFonts w:ascii="Arial" w:hAnsi="Arial" w:cs="Arial"/>
          <w:sz w:val="20"/>
          <w:szCs w:val="20"/>
          <w:lang w:val="en-US"/>
        </w:rPr>
        <w:t>(</w:t>
      </w:r>
      <w:r w:rsidR="0063295F" w:rsidRPr="00826725">
        <w:rPr>
          <w:rFonts w:ascii="Arial" w:hAnsi="Arial" w:cs="Arial"/>
          <w:sz w:val="20"/>
          <w:szCs w:val="20"/>
          <w:lang w:val="en-US"/>
        </w:rPr>
        <w:t>adapted according to</w:t>
      </w:r>
      <w:r w:rsidR="00D44EBD" w:rsidRPr="00826725">
        <w:rPr>
          <w:rFonts w:ascii="Arial" w:hAnsi="Arial" w:cs="Arial"/>
          <w:sz w:val="20"/>
          <w:szCs w:val="20"/>
          <w:lang w:val="en-US"/>
        </w:rPr>
        <w:t xml:space="preserve"> Usman, Basheer, </w:t>
      </w:r>
      <w:proofErr w:type="spellStart"/>
      <w:r w:rsidR="00D44EBD" w:rsidRPr="00826725">
        <w:rPr>
          <w:rFonts w:ascii="Arial" w:hAnsi="Arial" w:cs="Arial"/>
          <w:sz w:val="20"/>
          <w:szCs w:val="20"/>
          <w:lang w:val="en-US"/>
        </w:rPr>
        <w:t>Shabib</w:t>
      </w:r>
      <w:proofErr w:type="spellEnd"/>
      <w:r w:rsidR="00D44EBD" w:rsidRPr="00826725">
        <w:rPr>
          <w:rFonts w:ascii="Arial" w:hAnsi="Arial" w:cs="Arial"/>
          <w:sz w:val="20"/>
          <w:szCs w:val="20"/>
          <w:lang w:val="en-US"/>
        </w:rPr>
        <w:t>, 2016: 562-563).</w:t>
      </w:r>
      <w:r w:rsidR="00C645ED" w:rsidRPr="00826725">
        <w:rPr>
          <w:rFonts w:ascii="Arial" w:hAnsi="Arial" w:cs="Arial"/>
          <w:lang w:val="en-US"/>
        </w:rPr>
        <w:t xml:space="preserve"> </w:t>
      </w:r>
      <w:r w:rsidR="00C645ED" w:rsidRPr="00826725">
        <w:rPr>
          <w:rFonts w:ascii="Arial" w:hAnsi="Arial" w:cs="Arial"/>
          <w:sz w:val="20"/>
          <w:szCs w:val="20"/>
          <w:lang w:val="en-US"/>
        </w:rPr>
        <w:t xml:space="preserve">Analyzing the impact of internal marketing on employee motivation, Berry (1981) concludes that an adequate system of employee incentives and effective two-way communication lead to increased motivation, which in turn enhances the quality of distributed services and improves customer satisfaction. Furthermore, by examining whether internal marketing strategies contribute to the achievement of </w:t>
      </w:r>
      <w:r w:rsidR="00185358" w:rsidRPr="00826725">
        <w:rPr>
          <w:rFonts w:ascii="Arial" w:hAnsi="Arial" w:cs="Arial"/>
          <w:sz w:val="20"/>
          <w:szCs w:val="20"/>
          <w:lang w:val="en-US"/>
        </w:rPr>
        <w:t>the company’s</w:t>
      </w:r>
      <w:r w:rsidR="00C645ED" w:rsidRPr="00826725">
        <w:rPr>
          <w:rFonts w:ascii="Arial" w:hAnsi="Arial" w:cs="Arial"/>
          <w:sz w:val="20"/>
          <w:szCs w:val="20"/>
          <w:lang w:val="en-US"/>
        </w:rPr>
        <w:t xml:space="preserve"> business goals, Ahmed and Rafiq (2003) demonstrate that an effective internal marketing strategy, primarily based on healthy internal communication, training, and employee development, improves cohesion within the company and contributes to the overall success of its business activities.</w:t>
      </w:r>
      <w:r w:rsidR="00C645ED" w:rsidRPr="00826725">
        <w:rPr>
          <w:rFonts w:ascii="Arial" w:hAnsi="Arial" w:cs="Arial"/>
          <w:lang w:val="en-US"/>
        </w:rPr>
        <w:t xml:space="preserve"> </w:t>
      </w:r>
      <w:r w:rsidR="003E6D99" w:rsidRPr="00826725">
        <w:rPr>
          <w:rFonts w:ascii="Arial" w:hAnsi="Arial" w:cs="Arial"/>
          <w:sz w:val="20"/>
          <w:szCs w:val="20"/>
          <w:lang w:val="en-US"/>
        </w:rPr>
        <w:t xml:space="preserve">Similar results were achieved by Lings (2000), who concluded that effective employee motivation, communication and training lead to higher employee satisfaction, which in turn contributes to the achievement of better business results for the company. </w:t>
      </w:r>
      <w:r w:rsidR="00C645ED" w:rsidRPr="00826725">
        <w:rPr>
          <w:rFonts w:ascii="Arial" w:hAnsi="Arial" w:cs="Arial"/>
          <w:sz w:val="20"/>
          <w:szCs w:val="20"/>
          <w:lang w:val="en-US"/>
        </w:rPr>
        <w:t xml:space="preserve">Analyzing the </w:t>
      </w:r>
      <w:r w:rsidR="00C645ED" w:rsidRPr="00826725">
        <w:rPr>
          <w:rFonts w:ascii="Arial" w:hAnsi="Arial" w:cs="Arial"/>
          <w:sz w:val="20"/>
          <w:szCs w:val="20"/>
          <w:lang w:val="en-US"/>
        </w:rPr>
        <w:lastRenderedPageBreak/>
        <w:t xml:space="preserve">role of internal marketing in achieving the company's strategy, Piercy (2006) finds that internal marketing based on efficient internal communication, employee </w:t>
      </w:r>
      <w:r w:rsidR="00185358" w:rsidRPr="00826725">
        <w:rPr>
          <w:rFonts w:ascii="Arial" w:hAnsi="Arial" w:cs="Arial"/>
          <w:sz w:val="20"/>
          <w:szCs w:val="20"/>
          <w:lang w:val="en-US"/>
        </w:rPr>
        <w:t xml:space="preserve">training and </w:t>
      </w:r>
      <w:r w:rsidR="00C645ED" w:rsidRPr="00826725">
        <w:rPr>
          <w:rFonts w:ascii="Arial" w:hAnsi="Arial" w:cs="Arial"/>
          <w:sz w:val="20"/>
          <w:szCs w:val="20"/>
          <w:lang w:val="en-US"/>
        </w:rPr>
        <w:t xml:space="preserve">development allows for better </w:t>
      </w:r>
      <w:r w:rsidR="00185358" w:rsidRPr="00826725">
        <w:rPr>
          <w:rFonts w:ascii="Arial" w:hAnsi="Arial" w:cs="Arial"/>
          <w:sz w:val="20"/>
          <w:szCs w:val="20"/>
          <w:lang w:val="en-US"/>
        </w:rPr>
        <w:t xml:space="preserve">orientation </w:t>
      </w:r>
      <w:r w:rsidR="00C645ED" w:rsidRPr="00826725">
        <w:rPr>
          <w:rFonts w:ascii="Arial" w:hAnsi="Arial" w:cs="Arial"/>
          <w:sz w:val="20"/>
          <w:szCs w:val="20"/>
          <w:lang w:val="en-US"/>
        </w:rPr>
        <w:t>of the company towards the end user, thereby enhancing competitiveness and achieving long-term business success</w:t>
      </w:r>
      <w:r w:rsidR="00185358" w:rsidRPr="00826725">
        <w:rPr>
          <w:rFonts w:ascii="Arial" w:hAnsi="Arial" w:cs="Arial"/>
          <w:sz w:val="20"/>
          <w:szCs w:val="20"/>
          <w:lang w:val="en-US"/>
        </w:rPr>
        <w:t xml:space="preserve"> of the company</w:t>
      </w:r>
      <w:r w:rsidR="00C645ED" w:rsidRPr="00826725">
        <w:rPr>
          <w:rFonts w:ascii="Arial" w:hAnsi="Arial" w:cs="Arial"/>
          <w:sz w:val="20"/>
          <w:szCs w:val="20"/>
          <w:lang w:val="en-US"/>
        </w:rPr>
        <w:t xml:space="preserve">. </w:t>
      </w:r>
    </w:p>
    <w:p w14:paraId="6858C210" w14:textId="77777777" w:rsidR="00C27CD7" w:rsidRPr="00826725" w:rsidRDefault="00C27CD7" w:rsidP="00C040CF">
      <w:pPr>
        <w:jc w:val="both"/>
        <w:rPr>
          <w:rFonts w:ascii="Arial" w:hAnsi="Arial" w:cs="Arial"/>
          <w:sz w:val="20"/>
          <w:szCs w:val="20"/>
          <w:lang w:val="en-US"/>
        </w:rPr>
      </w:pPr>
    </w:p>
    <w:p w14:paraId="0942D680" w14:textId="608C22B8" w:rsidR="00E30E06" w:rsidRDefault="00E30E06" w:rsidP="00C040CF">
      <w:pPr>
        <w:jc w:val="both"/>
        <w:rPr>
          <w:rFonts w:ascii="Arial" w:hAnsi="Arial" w:cs="Arial"/>
          <w:sz w:val="20"/>
          <w:szCs w:val="20"/>
          <w:lang w:val="en-US"/>
        </w:rPr>
      </w:pPr>
      <w:r w:rsidRPr="00826725">
        <w:rPr>
          <w:rFonts w:ascii="Arial" w:hAnsi="Arial" w:cs="Arial"/>
          <w:sz w:val="20"/>
          <w:szCs w:val="20"/>
          <w:lang w:val="en-US"/>
        </w:rPr>
        <w:t>In terms of research on the impact of implementing internal marketing on the business performance of financial institutions, the studies related to banks are predominant. For example, by analyzing a sample of 100 managers from ten banks in the United Kingdom, Ahmed and Rafiq find that the implementation of internal marketing (primarily bas</w:t>
      </w:r>
      <w:r w:rsidR="003E6D99" w:rsidRPr="00826725">
        <w:rPr>
          <w:rFonts w:ascii="Arial" w:hAnsi="Arial" w:cs="Arial"/>
          <w:sz w:val="20"/>
          <w:szCs w:val="20"/>
          <w:lang w:val="en-US"/>
        </w:rPr>
        <w:t>ed on motivation, communication and</w:t>
      </w:r>
      <w:r w:rsidRPr="00826725">
        <w:rPr>
          <w:rFonts w:ascii="Arial" w:hAnsi="Arial" w:cs="Arial"/>
          <w:sz w:val="20"/>
          <w:szCs w:val="20"/>
          <w:lang w:val="en-US"/>
        </w:rPr>
        <w:t xml:space="preserve"> employee training) positively influences employee motivation and the quality of services provided to end customers, which further contributes to banking performance and customer satisfaction with banking services (Ahmed, Rafiq, 2003). The research conducted by Lings in eight banks in the United Kingdom, surveyed both management and lower-level employees. Through interviews with 50 employees and bank managers, it was found that successful internal marketing in banks improves internal relationships, communication, and employee satisfaction, leading to better customer service and greater competitiveness of banks in the market (Lings, 2000). Analyzing the impact of employee training and development programs on their productivity, Kaur, in her</w:t>
      </w:r>
      <w:r w:rsidR="00C27CD7" w:rsidRPr="00826725">
        <w:rPr>
          <w:rFonts w:ascii="Arial" w:hAnsi="Arial" w:cs="Arial"/>
          <w:sz w:val="20"/>
          <w:szCs w:val="20"/>
          <w:lang w:val="en-US"/>
        </w:rPr>
        <w:t xml:space="preserve"> studies</w:t>
      </w:r>
      <w:r w:rsidRPr="00826725">
        <w:rPr>
          <w:rFonts w:ascii="Arial" w:hAnsi="Arial" w:cs="Arial"/>
          <w:sz w:val="20"/>
          <w:szCs w:val="20"/>
          <w:lang w:val="en-US"/>
        </w:rPr>
        <w:t xml:space="preserve"> conducted on 400 banking employees, f</w:t>
      </w:r>
      <w:r w:rsidR="00C27CD7" w:rsidRPr="00826725">
        <w:rPr>
          <w:rFonts w:ascii="Arial" w:hAnsi="Arial" w:cs="Arial"/>
          <w:sz w:val="20"/>
          <w:szCs w:val="20"/>
          <w:lang w:val="en-US"/>
        </w:rPr>
        <w:t>inds</w:t>
      </w:r>
      <w:r w:rsidRPr="00826725">
        <w:rPr>
          <w:rFonts w:ascii="Arial" w:hAnsi="Arial" w:cs="Arial"/>
          <w:sz w:val="20"/>
          <w:szCs w:val="20"/>
          <w:lang w:val="en-US"/>
        </w:rPr>
        <w:t xml:space="preserve"> that high-quality training and development contribute to enhancing employee productivity, which consequently leads to greater customer satisfaction and strengthens the bank's market positioning (Kaur, 2016). Surveying 300 employees in </w:t>
      </w:r>
      <w:r w:rsidR="00C27CD7" w:rsidRPr="00826725">
        <w:rPr>
          <w:rFonts w:ascii="Arial" w:hAnsi="Arial" w:cs="Arial"/>
          <w:sz w:val="20"/>
          <w:szCs w:val="20"/>
          <w:lang w:val="en-US"/>
        </w:rPr>
        <w:t>ten</w:t>
      </w:r>
      <w:r w:rsidRPr="00826725">
        <w:rPr>
          <w:rFonts w:ascii="Arial" w:hAnsi="Arial" w:cs="Arial"/>
          <w:sz w:val="20"/>
          <w:szCs w:val="20"/>
          <w:lang w:val="en-US"/>
        </w:rPr>
        <w:t xml:space="preserve"> Indian banks, </w:t>
      </w:r>
      <w:proofErr w:type="spellStart"/>
      <w:r w:rsidRPr="00826725">
        <w:rPr>
          <w:rFonts w:ascii="Arial" w:hAnsi="Arial" w:cs="Arial"/>
          <w:sz w:val="20"/>
          <w:szCs w:val="20"/>
          <w:lang w:val="en-US"/>
        </w:rPr>
        <w:t>Sureshchandar</w:t>
      </w:r>
      <w:proofErr w:type="spellEnd"/>
      <w:r w:rsidRPr="00826725">
        <w:rPr>
          <w:rFonts w:ascii="Arial" w:hAnsi="Arial" w:cs="Arial"/>
          <w:sz w:val="20"/>
          <w:szCs w:val="20"/>
          <w:lang w:val="en-US"/>
        </w:rPr>
        <w:t xml:space="preserve"> </w:t>
      </w:r>
      <w:r w:rsidR="00C27CD7" w:rsidRPr="00826725">
        <w:rPr>
          <w:rFonts w:ascii="Arial" w:hAnsi="Arial" w:cs="Arial"/>
          <w:sz w:val="20"/>
          <w:szCs w:val="20"/>
          <w:lang w:val="en-US"/>
        </w:rPr>
        <w:t>et al. state</w:t>
      </w:r>
      <w:r w:rsidRPr="00826725">
        <w:rPr>
          <w:rFonts w:ascii="Arial" w:hAnsi="Arial" w:cs="Arial"/>
          <w:sz w:val="20"/>
          <w:szCs w:val="20"/>
          <w:lang w:val="en-US"/>
        </w:rPr>
        <w:t xml:space="preserve"> that internal marketing implemented through efficient communication, motivation, </w:t>
      </w:r>
      <w:r w:rsidR="00C27CD7" w:rsidRPr="00826725">
        <w:rPr>
          <w:rFonts w:ascii="Arial" w:hAnsi="Arial" w:cs="Arial"/>
          <w:sz w:val="20"/>
          <w:szCs w:val="20"/>
          <w:lang w:val="en-US"/>
        </w:rPr>
        <w:t xml:space="preserve">employee </w:t>
      </w:r>
      <w:r w:rsidRPr="00826725">
        <w:rPr>
          <w:rFonts w:ascii="Arial" w:hAnsi="Arial" w:cs="Arial"/>
          <w:sz w:val="20"/>
          <w:szCs w:val="20"/>
          <w:lang w:val="en-US"/>
        </w:rPr>
        <w:t>training</w:t>
      </w:r>
      <w:r w:rsidR="00C27CD7" w:rsidRPr="00826725">
        <w:rPr>
          <w:rFonts w:ascii="Arial" w:hAnsi="Arial" w:cs="Arial"/>
          <w:sz w:val="20"/>
          <w:szCs w:val="20"/>
          <w:lang w:val="en-US"/>
        </w:rPr>
        <w:t xml:space="preserve"> </w:t>
      </w:r>
      <w:r w:rsidRPr="00826725">
        <w:rPr>
          <w:rFonts w:ascii="Arial" w:hAnsi="Arial" w:cs="Arial"/>
          <w:sz w:val="20"/>
          <w:szCs w:val="20"/>
          <w:lang w:val="en-US"/>
        </w:rPr>
        <w:t>and satisfaction improves employee motivation, increases their engagement, and leads to greater client satisfaction, which ultimately contributes to increasing</w:t>
      </w:r>
      <w:r w:rsidR="00C27CD7" w:rsidRPr="00826725">
        <w:rPr>
          <w:rFonts w:ascii="Arial" w:hAnsi="Arial" w:cs="Arial"/>
          <w:sz w:val="20"/>
          <w:szCs w:val="20"/>
          <w:lang w:val="en-US"/>
        </w:rPr>
        <w:t xml:space="preserve"> banks’</w:t>
      </w:r>
      <w:r w:rsidRPr="00826725">
        <w:rPr>
          <w:rFonts w:ascii="Arial" w:hAnsi="Arial" w:cs="Arial"/>
          <w:sz w:val="20"/>
          <w:szCs w:val="20"/>
          <w:lang w:val="en-US"/>
        </w:rPr>
        <w:t xml:space="preserve"> profitability</w:t>
      </w:r>
      <w:r w:rsidR="00C27CD7" w:rsidRPr="00826725">
        <w:rPr>
          <w:rFonts w:ascii="Arial" w:hAnsi="Arial" w:cs="Arial"/>
          <w:sz w:val="20"/>
          <w:szCs w:val="20"/>
          <w:lang w:val="en-US"/>
        </w:rPr>
        <w:t xml:space="preserve"> </w:t>
      </w:r>
      <w:r w:rsidRPr="00826725">
        <w:rPr>
          <w:rFonts w:ascii="Arial" w:hAnsi="Arial" w:cs="Arial"/>
          <w:sz w:val="20"/>
          <w:szCs w:val="20"/>
          <w:lang w:val="en-US"/>
        </w:rPr>
        <w:t>(</w:t>
      </w:r>
      <w:proofErr w:type="spellStart"/>
      <w:r w:rsidRPr="00826725">
        <w:rPr>
          <w:rFonts w:ascii="Arial" w:hAnsi="Arial" w:cs="Arial"/>
          <w:sz w:val="20"/>
          <w:szCs w:val="20"/>
          <w:lang w:val="en-US"/>
        </w:rPr>
        <w:t>Sureshchandar</w:t>
      </w:r>
      <w:proofErr w:type="spellEnd"/>
      <w:r w:rsidRPr="00826725">
        <w:rPr>
          <w:rFonts w:ascii="Arial" w:hAnsi="Arial" w:cs="Arial"/>
          <w:sz w:val="20"/>
          <w:szCs w:val="20"/>
          <w:lang w:val="en-US"/>
        </w:rPr>
        <w:t xml:space="preserve">, Rajendran, </w:t>
      </w:r>
      <w:proofErr w:type="spellStart"/>
      <w:r w:rsidRPr="00826725">
        <w:rPr>
          <w:rFonts w:ascii="Arial" w:hAnsi="Arial" w:cs="Arial"/>
          <w:sz w:val="20"/>
          <w:szCs w:val="20"/>
          <w:lang w:val="en-US"/>
        </w:rPr>
        <w:t>Anantharaman</w:t>
      </w:r>
      <w:proofErr w:type="spellEnd"/>
      <w:r w:rsidRPr="00826725">
        <w:rPr>
          <w:rFonts w:ascii="Arial" w:hAnsi="Arial" w:cs="Arial"/>
          <w:sz w:val="20"/>
          <w:szCs w:val="20"/>
          <w:lang w:val="en-US"/>
        </w:rPr>
        <w:t>, 2002).</w:t>
      </w:r>
    </w:p>
    <w:p w14:paraId="7B1CE70C" w14:textId="4EE76ACD" w:rsidR="00AD162C" w:rsidRDefault="00AD162C" w:rsidP="00C040CF">
      <w:pPr>
        <w:jc w:val="both"/>
        <w:rPr>
          <w:rFonts w:ascii="Arial" w:hAnsi="Arial" w:cs="Arial"/>
          <w:sz w:val="20"/>
          <w:szCs w:val="20"/>
          <w:lang w:val="en-US"/>
        </w:rPr>
      </w:pPr>
    </w:p>
    <w:p w14:paraId="1EF9185C" w14:textId="11A0FD4E" w:rsidR="00AD162C" w:rsidRPr="00AD162C" w:rsidRDefault="00AD162C" w:rsidP="00C040CF">
      <w:pPr>
        <w:jc w:val="both"/>
        <w:rPr>
          <w:rFonts w:ascii="Arial" w:hAnsi="Arial" w:cs="Arial"/>
          <w:sz w:val="20"/>
          <w:szCs w:val="20"/>
          <w:lang w:val="en-US"/>
        </w:rPr>
      </w:pPr>
      <w:r w:rsidRPr="00AD162C">
        <w:rPr>
          <w:rFonts w:ascii="Arial" w:hAnsi="Arial" w:cs="Arial"/>
          <w:sz w:val="20"/>
          <w:szCs w:val="20"/>
          <w:highlight w:val="yellow"/>
          <w:lang w:val="en-US"/>
        </w:rPr>
        <w:t xml:space="preserve">Brown (2025), in a qualitative study conducted using individual and group interviews with 38 banking employees, confirms the positive impact of personal development programs, reward systems, open internal communication, and inclusive decision-making on Generation Z employees. Similarly, </w:t>
      </w:r>
      <w:proofErr w:type="spellStart"/>
      <w:r w:rsidRPr="00AD162C">
        <w:rPr>
          <w:rFonts w:ascii="Arial" w:hAnsi="Arial" w:cs="Arial"/>
          <w:sz w:val="20"/>
          <w:szCs w:val="20"/>
          <w:highlight w:val="yellow"/>
          <w:lang w:val="en-US"/>
        </w:rPr>
        <w:t>Awwad</w:t>
      </w:r>
      <w:proofErr w:type="spellEnd"/>
      <w:r w:rsidRPr="00AD162C">
        <w:rPr>
          <w:rFonts w:ascii="Arial" w:hAnsi="Arial" w:cs="Arial"/>
          <w:sz w:val="20"/>
          <w:szCs w:val="20"/>
          <w:highlight w:val="yellow"/>
          <w:lang w:val="en-US"/>
        </w:rPr>
        <w:t xml:space="preserve"> et al. (2011) highlight the importance of internal marketing, viewed through training, motivation, and internal communication, for the successful implementation of a bank’s marketing orientation. Regarding the impact of internal marketing on job satisfaction, </w:t>
      </w:r>
      <w:proofErr w:type="spellStart"/>
      <w:r w:rsidRPr="00AD162C">
        <w:rPr>
          <w:rFonts w:ascii="Arial" w:hAnsi="Arial" w:cs="Arial"/>
          <w:sz w:val="20"/>
          <w:szCs w:val="20"/>
          <w:highlight w:val="yellow"/>
          <w:lang w:val="en-US"/>
        </w:rPr>
        <w:t>Mainardes</w:t>
      </w:r>
      <w:proofErr w:type="spellEnd"/>
      <w:r w:rsidRPr="00AD162C">
        <w:rPr>
          <w:rFonts w:ascii="Arial" w:hAnsi="Arial" w:cs="Arial"/>
          <w:sz w:val="20"/>
          <w:szCs w:val="20"/>
          <w:highlight w:val="yellow"/>
          <w:lang w:val="en-US"/>
        </w:rPr>
        <w:t xml:space="preserve"> et al. (2019) conclude</w:t>
      </w:r>
      <w:r>
        <w:rPr>
          <w:rFonts w:ascii="Arial" w:hAnsi="Arial" w:cs="Arial"/>
          <w:sz w:val="20"/>
          <w:szCs w:val="20"/>
          <w:highlight w:val="yellow"/>
          <w:lang w:val="en-US"/>
        </w:rPr>
        <w:t>d</w:t>
      </w:r>
      <w:r w:rsidRPr="00AD162C">
        <w:rPr>
          <w:rFonts w:ascii="Arial" w:hAnsi="Arial" w:cs="Arial"/>
          <w:sz w:val="20"/>
          <w:szCs w:val="20"/>
          <w:highlight w:val="yellow"/>
          <w:lang w:val="en-US"/>
        </w:rPr>
        <w:t xml:space="preserve"> that dimensions such as training and development, reward systems, and effective internal communication significantly contribute to employee job satisfaction in the banking sector.</w:t>
      </w:r>
    </w:p>
    <w:p w14:paraId="056F4955" w14:textId="7372F31E" w:rsidR="00E477F8" w:rsidRPr="00AD162C" w:rsidRDefault="00E477F8" w:rsidP="00C040CF">
      <w:pPr>
        <w:jc w:val="both"/>
        <w:rPr>
          <w:rFonts w:ascii="Arial" w:hAnsi="Arial" w:cs="Arial"/>
          <w:sz w:val="20"/>
          <w:szCs w:val="20"/>
        </w:rPr>
      </w:pPr>
    </w:p>
    <w:p w14:paraId="720B11D3" w14:textId="503FCBF9" w:rsidR="00C9607D" w:rsidRPr="00826725" w:rsidRDefault="00C27CD7" w:rsidP="00C040CF">
      <w:pPr>
        <w:jc w:val="both"/>
        <w:rPr>
          <w:rFonts w:ascii="Arial" w:hAnsi="Arial" w:cs="Arial"/>
          <w:sz w:val="20"/>
          <w:szCs w:val="20"/>
          <w:lang w:val="en-US"/>
        </w:rPr>
      </w:pPr>
      <w:r w:rsidRPr="00826725">
        <w:rPr>
          <w:rFonts w:ascii="Arial" w:hAnsi="Arial" w:cs="Arial"/>
          <w:sz w:val="20"/>
          <w:szCs w:val="20"/>
          <w:lang w:val="en-US"/>
        </w:rPr>
        <w:t xml:space="preserve">Based on available literature, it can be said that the presence of internal marketing dimensions in banks in </w:t>
      </w:r>
      <w:proofErr w:type="spellStart"/>
      <w:r w:rsidR="004F4ED4" w:rsidRPr="00826725">
        <w:rPr>
          <w:rFonts w:ascii="Arial" w:hAnsi="Arial" w:cs="Arial"/>
          <w:sz w:val="20"/>
          <w:szCs w:val="20"/>
          <w:lang w:val="en-US"/>
        </w:rPr>
        <w:t>BiH</w:t>
      </w:r>
      <w:proofErr w:type="spellEnd"/>
      <w:r w:rsidRPr="00826725">
        <w:rPr>
          <w:rFonts w:ascii="Arial" w:hAnsi="Arial" w:cs="Arial"/>
          <w:sz w:val="20"/>
          <w:szCs w:val="20"/>
          <w:lang w:val="en-US"/>
        </w:rPr>
        <w:t xml:space="preserve"> is an insufficiently researched topic. However, considering the theoretical insights from </w:t>
      </w:r>
      <w:r w:rsidR="00D472BC" w:rsidRPr="00826725">
        <w:rPr>
          <w:rFonts w:ascii="Arial" w:hAnsi="Arial" w:cs="Arial"/>
          <w:sz w:val="20"/>
          <w:szCs w:val="20"/>
          <w:lang w:val="en-US"/>
        </w:rPr>
        <w:t>previous</w:t>
      </w:r>
      <w:r w:rsidR="004F4ED4" w:rsidRPr="00826725">
        <w:rPr>
          <w:rFonts w:ascii="Arial" w:hAnsi="Arial" w:cs="Arial"/>
          <w:sz w:val="20"/>
          <w:szCs w:val="20"/>
          <w:lang w:val="en-US"/>
        </w:rPr>
        <w:t xml:space="preserve"> </w:t>
      </w:r>
      <w:r w:rsidRPr="00826725">
        <w:rPr>
          <w:rFonts w:ascii="Arial" w:hAnsi="Arial" w:cs="Arial"/>
          <w:sz w:val="20"/>
          <w:szCs w:val="20"/>
          <w:lang w:val="en-US"/>
        </w:rPr>
        <w:t>studies</w:t>
      </w:r>
      <w:r w:rsidR="004F4ED4" w:rsidRPr="00826725">
        <w:rPr>
          <w:rFonts w:ascii="Arial" w:hAnsi="Arial" w:cs="Arial"/>
          <w:sz w:val="20"/>
          <w:szCs w:val="20"/>
          <w:lang w:val="en-US"/>
        </w:rPr>
        <w:t xml:space="preserve">, </w:t>
      </w:r>
      <w:r w:rsidRPr="00826725">
        <w:rPr>
          <w:rFonts w:ascii="Arial" w:hAnsi="Arial" w:cs="Arial"/>
          <w:sz w:val="20"/>
          <w:szCs w:val="20"/>
          <w:lang w:val="en-US"/>
        </w:rPr>
        <w:t>it can be assumed that a more comprehensive implementation of internal marketing may serve as an important determinant</w:t>
      </w:r>
      <w:r w:rsidR="004F4ED4" w:rsidRPr="00826725">
        <w:rPr>
          <w:rFonts w:ascii="Arial" w:hAnsi="Arial" w:cs="Arial"/>
          <w:sz w:val="20"/>
          <w:szCs w:val="20"/>
          <w:lang w:val="en-US"/>
        </w:rPr>
        <w:t xml:space="preserve"> of</w:t>
      </w:r>
      <w:r w:rsidRPr="00826725">
        <w:rPr>
          <w:rFonts w:ascii="Arial" w:hAnsi="Arial" w:cs="Arial"/>
          <w:sz w:val="20"/>
          <w:szCs w:val="20"/>
          <w:lang w:val="en-US"/>
        </w:rPr>
        <w:t xml:space="preserve"> efficient customer service and the successful realization of </w:t>
      </w:r>
      <w:r w:rsidR="004F4ED4" w:rsidRPr="00826725">
        <w:rPr>
          <w:rFonts w:ascii="Arial" w:hAnsi="Arial" w:cs="Arial"/>
          <w:sz w:val="20"/>
          <w:szCs w:val="20"/>
          <w:lang w:val="en-US"/>
        </w:rPr>
        <w:t xml:space="preserve">banks’ </w:t>
      </w:r>
      <w:r w:rsidRPr="00826725">
        <w:rPr>
          <w:rFonts w:ascii="Arial" w:hAnsi="Arial" w:cs="Arial"/>
          <w:sz w:val="20"/>
          <w:szCs w:val="20"/>
          <w:lang w:val="en-US"/>
        </w:rPr>
        <w:t xml:space="preserve">business activities. Therefore, the following analysis will focus on the attitudes of </w:t>
      </w:r>
      <w:r w:rsidR="004F4ED4" w:rsidRPr="00826725">
        <w:rPr>
          <w:rFonts w:ascii="Arial" w:hAnsi="Arial" w:cs="Arial"/>
          <w:sz w:val="20"/>
          <w:szCs w:val="20"/>
          <w:lang w:val="en-US"/>
        </w:rPr>
        <w:t xml:space="preserve">the </w:t>
      </w:r>
      <w:r w:rsidRPr="00826725">
        <w:rPr>
          <w:rFonts w:ascii="Arial" w:hAnsi="Arial" w:cs="Arial"/>
          <w:sz w:val="20"/>
          <w:szCs w:val="20"/>
          <w:lang w:val="en-US"/>
        </w:rPr>
        <w:t xml:space="preserve">respondents (employees and management of </w:t>
      </w:r>
      <w:proofErr w:type="spellStart"/>
      <w:r w:rsidR="004F4ED4" w:rsidRPr="00826725">
        <w:rPr>
          <w:rFonts w:ascii="Arial" w:hAnsi="Arial" w:cs="Arial"/>
          <w:sz w:val="20"/>
          <w:szCs w:val="20"/>
          <w:lang w:val="en-US"/>
        </w:rPr>
        <w:t>BiH</w:t>
      </w:r>
      <w:proofErr w:type="spellEnd"/>
      <w:r w:rsidRPr="00826725">
        <w:rPr>
          <w:rFonts w:ascii="Arial" w:hAnsi="Arial" w:cs="Arial"/>
          <w:sz w:val="20"/>
          <w:szCs w:val="20"/>
          <w:lang w:val="en-US"/>
        </w:rPr>
        <w:t xml:space="preserve"> banks) regarding the presence of specific internal marketing dimensions (internal communication, reward systems, training and development, and </w:t>
      </w:r>
      <w:r w:rsidR="004F4ED4" w:rsidRPr="00826725">
        <w:rPr>
          <w:rFonts w:ascii="Arial" w:hAnsi="Arial" w:cs="Arial"/>
          <w:sz w:val="20"/>
          <w:szCs w:val="20"/>
          <w:lang w:val="en-US"/>
        </w:rPr>
        <w:t>familiarity with</w:t>
      </w:r>
      <w:r w:rsidRPr="00826725">
        <w:rPr>
          <w:rFonts w:ascii="Arial" w:hAnsi="Arial" w:cs="Arial"/>
          <w:sz w:val="20"/>
          <w:szCs w:val="20"/>
          <w:lang w:val="en-US"/>
        </w:rPr>
        <w:t xml:space="preserve"> the vision) in </w:t>
      </w:r>
      <w:r w:rsidR="004F4ED4" w:rsidRPr="00826725">
        <w:rPr>
          <w:rFonts w:ascii="Arial" w:hAnsi="Arial" w:cs="Arial"/>
          <w:sz w:val="20"/>
          <w:szCs w:val="20"/>
          <w:lang w:val="en-US"/>
        </w:rPr>
        <w:t xml:space="preserve">the </w:t>
      </w:r>
      <w:r w:rsidRPr="00826725">
        <w:rPr>
          <w:rFonts w:ascii="Arial" w:hAnsi="Arial" w:cs="Arial"/>
          <w:sz w:val="20"/>
          <w:szCs w:val="20"/>
          <w:lang w:val="en-US"/>
        </w:rPr>
        <w:t xml:space="preserve">banks in </w:t>
      </w:r>
      <w:proofErr w:type="spellStart"/>
      <w:r w:rsidR="004F4ED4" w:rsidRPr="00826725">
        <w:rPr>
          <w:rFonts w:ascii="Arial" w:hAnsi="Arial" w:cs="Arial"/>
          <w:sz w:val="20"/>
          <w:szCs w:val="20"/>
          <w:lang w:val="en-US"/>
        </w:rPr>
        <w:t>BiH</w:t>
      </w:r>
      <w:proofErr w:type="spellEnd"/>
      <w:r w:rsidRPr="00826725">
        <w:rPr>
          <w:rFonts w:ascii="Arial" w:hAnsi="Arial" w:cs="Arial"/>
          <w:sz w:val="20"/>
          <w:szCs w:val="20"/>
          <w:lang w:val="en-US"/>
        </w:rPr>
        <w:t>. Additionally, it will ex</w:t>
      </w:r>
      <w:r w:rsidR="004F4ED4" w:rsidRPr="00826725">
        <w:rPr>
          <w:rFonts w:ascii="Arial" w:hAnsi="Arial" w:cs="Arial"/>
          <w:sz w:val="20"/>
          <w:szCs w:val="20"/>
          <w:lang w:val="en-US"/>
        </w:rPr>
        <w:t>amine</w:t>
      </w:r>
      <w:r w:rsidRPr="00826725">
        <w:rPr>
          <w:rFonts w:ascii="Arial" w:hAnsi="Arial" w:cs="Arial"/>
          <w:sz w:val="20"/>
          <w:szCs w:val="20"/>
          <w:lang w:val="en-US"/>
        </w:rPr>
        <w:t xml:space="preserve"> whether there is a significant difference in attitudes between employees and management regarding the presence of the aforementioned dimensions, as well as the impact of socio-demographic characteristics on the </w:t>
      </w:r>
      <w:r w:rsidR="00D37442" w:rsidRPr="00826725">
        <w:rPr>
          <w:rFonts w:ascii="Arial" w:hAnsi="Arial" w:cs="Arial"/>
          <w:sz w:val="20"/>
          <w:szCs w:val="20"/>
          <w:lang w:val="en-US"/>
        </w:rPr>
        <w:t>attitudes</w:t>
      </w:r>
      <w:r w:rsidRPr="00826725">
        <w:rPr>
          <w:rFonts w:ascii="Arial" w:hAnsi="Arial" w:cs="Arial"/>
          <w:sz w:val="20"/>
          <w:szCs w:val="20"/>
          <w:lang w:val="en-US"/>
        </w:rPr>
        <w:t xml:space="preserve"> of employees and management concerning the pr</w:t>
      </w:r>
      <w:r w:rsidR="00D37442" w:rsidRPr="00826725">
        <w:rPr>
          <w:rFonts w:ascii="Arial" w:hAnsi="Arial" w:cs="Arial"/>
          <w:sz w:val="20"/>
          <w:szCs w:val="20"/>
          <w:lang w:val="en-US"/>
        </w:rPr>
        <w:t>esence</w:t>
      </w:r>
      <w:r w:rsidRPr="00826725">
        <w:rPr>
          <w:rFonts w:ascii="Arial" w:hAnsi="Arial" w:cs="Arial"/>
          <w:sz w:val="20"/>
          <w:szCs w:val="20"/>
          <w:lang w:val="en-US"/>
        </w:rPr>
        <w:t xml:space="preserve"> of these internal marketing dimensions in </w:t>
      </w:r>
      <w:r w:rsidR="004F4ED4" w:rsidRPr="00826725">
        <w:rPr>
          <w:rFonts w:ascii="Arial" w:hAnsi="Arial" w:cs="Arial"/>
          <w:sz w:val="20"/>
          <w:szCs w:val="20"/>
          <w:lang w:val="en-US"/>
        </w:rPr>
        <w:t xml:space="preserve">the </w:t>
      </w:r>
      <w:r w:rsidRPr="00826725">
        <w:rPr>
          <w:rFonts w:ascii="Arial" w:hAnsi="Arial" w:cs="Arial"/>
          <w:sz w:val="20"/>
          <w:szCs w:val="20"/>
          <w:lang w:val="en-US"/>
        </w:rPr>
        <w:t xml:space="preserve">banks in </w:t>
      </w:r>
      <w:proofErr w:type="spellStart"/>
      <w:r w:rsidR="004F4ED4" w:rsidRPr="00826725">
        <w:rPr>
          <w:rFonts w:ascii="Arial" w:hAnsi="Arial" w:cs="Arial"/>
          <w:sz w:val="20"/>
          <w:szCs w:val="20"/>
          <w:lang w:val="en-US"/>
        </w:rPr>
        <w:t>BiH</w:t>
      </w:r>
      <w:proofErr w:type="spellEnd"/>
      <w:r w:rsidRPr="00826725">
        <w:rPr>
          <w:rFonts w:ascii="Arial" w:hAnsi="Arial" w:cs="Arial"/>
          <w:sz w:val="20"/>
          <w:szCs w:val="20"/>
          <w:lang w:val="en-US"/>
        </w:rPr>
        <w:t>.</w:t>
      </w:r>
    </w:p>
    <w:p w14:paraId="158CF6F7" w14:textId="77777777" w:rsidR="007B7B20" w:rsidRPr="00826725" w:rsidRDefault="007B7B20" w:rsidP="007B7B20">
      <w:pPr>
        <w:autoSpaceDE w:val="0"/>
        <w:autoSpaceDN w:val="0"/>
        <w:adjustRightInd w:val="0"/>
        <w:spacing w:line="276" w:lineRule="auto"/>
        <w:jc w:val="both"/>
        <w:rPr>
          <w:rFonts w:ascii="Arial" w:hAnsi="Arial" w:cs="Arial"/>
          <w:lang w:val="en-US"/>
        </w:rPr>
      </w:pPr>
    </w:p>
    <w:p w14:paraId="7DA7B9E8" w14:textId="7DA23260" w:rsidR="007B7B20" w:rsidRPr="00826725" w:rsidRDefault="00DD1F7E" w:rsidP="003C6317">
      <w:pPr>
        <w:pStyle w:val="ListParagraph"/>
        <w:numPr>
          <w:ilvl w:val="0"/>
          <w:numId w:val="22"/>
        </w:numPr>
        <w:tabs>
          <w:tab w:val="left" w:pos="284"/>
        </w:tabs>
        <w:spacing w:line="276" w:lineRule="auto"/>
        <w:ind w:left="284" w:hanging="284"/>
        <w:rPr>
          <w:rFonts w:ascii="Arial" w:hAnsi="Arial" w:cs="Arial"/>
          <w:b/>
          <w:bCs/>
          <w:lang w:val="en-US"/>
        </w:rPr>
      </w:pPr>
      <w:r w:rsidRPr="00DD1F7E">
        <w:rPr>
          <w:rFonts w:ascii="Arial" w:hAnsi="Arial" w:cs="Arial"/>
          <w:b/>
          <w:bCs/>
          <w:highlight w:val="yellow"/>
          <w:lang w:val="en-US"/>
        </w:rPr>
        <w:t>DATA AND</w:t>
      </w:r>
      <w:r w:rsidR="00C27CD7" w:rsidRPr="00826725">
        <w:rPr>
          <w:rFonts w:ascii="Arial" w:hAnsi="Arial" w:cs="Arial"/>
          <w:b/>
          <w:bCs/>
          <w:lang w:val="en-US"/>
        </w:rPr>
        <w:t xml:space="preserve"> </w:t>
      </w:r>
      <w:r w:rsidR="00C040CF" w:rsidRPr="00826725">
        <w:rPr>
          <w:rFonts w:ascii="Arial" w:hAnsi="Arial" w:cs="Arial"/>
          <w:b/>
          <w:bCs/>
          <w:lang w:val="en-US"/>
        </w:rPr>
        <w:t>MET</w:t>
      </w:r>
      <w:r w:rsidR="00C27CD7" w:rsidRPr="00826725">
        <w:rPr>
          <w:rFonts w:ascii="Arial" w:hAnsi="Arial" w:cs="Arial"/>
          <w:b/>
          <w:bCs/>
          <w:lang w:val="en-US"/>
        </w:rPr>
        <w:t>HODOLOGY</w:t>
      </w:r>
    </w:p>
    <w:p w14:paraId="4DF199D9" w14:textId="77777777" w:rsidR="00865698" w:rsidRPr="00826725" w:rsidRDefault="00865698" w:rsidP="00865698">
      <w:pPr>
        <w:pStyle w:val="ListParagraph"/>
        <w:spacing w:line="276" w:lineRule="auto"/>
        <w:rPr>
          <w:rFonts w:ascii="Arial" w:hAnsi="Arial" w:cs="Arial"/>
          <w:b/>
          <w:bCs/>
          <w:lang w:val="en-US"/>
        </w:rPr>
      </w:pPr>
    </w:p>
    <w:p w14:paraId="1C24139B" w14:textId="3E79DB75" w:rsidR="00DB1609" w:rsidRPr="00613573" w:rsidRDefault="004F4ED4" w:rsidP="00C040CF">
      <w:pPr>
        <w:jc w:val="both"/>
        <w:rPr>
          <w:rFonts w:ascii="Arial" w:hAnsi="Arial" w:cs="Arial"/>
          <w:sz w:val="20"/>
          <w:szCs w:val="20"/>
          <w:lang w:val="en-US"/>
        </w:rPr>
      </w:pPr>
      <w:r w:rsidRPr="00613573">
        <w:rPr>
          <w:rFonts w:ascii="Arial" w:hAnsi="Arial" w:cs="Arial"/>
          <w:sz w:val="20"/>
          <w:szCs w:val="20"/>
          <w:lang w:val="en-US"/>
        </w:rPr>
        <w:t xml:space="preserve">Research </w:t>
      </w:r>
      <w:r w:rsidR="003E6D99" w:rsidRPr="00613573">
        <w:rPr>
          <w:rFonts w:ascii="Arial" w:hAnsi="Arial" w:cs="Arial"/>
          <w:sz w:val="20"/>
          <w:szCs w:val="20"/>
          <w:lang w:val="en-US"/>
        </w:rPr>
        <w:t>aims</w:t>
      </w:r>
      <w:r w:rsidR="00D64991" w:rsidRPr="00613573">
        <w:rPr>
          <w:rFonts w:ascii="Arial" w:hAnsi="Arial" w:cs="Arial"/>
          <w:sz w:val="20"/>
          <w:szCs w:val="20"/>
          <w:lang w:val="en-US"/>
        </w:rPr>
        <w:t>: 1)</w:t>
      </w:r>
      <w:r w:rsidR="00D37442" w:rsidRPr="00613573">
        <w:rPr>
          <w:rFonts w:ascii="Arial" w:hAnsi="Arial" w:cs="Arial"/>
          <w:sz w:val="20"/>
          <w:szCs w:val="20"/>
          <w:lang w:val="en-US"/>
        </w:rPr>
        <w:t xml:space="preserve"> </w:t>
      </w:r>
      <w:r w:rsidRPr="00613573">
        <w:rPr>
          <w:rFonts w:ascii="Arial" w:hAnsi="Arial" w:cs="Arial"/>
          <w:sz w:val="20"/>
          <w:szCs w:val="20"/>
          <w:lang w:val="en-US"/>
        </w:rPr>
        <w:t>To determine the attitudes of employees and management regarding the p</w:t>
      </w:r>
      <w:r w:rsidR="00D37442" w:rsidRPr="00613573">
        <w:rPr>
          <w:rFonts w:ascii="Arial" w:hAnsi="Arial" w:cs="Arial"/>
          <w:sz w:val="20"/>
          <w:szCs w:val="20"/>
          <w:lang w:val="en-US"/>
        </w:rPr>
        <w:t>resence</w:t>
      </w:r>
      <w:r w:rsidRPr="00613573">
        <w:rPr>
          <w:rFonts w:ascii="Arial" w:hAnsi="Arial" w:cs="Arial"/>
          <w:sz w:val="20"/>
          <w:szCs w:val="20"/>
          <w:lang w:val="en-US"/>
        </w:rPr>
        <w:t xml:space="preserve"> of the observed internal marketing dimensions (</w:t>
      </w:r>
      <w:r w:rsidR="00D37442" w:rsidRPr="00613573">
        <w:rPr>
          <w:rFonts w:ascii="Arial" w:hAnsi="Arial" w:cs="Arial"/>
          <w:sz w:val="20"/>
          <w:szCs w:val="20"/>
          <w:lang w:val="en-US"/>
        </w:rPr>
        <w:t>familiarity with</w:t>
      </w:r>
      <w:r w:rsidRPr="00613573">
        <w:rPr>
          <w:rFonts w:ascii="Arial" w:hAnsi="Arial" w:cs="Arial"/>
          <w:sz w:val="20"/>
          <w:szCs w:val="20"/>
          <w:lang w:val="en-US"/>
        </w:rPr>
        <w:t xml:space="preserve"> the vision, reward system, training and development, internal communication) in </w:t>
      </w:r>
      <w:r w:rsidR="00D37442" w:rsidRPr="00613573">
        <w:rPr>
          <w:rFonts w:ascii="Arial" w:hAnsi="Arial" w:cs="Arial"/>
          <w:sz w:val="20"/>
          <w:szCs w:val="20"/>
          <w:lang w:val="en-US"/>
        </w:rPr>
        <w:t xml:space="preserve">the </w:t>
      </w:r>
      <w:r w:rsidRPr="00613573">
        <w:rPr>
          <w:rFonts w:ascii="Arial" w:hAnsi="Arial" w:cs="Arial"/>
          <w:sz w:val="20"/>
          <w:szCs w:val="20"/>
          <w:lang w:val="en-US"/>
        </w:rPr>
        <w:t xml:space="preserve">banks in </w:t>
      </w:r>
      <w:proofErr w:type="spellStart"/>
      <w:r w:rsidR="00D37442" w:rsidRPr="00613573">
        <w:rPr>
          <w:rFonts w:ascii="Arial" w:hAnsi="Arial" w:cs="Arial"/>
          <w:sz w:val="20"/>
          <w:szCs w:val="20"/>
          <w:lang w:val="en-US"/>
        </w:rPr>
        <w:t>BiH</w:t>
      </w:r>
      <w:proofErr w:type="spellEnd"/>
      <w:r w:rsidR="00D37442" w:rsidRPr="00613573">
        <w:rPr>
          <w:rFonts w:ascii="Arial" w:hAnsi="Arial" w:cs="Arial"/>
          <w:sz w:val="20"/>
          <w:szCs w:val="20"/>
          <w:lang w:val="en-US"/>
        </w:rPr>
        <w:t>,</w:t>
      </w:r>
      <w:r w:rsidR="00DB1609" w:rsidRPr="00613573">
        <w:rPr>
          <w:rFonts w:ascii="Arial" w:hAnsi="Arial" w:cs="Arial"/>
          <w:sz w:val="20"/>
          <w:szCs w:val="20"/>
          <w:lang w:val="en-US"/>
        </w:rPr>
        <w:t xml:space="preserve"> 2)</w:t>
      </w:r>
      <w:r w:rsidR="00D37442" w:rsidRPr="00613573">
        <w:rPr>
          <w:rFonts w:ascii="Arial" w:hAnsi="Arial" w:cs="Arial"/>
          <w:sz w:val="20"/>
          <w:szCs w:val="20"/>
          <w:lang w:val="en-US"/>
        </w:rPr>
        <w:t xml:space="preserve"> To determine whether there is a statistically significant differences in the attitudes of employees and management regarding the presence of the observed internal marketing dimensions in the banks in </w:t>
      </w:r>
      <w:proofErr w:type="spellStart"/>
      <w:r w:rsidR="00D37442" w:rsidRPr="00613573">
        <w:rPr>
          <w:rFonts w:ascii="Arial" w:hAnsi="Arial" w:cs="Arial"/>
          <w:sz w:val="20"/>
          <w:szCs w:val="20"/>
          <w:lang w:val="en-US"/>
        </w:rPr>
        <w:t>BiH</w:t>
      </w:r>
      <w:proofErr w:type="spellEnd"/>
      <w:r w:rsidR="00D37442" w:rsidRPr="00613573">
        <w:rPr>
          <w:rFonts w:ascii="Arial" w:hAnsi="Arial" w:cs="Arial"/>
          <w:sz w:val="20"/>
          <w:szCs w:val="20"/>
          <w:lang w:val="en-US"/>
        </w:rPr>
        <w:t>,</w:t>
      </w:r>
      <w:r w:rsidR="006D3CF3" w:rsidRPr="00613573">
        <w:rPr>
          <w:rFonts w:ascii="Arial" w:hAnsi="Arial" w:cs="Arial"/>
          <w:sz w:val="20"/>
          <w:szCs w:val="20"/>
          <w:lang w:val="en-US"/>
        </w:rPr>
        <w:t xml:space="preserve"> </w:t>
      </w:r>
      <w:r w:rsidR="00865698" w:rsidRPr="00613573">
        <w:rPr>
          <w:rFonts w:ascii="Arial" w:hAnsi="Arial" w:cs="Arial"/>
          <w:sz w:val="20"/>
          <w:szCs w:val="20"/>
          <w:lang w:val="en-US"/>
        </w:rPr>
        <w:t>3)</w:t>
      </w:r>
      <w:r w:rsidR="00D37442" w:rsidRPr="00613573">
        <w:rPr>
          <w:rFonts w:ascii="Arial" w:hAnsi="Arial" w:cs="Arial"/>
          <w:sz w:val="20"/>
          <w:szCs w:val="20"/>
          <w:lang w:val="en-US"/>
        </w:rPr>
        <w:t xml:space="preserve"> To determine the impact of socio-demographic characteristics on the attitudes of employees and management concerning the pre</w:t>
      </w:r>
      <w:r w:rsidR="00302FC1" w:rsidRPr="00613573">
        <w:rPr>
          <w:rFonts w:ascii="Arial" w:hAnsi="Arial" w:cs="Arial"/>
          <w:sz w:val="20"/>
          <w:szCs w:val="20"/>
          <w:lang w:val="en-US"/>
        </w:rPr>
        <w:t>sence</w:t>
      </w:r>
      <w:r w:rsidR="00D37442" w:rsidRPr="00613573">
        <w:rPr>
          <w:rFonts w:ascii="Arial" w:hAnsi="Arial" w:cs="Arial"/>
          <w:sz w:val="20"/>
          <w:szCs w:val="20"/>
          <w:lang w:val="en-US"/>
        </w:rPr>
        <w:t xml:space="preserve"> of the observed internal marketing dimensions in the banks in </w:t>
      </w:r>
      <w:proofErr w:type="spellStart"/>
      <w:r w:rsidR="00D37442" w:rsidRPr="00613573">
        <w:rPr>
          <w:rFonts w:ascii="Arial" w:hAnsi="Arial" w:cs="Arial"/>
          <w:sz w:val="20"/>
          <w:szCs w:val="20"/>
          <w:lang w:val="en-US"/>
        </w:rPr>
        <w:t>BiH</w:t>
      </w:r>
      <w:proofErr w:type="spellEnd"/>
      <w:r w:rsidR="00D37442" w:rsidRPr="00613573">
        <w:rPr>
          <w:rFonts w:ascii="Arial" w:hAnsi="Arial" w:cs="Arial"/>
          <w:sz w:val="20"/>
          <w:szCs w:val="20"/>
          <w:lang w:val="en-US"/>
        </w:rPr>
        <w:t>.</w:t>
      </w:r>
    </w:p>
    <w:p w14:paraId="2B230956" w14:textId="77777777" w:rsidR="00C60BA8" w:rsidRPr="00613573" w:rsidRDefault="00C60BA8" w:rsidP="00C040CF">
      <w:pPr>
        <w:jc w:val="both"/>
        <w:rPr>
          <w:rFonts w:ascii="Arial" w:hAnsi="Arial" w:cs="Arial"/>
          <w:sz w:val="20"/>
          <w:szCs w:val="20"/>
          <w:lang w:val="en-US"/>
        </w:rPr>
      </w:pPr>
    </w:p>
    <w:p w14:paraId="127F4E29" w14:textId="4812B6B9" w:rsidR="00DD1F7E" w:rsidRDefault="00DD1F7E" w:rsidP="00DD1F7E">
      <w:pPr>
        <w:pStyle w:val="NormalWeb"/>
        <w:spacing w:before="0" w:beforeAutospacing="0" w:after="0" w:afterAutospacing="0"/>
        <w:jc w:val="both"/>
        <w:rPr>
          <w:rFonts w:ascii="Arial" w:hAnsi="Arial" w:cs="Arial"/>
          <w:sz w:val="20"/>
          <w:szCs w:val="20"/>
          <w:highlight w:val="yellow"/>
        </w:rPr>
      </w:pPr>
      <w:r w:rsidRPr="00DD1F7E">
        <w:rPr>
          <w:rFonts w:ascii="Arial" w:hAnsi="Arial" w:cs="Arial"/>
          <w:sz w:val="20"/>
          <w:szCs w:val="20"/>
          <w:highlight w:val="yellow"/>
        </w:rPr>
        <w:t>The population for this research consisted of 23 banks from Bosnia and Herzegovina. The research was conducted using a questionnaire which was distributed electronically to the entire population of the banks. The target group of respondents in this study composed of marketing managers, human resources managers, and employees of banks operating in the ma</w:t>
      </w:r>
      <w:r w:rsidR="00E42526">
        <w:rPr>
          <w:rFonts w:ascii="Arial" w:hAnsi="Arial" w:cs="Arial"/>
          <w:sz w:val="20"/>
          <w:szCs w:val="20"/>
          <w:highlight w:val="yellow"/>
        </w:rPr>
        <w:t xml:space="preserve">rket of Bosnia and Herzegovina. </w:t>
      </w:r>
      <w:r w:rsidRPr="00DD1F7E">
        <w:rPr>
          <w:rFonts w:ascii="Arial" w:hAnsi="Arial" w:cs="Arial"/>
          <w:sz w:val="20"/>
          <w:szCs w:val="20"/>
          <w:highlight w:val="yellow"/>
        </w:rPr>
        <w:t xml:space="preserve">Out </w:t>
      </w:r>
      <w:r w:rsidRPr="00DD1F7E">
        <w:rPr>
          <w:rFonts w:ascii="Arial" w:hAnsi="Arial" w:cs="Arial"/>
          <w:sz w:val="20"/>
          <w:szCs w:val="20"/>
          <w:highlight w:val="yellow"/>
        </w:rPr>
        <w:lastRenderedPageBreak/>
        <w:t>of the 23 banks, 13 participated in the research. A total of 250 questionnaires were collected, of which 18</w:t>
      </w:r>
      <w:r w:rsidR="00E42526">
        <w:rPr>
          <w:rFonts w:ascii="Arial" w:hAnsi="Arial" w:cs="Arial"/>
          <w:sz w:val="20"/>
          <w:szCs w:val="20"/>
          <w:highlight w:val="yellow"/>
        </w:rPr>
        <w:t>4</w:t>
      </w:r>
      <w:r w:rsidRPr="00DD1F7E">
        <w:rPr>
          <w:rFonts w:ascii="Arial" w:hAnsi="Arial" w:cs="Arial"/>
          <w:sz w:val="20"/>
          <w:szCs w:val="20"/>
          <w:highlight w:val="yellow"/>
        </w:rPr>
        <w:t xml:space="preserve"> were included in the analysis. The total numb</w:t>
      </w:r>
      <w:r w:rsidR="00E42526">
        <w:rPr>
          <w:rFonts w:ascii="Arial" w:hAnsi="Arial" w:cs="Arial"/>
          <w:sz w:val="20"/>
          <w:szCs w:val="20"/>
          <w:highlight w:val="yellow"/>
        </w:rPr>
        <w:t>er of validated responses was 63 from managers and 121</w:t>
      </w:r>
      <w:r w:rsidRPr="00DD1F7E">
        <w:rPr>
          <w:rFonts w:ascii="Arial" w:hAnsi="Arial" w:cs="Arial"/>
          <w:sz w:val="20"/>
          <w:szCs w:val="20"/>
          <w:highlight w:val="yellow"/>
        </w:rPr>
        <w:t xml:space="preserve"> from employees.</w:t>
      </w:r>
    </w:p>
    <w:p w14:paraId="10F8B7A5" w14:textId="77777777" w:rsidR="00E42526" w:rsidRPr="00DD1F7E" w:rsidRDefault="00E42526" w:rsidP="00DD1F7E">
      <w:pPr>
        <w:pStyle w:val="NormalWeb"/>
        <w:spacing w:before="0" w:beforeAutospacing="0" w:after="0" w:afterAutospacing="0"/>
        <w:jc w:val="both"/>
        <w:rPr>
          <w:rFonts w:ascii="Arial" w:hAnsi="Arial" w:cs="Arial"/>
          <w:sz w:val="20"/>
          <w:szCs w:val="20"/>
          <w:highlight w:val="yellow"/>
        </w:rPr>
      </w:pPr>
    </w:p>
    <w:p w14:paraId="38E6393D" w14:textId="4686334A" w:rsidR="00DD1F7E" w:rsidRDefault="00DD1F7E" w:rsidP="00DD1F7E">
      <w:pPr>
        <w:pStyle w:val="NormalWeb"/>
        <w:spacing w:before="0" w:beforeAutospacing="0" w:after="0" w:afterAutospacing="0"/>
        <w:jc w:val="both"/>
        <w:rPr>
          <w:rFonts w:ascii="Arial" w:hAnsi="Arial" w:cs="Arial"/>
          <w:sz w:val="20"/>
          <w:szCs w:val="20"/>
          <w:highlight w:val="yellow"/>
        </w:rPr>
      </w:pPr>
      <w:r w:rsidRPr="00DD1F7E">
        <w:rPr>
          <w:rFonts w:ascii="Arial" w:hAnsi="Arial" w:cs="Arial"/>
          <w:sz w:val="20"/>
          <w:szCs w:val="20"/>
          <w:highlight w:val="yellow"/>
        </w:rPr>
        <w:t xml:space="preserve">The questionnaire was structured from questions related to the socio-demographic characteristics of the respondents and their attitudes regarding the dimensions of internal marketing. These attitudes were measured on a Likert scale ranging from 1 - </w:t>
      </w:r>
      <w:r w:rsidR="00173BDC">
        <w:rPr>
          <w:rFonts w:ascii="Arial" w:hAnsi="Arial" w:cs="Arial"/>
          <w:sz w:val="20"/>
          <w:szCs w:val="20"/>
          <w:highlight w:val="yellow"/>
        </w:rPr>
        <w:t>„total di</w:t>
      </w:r>
      <w:r w:rsidR="00173BDC" w:rsidRPr="00DD1F7E">
        <w:rPr>
          <w:rFonts w:ascii="Arial" w:hAnsi="Arial" w:cs="Arial"/>
          <w:sz w:val="20"/>
          <w:szCs w:val="20"/>
          <w:highlight w:val="yellow"/>
        </w:rPr>
        <w:t>sagree “to</w:t>
      </w:r>
      <w:r w:rsidRPr="00DD1F7E">
        <w:rPr>
          <w:rFonts w:ascii="Arial" w:hAnsi="Arial" w:cs="Arial"/>
          <w:sz w:val="20"/>
          <w:szCs w:val="20"/>
          <w:highlight w:val="yellow"/>
        </w:rPr>
        <w:t xml:space="preserve"> 5 – „total </w:t>
      </w:r>
      <w:proofErr w:type="spellStart"/>
      <w:proofErr w:type="gramStart"/>
      <w:r w:rsidR="0063424E">
        <w:rPr>
          <w:rFonts w:ascii="Arial" w:hAnsi="Arial" w:cs="Arial"/>
          <w:sz w:val="20"/>
          <w:szCs w:val="20"/>
          <w:highlight w:val="yellow"/>
        </w:rPr>
        <w:t>agree</w:t>
      </w:r>
      <w:r w:rsidR="00173BDC" w:rsidRPr="00DD1F7E">
        <w:rPr>
          <w:rFonts w:ascii="Arial" w:hAnsi="Arial" w:cs="Arial"/>
          <w:sz w:val="20"/>
          <w:szCs w:val="20"/>
          <w:highlight w:val="yellow"/>
        </w:rPr>
        <w:t>“</w:t>
      </w:r>
      <w:proofErr w:type="gramEnd"/>
      <w:r w:rsidRPr="00DD1F7E">
        <w:rPr>
          <w:rFonts w:ascii="Arial" w:hAnsi="Arial" w:cs="Arial"/>
          <w:sz w:val="20"/>
          <w:szCs w:val="20"/>
          <w:highlight w:val="yellow"/>
        </w:rPr>
        <w:t>.The</w:t>
      </w:r>
      <w:proofErr w:type="spellEnd"/>
      <w:r w:rsidRPr="00DD1F7E">
        <w:rPr>
          <w:rFonts w:ascii="Arial" w:hAnsi="Arial" w:cs="Arial"/>
          <w:sz w:val="20"/>
          <w:szCs w:val="20"/>
          <w:highlight w:val="yellow"/>
        </w:rPr>
        <w:t xml:space="preserve"> data were collected during the last quarter of 2023, specifically from marketing managers, human resources managers, and employees in the participating banks.</w:t>
      </w:r>
    </w:p>
    <w:p w14:paraId="256A897B" w14:textId="77777777" w:rsidR="00934C80" w:rsidRPr="00DD1F7E" w:rsidRDefault="00934C80" w:rsidP="00DD1F7E">
      <w:pPr>
        <w:pStyle w:val="NormalWeb"/>
        <w:spacing w:before="0" w:beforeAutospacing="0" w:after="0" w:afterAutospacing="0"/>
        <w:jc w:val="both"/>
        <w:rPr>
          <w:rFonts w:ascii="Arial" w:hAnsi="Arial" w:cs="Arial"/>
          <w:sz w:val="20"/>
          <w:szCs w:val="20"/>
          <w:highlight w:val="yellow"/>
        </w:rPr>
      </w:pPr>
    </w:p>
    <w:p w14:paraId="732E9CEE" w14:textId="77777777" w:rsidR="00DD1F7E" w:rsidRPr="004F5008" w:rsidRDefault="00DD1F7E" w:rsidP="00DD1F7E">
      <w:pPr>
        <w:pStyle w:val="NormalWeb"/>
        <w:spacing w:before="0" w:beforeAutospacing="0" w:after="0" w:afterAutospacing="0"/>
        <w:jc w:val="both"/>
        <w:rPr>
          <w:rFonts w:ascii="Arial" w:hAnsi="Arial" w:cs="Arial"/>
          <w:sz w:val="20"/>
          <w:szCs w:val="20"/>
        </w:rPr>
      </w:pPr>
      <w:r w:rsidRPr="00DD1F7E">
        <w:rPr>
          <w:rFonts w:ascii="Arial" w:hAnsi="Arial" w:cs="Arial"/>
          <w:sz w:val="20"/>
          <w:szCs w:val="20"/>
          <w:highlight w:val="yellow"/>
        </w:rPr>
        <w:t>According to the objectives set in the study, an independent samples t-test was conducted to determine the consistency of differences in respondents' attitudes regarding the representation of the observed dimensions of internal marketing in the banks of Bosnia and Herzegovina. Additionally, the Chi-Square (χ²) test was used to examine the impact of respondents' demographic characteristics on their attitudes toward the observed dimensions of internal marketing in Bosnian-Herzegovinian banks. Data analysis was conducted using SPSS software.</w:t>
      </w:r>
    </w:p>
    <w:p w14:paraId="7AA1695D" w14:textId="77777777" w:rsidR="00C60BA8" w:rsidRPr="00613573" w:rsidRDefault="00C60BA8" w:rsidP="007B7B20">
      <w:pPr>
        <w:autoSpaceDE w:val="0"/>
        <w:autoSpaceDN w:val="0"/>
        <w:adjustRightInd w:val="0"/>
        <w:spacing w:line="276" w:lineRule="auto"/>
        <w:jc w:val="both"/>
        <w:rPr>
          <w:rFonts w:ascii="Arial" w:hAnsi="Arial" w:cs="Arial"/>
          <w:lang w:val="de-DE"/>
        </w:rPr>
      </w:pPr>
    </w:p>
    <w:p w14:paraId="1B6BCA41" w14:textId="6DCAE793" w:rsidR="00D64991" w:rsidRPr="00432890" w:rsidRDefault="00DD1F7E" w:rsidP="004B3AF8">
      <w:pPr>
        <w:pStyle w:val="ListParagraph"/>
        <w:numPr>
          <w:ilvl w:val="0"/>
          <w:numId w:val="22"/>
        </w:numPr>
        <w:spacing w:line="276" w:lineRule="auto"/>
        <w:ind w:left="284" w:hanging="284"/>
        <w:jc w:val="both"/>
        <w:rPr>
          <w:rFonts w:ascii="Arial" w:hAnsi="Arial" w:cs="Arial"/>
          <w:b/>
          <w:bCs/>
          <w:lang w:val="en-US"/>
        </w:rPr>
      </w:pPr>
      <w:r w:rsidRPr="00DD1F7E">
        <w:rPr>
          <w:rFonts w:ascii="Arial" w:hAnsi="Arial" w:cs="Arial"/>
          <w:b/>
          <w:bCs/>
          <w:highlight w:val="yellow"/>
          <w:lang w:val="en-US"/>
        </w:rPr>
        <w:t>RESULTS</w:t>
      </w:r>
      <w:r w:rsidR="008C0382" w:rsidRPr="00432890">
        <w:rPr>
          <w:rFonts w:ascii="Arial" w:hAnsi="Arial" w:cs="Arial"/>
          <w:b/>
          <w:bCs/>
          <w:lang w:val="en-US"/>
        </w:rPr>
        <w:t xml:space="preserve"> AND DISCUSSION</w:t>
      </w:r>
    </w:p>
    <w:p w14:paraId="348CDCB5" w14:textId="2BA65228" w:rsidR="00FD4E73" w:rsidRPr="00826725" w:rsidRDefault="00FD4E73" w:rsidP="00F43A32">
      <w:pPr>
        <w:spacing w:line="276" w:lineRule="auto"/>
        <w:jc w:val="both"/>
        <w:rPr>
          <w:rFonts w:ascii="Arial" w:hAnsi="Arial" w:cs="Arial"/>
          <w:lang w:val="en-US"/>
        </w:rPr>
      </w:pPr>
    </w:p>
    <w:p w14:paraId="63A62EB0" w14:textId="1FCCAAD4" w:rsidR="00A16F9E" w:rsidRPr="00826725" w:rsidRDefault="008C0382" w:rsidP="00C040CF">
      <w:pPr>
        <w:jc w:val="both"/>
        <w:rPr>
          <w:rFonts w:ascii="Arial" w:hAnsi="Arial" w:cs="Arial"/>
          <w:sz w:val="20"/>
          <w:szCs w:val="20"/>
          <w:lang w:val="en-US"/>
        </w:rPr>
      </w:pPr>
      <w:r w:rsidRPr="00826725">
        <w:rPr>
          <w:rFonts w:ascii="Arial" w:hAnsi="Arial" w:cs="Arial"/>
          <w:sz w:val="20"/>
          <w:szCs w:val="20"/>
          <w:lang w:val="en-US"/>
        </w:rPr>
        <w:t xml:space="preserve">The results of the analysis on the respondents' attitudes regarding the presence of the observed internal marketing dimensions, the existence of statistically significant differences in their attitudes concerning the development of the observed dimensions, and the impact of the respondents’ socio-demographic characteristics on their attitudes about the presence of the observed internal marketing dimensions in the banks in </w:t>
      </w:r>
      <w:proofErr w:type="spellStart"/>
      <w:r w:rsidRPr="00826725">
        <w:rPr>
          <w:rFonts w:ascii="Arial" w:hAnsi="Arial" w:cs="Arial"/>
          <w:sz w:val="20"/>
          <w:szCs w:val="20"/>
          <w:lang w:val="en-US"/>
        </w:rPr>
        <w:t>BiH</w:t>
      </w:r>
      <w:proofErr w:type="spellEnd"/>
      <w:r w:rsidRPr="00826725">
        <w:rPr>
          <w:rFonts w:ascii="Arial" w:hAnsi="Arial" w:cs="Arial"/>
          <w:sz w:val="20"/>
          <w:szCs w:val="20"/>
          <w:lang w:val="en-US"/>
        </w:rPr>
        <w:t xml:space="preserve"> are given in the following section.</w:t>
      </w:r>
    </w:p>
    <w:p w14:paraId="767A9EED" w14:textId="4E2714F7" w:rsidR="00934C80" w:rsidRDefault="00934C80" w:rsidP="00934C80">
      <w:pPr>
        <w:pStyle w:val="NormalWeb"/>
        <w:spacing w:before="0" w:beforeAutospacing="0" w:after="0" w:afterAutospacing="0"/>
        <w:rPr>
          <w:rFonts w:ascii="Arial" w:hAnsi="Arial" w:cs="Arial"/>
          <w:b/>
          <w:sz w:val="20"/>
          <w:szCs w:val="20"/>
        </w:rPr>
        <w:sectPr w:rsidR="00934C80"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4FB513C" w14:textId="77777777" w:rsidR="00EC46B6" w:rsidRDefault="00EC46B6" w:rsidP="00EC46B6">
      <w:pPr>
        <w:pStyle w:val="NormalWeb"/>
        <w:spacing w:before="0" w:beforeAutospacing="0" w:after="0" w:afterAutospacing="0"/>
        <w:jc w:val="center"/>
        <w:rPr>
          <w:rFonts w:ascii="Arial" w:hAnsi="Arial" w:cs="Arial"/>
          <w:b/>
          <w:sz w:val="20"/>
          <w:szCs w:val="20"/>
        </w:rPr>
      </w:pPr>
    </w:p>
    <w:p w14:paraId="03F18E6A" w14:textId="0F3A271E" w:rsidR="000456FF" w:rsidRPr="00826725" w:rsidRDefault="000456FF" w:rsidP="00EC46B6">
      <w:pPr>
        <w:pStyle w:val="NormalWeb"/>
        <w:spacing w:before="0" w:beforeAutospacing="0" w:after="0" w:afterAutospacing="0"/>
        <w:jc w:val="center"/>
        <w:rPr>
          <w:rFonts w:ascii="Arial" w:hAnsi="Arial" w:cs="Arial"/>
          <w:b/>
          <w:sz w:val="20"/>
          <w:szCs w:val="20"/>
        </w:rPr>
      </w:pPr>
      <w:r w:rsidRPr="00826725">
        <w:rPr>
          <w:rFonts w:ascii="Arial" w:hAnsi="Arial" w:cs="Arial"/>
          <w:b/>
          <w:sz w:val="20"/>
          <w:szCs w:val="20"/>
        </w:rPr>
        <w:t>Tab</w:t>
      </w:r>
      <w:r w:rsidR="008C0382" w:rsidRPr="00826725">
        <w:rPr>
          <w:rFonts w:ascii="Arial" w:hAnsi="Arial" w:cs="Arial"/>
          <w:b/>
          <w:sz w:val="20"/>
          <w:szCs w:val="20"/>
        </w:rPr>
        <w:t>le</w:t>
      </w:r>
      <w:r w:rsidRPr="00826725">
        <w:rPr>
          <w:rFonts w:ascii="Arial" w:hAnsi="Arial" w:cs="Arial"/>
          <w:b/>
          <w:sz w:val="20"/>
          <w:szCs w:val="20"/>
        </w:rPr>
        <w:t xml:space="preserve"> 1. </w:t>
      </w:r>
      <w:r w:rsidR="008C0382" w:rsidRPr="00826725">
        <w:rPr>
          <w:rFonts w:ascii="Arial" w:hAnsi="Arial" w:cs="Arial"/>
          <w:b/>
          <w:sz w:val="20"/>
          <w:szCs w:val="20"/>
        </w:rPr>
        <w:t>The average ratings of the attitudes of employees and management</w:t>
      </w:r>
      <w:r w:rsidR="008C0382" w:rsidRPr="00826725">
        <w:rPr>
          <w:rFonts w:ascii="Arial" w:hAnsi="Arial" w:cs="Arial"/>
        </w:rPr>
        <w:t xml:space="preserve"> </w:t>
      </w:r>
      <w:r w:rsidR="008C0382" w:rsidRPr="00826725">
        <w:rPr>
          <w:rFonts w:ascii="Arial" w:hAnsi="Arial" w:cs="Arial"/>
          <w:b/>
          <w:sz w:val="20"/>
          <w:szCs w:val="20"/>
        </w:rPr>
        <w:t xml:space="preserve">regarding the presence of the observed internal marketing dimensions in the banks in </w:t>
      </w:r>
      <w:proofErr w:type="spellStart"/>
      <w:r w:rsidR="008C0382" w:rsidRPr="00826725">
        <w:rPr>
          <w:rFonts w:ascii="Arial" w:hAnsi="Arial" w:cs="Arial"/>
          <w:b/>
          <w:sz w:val="20"/>
          <w:szCs w:val="20"/>
        </w:rPr>
        <w:t>BiH</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8"/>
        <w:gridCol w:w="1798"/>
        <w:gridCol w:w="1810"/>
        <w:gridCol w:w="1798"/>
        <w:gridCol w:w="1812"/>
      </w:tblGrid>
      <w:tr w:rsidR="000456FF" w:rsidRPr="00826725" w14:paraId="4E603BF9" w14:textId="77777777" w:rsidTr="00C040CF">
        <w:trPr>
          <w:cantSplit/>
          <w:trHeight w:val="346"/>
          <w:tblHeader/>
        </w:trPr>
        <w:tc>
          <w:tcPr>
            <w:tcW w:w="997" w:type="pct"/>
            <w:vMerge w:val="restart"/>
            <w:shd w:val="clear" w:color="auto" w:fill="auto"/>
            <w:vAlign w:val="center"/>
            <w:hideMark/>
          </w:tcPr>
          <w:p w14:paraId="0F8E4D87" w14:textId="324EECA3" w:rsidR="000456FF" w:rsidRPr="00826725" w:rsidRDefault="00630635"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Internal marketing dimensions</w:t>
            </w:r>
          </w:p>
        </w:tc>
        <w:tc>
          <w:tcPr>
            <w:tcW w:w="2001" w:type="pct"/>
            <w:gridSpan w:val="2"/>
            <w:shd w:val="clear" w:color="auto" w:fill="auto"/>
            <w:noWrap/>
            <w:vAlign w:val="center"/>
            <w:hideMark/>
          </w:tcPr>
          <w:p w14:paraId="6140EC8A" w14:textId="2A9C1ED4" w:rsidR="000456FF" w:rsidRPr="00826725" w:rsidRDefault="00630635"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Employees</w:t>
            </w:r>
          </w:p>
        </w:tc>
        <w:tc>
          <w:tcPr>
            <w:tcW w:w="2002" w:type="pct"/>
            <w:gridSpan w:val="2"/>
            <w:shd w:val="clear" w:color="auto" w:fill="auto"/>
            <w:noWrap/>
            <w:vAlign w:val="center"/>
            <w:hideMark/>
          </w:tcPr>
          <w:p w14:paraId="12BF4254" w14:textId="48CFF086" w:rsidR="000456FF" w:rsidRPr="00826725" w:rsidRDefault="000456FF"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M</w:t>
            </w:r>
            <w:r w:rsidR="00630635" w:rsidRPr="00826725">
              <w:rPr>
                <w:rFonts w:ascii="Arial" w:hAnsi="Arial" w:cs="Arial"/>
                <w:color w:val="000000"/>
                <w:sz w:val="20"/>
                <w:szCs w:val="20"/>
                <w:lang w:val="en-US" w:eastAsia="hr-HR"/>
              </w:rPr>
              <w:t>anagement</w:t>
            </w:r>
          </w:p>
        </w:tc>
      </w:tr>
      <w:tr w:rsidR="000456FF" w:rsidRPr="00826725" w14:paraId="53C1BB86" w14:textId="77777777" w:rsidTr="00C040CF">
        <w:trPr>
          <w:cantSplit/>
          <w:trHeight w:val="346"/>
          <w:tblHeader/>
        </w:trPr>
        <w:tc>
          <w:tcPr>
            <w:tcW w:w="997" w:type="pct"/>
            <w:vMerge/>
            <w:shd w:val="clear" w:color="auto" w:fill="auto"/>
            <w:noWrap/>
            <w:vAlign w:val="center"/>
            <w:hideMark/>
          </w:tcPr>
          <w:p w14:paraId="5CE9A6C8" w14:textId="77777777" w:rsidR="000456FF" w:rsidRPr="00826725" w:rsidRDefault="000456FF" w:rsidP="00C81333">
            <w:pPr>
              <w:spacing w:line="276" w:lineRule="auto"/>
              <w:jc w:val="center"/>
              <w:rPr>
                <w:rFonts w:ascii="Arial" w:hAnsi="Arial" w:cs="Arial"/>
                <w:color w:val="000000"/>
                <w:sz w:val="20"/>
                <w:szCs w:val="20"/>
                <w:lang w:val="en-US" w:eastAsia="hr-HR"/>
              </w:rPr>
            </w:pPr>
          </w:p>
        </w:tc>
        <w:tc>
          <w:tcPr>
            <w:tcW w:w="997" w:type="pct"/>
            <w:shd w:val="clear" w:color="auto" w:fill="auto"/>
            <w:vAlign w:val="center"/>
            <w:hideMark/>
          </w:tcPr>
          <w:p w14:paraId="0AB03302" w14:textId="74E274FA" w:rsidR="000456FF" w:rsidRPr="00826725" w:rsidRDefault="00630635"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Average value</w:t>
            </w:r>
          </w:p>
        </w:tc>
        <w:tc>
          <w:tcPr>
            <w:tcW w:w="1004" w:type="pct"/>
            <w:shd w:val="clear" w:color="auto" w:fill="auto"/>
            <w:vAlign w:val="center"/>
            <w:hideMark/>
          </w:tcPr>
          <w:p w14:paraId="24A179DE" w14:textId="4D13FF68" w:rsidR="000456FF" w:rsidRPr="00826725" w:rsidRDefault="000456FF"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Standard devi</w:t>
            </w:r>
            <w:r w:rsidR="00630635" w:rsidRPr="00826725">
              <w:rPr>
                <w:rFonts w:ascii="Arial" w:hAnsi="Arial" w:cs="Arial"/>
                <w:color w:val="000000"/>
                <w:sz w:val="20"/>
                <w:szCs w:val="20"/>
                <w:lang w:val="en-US" w:eastAsia="hr-HR"/>
              </w:rPr>
              <w:t>ation</w:t>
            </w:r>
          </w:p>
        </w:tc>
        <w:tc>
          <w:tcPr>
            <w:tcW w:w="997" w:type="pct"/>
            <w:shd w:val="clear" w:color="auto" w:fill="auto"/>
            <w:vAlign w:val="center"/>
            <w:hideMark/>
          </w:tcPr>
          <w:p w14:paraId="61CCFE95" w14:textId="496A6350" w:rsidR="000456FF" w:rsidRPr="00826725" w:rsidRDefault="00630635"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Average value</w:t>
            </w:r>
          </w:p>
        </w:tc>
        <w:tc>
          <w:tcPr>
            <w:tcW w:w="1005" w:type="pct"/>
            <w:shd w:val="clear" w:color="auto" w:fill="auto"/>
            <w:vAlign w:val="center"/>
            <w:hideMark/>
          </w:tcPr>
          <w:p w14:paraId="104F782B" w14:textId="31BCCFD3" w:rsidR="000456FF" w:rsidRPr="00826725" w:rsidRDefault="000456FF"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Standard</w:t>
            </w:r>
            <w:r w:rsidR="00630635" w:rsidRPr="00826725">
              <w:rPr>
                <w:rFonts w:ascii="Arial" w:hAnsi="Arial" w:cs="Arial"/>
                <w:color w:val="000000"/>
                <w:sz w:val="20"/>
                <w:szCs w:val="20"/>
                <w:lang w:val="en-US" w:eastAsia="hr-HR"/>
              </w:rPr>
              <w:t xml:space="preserve"> deviation</w:t>
            </w:r>
          </w:p>
        </w:tc>
      </w:tr>
      <w:tr w:rsidR="000456FF" w:rsidRPr="00826725" w14:paraId="54AC0C84" w14:textId="77777777" w:rsidTr="00C040CF">
        <w:trPr>
          <w:trHeight w:val="20"/>
        </w:trPr>
        <w:tc>
          <w:tcPr>
            <w:tcW w:w="997" w:type="pct"/>
            <w:shd w:val="clear" w:color="auto" w:fill="auto"/>
            <w:vAlign w:val="center"/>
          </w:tcPr>
          <w:p w14:paraId="4A43DC78" w14:textId="54F392DF" w:rsidR="000456FF" w:rsidRPr="00826725" w:rsidRDefault="000456FF"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D1</w:t>
            </w:r>
          </w:p>
        </w:tc>
        <w:tc>
          <w:tcPr>
            <w:tcW w:w="997" w:type="pct"/>
            <w:shd w:val="clear" w:color="auto" w:fill="auto"/>
            <w:noWrap/>
            <w:vAlign w:val="center"/>
            <w:hideMark/>
          </w:tcPr>
          <w:p w14:paraId="286DCACD" w14:textId="67263EC2" w:rsidR="000456FF" w:rsidRPr="00826725" w:rsidRDefault="00BF3F0D"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3.</w:t>
            </w:r>
            <w:r w:rsidR="00DB1609" w:rsidRPr="00826725">
              <w:rPr>
                <w:rFonts w:ascii="Arial" w:hAnsi="Arial" w:cs="Arial"/>
                <w:color w:val="000000"/>
                <w:sz w:val="20"/>
                <w:szCs w:val="20"/>
                <w:lang w:val="en-US" w:eastAsia="hr-HR"/>
              </w:rPr>
              <w:t>8271</w:t>
            </w:r>
          </w:p>
        </w:tc>
        <w:tc>
          <w:tcPr>
            <w:tcW w:w="1004" w:type="pct"/>
            <w:shd w:val="clear" w:color="auto" w:fill="auto"/>
            <w:noWrap/>
            <w:vAlign w:val="center"/>
            <w:hideMark/>
          </w:tcPr>
          <w:p w14:paraId="1709E0D5" w14:textId="191CDD24" w:rsidR="000456FF" w:rsidRPr="00826725" w:rsidRDefault="00BF3F0D"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0.</w:t>
            </w:r>
            <w:r w:rsidR="00DB1609" w:rsidRPr="00826725">
              <w:rPr>
                <w:rFonts w:ascii="Arial" w:hAnsi="Arial" w:cs="Arial"/>
                <w:color w:val="000000"/>
                <w:sz w:val="20"/>
                <w:szCs w:val="20"/>
                <w:lang w:val="en-US" w:eastAsia="hr-HR"/>
              </w:rPr>
              <w:t>81893</w:t>
            </w:r>
          </w:p>
        </w:tc>
        <w:tc>
          <w:tcPr>
            <w:tcW w:w="997" w:type="pct"/>
            <w:shd w:val="clear" w:color="auto" w:fill="auto"/>
            <w:noWrap/>
            <w:vAlign w:val="center"/>
          </w:tcPr>
          <w:p w14:paraId="7103145B" w14:textId="687410F5" w:rsidR="000456FF" w:rsidRPr="00826725" w:rsidRDefault="00BF3F0D"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4.</w:t>
            </w:r>
            <w:r w:rsidR="006B4B45" w:rsidRPr="00826725">
              <w:rPr>
                <w:rFonts w:ascii="Arial" w:hAnsi="Arial" w:cs="Arial"/>
                <w:color w:val="000000"/>
                <w:sz w:val="20"/>
                <w:szCs w:val="20"/>
                <w:lang w:val="en-US" w:eastAsia="hr-HR"/>
              </w:rPr>
              <w:t>1248</w:t>
            </w:r>
          </w:p>
        </w:tc>
        <w:tc>
          <w:tcPr>
            <w:tcW w:w="1005" w:type="pct"/>
            <w:shd w:val="clear" w:color="auto" w:fill="auto"/>
            <w:noWrap/>
            <w:vAlign w:val="center"/>
          </w:tcPr>
          <w:p w14:paraId="1E30E41E" w14:textId="7BAF363D" w:rsidR="000456FF" w:rsidRPr="00826725" w:rsidRDefault="00BF3F0D"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0.</w:t>
            </w:r>
            <w:r w:rsidR="006B4B45" w:rsidRPr="00826725">
              <w:rPr>
                <w:rFonts w:ascii="Arial" w:hAnsi="Arial" w:cs="Arial"/>
                <w:color w:val="000000"/>
                <w:sz w:val="20"/>
                <w:szCs w:val="20"/>
                <w:lang w:val="en-US" w:eastAsia="hr-HR"/>
              </w:rPr>
              <w:t>67751</w:t>
            </w:r>
          </w:p>
        </w:tc>
      </w:tr>
      <w:tr w:rsidR="000456FF" w:rsidRPr="00826725" w14:paraId="72533449" w14:textId="77777777" w:rsidTr="00C040CF">
        <w:trPr>
          <w:trHeight w:val="20"/>
        </w:trPr>
        <w:tc>
          <w:tcPr>
            <w:tcW w:w="997" w:type="pct"/>
            <w:shd w:val="clear" w:color="auto" w:fill="auto"/>
            <w:vAlign w:val="center"/>
          </w:tcPr>
          <w:p w14:paraId="676917F1" w14:textId="3499BD00" w:rsidR="000456FF" w:rsidRPr="00826725" w:rsidRDefault="000456FF" w:rsidP="000456FF">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D2</w:t>
            </w:r>
          </w:p>
        </w:tc>
        <w:tc>
          <w:tcPr>
            <w:tcW w:w="997" w:type="pct"/>
            <w:shd w:val="clear" w:color="auto" w:fill="auto"/>
            <w:noWrap/>
            <w:vAlign w:val="center"/>
            <w:hideMark/>
          </w:tcPr>
          <w:p w14:paraId="45C85948" w14:textId="64EC99FB" w:rsidR="000456FF" w:rsidRPr="00826725" w:rsidRDefault="006B4B45" w:rsidP="00BF3F0D">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3</w:t>
            </w:r>
            <w:r w:rsidR="00BF3F0D" w:rsidRPr="00826725">
              <w:rPr>
                <w:rFonts w:ascii="Arial" w:hAnsi="Arial" w:cs="Arial"/>
                <w:color w:val="000000"/>
                <w:sz w:val="20"/>
                <w:szCs w:val="20"/>
                <w:lang w:val="en-US" w:eastAsia="hr-HR"/>
              </w:rPr>
              <w:t>.</w:t>
            </w:r>
            <w:r w:rsidRPr="00826725">
              <w:rPr>
                <w:rFonts w:ascii="Arial" w:hAnsi="Arial" w:cs="Arial"/>
                <w:color w:val="000000"/>
                <w:sz w:val="20"/>
                <w:szCs w:val="20"/>
                <w:lang w:val="en-US" w:eastAsia="hr-HR"/>
              </w:rPr>
              <w:t>4274</w:t>
            </w:r>
          </w:p>
        </w:tc>
        <w:tc>
          <w:tcPr>
            <w:tcW w:w="1004" w:type="pct"/>
            <w:shd w:val="clear" w:color="auto" w:fill="auto"/>
            <w:noWrap/>
            <w:vAlign w:val="center"/>
            <w:hideMark/>
          </w:tcPr>
          <w:p w14:paraId="32160C1A" w14:textId="00FFD0D0" w:rsidR="000456FF" w:rsidRPr="00826725" w:rsidRDefault="006B4B45"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0</w:t>
            </w:r>
            <w:r w:rsidR="00BF3F0D" w:rsidRPr="00826725">
              <w:rPr>
                <w:rFonts w:ascii="Arial" w:hAnsi="Arial" w:cs="Arial"/>
                <w:color w:val="000000"/>
                <w:sz w:val="20"/>
                <w:szCs w:val="20"/>
                <w:lang w:val="en-US" w:eastAsia="hr-HR"/>
              </w:rPr>
              <w:t>.</w:t>
            </w:r>
            <w:r w:rsidRPr="00826725">
              <w:rPr>
                <w:rFonts w:ascii="Arial" w:hAnsi="Arial" w:cs="Arial"/>
                <w:color w:val="000000"/>
                <w:sz w:val="20"/>
                <w:szCs w:val="20"/>
                <w:lang w:val="en-US" w:eastAsia="hr-HR"/>
              </w:rPr>
              <w:t>78603</w:t>
            </w:r>
          </w:p>
        </w:tc>
        <w:tc>
          <w:tcPr>
            <w:tcW w:w="997" w:type="pct"/>
            <w:shd w:val="clear" w:color="auto" w:fill="auto"/>
            <w:noWrap/>
            <w:vAlign w:val="center"/>
          </w:tcPr>
          <w:p w14:paraId="12DB1F55" w14:textId="54559AAC" w:rsidR="000456FF" w:rsidRPr="00826725" w:rsidRDefault="00BF3F0D" w:rsidP="006B4B45">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3.</w:t>
            </w:r>
            <w:r w:rsidR="006B4B45" w:rsidRPr="00826725">
              <w:rPr>
                <w:rFonts w:ascii="Arial" w:hAnsi="Arial" w:cs="Arial"/>
                <w:color w:val="000000"/>
                <w:sz w:val="20"/>
                <w:szCs w:val="20"/>
                <w:lang w:val="en-US" w:eastAsia="hr-HR"/>
              </w:rPr>
              <w:t>7695</w:t>
            </w:r>
          </w:p>
        </w:tc>
        <w:tc>
          <w:tcPr>
            <w:tcW w:w="1005" w:type="pct"/>
            <w:shd w:val="clear" w:color="auto" w:fill="auto"/>
            <w:noWrap/>
            <w:vAlign w:val="center"/>
          </w:tcPr>
          <w:p w14:paraId="7B4DCA34" w14:textId="2B6D3017" w:rsidR="000456FF" w:rsidRPr="00826725" w:rsidRDefault="00BF3F0D"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0.</w:t>
            </w:r>
            <w:r w:rsidR="006B4B45" w:rsidRPr="00826725">
              <w:rPr>
                <w:rFonts w:ascii="Arial" w:hAnsi="Arial" w:cs="Arial"/>
                <w:color w:val="000000"/>
                <w:sz w:val="20"/>
                <w:szCs w:val="20"/>
                <w:lang w:val="en-US" w:eastAsia="hr-HR"/>
              </w:rPr>
              <w:t>79599</w:t>
            </w:r>
          </w:p>
        </w:tc>
      </w:tr>
      <w:tr w:rsidR="000456FF" w:rsidRPr="00826725" w14:paraId="606FE9CA" w14:textId="77777777" w:rsidTr="00C040CF">
        <w:trPr>
          <w:trHeight w:val="20"/>
        </w:trPr>
        <w:tc>
          <w:tcPr>
            <w:tcW w:w="997" w:type="pct"/>
            <w:shd w:val="clear" w:color="auto" w:fill="auto"/>
            <w:vAlign w:val="center"/>
          </w:tcPr>
          <w:p w14:paraId="7D09B70C" w14:textId="62B6906F" w:rsidR="000456FF" w:rsidRPr="00826725" w:rsidRDefault="000456FF"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D3</w:t>
            </w:r>
          </w:p>
        </w:tc>
        <w:tc>
          <w:tcPr>
            <w:tcW w:w="997" w:type="pct"/>
            <w:shd w:val="clear" w:color="auto" w:fill="auto"/>
            <w:noWrap/>
            <w:vAlign w:val="center"/>
            <w:hideMark/>
          </w:tcPr>
          <w:p w14:paraId="78C0422A" w14:textId="47ACE024" w:rsidR="000456FF" w:rsidRPr="00826725" w:rsidRDefault="000456FF" w:rsidP="00BF3F0D">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3</w:t>
            </w:r>
            <w:r w:rsidR="00BF3F0D" w:rsidRPr="00826725">
              <w:rPr>
                <w:rFonts w:ascii="Arial" w:hAnsi="Arial" w:cs="Arial"/>
                <w:color w:val="000000"/>
                <w:sz w:val="20"/>
                <w:szCs w:val="20"/>
                <w:lang w:val="en-US" w:eastAsia="hr-HR"/>
              </w:rPr>
              <w:t>.</w:t>
            </w:r>
            <w:r w:rsidR="006B4B45" w:rsidRPr="00826725">
              <w:rPr>
                <w:rFonts w:ascii="Arial" w:hAnsi="Arial" w:cs="Arial"/>
                <w:color w:val="000000"/>
                <w:sz w:val="20"/>
                <w:szCs w:val="20"/>
                <w:lang w:val="en-US" w:eastAsia="hr-HR"/>
              </w:rPr>
              <w:t>4186</w:t>
            </w:r>
          </w:p>
        </w:tc>
        <w:tc>
          <w:tcPr>
            <w:tcW w:w="1004" w:type="pct"/>
            <w:shd w:val="clear" w:color="auto" w:fill="auto"/>
            <w:noWrap/>
            <w:vAlign w:val="center"/>
            <w:hideMark/>
          </w:tcPr>
          <w:p w14:paraId="02B73A60" w14:textId="0ACDD218" w:rsidR="000456FF" w:rsidRPr="00826725" w:rsidRDefault="006B4B45"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0</w:t>
            </w:r>
            <w:r w:rsidR="00BF3F0D" w:rsidRPr="00826725">
              <w:rPr>
                <w:rFonts w:ascii="Arial" w:hAnsi="Arial" w:cs="Arial"/>
                <w:color w:val="000000"/>
                <w:sz w:val="20"/>
                <w:szCs w:val="20"/>
                <w:lang w:val="en-US" w:eastAsia="hr-HR"/>
              </w:rPr>
              <w:t>.</w:t>
            </w:r>
            <w:r w:rsidRPr="00826725">
              <w:rPr>
                <w:rFonts w:ascii="Arial" w:hAnsi="Arial" w:cs="Arial"/>
                <w:color w:val="000000"/>
                <w:sz w:val="20"/>
                <w:szCs w:val="20"/>
                <w:lang w:val="en-US" w:eastAsia="hr-HR"/>
              </w:rPr>
              <w:t>97880</w:t>
            </w:r>
          </w:p>
        </w:tc>
        <w:tc>
          <w:tcPr>
            <w:tcW w:w="997" w:type="pct"/>
            <w:shd w:val="clear" w:color="auto" w:fill="auto"/>
            <w:noWrap/>
            <w:vAlign w:val="center"/>
          </w:tcPr>
          <w:p w14:paraId="4A4724C1" w14:textId="3F563484" w:rsidR="000456FF" w:rsidRPr="00826725" w:rsidRDefault="00BF3F0D" w:rsidP="006B4B45">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3.</w:t>
            </w:r>
            <w:r w:rsidR="006B4B45" w:rsidRPr="00826725">
              <w:rPr>
                <w:rFonts w:ascii="Arial" w:hAnsi="Arial" w:cs="Arial"/>
                <w:color w:val="000000"/>
                <w:sz w:val="20"/>
                <w:szCs w:val="20"/>
                <w:lang w:val="en-US" w:eastAsia="hr-HR"/>
              </w:rPr>
              <w:t>6705</w:t>
            </w:r>
          </w:p>
        </w:tc>
        <w:tc>
          <w:tcPr>
            <w:tcW w:w="1005" w:type="pct"/>
            <w:shd w:val="clear" w:color="auto" w:fill="auto"/>
            <w:noWrap/>
            <w:vAlign w:val="center"/>
          </w:tcPr>
          <w:p w14:paraId="2659DC94" w14:textId="6A314244" w:rsidR="000456FF" w:rsidRPr="00826725" w:rsidRDefault="00BF3F0D"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0.</w:t>
            </w:r>
            <w:r w:rsidR="006B4B45" w:rsidRPr="00826725">
              <w:rPr>
                <w:rFonts w:ascii="Arial" w:hAnsi="Arial" w:cs="Arial"/>
                <w:color w:val="000000"/>
                <w:sz w:val="20"/>
                <w:szCs w:val="20"/>
                <w:lang w:val="en-US" w:eastAsia="hr-HR"/>
              </w:rPr>
              <w:t>99115</w:t>
            </w:r>
          </w:p>
        </w:tc>
      </w:tr>
      <w:tr w:rsidR="000456FF" w:rsidRPr="00826725" w14:paraId="24986E27" w14:textId="77777777" w:rsidTr="00C040CF">
        <w:trPr>
          <w:trHeight w:val="20"/>
        </w:trPr>
        <w:tc>
          <w:tcPr>
            <w:tcW w:w="997" w:type="pct"/>
            <w:shd w:val="clear" w:color="auto" w:fill="auto"/>
            <w:vAlign w:val="center"/>
          </w:tcPr>
          <w:p w14:paraId="4068C3EC" w14:textId="253091A2" w:rsidR="000456FF" w:rsidRPr="00826725" w:rsidRDefault="000456FF"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D4</w:t>
            </w:r>
          </w:p>
        </w:tc>
        <w:tc>
          <w:tcPr>
            <w:tcW w:w="997" w:type="pct"/>
            <w:shd w:val="clear" w:color="auto" w:fill="auto"/>
            <w:noWrap/>
            <w:vAlign w:val="center"/>
            <w:hideMark/>
          </w:tcPr>
          <w:p w14:paraId="0E3110E6" w14:textId="50AD95B9" w:rsidR="000456FF" w:rsidRPr="00826725" w:rsidRDefault="000456FF" w:rsidP="00BF3F0D">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3</w:t>
            </w:r>
            <w:r w:rsidR="00BF3F0D" w:rsidRPr="00826725">
              <w:rPr>
                <w:rFonts w:ascii="Arial" w:hAnsi="Arial" w:cs="Arial"/>
                <w:color w:val="000000"/>
                <w:sz w:val="20"/>
                <w:szCs w:val="20"/>
                <w:lang w:val="en-US" w:eastAsia="hr-HR"/>
              </w:rPr>
              <w:t>.</w:t>
            </w:r>
            <w:r w:rsidR="006B4B45" w:rsidRPr="00826725">
              <w:rPr>
                <w:rFonts w:ascii="Arial" w:hAnsi="Arial" w:cs="Arial"/>
                <w:color w:val="000000"/>
                <w:sz w:val="20"/>
                <w:szCs w:val="20"/>
                <w:lang w:val="en-US" w:eastAsia="hr-HR"/>
              </w:rPr>
              <w:t>5458</w:t>
            </w:r>
          </w:p>
        </w:tc>
        <w:tc>
          <w:tcPr>
            <w:tcW w:w="1004" w:type="pct"/>
            <w:shd w:val="clear" w:color="auto" w:fill="auto"/>
            <w:noWrap/>
            <w:vAlign w:val="center"/>
            <w:hideMark/>
          </w:tcPr>
          <w:p w14:paraId="0B620B12" w14:textId="575B9AEE" w:rsidR="000456FF" w:rsidRPr="00826725" w:rsidRDefault="006B4B45"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0</w:t>
            </w:r>
            <w:r w:rsidR="00BF3F0D" w:rsidRPr="00826725">
              <w:rPr>
                <w:rFonts w:ascii="Arial" w:hAnsi="Arial" w:cs="Arial"/>
                <w:color w:val="000000"/>
                <w:sz w:val="20"/>
                <w:szCs w:val="20"/>
                <w:lang w:val="en-US" w:eastAsia="hr-HR"/>
              </w:rPr>
              <w:t>.</w:t>
            </w:r>
            <w:r w:rsidRPr="00826725">
              <w:rPr>
                <w:rFonts w:ascii="Arial" w:hAnsi="Arial" w:cs="Arial"/>
                <w:color w:val="000000"/>
                <w:sz w:val="20"/>
                <w:szCs w:val="20"/>
                <w:lang w:val="en-US" w:eastAsia="hr-HR"/>
              </w:rPr>
              <w:t>81571</w:t>
            </w:r>
          </w:p>
        </w:tc>
        <w:tc>
          <w:tcPr>
            <w:tcW w:w="997" w:type="pct"/>
            <w:shd w:val="clear" w:color="auto" w:fill="auto"/>
            <w:noWrap/>
            <w:vAlign w:val="center"/>
          </w:tcPr>
          <w:p w14:paraId="4B4F57E7" w14:textId="100838BD" w:rsidR="000456FF" w:rsidRPr="00826725" w:rsidRDefault="00BF3F0D" w:rsidP="006B4B45">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3.</w:t>
            </w:r>
            <w:r w:rsidR="006B4B45" w:rsidRPr="00826725">
              <w:rPr>
                <w:rFonts w:ascii="Arial" w:hAnsi="Arial" w:cs="Arial"/>
                <w:color w:val="000000"/>
                <w:sz w:val="20"/>
                <w:szCs w:val="20"/>
                <w:lang w:val="en-US" w:eastAsia="hr-HR"/>
              </w:rPr>
              <w:t>7881</w:t>
            </w:r>
          </w:p>
        </w:tc>
        <w:tc>
          <w:tcPr>
            <w:tcW w:w="1005" w:type="pct"/>
            <w:shd w:val="clear" w:color="auto" w:fill="auto"/>
            <w:noWrap/>
            <w:vAlign w:val="center"/>
          </w:tcPr>
          <w:p w14:paraId="3DEC12C2" w14:textId="509D4E0F" w:rsidR="000456FF" w:rsidRPr="00826725" w:rsidRDefault="00BF3F0D" w:rsidP="00C81333">
            <w:pPr>
              <w:spacing w:line="276" w:lineRule="auto"/>
              <w:jc w:val="center"/>
              <w:rPr>
                <w:rFonts w:ascii="Arial" w:hAnsi="Arial" w:cs="Arial"/>
                <w:color w:val="000000"/>
                <w:sz w:val="20"/>
                <w:szCs w:val="20"/>
                <w:lang w:val="en-US" w:eastAsia="hr-HR"/>
              </w:rPr>
            </w:pPr>
            <w:r w:rsidRPr="00826725">
              <w:rPr>
                <w:rFonts w:ascii="Arial" w:hAnsi="Arial" w:cs="Arial"/>
                <w:color w:val="000000"/>
                <w:sz w:val="20"/>
                <w:szCs w:val="20"/>
                <w:lang w:val="en-US" w:eastAsia="hr-HR"/>
              </w:rPr>
              <w:t>0.</w:t>
            </w:r>
            <w:r w:rsidR="006B4B45" w:rsidRPr="00826725">
              <w:rPr>
                <w:rFonts w:ascii="Arial" w:hAnsi="Arial" w:cs="Arial"/>
                <w:color w:val="000000"/>
                <w:sz w:val="20"/>
                <w:szCs w:val="20"/>
                <w:lang w:val="en-US" w:eastAsia="hr-HR"/>
              </w:rPr>
              <w:t>82201</w:t>
            </w:r>
          </w:p>
        </w:tc>
      </w:tr>
      <w:tr w:rsidR="000456FF" w:rsidRPr="00826725" w14:paraId="5ACD3372" w14:textId="77777777" w:rsidTr="00C040CF">
        <w:trPr>
          <w:trHeight w:val="495"/>
        </w:trPr>
        <w:tc>
          <w:tcPr>
            <w:tcW w:w="5000" w:type="pct"/>
            <w:gridSpan w:val="5"/>
            <w:shd w:val="clear" w:color="auto" w:fill="auto"/>
          </w:tcPr>
          <w:p w14:paraId="25BF56B4" w14:textId="6FD7696C" w:rsidR="000456FF" w:rsidRPr="00826725" w:rsidRDefault="000456FF" w:rsidP="00C81333">
            <w:pPr>
              <w:spacing w:line="276" w:lineRule="auto"/>
              <w:ind w:left="180"/>
              <w:rPr>
                <w:rFonts w:ascii="Arial" w:hAnsi="Arial" w:cs="Arial"/>
                <w:sz w:val="20"/>
                <w:szCs w:val="20"/>
                <w:lang w:val="en-US"/>
              </w:rPr>
            </w:pPr>
            <w:r w:rsidRPr="00826725">
              <w:rPr>
                <w:rFonts w:ascii="Arial" w:hAnsi="Arial" w:cs="Arial"/>
                <w:b/>
                <w:bCs/>
                <w:sz w:val="20"/>
                <w:szCs w:val="20"/>
                <w:lang w:val="en-US"/>
              </w:rPr>
              <w:t>N</w:t>
            </w:r>
            <w:r w:rsidR="00630635" w:rsidRPr="00826725">
              <w:rPr>
                <w:rFonts w:ascii="Arial" w:hAnsi="Arial" w:cs="Arial"/>
                <w:b/>
                <w:bCs/>
                <w:sz w:val="20"/>
                <w:szCs w:val="20"/>
                <w:lang w:val="en-US"/>
              </w:rPr>
              <w:t>ote</w:t>
            </w:r>
            <w:r w:rsidRPr="00826725">
              <w:rPr>
                <w:rFonts w:ascii="Arial" w:hAnsi="Arial" w:cs="Arial"/>
                <w:b/>
                <w:bCs/>
                <w:sz w:val="20"/>
                <w:szCs w:val="20"/>
                <w:lang w:val="en-US"/>
              </w:rPr>
              <w:t>:</w:t>
            </w:r>
            <w:r w:rsidRPr="00826725">
              <w:rPr>
                <w:rFonts w:ascii="Arial" w:hAnsi="Arial" w:cs="Arial"/>
                <w:sz w:val="20"/>
                <w:szCs w:val="20"/>
                <w:lang w:val="en-US"/>
              </w:rPr>
              <w:t xml:space="preserve"> </w:t>
            </w:r>
          </w:p>
          <w:p w14:paraId="52619B02" w14:textId="17C42E35" w:rsidR="00F02E5F" w:rsidRPr="00826725" w:rsidRDefault="00F02E5F" w:rsidP="00F02E5F">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D1 –The respondents’ familiarity with the bank’s vision</w:t>
            </w:r>
          </w:p>
          <w:p w14:paraId="05848681" w14:textId="77777777" w:rsidR="00F02E5F" w:rsidRPr="00826725" w:rsidRDefault="00F02E5F" w:rsidP="00F02E5F">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D2 –The reward system in the bank</w:t>
            </w:r>
          </w:p>
          <w:p w14:paraId="4828B01F" w14:textId="77777777" w:rsidR="00F02E5F" w:rsidRPr="00826725" w:rsidRDefault="00F02E5F" w:rsidP="00F02E5F">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D3 –The training and development system in the bank</w:t>
            </w:r>
          </w:p>
          <w:p w14:paraId="5BF96403" w14:textId="77777777" w:rsidR="00F02E5F" w:rsidRPr="00826725" w:rsidRDefault="00F02E5F" w:rsidP="00F02E5F">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D4 –The internal communication system in the bank</w:t>
            </w:r>
          </w:p>
          <w:p w14:paraId="2BB506A8" w14:textId="5A8C45E0" w:rsidR="000456FF" w:rsidRPr="00826725" w:rsidRDefault="000456FF" w:rsidP="00C81333">
            <w:pPr>
              <w:spacing w:line="276" w:lineRule="auto"/>
              <w:ind w:left="180"/>
              <w:rPr>
                <w:rFonts w:ascii="Arial" w:hAnsi="Arial" w:cs="Arial"/>
                <w:sz w:val="20"/>
                <w:szCs w:val="20"/>
                <w:lang w:val="en-US" w:eastAsia="hr-HR"/>
              </w:rPr>
            </w:pPr>
            <w:r w:rsidRPr="00826725">
              <w:rPr>
                <w:rFonts w:ascii="Arial" w:hAnsi="Arial" w:cs="Arial"/>
                <w:sz w:val="20"/>
                <w:szCs w:val="20"/>
                <w:lang w:val="en-US"/>
              </w:rPr>
              <w:t xml:space="preserve"> </w:t>
            </w:r>
          </w:p>
        </w:tc>
      </w:tr>
    </w:tbl>
    <w:p w14:paraId="04F4F43D" w14:textId="0628E53B" w:rsidR="000E0BEC" w:rsidRDefault="00630635" w:rsidP="00761EBF">
      <w:pPr>
        <w:spacing w:line="276" w:lineRule="auto"/>
        <w:jc w:val="center"/>
        <w:rPr>
          <w:rFonts w:ascii="Arial" w:hAnsi="Arial" w:cs="Arial"/>
          <w:sz w:val="18"/>
          <w:szCs w:val="18"/>
          <w:lang w:val="en-US"/>
        </w:rPr>
      </w:pPr>
      <w:bookmarkStart w:id="0" w:name="_Hlk190977478"/>
      <w:r w:rsidRPr="00826725">
        <w:rPr>
          <w:rFonts w:ascii="Arial" w:hAnsi="Arial" w:cs="Arial"/>
          <w:sz w:val="18"/>
          <w:szCs w:val="18"/>
          <w:lang w:val="en-US"/>
        </w:rPr>
        <w:t>Source</w:t>
      </w:r>
      <w:r w:rsidR="00822FBF" w:rsidRPr="00826725">
        <w:rPr>
          <w:rFonts w:ascii="Arial" w:hAnsi="Arial" w:cs="Arial"/>
          <w:sz w:val="18"/>
          <w:szCs w:val="18"/>
          <w:lang w:val="en-US"/>
        </w:rPr>
        <w:t xml:space="preserve">: </w:t>
      </w:r>
      <w:r w:rsidRPr="00826725">
        <w:rPr>
          <w:rFonts w:ascii="Arial" w:hAnsi="Arial" w:cs="Arial"/>
          <w:sz w:val="18"/>
          <w:szCs w:val="18"/>
          <w:lang w:val="en-US"/>
        </w:rPr>
        <w:t>Authors, the results of the empirical research</w:t>
      </w:r>
      <w:bookmarkEnd w:id="0"/>
    </w:p>
    <w:p w14:paraId="69EEB17E" w14:textId="332B5DF5" w:rsidR="00761EBF" w:rsidRDefault="00761EBF" w:rsidP="00761EBF">
      <w:pPr>
        <w:spacing w:line="276" w:lineRule="auto"/>
        <w:jc w:val="center"/>
        <w:rPr>
          <w:rFonts w:ascii="Arial" w:hAnsi="Arial" w:cs="Arial"/>
          <w:sz w:val="18"/>
          <w:szCs w:val="18"/>
          <w:lang w:val="en-US"/>
        </w:rPr>
      </w:pPr>
    </w:p>
    <w:p w14:paraId="21C04072" w14:textId="77777777" w:rsidR="00761EBF" w:rsidRPr="00761EBF" w:rsidRDefault="00761EBF" w:rsidP="00761EBF">
      <w:pPr>
        <w:spacing w:line="276" w:lineRule="auto"/>
        <w:jc w:val="center"/>
        <w:rPr>
          <w:rFonts w:ascii="Arial" w:hAnsi="Arial" w:cs="Arial"/>
          <w:sz w:val="18"/>
          <w:szCs w:val="18"/>
          <w:lang w:val="en-US"/>
        </w:rPr>
        <w:sectPr w:rsidR="00761EBF" w:rsidRPr="00761EBF"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918DDF1" w14:textId="1821FDAB" w:rsidR="00CC0F1A" w:rsidRPr="00826725" w:rsidRDefault="001B3149" w:rsidP="00C040CF">
      <w:pPr>
        <w:autoSpaceDE w:val="0"/>
        <w:autoSpaceDN w:val="0"/>
        <w:adjustRightInd w:val="0"/>
        <w:jc w:val="both"/>
        <w:rPr>
          <w:rFonts w:ascii="Arial" w:hAnsi="Arial" w:cs="Arial"/>
          <w:sz w:val="20"/>
          <w:szCs w:val="20"/>
          <w:lang w:val="en-US"/>
        </w:rPr>
      </w:pPr>
      <w:r w:rsidRPr="00826725">
        <w:rPr>
          <w:rFonts w:ascii="Arial" w:hAnsi="Arial" w:cs="Arial"/>
          <w:sz w:val="20"/>
          <w:szCs w:val="20"/>
          <w:lang w:val="en-US"/>
        </w:rPr>
        <w:t xml:space="preserve">Table 1 brings the average ratings and standard deviations regarding the attitudes of employees and management on the presence of the observed internal marketing dimensions in the banks in </w:t>
      </w:r>
      <w:proofErr w:type="spellStart"/>
      <w:r w:rsidRPr="00826725">
        <w:rPr>
          <w:rFonts w:ascii="Arial" w:hAnsi="Arial" w:cs="Arial"/>
          <w:sz w:val="20"/>
          <w:szCs w:val="20"/>
          <w:lang w:val="en-US"/>
        </w:rPr>
        <w:t>BiH</w:t>
      </w:r>
      <w:proofErr w:type="spellEnd"/>
      <w:r w:rsidRPr="00826725">
        <w:rPr>
          <w:rFonts w:ascii="Arial" w:hAnsi="Arial" w:cs="Arial"/>
          <w:sz w:val="20"/>
          <w:szCs w:val="20"/>
          <w:lang w:val="en-US"/>
        </w:rPr>
        <w:t>. The results show that bank management assigns slightly higher ratings to the pre</w:t>
      </w:r>
      <w:r w:rsidR="00C96FBA" w:rsidRPr="00826725">
        <w:rPr>
          <w:rFonts w:ascii="Arial" w:hAnsi="Arial" w:cs="Arial"/>
          <w:sz w:val="20"/>
          <w:szCs w:val="20"/>
          <w:lang w:val="en-US"/>
        </w:rPr>
        <w:t>sence</w:t>
      </w:r>
      <w:r w:rsidRPr="00826725">
        <w:rPr>
          <w:rFonts w:ascii="Arial" w:hAnsi="Arial" w:cs="Arial"/>
          <w:sz w:val="20"/>
          <w:szCs w:val="20"/>
          <w:lang w:val="en-US"/>
        </w:rPr>
        <w:t xml:space="preserve"> of the observed internal marketing dimensions than the employees of the same banks. The highest rating, 4.124, indicates that management is familiar with the bank’s vision, while the average rating of 3.788 highlights that the internal communication system in their bank is somewhat above the average level of development. Although previous research suggests that reward</w:t>
      </w:r>
      <w:r w:rsidR="00C96FBA" w:rsidRPr="00826725">
        <w:rPr>
          <w:rFonts w:ascii="Arial" w:hAnsi="Arial" w:cs="Arial"/>
          <w:sz w:val="20"/>
          <w:szCs w:val="20"/>
          <w:lang w:val="en-US"/>
        </w:rPr>
        <w:t xml:space="preserve">, </w:t>
      </w:r>
      <w:r w:rsidRPr="00826725">
        <w:rPr>
          <w:rFonts w:ascii="Arial" w:hAnsi="Arial" w:cs="Arial"/>
          <w:sz w:val="20"/>
          <w:szCs w:val="20"/>
          <w:lang w:val="en-US"/>
        </w:rPr>
        <w:t xml:space="preserve">training, and development </w:t>
      </w:r>
      <w:r w:rsidR="00C96FBA" w:rsidRPr="00826725">
        <w:rPr>
          <w:rFonts w:ascii="Arial" w:hAnsi="Arial" w:cs="Arial"/>
          <w:sz w:val="20"/>
          <w:szCs w:val="20"/>
          <w:lang w:val="en-US"/>
        </w:rPr>
        <w:t xml:space="preserve">systems </w:t>
      </w:r>
      <w:r w:rsidRPr="00826725">
        <w:rPr>
          <w:rFonts w:ascii="Arial" w:hAnsi="Arial" w:cs="Arial"/>
          <w:sz w:val="20"/>
          <w:szCs w:val="20"/>
          <w:lang w:val="en-US"/>
        </w:rPr>
        <w:t>represent significant determinants of progress and business success for banks (</w:t>
      </w:r>
      <w:proofErr w:type="spellStart"/>
      <w:r w:rsidRPr="00826725">
        <w:rPr>
          <w:rFonts w:ascii="Arial" w:hAnsi="Arial" w:cs="Arial"/>
          <w:sz w:val="20"/>
          <w:szCs w:val="20"/>
          <w:lang w:val="en-US"/>
        </w:rPr>
        <w:t>Papasolomou-Doukakis</w:t>
      </w:r>
      <w:proofErr w:type="spellEnd"/>
      <w:r w:rsidRPr="00826725">
        <w:rPr>
          <w:rFonts w:ascii="Arial" w:hAnsi="Arial" w:cs="Arial"/>
          <w:sz w:val="20"/>
          <w:szCs w:val="20"/>
          <w:lang w:val="en-US"/>
        </w:rPr>
        <w:t xml:space="preserve">, 2002: 65-70; Dikshit, Kumar Jain, 2017; Shakeel, </w:t>
      </w:r>
      <w:proofErr w:type="spellStart"/>
      <w:r w:rsidRPr="00826725">
        <w:rPr>
          <w:rFonts w:ascii="Arial" w:hAnsi="Arial" w:cs="Arial"/>
          <w:sz w:val="20"/>
          <w:szCs w:val="20"/>
          <w:lang w:val="en-US"/>
        </w:rPr>
        <w:t>Muazzam</w:t>
      </w:r>
      <w:proofErr w:type="spellEnd"/>
      <w:r w:rsidRPr="00826725">
        <w:rPr>
          <w:rFonts w:ascii="Arial" w:hAnsi="Arial" w:cs="Arial"/>
          <w:sz w:val="20"/>
          <w:szCs w:val="20"/>
          <w:lang w:val="en-US"/>
        </w:rPr>
        <w:t xml:space="preserve">, </w:t>
      </w:r>
      <w:proofErr w:type="spellStart"/>
      <w:r w:rsidRPr="00826725">
        <w:rPr>
          <w:rFonts w:ascii="Arial" w:hAnsi="Arial" w:cs="Arial"/>
          <w:sz w:val="20"/>
          <w:szCs w:val="20"/>
          <w:lang w:val="en-US"/>
        </w:rPr>
        <w:t>Fazar</w:t>
      </w:r>
      <w:proofErr w:type="spellEnd"/>
      <w:r w:rsidRPr="00826725">
        <w:rPr>
          <w:rFonts w:ascii="Arial" w:hAnsi="Arial" w:cs="Arial"/>
          <w:sz w:val="20"/>
          <w:szCs w:val="20"/>
          <w:lang w:val="en-US"/>
        </w:rPr>
        <w:t xml:space="preserve">, Safdar, 2015; </w:t>
      </w:r>
      <w:proofErr w:type="spellStart"/>
      <w:r w:rsidRPr="00826725">
        <w:rPr>
          <w:rFonts w:ascii="Arial" w:hAnsi="Arial" w:cs="Arial"/>
          <w:sz w:val="20"/>
          <w:szCs w:val="20"/>
          <w:lang w:val="en-US"/>
        </w:rPr>
        <w:t>Güllü</w:t>
      </w:r>
      <w:proofErr w:type="spellEnd"/>
      <w:r w:rsidRPr="00826725">
        <w:rPr>
          <w:rFonts w:ascii="Arial" w:hAnsi="Arial" w:cs="Arial"/>
          <w:sz w:val="20"/>
          <w:szCs w:val="20"/>
          <w:lang w:val="en-US"/>
        </w:rPr>
        <w:t xml:space="preserve">, 2016; </w:t>
      </w:r>
      <w:proofErr w:type="spellStart"/>
      <w:r w:rsidRPr="00826725">
        <w:rPr>
          <w:rFonts w:ascii="Arial" w:hAnsi="Arial" w:cs="Arial"/>
          <w:sz w:val="20"/>
          <w:szCs w:val="20"/>
          <w:lang w:val="en-US"/>
        </w:rPr>
        <w:t>Saritprava</w:t>
      </w:r>
      <w:proofErr w:type="spellEnd"/>
      <w:r w:rsidRPr="00826725">
        <w:rPr>
          <w:rFonts w:ascii="Arial" w:hAnsi="Arial" w:cs="Arial"/>
          <w:sz w:val="20"/>
          <w:szCs w:val="20"/>
          <w:lang w:val="en-US"/>
        </w:rPr>
        <w:t xml:space="preserve">, </w:t>
      </w:r>
      <w:proofErr w:type="spellStart"/>
      <w:r w:rsidRPr="00826725">
        <w:rPr>
          <w:rFonts w:ascii="Arial" w:hAnsi="Arial" w:cs="Arial"/>
          <w:sz w:val="20"/>
          <w:szCs w:val="20"/>
          <w:lang w:val="en-US"/>
        </w:rPr>
        <w:t>Preeti</w:t>
      </w:r>
      <w:proofErr w:type="spellEnd"/>
      <w:r w:rsidRPr="00826725">
        <w:rPr>
          <w:rFonts w:ascii="Arial" w:hAnsi="Arial" w:cs="Arial"/>
          <w:sz w:val="20"/>
          <w:szCs w:val="20"/>
          <w:lang w:val="en-US"/>
        </w:rPr>
        <w:t xml:space="preserve">, 2018; </w:t>
      </w:r>
      <w:proofErr w:type="spellStart"/>
      <w:r w:rsidRPr="00826725">
        <w:rPr>
          <w:rFonts w:ascii="Arial" w:hAnsi="Arial" w:cs="Arial"/>
          <w:sz w:val="20"/>
          <w:szCs w:val="20"/>
          <w:lang w:val="en-US"/>
        </w:rPr>
        <w:t>Kikoito</w:t>
      </w:r>
      <w:proofErr w:type="spellEnd"/>
      <w:r w:rsidRPr="00826725">
        <w:rPr>
          <w:rFonts w:ascii="Arial" w:hAnsi="Arial" w:cs="Arial"/>
          <w:sz w:val="20"/>
          <w:szCs w:val="20"/>
          <w:lang w:val="en-US"/>
        </w:rPr>
        <w:t xml:space="preserve">, 2014; </w:t>
      </w:r>
      <w:proofErr w:type="spellStart"/>
      <w:r w:rsidRPr="00826725">
        <w:rPr>
          <w:rFonts w:ascii="Arial" w:hAnsi="Arial" w:cs="Arial"/>
          <w:sz w:val="20"/>
          <w:szCs w:val="20"/>
          <w:lang w:val="en-US"/>
        </w:rPr>
        <w:t>Sehran</w:t>
      </w:r>
      <w:proofErr w:type="spellEnd"/>
      <w:r w:rsidRPr="00826725">
        <w:rPr>
          <w:rFonts w:ascii="Arial" w:hAnsi="Arial" w:cs="Arial"/>
          <w:sz w:val="20"/>
          <w:szCs w:val="20"/>
          <w:lang w:val="en-US"/>
        </w:rPr>
        <w:t xml:space="preserve">, </w:t>
      </w:r>
      <w:proofErr w:type="spellStart"/>
      <w:r w:rsidRPr="00826725">
        <w:rPr>
          <w:rFonts w:ascii="Arial" w:hAnsi="Arial" w:cs="Arial"/>
          <w:sz w:val="20"/>
          <w:szCs w:val="20"/>
          <w:lang w:val="en-US"/>
        </w:rPr>
        <w:t>Salloum</w:t>
      </w:r>
      <w:proofErr w:type="spellEnd"/>
      <w:r w:rsidRPr="00826725">
        <w:rPr>
          <w:rFonts w:ascii="Arial" w:hAnsi="Arial" w:cs="Arial"/>
          <w:sz w:val="20"/>
          <w:szCs w:val="20"/>
          <w:lang w:val="en-US"/>
        </w:rPr>
        <w:t>, Abdo, 2021), these internal marketing</w:t>
      </w:r>
      <w:r w:rsidR="00C96FBA" w:rsidRPr="00826725">
        <w:rPr>
          <w:rFonts w:ascii="Arial" w:hAnsi="Arial" w:cs="Arial"/>
          <w:sz w:val="20"/>
          <w:szCs w:val="20"/>
          <w:lang w:val="en-US"/>
        </w:rPr>
        <w:t xml:space="preserve"> dimensions</w:t>
      </w:r>
      <w:r w:rsidRPr="00826725">
        <w:rPr>
          <w:rFonts w:ascii="Arial" w:hAnsi="Arial" w:cs="Arial"/>
          <w:sz w:val="20"/>
          <w:szCs w:val="20"/>
          <w:lang w:val="en-US"/>
        </w:rPr>
        <w:t>, according to management’s</w:t>
      </w:r>
      <w:r w:rsidR="00C96FBA" w:rsidRPr="00826725">
        <w:rPr>
          <w:rFonts w:ascii="Arial" w:hAnsi="Arial" w:cs="Arial"/>
          <w:sz w:val="20"/>
          <w:szCs w:val="20"/>
          <w:lang w:val="en-US"/>
        </w:rPr>
        <w:t xml:space="preserve"> attitudes</w:t>
      </w:r>
      <w:r w:rsidRPr="00826725">
        <w:rPr>
          <w:rFonts w:ascii="Arial" w:hAnsi="Arial" w:cs="Arial"/>
          <w:sz w:val="20"/>
          <w:szCs w:val="20"/>
          <w:lang w:val="en-US"/>
        </w:rPr>
        <w:t>, are the least p</w:t>
      </w:r>
      <w:r w:rsidR="00C96FBA" w:rsidRPr="00826725">
        <w:rPr>
          <w:rFonts w:ascii="Arial" w:hAnsi="Arial" w:cs="Arial"/>
          <w:sz w:val="20"/>
          <w:szCs w:val="20"/>
          <w:lang w:val="en-US"/>
        </w:rPr>
        <w:t>resent</w:t>
      </w:r>
      <w:r w:rsidRPr="00826725">
        <w:rPr>
          <w:rFonts w:ascii="Arial" w:hAnsi="Arial" w:cs="Arial"/>
          <w:sz w:val="20"/>
          <w:szCs w:val="20"/>
          <w:lang w:val="en-US"/>
        </w:rPr>
        <w:t xml:space="preserve"> in </w:t>
      </w:r>
      <w:r w:rsidR="00C96FBA" w:rsidRPr="00826725">
        <w:rPr>
          <w:rFonts w:ascii="Arial" w:hAnsi="Arial" w:cs="Arial"/>
          <w:sz w:val="20"/>
          <w:szCs w:val="20"/>
          <w:lang w:val="en-US"/>
        </w:rPr>
        <w:t xml:space="preserve">the </w:t>
      </w:r>
      <w:r w:rsidRPr="00826725">
        <w:rPr>
          <w:rFonts w:ascii="Arial" w:hAnsi="Arial" w:cs="Arial"/>
          <w:sz w:val="20"/>
          <w:szCs w:val="20"/>
          <w:lang w:val="en-US"/>
        </w:rPr>
        <w:t>banks in our country (</w:t>
      </w:r>
      <w:r w:rsidR="00C96FBA" w:rsidRPr="00826725">
        <w:rPr>
          <w:rFonts w:ascii="Arial" w:hAnsi="Arial" w:cs="Arial"/>
          <w:sz w:val="20"/>
          <w:szCs w:val="20"/>
          <w:lang w:val="en-US"/>
        </w:rPr>
        <w:t xml:space="preserve">the </w:t>
      </w:r>
      <w:r w:rsidRPr="00826725">
        <w:rPr>
          <w:rFonts w:ascii="Arial" w:hAnsi="Arial" w:cs="Arial"/>
          <w:sz w:val="20"/>
          <w:szCs w:val="20"/>
          <w:lang w:val="en-US"/>
        </w:rPr>
        <w:t xml:space="preserve">average ratings of 3.769 and 3.670, respectively). </w:t>
      </w:r>
      <w:r w:rsidR="00C96FBA" w:rsidRPr="00826725">
        <w:rPr>
          <w:rFonts w:ascii="Arial" w:hAnsi="Arial" w:cs="Arial"/>
          <w:sz w:val="20"/>
          <w:szCs w:val="20"/>
          <w:lang w:val="en-US"/>
        </w:rPr>
        <w:t>The e</w:t>
      </w:r>
      <w:r w:rsidRPr="00826725">
        <w:rPr>
          <w:rFonts w:ascii="Arial" w:hAnsi="Arial" w:cs="Arial"/>
          <w:sz w:val="20"/>
          <w:szCs w:val="20"/>
          <w:lang w:val="en-US"/>
        </w:rPr>
        <w:t>mployees rank the pre</w:t>
      </w:r>
      <w:r w:rsidR="00C96FBA" w:rsidRPr="00826725">
        <w:rPr>
          <w:rFonts w:ascii="Arial" w:hAnsi="Arial" w:cs="Arial"/>
          <w:sz w:val="20"/>
          <w:szCs w:val="20"/>
          <w:lang w:val="en-US"/>
        </w:rPr>
        <w:t>sence</w:t>
      </w:r>
      <w:r w:rsidRPr="00826725">
        <w:rPr>
          <w:rFonts w:ascii="Arial" w:hAnsi="Arial" w:cs="Arial"/>
          <w:sz w:val="20"/>
          <w:szCs w:val="20"/>
          <w:lang w:val="en-US"/>
        </w:rPr>
        <w:t xml:space="preserve"> of</w:t>
      </w:r>
      <w:r w:rsidR="00C96FBA" w:rsidRPr="00826725">
        <w:rPr>
          <w:rFonts w:ascii="Arial" w:hAnsi="Arial" w:cs="Arial"/>
          <w:sz w:val="20"/>
          <w:szCs w:val="20"/>
          <w:lang w:val="en-US"/>
        </w:rPr>
        <w:t xml:space="preserve"> individual</w:t>
      </w:r>
      <w:r w:rsidRPr="00826725">
        <w:rPr>
          <w:rFonts w:ascii="Arial" w:hAnsi="Arial" w:cs="Arial"/>
          <w:sz w:val="20"/>
          <w:szCs w:val="20"/>
          <w:lang w:val="en-US"/>
        </w:rPr>
        <w:t xml:space="preserve"> internal marketing dimensions in the same way, </w:t>
      </w:r>
      <w:r w:rsidR="00B06070" w:rsidRPr="00826725">
        <w:rPr>
          <w:rFonts w:ascii="Arial" w:hAnsi="Arial" w:cs="Arial"/>
          <w:sz w:val="20"/>
          <w:szCs w:val="20"/>
          <w:lang w:val="en-US"/>
        </w:rPr>
        <w:t>giving them</w:t>
      </w:r>
      <w:r w:rsidRPr="00826725">
        <w:rPr>
          <w:rFonts w:ascii="Arial" w:hAnsi="Arial" w:cs="Arial"/>
          <w:sz w:val="20"/>
          <w:szCs w:val="20"/>
          <w:lang w:val="en-US"/>
        </w:rPr>
        <w:t xml:space="preserve"> somewhat lower average ratings. According to their</w:t>
      </w:r>
      <w:r w:rsidR="00B06070" w:rsidRPr="00826725">
        <w:rPr>
          <w:rFonts w:ascii="Arial" w:hAnsi="Arial" w:cs="Arial"/>
          <w:sz w:val="20"/>
          <w:szCs w:val="20"/>
          <w:lang w:val="en-US"/>
        </w:rPr>
        <w:t xml:space="preserve"> attitudes</w:t>
      </w:r>
      <w:r w:rsidRPr="00826725">
        <w:rPr>
          <w:rFonts w:ascii="Arial" w:hAnsi="Arial" w:cs="Arial"/>
          <w:sz w:val="20"/>
          <w:szCs w:val="20"/>
          <w:lang w:val="en-US"/>
        </w:rPr>
        <w:t>, the lowest average rating is given to the pre</w:t>
      </w:r>
      <w:r w:rsidR="00B06070" w:rsidRPr="00826725">
        <w:rPr>
          <w:rFonts w:ascii="Arial" w:hAnsi="Arial" w:cs="Arial"/>
          <w:sz w:val="20"/>
          <w:szCs w:val="20"/>
          <w:lang w:val="en-US"/>
        </w:rPr>
        <w:t>sence</w:t>
      </w:r>
      <w:r w:rsidR="00BF3F0D" w:rsidRPr="00826725">
        <w:rPr>
          <w:rFonts w:ascii="Arial" w:hAnsi="Arial" w:cs="Arial"/>
          <w:sz w:val="20"/>
          <w:szCs w:val="20"/>
          <w:lang w:val="en-US"/>
        </w:rPr>
        <w:t xml:space="preserve"> of the employee training a</w:t>
      </w:r>
      <w:r w:rsidRPr="00826725">
        <w:rPr>
          <w:rFonts w:ascii="Arial" w:hAnsi="Arial" w:cs="Arial"/>
          <w:sz w:val="20"/>
          <w:szCs w:val="20"/>
          <w:lang w:val="en-US"/>
        </w:rPr>
        <w:t xml:space="preserve">nd development system (3.418), followed by the reward system (3.427), and the internal </w:t>
      </w:r>
      <w:r w:rsidRPr="00826725">
        <w:rPr>
          <w:rFonts w:ascii="Arial" w:hAnsi="Arial" w:cs="Arial"/>
          <w:sz w:val="20"/>
          <w:szCs w:val="20"/>
          <w:lang w:val="en-US"/>
        </w:rPr>
        <w:lastRenderedPageBreak/>
        <w:t>communication system (3.545). The highest rating</w:t>
      </w:r>
      <w:r w:rsidR="00B06070" w:rsidRPr="00826725">
        <w:rPr>
          <w:rFonts w:ascii="Arial" w:hAnsi="Arial" w:cs="Arial"/>
          <w:sz w:val="20"/>
          <w:szCs w:val="20"/>
          <w:lang w:val="en-US"/>
        </w:rPr>
        <w:t xml:space="preserve"> is</w:t>
      </w:r>
      <w:r w:rsidRPr="00826725">
        <w:rPr>
          <w:rFonts w:ascii="Arial" w:hAnsi="Arial" w:cs="Arial"/>
          <w:sz w:val="20"/>
          <w:szCs w:val="20"/>
          <w:lang w:val="en-US"/>
        </w:rPr>
        <w:t xml:space="preserve"> given to the dimension </w:t>
      </w:r>
      <w:r w:rsidR="00B06070" w:rsidRPr="00826725">
        <w:rPr>
          <w:rFonts w:ascii="Arial" w:hAnsi="Arial" w:cs="Arial"/>
          <w:sz w:val="20"/>
          <w:szCs w:val="20"/>
          <w:lang w:val="en-US"/>
        </w:rPr>
        <w:t>related to</w:t>
      </w:r>
      <w:r w:rsidRPr="00826725">
        <w:rPr>
          <w:rFonts w:ascii="Arial" w:hAnsi="Arial" w:cs="Arial"/>
          <w:sz w:val="20"/>
          <w:szCs w:val="20"/>
          <w:lang w:val="en-US"/>
        </w:rPr>
        <w:t xml:space="preserve"> employees’ familiarity with the bank’s vision (3.827). Based on the </w:t>
      </w:r>
      <w:r w:rsidR="00435F26" w:rsidRPr="00826725">
        <w:rPr>
          <w:rFonts w:ascii="Arial" w:hAnsi="Arial" w:cs="Arial"/>
          <w:sz w:val="20"/>
          <w:szCs w:val="20"/>
          <w:lang w:val="en-US"/>
        </w:rPr>
        <w:t>results obtained</w:t>
      </w:r>
      <w:r w:rsidRPr="00826725">
        <w:rPr>
          <w:rFonts w:ascii="Arial" w:hAnsi="Arial" w:cs="Arial"/>
          <w:sz w:val="20"/>
          <w:szCs w:val="20"/>
          <w:lang w:val="en-US"/>
        </w:rPr>
        <w:t xml:space="preserve">, it can be concluded that the management of </w:t>
      </w:r>
      <w:proofErr w:type="spellStart"/>
      <w:r w:rsidR="00B06070" w:rsidRPr="00826725">
        <w:rPr>
          <w:rFonts w:ascii="Arial" w:hAnsi="Arial" w:cs="Arial"/>
          <w:sz w:val="20"/>
          <w:szCs w:val="20"/>
          <w:lang w:val="en-US"/>
        </w:rPr>
        <w:t>BiH</w:t>
      </w:r>
      <w:proofErr w:type="spellEnd"/>
      <w:r w:rsidRPr="00826725">
        <w:rPr>
          <w:rFonts w:ascii="Arial" w:hAnsi="Arial" w:cs="Arial"/>
          <w:sz w:val="20"/>
          <w:szCs w:val="20"/>
          <w:lang w:val="en-US"/>
        </w:rPr>
        <w:t xml:space="preserve"> banks needs to make a significant effort to enhance and further develop the observed internal marketing dimensions to motivate and increase employee satisfaction. This would, in turn, encourage employees to improve customer satisfaction with banking services in </w:t>
      </w:r>
      <w:proofErr w:type="spellStart"/>
      <w:r w:rsidR="00B06070" w:rsidRPr="00826725">
        <w:rPr>
          <w:rFonts w:ascii="Arial" w:hAnsi="Arial" w:cs="Arial"/>
          <w:sz w:val="20"/>
          <w:szCs w:val="20"/>
          <w:lang w:val="en-US"/>
        </w:rPr>
        <w:t>BiH</w:t>
      </w:r>
      <w:proofErr w:type="spellEnd"/>
      <w:r w:rsidRPr="00826725">
        <w:rPr>
          <w:rFonts w:ascii="Arial" w:hAnsi="Arial" w:cs="Arial"/>
          <w:sz w:val="20"/>
          <w:szCs w:val="20"/>
          <w:lang w:val="en-US"/>
        </w:rPr>
        <w:t xml:space="preserve"> and thus contribute to the overall improvement of the banks’ business performance.</w:t>
      </w:r>
    </w:p>
    <w:p w14:paraId="235B41BE" w14:textId="77777777" w:rsidR="00E14377" w:rsidRPr="00826725" w:rsidRDefault="00E14377" w:rsidP="00C040CF">
      <w:pPr>
        <w:autoSpaceDE w:val="0"/>
        <w:autoSpaceDN w:val="0"/>
        <w:adjustRightInd w:val="0"/>
        <w:jc w:val="both"/>
        <w:rPr>
          <w:rFonts w:ascii="Arial" w:hAnsi="Arial" w:cs="Arial"/>
          <w:sz w:val="20"/>
          <w:szCs w:val="20"/>
          <w:lang w:val="en-US"/>
        </w:rPr>
      </w:pPr>
    </w:p>
    <w:p w14:paraId="30A3AFA1" w14:textId="2DB321B1" w:rsidR="00E937AC" w:rsidRDefault="00435F26" w:rsidP="00E937AC">
      <w:pPr>
        <w:autoSpaceDE w:val="0"/>
        <w:autoSpaceDN w:val="0"/>
        <w:adjustRightInd w:val="0"/>
        <w:jc w:val="both"/>
        <w:rPr>
          <w:rFonts w:ascii="Arial" w:hAnsi="Arial" w:cs="Arial"/>
          <w:sz w:val="20"/>
          <w:szCs w:val="20"/>
          <w:lang w:val="en-US"/>
        </w:rPr>
      </w:pPr>
      <w:r w:rsidRPr="00826725">
        <w:rPr>
          <w:rFonts w:ascii="Arial" w:hAnsi="Arial" w:cs="Arial"/>
          <w:sz w:val="20"/>
          <w:szCs w:val="20"/>
          <w:lang w:val="en-US"/>
        </w:rPr>
        <w:t xml:space="preserve">To determine whether there is a statistically significant difference between the respondents (bank employees and managers) in the average ratings regarding their attitudes towards the presence of the observed internal marketing dimensions in the </w:t>
      </w:r>
      <w:proofErr w:type="spellStart"/>
      <w:r w:rsidRPr="00826725">
        <w:rPr>
          <w:rFonts w:ascii="Arial" w:hAnsi="Arial" w:cs="Arial"/>
          <w:sz w:val="20"/>
          <w:szCs w:val="20"/>
          <w:lang w:val="en-US"/>
        </w:rPr>
        <w:t>BiH</w:t>
      </w:r>
      <w:proofErr w:type="spellEnd"/>
      <w:r w:rsidRPr="00826725">
        <w:rPr>
          <w:rFonts w:ascii="Arial" w:hAnsi="Arial" w:cs="Arial"/>
          <w:sz w:val="20"/>
          <w:szCs w:val="20"/>
          <w:lang w:val="en-US"/>
        </w:rPr>
        <w:t xml:space="preserve"> banks, we conducted an independent samples t-test. The results of the t-test are presented in Table 2.</w:t>
      </w:r>
    </w:p>
    <w:p w14:paraId="16AD0994" w14:textId="77777777" w:rsidR="00E937AC" w:rsidRDefault="00E937AC" w:rsidP="00E937AC">
      <w:pPr>
        <w:autoSpaceDE w:val="0"/>
        <w:autoSpaceDN w:val="0"/>
        <w:adjustRightInd w:val="0"/>
        <w:jc w:val="both"/>
        <w:rPr>
          <w:rFonts w:ascii="Arial" w:hAnsi="Arial" w:cs="Arial"/>
          <w:sz w:val="20"/>
          <w:szCs w:val="20"/>
          <w:lang w:val="en-US"/>
        </w:rPr>
      </w:pPr>
    </w:p>
    <w:p w14:paraId="641EC1BB" w14:textId="1BB5484C" w:rsidR="00E937AC" w:rsidRPr="00826725" w:rsidRDefault="00E937AC" w:rsidP="00E937AC">
      <w:pPr>
        <w:autoSpaceDE w:val="0"/>
        <w:autoSpaceDN w:val="0"/>
        <w:adjustRightInd w:val="0"/>
        <w:jc w:val="both"/>
        <w:rPr>
          <w:rFonts w:ascii="Arial" w:hAnsi="Arial" w:cs="Arial"/>
          <w:sz w:val="20"/>
          <w:szCs w:val="20"/>
          <w:lang w:val="en-US"/>
        </w:rPr>
      </w:pPr>
      <w:r>
        <w:rPr>
          <w:rFonts w:ascii="Arial" w:hAnsi="Arial" w:cs="Arial"/>
          <w:sz w:val="20"/>
          <w:szCs w:val="20"/>
          <w:lang w:val="en-US"/>
        </w:rPr>
        <w:t>By analyzing the data p</w:t>
      </w:r>
      <w:r w:rsidRPr="00826725">
        <w:rPr>
          <w:rFonts w:ascii="Arial" w:hAnsi="Arial" w:cs="Arial"/>
          <w:sz w:val="20"/>
          <w:szCs w:val="20"/>
          <w:lang w:val="en-US"/>
        </w:rPr>
        <w:t xml:space="preserve">rovided in Table 2 and the </w:t>
      </w:r>
      <w:proofErr w:type="spellStart"/>
      <w:r w:rsidRPr="00826725">
        <w:rPr>
          <w:rFonts w:ascii="Arial" w:hAnsi="Arial" w:cs="Arial"/>
          <w:sz w:val="20"/>
          <w:szCs w:val="20"/>
          <w:lang w:val="en-US"/>
        </w:rPr>
        <w:t>Levene's</w:t>
      </w:r>
      <w:proofErr w:type="spellEnd"/>
      <w:r w:rsidRPr="00826725">
        <w:rPr>
          <w:rFonts w:ascii="Arial" w:hAnsi="Arial" w:cs="Arial"/>
          <w:sz w:val="20"/>
          <w:szCs w:val="20"/>
          <w:lang w:val="en-US"/>
        </w:rPr>
        <w:t xml:space="preserve"> Test section (values in the significance column “Sig.”) for testing the homogeneity of variance for each observed internal marketing dimension for the two groups (employees and managers), it is possible to determine that the values in the "Sig." column for all the observed dimensions, except for the attitude towards the first dimension (D1 - familiarity with the bank’s vision), are greater than 0.05. Therefore, we conclude that for the other three observed internal marketing dimensions, the assumption of equal variances (variability) of attitudes can be accepted for both groups of the respondents (employees and managers). For dimension D1, there is a difference in the variability of the average ratings of attitudes between employees and management.</w:t>
      </w:r>
    </w:p>
    <w:p w14:paraId="4C204FBA" w14:textId="33D6FD66" w:rsidR="00E937AC" w:rsidRDefault="00E937AC" w:rsidP="00E937AC">
      <w:pPr>
        <w:autoSpaceDE w:val="0"/>
        <w:autoSpaceDN w:val="0"/>
        <w:adjustRightInd w:val="0"/>
        <w:jc w:val="both"/>
        <w:rPr>
          <w:rFonts w:ascii="Arial" w:hAnsi="Arial" w:cs="Arial"/>
          <w:sz w:val="20"/>
          <w:szCs w:val="20"/>
          <w:lang w:val="en-US"/>
        </w:rPr>
      </w:pPr>
    </w:p>
    <w:p w14:paraId="59C400BA" w14:textId="508E4A06" w:rsidR="00E937AC" w:rsidRDefault="00E937AC" w:rsidP="00E937AC">
      <w:pPr>
        <w:autoSpaceDE w:val="0"/>
        <w:autoSpaceDN w:val="0"/>
        <w:adjustRightInd w:val="0"/>
        <w:jc w:val="both"/>
        <w:rPr>
          <w:rFonts w:ascii="Arial" w:hAnsi="Arial" w:cs="Arial"/>
          <w:sz w:val="20"/>
          <w:szCs w:val="20"/>
          <w:lang w:val="en-US"/>
        </w:rPr>
      </w:pPr>
    </w:p>
    <w:p w14:paraId="7DBAA8E9" w14:textId="6D693906" w:rsidR="00E937AC" w:rsidRDefault="00E937AC" w:rsidP="00E937AC">
      <w:pPr>
        <w:autoSpaceDE w:val="0"/>
        <w:autoSpaceDN w:val="0"/>
        <w:adjustRightInd w:val="0"/>
        <w:jc w:val="both"/>
        <w:rPr>
          <w:rFonts w:ascii="Arial" w:hAnsi="Arial" w:cs="Arial"/>
          <w:sz w:val="20"/>
          <w:szCs w:val="20"/>
          <w:lang w:val="en-US"/>
        </w:rPr>
      </w:pPr>
    </w:p>
    <w:p w14:paraId="51B1569C" w14:textId="6DC38DCF" w:rsidR="00E937AC" w:rsidRPr="00E937AC" w:rsidRDefault="00E937AC" w:rsidP="00E937AC">
      <w:pPr>
        <w:autoSpaceDE w:val="0"/>
        <w:autoSpaceDN w:val="0"/>
        <w:adjustRightInd w:val="0"/>
        <w:jc w:val="both"/>
        <w:rPr>
          <w:rFonts w:ascii="Arial" w:hAnsi="Arial" w:cs="Arial"/>
          <w:sz w:val="20"/>
          <w:szCs w:val="20"/>
          <w:lang w:val="en-US"/>
        </w:rPr>
        <w:sectPr w:rsidR="00E937AC" w:rsidRPr="00E937A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1BCBD9E5" w14:textId="77777777" w:rsidR="00A16F9E" w:rsidRPr="00826725" w:rsidRDefault="000A78D1" w:rsidP="00E937AC">
      <w:pPr>
        <w:pStyle w:val="NormalWeb"/>
        <w:jc w:val="center"/>
        <w:rPr>
          <w:rFonts w:ascii="Arial" w:hAnsi="Arial" w:cs="Arial"/>
          <w:b/>
          <w:sz w:val="20"/>
          <w:szCs w:val="20"/>
        </w:rPr>
      </w:pPr>
      <w:r w:rsidRPr="00826725">
        <w:rPr>
          <w:rFonts w:ascii="Arial" w:hAnsi="Arial" w:cs="Arial"/>
          <w:b/>
          <w:sz w:val="20"/>
          <w:szCs w:val="20"/>
        </w:rPr>
        <w:t>Tab</w:t>
      </w:r>
      <w:r w:rsidR="00435F26" w:rsidRPr="00826725">
        <w:rPr>
          <w:rFonts w:ascii="Arial" w:hAnsi="Arial" w:cs="Arial"/>
          <w:b/>
          <w:sz w:val="20"/>
          <w:szCs w:val="20"/>
        </w:rPr>
        <w:t>le</w:t>
      </w:r>
      <w:r w:rsidRPr="00826725">
        <w:rPr>
          <w:rFonts w:ascii="Arial" w:hAnsi="Arial" w:cs="Arial"/>
          <w:b/>
          <w:sz w:val="20"/>
          <w:szCs w:val="20"/>
        </w:rPr>
        <w:t xml:space="preserve"> 2</w:t>
      </w:r>
      <w:r w:rsidR="00AF1E00" w:rsidRPr="00826725">
        <w:rPr>
          <w:rFonts w:ascii="Arial" w:hAnsi="Arial" w:cs="Arial"/>
          <w:b/>
          <w:sz w:val="20"/>
          <w:szCs w:val="20"/>
        </w:rPr>
        <w:t xml:space="preserve">. </w:t>
      </w:r>
      <w:r w:rsidR="00435F26" w:rsidRPr="00826725">
        <w:rPr>
          <w:rFonts w:ascii="Arial" w:hAnsi="Arial" w:cs="Arial"/>
          <w:b/>
          <w:sz w:val="20"/>
          <w:szCs w:val="20"/>
        </w:rPr>
        <w:t>The independent samples t-test of attitudes between employees and management regarding the presence of the observed internal marketing</w:t>
      </w:r>
      <w:r w:rsidR="00432890">
        <w:rPr>
          <w:rFonts w:ascii="Arial" w:hAnsi="Arial" w:cs="Arial"/>
          <w:b/>
          <w:sz w:val="20"/>
          <w:szCs w:val="20"/>
        </w:rPr>
        <w:t xml:space="preserve"> dimensions in the banks in </w:t>
      </w:r>
      <w:proofErr w:type="spellStart"/>
      <w:r w:rsidR="00432890">
        <w:rPr>
          <w:rFonts w:ascii="Arial" w:hAnsi="Arial" w:cs="Arial"/>
          <w:b/>
          <w:sz w:val="20"/>
          <w:szCs w:val="20"/>
        </w:rPr>
        <w:t>BiH</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8"/>
        <w:gridCol w:w="1816"/>
        <w:gridCol w:w="1113"/>
        <w:gridCol w:w="893"/>
        <w:gridCol w:w="1113"/>
        <w:gridCol w:w="1551"/>
        <w:gridCol w:w="1199"/>
        <w:gridCol w:w="703"/>
      </w:tblGrid>
      <w:tr w:rsidR="00AF1E00" w:rsidRPr="00826725" w14:paraId="2FDA623E" w14:textId="77777777" w:rsidTr="000B54BB">
        <w:trPr>
          <w:cantSplit/>
          <w:trHeight w:val="320"/>
          <w:tblHeader/>
          <w:jc w:val="center"/>
        </w:trPr>
        <w:tc>
          <w:tcPr>
            <w:tcW w:w="5000" w:type="pct"/>
            <w:gridSpan w:val="8"/>
            <w:shd w:val="clear" w:color="auto" w:fill="808080" w:themeFill="background1" w:themeFillShade="80"/>
            <w:tcMar>
              <w:top w:w="30" w:type="dxa"/>
              <w:left w:w="30" w:type="dxa"/>
              <w:bottom w:w="30" w:type="dxa"/>
              <w:right w:w="30" w:type="dxa"/>
            </w:tcMar>
            <w:vAlign w:val="center"/>
          </w:tcPr>
          <w:p w14:paraId="7791CFB6" w14:textId="72839537" w:rsidR="00AF1E00" w:rsidRPr="00826725" w:rsidRDefault="00432890" w:rsidP="007341DB">
            <w:pPr>
              <w:autoSpaceDE w:val="0"/>
              <w:autoSpaceDN w:val="0"/>
              <w:adjustRightInd w:val="0"/>
              <w:spacing w:line="276" w:lineRule="auto"/>
              <w:jc w:val="center"/>
              <w:rPr>
                <w:rFonts w:ascii="Arial" w:hAnsi="Arial" w:cs="Arial"/>
                <w:color w:val="000000"/>
                <w:sz w:val="20"/>
                <w:szCs w:val="20"/>
                <w:lang w:val="en-US"/>
              </w:rPr>
            </w:pPr>
            <w:r>
              <w:rPr>
                <w:rFonts w:ascii="Arial" w:hAnsi="Arial" w:cs="Arial"/>
                <w:color w:val="000000"/>
                <w:sz w:val="20"/>
                <w:szCs w:val="20"/>
                <w:lang w:val="en-US"/>
              </w:rPr>
              <w:lastRenderedPageBreak/>
              <w:t xml:space="preserve">The </w:t>
            </w:r>
            <w:r w:rsidR="00435F26" w:rsidRPr="00826725">
              <w:rPr>
                <w:rFonts w:ascii="Arial" w:hAnsi="Arial" w:cs="Arial"/>
                <w:color w:val="000000"/>
                <w:sz w:val="20"/>
                <w:szCs w:val="20"/>
                <w:lang w:val="en-US"/>
              </w:rPr>
              <w:t>independent samples t-</w:t>
            </w:r>
            <w:r w:rsidR="007341DB" w:rsidRPr="00826725">
              <w:rPr>
                <w:rFonts w:ascii="Arial" w:hAnsi="Arial" w:cs="Arial"/>
                <w:color w:val="000000"/>
                <w:sz w:val="20"/>
                <w:szCs w:val="20"/>
                <w:lang w:val="en-US"/>
              </w:rPr>
              <w:t xml:space="preserve">test </w:t>
            </w:r>
            <w:r w:rsidR="00435F26" w:rsidRPr="00826725">
              <w:rPr>
                <w:rFonts w:ascii="Arial" w:hAnsi="Arial" w:cs="Arial"/>
                <w:color w:val="000000"/>
                <w:sz w:val="20"/>
                <w:szCs w:val="20"/>
                <w:lang w:val="en-US"/>
              </w:rPr>
              <w:t xml:space="preserve"> </w:t>
            </w:r>
          </w:p>
        </w:tc>
      </w:tr>
      <w:tr w:rsidR="00FB4057" w:rsidRPr="00826725" w14:paraId="4F0AD61A" w14:textId="77777777" w:rsidTr="000B54BB">
        <w:tblPrEx>
          <w:jc w:val="left"/>
        </w:tblPrEx>
        <w:trPr>
          <w:cantSplit/>
          <w:trHeight w:val="554"/>
          <w:tblHeader/>
        </w:trPr>
        <w:tc>
          <w:tcPr>
            <w:tcW w:w="1356" w:type="pct"/>
            <w:gridSpan w:val="2"/>
            <w:vMerge w:val="restart"/>
            <w:shd w:val="clear" w:color="auto" w:fill="FFFFFF"/>
            <w:tcMar>
              <w:top w:w="30" w:type="dxa"/>
              <w:left w:w="30" w:type="dxa"/>
              <w:bottom w:w="30" w:type="dxa"/>
              <w:right w:w="30" w:type="dxa"/>
            </w:tcMar>
            <w:vAlign w:val="center"/>
          </w:tcPr>
          <w:p w14:paraId="2568D1CE" w14:textId="12956EFC" w:rsidR="00FB4057" w:rsidRPr="00826725" w:rsidRDefault="00435F26" w:rsidP="00FF76BF">
            <w:pPr>
              <w:autoSpaceDE w:val="0"/>
              <w:autoSpaceDN w:val="0"/>
              <w:adjustRightInd w:val="0"/>
              <w:spacing w:line="276" w:lineRule="auto"/>
              <w:jc w:val="center"/>
              <w:rPr>
                <w:rFonts w:ascii="Arial" w:hAnsi="Arial" w:cs="Arial"/>
                <w:sz w:val="20"/>
                <w:szCs w:val="20"/>
                <w:lang w:val="en-US"/>
              </w:rPr>
            </w:pPr>
            <w:r w:rsidRPr="00826725">
              <w:rPr>
                <w:rFonts w:ascii="Arial" w:hAnsi="Arial" w:cs="Arial"/>
                <w:sz w:val="20"/>
                <w:szCs w:val="20"/>
                <w:lang w:val="en-US"/>
              </w:rPr>
              <w:t>The reward system elements</w:t>
            </w:r>
          </w:p>
        </w:tc>
        <w:tc>
          <w:tcPr>
            <w:tcW w:w="1112" w:type="pct"/>
            <w:gridSpan w:val="2"/>
            <w:shd w:val="clear" w:color="auto" w:fill="D9D9D9" w:themeFill="background1" w:themeFillShade="D9"/>
            <w:tcMar>
              <w:top w:w="30" w:type="dxa"/>
              <w:left w:w="30" w:type="dxa"/>
              <w:bottom w:w="30" w:type="dxa"/>
              <w:right w:w="30" w:type="dxa"/>
            </w:tcMar>
            <w:vAlign w:val="center"/>
          </w:tcPr>
          <w:p w14:paraId="414595A4" w14:textId="77777777" w:rsidR="00FB4057" w:rsidRPr="00826725" w:rsidRDefault="00FB4057" w:rsidP="00FF76BF">
            <w:pPr>
              <w:autoSpaceDE w:val="0"/>
              <w:autoSpaceDN w:val="0"/>
              <w:adjustRightInd w:val="0"/>
              <w:spacing w:line="276" w:lineRule="auto"/>
              <w:jc w:val="center"/>
              <w:rPr>
                <w:rFonts w:ascii="Arial" w:hAnsi="Arial" w:cs="Arial"/>
                <w:color w:val="000000"/>
                <w:sz w:val="20"/>
                <w:szCs w:val="20"/>
                <w:lang w:val="en-US"/>
              </w:rPr>
            </w:pPr>
            <w:proofErr w:type="spellStart"/>
            <w:r w:rsidRPr="00826725">
              <w:rPr>
                <w:rFonts w:ascii="Arial" w:hAnsi="Arial" w:cs="Arial"/>
                <w:color w:val="000000"/>
                <w:sz w:val="20"/>
                <w:szCs w:val="20"/>
                <w:lang w:val="en-US"/>
              </w:rPr>
              <w:t>Levene's</w:t>
            </w:r>
            <w:proofErr w:type="spellEnd"/>
            <w:r w:rsidRPr="00826725">
              <w:rPr>
                <w:rFonts w:ascii="Arial" w:hAnsi="Arial" w:cs="Arial"/>
                <w:color w:val="000000"/>
                <w:sz w:val="20"/>
                <w:szCs w:val="20"/>
                <w:lang w:val="en-US"/>
              </w:rPr>
              <w:t xml:space="preserve"> Test for Equality of Variances</w:t>
            </w:r>
          </w:p>
        </w:tc>
        <w:tc>
          <w:tcPr>
            <w:tcW w:w="2531" w:type="pct"/>
            <w:gridSpan w:val="4"/>
            <w:shd w:val="clear" w:color="auto" w:fill="D9D9D9" w:themeFill="background1" w:themeFillShade="D9"/>
            <w:tcMar>
              <w:top w:w="30" w:type="dxa"/>
              <w:left w:w="30" w:type="dxa"/>
              <w:bottom w:w="30" w:type="dxa"/>
              <w:right w:w="30" w:type="dxa"/>
            </w:tcMar>
            <w:vAlign w:val="center"/>
          </w:tcPr>
          <w:p w14:paraId="258A8B32" w14:textId="77777777" w:rsidR="00FB4057" w:rsidRPr="00826725" w:rsidRDefault="00FB4057"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t-test for Equality of Means</w:t>
            </w:r>
          </w:p>
        </w:tc>
      </w:tr>
      <w:tr w:rsidR="00AF1E00" w:rsidRPr="00826725" w14:paraId="5C0A9BE0" w14:textId="77777777" w:rsidTr="000B54BB">
        <w:tblPrEx>
          <w:jc w:val="left"/>
        </w:tblPrEx>
        <w:trPr>
          <w:cantSplit/>
          <w:tblHeader/>
        </w:trPr>
        <w:tc>
          <w:tcPr>
            <w:tcW w:w="1356" w:type="pct"/>
            <w:gridSpan w:val="2"/>
            <w:vMerge/>
            <w:tcBorders>
              <w:bottom w:val="single" w:sz="4" w:space="0" w:color="auto"/>
            </w:tcBorders>
            <w:shd w:val="clear" w:color="auto" w:fill="FFFFFF"/>
            <w:tcMar>
              <w:top w:w="30" w:type="dxa"/>
              <w:left w:w="30" w:type="dxa"/>
              <w:bottom w:w="30" w:type="dxa"/>
              <w:right w:w="30" w:type="dxa"/>
            </w:tcMar>
            <w:vAlign w:val="center"/>
          </w:tcPr>
          <w:p w14:paraId="4BAF1134" w14:textId="77777777" w:rsidR="00AF1E00" w:rsidRPr="00826725" w:rsidRDefault="00AF1E00" w:rsidP="00FF76BF">
            <w:pPr>
              <w:autoSpaceDE w:val="0"/>
              <w:autoSpaceDN w:val="0"/>
              <w:adjustRightInd w:val="0"/>
              <w:spacing w:line="276" w:lineRule="auto"/>
              <w:jc w:val="center"/>
              <w:rPr>
                <w:rFonts w:ascii="Arial" w:hAnsi="Arial" w:cs="Arial"/>
                <w:sz w:val="20"/>
                <w:szCs w:val="20"/>
                <w:lang w:val="en-US"/>
              </w:rPr>
            </w:pPr>
          </w:p>
        </w:tc>
        <w:tc>
          <w:tcPr>
            <w:tcW w:w="617"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1633C645"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F</w:t>
            </w:r>
          </w:p>
        </w:tc>
        <w:tc>
          <w:tcPr>
            <w:tcW w:w="495"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5B49F864"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Sig.</w:t>
            </w:r>
          </w:p>
        </w:tc>
        <w:tc>
          <w:tcPr>
            <w:tcW w:w="617"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3FCAFE6D"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t</w:t>
            </w:r>
          </w:p>
        </w:tc>
        <w:tc>
          <w:tcPr>
            <w:tcW w:w="860"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698F7D3A"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df</w:t>
            </w:r>
          </w:p>
        </w:tc>
        <w:tc>
          <w:tcPr>
            <w:tcW w:w="665"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40C40DE9"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Sig. (2-tailed)</w:t>
            </w:r>
          </w:p>
        </w:tc>
        <w:tc>
          <w:tcPr>
            <w:tcW w:w="389"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09BDB10B" w14:textId="77777777" w:rsidR="00FB4057" w:rsidRPr="00826725" w:rsidRDefault="00FB4057" w:rsidP="00FB4057">
            <w:pPr>
              <w:autoSpaceDE w:val="0"/>
              <w:autoSpaceDN w:val="0"/>
              <w:adjustRightInd w:val="0"/>
              <w:spacing w:line="276" w:lineRule="auto"/>
              <w:jc w:val="center"/>
              <w:rPr>
                <w:rFonts w:ascii="Arial" w:hAnsi="Arial" w:cs="Arial"/>
                <w:i/>
                <w:iCs/>
                <w:color w:val="000000"/>
                <w:sz w:val="20"/>
                <w:szCs w:val="20"/>
                <w:vertAlign w:val="subscript"/>
                <w:lang w:val="en-US"/>
              </w:rPr>
            </w:pP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z</w:t>
            </w:r>
            <w:proofErr w:type="spellEnd"/>
            <w:r w:rsidRPr="00826725">
              <w:rPr>
                <w:rFonts w:ascii="Arial" w:hAnsi="Arial" w:cs="Arial"/>
                <w:i/>
                <w:iCs/>
                <w:color w:val="000000"/>
                <w:sz w:val="20"/>
                <w:szCs w:val="20"/>
                <w:lang w:val="en-US"/>
              </w:rPr>
              <w:t xml:space="preserve">= </w:t>
            </w: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m</w:t>
            </w:r>
            <w:proofErr w:type="spellEnd"/>
            <w:r w:rsidRPr="00826725">
              <w:rPr>
                <w:rFonts w:ascii="Arial" w:hAnsi="Arial" w:cs="Arial"/>
                <w:i/>
                <w:iCs/>
                <w:color w:val="000000"/>
                <w:sz w:val="20"/>
                <w:szCs w:val="20"/>
                <w:vertAlign w:val="subscript"/>
                <w:lang w:val="en-US"/>
              </w:rPr>
              <w:t xml:space="preserve"> </w:t>
            </w:r>
          </w:p>
          <w:p w14:paraId="33BE8C21" w14:textId="04C16148" w:rsidR="00FB4057" w:rsidRPr="00826725" w:rsidRDefault="00FB4057" w:rsidP="00FB4057">
            <w:pPr>
              <w:autoSpaceDE w:val="0"/>
              <w:autoSpaceDN w:val="0"/>
              <w:adjustRightInd w:val="0"/>
              <w:spacing w:line="276" w:lineRule="auto"/>
              <w:jc w:val="center"/>
              <w:rPr>
                <w:rFonts w:ascii="Arial" w:hAnsi="Arial" w:cs="Arial"/>
                <w:i/>
                <w:iCs/>
                <w:color w:val="000000"/>
                <w:sz w:val="20"/>
                <w:szCs w:val="20"/>
                <w:vertAlign w:val="subscript"/>
                <w:lang w:val="en-US"/>
              </w:rPr>
            </w:pPr>
            <w:proofErr w:type="spellStart"/>
            <w:r w:rsidRPr="00826725">
              <w:rPr>
                <w:rFonts w:ascii="Arial" w:hAnsi="Arial" w:cs="Arial"/>
                <w:i/>
                <w:iCs/>
                <w:color w:val="000000"/>
                <w:sz w:val="20"/>
                <w:szCs w:val="20"/>
                <w:lang w:val="en-US"/>
              </w:rPr>
              <w:t>ili</w:t>
            </w:r>
            <w:proofErr w:type="spellEnd"/>
          </w:p>
          <w:p w14:paraId="3C567671" w14:textId="3012AA3A" w:rsidR="00AF1E00" w:rsidRPr="00826725" w:rsidRDefault="00FB4057" w:rsidP="00FB4057">
            <w:pPr>
              <w:autoSpaceDE w:val="0"/>
              <w:autoSpaceDN w:val="0"/>
              <w:adjustRightInd w:val="0"/>
              <w:spacing w:line="276" w:lineRule="auto"/>
              <w:jc w:val="center"/>
              <w:rPr>
                <w:rFonts w:ascii="Arial" w:hAnsi="Arial" w:cs="Arial"/>
                <w:color w:val="000000"/>
                <w:sz w:val="20"/>
                <w:szCs w:val="20"/>
                <w:lang w:val="en-US"/>
              </w:rPr>
            </w:pP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z</w:t>
            </w:r>
            <w:proofErr w:type="spellEnd"/>
            <w:r w:rsidRPr="00826725">
              <w:rPr>
                <w:rFonts w:ascii="Arial" w:hAnsi="Arial" w:cs="Arial"/>
                <w:i/>
                <w:iCs/>
                <w:color w:val="000000"/>
                <w:sz w:val="20"/>
                <w:szCs w:val="20"/>
                <w:lang w:val="en-US"/>
              </w:rPr>
              <w:t xml:space="preserve">≠ </w:t>
            </w: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m</w:t>
            </w:r>
            <w:proofErr w:type="spellEnd"/>
          </w:p>
        </w:tc>
      </w:tr>
      <w:tr w:rsidR="00C90B08" w:rsidRPr="00826725" w14:paraId="794B1851" w14:textId="77777777" w:rsidTr="000B54BB">
        <w:tblPrEx>
          <w:jc w:val="left"/>
        </w:tblPrEx>
        <w:trPr>
          <w:cantSplit/>
          <w:tblHeader/>
        </w:trPr>
        <w:tc>
          <w:tcPr>
            <w:tcW w:w="349" w:type="pct"/>
            <w:vMerge w:val="restart"/>
            <w:tcBorders>
              <w:bottom w:val="nil"/>
            </w:tcBorders>
            <w:shd w:val="clear" w:color="auto" w:fill="FFFFFF"/>
            <w:tcMar>
              <w:top w:w="30" w:type="dxa"/>
              <w:left w:w="30" w:type="dxa"/>
              <w:bottom w:w="30" w:type="dxa"/>
              <w:right w:w="30" w:type="dxa"/>
            </w:tcMar>
            <w:vAlign w:val="center"/>
          </w:tcPr>
          <w:p w14:paraId="1E0ABD83" w14:textId="4A143D3B" w:rsidR="00AF1E00" w:rsidRPr="00826725" w:rsidRDefault="00BC22D8"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D</w:t>
            </w:r>
            <w:r w:rsidR="00AF1E00" w:rsidRPr="00826725">
              <w:rPr>
                <w:rFonts w:ascii="Arial" w:hAnsi="Arial" w:cs="Arial"/>
                <w:color w:val="000000"/>
                <w:sz w:val="20"/>
                <w:szCs w:val="20"/>
                <w:lang w:val="en-US"/>
              </w:rPr>
              <w:t>1</w:t>
            </w:r>
          </w:p>
        </w:tc>
        <w:tc>
          <w:tcPr>
            <w:tcW w:w="1007" w:type="pct"/>
            <w:tcBorders>
              <w:bottom w:val="nil"/>
            </w:tcBorders>
            <w:shd w:val="clear" w:color="auto" w:fill="FFFFFF"/>
            <w:tcMar>
              <w:top w:w="30" w:type="dxa"/>
              <w:left w:w="30" w:type="dxa"/>
              <w:bottom w:w="30" w:type="dxa"/>
              <w:right w:w="30" w:type="dxa"/>
            </w:tcMar>
            <w:vAlign w:val="center"/>
          </w:tcPr>
          <w:p w14:paraId="1D151BF7" w14:textId="77777777" w:rsidR="00AF1E00" w:rsidRPr="00826725" w:rsidRDefault="00AF1E00" w:rsidP="00ED1B5F">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Equal variances assumed</w:t>
            </w:r>
          </w:p>
        </w:tc>
        <w:tc>
          <w:tcPr>
            <w:tcW w:w="617" w:type="pct"/>
            <w:tcBorders>
              <w:bottom w:val="nil"/>
            </w:tcBorders>
            <w:shd w:val="clear" w:color="auto" w:fill="FFFFFF"/>
            <w:tcMar>
              <w:top w:w="30" w:type="dxa"/>
              <w:left w:w="30" w:type="dxa"/>
              <w:bottom w:w="30" w:type="dxa"/>
              <w:right w:w="30" w:type="dxa"/>
            </w:tcMar>
            <w:vAlign w:val="center"/>
          </w:tcPr>
          <w:p w14:paraId="4DDE903F" w14:textId="11FA889E" w:rsidR="00AF1E00" w:rsidRPr="00826725" w:rsidRDefault="00BF3F0D"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3.</w:t>
            </w:r>
            <w:r w:rsidR="00BC22D8" w:rsidRPr="00826725">
              <w:rPr>
                <w:rFonts w:ascii="Arial" w:hAnsi="Arial" w:cs="Arial"/>
                <w:color w:val="000000"/>
                <w:sz w:val="20"/>
                <w:szCs w:val="20"/>
                <w:lang w:val="en-US"/>
              </w:rPr>
              <w:t>956</w:t>
            </w:r>
          </w:p>
        </w:tc>
        <w:tc>
          <w:tcPr>
            <w:tcW w:w="495" w:type="pct"/>
            <w:tcBorders>
              <w:bottom w:val="nil"/>
            </w:tcBorders>
            <w:shd w:val="clear" w:color="auto" w:fill="F7CAAC" w:themeFill="accent2" w:themeFillTint="66"/>
            <w:tcMar>
              <w:top w:w="30" w:type="dxa"/>
              <w:left w:w="30" w:type="dxa"/>
              <w:bottom w:w="30" w:type="dxa"/>
              <w:right w:w="30" w:type="dxa"/>
            </w:tcMar>
            <w:vAlign w:val="center"/>
          </w:tcPr>
          <w:p w14:paraId="6E509F98" w14:textId="6A3FE4DB" w:rsidR="00AF1E00" w:rsidRPr="00826725" w:rsidRDefault="00BF3F0D"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AF1E00" w:rsidRPr="00826725">
              <w:rPr>
                <w:rFonts w:ascii="Arial" w:hAnsi="Arial" w:cs="Arial"/>
                <w:color w:val="000000"/>
                <w:sz w:val="20"/>
                <w:szCs w:val="20"/>
                <w:lang w:val="en-US"/>
              </w:rPr>
              <w:t>048</w:t>
            </w:r>
          </w:p>
        </w:tc>
        <w:tc>
          <w:tcPr>
            <w:tcW w:w="617" w:type="pct"/>
            <w:tcBorders>
              <w:bottom w:val="nil"/>
            </w:tcBorders>
            <w:shd w:val="clear" w:color="auto" w:fill="FFFFFF"/>
            <w:tcMar>
              <w:top w:w="30" w:type="dxa"/>
              <w:left w:w="30" w:type="dxa"/>
              <w:bottom w:w="30" w:type="dxa"/>
              <w:right w:w="30" w:type="dxa"/>
            </w:tcMar>
            <w:vAlign w:val="center"/>
          </w:tcPr>
          <w:p w14:paraId="26077AD6" w14:textId="65DEB86A" w:rsidR="00AF1E00" w:rsidRPr="00826725" w:rsidRDefault="00BF3F0D"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-2.</w:t>
            </w:r>
            <w:r w:rsidR="00BC22D8" w:rsidRPr="00826725">
              <w:rPr>
                <w:rFonts w:ascii="Arial" w:hAnsi="Arial" w:cs="Arial"/>
                <w:color w:val="000000"/>
                <w:sz w:val="20"/>
                <w:szCs w:val="20"/>
                <w:lang w:val="en-US"/>
              </w:rPr>
              <w:t>476</w:t>
            </w:r>
          </w:p>
        </w:tc>
        <w:tc>
          <w:tcPr>
            <w:tcW w:w="860" w:type="pct"/>
            <w:tcBorders>
              <w:bottom w:val="nil"/>
            </w:tcBorders>
            <w:shd w:val="clear" w:color="auto" w:fill="FFFFFF"/>
            <w:tcMar>
              <w:top w:w="30" w:type="dxa"/>
              <w:left w:w="30" w:type="dxa"/>
              <w:bottom w:w="30" w:type="dxa"/>
              <w:right w:w="30" w:type="dxa"/>
            </w:tcMar>
            <w:vAlign w:val="center"/>
          </w:tcPr>
          <w:p w14:paraId="08003DE2"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180</w:t>
            </w:r>
          </w:p>
        </w:tc>
        <w:tc>
          <w:tcPr>
            <w:tcW w:w="665" w:type="pct"/>
            <w:tcBorders>
              <w:bottom w:val="nil"/>
            </w:tcBorders>
            <w:shd w:val="clear" w:color="auto" w:fill="FFFFFF"/>
            <w:tcMar>
              <w:top w:w="30" w:type="dxa"/>
              <w:left w:w="30" w:type="dxa"/>
              <w:bottom w:w="30" w:type="dxa"/>
              <w:right w:w="30" w:type="dxa"/>
            </w:tcMar>
            <w:vAlign w:val="center"/>
          </w:tcPr>
          <w:p w14:paraId="0C52CE49" w14:textId="1750C14F" w:rsidR="00AF1E00" w:rsidRPr="00826725" w:rsidRDefault="00BF3F0D"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BC0CE3" w:rsidRPr="00826725">
              <w:rPr>
                <w:rFonts w:ascii="Arial" w:hAnsi="Arial" w:cs="Arial"/>
                <w:color w:val="000000"/>
                <w:sz w:val="20"/>
                <w:szCs w:val="20"/>
                <w:lang w:val="en-US"/>
              </w:rPr>
              <w:t>014</w:t>
            </w:r>
          </w:p>
        </w:tc>
        <w:tc>
          <w:tcPr>
            <w:tcW w:w="389" w:type="pct"/>
            <w:tcBorders>
              <w:bottom w:val="nil"/>
            </w:tcBorders>
            <w:shd w:val="clear" w:color="auto" w:fill="FFFFFF"/>
            <w:tcMar>
              <w:top w:w="30" w:type="dxa"/>
              <w:left w:w="30" w:type="dxa"/>
              <w:bottom w:w="30" w:type="dxa"/>
              <w:right w:w="30" w:type="dxa"/>
            </w:tcMar>
            <w:vAlign w:val="center"/>
          </w:tcPr>
          <w:p w14:paraId="5FC08F6C"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
        </w:tc>
      </w:tr>
      <w:tr w:rsidR="00C90B08" w:rsidRPr="00826725" w14:paraId="28A9F668"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50F0E5D1"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44AD6FA6" w14:textId="77777777" w:rsidR="00AF1E00" w:rsidRPr="00826725" w:rsidRDefault="00AF1E00" w:rsidP="00ED1B5F">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CA0FC49" w14:textId="77777777" w:rsidR="00AF1E00" w:rsidRPr="00826725" w:rsidRDefault="00AF1E00" w:rsidP="00FF76BF">
            <w:pPr>
              <w:autoSpaceDE w:val="0"/>
              <w:autoSpaceDN w:val="0"/>
              <w:adjustRightInd w:val="0"/>
              <w:spacing w:line="276" w:lineRule="auto"/>
              <w:jc w:val="center"/>
              <w:rPr>
                <w:rFonts w:ascii="Arial" w:hAnsi="Arial" w:cs="Arial"/>
                <w:sz w:val="20"/>
                <w:szCs w:val="20"/>
                <w:lang w:val="en-US"/>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56FB5336" w14:textId="77777777" w:rsidR="00AF1E00" w:rsidRPr="00826725" w:rsidRDefault="00AF1E00" w:rsidP="00FF76BF">
            <w:pPr>
              <w:autoSpaceDE w:val="0"/>
              <w:autoSpaceDN w:val="0"/>
              <w:adjustRightInd w:val="0"/>
              <w:spacing w:line="276" w:lineRule="auto"/>
              <w:jc w:val="center"/>
              <w:rPr>
                <w:rFonts w:ascii="Arial" w:hAnsi="Arial" w:cs="Arial"/>
                <w:sz w:val="20"/>
                <w:szCs w:val="20"/>
                <w:lang w:val="en-US"/>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02B41E88" w14:textId="054FB609" w:rsidR="00AF1E00" w:rsidRPr="00826725" w:rsidRDefault="00AF1E00"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BF3F0D" w:rsidRPr="00826725">
              <w:rPr>
                <w:rFonts w:ascii="Arial" w:hAnsi="Arial" w:cs="Arial"/>
                <w:color w:val="000000"/>
                <w:sz w:val="20"/>
                <w:szCs w:val="20"/>
                <w:lang w:val="en-US"/>
              </w:rPr>
              <w:t>2.</w:t>
            </w:r>
            <w:r w:rsidR="00BC22D8" w:rsidRPr="00826725">
              <w:rPr>
                <w:rFonts w:ascii="Arial" w:hAnsi="Arial" w:cs="Arial"/>
                <w:color w:val="000000"/>
                <w:sz w:val="20"/>
                <w:szCs w:val="20"/>
                <w:lang w:val="en-US"/>
              </w:rPr>
              <w:t>628</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5303E7B3" w14:textId="277A8C21" w:rsidR="00AF1E00" w:rsidRPr="00826725" w:rsidRDefault="00AF1E00"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w:t>
            </w:r>
            <w:r w:rsidR="00BC0CE3" w:rsidRPr="00826725">
              <w:rPr>
                <w:rFonts w:ascii="Arial" w:hAnsi="Arial" w:cs="Arial"/>
                <w:color w:val="000000"/>
                <w:sz w:val="20"/>
                <w:szCs w:val="20"/>
                <w:lang w:val="en-US"/>
              </w:rPr>
              <w:t>47</w:t>
            </w:r>
            <w:r w:rsidR="00726698" w:rsidRPr="00826725">
              <w:rPr>
                <w:rFonts w:ascii="Arial" w:hAnsi="Arial" w:cs="Arial"/>
                <w:color w:val="000000"/>
                <w:sz w:val="20"/>
                <w:szCs w:val="20"/>
                <w:lang w:val="en-US"/>
              </w:rPr>
              <w:t>,</w:t>
            </w:r>
            <w:r w:rsidR="00BC0CE3" w:rsidRPr="00826725">
              <w:rPr>
                <w:rFonts w:ascii="Arial" w:hAnsi="Arial" w:cs="Arial"/>
                <w:color w:val="000000"/>
                <w:sz w:val="20"/>
                <w:szCs w:val="20"/>
                <w:lang w:val="en-US"/>
              </w:rPr>
              <w:t>966</w:t>
            </w:r>
          </w:p>
        </w:tc>
        <w:tc>
          <w:tcPr>
            <w:tcW w:w="665" w:type="pct"/>
            <w:tcBorders>
              <w:top w:val="nil"/>
              <w:bottom w:val="single" w:sz="4" w:space="0" w:color="auto"/>
            </w:tcBorders>
            <w:shd w:val="clear" w:color="auto" w:fill="C5E0B3" w:themeFill="accent6" w:themeFillTint="66"/>
            <w:tcMar>
              <w:top w:w="30" w:type="dxa"/>
              <w:left w:w="30" w:type="dxa"/>
              <w:bottom w:w="30" w:type="dxa"/>
              <w:right w:w="30" w:type="dxa"/>
            </w:tcMar>
            <w:vAlign w:val="center"/>
          </w:tcPr>
          <w:p w14:paraId="57DCA2E2" w14:textId="3E1A4ECE" w:rsidR="00AF1E00" w:rsidRPr="00826725" w:rsidRDefault="00BF3F0D"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AF1E00" w:rsidRPr="00826725">
              <w:rPr>
                <w:rFonts w:ascii="Arial" w:hAnsi="Arial" w:cs="Arial"/>
                <w:color w:val="000000"/>
                <w:sz w:val="20"/>
                <w:szCs w:val="20"/>
                <w:lang w:val="en-US"/>
              </w:rPr>
              <w:t>00</w:t>
            </w:r>
            <w:r w:rsidR="00BC0CE3" w:rsidRPr="00826725">
              <w:rPr>
                <w:rFonts w:ascii="Arial" w:hAnsi="Arial" w:cs="Arial"/>
                <w:color w:val="000000"/>
                <w:sz w:val="20"/>
                <w:szCs w:val="20"/>
                <w:lang w:val="en-US"/>
              </w:rPr>
              <w:t>9</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6619550"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z</w:t>
            </w:r>
            <w:proofErr w:type="spellEnd"/>
            <w:r w:rsidRPr="00826725">
              <w:rPr>
                <w:rFonts w:ascii="Arial" w:hAnsi="Arial" w:cs="Arial"/>
                <w:i/>
                <w:iCs/>
                <w:color w:val="000000"/>
                <w:sz w:val="20"/>
                <w:szCs w:val="20"/>
                <w:lang w:val="en-US"/>
              </w:rPr>
              <w:t xml:space="preserve">≠ </w:t>
            </w: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m</w:t>
            </w:r>
            <w:proofErr w:type="spellEnd"/>
          </w:p>
        </w:tc>
      </w:tr>
      <w:tr w:rsidR="00C90B08" w:rsidRPr="00826725" w14:paraId="2A4E8EF6"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1B5EAD2E" w14:textId="117CE55B" w:rsidR="00AF1E00" w:rsidRPr="00826725" w:rsidRDefault="00BC22D8"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D</w:t>
            </w:r>
            <w:r w:rsidR="00AF1E00" w:rsidRPr="00826725">
              <w:rPr>
                <w:rFonts w:ascii="Arial" w:hAnsi="Arial" w:cs="Arial"/>
                <w:color w:val="000000"/>
                <w:sz w:val="20"/>
                <w:szCs w:val="20"/>
                <w:lang w:val="en-US"/>
              </w:rPr>
              <w:t>2</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1A26766F" w14:textId="77777777" w:rsidR="00AF1E00" w:rsidRPr="00826725" w:rsidRDefault="00AF1E00" w:rsidP="00ED1B5F">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509A470E" w14:textId="4AD4A8A3" w:rsidR="00AF1E00" w:rsidRPr="00826725" w:rsidRDefault="00BF3F0D"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0.</w:t>
            </w:r>
            <w:r w:rsidR="00BC22D8" w:rsidRPr="00826725">
              <w:rPr>
                <w:rFonts w:ascii="Arial" w:hAnsi="Arial" w:cs="Arial"/>
                <w:color w:val="000000"/>
                <w:sz w:val="20"/>
                <w:szCs w:val="20"/>
                <w:lang w:val="en-US"/>
              </w:rPr>
              <w:t>451</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49A4CFE8" w14:textId="2ED0079A" w:rsidR="00AF1E00" w:rsidRPr="00826725" w:rsidRDefault="00BF3F0D"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BC22D8" w:rsidRPr="00826725">
              <w:rPr>
                <w:rFonts w:ascii="Arial" w:hAnsi="Arial" w:cs="Arial"/>
                <w:color w:val="000000"/>
                <w:sz w:val="20"/>
                <w:szCs w:val="20"/>
                <w:lang w:val="en-US"/>
              </w:rPr>
              <w:t>503</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52C8DFBB" w14:textId="2E7A1B26" w:rsidR="00AF1E00" w:rsidRPr="00826725" w:rsidRDefault="00BF3F0D"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-2.</w:t>
            </w:r>
            <w:r w:rsidR="00BC22D8" w:rsidRPr="00826725">
              <w:rPr>
                <w:rFonts w:ascii="Arial" w:hAnsi="Arial" w:cs="Arial"/>
                <w:color w:val="000000"/>
                <w:sz w:val="20"/>
                <w:szCs w:val="20"/>
                <w:lang w:val="en-US"/>
              </w:rPr>
              <w:t>789</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7F3BEAB6" w14:textId="073DA808" w:rsidR="00AF1E00" w:rsidRPr="00826725" w:rsidRDefault="00AF1E00"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w:t>
            </w:r>
            <w:r w:rsidR="00BC0CE3" w:rsidRPr="00826725">
              <w:rPr>
                <w:rFonts w:ascii="Arial" w:hAnsi="Arial" w:cs="Arial"/>
                <w:color w:val="000000"/>
                <w:sz w:val="20"/>
                <w:szCs w:val="20"/>
                <w:lang w:val="en-US"/>
              </w:rPr>
              <w:t>82</w:t>
            </w:r>
          </w:p>
        </w:tc>
        <w:tc>
          <w:tcPr>
            <w:tcW w:w="665" w:type="pct"/>
            <w:tcBorders>
              <w:top w:val="single" w:sz="4" w:space="0" w:color="auto"/>
              <w:bottom w:val="nil"/>
            </w:tcBorders>
            <w:shd w:val="clear" w:color="auto" w:fill="C5E0B3" w:themeFill="accent6" w:themeFillTint="66"/>
            <w:tcMar>
              <w:top w:w="30" w:type="dxa"/>
              <w:left w:w="30" w:type="dxa"/>
              <w:bottom w:w="30" w:type="dxa"/>
              <w:right w:w="30" w:type="dxa"/>
            </w:tcMar>
            <w:vAlign w:val="center"/>
          </w:tcPr>
          <w:p w14:paraId="38A849E5" w14:textId="0C2B59A3" w:rsidR="00AF1E00" w:rsidRPr="00826725" w:rsidRDefault="00BF3F0D"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AF1E00" w:rsidRPr="00826725">
              <w:rPr>
                <w:rFonts w:ascii="Arial" w:hAnsi="Arial" w:cs="Arial"/>
                <w:color w:val="000000"/>
                <w:sz w:val="20"/>
                <w:szCs w:val="20"/>
                <w:lang w:val="en-US"/>
              </w:rPr>
              <w:t>0</w:t>
            </w:r>
            <w:r w:rsidR="00BC0CE3" w:rsidRPr="00826725">
              <w:rPr>
                <w:rFonts w:ascii="Arial" w:hAnsi="Arial" w:cs="Arial"/>
                <w:color w:val="000000"/>
                <w:sz w:val="20"/>
                <w:szCs w:val="20"/>
                <w:lang w:val="en-US"/>
              </w:rPr>
              <w:t>06</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2B27A0BF"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z</w:t>
            </w:r>
            <w:proofErr w:type="spellEnd"/>
            <w:r w:rsidRPr="00826725">
              <w:rPr>
                <w:rFonts w:ascii="Arial" w:hAnsi="Arial" w:cs="Arial"/>
                <w:i/>
                <w:iCs/>
                <w:color w:val="000000"/>
                <w:sz w:val="20"/>
                <w:szCs w:val="20"/>
                <w:lang w:val="en-US"/>
              </w:rPr>
              <w:t xml:space="preserve">≠ </w:t>
            </w: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m</w:t>
            </w:r>
            <w:proofErr w:type="spellEnd"/>
          </w:p>
        </w:tc>
      </w:tr>
      <w:tr w:rsidR="00C90B08" w:rsidRPr="00826725" w14:paraId="3F237911"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22CF4976"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05420265" w14:textId="77777777" w:rsidR="00AF1E00" w:rsidRPr="00826725" w:rsidRDefault="00AF1E00" w:rsidP="00ED1B5F">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50629DF4" w14:textId="77777777" w:rsidR="00AF1E00" w:rsidRPr="00826725" w:rsidRDefault="00AF1E00" w:rsidP="00FF76BF">
            <w:pPr>
              <w:autoSpaceDE w:val="0"/>
              <w:autoSpaceDN w:val="0"/>
              <w:adjustRightInd w:val="0"/>
              <w:spacing w:line="276" w:lineRule="auto"/>
              <w:jc w:val="center"/>
              <w:rPr>
                <w:rFonts w:ascii="Arial" w:hAnsi="Arial" w:cs="Arial"/>
                <w:sz w:val="20"/>
                <w:szCs w:val="20"/>
                <w:lang w:val="en-US"/>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72527B7F" w14:textId="77777777" w:rsidR="00AF1E00" w:rsidRPr="00826725" w:rsidRDefault="00AF1E00" w:rsidP="00FF76BF">
            <w:pPr>
              <w:autoSpaceDE w:val="0"/>
              <w:autoSpaceDN w:val="0"/>
              <w:adjustRightInd w:val="0"/>
              <w:spacing w:line="276" w:lineRule="auto"/>
              <w:jc w:val="center"/>
              <w:rPr>
                <w:rFonts w:ascii="Arial" w:hAnsi="Arial" w:cs="Arial"/>
                <w:sz w:val="20"/>
                <w:szCs w:val="20"/>
                <w:lang w:val="en-US"/>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61589984" w14:textId="37AF9682" w:rsidR="00AF1E00" w:rsidRPr="00826725" w:rsidRDefault="00BF3F0D"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-2.</w:t>
            </w:r>
            <w:r w:rsidR="00BC22D8" w:rsidRPr="00826725">
              <w:rPr>
                <w:rFonts w:ascii="Arial" w:hAnsi="Arial" w:cs="Arial"/>
                <w:color w:val="000000"/>
                <w:sz w:val="20"/>
                <w:szCs w:val="20"/>
                <w:lang w:val="en-US"/>
              </w:rPr>
              <w:t>778</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1F0649D4" w14:textId="4C1A1E6B" w:rsidR="00AF1E00" w:rsidRPr="00826725" w:rsidRDefault="00AF1E00"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12</w:t>
            </w:r>
            <w:r w:rsidR="00BC0CE3" w:rsidRPr="00826725">
              <w:rPr>
                <w:rFonts w:ascii="Arial" w:hAnsi="Arial" w:cs="Arial"/>
                <w:color w:val="000000"/>
                <w:sz w:val="20"/>
                <w:szCs w:val="20"/>
                <w:lang w:val="en-US"/>
              </w:rPr>
              <w:t>4</w:t>
            </w:r>
            <w:r w:rsidRPr="00826725">
              <w:rPr>
                <w:rFonts w:ascii="Arial" w:hAnsi="Arial" w:cs="Arial"/>
                <w:color w:val="000000"/>
                <w:sz w:val="20"/>
                <w:szCs w:val="20"/>
                <w:lang w:val="en-US"/>
              </w:rPr>
              <w:t>,</w:t>
            </w:r>
            <w:r w:rsidR="00BC0CE3" w:rsidRPr="00826725">
              <w:rPr>
                <w:rFonts w:ascii="Arial" w:hAnsi="Arial" w:cs="Arial"/>
                <w:color w:val="000000"/>
                <w:sz w:val="20"/>
                <w:szCs w:val="20"/>
                <w:lang w:val="en-US"/>
              </w:rPr>
              <w:t>373</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4F4AFA92" w14:textId="6EF833E6" w:rsidR="00AF1E00" w:rsidRPr="00826725" w:rsidRDefault="00BF3F0D"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AF1E00" w:rsidRPr="00826725">
              <w:rPr>
                <w:rFonts w:ascii="Arial" w:hAnsi="Arial" w:cs="Arial"/>
                <w:color w:val="000000"/>
                <w:sz w:val="20"/>
                <w:szCs w:val="20"/>
                <w:lang w:val="en-US"/>
              </w:rPr>
              <w:t>0</w:t>
            </w:r>
            <w:r w:rsidR="00BC0CE3" w:rsidRPr="00826725">
              <w:rPr>
                <w:rFonts w:ascii="Arial" w:hAnsi="Arial" w:cs="Arial"/>
                <w:color w:val="000000"/>
                <w:sz w:val="20"/>
                <w:szCs w:val="20"/>
                <w:lang w:val="en-US"/>
              </w:rPr>
              <w:t>06</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0A7B817E"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
        </w:tc>
      </w:tr>
      <w:tr w:rsidR="00C90B08" w:rsidRPr="00826725" w14:paraId="2624CD31"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4EE86727" w14:textId="3B450FDE" w:rsidR="00AF1E00" w:rsidRPr="00826725" w:rsidRDefault="00BC22D8"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D</w:t>
            </w:r>
            <w:r w:rsidR="00AF1E00" w:rsidRPr="00826725">
              <w:rPr>
                <w:rFonts w:ascii="Arial" w:hAnsi="Arial" w:cs="Arial"/>
                <w:color w:val="000000"/>
                <w:sz w:val="20"/>
                <w:szCs w:val="20"/>
                <w:lang w:val="en-US"/>
              </w:rPr>
              <w:t>3</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44CA252D" w14:textId="77777777" w:rsidR="00AF1E00" w:rsidRPr="00826725" w:rsidRDefault="00AF1E00" w:rsidP="00ED1B5F">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1A00F94E" w14:textId="1CCBD099" w:rsidR="00AF1E00" w:rsidRPr="00826725" w:rsidRDefault="00BF3F0D"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BC22D8" w:rsidRPr="00826725">
              <w:rPr>
                <w:rFonts w:ascii="Arial" w:hAnsi="Arial" w:cs="Arial"/>
                <w:color w:val="000000"/>
                <w:sz w:val="20"/>
                <w:szCs w:val="20"/>
                <w:lang w:val="en-US"/>
              </w:rPr>
              <w:t>142</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3268E387" w14:textId="57CD3405" w:rsidR="00AF1E00" w:rsidRPr="00826725" w:rsidRDefault="00BF3F0D"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BC22D8" w:rsidRPr="00826725">
              <w:rPr>
                <w:rFonts w:ascii="Arial" w:hAnsi="Arial" w:cs="Arial"/>
                <w:color w:val="000000"/>
                <w:sz w:val="20"/>
                <w:szCs w:val="20"/>
                <w:lang w:val="en-US"/>
              </w:rPr>
              <w:t>707</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7CED82BD" w14:textId="08B4163F" w:rsidR="00AF1E00" w:rsidRPr="00826725" w:rsidRDefault="00BF3F0D"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w:t>
            </w:r>
            <w:r w:rsidR="00BC22D8" w:rsidRPr="00826725">
              <w:rPr>
                <w:rFonts w:ascii="Arial" w:hAnsi="Arial" w:cs="Arial"/>
                <w:color w:val="000000"/>
                <w:sz w:val="20"/>
                <w:szCs w:val="20"/>
                <w:lang w:val="en-US"/>
              </w:rPr>
              <w:t>649</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3EBD7E8D" w14:textId="1BB5468C" w:rsidR="00AF1E00" w:rsidRPr="00826725" w:rsidRDefault="00AF1E00"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w:t>
            </w:r>
            <w:r w:rsidR="00BC0CE3" w:rsidRPr="00826725">
              <w:rPr>
                <w:rFonts w:ascii="Arial" w:hAnsi="Arial" w:cs="Arial"/>
                <w:color w:val="000000"/>
                <w:sz w:val="20"/>
                <w:szCs w:val="20"/>
                <w:lang w:val="en-US"/>
              </w:rPr>
              <w:t>82</w:t>
            </w:r>
          </w:p>
        </w:tc>
        <w:tc>
          <w:tcPr>
            <w:tcW w:w="665" w:type="pct"/>
            <w:tcBorders>
              <w:top w:val="single" w:sz="4" w:space="0" w:color="auto"/>
              <w:bottom w:val="nil"/>
            </w:tcBorders>
            <w:shd w:val="clear" w:color="auto" w:fill="FFB3B3"/>
            <w:tcMar>
              <w:top w:w="30" w:type="dxa"/>
              <w:left w:w="30" w:type="dxa"/>
              <w:bottom w:w="30" w:type="dxa"/>
              <w:right w:w="30" w:type="dxa"/>
            </w:tcMar>
            <w:vAlign w:val="center"/>
          </w:tcPr>
          <w:p w14:paraId="06ACC4A9" w14:textId="77834C3B" w:rsidR="00AF1E00" w:rsidRPr="00826725" w:rsidRDefault="00BF3F0D"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BC0CE3" w:rsidRPr="00826725">
              <w:rPr>
                <w:rFonts w:ascii="Arial" w:hAnsi="Arial" w:cs="Arial"/>
                <w:color w:val="000000"/>
                <w:sz w:val="20"/>
                <w:szCs w:val="20"/>
                <w:lang w:val="en-US"/>
              </w:rPr>
              <w:t>101</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2D014E47" w14:textId="77777777" w:rsidR="00AF1E00" w:rsidRPr="00826725" w:rsidRDefault="00AF1E00" w:rsidP="00FF76BF">
            <w:pPr>
              <w:autoSpaceDE w:val="0"/>
              <w:autoSpaceDN w:val="0"/>
              <w:adjustRightInd w:val="0"/>
              <w:spacing w:line="276" w:lineRule="auto"/>
              <w:jc w:val="center"/>
              <w:rPr>
                <w:rFonts w:ascii="Arial" w:hAnsi="Arial" w:cs="Arial"/>
                <w:i/>
                <w:iCs/>
                <w:color w:val="000000"/>
                <w:sz w:val="20"/>
                <w:szCs w:val="20"/>
                <w:vertAlign w:val="subscript"/>
                <w:lang w:val="en-US"/>
              </w:rPr>
            </w:pP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z</w:t>
            </w:r>
            <w:proofErr w:type="spellEnd"/>
            <w:r w:rsidRPr="00826725">
              <w:rPr>
                <w:rFonts w:ascii="Arial" w:hAnsi="Arial" w:cs="Arial"/>
                <w:i/>
                <w:iCs/>
                <w:color w:val="000000"/>
                <w:sz w:val="20"/>
                <w:szCs w:val="20"/>
                <w:lang w:val="en-US"/>
              </w:rPr>
              <w:t xml:space="preserve">= </w:t>
            </w: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m</w:t>
            </w:r>
            <w:proofErr w:type="spellEnd"/>
          </w:p>
        </w:tc>
      </w:tr>
      <w:tr w:rsidR="00C90B08" w:rsidRPr="00826725" w14:paraId="46DC2D07"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6CE08AA5"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7D33BE78" w14:textId="77777777" w:rsidR="00AF1E00" w:rsidRPr="00826725" w:rsidRDefault="00AF1E00" w:rsidP="00ED1B5F">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51EFC67" w14:textId="77777777" w:rsidR="00AF1E00" w:rsidRPr="00826725" w:rsidRDefault="00AF1E00" w:rsidP="00FF76BF">
            <w:pPr>
              <w:autoSpaceDE w:val="0"/>
              <w:autoSpaceDN w:val="0"/>
              <w:adjustRightInd w:val="0"/>
              <w:spacing w:line="276" w:lineRule="auto"/>
              <w:jc w:val="center"/>
              <w:rPr>
                <w:rFonts w:ascii="Arial" w:hAnsi="Arial" w:cs="Arial"/>
                <w:sz w:val="20"/>
                <w:szCs w:val="20"/>
                <w:lang w:val="en-US"/>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50C5CA2B" w14:textId="77777777" w:rsidR="00AF1E00" w:rsidRPr="00826725" w:rsidRDefault="00AF1E00" w:rsidP="00FF76BF">
            <w:pPr>
              <w:autoSpaceDE w:val="0"/>
              <w:autoSpaceDN w:val="0"/>
              <w:adjustRightInd w:val="0"/>
              <w:spacing w:line="276" w:lineRule="auto"/>
              <w:jc w:val="center"/>
              <w:rPr>
                <w:rFonts w:ascii="Arial" w:hAnsi="Arial" w:cs="Arial"/>
                <w:sz w:val="20"/>
                <w:szCs w:val="20"/>
                <w:lang w:val="en-US"/>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EE9A9CA" w14:textId="43528E91" w:rsidR="00AF1E00" w:rsidRPr="00826725" w:rsidRDefault="00BF3F0D"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w:t>
            </w:r>
            <w:r w:rsidR="00BC22D8" w:rsidRPr="00826725">
              <w:rPr>
                <w:rFonts w:ascii="Arial" w:hAnsi="Arial" w:cs="Arial"/>
                <w:color w:val="000000"/>
                <w:sz w:val="20"/>
                <w:szCs w:val="20"/>
                <w:lang w:val="en-US"/>
              </w:rPr>
              <w:t>643</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75237FE0" w14:textId="40DF70C7" w:rsidR="00AF1E00" w:rsidRPr="00826725" w:rsidRDefault="00AF1E00"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12</w:t>
            </w:r>
            <w:r w:rsidR="00BC0CE3" w:rsidRPr="00826725">
              <w:rPr>
                <w:rFonts w:ascii="Arial" w:hAnsi="Arial" w:cs="Arial"/>
                <w:color w:val="000000"/>
                <w:sz w:val="20"/>
                <w:szCs w:val="20"/>
                <w:lang w:val="en-US"/>
              </w:rPr>
              <w:t>4</w:t>
            </w:r>
            <w:r w:rsidRPr="00826725">
              <w:rPr>
                <w:rFonts w:ascii="Arial" w:hAnsi="Arial" w:cs="Arial"/>
                <w:color w:val="000000"/>
                <w:sz w:val="20"/>
                <w:szCs w:val="20"/>
                <w:lang w:val="en-US"/>
              </w:rPr>
              <w:t>,3</w:t>
            </w:r>
            <w:r w:rsidR="00BC0CE3" w:rsidRPr="00826725">
              <w:rPr>
                <w:rFonts w:ascii="Arial" w:hAnsi="Arial" w:cs="Arial"/>
                <w:color w:val="000000"/>
                <w:sz w:val="20"/>
                <w:szCs w:val="20"/>
                <w:lang w:val="en-US"/>
              </w:rPr>
              <w:t>79</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6DED97E1" w14:textId="42D0613B" w:rsidR="00AF1E00" w:rsidRPr="00826725" w:rsidRDefault="00BF3F0D"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BC0CE3" w:rsidRPr="00826725">
              <w:rPr>
                <w:rFonts w:ascii="Arial" w:hAnsi="Arial" w:cs="Arial"/>
                <w:color w:val="000000"/>
                <w:sz w:val="20"/>
                <w:szCs w:val="20"/>
                <w:lang w:val="en-US"/>
              </w:rPr>
              <w:t>103</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EE874F8"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
        </w:tc>
      </w:tr>
      <w:tr w:rsidR="00C90B08" w:rsidRPr="00826725" w14:paraId="673B0CB3"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07B844B5" w14:textId="4C403248" w:rsidR="00AF1E00" w:rsidRPr="00826725" w:rsidRDefault="00BC22D8" w:rsidP="00FF76BF">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D</w:t>
            </w:r>
            <w:r w:rsidR="00AF1E00" w:rsidRPr="00826725">
              <w:rPr>
                <w:rFonts w:ascii="Arial" w:hAnsi="Arial" w:cs="Arial"/>
                <w:color w:val="000000"/>
                <w:sz w:val="20"/>
                <w:szCs w:val="20"/>
                <w:lang w:val="en-US"/>
              </w:rPr>
              <w:t>4</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43307B17" w14:textId="77777777" w:rsidR="00AF1E00" w:rsidRPr="00826725" w:rsidRDefault="00AF1E00" w:rsidP="00ED1B5F">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35EF090F" w14:textId="1FCEA45A" w:rsidR="00AF1E00" w:rsidRPr="00826725" w:rsidRDefault="00BC22D8" w:rsidP="00BF3F0D">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w:t>
            </w:r>
            <w:r w:rsidR="00BF3F0D" w:rsidRPr="00826725">
              <w:rPr>
                <w:rFonts w:ascii="Arial" w:hAnsi="Arial" w:cs="Arial"/>
                <w:color w:val="000000"/>
                <w:sz w:val="20"/>
                <w:szCs w:val="20"/>
                <w:lang w:val="en-US"/>
              </w:rPr>
              <w:t>.</w:t>
            </w:r>
            <w:r w:rsidRPr="00826725">
              <w:rPr>
                <w:rFonts w:ascii="Arial" w:hAnsi="Arial" w:cs="Arial"/>
                <w:color w:val="000000"/>
                <w:sz w:val="20"/>
                <w:szCs w:val="20"/>
                <w:lang w:val="en-US"/>
              </w:rPr>
              <w:t>933</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2E3B46E9" w14:textId="562C786D" w:rsidR="00AF1E00" w:rsidRPr="00826725" w:rsidRDefault="00BF3F0D"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BC22D8" w:rsidRPr="00826725">
              <w:rPr>
                <w:rFonts w:ascii="Arial" w:hAnsi="Arial" w:cs="Arial"/>
                <w:color w:val="000000"/>
                <w:sz w:val="20"/>
                <w:szCs w:val="20"/>
                <w:lang w:val="en-US"/>
              </w:rPr>
              <w:t>166</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331C36E8" w14:textId="4DFFC0E0" w:rsidR="00AF1E00" w:rsidRPr="00826725" w:rsidRDefault="00BF3F0D"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w:t>
            </w:r>
            <w:r w:rsidR="00BC22D8" w:rsidRPr="00826725">
              <w:rPr>
                <w:rFonts w:ascii="Arial" w:hAnsi="Arial" w:cs="Arial"/>
                <w:color w:val="000000"/>
                <w:sz w:val="20"/>
                <w:szCs w:val="20"/>
                <w:lang w:val="en-US"/>
              </w:rPr>
              <w:t>907</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5C732916" w14:textId="3DB04277" w:rsidR="00AF1E00" w:rsidRPr="00826725" w:rsidRDefault="00AF1E00"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w:t>
            </w:r>
            <w:r w:rsidR="00BC0CE3" w:rsidRPr="00826725">
              <w:rPr>
                <w:rFonts w:ascii="Arial" w:hAnsi="Arial" w:cs="Arial"/>
                <w:color w:val="000000"/>
                <w:sz w:val="20"/>
                <w:szCs w:val="20"/>
                <w:lang w:val="en-US"/>
              </w:rPr>
              <w:t>82</w:t>
            </w:r>
          </w:p>
        </w:tc>
        <w:tc>
          <w:tcPr>
            <w:tcW w:w="665" w:type="pct"/>
            <w:tcBorders>
              <w:top w:val="single" w:sz="4" w:space="0" w:color="auto"/>
              <w:bottom w:val="nil"/>
            </w:tcBorders>
            <w:shd w:val="clear" w:color="auto" w:fill="FFB3B3"/>
            <w:tcMar>
              <w:top w:w="30" w:type="dxa"/>
              <w:left w:w="30" w:type="dxa"/>
              <w:bottom w:w="30" w:type="dxa"/>
              <w:right w:w="30" w:type="dxa"/>
            </w:tcMar>
            <w:vAlign w:val="center"/>
          </w:tcPr>
          <w:p w14:paraId="48FC23C8" w14:textId="06E1D767" w:rsidR="00AF1E00" w:rsidRPr="00826725" w:rsidRDefault="00BF3F0D"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AF1E00" w:rsidRPr="00826725">
              <w:rPr>
                <w:rFonts w:ascii="Arial" w:hAnsi="Arial" w:cs="Arial"/>
                <w:color w:val="000000"/>
                <w:sz w:val="20"/>
                <w:szCs w:val="20"/>
                <w:lang w:val="en-US"/>
              </w:rPr>
              <w:t>05</w:t>
            </w:r>
            <w:r w:rsidR="00BC0CE3" w:rsidRPr="00826725">
              <w:rPr>
                <w:rFonts w:ascii="Arial" w:hAnsi="Arial" w:cs="Arial"/>
                <w:color w:val="000000"/>
                <w:sz w:val="20"/>
                <w:szCs w:val="20"/>
                <w:lang w:val="en-US"/>
              </w:rPr>
              <w:t>8</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0BF593FD" w14:textId="77777777" w:rsidR="00AF1E00" w:rsidRPr="00826725" w:rsidRDefault="00AF1E00" w:rsidP="00FF76BF">
            <w:pPr>
              <w:autoSpaceDE w:val="0"/>
              <w:autoSpaceDN w:val="0"/>
              <w:adjustRightInd w:val="0"/>
              <w:spacing w:line="276" w:lineRule="auto"/>
              <w:jc w:val="center"/>
              <w:rPr>
                <w:rFonts w:ascii="Arial" w:hAnsi="Arial" w:cs="Arial"/>
                <w:i/>
                <w:iCs/>
                <w:color w:val="000000"/>
                <w:sz w:val="20"/>
                <w:szCs w:val="20"/>
                <w:vertAlign w:val="subscript"/>
                <w:lang w:val="en-US"/>
              </w:rPr>
            </w:pP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z</w:t>
            </w:r>
            <w:proofErr w:type="spellEnd"/>
            <w:r w:rsidRPr="00826725">
              <w:rPr>
                <w:rFonts w:ascii="Arial" w:hAnsi="Arial" w:cs="Arial"/>
                <w:i/>
                <w:iCs/>
                <w:color w:val="000000"/>
                <w:sz w:val="20"/>
                <w:szCs w:val="20"/>
                <w:lang w:val="en-US"/>
              </w:rPr>
              <w:t xml:space="preserve">= </w:t>
            </w: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m</w:t>
            </w:r>
            <w:proofErr w:type="spellEnd"/>
          </w:p>
        </w:tc>
      </w:tr>
      <w:tr w:rsidR="00C90B08" w:rsidRPr="00826725" w14:paraId="7ABF2CB0"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5F632D48"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7ACCFF77" w14:textId="77777777" w:rsidR="00AF1E00" w:rsidRPr="00826725" w:rsidRDefault="00AF1E00" w:rsidP="00ED1B5F">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2571700B" w14:textId="77777777" w:rsidR="00AF1E00" w:rsidRPr="00826725" w:rsidRDefault="00AF1E00" w:rsidP="00FF76BF">
            <w:pPr>
              <w:autoSpaceDE w:val="0"/>
              <w:autoSpaceDN w:val="0"/>
              <w:adjustRightInd w:val="0"/>
              <w:spacing w:line="276" w:lineRule="auto"/>
              <w:jc w:val="center"/>
              <w:rPr>
                <w:rFonts w:ascii="Arial" w:hAnsi="Arial" w:cs="Arial"/>
                <w:sz w:val="20"/>
                <w:szCs w:val="20"/>
                <w:lang w:val="en-US"/>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0BE41A8F" w14:textId="77777777" w:rsidR="00AF1E00" w:rsidRPr="00826725" w:rsidRDefault="00AF1E00" w:rsidP="00FF76BF">
            <w:pPr>
              <w:autoSpaceDE w:val="0"/>
              <w:autoSpaceDN w:val="0"/>
              <w:adjustRightInd w:val="0"/>
              <w:spacing w:line="276" w:lineRule="auto"/>
              <w:jc w:val="center"/>
              <w:rPr>
                <w:rFonts w:ascii="Arial" w:hAnsi="Arial" w:cs="Arial"/>
                <w:sz w:val="20"/>
                <w:szCs w:val="20"/>
                <w:lang w:val="en-US"/>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8DB9B24" w14:textId="563FDDA1" w:rsidR="00AF1E00" w:rsidRPr="00826725" w:rsidRDefault="00AF1E00" w:rsidP="00BC22D8">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BF3F0D" w:rsidRPr="00826725">
              <w:rPr>
                <w:rFonts w:ascii="Arial" w:hAnsi="Arial" w:cs="Arial"/>
                <w:color w:val="000000"/>
                <w:sz w:val="20"/>
                <w:szCs w:val="20"/>
                <w:lang w:val="en-US"/>
              </w:rPr>
              <w:t>1.</w:t>
            </w:r>
            <w:r w:rsidR="00BC22D8" w:rsidRPr="00826725">
              <w:rPr>
                <w:rFonts w:ascii="Arial" w:hAnsi="Arial" w:cs="Arial"/>
                <w:color w:val="000000"/>
                <w:sz w:val="20"/>
                <w:szCs w:val="20"/>
                <w:lang w:val="en-US"/>
              </w:rPr>
              <w:t>902</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2BDBA0F3" w14:textId="7A00A9AF" w:rsidR="00AF1E00" w:rsidRPr="00826725" w:rsidRDefault="00AF1E00"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1</w:t>
            </w:r>
            <w:r w:rsidR="00BC0CE3" w:rsidRPr="00826725">
              <w:rPr>
                <w:rFonts w:ascii="Arial" w:hAnsi="Arial" w:cs="Arial"/>
                <w:color w:val="000000"/>
                <w:sz w:val="20"/>
                <w:szCs w:val="20"/>
                <w:lang w:val="en-US"/>
              </w:rPr>
              <w:t>24</w:t>
            </w:r>
            <w:r w:rsidRPr="00826725">
              <w:rPr>
                <w:rFonts w:ascii="Arial" w:hAnsi="Arial" w:cs="Arial"/>
                <w:color w:val="000000"/>
                <w:sz w:val="20"/>
                <w:szCs w:val="20"/>
                <w:lang w:val="en-US"/>
              </w:rPr>
              <w:t>,</w:t>
            </w:r>
            <w:r w:rsidR="00BC0CE3" w:rsidRPr="00826725">
              <w:rPr>
                <w:rFonts w:ascii="Arial" w:hAnsi="Arial" w:cs="Arial"/>
                <w:color w:val="000000"/>
                <w:sz w:val="20"/>
                <w:szCs w:val="20"/>
                <w:lang w:val="en-US"/>
              </w:rPr>
              <w:t>909</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23BA6132" w14:textId="7789840F" w:rsidR="00AF1E00" w:rsidRPr="00826725" w:rsidRDefault="00BF3F0D" w:rsidP="00BC0CE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AF1E00" w:rsidRPr="00826725">
              <w:rPr>
                <w:rFonts w:ascii="Arial" w:hAnsi="Arial" w:cs="Arial"/>
                <w:color w:val="000000"/>
                <w:sz w:val="20"/>
                <w:szCs w:val="20"/>
                <w:lang w:val="en-US"/>
              </w:rPr>
              <w:t>0</w:t>
            </w:r>
            <w:r w:rsidR="00BC0CE3" w:rsidRPr="00826725">
              <w:rPr>
                <w:rFonts w:ascii="Arial" w:hAnsi="Arial" w:cs="Arial"/>
                <w:color w:val="000000"/>
                <w:sz w:val="20"/>
                <w:szCs w:val="20"/>
                <w:lang w:val="en-US"/>
              </w:rPr>
              <w:t>59</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02F899D" w14:textId="77777777" w:rsidR="00AF1E00" w:rsidRPr="00826725" w:rsidRDefault="00AF1E00" w:rsidP="00FF76BF">
            <w:pPr>
              <w:autoSpaceDE w:val="0"/>
              <w:autoSpaceDN w:val="0"/>
              <w:adjustRightInd w:val="0"/>
              <w:spacing w:line="276" w:lineRule="auto"/>
              <w:jc w:val="center"/>
              <w:rPr>
                <w:rFonts w:ascii="Arial" w:hAnsi="Arial" w:cs="Arial"/>
                <w:color w:val="000000"/>
                <w:sz w:val="20"/>
                <w:szCs w:val="20"/>
                <w:lang w:val="en-US"/>
              </w:rPr>
            </w:pPr>
          </w:p>
        </w:tc>
      </w:tr>
      <w:tr w:rsidR="00FF76BF" w:rsidRPr="00826725" w14:paraId="54DE0400" w14:textId="77777777" w:rsidTr="00FF76BF">
        <w:tblPrEx>
          <w:jc w:val="left"/>
        </w:tblPrEx>
        <w:trPr>
          <w:cantSplit/>
        </w:trPr>
        <w:tc>
          <w:tcPr>
            <w:tcW w:w="5000" w:type="pct"/>
            <w:gridSpan w:val="8"/>
            <w:shd w:val="clear" w:color="auto" w:fill="FFFFFF"/>
            <w:tcMar>
              <w:top w:w="30" w:type="dxa"/>
              <w:left w:w="30" w:type="dxa"/>
              <w:bottom w:w="30" w:type="dxa"/>
              <w:right w:w="30" w:type="dxa"/>
            </w:tcMar>
            <w:vAlign w:val="center"/>
          </w:tcPr>
          <w:p w14:paraId="0F2E8D81" w14:textId="64F78C7A" w:rsidR="00FF76BF" w:rsidRPr="00826725" w:rsidRDefault="00FF76BF" w:rsidP="00FF76BF">
            <w:pPr>
              <w:spacing w:line="276" w:lineRule="auto"/>
              <w:ind w:left="180"/>
              <w:rPr>
                <w:rFonts w:ascii="Arial" w:hAnsi="Arial" w:cs="Arial"/>
                <w:sz w:val="20"/>
                <w:szCs w:val="20"/>
                <w:lang w:val="en-US" w:eastAsia="hr-HR"/>
              </w:rPr>
            </w:pPr>
            <w:r w:rsidRPr="00826725">
              <w:rPr>
                <w:rFonts w:ascii="Arial" w:hAnsi="Arial" w:cs="Arial"/>
                <w:b/>
                <w:bCs/>
                <w:sz w:val="20"/>
                <w:szCs w:val="20"/>
                <w:lang w:val="en-US" w:eastAsia="hr-HR"/>
              </w:rPr>
              <w:t>N</w:t>
            </w:r>
            <w:r w:rsidR="00EF60BC" w:rsidRPr="00826725">
              <w:rPr>
                <w:rFonts w:ascii="Arial" w:hAnsi="Arial" w:cs="Arial"/>
                <w:b/>
                <w:bCs/>
                <w:sz w:val="20"/>
                <w:szCs w:val="20"/>
                <w:lang w:val="en-US" w:eastAsia="hr-HR"/>
              </w:rPr>
              <w:t>ote</w:t>
            </w:r>
            <w:r w:rsidRPr="00826725">
              <w:rPr>
                <w:rFonts w:ascii="Arial" w:hAnsi="Arial" w:cs="Arial"/>
                <w:b/>
                <w:bCs/>
                <w:sz w:val="20"/>
                <w:szCs w:val="20"/>
                <w:lang w:val="en-US" w:eastAsia="hr-HR"/>
              </w:rPr>
              <w:t>:</w:t>
            </w:r>
            <w:r w:rsidRPr="00826725">
              <w:rPr>
                <w:rFonts w:ascii="Arial" w:hAnsi="Arial" w:cs="Arial"/>
                <w:sz w:val="20"/>
                <w:szCs w:val="20"/>
                <w:lang w:val="en-US" w:eastAsia="hr-HR"/>
              </w:rPr>
              <w:t xml:space="preserve"> </w:t>
            </w:r>
          </w:p>
          <w:p w14:paraId="5550372C" w14:textId="05A8FEDF" w:rsidR="00F02E5F" w:rsidRPr="00826725" w:rsidRDefault="00F02E5F" w:rsidP="00F02E5F">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D1 –The respondents’ familiarity with the bank’s vision</w:t>
            </w:r>
          </w:p>
          <w:p w14:paraId="01616EB3" w14:textId="77777777" w:rsidR="00F02E5F" w:rsidRPr="00826725" w:rsidRDefault="00F02E5F" w:rsidP="00F02E5F">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D2 –The reward system in the bank</w:t>
            </w:r>
          </w:p>
          <w:p w14:paraId="11E08918" w14:textId="77777777" w:rsidR="00F02E5F" w:rsidRPr="00826725" w:rsidRDefault="00F02E5F" w:rsidP="00F02E5F">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D3 –The training and development system in the bank</w:t>
            </w:r>
          </w:p>
          <w:p w14:paraId="6DF81CCF" w14:textId="77777777" w:rsidR="00F02E5F" w:rsidRPr="00826725" w:rsidRDefault="00F02E5F" w:rsidP="00F02E5F">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D4 –The internal communication system in the bank</w:t>
            </w:r>
          </w:p>
          <w:p w14:paraId="681BC6AD" w14:textId="68B3D070" w:rsidR="00A46DCA" w:rsidRPr="00826725" w:rsidRDefault="00104DED" w:rsidP="00FF76BF">
            <w:pPr>
              <w:spacing w:line="276" w:lineRule="auto"/>
              <w:ind w:left="180"/>
              <w:rPr>
                <w:rFonts w:ascii="Arial" w:hAnsi="Arial" w:cs="Arial"/>
                <w:i/>
                <w:iCs/>
                <w:color w:val="000000"/>
                <w:sz w:val="20"/>
                <w:szCs w:val="20"/>
                <w:lang w:val="en-US"/>
              </w:rPr>
            </w:pP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z</w:t>
            </w:r>
            <w:proofErr w:type="spellEnd"/>
            <w:r w:rsidRPr="00826725">
              <w:rPr>
                <w:rFonts w:ascii="Arial" w:hAnsi="Arial" w:cs="Arial"/>
                <w:i/>
                <w:iCs/>
                <w:color w:val="000000"/>
                <w:sz w:val="20"/>
                <w:szCs w:val="20"/>
                <w:lang w:val="en-US"/>
              </w:rPr>
              <w:t xml:space="preserve">= </w:t>
            </w:r>
            <w:proofErr w:type="spellStart"/>
            <w:r w:rsidRPr="00826725">
              <w:rPr>
                <w:rFonts w:ascii="Arial" w:hAnsi="Arial" w:cs="Arial"/>
                <w:i/>
                <w:iCs/>
                <w:color w:val="000000"/>
                <w:sz w:val="20"/>
                <w:szCs w:val="20"/>
                <w:lang w:val="en-US"/>
              </w:rPr>
              <w:t>μ</w:t>
            </w:r>
            <w:r w:rsidR="00BF3F0D" w:rsidRPr="00826725">
              <w:rPr>
                <w:rFonts w:ascii="Arial" w:hAnsi="Arial" w:cs="Arial"/>
                <w:i/>
                <w:iCs/>
                <w:color w:val="000000"/>
                <w:sz w:val="20"/>
                <w:szCs w:val="20"/>
                <w:vertAlign w:val="subscript"/>
                <w:lang w:val="en-US"/>
              </w:rPr>
              <w:t>m</w:t>
            </w:r>
            <w:proofErr w:type="spellEnd"/>
            <w:r w:rsidR="00BF3F0D" w:rsidRPr="00826725">
              <w:rPr>
                <w:rFonts w:ascii="Arial" w:hAnsi="Arial" w:cs="Arial"/>
                <w:i/>
                <w:iCs/>
                <w:color w:val="000000"/>
                <w:sz w:val="20"/>
                <w:szCs w:val="20"/>
                <w:vertAlign w:val="subscript"/>
                <w:lang w:val="en-US"/>
              </w:rPr>
              <w:t xml:space="preserve"> </w:t>
            </w:r>
            <w:r w:rsidRPr="00826725">
              <w:rPr>
                <w:rFonts w:ascii="Arial" w:hAnsi="Arial" w:cs="Arial"/>
                <w:i/>
                <w:iCs/>
                <w:color w:val="000000"/>
                <w:sz w:val="20"/>
                <w:szCs w:val="20"/>
                <w:lang w:val="en-US"/>
              </w:rPr>
              <w:t xml:space="preserve">- </w:t>
            </w:r>
            <w:r w:rsidR="001126E2" w:rsidRPr="00826725">
              <w:rPr>
                <w:rFonts w:ascii="Arial" w:hAnsi="Arial" w:cs="Arial"/>
                <w:sz w:val="20"/>
                <w:szCs w:val="20"/>
                <w:lang w:val="en-US" w:eastAsia="hr-HR"/>
              </w:rPr>
              <w:t>the hypothesis of equality of the average rating for the attitudes</w:t>
            </w:r>
            <w:r w:rsidR="00EF60BC" w:rsidRPr="00826725">
              <w:rPr>
                <w:rFonts w:ascii="Arial" w:hAnsi="Arial" w:cs="Arial"/>
                <w:sz w:val="20"/>
                <w:szCs w:val="20"/>
                <w:lang w:val="en-US" w:eastAsia="hr-HR"/>
              </w:rPr>
              <w:t xml:space="preserve"> of employees </w:t>
            </w:r>
            <w:r w:rsidRPr="00826725">
              <w:rPr>
                <w:rFonts w:ascii="Arial" w:hAnsi="Arial" w:cs="Arial"/>
                <w:sz w:val="20"/>
                <w:szCs w:val="20"/>
                <w:lang w:val="en-US" w:eastAsia="hr-HR"/>
              </w:rPr>
              <w:t>(</w:t>
            </w: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z</w:t>
            </w:r>
            <w:proofErr w:type="spellEnd"/>
            <w:r w:rsidRPr="00826725">
              <w:rPr>
                <w:rFonts w:ascii="Arial" w:hAnsi="Arial" w:cs="Arial"/>
                <w:sz w:val="20"/>
                <w:szCs w:val="20"/>
                <w:lang w:val="en-US" w:eastAsia="hr-HR"/>
              </w:rPr>
              <w:t xml:space="preserve">) </w:t>
            </w:r>
            <w:r w:rsidR="00435F26" w:rsidRPr="00826725">
              <w:rPr>
                <w:rFonts w:ascii="Arial" w:hAnsi="Arial" w:cs="Arial"/>
                <w:sz w:val="20"/>
                <w:szCs w:val="20"/>
                <w:lang w:val="en-US" w:eastAsia="hr-HR"/>
              </w:rPr>
              <w:t>and management</w:t>
            </w:r>
            <w:r w:rsidRPr="00826725">
              <w:rPr>
                <w:rFonts w:ascii="Arial" w:hAnsi="Arial" w:cs="Arial"/>
                <w:sz w:val="20"/>
                <w:szCs w:val="20"/>
                <w:lang w:val="en-US" w:eastAsia="hr-HR"/>
              </w:rPr>
              <w:t xml:space="preserve"> (</w:t>
            </w: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m</w:t>
            </w:r>
            <w:proofErr w:type="spellEnd"/>
            <w:r w:rsidRPr="00826725">
              <w:rPr>
                <w:rFonts w:ascii="Arial" w:hAnsi="Arial" w:cs="Arial"/>
                <w:sz w:val="20"/>
                <w:szCs w:val="20"/>
                <w:lang w:val="en-US" w:eastAsia="hr-HR"/>
              </w:rPr>
              <w:t>)</w:t>
            </w:r>
          </w:p>
          <w:p w14:paraId="4BE615C5" w14:textId="0CC02651" w:rsidR="00A46DCA" w:rsidRPr="00826725" w:rsidRDefault="00A46DCA" w:rsidP="00FF76BF">
            <w:pPr>
              <w:spacing w:line="276" w:lineRule="auto"/>
              <w:ind w:left="180"/>
              <w:rPr>
                <w:rFonts w:ascii="Arial" w:hAnsi="Arial" w:cs="Arial"/>
                <w:color w:val="000000"/>
                <w:sz w:val="20"/>
                <w:szCs w:val="20"/>
                <w:lang w:val="en-US"/>
              </w:rPr>
            </w:pPr>
            <w:proofErr w:type="spellStart"/>
            <w:r w:rsidRPr="00826725">
              <w:rPr>
                <w:rFonts w:ascii="Arial" w:hAnsi="Arial" w:cs="Arial"/>
                <w:i/>
                <w:iCs/>
                <w:color w:val="000000"/>
                <w:sz w:val="20"/>
                <w:szCs w:val="20"/>
                <w:lang w:val="en-US"/>
              </w:rPr>
              <w:t>μ</w:t>
            </w:r>
            <w:r w:rsidRPr="00826725">
              <w:rPr>
                <w:rFonts w:ascii="Arial" w:hAnsi="Arial" w:cs="Arial"/>
                <w:i/>
                <w:iCs/>
                <w:color w:val="000000"/>
                <w:sz w:val="20"/>
                <w:szCs w:val="20"/>
                <w:vertAlign w:val="subscript"/>
                <w:lang w:val="en-US"/>
              </w:rPr>
              <w:t>z</w:t>
            </w:r>
            <w:proofErr w:type="spellEnd"/>
            <w:r w:rsidRPr="00826725">
              <w:rPr>
                <w:rFonts w:ascii="Arial" w:hAnsi="Arial" w:cs="Arial"/>
                <w:i/>
                <w:iCs/>
                <w:color w:val="000000"/>
                <w:sz w:val="20"/>
                <w:szCs w:val="20"/>
                <w:lang w:val="en-US"/>
              </w:rPr>
              <w:t xml:space="preserve">≠ </w:t>
            </w:r>
            <w:proofErr w:type="spellStart"/>
            <w:r w:rsidRPr="00826725">
              <w:rPr>
                <w:rFonts w:ascii="Arial" w:hAnsi="Arial" w:cs="Arial"/>
                <w:i/>
                <w:iCs/>
                <w:color w:val="000000"/>
                <w:sz w:val="20"/>
                <w:szCs w:val="20"/>
                <w:lang w:val="en-US"/>
              </w:rPr>
              <w:t>μ</w:t>
            </w:r>
            <w:proofErr w:type="gramStart"/>
            <w:r w:rsidRPr="00826725">
              <w:rPr>
                <w:rFonts w:ascii="Arial" w:hAnsi="Arial" w:cs="Arial"/>
                <w:i/>
                <w:iCs/>
                <w:color w:val="000000"/>
                <w:sz w:val="20"/>
                <w:szCs w:val="20"/>
                <w:vertAlign w:val="subscript"/>
                <w:lang w:val="en-US"/>
              </w:rPr>
              <w:t>m</w:t>
            </w:r>
            <w:proofErr w:type="spellEnd"/>
            <w:r w:rsidR="00104DED" w:rsidRPr="00826725">
              <w:rPr>
                <w:rFonts w:ascii="Arial" w:hAnsi="Arial" w:cs="Arial"/>
                <w:i/>
                <w:iCs/>
                <w:color w:val="000000"/>
                <w:sz w:val="20"/>
                <w:szCs w:val="20"/>
                <w:vertAlign w:val="subscript"/>
                <w:lang w:val="en-US"/>
              </w:rPr>
              <w:t xml:space="preserve">  </w:t>
            </w:r>
            <w:r w:rsidR="00104DED" w:rsidRPr="00826725">
              <w:rPr>
                <w:rFonts w:ascii="Arial" w:hAnsi="Arial" w:cs="Arial"/>
                <w:i/>
                <w:iCs/>
                <w:color w:val="000000"/>
                <w:sz w:val="20"/>
                <w:szCs w:val="20"/>
                <w:lang w:val="en-US"/>
              </w:rPr>
              <w:t>-</w:t>
            </w:r>
            <w:proofErr w:type="gramEnd"/>
            <w:r w:rsidR="00104DED" w:rsidRPr="00826725">
              <w:rPr>
                <w:rFonts w:ascii="Arial" w:hAnsi="Arial" w:cs="Arial"/>
                <w:i/>
                <w:iCs/>
                <w:color w:val="000000"/>
                <w:sz w:val="20"/>
                <w:szCs w:val="20"/>
                <w:lang w:val="en-US"/>
              </w:rPr>
              <w:t xml:space="preserve"> </w:t>
            </w:r>
            <w:r w:rsidR="00EF60BC" w:rsidRPr="00826725">
              <w:rPr>
                <w:rFonts w:ascii="Arial" w:hAnsi="Arial" w:cs="Arial"/>
                <w:sz w:val="20"/>
                <w:szCs w:val="20"/>
                <w:lang w:val="en-US" w:eastAsia="hr-HR"/>
              </w:rPr>
              <w:t>the hypothesis of inequality of the average rating for the attitudes of employees</w:t>
            </w:r>
            <w:r w:rsidR="00104DED" w:rsidRPr="00826725">
              <w:rPr>
                <w:rFonts w:ascii="Arial" w:hAnsi="Arial" w:cs="Arial"/>
                <w:sz w:val="20"/>
                <w:szCs w:val="20"/>
                <w:lang w:val="en-US" w:eastAsia="hr-HR"/>
              </w:rPr>
              <w:t xml:space="preserve"> (</w:t>
            </w:r>
            <w:proofErr w:type="spellStart"/>
            <w:r w:rsidR="00104DED" w:rsidRPr="00826725">
              <w:rPr>
                <w:rFonts w:ascii="Arial" w:hAnsi="Arial" w:cs="Arial"/>
                <w:i/>
                <w:iCs/>
                <w:color w:val="000000"/>
                <w:sz w:val="20"/>
                <w:szCs w:val="20"/>
                <w:lang w:val="en-US"/>
              </w:rPr>
              <w:t>μ</w:t>
            </w:r>
            <w:r w:rsidR="00104DED" w:rsidRPr="00826725">
              <w:rPr>
                <w:rFonts w:ascii="Arial" w:hAnsi="Arial" w:cs="Arial"/>
                <w:i/>
                <w:iCs/>
                <w:color w:val="000000"/>
                <w:sz w:val="20"/>
                <w:szCs w:val="20"/>
                <w:vertAlign w:val="subscript"/>
                <w:lang w:val="en-US"/>
              </w:rPr>
              <w:t>z</w:t>
            </w:r>
            <w:proofErr w:type="spellEnd"/>
            <w:r w:rsidR="00104DED" w:rsidRPr="00826725">
              <w:rPr>
                <w:rFonts w:ascii="Arial" w:hAnsi="Arial" w:cs="Arial"/>
                <w:sz w:val="20"/>
                <w:szCs w:val="20"/>
                <w:lang w:val="en-US" w:eastAsia="hr-HR"/>
              </w:rPr>
              <w:t xml:space="preserve">) </w:t>
            </w:r>
            <w:r w:rsidR="00435F26" w:rsidRPr="00826725">
              <w:rPr>
                <w:rFonts w:ascii="Arial" w:hAnsi="Arial" w:cs="Arial"/>
                <w:sz w:val="20"/>
                <w:szCs w:val="20"/>
                <w:lang w:val="en-US" w:eastAsia="hr-HR"/>
              </w:rPr>
              <w:t>and management</w:t>
            </w:r>
            <w:r w:rsidR="00104DED" w:rsidRPr="00826725">
              <w:rPr>
                <w:rFonts w:ascii="Arial" w:hAnsi="Arial" w:cs="Arial"/>
                <w:sz w:val="20"/>
                <w:szCs w:val="20"/>
                <w:lang w:val="en-US" w:eastAsia="hr-HR"/>
              </w:rPr>
              <w:t xml:space="preserve"> (</w:t>
            </w:r>
            <w:proofErr w:type="spellStart"/>
            <w:r w:rsidR="00104DED" w:rsidRPr="00826725">
              <w:rPr>
                <w:rFonts w:ascii="Arial" w:hAnsi="Arial" w:cs="Arial"/>
                <w:i/>
                <w:iCs/>
                <w:color w:val="000000"/>
                <w:sz w:val="20"/>
                <w:szCs w:val="20"/>
                <w:lang w:val="en-US"/>
              </w:rPr>
              <w:t>μ</w:t>
            </w:r>
            <w:r w:rsidR="00104DED" w:rsidRPr="00826725">
              <w:rPr>
                <w:rFonts w:ascii="Arial" w:hAnsi="Arial" w:cs="Arial"/>
                <w:i/>
                <w:iCs/>
                <w:color w:val="000000"/>
                <w:sz w:val="20"/>
                <w:szCs w:val="20"/>
                <w:vertAlign w:val="subscript"/>
                <w:lang w:val="en-US"/>
              </w:rPr>
              <w:t>m</w:t>
            </w:r>
            <w:proofErr w:type="spellEnd"/>
            <w:r w:rsidR="00104DED" w:rsidRPr="00826725">
              <w:rPr>
                <w:rFonts w:ascii="Arial" w:hAnsi="Arial" w:cs="Arial"/>
                <w:sz w:val="20"/>
                <w:szCs w:val="20"/>
                <w:lang w:val="en-US" w:eastAsia="hr-HR"/>
              </w:rPr>
              <w:t>)</w:t>
            </w:r>
          </w:p>
        </w:tc>
      </w:tr>
    </w:tbl>
    <w:p w14:paraId="6835288C" w14:textId="0A2CC6F6" w:rsidR="00E937AC" w:rsidRDefault="00630635" w:rsidP="00461CA3">
      <w:pPr>
        <w:spacing w:line="276" w:lineRule="auto"/>
        <w:jc w:val="both"/>
        <w:rPr>
          <w:rFonts w:ascii="Arial" w:hAnsi="Arial" w:cs="Arial"/>
          <w:sz w:val="18"/>
          <w:szCs w:val="18"/>
          <w:lang w:val="en-US"/>
        </w:rPr>
      </w:pPr>
      <w:r w:rsidRPr="00826725">
        <w:rPr>
          <w:rFonts w:ascii="Arial" w:hAnsi="Arial" w:cs="Arial"/>
          <w:sz w:val="18"/>
          <w:szCs w:val="18"/>
          <w:lang w:val="en-US"/>
        </w:rPr>
        <w:t>Source: Authors, the results of the empirical research</w:t>
      </w:r>
    </w:p>
    <w:p w14:paraId="72D98E6D" w14:textId="49AD7DC9" w:rsidR="00E937AC" w:rsidRDefault="00E937AC" w:rsidP="00461CA3">
      <w:pPr>
        <w:spacing w:line="276" w:lineRule="auto"/>
        <w:jc w:val="both"/>
        <w:rPr>
          <w:rFonts w:ascii="Arial" w:hAnsi="Arial" w:cs="Arial"/>
          <w:sz w:val="18"/>
          <w:szCs w:val="18"/>
          <w:lang w:val="en-US"/>
        </w:rPr>
      </w:pPr>
    </w:p>
    <w:p w14:paraId="1FBF6E13" w14:textId="77777777" w:rsidR="00E937AC" w:rsidRPr="00E937AC" w:rsidRDefault="00E937AC" w:rsidP="00461CA3">
      <w:pPr>
        <w:spacing w:line="276" w:lineRule="auto"/>
        <w:jc w:val="both"/>
        <w:rPr>
          <w:rFonts w:ascii="Arial" w:hAnsi="Arial" w:cs="Arial"/>
          <w:sz w:val="18"/>
          <w:szCs w:val="18"/>
          <w:lang w:val="en-US"/>
        </w:rPr>
        <w:sectPr w:rsidR="00E937AC" w:rsidRPr="00E937A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6234ED9" w14:textId="77777777" w:rsidR="00E937AC" w:rsidRDefault="000B30E6" w:rsidP="000B30E6">
      <w:pPr>
        <w:autoSpaceDE w:val="0"/>
        <w:autoSpaceDN w:val="0"/>
        <w:adjustRightInd w:val="0"/>
        <w:jc w:val="both"/>
        <w:rPr>
          <w:rFonts w:ascii="Arial" w:hAnsi="Arial" w:cs="Arial"/>
          <w:sz w:val="20"/>
          <w:szCs w:val="20"/>
          <w:lang w:val="en-US"/>
        </w:rPr>
      </w:pPr>
      <w:r w:rsidRPr="00826725">
        <w:rPr>
          <w:rFonts w:ascii="Arial" w:hAnsi="Arial" w:cs="Arial"/>
          <w:sz w:val="20"/>
          <w:szCs w:val="20"/>
          <w:lang w:val="en-US"/>
        </w:rPr>
        <w:t xml:space="preserve">Given this, for all internal marketing dimensions (except for dimension D1), the values in the first row (Equal variances assumed) in the "Sig. (2-tailed)" column are considered. For dimensions where </w:t>
      </w:r>
      <w:r w:rsidRPr="00947D5B">
        <w:rPr>
          <w:rFonts w:ascii="Arial" w:hAnsi="Arial" w:cs="Arial"/>
          <w:sz w:val="20"/>
          <w:szCs w:val="20"/>
          <w:lang w:val="en-US"/>
        </w:rPr>
        <w:t xml:space="preserve">the </w:t>
      </w:r>
      <w:r w:rsidR="00AD5653" w:rsidRPr="00947D5B">
        <w:rPr>
          <w:rFonts w:ascii="Arial" w:hAnsi="Arial" w:cs="Arial"/>
          <w:sz w:val="20"/>
          <w:szCs w:val="20"/>
          <w:lang w:val="hr-BA"/>
        </w:rPr>
        <w:t>p-value o</w:t>
      </w:r>
      <w:proofErr w:type="spellStart"/>
      <w:r w:rsidRPr="00947D5B">
        <w:rPr>
          <w:rFonts w:ascii="Arial" w:hAnsi="Arial" w:cs="Arial"/>
          <w:sz w:val="20"/>
          <w:szCs w:val="20"/>
          <w:lang w:val="en-US"/>
        </w:rPr>
        <w:t>f</w:t>
      </w:r>
      <w:proofErr w:type="spellEnd"/>
      <w:r w:rsidRPr="00947D5B">
        <w:rPr>
          <w:rFonts w:ascii="Arial" w:hAnsi="Arial" w:cs="Arial"/>
          <w:sz w:val="20"/>
          <w:szCs w:val="20"/>
          <w:lang w:val="en-US"/>
        </w:rPr>
        <w:t xml:space="preserve"> the t-test is smaller than 0.05 (the risk of a Type</w:t>
      </w:r>
      <w:r w:rsidRPr="00826725">
        <w:rPr>
          <w:rFonts w:ascii="Arial" w:hAnsi="Arial" w:cs="Arial"/>
          <w:sz w:val="20"/>
          <w:szCs w:val="20"/>
          <w:lang w:val="en-US"/>
        </w:rPr>
        <w:t xml:space="preserve"> I error), the null hypothesis of equality of average ratings for the observed attitudes of employees and management is rejected. In our case, this situation occurs for dimension D2 - the pre</w:t>
      </w:r>
      <w:r w:rsidR="0082667A" w:rsidRPr="00826725">
        <w:rPr>
          <w:rFonts w:ascii="Arial" w:hAnsi="Arial" w:cs="Arial"/>
          <w:sz w:val="20"/>
          <w:szCs w:val="20"/>
          <w:lang w:val="en-US"/>
        </w:rPr>
        <w:t>sence</w:t>
      </w:r>
      <w:r w:rsidRPr="00826725">
        <w:rPr>
          <w:rFonts w:ascii="Arial" w:hAnsi="Arial" w:cs="Arial"/>
          <w:sz w:val="20"/>
          <w:szCs w:val="20"/>
          <w:lang w:val="en-US"/>
        </w:rPr>
        <w:t xml:space="preserve"> of the reward system in the bank.</w:t>
      </w:r>
      <w:r w:rsidR="0082667A" w:rsidRPr="00826725">
        <w:rPr>
          <w:rFonts w:ascii="Arial" w:hAnsi="Arial" w:cs="Arial"/>
          <w:sz w:val="20"/>
          <w:szCs w:val="20"/>
          <w:lang w:val="en-US"/>
        </w:rPr>
        <w:t xml:space="preserve"> </w:t>
      </w:r>
      <w:r w:rsidRPr="00826725">
        <w:rPr>
          <w:rFonts w:ascii="Arial" w:hAnsi="Arial" w:cs="Arial"/>
          <w:sz w:val="20"/>
          <w:szCs w:val="20"/>
          <w:lang w:val="en-US"/>
        </w:rPr>
        <w:t xml:space="preserve">Based on this, we conclude that there is a statistically significant difference in the average ratings of the attitudes of the respondents </w:t>
      </w:r>
    </w:p>
    <w:p w14:paraId="765FAD0C" w14:textId="6563F10C" w:rsidR="00DC2807" w:rsidRPr="00826725" w:rsidRDefault="000B30E6" w:rsidP="000B30E6">
      <w:pPr>
        <w:autoSpaceDE w:val="0"/>
        <w:autoSpaceDN w:val="0"/>
        <w:adjustRightInd w:val="0"/>
        <w:jc w:val="both"/>
        <w:rPr>
          <w:rFonts w:ascii="Arial" w:hAnsi="Arial" w:cs="Arial"/>
          <w:sz w:val="20"/>
          <w:szCs w:val="20"/>
          <w:lang w:val="en-US"/>
        </w:rPr>
      </w:pPr>
      <w:r w:rsidRPr="00826725">
        <w:rPr>
          <w:rFonts w:ascii="Arial" w:hAnsi="Arial" w:cs="Arial"/>
          <w:sz w:val="20"/>
          <w:szCs w:val="20"/>
          <w:lang w:val="en-US"/>
        </w:rPr>
        <w:t xml:space="preserve">(both employees and managers) when it comes to the development of the reward system in </w:t>
      </w:r>
      <w:r w:rsidR="0082667A" w:rsidRPr="00826725">
        <w:rPr>
          <w:rFonts w:ascii="Arial" w:hAnsi="Arial" w:cs="Arial"/>
          <w:sz w:val="20"/>
          <w:szCs w:val="20"/>
          <w:lang w:val="en-US"/>
        </w:rPr>
        <w:t xml:space="preserve">the </w:t>
      </w:r>
      <w:r w:rsidRPr="00826725">
        <w:rPr>
          <w:rFonts w:ascii="Arial" w:hAnsi="Arial" w:cs="Arial"/>
          <w:sz w:val="20"/>
          <w:szCs w:val="20"/>
          <w:lang w:val="en-US"/>
        </w:rPr>
        <w:t xml:space="preserve">banks in </w:t>
      </w:r>
      <w:proofErr w:type="spellStart"/>
      <w:r w:rsidR="0082667A" w:rsidRPr="00826725">
        <w:rPr>
          <w:rFonts w:ascii="Arial" w:hAnsi="Arial" w:cs="Arial"/>
          <w:sz w:val="20"/>
          <w:szCs w:val="20"/>
          <w:lang w:val="en-US"/>
        </w:rPr>
        <w:t>BiH</w:t>
      </w:r>
      <w:proofErr w:type="spellEnd"/>
      <w:r w:rsidRPr="00826725">
        <w:rPr>
          <w:rFonts w:ascii="Arial" w:hAnsi="Arial" w:cs="Arial"/>
          <w:sz w:val="20"/>
          <w:szCs w:val="20"/>
          <w:lang w:val="en-US"/>
        </w:rPr>
        <w:t xml:space="preserve"> (dimension D2).</w:t>
      </w:r>
    </w:p>
    <w:p w14:paraId="2CD770C7" w14:textId="77777777" w:rsidR="00DC2807" w:rsidRPr="00826725" w:rsidRDefault="00DC2807" w:rsidP="00C040CF">
      <w:pPr>
        <w:autoSpaceDE w:val="0"/>
        <w:autoSpaceDN w:val="0"/>
        <w:adjustRightInd w:val="0"/>
        <w:jc w:val="both"/>
        <w:rPr>
          <w:rFonts w:ascii="Arial" w:hAnsi="Arial" w:cs="Arial"/>
          <w:sz w:val="20"/>
          <w:szCs w:val="20"/>
          <w:lang w:val="en-US"/>
        </w:rPr>
      </w:pPr>
    </w:p>
    <w:p w14:paraId="59A6BAEA" w14:textId="7E4CA2C3" w:rsidR="00B018AD" w:rsidRPr="00826725" w:rsidRDefault="0082667A" w:rsidP="008A27D0">
      <w:pPr>
        <w:autoSpaceDE w:val="0"/>
        <w:autoSpaceDN w:val="0"/>
        <w:adjustRightInd w:val="0"/>
        <w:jc w:val="both"/>
        <w:rPr>
          <w:rFonts w:ascii="Arial" w:hAnsi="Arial" w:cs="Arial"/>
          <w:sz w:val="20"/>
          <w:szCs w:val="20"/>
          <w:lang w:val="en-US"/>
        </w:rPr>
      </w:pPr>
      <w:r w:rsidRPr="00826725">
        <w:rPr>
          <w:rFonts w:ascii="Arial" w:hAnsi="Arial" w:cs="Arial"/>
          <w:sz w:val="20"/>
          <w:szCs w:val="20"/>
          <w:lang w:val="en-US"/>
        </w:rPr>
        <w:t xml:space="preserve">For the dimensions where the </w:t>
      </w:r>
      <w:r w:rsidRPr="00947D5B">
        <w:rPr>
          <w:rFonts w:ascii="Arial" w:hAnsi="Arial" w:cs="Arial"/>
          <w:sz w:val="20"/>
          <w:szCs w:val="20"/>
          <w:lang w:val="en-US"/>
        </w:rPr>
        <w:t xml:space="preserve">observed </w:t>
      </w:r>
      <w:r w:rsidR="00AD5653" w:rsidRPr="00947D5B">
        <w:rPr>
          <w:rFonts w:ascii="Arial" w:hAnsi="Arial" w:cs="Arial"/>
          <w:sz w:val="20"/>
          <w:szCs w:val="20"/>
          <w:lang w:val="hr-BA"/>
        </w:rPr>
        <w:t>p-value</w:t>
      </w:r>
      <w:r w:rsidR="00AD5653" w:rsidRPr="00826725">
        <w:rPr>
          <w:rFonts w:ascii="Arial" w:hAnsi="Arial" w:cs="Arial"/>
          <w:lang w:val="hr-BA"/>
        </w:rPr>
        <w:t xml:space="preserve"> </w:t>
      </w:r>
      <w:r w:rsidRPr="00826725">
        <w:rPr>
          <w:rFonts w:ascii="Arial" w:hAnsi="Arial" w:cs="Arial"/>
          <w:sz w:val="20"/>
          <w:szCs w:val="20"/>
          <w:lang w:val="en-US"/>
        </w:rPr>
        <w:t>is greater than 0.05, we accept the null hypothesis o</w:t>
      </w:r>
      <w:r w:rsidR="00AD5653" w:rsidRPr="00826725">
        <w:rPr>
          <w:rFonts w:ascii="Arial" w:hAnsi="Arial" w:cs="Arial"/>
          <w:sz w:val="20"/>
          <w:szCs w:val="20"/>
          <w:lang w:val="en-US"/>
        </w:rPr>
        <w:t>f equality of the means a</w:t>
      </w:r>
      <w:r w:rsidRPr="00826725">
        <w:rPr>
          <w:rFonts w:ascii="Arial" w:hAnsi="Arial" w:cs="Arial"/>
          <w:sz w:val="20"/>
          <w:szCs w:val="20"/>
          <w:lang w:val="en-US"/>
        </w:rPr>
        <w:t>nd conclude that there is no statistically significant difference in the average ratings of the attitudes of the observed groups of the respondents (bank employees and management) regarding the specified internal marketing dimensions.</w:t>
      </w:r>
      <w:r w:rsidR="008A27D0" w:rsidRPr="00826725">
        <w:rPr>
          <w:rFonts w:ascii="Arial" w:hAnsi="Arial" w:cs="Arial"/>
          <w:lang w:val="en-US"/>
        </w:rPr>
        <w:t xml:space="preserve"> </w:t>
      </w:r>
      <w:r w:rsidR="008A27D0" w:rsidRPr="00826725">
        <w:rPr>
          <w:rFonts w:ascii="Arial" w:hAnsi="Arial" w:cs="Arial"/>
          <w:sz w:val="20"/>
          <w:szCs w:val="20"/>
          <w:lang w:val="en-US"/>
        </w:rPr>
        <w:t xml:space="preserve">In our case, these dimensions are D3 - The training </w:t>
      </w:r>
      <w:r w:rsidR="00AD5653" w:rsidRPr="00826725">
        <w:rPr>
          <w:rFonts w:ascii="Arial" w:hAnsi="Arial" w:cs="Arial"/>
          <w:sz w:val="20"/>
          <w:szCs w:val="20"/>
          <w:lang w:val="en-US"/>
        </w:rPr>
        <w:t xml:space="preserve">and development </w:t>
      </w:r>
      <w:r w:rsidR="008A27D0" w:rsidRPr="00826725">
        <w:rPr>
          <w:rFonts w:ascii="Arial" w:hAnsi="Arial" w:cs="Arial"/>
          <w:sz w:val="20"/>
          <w:szCs w:val="20"/>
          <w:lang w:val="en-US"/>
        </w:rPr>
        <w:t>system in the bank (Sig. 2-tailed = 0.101) and D4 - The internal communication system in the bank (Sig. 2-tailed = 0.058).</w:t>
      </w:r>
    </w:p>
    <w:p w14:paraId="64B44173" w14:textId="77777777" w:rsidR="00FD4E73" w:rsidRPr="00826725" w:rsidRDefault="00FD4E73" w:rsidP="00C040CF">
      <w:pPr>
        <w:autoSpaceDE w:val="0"/>
        <w:autoSpaceDN w:val="0"/>
        <w:adjustRightInd w:val="0"/>
        <w:jc w:val="both"/>
        <w:rPr>
          <w:rFonts w:ascii="Arial" w:hAnsi="Arial" w:cs="Arial"/>
          <w:sz w:val="20"/>
          <w:szCs w:val="20"/>
          <w:lang w:val="en-US"/>
        </w:rPr>
      </w:pPr>
    </w:p>
    <w:p w14:paraId="2863E173" w14:textId="479CBC8C" w:rsidR="00B018AD" w:rsidRPr="00826725" w:rsidRDefault="008A27D0" w:rsidP="008A27D0">
      <w:pPr>
        <w:autoSpaceDE w:val="0"/>
        <w:autoSpaceDN w:val="0"/>
        <w:adjustRightInd w:val="0"/>
        <w:jc w:val="both"/>
        <w:rPr>
          <w:rFonts w:ascii="Arial" w:hAnsi="Arial" w:cs="Arial"/>
          <w:sz w:val="20"/>
          <w:szCs w:val="20"/>
          <w:lang w:val="en-US"/>
        </w:rPr>
      </w:pPr>
      <w:r w:rsidRPr="00826725">
        <w:rPr>
          <w:rFonts w:ascii="Arial" w:hAnsi="Arial" w:cs="Arial"/>
          <w:sz w:val="20"/>
          <w:szCs w:val="20"/>
          <w:lang w:val="en-US"/>
        </w:rPr>
        <w:t xml:space="preserve">Since the value of Sig. in the </w:t>
      </w:r>
      <w:proofErr w:type="spellStart"/>
      <w:r w:rsidRPr="00826725">
        <w:rPr>
          <w:rFonts w:ascii="Arial" w:hAnsi="Arial" w:cs="Arial"/>
          <w:sz w:val="20"/>
          <w:szCs w:val="20"/>
          <w:lang w:val="en-US"/>
        </w:rPr>
        <w:t>Levene's</w:t>
      </w:r>
      <w:proofErr w:type="spellEnd"/>
      <w:r w:rsidRPr="00826725">
        <w:rPr>
          <w:rFonts w:ascii="Arial" w:hAnsi="Arial" w:cs="Arial"/>
          <w:sz w:val="20"/>
          <w:szCs w:val="20"/>
          <w:lang w:val="en-US"/>
        </w:rPr>
        <w:t xml:space="preserve"> Test column for testing the homogeneity of variance for the first internal marketing dimension (D1) is less than 0.05 (in our case 0.048), we observed the second row </w:t>
      </w:r>
      <w:r w:rsidRPr="00826725">
        <w:rPr>
          <w:rFonts w:ascii="Arial" w:hAnsi="Arial" w:cs="Arial"/>
          <w:sz w:val="20"/>
          <w:szCs w:val="20"/>
          <w:lang w:val="en-US"/>
        </w:rPr>
        <w:lastRenderedPageBreak/>
        <w:t xml:space="preserve">(Equal variances not assumed) for the Sig. value of the t-test. Based on the value of 0.009, we reject the null hypothesis of equality of the </w:t>
      </w:r>
      <w:r w:rsidR="00AD5653" w:rsidRPr="00826725">
        <w:rPr>
          <w:rFonts w:ascii="Arial" w:hAnsi="Arial" w:cs="Arial"/>
          <w:sz w:val="20"/>
          <w:szCs w:val="20"/>
          <w:lang w:val="en-US"/>
        </w:rPr>
        <w:t>means</w:t>
      </w:r>
      <w:r w:rsidRPr="00826725">
        <w:rPr>
          <w:rFonts w:ascii="Arial" w:hAnsi="Arial" w:cs="Arial"/>
          <w:sz w:val="20"/>
          <w:szCs w:val="20"/>
          <w:lang w:val="en-US"/>
        </w:rPr>
        <w:t xml:space="preserve"> and conclude that there is a statistically significant difference in the average ratings o</w:t>
      </w:r>
      <w:r w:rsidR="00947D5B">
        <w:rPr>
          <w:rFonts w:ascii="Arial" w:hAnsi="Arial" w:cs="Arial"/>
          <w:sz w:val="20"/>
          <w:szCs w:val="20"/>
          <w:lang w:val="en-US"/>
        </w:rPr>
        <w:t xml:space="preserve">f the respondents </w:t>
      </w:r>
      <w:r w:rsidRPr="00826725">
        <w:rPr>
          <w:rFonts w:ascii="Arial" w:hAnsi="Arial" w:cs="Arial"/>
          <w:sz w:val="20"/>
          <w:szCs w:val="20"/>
          <w:lang w:val="en-US"/>
        </w:rPr>
        <w:t>(employees and managers) regarding their familiarity with the bank's vision.</w:t>
      </w:r>
      <w:r w:rsidRPr="00826725">
        <w:rPr>
          <w:rFonts w:ascii="Arial" w:hAnsi="Arial" w:cs="Arial"/>
          <w:lang w:val="en-US"/>
        </w:rPr>
        <w:t xml:space="preserve"> </w:t>
      </w:r>
      <w:r w:rsidRPr="00826725">
        <w:rPr>
          <w:rFonts w:ascii="Arial" w:hAnsi="Arial" w:cs="Arial"/>
          <w:sz w:val="20"/>
          <w:szCs w:val="20"/>
          <w:lang w:val="en-US"/>
        </w:rPr>
        <w:t>B</w:t>
      </w:r>
      <w:bookmarkStart w:id="1" w:name="_GoBack"/>
      <w:bookmarkEnd w:id="1"/>
      <w:r w:rsidRPr="00826725">
        <w:rPr>
          <w:rFonts w:ascii="Arial" w:hAnsi="Arial" w:cs="Arial"/>
          <w:sz w:val="20"/>
          <w:szCs w:val="20"/>
          <w:lang w:val="en-US"/>
        </w:rPr>
        <w:t xml:space="preserve">ased on all the above, we conclude that the attitudes of employees and management differ in two out of the four observed internal marketing dimensions in the </w:t>
      </w:r>
      <w:proofErr w:type="spellStart"/>
      <w:r w:rsidRPr="00826725">
        <w:rPr>
          <w:rFonts w:ascii="Arial" w:hAnsi="Arial" w:cs="Arial"/>
          <w:sz w:val="20"/>
          <w:szCs w:val="20"/>
          <w:lang w:val="en-US"/>
        </w:rPr>
        <w:t>BiH</w:t>
      </w:r>
      <w:proofErr w:type="spellEnd"/>
      <w:r w:rsidRPr="00826725">
        <w:rPr>
          <w:rFonts w:ascii="Arial" w:hAnsi="Arial" w:cs="Arial"/>
          <w:sz w:val="20"/>
          <w:szCs w:val="20"/>
          <w:lang w:val="en-US"/>
        </w:rPr>
        <w:t xml:space="preserve"> banks. However, when considering the average ratings given by employees and management for the presence of</w:t>
      </w:r>
      <w:r w:rsidR="00AD5653" w:rsidRPr="00826725">
        <w:rPr>
          <w:rFonts w:ascii="Arial" w:hAnsi="Arial" w:cs="Arial"/>
          <w:sz w:val="20"/>
          <w:szCs w:val="20"/>
          <w:lang w:val="en-US"/>
        </w:rPr>
        <w:t xml:space="preserve"> </w:t>
      </w:r>
      <w:r w:rsidR="00AD5653" w:rsidRPr="00826725">
        <w:rPr>
          <w:rFonts w:ascii="Arial" w:hAnsi="Arial" w:cs="Arial"/>
          <w:color w:val="000000"/>
          <w:sz w:val="20"/>
          <w:szCs w:val="20"/>
          <w:lang w:val="en-US" w:eastAsia="hr-HR"/>
        </w:rPr>
        <w:t>training and development system</w:t>
      </w:r>
      <w:r w:rsidRPr="00826725">
        <w:rPr>
          <w:rFonts w:ascii="Arial" w:hAnsi="Arial" w:cs="Arial"/>
          <w:sz w:val="20"/>
          <w:szCs w:val="20"/>
          <w:lang w:val="en-US"/>
        </w:rPr>
        <w:t xml:space="preserve"> (D3) and internal communication system (D4), we cannot be satisfied with the results obtained.</w:t>
      </w:r>
      <w:r w:rsidR="00996854" w:rsidRPr="00826725">
        <w:rPr>
          <w:rFonts w:ascii="Arial" w:hAnsi="Arial" w:cs="Arial"/>
          <w:sz w:val="20"/>
          <w:szCs w:val="20"/>
          <w:lang w:val="en-US"/>
        </w:rPr>
        <w:t xml:space="preserve"> </w:t>
      </w:r>
      <w:r w:rsidRPr="00826725">
        <w:rPr>
          <w:rFonts w:ascii="Arial" w:hAnsi="Arial" w:cs="Arial"/>
          <w:sz w:val="20"/>
          <w:szCs w:val="20"/>
          <w:lang w:val="en-US"/>
        </w:rPr>
        <w:t>The</w:t>
      </w:r>
      <w:r w:rsidR="00996854" w:rsidRPr="00826725">
        <w:rPr>
          <w:rFonts w:ascii="Arial" w:hAnsi="Arial" w:cs="Arial"/>
          <w:sz w:val="20"/>
          <w:szCs w:val="20"/>
          <w:lang w:val="en-US"/>
        </w:rPr>
        <w:t xml:space="preserve"> bank</w:t>
      </w:r>
      <w:r w:rsidRPr="00826725">
        <w:rPr>
          <w:rFonts w:ascii="Arial" w:hAnsi="Arial" w:cs="Arial"/>
          <w:sz w:val="20"/>
          <w:szCs w:val="20"/>
          <w:lang w:val="en-US"/>
        </w:rPr>
        <w:t xml:space="preserve"> management</w:t>
      </w:r>
      <w:r w:rsidR="00996854" w:rsidRPr="00826725">
        <w:rPr>
          <w:rFonts w:ascii="Arial" w:hAnsi="Arial" w:cs="Arial"/>
          <w:sz w:val="20"/>
          <w:szCs w:val="20"/>
          <w:lang w:val="en-US"/>
        </w:rPr>
        <w:t xml:space="preserve"> </w:t>
      </w:r>
      <w:r w:rsidRPr="00826725">
        <w:rPr>
          <w:rFonts w:ascii="Arial" w:hAnsi="Arial" w:cs="Arial"/>
          <w:sz w:val="20"/>
          <w:szCs w:val="20"/>
          <w:lang w:val="en-US"/>
        </w:rPr>
        <w:t>must pay special attention to improving both formal and informal communication channels with their employees, as well as improving material and non-material reward systems if they wish to maintain and enhance the performance of their bank.</w:t>
      </w:r>
    </w:p>
    <w:p w14:paraId="24B77866" w14:textId="77777777" w:rsidR="00E14377" w:rsidRPr="00826725" w:rsidRDefault="00E14377" w:rsidP="00C040CF">
      <w:pPr>
        <w:autoSpaceDE w:val="0"/>
        <w:autoSpaceDN w:val="0"/>
        <w:adjustRightInd w:val="0"/>
        <w:jc w:val="both"/>
        <w:rPr>
          <w:rFonts w:ascii="Arial" w:hAnsi="Arial" w:cs="Arial"/>
          <w:sz w:val="20"/>
          <w:szCs w:val="20"/>
          <w:lang w:val="en-US"/>
        </w:rPr>
      </w:pPr>
    </w:p>
    <w:p w14:paraId="55FD4473" w14:textId="399284D6" w:rsidR="006F5160" w:rsidRPr="00E86536" w:rsidRDefault="00996854" w:rsidP="00E86536">
      <w:pPr>
        <w:autoSpaceDE w:val="0"/>
        <w:autoSpaceDN w:val="0"/>
        <w:adjustRightInd w:val="0"/>
        <w:jc w:val="both"/>
        <w:rPr>
          <w:rFonts w:ascii="Arial" w:hAnsi="Arial" w:cs="Arial"/>
          <w:sz w:val="20"/>
          <w:szCs w:val="20"/>
          <w:lang w:val="en-US"/>
        </w:rPr>
        <w:sectPr w:rsidR="006F5160" w:rsidRPr="00E86536"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r w:rsidRPr="00826725">
        <w:rPr>
          <w:rFonts w:ascii="Arial" w:hAnsi="Arial" w:cs="Arial"/>
          <w:sz w:val="20"/>
          <w:szCs w:val="20"/>
          <w:lang w:val="en-US"/>
        </w:rPr>
        <w:t xml:space="preserve">In addition to the previously conducted analysis, it would be interesting to examine whether certain socio-demographic characteristics of the respondents influence their attitudes towards the presence of specific internal marketing dimensions in the </w:t>
      </w:r>
      <w:proofErr w:type="spellStart"/>
      <w:r w:rsidRPr="00826725">
        <w:rPr>
          <w:rFonts w:ascii="Arial" w:hAnsi="Arial" w:cs="Arial"/>
          <w:sz w:val="20"/>
          <w:szCs w:val="20"/>
          <w:lang w:val="en-US"/>
        </w:rPr>
        <w:t>BiH</w:t>
      </w:r>
      <w:proofErr w:type="spellEnd"/>
      <w:r w:rsidRPr="00826725">
        <w:rPr>
          <w:rFonts w:ascii="Arial" w:hAnsi="Arial" w:cs="Arial"/>
          <w:sz w:val="20"/>
          <w:szCs w:val="20"/>
          <w:lang w:val="en-US"/>
        </w:rPr>
        <w:t xml:space="preserve"> banks. Therefore, in the following section of the paper, we present the results of the</w:t>
      </w:r>
      <w:r w:rsidR="00E86536">
        <w:rPr>
          <w:rFonts w:ascii="Arial" w:hAnsi="Arial" w:cs="Arial"/>
          <w:sz w:val="20"/>
          <w:szCs w:val="20"/>
          <w:lang w:val="en-US"/>
        </w:rPr>
        <w:t xml:space="preserve"> Chi-Square (χ²) test (Table 3).</w:t>
      </w:r>
    </w:p>
    <w:p w14:paraId="46C42877" w14:textId="77777777" w:rsidR="006F5160" w:rsidRDefault="006F5160" w:rsidP="005A3FDD">
      <w:pPr>
        <w:pStyle w:val="NormalWeb"/>
        <w:spacing w:before="0" w:beforeAutospacing="0" w:after="0" w:afterAutospacing="0"/>
        <w:jc w:val="center"/>
        <w:rPr>
          <w:rFonts w:ascii="Arial" w:hAnsi="Arial" w:cs="Arial"/>
          <w:b/>
          <w:sz w:val="20"/>
          <w:szCs w:val="20"/>
        </w:rPr>
      </w:pPr>
    </w:p>
    <w:p w14:paraId="34B0CD48" w14:textId="64164E3B" w:rsidR="003C4975" w:rsidRPr="00826725" w:rsidRDefault="009D3731" w:rsidP="00C040CF">
      <w:pPr>
        <w:pStyle w:val="NormalWeb"/>
        <w:jc w:val="center"/>
        <w:rPr>
          <w:rFonts w:ascii="Arial" w:hAnsi="Arial" w:cs="Arial"/>
          <w:b/>
          <w:sz w:val="20"/>
          <w:szCs w:val="20"/>
        </w:rPr>
      </w:pPr>
      <w:r w:rsidRPr="00826725">
        <w:rPr>
          <w:rFonts w:ascii="Arial" w:hAnsi="Arial" w:cs="Arial"/>
          <w:b/>
          <w:sz w:val="20"/>
          <w:szCs w:val="20"/>
        </w:rPr>
        <w:t>T</w:t>
      </w:r>
      <w:r w:rsidR="00822FBF" w:rsidRPr="00826725">
        <w:rPr>
          <w:rFonts w:ascii="Arial" w:hAnsi="Arial" w:cs="Arial"/>
          <w:b/>
          <w:sz w:val="20"/>
          <w:szCs w:val="20"/>
        </w:rPr>
        <w:t>ab</w:t>
      </w:r>
      <w:r w:rsidR="00996854" w:rsidRPr="00826725">
        <w:rPr>
          <w:rFonts w:ascii="Arial" w:hAnsi="Arial" w:cs="Arial"/>
          <w:b/>
          <w:sz w:val="20"/>
          <w:szCs w:val="20"/>
        </w:rPr>
        <w:t>le</w:t>
      </w:r>
      <w:r w:rsidR="00822FBF" w:rsidRPr="00826725">
        <w:rPr>
          <w:rFonts w:ascii="Arial" w:hAnsi="Arial" w:cs="Arial"/>
          <w:b/>
          <w:sz w:val="20"/>
          <w:szCs w:val="20"/>
        </w:rPr>
        <w:t xml:space="preserve"> 3.</w:t>
      </w:r>
      <w:r w:rsidR="00302FC1" w:rsidRPr="00826725">
        <w:rPr>
          <w:rFonts w:ascii="Arial" w:hAnsi="Arial" w:cs="Arial"/>
          <w:b/>
          <w:sz w:val="20"/>
          <w:szCs w:val="20"/>
        </w:rPr>
        <w:t xml:space="preserve"> The impact of socio-demographic characteristics on the attitudes of the respondents towards the presence of the reward system in the banks in </w:t>
      </w:r>
      <w:proofErr w:type="spellStart"/>
      <w:r w:rsidR="00302FC1" w:rsidRPr="00826725">
        <w:rPr>
          <w:rFonts w:ascii="Arial" w:hAnsi="Arial" w:cs="Arial"/>
          <w:b/>
          <w:sz w:val="20"/>
          <w:szCs w:val="20"/>
        </w:rPr>
        <w:t>BiH</w:t>
      </w:r>
      <w:proofErr w:type="spellEnd"/>
    </w:p>
    <w:tbl>
      <w:tblPr>
        <w:tblStyle w:val="TableGrid"/>
        <w:tblW w:w="5000" w:type="pct"/>
        <w:tblCellMar>
          <w:left w:w="0" w:type="dxa"/>
          <w:right w:w="0" w:type="dxa"/>
        </w:tblCellMar>
        <w:tblLook w:val="04A0" w:firstRow="1" w:lastRow="0" w:firstColumn="1" w:lastColumn="0" w:noHBand="0" w:noVBand="1"/>
      </w:tblPr>
      <w:tblGrid>
        <w:gridCol w:w="1637"/>
        <w:gridCol w:w="3129"/>
        <w:gridCol w:w="1062"/>
        <w:gridCol w:w="1062"/>
        <w:gridCol w:w="1062"/>
        <w:gridCol w:w="1064"/>
      </w:tblGrid>
      <w:tr w:rsidR="003C4975" w:rsidRPr="00826725" w14:paraId="570CE807" w14:textId="77777777" w:rsidTr="003C4975">
        <w:trPr>
          <w:cantSplit/>
          <w:trHeight w:val="413"/>
          <w:tblHeader/>
        </w:trPr>
        <w:tc>
          <w:tcPr>
            <w:tcW w:w="908" w:type="pct"/>
            <w:vMerge w:val="restart"/>
            <w:shd w:val="clear" w:color="auto" w:fill="A6A6A6" w:themeFill="background1" w:themeFillShade="A6"/>
            <w:vAlign w:val="center"/>
          </w:tcPr>
          <w:p w14:paraId="47330A51" w14:textId="2BAF5AAB"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Independent variable</w:t>
            </w:r>
          </w:p>
        </w:tc>
        <w:tc>
          <w:tcPr>
            <w:tcW w:w="1735" w:type="pct"/>
            <w:vMerge w:val="restart"/>
            <w:shd w:val="clear" w:color="auto" w:fill="A6A6A6" w:themeFill="background1" w:themeFillShade="A6"/>
            <w:vAlign w:val="center"/>
          </w:tcPr>
          <w:p w14:paraId="0C1F9EBE" w14:textId="30B3999E"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Elements of the Chi-Square test</w:t>
            </w:r>
          </w:p>
        </w:tc>
        <w:tc>
          <w:tcPr>
            <w:tcW w:w="2357" w:type="pct"/>
            <w:gridSpan w:val="4"/>
            <w:shd w:val="clear" w:color="auto" w:fill="A6A6A6" w:themeFill="background1" w:themeFillShade="A6"/>
            <w:vAlign w:val="center"/>
          </w:tcPr>
          <w:p w14:paraId="30E4CABF" w14:textId="139A0852" w:rsidR="003C4975" w:rsidRPr="00826725" w:rsidRDefault="00996854" w:rsidP="00822FBF">
            <w:pPr>
              <w:spacing w:line="276" w:lineRule="auto"/>
              <w:jc w:val="center"/>
              <w:rPr>
                <w:rFonts w:ascii="Arial" w:hAnsi="Arial" w:cs="Arial"/>
                <w:sz w:val="20"/>
                <w:szCs w:val="20"/>
                <w:lang w:val="en-US"/>
              </w:rPr>
            </w:pPr>
            <w:r w:rsidRPr="00826725">
              <w:rPr>
                <w:rFonts w:ascii="Arial" w:hAnsi="Arial" w:cs="Arial"/>
                <w:sz w:val="20"/>
                <w:szCs w:val="20"/>
                <w:lang w:val="en-US"/>
              </w:rPr>
              <w:t>Dependent variables (the attitudes of the respondents towards the observed internal marketing dimensions</w:t>
            </w:r>
          </w:p>
        </w:tc>
      </w:tr>
      <w:tr w:rsidR="003C4975" w:rsidRPr="00826725" w14:paraId="2476B7AD" w14:textId="77777777" w:rsidTr="003C4975">
        <w:trPr>
          <w:cantSplit/>
          <w:trHeight w:val="341"/>
          <w:tblHeader/>
        </w:trPr>
        <w:tc>
          <w:tcPr>
            <w:tcW w:w="908" w:type="pct"/>
            <w:vMerge/>
            <w:shd w:val="clear" w:color="auto" w:fill="A6A6A6" w:themeFill="background1" w:themeFillShade="A6"/>
          </w:tcPr>
          <w:p w14:paraId="252E4683" w14:textId="77777777" w:rsidR="003C4975" w:rsidRPr="00826725" w:rsidRDefault="003C4975" w:rsidP="00822FBF">
            <w:pPr>
              <w:spacing w:line="276" w:lineRule="auto"/>
              <w:rPr>
                <w:rFonts w:ascii="Arial" w:hAnsi="Arial" w:cs="Arial"/>
                <w:sz w:val="20"/>
                <w:szCs w:val="20"/>
                <w:lang w:val="en-US"/>
              </w:rPr>
            </w:pPr>
          </w:p>
        </w:tc>
        <w:tc>
          <w:tcPr>
            <w:tcW w:w="1735" w:type="pct"/>
            <w:vMerge/>
            <w:shd w:val="clear" w:color="auto" w:fill="A6A6A6" w:themeFill="background1" w:themeFillShade="A6"/>
          </w:tcPr>
          <w:p w14:paraId="7B53CDA1"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904829D" w14:textId="3C2825F9"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D1</w:t>
            </w:r>
          </w:p>
        </w:tc>
        <w:tc>
          <w:tcPr>
            <w:tcW w:w="589" w:type="pct"/>
            <w:shd w:val="clear" w:color="auto" w:fill="D9D9D9" w:themeFill="background1" w:themeFillShade="D9"/>
            <w:vAlign w:val="center"/>
          </w:tcPr>
          <w:p w14:paraId="1D1394E2" w14:textId="241E40DB"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D2</w:t>
            </w:r>
          </w:p>
        </w:tc>
        <w:tc>
          <w:tcPr>
            <w:tcW w:w="589" w:type="pct"/>
            <w:shd w:val="clear" w:color="auto" w:fill="D9D9D9" w:themeFill="background1" w:themeFillShade="D9"/>
            <w:vAlign w:val="center"/>
          </w:tcPr>
          <w:p w14:paraId="13435F65" w14:textId="7C3DC542"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D3</w:t>
            </w:r>
          </w:p>
        </w:tc>
        <w:tc>
          <w:tcPr>
            <w:tcW w:w="590" w:type="pct"/>
            <w:shd w:val="clear" w:color="auto" w:fill="D9D9D9" w:themeFill="background1" w:themeFillShade="D9"/>
            <w:vAlign w:val="center"/>
          </w:tcPr>
          <w:p w14:paraId="1AAF6F80" w14:textId="40E91309"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D4</w:t>
            </w:r>
          </w:p>
        </w:tc>
      </w:tr>
      <w:tr w:rsidR="003C4975" w:rsidRPr="00826725" w14:paraId="20C15C66" w14:textId="77777777" w:rsidTr="003C4975">
        <w:trPr>
          <w:cantSplit/>
          <w:tblHeader/>
        </w:trPr>
        <w:tc>
          <w:tcPr>
            <w:tcW w:w="908" w:type="pct"/>
          </w:tcPr>
          <w:p w14:paraId="79712F67" w14:textId="77777777" w:rsidR="003C4975" w:rsidRPr="00826725" w:rsidRDefault="003C4975" w:rsidP="00822FBF">
            <w:pPr>
              <w:spacing w:line="276" w:lineRule="auto"/>
              <w:rPr>
                <w:rFonts w:ascii="Arial" w:hAnsi="Arial" w:cs="Arial"/>
                <w:sz w:val="20"/>
                <w:szCs w:val="20"/>
                <w:lang w:val="en-US"/>
              </w:rPr>
            </w:pPr>
          </w:p>
        </w:tc>
        <w:tc>
          <w:tcPr>
            <w:tcW w:w="1735" w:type="pct"/>
          </w:tcPr>
          <w:p w14:paraId="06346E2B" w14:textId="77777777" w:rsidR="003C4975" w:rsidRPr="00826725" w:rsidRDefault="003C4975" w:rsidP="00822FBF">
            <w:pPr>
              <w:spacing w:line="276" w:lineRule="auto"/>
              <w:rPr>
                <w:rFonts w:ascii="Arial" w:hAnsi="Arial" w:cs="Arial"/>
                <w:color w:val="000000"/>
                <w:sz w:val="20"/>
                <w:szCs w:val="20"/>
                <w:lang w:val="en-US"/>
              </w:rPr>
            </w:pPr>
          </w:p>
        </w:tc>
        <w:tc>
          <w:tcPr>
            <w:tcW w:w="589" w:type="pct"/>
            <w:vAlign w:val="center"/>
          </w:tcPr>
          <w:p w14:paraId="247322E4" w14:textId="77777777" w:rsidR="003C4975" w:rsidRPr="00826725" w:rsidRDefault="003C4975" w:rsidP="00822FBF">
            <w:pPr>
              <w:spacing w:line="276" w:lineRule="auto"/>
              <w:jc w:val="center"/>
              <w:rPr>
                <w:rFonts w:ascii="Arial" w:hAnsi="Arial" w:cs="Arial"/>
                <w:color w:val="000000"/>
                <w:sz w:val="20"/>
                <w:szCs w:val="20"/>
                <w:lang w:val="en-US"/>
              </w:rPr>
            </w:pPr>
          </w:p>
        </w:tc>
        <w:tc>
          <w:tcPr>
            <w:tcW w:w="589" w:type="pct"/>
            <w:vAlign w:val="center"/>
          </w:tcPr>
          <w:p w14:paraId="700E524D" w14:textId="77777777" w:rsidR="003C4975" w:rsidRPr="00826725" w:rsidRDefault="003C4975" w:rsidP="00822FBF">
            <w:pPr>
              <w:spacing w:line="276" w:lineRule="auto"/>
              <w:jc w:val="center"/>
              <w:rPr>
                <w:rFonts w:ascii="Arial" w:hAnsi="Arial" w:cs="Arial"/>
                <w:sz w:val="20"/>
                <w:szCs w:val="20"/>
                <w:lang w:val="en-US"/>
              </w:rPr>
            </w:pPr>
          </w:p>
        </w:tc>
        <w:tc>
          <w:tcPr>
            <w:tcW w:w="589" w:type="pct"/>
            <w:vAlign w:val="center"/>
          </w:tcPr>
          <w:p w14:paraId="70784D21" w14:textId="77777777" w:rsidR="003C4975" w:rsidRPr="00826725" w:rsidRDefault="003C4975" w:rsidP="00822FBF">
            <w:pPr>
              <w:spacing w:line="276" w:lineRule="auto"/>
              <w:jc w:val="center"/>
              <w:rPr>
                <w:rFonts w:ascii="Arial" w:hAnsi="Arial" w:cs="Arial"/>
                <w:sz w:val="20"/>
                <w:szCs w:val="20"/>
                <w:lang w:val="en-US"/>
              </w:rPr>
            </w:pPr>
          </w:p>
        </w:tc>
        <w:tc>
          <w:tcPr>
            <w:tcW w:w="590" w:type="pct"/>
            <w:vAlign w:val="center"/>
          </w:tcPr>
          <w:p w14:paraId="5233E040"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7A3C981D" w14:textId="77777777" w:rsidTr="003C4975">
        <w:tc>
          <w:tcPr>
            <w:tcW w:w="908" w:type="pct"/>
            <w:vMerge w:val="restart"/>
          </w:tcPr>
          <w:p w14:paraId="3B6D98AE" w14:textId="2DE92684"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Age</w:t>
            </w:r>
          </w:p>
        </w:tc>
        <w:tc>
          <w:tcPr>
            <w:tcW w:w="1735" w:type="pct"/>
          </w:tcPr>
          <w:p w14:paraId="76870E92"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3646DC31"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577A2608" w14:textId="0C74CEEB"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color w:val="000000"/>
                <w:sz w:val="20"/>
                <w:szCs w:val="20"/>
                <w:lang w:val="en-US"/>
              </w:rPr>
              <w:t>.</w:t>
            </w:r>
            <w:r w:rsidR="003C4975" w:rsidRPr="00826725">
              <w:rPr>
                <w:rFonts w:ascii="Arial" w:hAnsi="Arial" w:cs="Arial"/>
                <w:color w:val="000000"/>
                <w:sz w:val="20"/>
                <w:szCs w:val="20"/>
                <w:lang w:val="en-US"/>
              </w:rPr>
              <w:t>477</w:t>
            </w:r>
          </w:p>
        </w:tc>
        <w:tc>
          <w:tcPr>
            <w:tcW w:w="589" w:type="pct"/>
            <w:vAlign w:val="center"/>
          </w:tcPr>
          <w:p w14:paraId="0411DFC5" w14:textId="1B4BC126"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716</w:t>
            </w:r>
          </w:p>
        </w:tc>
        <w:tc>
          <w:tcPr>
            <w:tcW w:w="589" w:type="pct"/>
            <w:shd w:val="clear" w:color="auto" w:fill="auto"/>
            <w:vAlign w:val="center"/>
          </w:tcPr>
          <w:p w14:paraId="3CC23A65" w14:textId="2B7009DF" w:rsidR="003C4975" w:rsidRPr="00826725" w:rsidRDefault="00AD5653" w:rsidP="003C4975">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3C4975" w:rsidRPr="00826725">
              <w:rPr>
                <w:rFonts w:ascii="Arial" w:hAnsi="Arial" w:cs="Arial"/>
                <w:color w:val="000000"/>
                <w:sz w:val="20"/>
                <w:szCs w:val="20"/>
                <w:lang w:val="en-US"/>
              </w:rPr>
              <w:t>781</w:t>
            </w:r>
          </w:p>
        </w:tc>
        <w:tc>
          <w:tcPr>
            <w:tcW w:w="590" w:type="pct"/>
            <w:vAlign w:val="center"/>
          </w:tcPr>
          <w:p w14:paraId="02470684" w14:textId="70B50D1C"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595</w:t>
            </w:r>
          </w:p>
        </w:tc>
      </w:tr>
      <w:tr w:rsidR="00AD5653" w:rsidRPr="00826725" w14:paraId="54DFE40E" w14:textId="77777777" w:rsidTr="003C4975">
        <w:tc>
          <w:tcPr>
            <w:tcW w:w="908" w:type="pct"/>
            <w:vMerge/>
          </w:tcPr>
          <w:p w14:paraId="01A48B59" w14:textId="77777777" w:rsidR="00AD5653" w:rsidRPr="00826725" w:rsidRDefault="00AD5653" w:rsidP="00AD5653">
            <w:pPr>
              <w:spacing w:line="276" w:lineRule="auto"/>
              <w:rPr>
                <w:rFonts w:ascii="Arial" w:hAnsi="Arial" w:cs="Arial"/>
                <w:sz w:val="20"/>
                <w:szCs w:val="20"/>
                <w:lang w:val="en-US"/>
              </w:rPr>
            </w:pPr>
          </w:p>
        </w:tc>
        <w:tc>
          <w:tcPr>
            <w:tcW w:w="1735" w:type="pct"/>
          </w:tcPr>
          <w:p w14:paraId="20827DB8" w14:textId="77777777" w:rsidR="00AD5653" w:rsidRPr="00826725" w:rsidRDefault="00AD5653" w:rsidP="00AD5653">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491DD203" w14:textId="2369C692"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.477</w:t>
            </w:r>
          </w:p>
        </w:tc>
        <w:tc>
          <w:tcPr>
            <w:tcW w:w="589" w:type="pct"/>
          </w:tcPr>
          <w:p w14:paraId="180E9E16" w14:textId="40FFEC5C"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.716</w:t>
            </w:r>
          </w:p>
        </w:tc>
        <w:tc>
          <w:tcPr>
            <w:tcW w:w="589" w:type="pct"/>
            <w:shd w:val="clear" w:color="auto" w:fill="auto"/>
          </w:tcPr>
          <w:p w14:paraId="03D37DD3" w14:textId="0E3AD30F"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.781</w:t>
            </w:r>
          </w:p>
        </w:tc>
        <w:tc>
          <w:tcPr>
            <w:tcW w:w="590" w:type="pct"/>
          </w:tcPr>
          <w:p w14:paraId="638EB43C" w14:textId="3D01B7C8"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.595</w:t>
            </w:r>
          </w:p>
        </w:tc>
      </w:tr>
      <w:tr w:rsidR="00AD5653" w:rsidRPr="00826725" w14:paraId="640DCD09" w14:textId="77777777" w:rsidTr="003C4975">
        <w:tc>
          <w:tcPr>
            <w:tcW w:w="908" w:type="pct"/>
            <w:vMerge/>
          </w:tcPr>
          <w:p w14:paraId="2C3CD8E9" w14:textId="77777777" w:rsidR="00AD5653" w:rsidRPr="00826725" w:rsidRDefault="00AD5653" w:rsidP="00AD5653">
            <w:pPr>
              <w:spacing w:line="276" w:lineRule="auto"/>
              <w:rPr>
                <w:rFonts w:ascii="Arial" w:hAnsi="Arial" w:cs="Arial"/>
                <w:sz w:val="20"/>
                <w:szCs w:val="20"/>
                <w:lang w:val="en-US"/>
              </w:rPr>
            </w:pPr>
          </w:p>
        </w:tc>
        <w:tc>
          <w:tcPr>
            <w:tcW w:w="1735" w:type="pct"/>
          </w:tcPr>
          <w:p w14:paraId="355A24BB" w14:textId="77777777" w:rsidR="00AD5653" w:rsidRPr="00826725" w:rsidRDefault="00AD5653" w:rsidP="00AD5653">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5E3FFBB7" w14:textId="3B60CB68"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.477</w:t>
            </w:r>
          </w:p>
        </w:tc>
        <w:tc>
          <w:tcPr>
            <w:tcW w:w="589" w:type="pct"/>
          </w:tcPr>
          <w:p w14:paraId="57A876E4" w14:textId="7314822F"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.716</w:t>
            </w:r>
          </w:p>
        </w:tc>
        <w:tc>
          <w:tcPr>
            <w:tcW w:w="589" w:type="pct"/>
            <w:shd w:val="clear" w:color="auto" w:fill="auto"/>
          </w:tcPr>
          <w:p w14:paraId="74E5F9BE" w14:textId="2CAC5FDA"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.781</w:t>
            </w:r>
          </w:p>
        </w:tc>
        <w:tc>
          <w:tcPr>
            <w:tcW w:w="590" w:type="pct"/>
          </w:tcPr>
          <w:p w14:paraId="35AAE3F6" w14:textId="06766806"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.595</w:t>
            </w:r>
          </w:p>
        </w:tc>
      </w:tr>
      <w:tr w:rsidR="003C4975" w:rsidRPr="00826725" w14:paraId="467F09F0" w14:textId="77777777" w:rsidTr="003C4975">
        <w:tc>
          <w:tcPr>
            <w:tcW w:w="908" w:type="pct"/>
            <w:shd w:val="clear" w:color="auto" w:fill="D9D9D9" w:themeFill="background1" w:themeFillShade="D9"/>
          </w:tcPr>
          <w:p w14:paraId="007FBCF9"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3F8142BF"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CEA6C42"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2848013C"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6D642BCB"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36F0F226"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5570A60E" w14:textId="77777777" w:rsidTr="003C4975">
        <w:tc>
          <w:tcPr>
            <w:tcW w:w="908" w:type="pct"/>
            <w:vMerge w:val="restart"/>
          </w:tcPr>
          <w:p w14:paraId="12AD16DB" w14:textId="5F66E945"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Gender</w:t>
            </w:r>
          </w:p>
        </w:tc>
        <w:tc>
          <w:tcPr>
            <w:tcW w:w="1735" w:type="pct"/>
          </w:tcPr>
          <w:p w14:paraId="15527ACC"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183D902C"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0CD093F9" w14:textId="5E2D1B0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090</w:t>
            </w:r>
          </w:p>
        </w:tc>
        <w:tc>
          <w:tcPr>
            <w:tcW w:w="589" w:type="pct"/>
            <w:vAlign w:val="center"/>
          </w:tcPr>
          <w:p w14:paraId="38C95C79" w14:textId="7546536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861</w:t>
            </w:r>
          </w:p>
        </w:tc>
        <w:tc>
          <w:tcPr>
            <w:tcW w:w="589" w:type="pct"/>
            <w:vAlign w:val="center"/>
          </w:tcPr>
          <w:p w14:paraId="1FED5D75" w14:textId="3AFC425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854</w:t>
            </w:r>
          </w:p>
        </w:tc>
        <w:tc>
          <w:tcPr>
            <w:tcW w:w="590" w:type="pct"/>
            <w:vAlign w:val="center"/>
          </w:tcPr>
          <w:p w14:paraId="702720A0" w14:textId="235E431E"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143</w:t>
            </w:r>
          </w:p>
        </w:tc>
      </w:tr>
      <w:tr w:rsidR="00157BD9" w:rsidRPr="00826725" w14:paraId="40EF9E4B" w14:textId="77777777" w:rsidTr="002529C9">
        <w:tc>
          <w:tcPr>
            <w:tcW w:w="908" w:type="pct"/>
            <w:vMerge/>
          </w:tcPr>
          <w:p w14:paraId="5D9F451F" w14:textId="77777777" w:rsidR="00157BD9" w:rsidRPr="00826725" w:rsidRDefault="00157BD9" w:rsidP="00157BD9">
            <w:pPr>
              <w:spacing w:line="276" w:lineRule="auto"/>
              <w:rPr>
                <w:rFonts w:ascii="Arial" w:hAnsi="Arial" w:cs="Arial"/>
                <w:sz w:val="20"/>
                <w:szCs w:val="20"/>
                <w:lang w:val="en-US"/>
              </w:rPr>
            </w:pPr>
          </w:p>
        </w:tc>
        <w:tc>
          <w:tcPr>
            <w:tcW w:w="1735" w:type="pct"/>
          </w:tcPr>
          <w:p w14:paraId="422B8E8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1C07A9D6" w14:textId="598FE1A1"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.090</w:t>
            </w:r>
          </w:p>
        </w:tc>
        <w:tc>
          <w:tcPr>
            <w:tcW w:w="589" w:type="pct"/>
          </w:tcPr>
          <w:p w14:paraId="6D0B3395" w14:textId="141D73B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.861</w:t>
            </w:r>
          </w:p>
        </w:tc>
        <w:tc>
          <w:tcPr>
            <w:tcW w:w="589" w:type="pct"/>
          </w:tcPr>
          <w:p w14:paraId="61C6C7D9" w14:textId="3F607BD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.854</w:t>
            </w:r>
          </w:p>
        </w:tc>
        <w:tc>
          <w:tcPr>
            <w:tcW w:w="590" w:type="pct"/>
          </w:tcPr>
          <w:p w14:paraId="21EDBF41" w14:textId="63F2BEED"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.143</w:t>
            </w:r>
          </w:p>
        </w:tc>
      </w:tr>
      <w:tr w:rsidR="00157BD9" w:rsidRPr="00826725" w14:paraId="1F432982" w14:textId="77777777" w:rsidTr="002529C9">
        <w:tc>
          <w:tcPr>
            <w:tcW w:w="908" w:type="pct"/>
            <w:vMerge/>
          </w:tcPr>
          <w:p w14:paraId="43988687" w14:textId="77777777" w:rsidR="00157BD9" w:rsidRPr="00826725" w:rsidRDefault="00157BD9" w:rsidP="00157BD9">
            <w:pPr>
              <w:spacing w:line="276" w:lineRule="auto"/>
              <w:rPr>
                <w:rFonts w:ascii="Arial" w:hAnsi="Arial" w:cs="Arial"/>
                <w:sz w:val="20"/>
                <w:szCs w:val="20"/>
                <w:lang w:val="en-US"/>
              </w:rPr>
            </w:pPr>
          </w:p>
        </w:tc>
        <w:tc>
          <w:tcPr>
            <w:tcW w:w="1735" w:type="pct"/>
          </w:tcPr>
          <w:p w14:paraId="4D6DB65E"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04FA1F60" w14:textId="62E07356"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.090</w:t>
            </w:r>
          </w:p>
        </w:tc>
        <w:tc>
          <w:tcPr>
            <w:tcW w:w="589" w:type="pct"/>
          </w:tcPr>
          <w:p w14:paraId="0A925695" w14:textId="27195C94"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.861</w:t>
            </w:r>
          </w:p>
        </w:tc>
        <w:tc>
          <w:tcPr>
            <w:tcW w:w="589" w:type="pct"/>
          </w:tcPr>
          <w:p w14:paraId="2B104827" w14:textId="4FEA2C0A"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.854</w:t>
            </w:r>
          </w:p>
        </w:tc>
        <w:tc>
          <w:tcPr>
            <w:tcW w:w="590" w:type="pct"/>
          </w:tcPr>
          <w:p w14:paraId="2AACD896" w14:textId="1FCECD6D"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.143</w:t>
            </w:r>
          </w:p>
        </w:tc>
      </w:tr>
      <w:tr w:rsidR="003C4975" w:rsidRPr="00826725" w14:paraId="5F4320A6" w14:textId="77777777" w:rsidTr="003C4975">
        <w:tc>
          <w:tcPr>
            <w:tcW w:w="908" w:type="pct"/>
            <w:shd w:val="clear" w:color="auto" w:fill="D9D9D9" w:themeFill="background1" w:themeFillShade="D9"/>
          </w:tcPr>
          <w:p w14:paraId="6E9C1965"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7587283B"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D1F590A"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16A7CD58"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3E7D7459"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6DE549D4"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15DA3BED" w14:textId="77777777" w:rsidTr="003C4975">
        <w:tc>
          <w:tcPr>
            <w:tcW w:w="908" w:type="pct"/>
            <w:vMerge w:val="restart"/>
          </w:tcPr>
          <w:p w14:paraId="2D486B3B" w14:textId="3BC80F29"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 xml:space="preserve">Educational </w:t>
            </w:r>
            <w:r w:rsidR="00302FC1" w:rsidRPr="00826725">
              <w:rPr>
                <w:rFonts w:ascii="Arial" w:hAnsi="Arial" w:cs="Arial"/>
                <w:sz w:val="20"/>
                <w:szCs w:val="20"/>
                <w:lang w:val="en-US"/>
              </w:rPr>
              <w:t>level</w:t>
            </w:r>
          </w:p>
        </w:tc>
        <w:tc>
          <w:tcPr>
            <w:tcW w:w="1735" w:type="pct"/>
          </w:tcPr>
          <w:p w14:paraId="4E4671A0"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7F81F3FE"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377A548E" w14:textId="5A97C544"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064</w:t>
            </w:r>
          </w:p>
        </w:tc>
        <w:tc>
          <w:tcPr>
            <w:tcW w:w="589" w:type="pct"/>
            <w:shd w:val="clear" w:color="auto" w:fill="auto"/>
            <w:vAlign w:val="center"/>
          </w:tcPr>
          <w:p w14:paraId="6B0A9A09" w14:textId="5C09D488"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951</w:t>
            </w:r>
          </w:p>
        </w:tc>
        <w:tc>
          <w:tcPr>
            <w:tcW w:w="589" w:type="pct"/>
            <w:shd w:val="clear" w:color="auto" w:fill="auto"/>
            <w:vAlign w:val="center"/>
          </w:tcPr>
          <w:p w14:paraId="10C42BEE" w14:textId="09E4729B"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215</w:t>
            </w:r>
          </w:p>
        </w:tc>
        <w:tc>
          <w:tcPr>
            <w:tcW w:w="590" w:type="pct"/>
            <w:shd w:val="clear" w:color="auto" w:fill="auto"/>
            <w:vAlign w:val="center"/>
          </w:tcPr>
          <w:p w14:paraId="50D60939" w14:textId="4D8CA3E0"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620</w:t>
            </w:r>
          </w:p>
        </w:tc>
      </w:tr>
      <w:tr w:rsidR="00157BD9" w:rsidRPr="00826725" w14:paraId="140BC06D" w14:textId="77777777" w:rsidTr="002529C9">
        <w:tc>
          <w:tcPr>
            <w:tcW w:w="908" w:type="pct"/>
            <w:vMerge/>
          </w:tcPr>
          <w:p w14:paraId="7039B4E2" w14:textId="77777777" w:rsidR="00157BD9" w:rsidRPr="00826725" w:rsidRDefault="00157BD9" w:rsidP="00157BD9">
            <w:pPr>
              <w:spacing w:line="276" w:lineRule="auto"/>
              <w:rPr>
                <w:rFonts w:ascii="Arial" w:hAnsi="Arial" w:cs="Arial"/>
                <w:sz w:val="20"/>
                <w:szCs w:val="20"/>
                <w:lang w:val="en-US"/>
              </w:rPr>
            </w:pPr>
          </w:p>
        </w:tc>
        <w:tc>
          <w:tcPr>
            <w:tcW w:w="1735" w:type="pct"/>
          </w:tcPr>
          <w:p w14:paraId="70DD2E5F"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7048DE7B" w14:textId="6B33389C"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.064</w:t>
            </w:r>
          </w:p>
        </w:tc>
        <w:tc>
          <w:tcPr>
            <w:tcW w:w="589" w:type="pct"/>
            <w:shd w:val="clear" w:color="auto" w:fill="auto"/>
          </w:tcPr>
          <w:p w14:paraId="368C0B25" w14:textId="71B0024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.951</w:t>
            </w:r>
          </w:p>
        </w:tc>
        <w:tc>
          <w:tcPr>
            <w:tcW w:w="589" w:type="pct"/>
            <w:shd w:val="clear" w:color="auto" w:fill="auto"/>
          </w:tcPr>
          <w:p w14:paraId="35946B06" w14:textId="1A5E9F8A"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.215</w:t>
            </w:r>
          </w:p>
        </w:tc>
        <w:tc>
          <w:tcPr>
            <w:tcW w:w="590" w:type="pct"/>
            <w:shd w:val="clear" w:color="auto" w:fill="auto"/>
          </w:tcPr>
          <w:p w14:paraId="19DAA431" w14:textId="63CB3EC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.620</w:t>
            </w:r>
          </w:p>
        </w:tc>
      </w:tr>
      <w:tr w:rsidR="00157BD9" w:rsidRPr="00826725" w14:paraId="410B6E88" w14:textId="77777777" w:rsidTr="002529C9">
        <w:tc>
          <w:tcPr>
            <w:tcW w:w="908" w:type="pct"/>
            <w:vMerge/>
          </w:tcPr>
          <w:p w14:paraId="21E1D703" w14:textId="77777777" w:rsidR="00157BD9" w:rsidRPr="00826725" w:rsidRDefault="00157BD9" w:rsidP="00157BD9">
            <w:pPr>
              <w:spacing w:line="276" w:lineRule="auto"/>
              <w:rPr>
                <w:rFonts w:ascii="Arial" w:hAnsi="Arial" w:cs="Arial"/>
                <w:sz w:val="20"/>
                <w:szCs w:val="20"/>
                <w:lang w:val="en-US"/>
              </w:rPr>
            </w:pPr>
          </w:p>
        </w:tc>
        <w:tc>
          <w:tcPr>
            <w:tcW w:w="1735" w:type="pct"/>
          </w:tcPr>
          <w:p w14:paraId="70025784"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24E46375" w14:textId="1FC44BAE"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.064</w:t>
            </w:r>
          </w:p>
        </w:tc>
        <w:tc>
          <w:tcPr>
            <w:tcW w:w="589" w:type="pct"/>
            <w:shd w:val="clear" w:color="auto" w:fill="auto"/>
          </w:tcPr>
          <w:p w14:paraId="68C846C2" w14:textId="7D51F8F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.951</w:t>
            </w:r>
          </w:p>
        </w:tc>
        <w:tc>
          <w:tcPr>
            <w:tcW w:w="589" w:type="pct"/>
            <w:shd w:val="clear" w:color="auto" w:fill="auto"/>
          </w:tcPr>
          <w:p w14:paraId="664F76B6" w14:textId="1A63F157"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.215</w:t>
            </w:r>
          </w:p>
        </w:tc>
        <w:tc>
          <w:tcPr>
            <w:tcW w:w="590" w:type="pct"/>
            <w:shd w:val="clear" w:color="auto" w:fill="auto"/>
          </w:tcPr>
          <w:p w14:paraId="118A1616" w14:textId="5568C7A6"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.620</w:t>
            </w:r>
          </w:p>
        </w:tc>
      </w:tr>
      <w:tr w:rsidR="003C4975" w:rsidRPr="00826725" w14:paraId="22D65F2C" w14:textId="77777777" w:rsidTr="003C4975">
        <w:tc>
          <w:tcPr>
            <w:tcW w:w="908" w:type="pct"/>
            <w:shd w:val="clear" w:color="auto" w:fill="D9D9D9" w:themeFill="background1" w:themeFillShade="D9"/>
          </w:tcPr>
          <w:p w14:paraId="6E9C30F1"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790E9013"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3EBA12ED"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0374E8D7"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3715324F"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4337CF00"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22D6E3A6" w14:textId="77777777" w:rsidTr="003C4975">
        <w:tc>
          <w:tcPr>
            <w:tcW w:w="908" w:type="pct"/>
            <w:vMerge w:val="restart"/>
          </w:tcPr>
          <w:p w14:paraId="150DE7F0" w14:textId="413ADAC1"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 xml:space="preserve">Work experience </w:t>
            </w:r>
            <w:r w:rsidR="00D23EA9" w:rsidRPr="00826725">
              <w:rPr>
                <w:rFonts w:ascii="Arial" w:hAnsi="Arial" w:cs="Arial"/>
                <w:sz w:val="20"/>
                <w:szCs w:val="20"/>
                <w:lang w:val="en-US"/>
              </w:rPr>
              <w:t>in</w:t>
            </w:r>
            <w:r w:rsidRPr="00826725">
              <w:rPr>
                <w:rFonts w:ascii="Arial" w:hAnsi="Arial" w:cs="Arial"/>
                <w:sz w:val="20"/>
                <w:szCs w:val="20"/>
                <w:lang w:val="en-US"/>
              </w:rPr>
              <w:t xml:space="preserve"> the bank</w:t>
            </w:r>
          </w:p>
        </w:tc>
        <w:tc>
          <w:tcPr>
            <w:tcW w:w="1735" w:type="pct"/>
          </w:tcPr>
          <w:p w14:paraId="5187AA91"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5CA76859"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1D5AF8D9" w14:textId="52F9247E"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718</w:t>
            </w:r>
          </w:p>
        </w:tc>
        <w:tc>
          <w:tcPr>
            <w:tcW w:w="589" w:type="pct"/>
            <w:vAlign w:val="center"/>
          </w:tcPr>
          <w:p w14:paraId="4609607E" w14:textId="0367CECD"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590</w:t>
            </w:r>
          </w:p>
        </w:tc>
        <w:tc>
          <w:tcPr>
            <w:tcW w:w="589" w:type="pct"/>
            <w:vAlign w:val="center"/>
          </w:tcPr>
          <w:p w14:paraId="70C79C6F" w14:textId="2A884E42"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470</w:t>
            </w:r>
          </w:p>
        </w:tc>
        <w:tc>
          <w:tcPr>
            <w:tcW w:w="590" w:type="pct"/>
            <w:vAlign w:val="center"/>
          </w:tcPr>
          <w:p w14:paraId="34C94649" w14:textId="2C4E8C76"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812</w:t>
            </w:r>
          </w:p>
        </w:tc>
      </w:tr>
      <w:tr w:rsidR="00157BD9" w:rsidRPr="00826725" w14:paraId="1F8E97CC" w14:textId="77777777" w:rsidTr="002529C9">
        <w:tc>
          <w:tcPr>
            <w:tcW w:w="908" w:type="pct"/>
            <w:vMerge/>
          </w:tcPr>
          <w:p w14:paraId="28E81559" w14:textId="77777777" w:rsidR="00157BD9" w:rsidRPr="00826725" w:rsidRDefault="00157BD9" w:rsidP="00157BD9">
            <w:pPr>
              <w:spacing w:line="276" w:lineRule="auto"/>
              <w:rPr>
                <w:rFonts w:ascii="Arial" w:hAnsi="Arial" w:cs="Arial"/>
                <w:sz w:val="20"/>
                <w:szCs w:val="20"/>
                <w:lang w:val="en-US"/>
              </w:rPr>
            </w:pPr>
          </w:p>
        </w:tc>
        <w:tc>
          <w:tcPr>
            <w:tcW w:w="1735" w:type="pct"/>
          </w:tcPr>
          <w:p w14:paraId="6A87BA1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73FAFE7C" w14:textId="469A1BF0"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.718</w:t>
            </w:r>
          </w:p>
        </w:tc>
        <w:tc>
          <w:tcPr>
            <w:tcW w:w="589" w:type="pct"/>
          </w:tcPr>
          <w:p w14:paraId="7F01DE18" w14:textId="5B575D99"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.590</w:t>
            </w:r>
          </w:p>
        </w:tc>
        <w:tc>
          <w:tcPr>
            <w:tcW w:w="589" w:type="pct"/>
          </w:tcPr>
          <w:p w14:paraId="05B23316" w14:textId="35D4EE99"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.470</w:t>
            </w:r>
          </w:p>
        </w:tc>
        <w:tc>
          <w:tcPr>
            <w:tcW w:w="590" w:type="pct"/>
          </w:tcPr>
          <w:p w14:paraId="205E89EB" w14:textId="34C34391"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.812</w:t>
            </w:r>
          </w:p>
        </w:tc>
      </w:tr>
      <w:tr w:rsidR="00157BD9" w:rsidRPr="00826725" w14:paraId="090187B7" w14:textId="77777777" w:rsidTr="002529C9">
        <w:tc>
          <w:tcPr>
            <w:tcW w:w="908" w:type="pct"/>
            <w:vMerge/>
          </w:tcPr>
          <w:p w14:paraId="3C623112" w14:textId="77777777" w:rsidR="00157BD9" w:rsidRPr="00826725" w:rsidRDefault="00157BD9" w:rsidP="00157BD9">
            <w:pPr>
              <w:spacing w:line="276" w:lineRule="auto"/>
              <w:rPr>
                <w:rFonts w:ascii="Arial" w:hAnsi="Arial" w:cs="Arial"/>
                <w:sz w:val="20"/>
                <w:szCs w:val="20"/>
                <w:lang w:val="en-US"/>
              </w:rPr>
            </w:pPr>
          </w:p>
        </w:tc>
        <w:tc>
          <w:tcPr>
            <w:tcW w:w="1735" w:type="pct"/>
          </w:tcPr>
          <w:p w14:paraId="1E014FB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335BE098" w14:textId="14C3BDF6"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.718</w:t>
            </w:r>
          </w:p>
        </w:tc>
        <w:tc>
          <w:tcPr>
            <w:tcW w:w="589" w:type="pct"/>
          </w:tcPr>
          <w:p w14:paraId="66C3FB23" w14:textId="60C4D275"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.590</w:t>
            </w:r>
          </w:p>
        </w:tc>
        <w:tc>
          <w:tcPr>
            <w:tcW w:w="589" w:type="pct"/>
          </w:tcPr>
          <w:p w14:paraId="07865857" w14:textId="4E82E15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.470</w:t>
            </w:r>
          </w:p>
        </w:tc>
        <w:tc>
          <w:tcPr>
            <w:tcW w:w="590" w:type="pct"/>
          </w:tcPr>
          <w:p w14:paraId="47F7C74A" w14:textId="2977EF4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.812</w:t>
            </w:r>
          </w:p>
        </w:tc>
      </w:tr>
      <w:tr w:rsidR="002529C9" w:rsidRPr="00826725" w14:paraId="3FDE8AA7" w14:textId="77777777" w:rsidTr="002529C9">
        <w:tc>
          <w:tcPr>
            <w:tcW w:w="5000" w:type="pct"/>
            <w:gridSpan w:val="6"/>
          </w:tcPr>
          <w:p w14:paraId="0F475B2F" w14:textId="3C243806" w:rsidR="002529C9" w:rsidRPr="00826725" w:rsidRDefault="002529C9" w:rsidP="002529C9">
            <w:pPr>
              <w:spacing w:line="276" w:lineRule="auto"/>
              <w:ind w:left="180"/>
              <w:rPr>
                <w:rFonts w:ascii="Arial" w:hAnsi="Arial" w:cs="Arial"/>
                <w:sz w:val="20"/>
                <w:szCs w:val="20"/>
                <w:lang w:val="en-US" w:eastAsia="hr-HR"/>
              </w:rPr>
            </w:pPr>
            <w:r w:rsidRPr="00826725">
              <w:rPr>
                <w:rFonts w:ascii="Arial" w:hAnsi="Arial" w:cs="Arial"/>
                <w:b/>
                <w:bCs/>
                <w:sz w:val="20"/>
                <w:szCs w:val="20"/>
                <w:lang w:val="en-US" w:eastAsia="hr-HR"/>
              </w:rPr>
              <w:t>N</w:t>
            </w:r>
            <w:r w:rsidR="00996854" w:rsidRPr="00826725">
              <w:rPr>
                <w:rFonts w:ascii="Arial" w:hAnsi="Arial" w:cs="Arial"/>
                <w:b/>
                <w:bCs/>
                <w:sz w:val="20"/>
                <w:szCs w:val="20"/>
                <w:lang w:val="en-US" w:eastAsia="hr-HR"/>
              </w:rPr>
              <w:t>ote</w:t>
            </w:r>
            <w:r w:rsidRPr="00826725">
              <w:rPr>
                <w:rFonts w:ascii="Arial" w:hAnsi="Arial" w:cs="Arial"/>
                <w:b/>
                <w:bCs/>
                <w:sz w:val="20"/>
                <w:szCs w:val="20"/>
                <w:lang w:val="en-US" w:eastAsia="hr-HR"/>
              </w:rPr>
              <w:t>:</w:t>
            </w:r>
            <w:r w:rsidRPr="00826725">
              <w:rPr>
                <w:rFonts w:ascii="Arial" w:hAnsi="Arial" w:cs="Arial"/>
                <w:sz w:val="20"/>
                <w:szCs w:val="20"/>
                <w:lang w:val="en-US" w:eastAsia="hr-HR"/>
              </w:rPr>
              <w:t xml:space="preserve"> </w:t>
            </w:r>
          </w:p>
          <w:p w14:paraId="3FB8F7E9"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D1 –The respondents’ familiarity with the bank’s vision</w:t>
            </w:r>
          </w:p>
          <w:p w14:paraId="360B68F8"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D2 –The reward system in the bank</w:t>
            </w:r>
          </w:p>
          <w:p w14:paraId="6EC6C09E"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D3 –The training and development system in the bank</w:t>
            </w:r>
          </w:p>
          <w:p w14:paraId="41A05B62" w14:textId="59D85506"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D4 –The internal communication system in the bank</w:t>
            </w:r>
          </w:p>
        </w:tc>
      </w:tr>
    </w:tbl>
    <w:p w14:paraId="3392C89E" w14:textId="6F45191B" w:rsidR="00C040CF" w:rsidRPr="00826725" w:rsidRDefault="00630635" w:rsidP="00C040CF">
      <w:pPr>
        <w:autoSpaceDE w:val="0"/>
        <w:autoSpaceDN w:val="0"/>
        <w:adjustRightInd w:val="0"/>
        <w:jc w:val="both"/>
        <w:rPr>
          <w:rFonts w:ascii="Arial" w:hAnsi="Arial" w:cs="Arial"/>
          <w:sz w:val="18"/>
          <w:szCs w:val="18"/>
          <w:lang w:val="en-US"/>
        </w:rPr>
      </w:pPr>
      <w:r w:rsidRPr="00826725">
        <w:rPr>
          <w:rFonts w:ascii="Arial" w:hAnsi="Arial" w:cs="Arial"/>
          <w:sz w:val="18"/>
          <w:szCs w:val="18"/>
          <w:lang w:val="en-US"/>
        </w:rPr>
        <w:t>Source: Authors, the results of the empirical research</w:t>
      </w:r>
    </w:p>
    <w:p w14:paraId="26D428DB" w14:textId="77777777" w:rsidR="006F5160" w:rsidRDefault="006F5160" w:rsidP="00C040CF">
      <w:pPr>
        <w:autoSpaceDE w:val="0"/>
        <w:autoSpaceDN w:val="0"/>
        <w:adjustRightInd w:val="0"/>
        <w:jc w:val="both"/>
        <w:rPr>
          <w:rFonts w:ascii="Arial" w:hAnsi="Arial" w:cs="Arial"/>
          <w:sz w:val="20"/>
          <w:szCs w:val="20"/>
          <w:lang w:val="en-US"/>
        </w:rPr>
        <w:sectPr w:rsidR="006F5160"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7FCAA11D" w14:textId="7037C6D7" w:rsidR="00630635" w:rsidRPr="00826725" w:rsidRDefault="00630635" w:rsidP="00C040CF">
      <w:pPr>
        <w:autoSpaceDE w:val="0"/>
        <w:autoSpaceDN w:val="0"/>
        <w:adjustRightInd w:val="0"/>
        <w:jc w:val="both"/>
        <w:rPr>
          <w:rFonts w:ascii="Arial" w:hAnsi="Arial" w:cs="Arial"/>
          <w:sz w:val="20"/>
          <w:szCs w:val="20"/>
          <w:lang w:val="en-US"/>
        </w:rPr>
      </w:pPr>
    </w:p>
    <w:p w14:paraId="02B6CE31" w14:textId="0400A0B7" w:rsidR="00822FBF" w:rsidRDefault="00302FC1" w:rsidP="00C040CF">
      <w:pPr>
        <w:autoSpaceDE w:val="0"/>
        <w:autoSpaceDN w:val="0"/>
        <w:adjustRightInd w:val="0"/>
        <w:jc w:val="both"/>
        <w:rPr>
          <w:rFonts w:ascii="Arial" w:hAnsi="Arial" w:cs="Arial"/>
          <w:sz w:val="20"/>
          <w:szCs w:val="20"/>
          <w:lang w:val="en-US"/>
        </w:rPr>
      </w:pPr>
      <w:r w:rsidRPr="00826725">
        <w:rPr>
          <w:rFonts w:ascii="Arial" w:hAnsi="Arial" w:cs="Arial"/>
          <w:sz w:val="20"/>
          <w:szCs w:val="20"/>
          <w:lang w:val="en-US"/>
        </w:rPr>
        <w:t xml:space="preserve">Based on the results of the Chi-square (χ²) test, the value of Pearson Chi-Square in </w:t>
      </w:r>
      <w:r w:rsidR="00D23EA9" w:rsidRPr="00826725">
        <w:rPr>
          <w:rFonts w:ascii="Arial" w:hAnsi="Arial" w:cs="Arial"/>
          <w:sz w:val="20"/>
          <w:szCs w:val="20"/>
          <w:lang w:val="en-US"/>
        </w:rPr>
        <w:t xml:space="preserve">terms of </w:t>
      </w:r>
      <w:r w:rsidRPr="00826725">
        <w:rPr>
          <w:rFonts w:ascii="Arial" w:hAnsi="Arial" w:cs="Arial"/>
          <w:sz w:val="20"/>
          <w:szCs w:val="20"/>
          <w:lang w:val="en-US"/>
        </w:rPr>
        <w:t xml:space="preserve">the connection between age (as an independent variable) and the respondents' attitudes towards the observed internal marketing dimensions (as dependent variables) is greater than 0.05. This leads to </w:t>
      </w:r>
      <w:r w:rsidRPr="00826725">
        <w:rPr>
          <w:rFonts w:ascii="Arial" w:hAnsi="Arial" w:cs="Arial"/>
          <w:sz w:val="20"/>
          <w:szCs w:val="20"/>
          <w:lang w:val="en-US"/>
        </w:rPr>
        <w:lastRenderedPageBreak/>
        <w:t xml:space="preserve">the conclusion that </w:t>
      </w:r>
      <w:r w:rsidR="00D23EA9" w:rsidRPr="00826725">
        <w:rPr>
          <w:rFonts w:ascii="Arial" w:hAnsi="Arial" w:cs="Arial"/>
          <w:sz w:val="20"/>
          <w:szCs w:val="20"/>
          <w:lang w:val="en-US"/>
        </w:rPr>
        <w:t xml:space="preserve">for the relationships between the independent and dependent variables, the null hypothesis is accepted, </w:t>
      </w:r>
      <w:r w:rsidRPr="00826725">
        <w:rPr>
          <w:rFonts w:ascii="Arial" w:hAnsi="Arial" w:cs="Arial"/>
          <w:sz w:val="20"/>
          <w:szCs w:val="20"/>
          <w:lang w:val="en-US"/>
        </w:rPr>
        <w:t xml:space="preserve">meaning there is no </w:t>
      </w:r>
      <w:r w:rsidR="00D23EA9" w:rsidRPr="00826725">
        <w:rPr>
          <w:rFonts w:ascii="Arial" w:hAnsi="Arial" w:cs="Arial"/>
          <w:sz w:val="20"/>
          <w:szCs w:val="20"/>
          <w:lang w:val="en-US"/>
        </w:rPr>
        <w:t>link</w:t>
      </w:r>
      <w:r w:rsidRPr="00826725">
        <w:rPr>
          <w:rFonts w:ascii="Arial" w:hAnsi="Arial" w:cs="Arial"/>
          <w:sz w:val="20"/>
          <w:szCs w:val="20"/>
          <w:lang w:val="en-US"/>
        </w:rPr>
        <w:t xml:space="preserve"> between the respondents' age and their attitudes regarding the internal marketing dimensions in </w:t>
      </w:r>
      <w:r w:rsidR="00D23EA9" w:rsidRPr="00826725">
        <w:rPr>
          <w:rFonts w:ascii="Arial" w:hAnsi="Arial" w:cs="Arial"/>
          <w:sz w:val="20"/>
          <w:szCs w:val="20"/>
          <w:lang w:val="en-US"/>
        </w:rPr>
        <w:t xml:space="preserve">the </w:t>
      </w:r>
      <w:proofErr w:type="spellStart"/>
      <w:r w:rsidRPr="00826725">
        <w:rPr>
          <w:rFonts w:ascii="Arial" w:hAnsi="Arial" w:cs="Arial"/>
          <w:sz w:val="20"/>
          <w:szCs w:val="20"/>
          <w:lang w:val="en-US"/>
        </w:rPr>
        <w:t>B</w:t>
      </w:r>
      <w:r w:rsidR="00D23EA9" w:rsidRPr="00826725">
        <w:rPr>
          <w:rFonts w:ascii="Arial" w:hAnsi="Arial" w:cs="Arial"/>
          <w:sz w:val="20"/>
          <w:szCs w:val="20"/>
          <w:lang w:val="en-US"/>
        </w:rPr>
        <w:t>iH</w:t>
      </w:r>
      <w:proofErr w:type="spellEnd"/>
      <w:r w:rsidRPr="00826725">
        <w:rPr>
          <w:rFonts w:ascii="Arial" w:hAnsi="Arial" w:cs="Arial"/>
          <w:sz w:val="20"/>
          <w:szCs w:val="20"/>
          <w:lang w:val="en-US"/>
        </w:rPr>
        <w:t xml:space="preserve"> banks.</w:t>
      </w:r>
      <w:r w:rsidR="00D23EA9" w:rsidRPr="00826725">
        <w:rPr>
          <w:rFonts w:ascii="Arial" w:hAnsi="Arial" w:cs="Arial"/>
          <w:lang w:val="en-US"/>
        </w:rPr>
        <w:t xml:space="preserve"> </w:t>
      </w:r>
      <w:r w:rsidR="00D23EA9" w:rsidRPr="00826725">
        <w:rPr>
          <w:rFonts w:ascii="Arial" w:hAnsi="Arial" w:cs="Arial"/>
          <w:sz w:val="20"/>
          <w:szCs w:val="20"/>
          <w:lang w:val="en-US"/>
        </w:rPr>
        <w:t>The same conclusion can be made for other independent variables (respondents’ gender, education level, and work experience in the bank), as the Pearson Chi-Square value in each observed case is also greater than 0.05.</w:t>
      </w:r>
      <w:r w:rsidR="00D23EA9" w:rsidRPr="00826725">
        <w:rPr>
          <w:rFonts w:ascii="Arial" w:hAnsi="Arial" w:cs="Arial"/>
          <w:lang w:val="en-US"/>
        </w:rPr>
        <w:t xml:space="preserve"> </w:t>
      </w:r>
      <w:r w:rsidR="00D23EA9" w:rsidRPr="00826725">
        <w:rPr>
          <w:rFonts w:ascii="Arial" w:hAnsi="Arial" w:cs="Arial"/>
          <w:sz w:val="20"/>
          <w:szCs w:val="20"/>
          <w:lang w:val="en-US"/>
        </w:rPr>
        <w:t xml:space="preserve">Based on the results of the χ² analysis, we conclude that there is no relationship between the socio-demographic characteristics of the respondents and their attitudes towards the observed internal marketing dimensions in the </w:t>
      </w:r>
      <w:proofErr w:type="spellStart"/>
      <w:r w:rsidR="00D23EA9" w:rsidRPr="00826725">
        <w:rPr>
          <w:rFonts w:ascii="Arial" w:hAnsi="Arial" w:cs="Arial"/>
          <w:sz w:val="20"/>
          <w:szCs w:val="20"/>
          <w:lang w:val="en-US"/>
        </w:rPr>
        <w:t>BiH</w:t>
      </w:r>
      <w:proofErr w:type="spellEnd"/>
      <w:r w:rsidR="00D23EA9" w:rsidRPr="00826725">
        <w:rPr>
          <w:rFonts w:ascii="Arial" w:hAnsi="Arial" w:cs="Arial"/>
          <w:sz w:val="20"/>
          <w:szCs w:val="20"/>
          <w:lang w:val="en-US"/>
        </w:rPr>
        <w:t xml:space="preserve"> banks.</w:t>
      </w:r>
    </w:p>
    <w:p w14:paraId="4533A01C" w14:textId="469A0542" w:rsidR="00C040CF" w:rsidRPr="00EC46B6" w:rsidRDefault="00C040CF" w:rsidP="00C040CF">
      <w:pPr>
        <w:autoSpaceDE w:val="0"/>
        <w:autoSpaceDN w:val="0"/>
        <w:adjustRightInd w:val="0"/>
        <w:jc w:val="both"/>
        <w:rPr>
          <w:rFonts w:ascii="Arial" w:hAnsi="Arial" w:cs="Arial"/>
          <w:sz w:val="20"/>
          <w:szCs w:val="20"/>
        </w:rPr>
      </w:pPr>
    </w:p>
    <w:p w14:paraId="40C2F973" w14:textId="65E7B270" w:rsidR="00C040CF" w:rsidRPr="00826725" w:rsidRDefault="00C040CF" w:rsidP="00C040CF">
      <w:pPr>
        <w:spacing w:line="276" w:lineRule="auto"/>
        <w:jc w:val="both"/>
        <w:rPr>
          <w:rFonts w:ascii="Arial" w:hAnsi="Arial" w:cs="Arial"/>
          <w:b/>
          <w:bCs/>
          <w:lang w:val="en-US"/>
        </w:rPr>
      </w:pPr>
      <w:r w:rsidRPr="00826725">
        <w:rPr>
          <w:rFonts w:ascii="Arial" w:hAnsi="Arial" w:cs="Arial"/>
          <w:b/>
          <w:bCs/>
          <w:lang w:val="en-US"/>
        </w:rPr>
        <w:t>5. CONCLUSION</w:t>
      </w:r>
    </w:p>
    <w:p w14:paraId="43C890D5" w14:textId="77777777" w:rsidR="00634712" w:rsidRDefault="00634712" w:rsidP="00634712">
      <w:pPr>
        <w:spacing w:line="276" w:lineRule="auto"/>
        <w:jc w:val="both"/>
        <w:rPr>
          <w:rFonts w:ascii="Arial" w:hAnsi="Arial" w:cs="Arial"/>
          <w:sz w:val="20"/>
          <w:szCs w:val="20"/>
          <w:lang w:val="en-US"/>
        </w:rPr>
      </w:pPr>
    </w:p>
    <w:p w14:paraId="4FD3CD28" w14:textId="12353402" w:rsidR="00244564" w:rsidRPr="00634712" w:rsidRDefault="00A41F10" w:rsidP="00C23317">
      <w:pPr>
        <w:jc w:val="both"/>
        <w:rPr>
          <w:rFonts w:ascii="Arial" w:hAnsi="Arial" w:cs="Arial"/>
          <w:sz w:val="20"/>
          <w:szCs w:val="20"/>
          <w:lang w:val="en-US"/>
        </w:rPr>
      </w:pPr>
      <w:r w:rsidRPr="00634712">
        <w:rPr>
          <w:rFonts w:ascii="Arial" w:hAnsi="Arial" w:cs="Arial"/>
          <w:sz w:val="20"/>
          <w:szCs w:val="20"/>
          <w:lang w:val="en-US"/>
        </w:rPr>
        <w:t xml:space="preserve">According to the aims set in the study, the attitudes of employees and management regarding the presence of individual internal marketing dimensions in the banks in </w:t>
      </w:r>
      <w:proofErr w:type="spellStart"/>
      <w:r w:rsidRPr="00634712">
        <w:rPr>
          <w:rFonts w:ascii="Arial" w:hAnsi="Arial" w:cs="Arial"/>
          <w:sz w:val="20"/>
          <w:szCs w:val="20"/>
          <w:lang w:val="en-US"/>
        </w:rPr>
        <w:t>BiH</w:t>
      </w:r>
      <w:proofErr w:type="spellEnd"/>
      <w:r w:rsidRPr="00634712">
        <w:rPr>
          <w:rFonts w:ascii="Arial" w:hAnsi="Arial" w:cs="Arial"/>
          <w:sz w:val="20"/>
          <w:szCs w:val="20"/>
          <w:lang w:val="en-US"/>
        </w:rPr>
        <w:t xml:space="preserve"> have been identified. The study also investigated the relationship between the socio-demographic characteristics of the respondents and their attitudes towards the observed internal marketing dimensions.</w:t>
      </w:r>
      <w:r w:rsidR="00B72BCC" w:rsidRPr="00634712">
        <w:rPr>
          <w:rFonts w:ascii="Arial" w:hAnsi="Arial" w:cs="Arial"/>
          <w:sz w:val="20"/>
          <w:szCs w:val="20"/>
          <w:lang w:val="en-US"/>
        </w:rPr>
        <w:t xml:space="preserve"> The results presented in the paper show that employees and managers have partially similar attitudes regarding the observed internal marketing dimensions in the </w:t>
      </w:r>
      <w:proofErr w:type="spellStart"/>
      <w:r w:rsidR="00B72BCC" w:rsidRPr="00634712">
        <w:rPr>
          <w:rFonts w:ascii="Arial" w:hAnsi="Arial" w:cs="Arial"/>
          <w:sz w:val="20"/>
          <w:szCs w:val="20"/>
          <w:lang w:val="en-US"/>
        </w:rPr>
        <w:t>BiH</w:t>
      </w:r>
      <w:proofErr w:type="spellEnd"/>
      <w:r w:rsidR="00B72BCC" w:rsidRPr="00634712">
        <w:rPr>
          <w:rFonts w:ascii="Arial" w:hAnsi="Arial" w:cs="Arial"/>
          <w:sz w:val="20"/>
          <w:szCs w:val="20"/>
          <w:lang w:val="en-US"/>
        </w:rPr>
        <w:t xml:space="preserve"> banks. A significant difference in the attitudes of the surveyed employees and managers is found in two out of four observed dimensions</w:t>
      </w:r>
      <w:r w:rsidR="00634712" w:rsidRPr="00634712">
        <w:rPr>
          <w:rFonts w:ascii="Arial" w:hAnsi="Arial" w:cs="Arial"/>
          <w:sz w:val="20"/>
          <w:szCs w:val="20"/>
          <w:lang w:val="en-US"/>
        </w:rPr>
        <w:t xml:space="preserve"> namely</w:t>
      </w:r>
      <w:r w:rsidR="00B72BCC" w:rsidRPr="00634712">
        <w:rPr>
          <w:rFonts w:ascii="Arial" w:hAnsi="Arial" w:cs="Arial"/>
          <w:sz w:val="20"/>
          <w:szCs w:val="20"/>
          <w:lang w:val="en-US"/>
        </w:rPr>
        <w:t xml:space="preserve"> (</w:t>
      </w:r>
      <w:r w:rsidR="00634712" w:rsidRPr="00634712">
        <w:rPr>
          <w:rFonts w:ascii="Arial" w:hAnsi="Arial" w:cs="Arial"/>
          <w:sz w:val="20"/>
          <w:szCs w:val="20"/>
          <w:lang w:val="en-US"/>
        </w:rPr>
        <w:t xml:space="preserve">familiarity to vision, the reward system). </w:t>
      </w:r>
      <w:r w:rsidR="00634712" w:rsidRPr="00634712">
        <w:rPr>
          <w:rFonts w:ascii="Arial" w:hAnsi="Arial" w:cs="Arial"/>
          <w:sz w:val="20"/>
          <w:szCs w:val="20"/>
          <w:highlight w:val="yellow"/>
          <w:lang w:val="en-US"/>
        </w:rPr>
        <w:t xml:space="preserve">The results of the study are in accordance with the previous research by Braun (2025), which confirmed the impact of internal marketing on Generation Z, particularly emphasizing the importance of the reward system as a dimension of internal marketing. Similarly, </w:t>
      </w:r>
      <w:proofErr w:type="spellStart"/>
      <w:r w:rsidR="00634712" w:rsidRPr="00634712">
        <w:rPr>
          <w:rFonts w:ascii="Arial" w:hAnsi="Arial" w:cs="Arial"/>
          <w:sz w:val="20"/>
          <w:szCs w:val="20"/>
          <w:highlight w:val="yellow"/>
          <w:lang w:val="en-US"/>
        </w:rPr>
        <w:t>Mainardes</w:t>
      </w:r>
      <w:proofErr w:type="spellEnd"/>
      <w:r w:rsidR="00634712" w:rsidRPr="00634712">
        <w:rPr>
          <w:rFonts w:ascii="Arial" w:hAnsi="Arial" w:cs="Arial"/>
          <w:sz w:val="20"/>
          <w:szCs w:val="20"/>
          <w:highlight w:val="yellow"/>
          <w:lang w:val="en-US"/>
        </w:rPr>
        <w:t xml:space="preserve"> et al. (2019) demonstrated the existence of a positive impact of the reward system and awareness of the vision on employee job satisfaction in the banking sector.</w:t>
      </w:r>
      <w:r w:rsidR="00634712">
        <w:rPr>
          <w:rFonts w:ascii="Arial" w:hAnsi="Arial" w:cs="Arial"/>
          <w:sz w:val="20"/>
          <w:szCs w:val="20"/>
          <w:lang w:val="en-US"/>
        </w:rPr>
        <w:t xml:space="preserve"> </w:t>
      </w:r>
      <w:r w:rsidR="00B72BCC" w:rsidRPr="00634712">
        <w:rPr>
          <w:rFonts w:ascii="Arial" w:hAnsi="Arial" w:cs="Arial"/>
          <w:sz w:val="20"/>
          <w:szCs w:val="20"/>
          <w:lang w:val="en-US"/>
        </w:rPr>
        <w:t xml:space="preserve">Regarding the relationship between socio-demographic characteristics of the respondents and their attitudes about the internal marketing dimensions in the </w:t>
      </w:r>
      <w:proofErr w:type="spellStart"/>
      <w:r w:rsidR="00B72BCC" w:rsidRPr="00634712">
        <w:rPr>
          <w:rFonts w:ascii="Arial" w:hAnsi="Arial" w:cs="Arial"/>
          <w:sz w:val="20"/>
          <w:szCs w:val="20"/>
          <w:lang w:val="en-US"/>
        </w:rPr>
        <w:t>BiH</w:t>
      </w:r>
      <w:proofErr w:type="spellEnd"/>
      <w:r w:rsidR="00B72BCC" w:rsidRPr="00634712">
        <w:rPr>
          <w:rFonts w:ascii="Arial" w:hAnsi="Arial" w:cs="Arial"/>
          <w:sz w:val="20"/>
          <w:szCs w:val="20"/>
          <w:lang w:val="en-US"/>
        </w:rPr>
        <w:t xml:space="preserve"> banks, the results of the conducted χ² test show no significant relationship between the respondents’ socio-demographic characteristics and attitudes concerning the observed internal marketing dimensions.</w:t>
      </w:r>
    </w:p>
    <w:p w14:paraId="1EEF9EEF" w14:textId="2AE06805" w:rsidR="000E2A55" w:rsidRPr="000E2A55" w:rsidRDefault="009F7232" w:rsidP="000E2A55">
      <w:pPr>
        <w:pStyle w:val="NormalWeb"/>
        <w:jc w:val="both"/>
        <w:rPr>
          <w:rFonts w:ascii="Arial" w:hAnsi="Arial" w:cs="Arial"/>
          <w:sz w:val="20"/>
          <w:szCs w:val="20"/>
        </w:rPr>
      </w:pPr>
      <w:r w:rsidRPr="00826725">
        <w:rPr>
          <w:rFonts w:ascii="Arial" w:hAnsi="Arial" w:cs="Arial"/>
          <w:sz w:val="20"/>
          <w:szCs w:val="20"/>
        </w:rPr>
        <w:t xml:space="preserve">The results of the research show that managers do not fully understand their employees' needs regarding their involvement in defining company goals and their reward for the tasks (activities) delegated to them. </w:t>
      </w:r>
      <w:r w:rsidR="00157BD9" w:rsidRPr="00826725">
        <w:rPr>
          <w:rFonts w:ascii="Arial" w:hAnsi="Arial" w:cs="Arial"/>
          <w:sz w:val="20"/>
          <w:szCs w:val="20"/>
        </w:rPr>
        <w:t>Managers however have a b</w:t>
      </w:r>
      <w:r w:rsidRPr="00826725">
        <w:rPr>
          <w:rFonts w:ascii="Arial" w:hAnsi="Arial" w:cs="Arial"/>
          <w:sz w:val="20"/>
          <w:szCs w:val="20"/>
        </w:rPr>
        <w:t xml:space="preserve">etter understanding of their employees' needs for high-quality education and career development, as well as for two-way internal communication, since no statistically significant difference in attitudes is identified for these dimensions. </w:t>
      </w:r>
      <w:r w:rsidR="000E2A55" w:rsidRPr="000E2A55">
        <w:rPr>
          <w:rFonts w:ascii="Arial" w:hAnsi="Arial" w:cs="Arial"/>
          <w:sz w:val="20"/>
          <w:szCs w:val="20"/>
          <w:highlight w:val="yellow"/>
        </w:rPr>
        <w:t xml:space="preserve">Based on the results obtained, </w:t>
      </w:r>
      <w:r w:rsidR="000E2A55">
        <w:rPr>
          <w:rFonts w:ascii="Arial" w:hAnsi="Arial" w:cs="Arial"/>
          <w:sz w:val="20"/>
          <w:szCs w:val="20"/>
          <w:highlight w:val="yellow"/>
        </w:rPr>
        <w:t>it is</w:t>
      </w:r>
      <w:r w:rsidR="000E2A55" w:rsidRPr="000E2A55">
        <w:rPr>
          <w:rFonts w:ascii="Arial" w:hAnsi="Arial" w:cs="Arial"/>
          <w:sz w:val="20"/>
          <w:szCs w:val="20"/>
          <w:highlight w:val="yellow"/>
        </w:rPr>
        <w:t xml:space="preserve"> conclude</w:t>
      </w:r>
      <w:r w:rsidR="000E2A55">
        <w:rPr>
          <w:rFonts w:ascii="Arial" w:hAnsi="Arial" w:cs="Arial"/>
          <w:sz w:val="20"/>
          <w:szCs w:val="20"/>
          <w:highlight w:val="yellow"/>
        </w:rPr>
        <w:t>d</w:t>
      </w:r>
      <w:r w:rsidR="000E2A55" w:rsidRPr="000E2A55">
        <w:rPr>
          <w:rFonts w:ascii="Arial" w:hAnsi="Arial" w:cs="Arial"/>
          <w:sz w:val="20"/>
          <w:szCs w:val="20"/>
          <w:highlight w:val="yellow"/>
        </w:rPr>
        <w:t xml:space="preserve"> that bank managers should pay due attention to improving employees' understanding of the defined goals and vision of the bank, as this approach significantly contributes to increasing employee motivation and their loyalty to the institution, </w:t>
      </w:r>
      <w:r w:rsidR="00BB494D">
        <w:rPr>
          <w:rFonts w:ascii="Arial" w:hAnsi="Arial" w:cs="Arial"/>
          <w:sz w:val="20"/>
          <w:szCs w:val="20"/>
          <w:highlight w:val="yellow"/>
        </w:rPr>
        <w:t xml:space="preserve">which can result in </w:t>
      </w:r>
      <w:r w:rsidR="000E2A55" w:rsidRPr="000E2A55">
        <w:rPr>
          <w:rFonts w:ascii="Arial" w:hAnsi="Arial" w:cs="Arial"/>
          <w:sz w:val="20"/>
          <w:szCs w:val="20"/>
          <w:highlight w:val="yellow"/>
        </w:rPr>
        <w:t>provi</w:t>
      </w:r>
      <w:r w:rsidR="00BB494D">
        <w:rPr>
          <w:rFonts w:ascii="Arial" w:hAnsi="Arial" w:cs="Arial"/>
          <w:sz w:val="20"/>
          <w:szCs w:val="20"/>
          <w:highlight w:val="yellow"/>
        </w:rPr>
        <w:t>ding</w:t>
      </w:r>
      <w:r w:rsidR="000E2A55" w:rsidRPr="000E2A55">
        <w:rPr>
          <w:rFonts w:ascii="Arial" w:hAnsi="Arial" w:cs="Arial"/>
          <w:sz w:val="20"/>
          <w:szCs w:val="20"/>
          <w:highlight w:val="yellow"/>
        </w:rPr>
        <w:t xml:space="preserve"> high-quality services to c</w:t>
      </w:r>
      <w:r w:rsidR="00BB494D">
        <w:rPr>
          <w:rFonts w:ascii="Arial" w:hAnsi="Arial" w:cs="Arial"/>
          <w:sz w:val="20"/>
          <w:szCs w:val="20"/>
          <w:highlight w:val="yellow"/>
        </w:rPr>
        <w:t>ustomers</w:t>
      </w:r>
      <w:r w:rsidR="000E2A55" w:rsidRPr="000E2A55">
        <w:rPr>
          <w:rFonts w:ascii="Arial" w:hAnsi="Arial" w:cs="Arial"/>
          <w:sz w:val="20"/>
          <w:szCs w:val="20"/>
          <w:highlight w:val="yellow"/>
        </w:rPr>
        <w:t>. Enhancing both material and non-material reward systems represents an important internal marketing mechanism that can assist managers in encouraging employees to take a more proactive approach to performing tasks and achieving organizational goals. Furthermore, investing in employee education and personal development, as well as improving two-way communication between management and employees, contributes to finding innovative solutions when working with c</w:t>
      </w:r>
      <w:r w:rsidR="00BB494D">
        <w:rPr>
          <w:rFonts w:ascii="Arial" w:hAnsi="Arial" w:cs="Arial"/>
          <w:sz w:val="20"/>
          <w:szCs w:val="20"/>
          <w:highlight w:val="yellow"/>
        </w:rPr>
        <w:t>ustomers</w:t>
      </w:r>
      <w:r w:rsidR="000E2A55" w:rsidRPr="000E2A55">
        <w:rPr>
          <w:rFonts w:ascii="Arial" w:hAnsi="Arial" w:cs="Arial"/>
          <w:sz w:val="20"/>
          <w:szCs w:val="20"/>
          <w:highlight w:val="yellow"/>
        </w:rPr>
        <w:t>. Bank managers who choose to implement tailored employee training programs create the foundation for the long-term survival of the institution in the market. Internal marketing in the banking sector represents an integrated managerial approach, rather than a set of isolated activities, aimed at improving the work environment and employee job satisfaction, which, through customer satisfaction with banking services, contributes to achieving better business performance for the bank.</w:t>
      </w:r>
    </w:p>
    <w:p w14:paraId="06AB5BB6" w14:textId="70142B4E" w:rsidR="00C040CF" w:rsidRPr="00C23317" w:rsidRDefault="00E620AF" w:rsidP="00C23317">
      <w:pPr>
        <w:pStyle w:val="NormalWeb"/>
        <w:jc w:val="both"/>
        <w:rPr>
          <w:rFonts w:ascii="Arial" w:hAnsi="Arial" w:cs="Arial"/>
          <w:sz w:val="20"/>
          <w:szCs w:val="20"/>
        </w:rPr>
      </w:pPr>
      <w:r w:rsidRPr="00E620AF">
        <w:rPr>
          <w:rFonts w:ascii="Arial" w:hAnsi="Arial" w:cs="Arial"/>
          <w:sz w:val="20"/>
          <w:szCs w:val="20"/>
        </w:rPr>
        <w:t xml:space="preserve">It seems that the research focuses on the banking sector and its application of internal marketing, but it also highlights the need to expand the research to other sectors, as well as to take a closer look at the dimensions of internal marketing that most affect employee satisfaction and the business performance of banks. </w:t>
      </w:r>
      <w:r w:rsidR="009F7232" w:rsidRPr="00E620AF">
        <w:rPr>
          <w:rFonts w:ascii="Arial" w:hAnsi="Arial" w:cs="Arial"/>
          <w:sz w:val="20"/>
          <w:szCs w:val="20"/>
        </w:rPr>
        <w:t>The limitations of this research can be found in the fact that only four dimensions of internal marketing were considered, which are generally most used in literature. Future research may therefore consider a larger number of dimensions. Another limitation is the lack of a more detailed analysis of individual elements within the observed internal marketing dimensions. A more i</w:t>
      </w:r>
      <w:r w:rsidR="00DF33D8" w:rsidRPr="00E620AF">
        <w:rPr>
          <w:rFonts w:ascii="Arial" w:hAnsi="Arial" w:cs="Arial"/>
          <w:sz w:val="20"/>
          <w:szCs w:val="20"/>
        </w:rPr>
        <w:t>n-depth analysis of these elemen</w:t>
      </w:r>
      <w:r w:rsidR="009F7232" w:rsidRPr="00E620AF">
        <w:rPr>
          <w:rFonts w:ascii="Arial" w:hAnsi="Arial" w:cs="Arial"/>
          <w:sz w:val="20"/>
          <w:szCs w:val="20"/>
        </w:rPr>
        <w:t xml:space="preserve">ts would provide bank management with more specific recommendations on which activities within the observed dimensions should be improved or corrected so as to increase employee satisfaction. Furthermore, the study was conducted within the banking sector alone, and it would be valuable to extend the research to other sectors in the future. It would also be significant to </w:t>
      </w:r>
      <w:r w:rsidR="009F7232" w:rsidRPr="00E620AF">
        <w:rPr>
          <w:rFonts w:ascii="Arial" w:hAnsi="Arial" w:cs="Arial"/>
          <w:sz w:val="20"/>
          <w:szCs w:val="20"/>
        </w:rPr>
        <w:lastRenderedPageBreak/>
        <w:t xml:space="preserve">explore how </w:t>
      </w:r>
      <w:r w:rsidR="00F95E15" w:rsidRPr="00E620AF">
        <w:rPr>
          <w:rFonts w:ascii="Arial" w:hAnsi="Arial" w:cs="Arial"/>
          <w:sz w:val="20"/>
          <w:szCs w:val="20"/>
        </w:rPr>
        <w:t>individual</w:t>
      </w:r>
      <w:r w:rsidR="000C78FD" w:rsidRPr="00E620AF">
        <w:rPr>
          <w:rFonts w:ascii="Arial" w:hAnsi="Arial" w:cs="Arial"/>
          <w:sz w:val="20"/>
          <w:szCs w:val="20"/>
        </w:rPr>
        <w:t xml:space="preserve"> internal </w:t>
      </w:r>
      <w:proofErr w:type="spellStart"/>
      <w:r w:rsidR="000C78FD" w:rsidRPr="00E620AF">
        <w:rPr>
          <w:rFonts w:ascii="Arial" w:hAnsi="Arial" w:cs="Arial"/>
          <w:sz w:val="20"/>
          <w:szCs w:val="20"/>
        </w:rPr>
        <w:t>marketing</w:t>
      </w:r>
      <w:r w:rsidR="00D91067" w:rsidRPr="00E620AF">
        <w:rPr>
          <w:rFonts w:ascii="Arial" w:hAnsi="Arial" w:cs="Arial"/>
          <w:sz w:val="20"/>
          <w:szCs w:val="20"/>
        </w:rPr>
        <w:t>dimensions</w:t>
      </w:r>
      <w:proofErr w:type="spellEnd"/>
      <w:r w:rsidR="00D91067" w:rsidRPr="00E620AF">
        <w:rPr>
          <w:rFonts w:ascii="Arial" w:hAnsi="Arial" w:cs="Arial"/>
          <w:sz w:val="20"/>
          <w:szCs w:val="20"/>
        </w:rPr>
        <w:t>’</w:t>
      </w:r>
      <w:r w:rsidR="009F7232" w:rsidRPr="00E620AF">
        <w:rPr>
          <w:rFonts w:ascii="Arial" w:hAnsi="Arial" w:cs="Arial"/>
          <w:sz w:val="20"/>
          <w:szCs w:val="20"/>
        </w:rPr>
        <w:t xml:space="preserve"> influence employee satisfaction and the business </w:t>
      </w:r>
      <w:r w:rsidR="009F7232" w:rsidRPr="00C23317">
        <w:rPr>
          <w:rFonts w:ascii="Arial" w:hAnsi="Arial" w:cs="Arial"/>
          <w:sz w:val="20"/>
          <w:szCs w:val="20"/>
        </w:rPr>
        <w:t>success of banks.</w:t>
      </w:r>
    </w:p>
    <w:p w14:paraId="1B9E79AD" w14:textId="20556FF1" w:rsidR="00344D7E" w:rsidRPr="00C23317" w:rsidRDefault="00344D7E" w:rsidP="00C23317">
      <w:pPr>
        <w:jc w:val="both"/>
        <w:rPr>
          <w:rFonts w:ascii="Arial" w:hAnsi="Arial" w:cs="Arial"/>
          <w:b/>
          <w:sz w:val="20"/>
          <w:szCs w:val="20"/>
        </w:rPr>
      </w:pPr>
      <w:r w:rsidRPr="00C23317">
        <w:rPr>
          <w:rFonts w:ascii="Arial" w:hAnsi="Arial" w:cs="Arial"/>
          <w:b/>
          <w:sz w:val="20"/>
          <w:szCs w:val="20"/>
        </w:rPr>
        <w:t>DISCLAIMER (ARTIFICIAL INTELLIGENCE)</w:t>
      </w:r>
    </w:p>
    <w:p w14:paraId="08B436C3" w14:textId="77777777" w:rsidR="00344D7E" w:rsidRPr="00C23317" w:rsidRDefault="00344D7E" w:rsidP="00C23317">
      <w:pPr>
        <w:jc w:val="both"/>
        <w:rPr>
          <w:rFonts w:ascii="Arial" w:hAnsi="Arial" w:cs="Arial"/>
          <w:b/>
          <w:sz w:val="20"/>
          <w:szCs w:val="20"/>
        </w:rPr>
      </w:pPr>
    </w:p>
    <w:p w14:paraId="3201BBB7" w14:textId="6C08CA8C" w:rsidR="00344D7E" w:rsidRPr="00C23317" w:rsidRDefault="00344D7E" w:rsidP="00C23317">
      <w:pPr>
        <w:jc w:val="both"/>
        <w:rPr>
          <w:rFonts w:ascii="Arial" w:hAnsi="Arial" w:cs="Arial"/>
          <w:sz w:val="20"/>
          <w:szCs w:val="20"/>
        </w:rPr>
      </w:pPr>
      <w:r w:rsidRPr="00C23317">
        <w:rPr>
          <w:rFonts w:ascii="Arial" w:hAnsi="Arial" w:cs="Arial"/>
          <w:sz w:val="20"/>
          <w:szCs w:val="20"/>
        </w:rPr>
        <w:t>Author(s)  hereby  declare  that  NO  generative  AI technologies  such  as  Large  Language  Models (ChatGPT,   COPILOT,   etc)   and   text-to-image generators  have  been  used  during  writing  or editing of manuscripts.</w:t>
      </w:r>
    </w:p>
    <w:p w14:paraId="6D340D3E" w14:textId="72C2080F" w:rsidR="00344D7E" w:rsidRPr="00344D7E" w:rsidRDefault="00344D7E" w:rsidP="00344D7E">
      <w:pPr>
        <w:pStyle w:val="NormalWeb"/>
        <w:spacing w:before="0" w:beforeAutospacing="0" w:after="0" w:afterAutospacing="0"/>
        <w:jc w:val="both"/>
        <w:rPr>
          <w:rFonts w:ascii="Arial" w:hAnsi="Arial" w:cs="Arial"/>
          <w:sz w:val="20"/>
          <w:szCs w:val="20"/>
        </w:rPr>
      </w:pPr>
    </w:p>
    <w:p w14:paraId="583A942B" w14:textId="6BF43410" w:rsidR="000D7591" w:rsidRPr="007E6181" w:rsidRDefault="00E60D9E" w:rsidP="00461CA3">
      <w:pPr>
        <w:spacing w:line="276" w:lineRule="auto"/>
        <w:jc w:val="both"/>
        <w:rPr>
          <w:rFonts w:ascii="Arial" w:hAnsi="Arial" w:cs="Arial"/>
          <w:b/>
          <w:lang w:val="en-US"/>
        </w:rPr>
      </w:pPr>
      <w:r>
        <w:rPr>
          <w:rFonts w:ascii="Arial" w:hAnsi="Arial" w:cs="Arial"/>
          <w:b/>
          <w:lang w:val="en-US"/>
        </w:rPr>
        <w:t>REFERENCES</w:t>
      </w:r>
    </w:p>
    <w:p w14:paraId="004DFB6F" w14:textId="5E232969" w:rsidR="005E5EC1" w:rsidRPr="00826725" w:rsidRDefault="005E5EC1" w:rsidP="00C040CF">
      <w:pPr>
        <w:jc w:val="both"/>
        <w:rPr>
          <w:rFonts w:ascii="Arial" w:hAnsi="Arial" w:cs="Arial"/>
          <w:lang w:val="en-US"/>
        </w:rPr>
      </w:pPr>
    </w:p>
    <w:p w14:paraId="668062E1"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Ahmed, P.K. and Rafiq, M. (1995). The role of internal marketing in the implementation of marketing strategies’, Journal of Marketing Practice, Vol. 1, No. 4, pp. 32–51.</w:t>
      </w:r>
    </w:p>
    <w:p w14:paraId="665E4161"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Altarifi</w:t>
      </w:r>
      <w:proofErr w:type="spellEnd"/>
      <w:r w:rsidRPr="007A17F5">
        <w:rPr>
          <w:rFonts w:ascii="Arial" w:hAnsi="Arial" w:cs="Arial"/>
          <w:sz w:val="20"/>
          <w:szCs w:val="20"/>
          <w:lang w:val="en-US"/>
        </w:rPr>
        <w:t>, S.M., (2014). Internal Marketing Activities in Higher Education, International Journal of Business and Management, vol.9, no. 6., Canada</w:t>
      </w:r>
    </w:p>
    <w:p w14:paraId="48FF18CE"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Amitov</w:t>
      </w:r>
      <w:proofErr w:type="spellEnd"/>
      <w:r w:rsidRPr="007A17F5">
        <w:rPr>
          <w:rFonts w:ascii="Arial" w:hAnsi="Arial" w:cs="Arial"/>
          <w:sz w:val="20"/>
          <w:szCs w:val="20"/>
          <w:lang w:val="en-US"/>
        </w:rPr>
        <w:t xml:space="preserve">, S., </w:t>
      </w:r>
      <w:proofErr w:type="spellStart"/>
      <w:r w:rsidRPr="007A17F5">
        <w:rPr>
          <w:rFonts w:ascii="Arial" w:hAnsi="Arial" w:cs="Arial"/>
          <w:sz w:val="20"/>
          <w:szCs w:val="20"/>
          <w:lang w:val="en-US"/>
        </w:rPr>
        <w:t>Rabiul</w:t>
      </w:r>
      <w:proofErr w:type="spellEnd"/>
      <w:r w:rsidRPr="007A17F5">
        <w:rPr>
          <w:rFonts w:ascii="Arial" w:hAnsi="Arial" w:cs="Arial"/>
          <w:sz w:val="20"/>
          <w:szCs w:val="20"/>
          <w:lang w:val="en-US"/>
        </w:rPr>
        <w:t xml:space="preserve">, A., </w:t>
      </w:r>
      <w:proofErr w:type="spellStart"/>
      <w:r w:rsidRPr="007A17F5">
        <w:rPr>
          <w:rFonts w:ascii="Arial" w:hAnsi="Arial" w:cs="Arial"/>
          <w:sz w:val="20"/>
          <w:szCs w:val="20"/>
          <w:lang w:val="en-US"/>
        </w:rPr>
        <w:t>Zafor</w:t>
      </w:r>
      <w:proofErr w:type="spellEnd"/>
      <w:r w:rsidRPr="007A17F5">
        <w:rPr>
          <w:rFonts w:ascii="Arial" w:hAnsi="Arial" w:cs="Arial"/>
          <w:sz w:val="20"/>
          <w:szCs w:val="20"/>
          <w:lang w:val="en-US"/>
        </w:rPr>
        <w:t xml:space="preserve">, S., </w:t>
      </w:r>
      <w:proofErr w:type="spellStart"/>
      <w:r w:rsidRPr="007A17F5">
        <w:rPr>
          <w:rFonts w:ascii="Arial" w:hAnsi="Arial" w:cs="Arial"/>
          <w:sz w:val="20"/>
          <w:szCs w:val="20"/>
          <w:lang w:val="en-US"/>
        </w:rPr>
        <w:t>Hillol</w:t>
      </w:r>
      <w:proofErr w:type="spellEnd"/>
      <w:r w:rsidRPr="007A17F5">
        <w:rPr>
          <w:rFonts w:ascii="Arial" w:hAnsi="Arial" w:cs="Arial"/>
          <w:sz w:val="20"/>
          <w:szCs w:val="20"/>
          <w:lang w:val="en-US"/>
        </w:rPr>
        <w:t xml:space="preserve">, F., (2022). The Effects of Internal Marketing </w:t>
      </w:r>
      <w:proofErr w:type="spellStart"/>
      <w:r w:rsidRPr="007A17F5">
        <w:rPr>
          <w:rFonts w:ascii="Arial" w:hAnsi="Arial" w:cs="Arial"/>
          <w:sz w:val="20"/>
          <w:szCs w:val="20"/>
          <w:lang w:val="en-US"/>
        </w:rPr>
        <w:t>ob</w:t>
      </w:r>
      <w:proofErr w:type="spellEnd"/>
      <w:r w:rsidRPr="007A17F5">
        <w:rPr>
          <w:rFonts w:ascii="Arial" w:hAnsi="Arial" w:cs="Arial"/>
          <w:sz w:val="20"/>
          <w:szCs w:val="20"/>
          <w:lang w:val="en-US"/>
        </w:rPr>
        <w:t xml:space="preserve"> Business Performance with Employee Relationship Quality as a </w:t>
      </w:r>
      <w:proofErr w:type="spellStart"/>
      <w:r w:rsidRPr="007A17F5">
        <w:rPr>
          <w:rFonts w:ascii="Arial" w:hAnsi="Arial" w:cs="Arial"/>
          <w:sz w:val="20"/>
          <w:szCs w:val="20"/>
          <w:lang w:val="en-US"/>
        </w:rPr>
        <w:t>Mediatir</w:t>
      </w:r>
      <w:proofErr w:type="spellEnd"/>
      <w:r w:rsidRPr="007A17F5">
        <w:rPr>
          <w:rFonts w:ascii="Arial" w:hAnsi="Arial" w:cs="Arial"/>
          <w:sz w:val="20"/>
          <w:szCs w:val="20"/>
          <w:lang w:val="en-US"/>
        </w:rPr>
        <w:t xml:space="preserve">: A Resource-Based Approach, Internal Journal of Asian Social Science, Vol.12, No. 3., str. 115-126. </w:t>
      </w:r>
    </w:p>
    <w:p w14:paraId="324F55B4" w14:textId="77777777" w:rsidR="006D2E3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Awwad</w:t>
      </w:r>
      <w:proofErr w:type="spellEnd"/>
      <w:r w:rsidRPr="007A17F5">
        <w:rPr>
          <w:rFonts w:ascii="Arial" w:hAnsi="Arial" w:cs="Arial"/>
          <w:sz w:val="20"/>
          <w:szCs w:val="20"/>
          <w:lang w:val="en-US"/>
        </w:rPr>
        <w:t xml:space="preserve">, M.S., (2010). The Impact of Internal Marketing on </w:t>
      </w:r>
      <w:proofErr w:type="spellStart"/>
      <w:r w:rsidRPr="007A17F5">
        <w:rPr>
          <w:rFonts w:ascii="Arial" w:hAnsi="Arial" w:cs="Arial"/>
          <w:sz w:val="20"/>
          <w:szCs w:val="20"/>
          <w:lang w:val="en-US"/>
        </w:rPr>
        <w:t>Jordanina</w:t>
      </w:r>
      <w:proofErr w:type="spellEnd"/>
      <w:r w:rsidRPr="007A17F5">
        <w:rPr>
          <w:rFonts w:ascii="Arial" w:hAnsi="Arial" w:cs="Arial"/>
          <w:sz w:val="20"/>
          <w:szCs w:val="20"/>
          <w:lang w:val="en-US"/>
        </w:rPr>
        <w:t xml:space="preserve"> Commercial Banks Market Orientation, Master Thesis, </w:t>
      </w:r>
      <w:proofErr w:type="spellStart"/>
      <w:r w:rsidRPr="007A17F5">
        <w:rPr>
          <w:rFonts w:ascii="Arial" w:hAnsi="Arial" w:cs="Arial"/>
          <w:sz w:val="20"/>
          <w:szCs w:val="20"/>
          <w:lang w:val="en-US"/>
        </w:rPr>
        <w:t>Mu'tah</w:t>
      </w:r>
      <w:proofErr w:type="spellEnd"/>
      <w:r w:rsidRPr="007A17F5">
        <w:rPr>
          <w:rFonts w:ascii="Arial" w:hAnsi="Arial" w:cs="Arial"/>
          <w:sz w:val="20"/>
          <w:szCs w:val="20"/>
          <w:lang w:val="en-US"/>
        </w:rPr>
        <w:t xml:space="preserve"> University</w:t>
      </w:r>
    </w:p>
    <w:p w14:paraId="02CAE080" w14:textId="6DC82564" w:rsidR="006D2E35" w:rsidRPr="006D2E35" w:rsidRDefault="006D2E35" w:rsidP="006D2E35">
      <w:pPr>
        <w:jc w:val="both"/>
        <w:rPr>
          <w:rFonts w:ascii="Arial" w:hAnsi="Arial" w:cs="Arial"/>
          <w:sz w:val="20"/>
          <w:szCs w:val="20"/>
          <w:lang w:val="en-US"/>
        </w:rPr>
      </w:pPr>
      <w:r w:rsidRPr="007A17F5">
        <w:rPr>
          <w:rFonts w:ascii="Arial" w:hAnsi="Arial" w:cs="Arial"/>
          <w:sz w:val="20"/>
          <w:szCs w:val="20"/>
        </w:rPr>
        <w:t>Awwad, S. M., Agti, D. A.M. (2011). The impact of internal marketing on commercial banks' market orientation. International Journal of Bank Marketing, 29(4), 308-332.</w:t>
      </w:r>
    </w:p>
    <w:p w14:paraId="3C133EFB"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Bailey, A.A., </w:t>
      </w:r>
      <w:proofErr w:type="spellStart"/>
      <w:r w:rsidRPr="007A17F5">
        <w:rPr>
          <w:rFonts w:ascii="Arial" w:hAnsi="Arial" w:cs="Arial"/>
          <w:sz w:val="20"/>
          <w:szCs w:val="20"/>
          <w:lang w:val="en-US"/>
        </w:rPr>
        <w:t>Albassami</w:t>
      </w:r>
      <w:proofErr w:type="spellEnd"/>
      <w:r w:rsidRPr="007A17F5">
        <w:rPr>
          <w:rFonts w:ascii="Arial" w:hAnsi="Arial" w:cs="Arial"/>
          <w:sz w:val="20"/>
          <w:szCs w:val="20"/>
          <w:lang w:val="en-US"/>
        </w:rPr>
        <w:t>, F. and Al-</w:t>
      </w:r>
      <w:proofErr w:type="spellStart"/>
      <w:r w:rsidRPr="007A17F5">
        <w:rPr>
          <w:rFonts w:ascii="Arial" w:hAnsi="Arial" w:cs="Arial"/>
          <w:sz w:val="20"/>
          <w:szCs w:val="20"/>
          <w:lang w:val="en-US"/>
        </w:rPr>
        <w:t>Meshal</w:t>
      </w:r>
      <w:proofErr w:type="spellEnd"/>
      <w:r w:rsidRPr="007A17F5">
        <w:rPr>
          <w:rFonts w:ascii="Arial" w:hAnsi="Arial" w:cs="Arial"/>
          <w:sz w:val="20"/>
          <w:szCs w:val="20"/>
          <w:lang w:val="en-US"/>
        </w:rPr>
        <w:t xml:space="preserve">, S. (2016). The roles of employee job satisfaction and organizational commitment in the internal marketing-employee bank </w:t>
      </w:r>
      <w:proofErr w:type="spellStart"/>
      <w:r w:rsidRPr="007A17F5">
        <w:rPr>
          <w:rFonts w:ascii="Arial" w:hAnsi="Arial" w:cs="Arial"/>
          <w:sz w:val="20"/>
          <w:szCs w:val="20"/>
          <w:lang w:val="en-US"/>
        </w:rPr>
        <w:t>identifica</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tion</w:t>
      </w:r>
      <w:proofErr w:type="spellEnd"/>
      <w:r w:rsidRPr="007A17F5">
        <w:rPr>
          <w:rFonts w:ascii="Arial" w:hAnsi="Arial" w:cs="Arial"/>
          <w:sz w:val="20"/>
          <w:szCs w:val="20"/>
          <w:lang w:val="en-US"/>
        </w:rPr>
        <w:t xml:space="preserve"> relationship, International Journal of Bank Marketing, Vol. 34 No. 6, pp. 821-840. </w:t>
      </w:r>
    </w:p>
    <w:p w14:paraId="4963EAAB"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Ballantyne, D. (2003). A relationship</w:t>
      </w:r>
      <w:r w:rsidRPr="007A17F5">
        <w:rPr>
          <w:rFonts w:ascii="Cambria Math" w:hAnsi="Cambria Math" w:cs="Cambria Math"/>
          <w:sz w:val="20"/>
          <w:szCs w:val="20"/>
          <w:lang w:val="en-US"/>
        </w:rPr>
        <w:t>‐</w:t>
      </w:r>
      <w:r w:rsidRPr="007A17F5">
        <w:rPr>
          <w:rFonts w:ascii="Arial" w:hAnsi="Arial" w:cs="Arial"/>
          <w:sz w:val="20"/>
          <w:szCs w:val="20"/>
          <w:lang w:val="en-US"/>
        </w:rPr>
        <w:t>mediated theory of internal marketing. European Journal of Marketing, 37(9), 1242–1260. doi:10.1108/03090560310486979</w:t>
      </w:r>
    </w:p>
    <w:p w14:paraId="192E778B"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Ballantyne, D. (2003). </w:t>
      </w:r>
      <w:r w:rsidRPr="007A17F5">
        <w:rPr>
          <w:rFonts w:ascii="Arial" w:hAnsi="Arial" w:cs="Arial"/>
          <w:iCs/>
          <w:sz w:val="20"/>
          <w:szCs w:val="20"/>
          <w:lang w:val="en-US"/>
        </w:rPr>
        <w:t>Internal marketing: A review and some interdisciplinary perspectives</w:t>
      </w:r>
      <w:r w:rsidRPr="007A17F5">
        <w:rPr>
          <w:rFonts w:ascii="Arial" w:hAnsi="Arial" w:cs="Arial"/>
          <w:sz w:val="20"/>
          <w:szCs w:val="20"/>
          <w:lang w:val="en-US"/>
        </w:rPr>
        <w:t>. Journal of Marketing Management, 6(1), pp. 40-63.</w:t>
      </w:r>
    </w:p>
    <w:p w14:paraId="26ACC5AC"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Bansal, H. S., Mendelson, M. B., &amp; Sharma, B. (2001). The impact of internal marketing activities on external marketing outcomes. Journal of Quality Management, 6, 61-76.</w:t>
      </w:r>
    </w:p>
    <w:p w14:paraId="4D281779"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Berry, L.L. (1984). The employee as customer, in Lovelock, C. (Ed.): Services Marketing, Kent Publishing, MA, Boston.</w:t>
      </w:r>
    </w:p>
    <w:p w14:paraId="16195B72"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Berry, L.L., Hensel, J.S. and Burke, M.C. (1976). Improving retailer capability for effective consumerism response, Journal of Retailing, Vol. 52 No. 3, pp. 3-14.</w:t>
      </w:r>
    </w:p>
    <w:p w14:paraId="65D5D9C3"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Boukis</w:t>
      </w:r>
      <w:proofErr w:type="spellEnd"/>
      <w:r w:rsidRPr="007A17F5">
        <w:rPr>
          <w:rFonts w:ascii="Arial" w:hAnsi="Arial" w:cs="Arial"/>
          <w:sz w:val="20"/>
          <w:szCs w:val="20"/>
          <w:lang w:val="en-US"/>
        </w:rPr>
        <w:t xml:space="preserve">, A., </w:t>
      </w:r>
      <w:proofErr w:type="spellStart"/>
      <w:r w:rsidRPr="007A17F5">
        <w:rPr>
          <w:rFonts w:ascii="Arial" w:hAnsi="Arial" w:cs="Arial"/>
          <w:sz w:val="20"/>
          <w:szCs w:val="20"/>
          <w:lang w:val="en-US"/>
        </w:rPr>
        <w:t>Kaminakis</w:t>
      </w:r>
      <w:proofErr w:type="spellEnd"/>
      <w:r w:rsidRPr="007A17F5">
        <w:rPr>
          <w:rFonts w:ascii="Arial" w:hAnsi="Arial" w:cs="Arial"/>
          <w:sz w:val="20"/>
          <w:szCs w:val="20"/>
          <w:lang w:val="en-US"/>
        </w:rPr>
        <w:t xml:space="preserve">, K., </w:t>
      </w:r>
      <w:proofErr w:type="spellStart"/>
      <w:r w:rsidRPr="007A17F5">
        <w:rPr>
          <w:rFonts w:ascii="Arial" w:hAnsi="Arial" w:cs="Arial"/>
          <w:sz w:val="20"/>
          <w:szCs w:val="20"/>
          <w:lang w:val="en-US"/>
        </w:rPr>
        <w:t>Siampos</w:t>
      </w:r>
      <w:proofErr w:type="spellEnd"/>
      <w:r w:rsidRPr="007A17F5">
        <w:rPr>
          <w:rFonts w:ascii="Arial" w:hAnsi="Arial" w:cs="Arial"/>
          <w:sz w:val="20"/>
          <w:szCs w:val="20"/>
          <w:lang w:val="en-US"/>
        </w:rPr>
        <w:t xml:space="preserve">, A., </w:t>
      </w:r>
      <w:proofErr w:type="spellStart"/>
      <w:r w:rsidRPr="007A17F5">
        <w:rPr>
          <w:rFonts w:ascii="Arial" w:hAnsi="Arial" w:cs="Arial"/>
          <w:sz w:val="20"/>
          <w:szCs w:val="20"/>
          <w:lang w:val="en-US"/>
        </w:rPr>
        <w:t>Kostopoulos</w:t>
      </w:r>
      <w:proofErr w:type="spellEnd"/>
      <w:r w:rsidRPr="007A17F5">
        <w:rPr>
          <w:rFonts w:ascii="Arial" w:hAnsi="Arial" w:cs="Arial"/>
          <w:sz w:val="20"/>
          <w:szCs w:val="20"/>
          <w:lang w:val="en-US"/>
        </w:rPr>
        <w:t xml:space="preserve">, I. (2015). Linking Internal Marketing with Customer Outcomes, Marketing Intelligence and Planning, Vol. 33, No. 3, pp. 394–413. </w:t>
      </w:r>
      <w:proofErr w:type="spellStart"/>
      <w:r w:rsidRPr="007A17F5">
        <w:rPr>
          <w:rFonts w:ascii="Arial" w:hAnsi="Arial" w:cs="Arial"/>
          <w:sz w:val="20"/>
          <w:szCs w:val="20"/>
          <w:lang w:val="en-US"/>
        </w:rPr>
        <w:t>doi</w:t>
      </w:r>
      <w:proofErr w:type="spellEnd"/>
      <w:r w:rsidRPr="007A17F5">
        <w:rPr>
          <w:rFonts w:ascii="Arial" w:hAnsi="Arial" w:cs="Arial"/>
          <w:sz w:val="20"/>
          <w:szCs w:val="20"/>
          <w:lang w:val="en-US"/>
        </w:rPr>
        <w:t xml:space="preserve"> 10.1108/ MIP-02-2014-0024</w:t>
      </w:r>
    </w:p>
    <w:p w14:paraId="77EA68A7" w14:textId="77777777" w:rsidR="006D2E35" w:rsidRDefault="006D2E35" w:rsidP="006D2E35">
      <w:pPr>
        <w:jc w:val="both"/>
        <w:rPr>
          <w:rFonts w:ascii="Arial" w:hAnsi="Arial" w:cs="Arial"/>
          <w:iCs/>
          <w:sz w:val="20"/>
          <w:szCs w:val="20"/>
          <w:lang w:val="en-US"/>
        </w:rPr>
      </w:pPr>
      <w:r w:rsidRPr="007A17F5">
        <w:rPr>
          <w:rFonts w:ascii="Arial" w:hAnsi="Arial" w:cs="Arial"/>
          <w:iCs/>
          <w:sz w:val="20"/>
          <w:szCs w:val="20"/>
          <w:lang w:val="en-US"/>
        </w:rPr>
        <w:t xml:space="preserve">Braimah, M. (2016). </w:t>
      </w:r>
      <w:r w:rsidRPr="007A17F5">
        <w:rPr>
          <w:rFonts w:ascii="Arial" w:hAnsi="Arial" w:cs="Arial"/>
          <w:sz w:val="20"/>
          <w:szCs w:val="20"/>
          <w:lang w:val="en-US"/>
        </w:rPr>
        <w:t>Internal Marketing and Employee Motivation: The Case of Hotel Industry in Ghana."</w:t>
      </w:r>
      <w:r w:rsidRPr="007A17F5">
        <w:rPr>
          <w:rFonts w:ascii="Arial" w:hAnsi="Arial" w:cs="Arial"/>
          <w:iCs/>
          <w:sz w:val="20"/>
          <w:szCs w:val="20"/>
          <w:lang w:val="en-US"/>
        </w:rPr>
        <w:t xml:space="preserve"> </w:t>
      </w:r>
      <w:r w:rsidRPr="007A17F5">
        <w:rPr>
          <w:rFonts w:ascii="Arial" w:hAnsi="Arial" w:cs="Arial"/>
          <w:sz w:val="20"/>
          <w:szCs w:val="20"/>
          <w:lang w:val="en-US"/>
        </w:rPr>
        <w:t>International Journal of Hospitality Management, 52</w:t>
      </w:r>
      <w:r w:rsidRPr="007A17F5">
        <w:rPr>
          <w:rFonts w:ascii="Arial" w:hAnsi="Arial" w:cs="Arial"/>
          <w:iCs/>
          <w:sz w:val="20"/>
          <w:szCs w:val="20"/>
          <w:lang w:val="en-US"/>
        </w:rPr>
        <w:t>, 24-34.</w:t>
      </w:r>
    </w:p>
    <w:p w14:paraId="771ABA27" w14:textId="5AD9FDCC" w:rsidR="006D2E35" w:rsidRPr="006D2E35" w:rsidRDefault="006D2E35" w:rsidP="006D2E35">
      <w:pPr>
        <w:jc w:val="both"/>
        <w:rPr>
          <w:rFonts w:ascii="Arial" w:hAnsi="Arial" w:cs="Arial"/>
          <w:iCs/>
          <w:sz w:val="20"/>
          <w:szCs w:val="20"/>
          <w:lang w:val="en-US"/>
        </w:rPr>
      </w:pPr>
      <w:r w:rsidRPr="007A17F5">
        <w:rPr>
          <w:rFonts w:ascii="Arial" w:hAnsi="Arial" w:cs="Arial"/>
          <w:sz w:val="20"/>
          <w:szCs w:val="20"/>
        </w:rPr>
        <w:t>Brown, D. M. (2025). How internal marketing can increase the satisfaction and retention of Generation Z employees in the banking sector. International Journal of Bank Marketing.</w:t>
      </w:r>
    </w:p>
    <w:p w14:paraId="5764681F" w14:textId="77777777" w:rsidR="006D2E35" w:rsidRPr="007A17F5" w:rsidRDefault="006D2E35" w:rsidP="006D2E35">
      <w:pPr>
        <w:jc w:val="both"/>
        <w:rPr>
          <w:rFonts w:ascii="Arial" w:hAnsi="Arial" w:cs="Arial"/>
          <w:iCs/>
          <w:sz w:val="20"/>
          <w:szCs w:val="20"/>
          <w:lang w:val="en-US"/>
        </w:rPr>
      </w:pPr>
      <w:r w:rsidRPr="007A17F5">
        <w:rPr>
          <w:rFonts w:ascii="Arial" w:hAnsi="Arial" w:cs="Arial"/>
          <w:iCs/>
          <w:sz w:val="20"/>
          <w:szCs w:val="20"/>
          <w:lang w:val="en-US"/>
        </w:rPr>
        <w:t>Chang, T. H., &amp; Chang, S. C. (2007). The effect of internal marketing on employees' organizational commitment and job satisfaction: A study of the hotel industry in Taiwan, International Journal of Management, 24(1), 79-93</w:t>
      </w:r>
    </w:p>
    <w:p w14:paraId="41FB5423" w14:textId="77777777" w:rsidR="006D2E35" w:rsidRPr="007A17F5" w:rsidRDefault="006D2E35" w:rsidP="006D2E35">
      <w:pPr>
        <w:jc w:val="both"/>
        <w:rPr>
          <w:rFonts w:ascii="Arial" w:hAnsi="Arial" w:cs="Arial"/>
          <w:iCs/>
          <w:sz w:val="20"/>
          <w:szCs w:val="20"/>
          <w:lang w:val="en-US"/>
        </w:rPr>
      </w:pPr>
      <w:r w:rsidRPr="007A17F5">
        <w:rPr>
          <w:rFonts w:ascii="Arial" w:hAnsi="Arial" w:cs="Arial"/>
          <w:iCs/>
          <w:sz w:val="20"/>
          <w:szCs w:val="20"/>
          <w:lang w:val="de-DE"/>
        </w:rPr>
        <w:t xml:space="preserve">Chen, C. M., &amp; Wu, H. M. (2016). </w:t>
      </w:r>
      <w:r w:rsidRPr="007A17F5">
        <w:rPr>
          <w:rFonts w:ascii="Arial" w:hAnsi="Arial" w:cs="Arial"/>
          <w:iCs/>
          <w:sz w:val="20"/>
          <w:szCs w:val="20"/>
          <w:lang w:val="en-US"/>
        </w:rPr>
        <w:t>Internal marketing, employee engagement, and organizational performance in the hospitality industry, International Journal of Contemporary Hospitality Management, 28(1), 10-28.</w:t>
      </w:r>
    </w:p>
    <w:p w14:paraId="61D7AB9D" w14:textId="77777777" w:rsidR="006D2E35" w:rsidRPr="006D2E35" w:rsidRDefault="006D2E35" w:rsidP="006D2E35">
      <w:pPr>
        <w:jc w:val="both"/>
        <w:rPr>
          <w:rFonts w:ascii="Arial" w:hAnsi="Arial" w:cs="Arial"/>
          <w:sz w:val="20"/>
          <w:szCs w:val="20"/>
          <w:lang w:val="de-DE"/>
        </w:rPr>
      </w:pPr>
      <w:proofErr w:type="spellStart"/>
      <w:r w:rsidRPr="007A17F5">
        <w:rPr>
          <w:rFonts w:ascii="Arial" w:hAnsi="Arial" w:cs="Arial"/>
          <w:sz w:val="20"/>
          <w:szCs w:val="20"/>
          <w:lang w:val="en-US"/>
        </w:rPr>
        <w:t>Črnjar</w:t>
      </w:r>
      <w:proofErr w:type="spellEnd"/>
      <w:r w:rsidRPr="007A17F5">
        <w:rPr>
          <w:rFonts w:ascii="Arial" w:hAnsi="Arial" w:cs="Arial"/>
          <w:sz w:val="20"/>
          <w:szCs w:val="20"/>
          <w:lang w:val="en-US"/>
        </w:rPr>
        <w:t xml:space="preserve">, K., </w:t>
      </w:r>
      <w:proofErr w:type="spellStart"/>
      <w:r w:rsidRPr="007A17F5">
        <w:rPr>
          <w:rFonts w:ascii="Arial" w:hAnsi="Arial" w:cs="Arial"/>
          <w:sz w:val="20"/>
          <w:szCs w:val="20"/>
          <w:lang w:val="en-US"/>
        </w:rPr>
        <w:t>Dlačić</w:t>
      </w:r>
      <w:proofErr w:type="spellEnd"/>
      <w:r w:rsidRPr="007A17F5">
        <w:rPr>
          <w:rFonts w:ascii="Arial" w:hAnsi="Arial" w:cs="Arial"/>
          <w:sz w:val="20"/>
          <w:szCs w:val="20"/>
          <w:lang w:val="en-US"/>
        </w:rPr>
        <w:t xml:space="preserve">, J., </w:t>
      </w:r>
      <w:proofErr w:type="spellStart"/>
      <w:r w:rsidRPr="007A17F5">
        <w:rPr>
          <w:rFonts w:ascii="Arial" w:hAnsi="Arial" w:cs="Arial"/>
          <w:sz w:val="20"/>
          <w:szCs w:val="20"/>
          <w:lang w:val="en-US"/>
        </w:rPr>
        <w:t>Milfelner</w:t>
      </w:r>
      <w:proofErr w:type="spellEnd"/>
      <w:r w:rsidRPr="007A17F5">
        <w:rPr>
          <w:rFonts w:ascii="Arial" w:hAnsi="Arial" w:cs="Arial"/>
          <w:sz w:val="20"/>
          <w:szCs w:val="20"/>
          <w:lang w:val="en-US"/>
        </w:rPr>
        <w:t xml:space="preserve">, B. (2020). </w:t>
      </w:r>
      <w:proofErr w:type="spellStart"/>
      <w:r w:rsidRPr="007A17F5">
        <w:rPr>
          <w:rFonts w:ascii="Arial" w:hAnsi="Arial" w:cs="Arial"/>
          <w:sz w:val="20"/>
          <w:szCs w:val="20"/>
          <w:lang w:val="en-US"/>
        </w:rPr>
        <w:t>Analysing</w:t>
      </w:r>
      <w:proofErr w:type="spellEnd"/>
      <w:r w:rsidRPr="007A17F5">
        <w:rPr>
          <w:rFonts w:ascii="Arial" w:hAnsi="Arial" w:cs="Arial"/>
          <w:sz w:val="20"/>
          <w:szCs w:val="20"/>
          <w:lang w:val="en-US"/>
        </w:rPr>
        <w:t xml:space="preserve"> the relationship between hotels' internal marketing and employee engagement dimensions, Market-</w:t>
      </w:r>
      <w:proofErr w:type="spellStart"/>
      <w:r w:rsidRPr="007A17F5">
        <w:rPr>
          <w:rFonts w:ascii="Arial" w:hAnsi="Arial" w:cs="Arial"/>
          <w:sz w:val="20"/>
          <w:szCs w:val="20"/>
          <w:lang w:val="en-US"/>
        </w:rPr>
        <w:t>tržište</w:t>
      </w:r>
      <w:proofErr w:type="spellEnd"/>
      <w:r w:rsidRPr="007A17F5">
        <w:rPr>
          <w:rFonts w:ascii="Arial" w:hAnsi="Arial" w:cs="Arial"/>
          <w:sz w:val="20"/>
          <w:szCs w:val="20"/>
          <w:lang w:val="en-US"/>
        </w:rPr>
        <w:t xml:space="preserve">, vol.32, Special Issue, pp. 49-65. </w:t>
      </w:r>
      <w:r w:rsidRPr="006D2E35">
        <w:rPr>
          <w:rFonts w:ascii="Arial" w:hAnsi="Arial" w:cs="Arial"/>
          <w:sz w:val="20"/>
          <w:szCs w:val="20"/>
          <w:lang w:val="de-DE"/>
        </w:rPr>
        <w:t xml:space="preserve">DOI </w:t>
      </w:r>
      <w:r w:rsidR="00923937">
        <w:fldChar w:fldCharType="begin"/>
      </w:r>
      <w:r w:rsidR="00923937">
        <w:instrText xml:space="preserve"> HYPERLINK "http://dx.doi.org/10.22598/mt/2020.3</w:instrText>
      </w:r>
      <w:r w:rsidR="00923937">
        <w:instrText xml:space="preserve">2.spec-issue.49" </w:instrText>
      </w:r>
      <w:r w:rsidR="00923937">
        <w:fldChar w:fldCharType="separate"/>
      </w:r>
      <w:r w:rsidRPr="006D2E35">
        <w:rPr>
          <w:rFonts w:ascii="Arial" w:hAnsi="Arial" w:cs="Arial"/>
          <w:sz w:val="20"/>
          <w:szCs w:val="20"/>
          <w:lang w:val="de-DE"/>
        </w:rPr>
        <w:t>http://dx.doi.org/10.22598/mt/2020.32.spec-issue.49</w:t>
      </w:r>
      <w:r w:rsidR="00923937">
        <w:rPr>
          <w:rFonts w:ascii="Arial" w:hAnsi="Arial" w:cs="Arial"/>
          <w:sz w:val="20"/>
          <w:szCs w:val="20"/>
          <w:lang w:val="de-DE"/>
        </w:rPr>
        <w:fldChar w:fldCharType="end"/>
      </w:r>
    </w:p>
    <w:p w14:paraId="29DF8B44"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de-DE"/>
        </w:rPr>
        <w:t xml:space="preserve">Dahl, A. J., &amp; Peltier, J. W. (2017). </w:t>
      </w:r>
      <w:r w:rsidRPr="007A17F5">
        <w:rPr>
          <w:rFonts w:ascii="Arial" w:hAnsi="Arial" w:cs="Arial"/>
          <w:sz w:val="20"/>
          <w:szCs w:val="20"/>
          <w:lang w:val="en-US"/>
        </w:rPr>
        <w:t xml:space="preserve">Internal marketing and employee satisfaction and loyalty: Cross-cultural scale validation in the context of US and German nurses. </w:t>
      </w:r>
      <w:r w:rsidRPr="007A17F5">
        <w:rPr>
          <w:rFonts w:ascii="Arial" w:hAnsi="Arial" w:cs="Arial"/>
          <w:iCs/>
          <w:sz w:val="20"/>
          <w:szCs w:val="20"/>
          <w:lang w:val="en-US"/>
        </w:rPr>
        <w:t>Journal of Consumer Satisfaction, Dissatisfaction and Complaining Behavior</w:t>
      </w:r>
      <w:r w:rsidRPr="007A17F5">
        <w:rPr>
          <w:rFonts w:ascii="Arial" w:hAnsi="Arial" w:cs="Arial"/>
          <w:sz w:val="20"/>
          <w:szCs w:val="20"/>
          <w:lang w:val="en-US"/>
        </w:rPr>
        <w:t>, 27, pp. 43-55</w:t>
      </w:r>
    </w:p>
    <w:p w14:paraId="7FEE7263" w14:textId="77777777" w:rsidR="006D2E35" w:rsidRPr="007A17F5" w:rsidRDefault="006D2E35" w:rsidP="006D2E35">
      <w:pPr>
        <w:jc w:val="both"/>
        <w:rPr>
          <w:rFonts w:ascii="Arial" w:hAnsi="Arial" w:cs="Arial"/>
          <w:sz w:val="20"/>
          <w:szCs w:val="20"/>
          <w:lang w:val="en-US"/>
        </w:rPr>
      </w:pPr>
      <w:r w:rsidRPr="006D2E35">
        <w:rPr>
          <w:rFonts w:ascii="Arial" w:hAnsi="Arial" w:cs="Arial"/>
          <w:sz w:val="20"/>
          <w:szCs w:val="20"/>
          <w:lang w:val="en-US"/>
        </w:rPr>
        <w:t xml:space="preserve">Dikshit, A., </w:t>
      </w:r>
      <w:proofErr w:type="spellStart"/>
      <w:r w:rsidRPr="006D2E35">
        <w:rPr>
          <w:rFonts w:ascii="Arial" w:hAnsi="Arial" w:cs="Arial"/>
          <w:sz w:val="20"/>
          <w:szCs w:val="20"/>
          <w:lang w:val="en-US"/>
        </w:rPr>
        <w:t>Kumor</w:t>
      </w:r>
      <w:proofErr w:type="spellEnd"/>
      <w:r w:rsidRPr="006D2E35">
        <w:rPr>
          <w:rFonts w:ascii="Arial" w:hAnsi="Arial" w:cs="Arial"/>
          <w:sz w:val="20"/>
          <w:szCs w:val="20"/>
          <w:lang w:val="en-US"/>
        </w:rPr>
        <w:t xml:space="preserve"> Jain, T., (2017). </w:t>
      </w:r>
      <w:r w:rsidRPr="007A17F5">
        <w:rPr>
          <w:rFonts w:ascii="Arial" w:hAnsi="Arial" w:cs="Arial"/>
          <w:sz w:val="20"/>
          <w:szCs w:val="20"/>
          <w:lang w:val="en-US"/>
        </w:rPr>
        <w:t>Employee retention, training and development in banking sector: A review paper, 10.2139/ssrn.2970490</w:t>
      </w:r>
    </w:p>
    <w:p w14:paraId="79A73320"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Dwyer, J. (2005). Communication in business: Strategies and skills, 3rd ed., Pearson Education, Australia, Sydney.</w:t>
      </w:r>
    </w:p>
    <w:p w14:paraId="1E6159DF"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lastRenderedPageBreak/>
        <w:t xml:space="preserve">Fang, S.R., Chang, E., </w:t>
      </w:r>
      <w:proofErr w:type="spellStart"/>
      <w:r w:rsidRPr="007A17F5">
        <w:rPr>
          <w:rFonts w:ascii="Arial" w:hAnsi="Arial" w:cs="Arial"/>
          <w:sz w:val="20"/>
          <w:szCs w:val="20"/>
          <w:lang w:val="en-US"/>
        </w:rPr>
        <w:t>Ou</w:t>
      </w:r>
      <w:proofErr w:type="spellEnd"/>
      <w:r w:rsidRPr="007A17F5">
        <w:rPr>
          <w:rFonts w:ascii="Arial" w:hAnsi="Arial" w:cs="Arial"/>
          <w:sz w:val="20"/>
          <w:szCs w:val="20"/>
          <w:lang w:val="en-US"/>
        </w:rPr>
        <w:t>, C.C., Chou, C.H. (2014). Internal market orientation, market capabilities and learning orientation. European Journal of Marketing, </w:t>
      </w:r>
      <w:hyperlink r:id="rId14" w:history="1">
        <w:r w:rsidRPr="007A17F5">
          <w:rPr>
            <w:rFonts w:ascii="Arial" w:hAnsi="Arial" w:cs="Arial"/>
            <w:sz w:val="20"/>
            <w:szCs w:val="20"/>
            <w:lang w:val="en-US"/>
          </w:rPr>
          <w:t>48</w:t>
        </w:r>
      </w:hyperlink>
      <w:r w:rsidRPr="007A17F5">
        <w:rPr>
          <w:rFonts w:ascii="Arial" w:hAnsi="Arial" w:cs="Arial"/>
          <w:sz w:val="20"/>
          <w:szCs w:val="20"/>
          <w:lang w:val="en-US"/>
        </w:rPr>
        <w:t>(</w:t>
      </w:r>
      <w:hyperlink r:id="rId15" w:tgtFrame="_blank" w:history="1">
        <w:r w:rsidRPr="007A17F5">
          <w:rPr>
            <w:rFonts w:ascii="Arial" w:hAnsi="Arial" w:cs="Arial"/>
            <w:sz w:val="20"/>
            <w:szCs w:val="20"/>
            <w:lang w:val="en-US"/>
          </w:rPr>
          <w:t>1/2</w:t>
        </w:r>
      </w:hyperlink>
      <w:r w:rsidRPr="007A17F5">
        <w:rPr>
          <w:rFonts w:ascii="Arial" w:hAnsi="Arial" w:cs="Arial"/>
          <w:sz w:val="20"/>
          <w:szCs w:val="20"/>
          <w:lang w:val="en-US"/>
        </w:rPr>
        <w:t>), 170–192. </w:t>
      </w:r>
      <w:hyperlink r:id="rId16" w:tgtFrame="_blank" w:history="1">
        <w:r w:rsidRPr="007A17F5">
          <w:rPr>
            <w:rFonts w:ascii="Arial" w:hAnsi="Arial" w:cs="Arial"/>
            <w:sz w:val="20"/>
            <w:szCs w:val="20"/>
            <w:lang w:val="en-US"/>
          </w:rPr>
          <w:t>https://doi.org/https://doi.org/10.1108/EJM-06-2010-0353</w:t>
        </w:r>
      </w:hyperlink>
    </w:p>
    <w:p w14:paraId="17C1949C"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Ferdous, A. S., Polonsky, M. (2014). The Impact of Frontline Employees’ Perceptions of Internal Marketing on Employee Outcomes. Journal of Strategic Marketing, Vol. 22, No. 4, pp. 300–315. </w:t>
      </w:r>
      <w:hyperlink r:id="rId17" w:history="1">
        <w:r w:rsidRPr="007A17F5">
          <w:rPr>
            <w:rFonts w:ascii="Arial" w:hAnsi="Arial" w:cs="Arial"/>
            <w:sz w:val="20"/>
            <w:szCs w:val="20"/>
            <w:lang w:val="en-US"/>
          </w:rPr>
          <w:t>https://doi.org/10.1080/0965254X.2013.876077</w:t>
        </w:r>
      </w:hyperlink>
    </w:p>
    <w:p w14:paraId="786EDAEB"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Foreman, S. and Money, A. (1995). Internal marketing-concepts measurement and application, Journal of Marketing Management, Vol. 11, pp. 755-68.</w:t>
      </w:r>
    </w:p>
    <w:p w14:paraId="4FD156B1"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Gounaris</w:t>
      </w:r>
      <w:proofErr w:type="spellEnd"/>
      <w:r w:rsidRPr="007A17F5">
        <w:rPr>
          <w:rFonts w:ascii="Arial" w:hAnsi="Arial" w:cs="Arial"/>
          <w:sz w:val="20"/>
          <w:szCs w:val="20"/>
          <w:lang w:val="en-US"/>
        </w:rPr>
        <w:t xml:space="preserve">, S. P. (2006). Internal-market orientation and its measurement. Journal of Business Research, 59(4), 432–448. https://doi.org/10.1016/j.jbusres.2005.10.003 </w:t>
      </w:r>
    </w:p>
    <w:p w14:paraId="2CF79EBE"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bCs/>
          <w:sz w:val="20"/>
          <w:szCs w:val="20"/>
          <w:lang w:val="en-US"/>
        </w:rPr>
        <w:t>Grönroos</w:t>
      </w:r>
      <w:proofErr w:type="spellEnd"/>
      <w:r w:rsidRPr="007A17F5">
        <w:rPr>
          <w:rFonts w:ascii="Arial" w:hAnsi="Arial" w:cs="Arial"/>
          <w:bCs/>
          <w:sz w:val="20"/>
          <w:szCs w:val="20"/>
          <w:lang w:val="en-US"/>
        </w:rPr>
        <w:t xml:space="preserve">, C. (1978). </w:t>
      </w:r>
      <w:r w:rsidRPr="007A17F5">
        <w:rPr>
          <w:rFonts w:ascii="Arial" w:hAnsi="Arial" w:cs="Arial"/>
          <w:iCs/>
          <w:sz w:val="20"/>
          <w:szCs w:val="20"/>
          <w:lang w:val="en-US"/>
        </w:rPr>
        <w:t>A service quality model and its marketing implications."</w:t>
      </w:r>
      <w:r w:rsidRPr="007A17F5">
        <w:rPr>
          <w:rFonts w:ascii="Arial" w:hAnsi="Arial" w:cs="Arial"/>
          <w:sz w:val="20"/>
          <w:szCs w:val="20"/>
          <w:lang w:val="en-US"/>
        </w:rPr>
        <w:t xml:space="preserve"> </w:t>
      </w:r>
      <w:r w:rsidRPr="007A17F5">
        <w:rPr>
          <w:rFonts w:ascii="Arial" w:hAnsi="Arial" w:cs="Arial"/>
          <w:iCs/>
          <w:sz w:val="20"/>
          <w:szCs w:val="20"/>
          <w:lang w:val="en-US"/>
        </w:rPr>
        <w:t>European Journal of Marketing, 12</w:t>
      </w:r>
      <w:r w:rsidRPr="007A17F5">
        <w:rPr>
          <w:rFonts w:ascii="Arial" w:hAnsi="Arial" w:cs="Arial"/>
          <w:sz w:val="20"/>
          <w:szCs w:val="20"/>
          <w:lang w:val="en-US"/>
        </w:rPr>
        <w:t>(8), 588-602.</w:t>
      </w:r>
    </w:p>
    <w:p w14:paraId="32919BB7"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Grönroos</w:t>
      </w:r>
      <w:proofErr w:type="spellEnd"/>
      <w:r w:rsidRPr="007A17F5">
        <w:rPr>
          <w:rFonts w:ascii="Arial" w:hAnsi="Arial" w:cs="Arial"/>
          <w:sz w:val="20"/>
          <w:szCs w:val="20"/>
          <w:lang w:val="en-US"/>
        </w:rPr>
        <w:t>, C. (1981). Internal marketing-an integral part of marketing theory”, in Donnelly, J.H. and George, W.R. (Eds), Marketing of Services, American Marketing Association, Chicago, IL, pp. 236-8.</w:t>
      </w:r>
    </w:p>
    <w:p w14:paraId="170F9A45"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Grönroos</w:t>
      </w:r>
      <w:proofErr w:type="spellEnd"/>
      <w:r w:rsidRPr="007A17F5">
        <w:rPr>
          <w:rFonts w:ascii="Arial" w:hAnsi="Arial" w:cs="Arial"/>
          <w:sz w:val="20"/>
          <w:szCs w:val="20"/>
          <w:lang w:val="en-US"/>
        </w:rPr>
        <w:t>, C. (1985). Internal marketing – theory and practice’, Proceedings of the American Marketing Association’s Services Conference, American Marketing Association, Chicago IL, pp.41–47.</w:t>
      </w:r>
    </w:p>
    <w:p w14:paraId="4C9DF3ED"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Grönroos</w:t>
      </w:r>
      <w:proofErr w:type="spellEnd"/>
      <w:r w:rsidRPr="007A17F5">
        <w:rPr>
          <w:rFonts w:ascii="Arial" w:hAnsi="Arial" w:cs="Arial"/>
          <w:sz w:val="20"/>
          <w:szCs w:val="20"/>
          <w:lang w:val="en-US"/>
        </w:rPr>
        <w:t>, C. (1994). From marketing mix to relationship marketing: towards a paradigm shift in marketing”, Management Decision, Vol. 32 No. 2, pp. 4-20.</w:t>
      </w:r>
    </w:p>
    <w:p w14:paraId="62A3A10A"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Güllü</w:t>
      </w:r>
      <w:proofErr w:type="spellEnd"/>
      <w:r w:rsidRPr="007A17F5">
        <w:rPr>
          <w:rFonts w:ascii="Arial" w:hAnsi="Arial" w:cs="Arial"/>
          <w:sz w:val="20"/>
          <w:szCs w:val="20"/>
          <w:lang w:val="en-US"/>
        </w:rPr>
        <w:t xml:space="preserve">, T. (2016). Impact of training and development programs on motivation of employees in banking sector, International Journal of Economics, </w:t>
      </w:r>
      <w:proofErr w:type="spellStart"/>
      <w:r w:rsidRPr="007A17F5">
        <w:rPr>
          <w:rFonts w:ascii="Arial" w:hAnsi="Arial" w:cs="Arial"/>
          <w:sz w:val="20"/>
          <w:szCs w:val="20"/>
          <w:lang w:val="en-US"/>
        </w:rPr>
        <w:t>Vommerce</w:t>
      </w:r>
      <w:proofErr w:type="spellEnd"/>
      <w:r w:rsidRPr="007A17F5">
        <w:rPr>
          <w:rFonts w:ascii="Arial" w:hAnsi="Arial" w:cs="Arial"/>
          <w:sz w:val="20"/>
          <w:szCs w:val="20"/>
          <w:lang w:val="en-US"/>
        </w:rPr>
        <w:t xml:space="preserve"> and Management, vol. IV, Issue 6., pp: 90-99.</w:t>
      </w:r>
    </w:p>
    <w:p w14:paraId="3A65E396"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Herington, C., Scoot, D.R., Johnson, L.W. (2005). Focus group exploration of firm-employee relationship strength, Qualitative Market Research: An International Journal, 8(3), str. 256.</w:t>
      </w:r>
    </w:p>
    <w:p w14:paraId="71D8BAFE"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Hernández-Díaz, A., Calderon-Abreu, T., Amador-</w:t>
      </w:r>
      <w:proofErr w:type="spellStart"/>
      <w:r w:rsidRPr="007A17F5">
        <w:rPr>
          <w:rFonts w:ascii="Arial" w:hAnsi="Arial" w:cs="Arial"/>
          <w:sz w:val="20"/>
          <w:szCs w:val="20"/>
          <w:lang w:val="en-US"/>
        </w:rPr>
        <w:t>Dumois</w:t>
      </w:r>
      <w:proofErr w:type="spellEnd"/>
      <w:r w:rsidRPr="007A17F5">
        <w:rPr>
          <w:rFonts w:ascii="Arial" w:hAnsi="Arial" w:cs="Arial"/>
          <w:sz w:val="20"/>
          <w:szCs w:val="20"/>
          <w:lang w:val="en-US"/>
        </w:rPr>
        <w:t xml:space="preserve">, M., </w:t>
      </w:r>
      <w:proofErr w:type="spellStart"/>
      <w:r w:rsidRPr="007A17F5">
        <w:rPr>
          <w:rFonts w:ascii="Arial" w:hAnsi="Arial" w:cs="Arial"/>
          <w:sz w:val="20"/>
          <w:szCs w:val="20"/>
          <w:lang w:val="en-US"/>
        </w:rPr>
        <w:t>Córdova</w:t>
      </w:r>
      <w:proofErr w:type="spellEnd"/>
      <w:r w:rsidRPr="007A17F5">
        <w:rPr>
          <w:rFonts w:ascii="Arial" w:hAnsi="Arial" w:cs="Arial"/>
          <w:sz w:val="20"/>
          <w:szCs w:val="20"/>
          <w:lang w:val="en-US"/>
        </w:rPr>
        <w:t xml:space="preserve">-Claudio, M. (2017). Internal Marketing and Customer-Contact Employees’ Attitudinal Outcomes. Academia </w:t>
      </w:r>
      <w:proofErr w:type="spellStart"/>
      <w:r w:rsidRPr="007A17F5">
        <w:rPr>
          <w:rFonts w:ascii="Arial" w:hAnsi="Arial" w:cs="Arial"/>
          <w:sz w:val="20"/>
          <w:szCs w:val="20"/>
          <w:lang w:val="en-US"/>
        </w:rPr>
        <w:t>Revista</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Latinoamericana</w:t>
      </w:r>
      <w:proofErr w:type="spellEnd"/>
      <w:r w:rsidRPr="007A17F5">
        <w:rPr>
          <w:rFonts w:ascii="Arial" w:hAnsi="Arial" w:cs="Arial"/>
          <w:sz w:val="20"/>
          <w:szCs w:val="20"/>
          <w:lang w:val="en-US"/>
        </w:rPr>
        <w:t xml:space="preserve"> de </w:t>
      </w:r>
      <w:proofErr w:type="spellStart"/>
      <w:r w:rsidRPr="007A17F5">
        <w:rPr>
          <w:rFonts w:ascii="Arial" w:hAnsi="Arial" w:cs="Arial"/>
          <w:sz w:val="20"/>
          <w:szCs w:val="20"/>
          <w:lang w:val="en-US"/>
        </w:rPr>
        <w:t>Administración</w:t>
      </w:r>
      <w:proofErr w:type="spellEnd"/>
      <w:r w:rsidRPr="007A17F5">
        <w:rPr>
          <w:rFonts w:ascii="Arial" w:hAnsi="Arial" w:cs="Arial"/>
          <w:sz w:val="20"/>
          <w:szCs w:val="20"/>
          <w:lang w:val="en-US"/>
        </w:rPr>
        <w:t xml:space="preserve">, Vol. 30, No. 1, pp. 124–143. </w:t>
      </w:r>
      <w:hyperlink r:id="rId18" w:history="1">
        <w:r w:rsidRPr="007A17F5">
          <w:rPr>
            <w:rFonts w:ascii="Arial" w:hAnsi="Arial" w:cs="Arial"/>
            <w:sz w:val="20"/>
            <w:szCs w:val="20"/>
            <w:lang w:val="en-US"/>
          </w:rPr>
          <w:t>https://doi.org/10.1108/ARLA-08-2015-0190</w:t>
        </w:r>
      </w:hyperlink>
    </w:p>
    <w:p w14:paraId="228AA9BF" w14:textId="77777777" w:rsidR="006D2E35" w:rsidRPr="007A17F5" w:rsidRDefault="006D2E35" w:rsidP="006D2E35">
      <w:pPr>
        <w:jc w:val="both"/>
        <w:rPr>
          <w:rFonts w:ascii="Arial" w:hAnsi="Arial" w:cs="Arial"/>
          <w:sz w:val="20"/>
          <w:szCs w:val="20"/>
          <w:lang w:val="en-US"/>
        </w:rPr>
      </w:pPr>
      <w:r w:rsidRPr="007A17F5">
        <w:rPr>
          <w:rFonts w:ascii="Arial" w:hAnsi="Arial" w:cs="Arial"/>
          <w:bCs/>
          <w:sz w:val="20"/>
          <w:szCs w:val="20"/>
          <w:lang w:val="en-US"/>
        </w:rPr>
        <w:t xml:space="preserve">Heskett, J. L. (1977). </w:t>
      </w:r>
      <w:r w:rsidRPr="007A17F5">
        <w:rPr>
          <w:rFonts w:ascii="Arial" w:hAnsi="Arial" w:cs="Arial"/>
          <w:iCs/>
          <w:sz w:val="20"/>
          <w:szCs w:val="20"/>
          <w:lang w:val="en-US"/>
        </w:rPr>
        <w:t>The service-profit chain."</w:t>
      </w:r>
      <w:r w:rsidRPr="007A17F5">
        <w:rPr>
          <w:rFonts w:ascii="Arial" w:hAnsi="Arial" w:cs="Arial"/>
          <w:sz w:val="20"/>
          <w:szCs w:val="20"/>
          <w:lang w:val="en-US"/>
        </w:rPr>
        <w:t xml:space="preserve"> </w:t>
      </w:r>
      <w:r w:rsidRPr="007A17F5">
        <w:rPr>
          <w:rFonts w:ascii="Arial" w:hAnsi="Arial" w:cs="Arial"/>
          <w:iCs/>
          <w:sz w:val="20"/>
          <w:szCs w:val="20"/>
          <w:lang w:val="en-US"/>
        </w:rPr>
        <w:t>Harvard Business Review, 55</w:t>
      </w:r>
      <w:r w:rsidRPr="007A17F5">
        <w:rPr>
          <w:rFonts w:ascii="Arial" w:hAnsi="Arial" w:cs="Arial"/>
          <w:sz w:val="20"/>
          <w:szCs w:val="20"/>
          <w:lang w:val="en-US"/>
        </w:rPr>
        <w:t>(2), 164-174</w:t>
      </w:r>
    </w:p>
    <w:p w14:paraId="3C9EC773"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Jarvi</w:t>
      </w:r>
      <w:proofErr w:type="spellEnd"/>
      <w:r w:rsidRPr="007A17F5">
        <w:rPr>
          <w:rFonts w:ascii="Arial" w:hAnsi="Arial" w:cs="Arial"/>
          <w:sz w:val="20"/>
          <w:szCs w:val="20"/>
          <w:lang w:val="en-US"/>
        </w:rPr>
        <w:t xml:space="preserve">, P. (2009). Internal marketing and commitment of the employees when managing the </w:t>
      </w:r>
      <w:proofErr w:type="gramStart"/>
      <w:r w:rsidRPr="007A17F5">
        <w:rPr>
          <w:rFonts w:ascii="Arial" w:hAnsi="Arial" w:cs="Arial"/>
          <w:sz w:val="20"/>
          <w:szCs w:val="20"/>
          <w:lang w:val="en-US"/>
        </w:rPr>
        <w:t>customer oriented</w:t>
      </w:r>
      <w:proofErr w:type="gramEnd"/>
      <w:r w:rsidRPr="007A17F5">
        <w:rPr>
          <w:rFonts w:ascii="Arial" w:hAnsi="Arial" w:cs="Arial"/>
          <w:sz w:val="20"/>
          <w:szCs w:val="20"/>
          <w:lang w:val="en-US"/>
        </w:rPr>
        <w:t xml:space="preserve"> business, School of business and economics, University of Jyvaskyla, Finland</w:t>
      </w:r>
    </w:p>
    <w:p w14:paraId="3256500F"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Jaworski, B.J., Kohli, A.K. (1993). Market orientation: antecedents and consequences, Journal of Marketing, 57 (3) (1993), pp. 53-70</w:t>
      </w:r>
    </w:p>
    <w:p w14:paraId="344A1BA7"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Jovović</w:t>
      </w:r>
      <w:proofErr w:type="spellEnd"/>
      <w:r w:rsidRPr="007A17F5">
        <w:rPr>
          <w:rFonts w:ascii="Arial" w:hAnsi="Arial" w:cs="Arial"/>
          <w:sz w:val="20"/>
          <w:szCs w:val="20"/>
          <w:lang w:val="en-US"/>
        </w:rPr>
        <w:t xml:space="preserve">, M., </w:t>
      </w:r>
      <w:proofErr w:type="spellStart"/>
      <w:r w:rsidRPr="007A17F5">
        <w:rPr>
          <w:rFonts w:ascii="Arial" w:hAnsi="Arial" w:cs="Arial"/>
          <w:sz w:val="20"/>
          <w:szCs w:val="20"/>
          <w:lang w:val="en-US"/>
        </w:rPr>
        <w:t>Mišnić</w:t>
      </w:r>
      <w:proofErr w:type="spellEnd"/>
      <w:r w:rsidRPr="007A17F5">
        <w:rPr>
          <w:rFonts w:ascii="Arial" w:hAnsi="Arial" w:cs="Arial"/>
          <w:sz w:val="20"/>
          <w:szCs w:val="20"/>
          <w:lang w:val="en-US"/>
        </w:rPr>
        <w:t xml:space="preserve">, N., </w:t>
      </w:r>
      <w:proofErr w:type="spellStart"/>
      <w:r w:rsidRPr="007A17F5">
        <w:rPr>
          <w:rFonts w:ascii="Arial" w:hAnsi="Arial" w:cs="Arial"/>
          <w:sz w:val="20"/>
          <w:szCs w:val="20"/>
          <w:lang w:val="en-US"/>
        </w:rPr>
        <w:t>Jovović</w:t>
      </w:r>
      <w:proofErr w:type="spellEnd"/>
      <w:r w:rsidRPr="007A17F5">
        <w:rPr>
          <w:rFonts w:ascii="Arial" w:hAnsi="Arial" w:cs="Arial"/>
          <w:sz w:val="20"/>
          <w:szCs w:val="20"/>
          <w:lang w:val="en-US"/>
        </w:rPr>
        <w:t xml:space="preserve">, J., </w:t>
      </w:r>
      <w:proofErr w:type="spellStart"/>
      <w:r w:rsidRPr="007A17F5">
        <w:rPr>
          <w:rFonts w:ascii="Arial" w:hAnsi="Arial" w:cs="Arial"/>
          <w:sz w:val="20"/>
          <w:szCs w:val="20"/>
          <w:lang w:val="en-US"/>
        </w:rPr>
        <w:t>Pejovič</w:t>
      </w:r>
      <w:proofErr w:type="spellEnd"/>
      <w:r w:rsidRPr="007A17F5">
        <w:rPr>
          <w:rFonts w:ascii="Arial" w:hAnsi="Arial" w:cs="Arial"/>
          <w:sz w:val="20"/>
          <w:szCs w:val="20"/>
          <w:lang w:val="en-US"/>
        </w:rPr>
        <w:t xml:space="preserve">, B. (2022). Relation between job engagement, stress and turnover intentions among public and private sector employees. </w:t>
      </w:r>
      <w:proofErr w:type="spellStart"/>
      <w:r w:rsidRPr="007A17F5">
        <w:rPr>
          <w:rFonts w:ascii="Arial" w:hAnsi="Arial" w:cs="Arial"/>
          <w:sz w:val="20"/>
          <w:szCs w:val="20"/>
          <w:lang w:val="en-US"/>
        </w:rPr>
        <w:t>Ekonomske</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ideje</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i</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praksa</w:t>
      </w:r>
      <w:proofErr w:type="spellEnd"/>
      <w:r w:rsidRPr="007A17F5">
        <w:rPr>
          <w:rFonts w:ascii="Arial" w:hAnsi="Arial" w:cs="Arial"/>
          <w:sz w:val="20"/>
          <w:szCs w:val="20"/>
          <w:lang w:val="en-US"/>
        </w:rPr>
        <w:t xml:space="preserve"> br. 47, 2022., str. 31-44.</w:t>
      </w:r>
    </w:p>
    <w:p w14:paraId="1A13A518" w14:textId="77777777" w:rsidR="006D2E35" w:rsidRPr="007A17F5" w:rsidRDefault="006D2E35" w:rsidP="006D2E35">
      <w:pPr>
        <w:jc w:val="both"/>
        <w:rPr>
          <w:rFonts w:ascii="Arial" w:hAnsi="Arial" w:cs="Arial"/>
          <w:b/>
          <w:sz w:val="20"/>
          <w:szCs w:val="20"/>
          <w:lang w:val="en-US"/>
        </w:rPr>
      </w:pPr>
      <w:r w:rsidRPr="007A17F5">
        <w:rPr>
          <w:rStyle w:val="Strong"/>
          <w:rFonts w:ascii="Arial" w:hAnsi="Arial" w:cs="Arial"/>
          <w:b w:val="0"/>
          <w:sz w:val="20"/>
          <w:szCs w:val="20"/>
          <w:lang w:val="en-US"/>
        </w:rPr>
        <w:t xml:space="preserve">Kaur, J. (2016). Impact of Training and Development </w:t>
      </w:r>
      <w:proofErr w:type="spellStart"/>
      <w:r w:rsidRPr="007A17F5">
        <w:rPr>
          <w:rStyle w:val="Strong"/>
          <w:rFonts w:ascii="Arial" w:hAnsi="Arial" w:cs="Arial"/>
          <w:b w:val="0"/>
          <w:sz w:val="20"/>
          <w:szCs w:val="20"/>
          <w:lang w:val="en-US"/>
        </w:rPr>
        <w:t>programmes</w:t>
      </w:r>
      <w:proofErr w:type="spellEnd"/>
      <w:r w:rsidRPr="007A17F5">
        <w:rPr>
          <w:rStyle w:val="Strong"/>
          <w:rFonts w:ascii="Arial" w:hAnsi="Arial" w:cs="Arial"/>
          <w:b w:val="0"/>
          <w:sz w:val="20"/>
          <w:szCs w:val="20"/>
          <w:lang w:val="en-US"/>
        </w:rPr>
        <w:t xml:space="preserve"> on </w:t>
      </w:r>
      <w:proofErr w:type="spellStart"/>
      <w:r w:rsidRPr="007A17F5">
        <w:rPr>
          <w:rStyle w:val="Strong"/>
          <w:rFonts w:ascii="Arial" w:hAnsi="Arial" w:cs="Arial"/>
          <w:b w:val="0"/>
          <w:sz w:val="20"/>
          <w:szCs w:val="20"/>
          <w:lang w:val="en-US"/>
        </w:rPr>
        <w:t>zhe</w:t>
      </w:r>
      <w:proofErr w:type="spellEnd"/>
      <w:r w:rsidRPr="007A17F5">
        <w:rPr>
          <w:rStyle w:val="Strong"/>
          <w:rFonts w:ascii="Arial" w:hAnsi="Arial" w:cs="Arial"/>
          <w:b w:val="0"/>
          <w:sz w:val="20"/>
          <w:szCs w:val="20"/>
          <w:lang w:val="en-US"/>
        </w:rPr>
        <w:t xml:space="preserve"> productivity of Employees in the Banks, Journal of Strategic Human Resource Management, Vol. 5, No. 1., pp. 46-52</w:t>
      </w:r>
    </w:p>
    <w:p w14:paraId="7EB151DF"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Kelemen, M., &amp; </w:t>
      </w:r>
      <w:proofErr w:type="spellStart"/>
      <w:r w:rsidRPr="007A17F5">
        <w:rPr>
          <w:rFonts w:ascii="Arial" w:hAnsi="Arial" w:cs="Arial"/>
          <w:sz w:val="20"/>
          <w:szCs w:val="20"/>
          <w:lang w:val="en-US"/>
        </w:rPr>
        <w:t>Papasolomou</w:t>
      </w:r>
      <w:proofErr w:type="spellEnd"/>
      <w:r w:rsidRPr="007A17F5">
        <w:rPr>
          <w:rFonts w:ascii="Arial" w:hAnsi="Arial" w:cs="Arial"/>
          <w:sz w:val="20"/>
          <w:szCs w:val="20"/>
          <w:lang w:val="en-US"/>
        </w:rPr>
        <w:t xml:space="preserve">, I. (2007). Internal marketing: a qualitative study of culture </w:t>
      </w:r>
      <w:proofErr w:type="gramStart"/>
      <w:r w:rsidRPr="007A17F5">
        <w:rPr>
          <w:rFonts w:ascii="Arial" w:hAnsi="Arial" w:cs="Arial"/>
          <w:sz w:val="20"/>
          <w:szCs w:val="20"/>
          <w:lang w:val="en-US"/>
        </w:rPr>
        <w:t>change</w:t>
      </w:r>
      <w:proofErr w:type="gramEnd"/>
      <w:r w:rsidRPr="007A17F5">
        <w:rPr>
          <w:rFonts w:ascii="Arial" w:hAnsi="Arial" w:cs="Arial"/>
          <w:sz w:val="20"/>
          <w:szCs w:val="20"/>
          <w:lang w:val="en-US"/>
        </w:rPr>
        <w:t xml:space="preserve"> in the UK banking sector. Journal of Marketing Management, 23(7-8), 746-768.</w:t>
      </w:r>
    </w:p>
    <w:p w14:paraId="739ED524"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Kikoito</w:t>
      </w:r>
      <w:proofErr w:type="spellEnd"/>
      <w:r w:rsidRPr="007A17F5">
        <w:rPr>
          <w:rFonts w:ascii="Arial" w:hAnsi="Arial" w:cs="Arial"/>
          <w:sz w:val="20"/>
          <w:szCs w:val="20"/>
          <w:lang w:val="en-US"/>
        </w:rPr>
        <w:t>, J.N., (2014). Impact of Reward systems on the Organizations performance in Tanzanian banking industry: A case of Commercial banks in Mwanza city, Degree of Master of Human Resource Management of the Open University of Tanzania.</w:t>
      </w:r>
    </w:p>
    <w:p w14:paraId="2F63AD1B"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de-DE"/>
        </w:rPr>
        <w:t xml:space="preserve">Kong, H., Bu, N. T., Yuan, Y., Wang, K., Kong, L., Wang, J. (2020). </w:t>
      </w:r>
      <w:r w:rsidRPr="007A17F5">
        <w:rPr>
          <w:rFonts w:ascii="Arial" w:hAnsi="Arial" w:cs="Arial"/>
          <w:sz w:val="20"/>
          <w:szCs w:val="20"/>
          <w:lang w:val="en-US"/>
        </w:rPr>
        <w:t xml:space="preserve">The Influence of Perceived Internal Marketing on Employees' Organizational </w:t>
      </w:r>
      <w:proofErr w:type="spellStart"/>
      <w:r w:rsidRPr="007A17F5">
        <w:rPr>
          <w:rFonts w:ascii="Arial" w:hAnsi="Arial" w:cs="Arial"/>
          <w:sz w:val="20"/>
          <w:szCs w:val="20"/>
          <w:lang w:val="en-US"/>
        </w:rPr>
        <w:t>Behaviours</w:t>
      </w:r>
      <w:proofErr w:type="spellEnd"/>
      <w:r w:rsidRPr="007A17F5">
        <w:rPr>
          <w:rFonts w:ascii="Arial" w:hAnsi="Arial" w:cs="Arial"/>
          <w:sz w:val="20"/>
          <w:szCs w:val="20"/>
          <w:lang w:val="en-US"/>
        </w:rPr>
        <w:t>, Journal of Management and Strategy, vol. 11, No. 3., pp. 1-12.</w:t>
      </w:r>
    </w:p>
    <w:p w14:paraId="1DF4B55C" w14:textId="77777777" w:rsidR="006D2E35" w:rsidRPr="007A17F5" w:rsidRDefault="006D2E35" w:rsidP="006D2E35">
      <w:pPr>
        <w:jc w:val="both"/>
        <w:rPr>
          <w:rFonts w:ascii="Arial" w:hAnsi="Arial" w:cs="Arial"/>
          <w:sz w:val="20"/>
          <w:szCs w:val="20"/>
          <w:lang w:val="en-US"/>
        </w:rPr>
      </w:pPr>
      <w:r w:rsidRPr="007A17F5">
        <w:rPr>
          <w:rFonts w:ascii="Arial" w:hAnsi="Arial" w:cs="Arial"/>
          <w:bCs/>
          <w:sz w:val="20"/>
          <w:szCs w:val="20"/>
          <w:lang w:val="en-US"/>
        </w:rPr>
        <w:t>Kotler, P. (1972).</w:t>
      </w:r>
      <w:r w:rsidRPr="007A17F5">
        <w:rPr>
          <w:rFonts w:ascii="Arial" w:hAnsi="Arial" w:cs="Arial"/>
          <w:b/>
          <w:bCs/>
          <w:sz w:val="20"/>
          <w:szCs w:val="20"/>
          <w:lang w:val="en-US"/>
        </w:rPr>
        <w:t xml:space="preserve"> </w:t>
      </w:r>
      <w:r w:rsidRPr="007A17F5">
        <w:rPr>
          <w:rFonts w:ascii="Arial" w:hAnsi="Arial" w:cs="Arial"/>
          <w:iCs/>
          <w:sz w:val="20"/>
          <w:szCs w:val="20"/>
          <w:lang w:val="en-US"/>
        </w:rPr>
        <w:t>A generic concept of marketing, Journal of Marketing, 36</w:t>
      </w:r>
      <w:r w:rsidRPr="007A17F5">
        <w:rPr>
          <w:rFonts w:ascii="Arial" w:hAnsi="Arial" w:cs="Arial"/>
          <w:sz w:val="20"/>
          <w:szCs w:val="20"/>
          <w:lang w:val="en-US"/>
        </w:rPr>
        <w:t>(2), 46-54.</w:t>
      </w:r>
    </w:p>
    <w:p w14:paraId="4FDE4803"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Kotler, P., Armstrong, G. (1991). Principles of marketing. Prentice Hall, Englewood Cliffs, NJ.</w:t>
      </w:r>
    </w:p>
    <w:p w14:paraId="1D7D80C5"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Lings, I. (2000). Internal Marketing and the Evolution of the Relationship Marketing Concept, Journal of Services Marketing.</w:t>
      </w:r>
    </w:p>
    <w:p w14:paraId="72C1CBB2"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Lings, I. N., </w:t>
      </w:r>
      <w:proofErr w:type="spellStart"/>
      <w:r w:rsidRPr="007A17F5">
        <w:rPr>
          <w:rFonts w:ascii="Arial" w:hAnsi="Arial" w:cs="Arial"/>
          <w:sz w:val="20"/>
          <w:szCs w:val="20"/>
          <w:lang w:val="en-US"/>
        </w:rPr>
        <w:t>Greenley</w:t>
      </w:r>
      <w:proofErr w:type="spellEnd"/>
      <w:r w:rsidRPr="007A17F5">
        <w:rPr>
          <w:rFonts w:ascii="Arial" w:hAnsi="Arial" w:cs="Arial"/>
          <w:sz w:val="20"/>
          <w:szCs w:val="20"/>
          <w:lang w:val="en-US"/>
        </w:rPr>
        <w:t>, G. E. (2009). The impact of internal and external market orientations on firm performance. Journal of Strategic Marketing, Vol. 17, No. 1, pp. 41–53. https://doi. org/10.1080/09652540802619251</w:t>
      </w:r>
    </w:p>
    <w:p w14:paraId="0FB06C78"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Lovelock, C. (1992). </w:t>
      </w:r>
      <w:r w:rsidRPr="007A17F5">
        <w:rPr>
          <w:rFonts w:ascii="Arial" w:hAnsi="Arial" w:cs="Arial"/>
          <w:iCs/>
          <w:sz w:val="20"/>
          <w:szCs w:val="20"/>
          <w:lang w:val="en-US"/>
        </w:rPr>
        <w:t>Services Marketing: People, Technology, Strategy</w:t>
      </w:r>
      <w:r w:rsidRPr="007A17F5">
        <w:rPr>
          <w:rFonts w:ascii="Arial" w:hAnsi="Arial" w:cs="Arial"/>
          <w:sz w:val="20"/>
          <w:szCs w:val="20"/>
          <w:lang w:val="en-US"/>
        </w:rPr>
        <w:t>. Prentice Hall</w:t>
      </w:r>
    </w:p>
    <w:p w14:paraId="3648321F" w14:textId="75C637DD" w:rsidR="006D2E3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Mainardes</w:t>
      </w:r>
      <w:proofErr w:type="spellEnd"/>
      <w:r w:rsidRPr="007A17F5">
        <w:rPr>
          <w:rFonts w:ascii="Arial" w:hAnsi="Arial" w:cs="Arial"/>
          <w:sz w:val="20"/>
          <w:szCs w:val="20"/>
          <w:lang w:val="en-US"/>
        </w:rPr>
        <w:t xml:space="preserve">, E. W., Rodrigues, L. S., &amp; Teixeira, A. (2019). Effects of internal marketing on job satisfaction in the banking sector. International Journal of Bank Marketing, 37(5), 1313-1133. </w:t>
      </w:r>
      <w:hyperlink r:id="rId19" w:history="1">
        <w:r w:rsidRPr="007A17F5">
          <w:rPr>
            <w:rFonts w:ascii="Arial" w:hAnsi="Arial" w:cs="Arial"/>
            <w:sz w:val="20"/>
            <w:szCs w:val="20"/>
            <w:lang w:val="en-US"/>
          </w:rPr>
          <w:t>https://doi.org/10.1108/ijbm-07-2018-0190</w:t>
        </w:r>
      </w:hyperlink>
      <w:r w:rsidRPr="007A17F5">
        <w:rPr>
          <w:rFonts w:ascii="Arial" w:hAnsi="Arial" w:cs="Arial"/>
          <w:sz w:val="20"/>
          <w:szCs w:val="20"/>
          <w:lang w:val="en-US"/>
        </w:rPr>
        <w:t>.</w:t>
      </w:r>
    </w:p>
    <w:p w14:paraId="5187B299"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Milanović</w:t>
      </w:r>
      <w:proofErr w:type="spellEnd"/>
      <w:r w:rsidRPr="007A17F5">
        <w:rPr>
          <w:rFonts w:ascii="Arial" w:hAnsi="Arial" w:cs="Arial"/>
          <w:sz w:val="20"/>
          <w:szCs w:val="20"/>
          <w:lang w:val="en-US"/>
        </w:rPr>
        <w:t xml:space="preserve">, V.M., </w:t>
      </w:r>
      <w:proofErr w:type="spellStart"/>
      <w:r w:rsidRPr="007A17F5">
        <w:rPr>
          <w:rFonts w:ascii="Arial" w:hAnsi="Arial" w:cs="Arial"/>
          <w:sz w:val="20"/>
          <w:szCs w:val="20"/>
          <w:lang w:val="en-US"/>
        </w:rPr>
        <w:t>Miletić</w:t>
      </w:r>
      <w:proofErr w:type="spellEnd"/>
      <w:r w:rsidRPr="007A17F5">
        <w:rPr>
          <w:rFonts w:ascii="Arial" w:hAnsi="Arial" w:cs="Arial"/>
          <w:sz w:val="20"/>
          <w:szCs w:val="20"/>
          <w:lang w:val="en-US"/>
        </w:rPr>
        <w:t>, V.R. (2023). Evolution and application of Internal marketing and its role in financial service organizations, MB University International Review, vol.1, No.1, pp. 23-73</w:t>
      </w:r>
    </w:p>
    <w:p w14:paraId="5DDB7BD6" w14:textId="77777777" w:rsidR="006D2E35" w:rsidRPr="007A17F5" w:rsidRDefault="006D2E35" w:rsidP="006D2E35">
      <w:pPr>
        <w:jc w:val="both"/>
        <w:rPr>
          <w:rFonts w:ascii="Arial" w:hAnsi="Arial" w:cs="Arial"/>
          <w:iCs/>
          <w:sz w:val="20"/>
          <w:szCs w:val="20"/>
          <w:lang w:val="en-US"/>
        </w:rPr>
      </w:pPr>
      <w:r w:rsidRPr="007A17F5">
        <w:rPr>
          <w:rFonts w:ascii="Arial" w:hAnsi="Arial" w:cs="Arial"/>
          <w:iCs/>
          <w:sz w:val="20"/>
          <w:szCs w:val="20"/>
          <w:lang w:val="de-DE"/>
        </w:rPr>
        <w:t xml:space="preserve">Musa, M. A., Ijaiya, M. A., &amp; Zubairu, M. (2021). </w:t>
      </w:r>
      <w:r w:rsidRPr="007A17F5">
        <w:rPr>
          <w:rFonts w:ascii="Arial" w:hAnsi="Arial" w:cs="Arial"/>
          <w:iCs/>
          <w:sz w:val="20"/>
          <w:szCs w:val="20"/>
          <w:lang w:val="en-US"/>
        </w:rPr>
        <w:t>Internal marketing as a strategy for improving employee satisfaction and business performance: A study of Nigerian companies, International Journal of Business and Management, 16(3), 33-45.</w:t>
      </w:r>
    </w:p>
    <w:p w14:paraId="482A9BEE"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lastRenderedPageBreak/>
        <w:t>Panigyrakis</w:t>
      </w:r>
      <w:proofErr w:type="spellEnd"/>
      <w:r w:rsidRPr="007A17F5">
        <w:rPr>
          <w:rFonts w:ascii="Arial" w:hAnsi="Arial" w:cs="Arial"/>
          <w:sz w:val="20"/>
          <w:szCs w:val="20"/>
          <w:lang w:val="en-US"/>
        </w:rPr>
        <w:t xml:space="preserve">, G. </w:t>
      </w:r>
      <w:proofErr w:type="spellStart"/>
      <w:r w:rsidRPr="007A17F5">
        <w:rPr>
          <w:rFonts w:ascii="Arial" w:hAnsi="Arial" w:cs="Arial"/>
          <w:sz w:val="20"/>
          <w:szCs w:val="20"/>
          <w:lang w:val="en-US"/>
        </w:rPr>
        <w:t>Theodoridis</w:t>
      </w:r>
      <w:proofErr w:type="spellEnd"/>
      <w:r w:rsidRPr="007A17F5">
        <w:rPr>
          <w:rFonts w:ascii="Arial" w:hAnsi="Arial" w:cs="Arial"/>
          <w:sz w:val="20"/>
          <w:szCs w:val="20"/>
          <w:lang w:val="en-US"/>
        </w:rPr>
        <w:t>, P.K. (2009). Internal marketing impact on business performance in a retail context. International Journal of Retail &amp; Distribution Management, 37(7), 600-628.</w:t>
      </w:r>
    </w:p>
    <w:p w14:paraId="25ACD57A" w14:textId="77777777" w:rsidR="006D2E35" w:rsidRPr="007A17F5" w:rsidRDefault="006D2E35" w:rsidP="006D2E35">
      <w:pPr>
        <w:jc w:val="both"/>
        <w:rPr>
          <w:rFonts w:ascii="Arial" w:hAnsi="Arial" w:cs="Arial"/>
          <w:iCs/>
          <w:sz w:val="20"/>
          <w:szCs w:val="20"/>
          <w:lang w:val="en-US"/>
        </w:rPr>
      </w:pPr>
      <w:proofErr w:type="spellStart"/>
      <w:r w:rsidRPr="007A17F5">
        <w:rPr>
          <w:rFonts w:ascii="Arial" w:hAnsi="Arial" w:cs="Arial"/>
          <w:iCs/>
          <w:sz w:val="20"/>
          <w:szCs w:val="20"/>
          <w:lang w:val="en-US"/>
        </w:rPr>
        <w:t>Panigyrakis</w:t>
      </w:r>
      <w:proofErr w:type="spellEnd"/>
      <w:r w:rsidRPr="007A17F5">
        <w:rPr>
          <w:rFonts w:ascii="Arial" w:hAnsi="Arial" w:cs="Arial"/>
          <w:iCs/>
          <w:sz w:val="20"/>
          <w:szCs w:val="20"/>
          <w:lang w:val="en-US"/>
        </w:rPr>
        <w:t xml:space="preserve">, G.G., </w:t>
      </w:r>
      <w:proofErr w:type="spellStart"/>
      <w:r w:rsidRPr="007A17F5">
        <w:rPr>
          <w:rFonts w:ascii="Arial" w:hAnsi="Arial" w:cs="Arial"/>
          <w:iCs/>
          <w:sz w:val="20"/>
          <w:szCs w:val="20"/>
          <w:lang w:val="en-US"/>
        </w:rPr>
        <w:t>Theodoridis</w:t>
      </w:r>
      <w:proofErr w:type="spellEnd"/>
      <w:r w:rsidRPr="007A17F5">
        <w:rPr>
          <w:rFonts w:ascii="Arial" w:hAnsi="Arial" w:cs="Arial"/>
          <w:iCs/>
          <w:sz w:val="20"/>
          <w:szCs w:val="20"/>
          <w:lang w:val="en-US"/>
        </w:rPr>
        <w:t xml:space="preserve"> P.K. (2009). Internal marketing impact on business performance in a retail </w:t>
      </w:r>
      <w:proofErr w:type="spellStart"/>
      <w:r w:rsidRPr="007A17F5">
        <w:rPr>
          <w:rFonts w:ascii="Arial" w:hAnsi="Arial" w:cs="Arial"/>
          <w:iCs/>
          <w:sz w:val="20"/>
          <w:szCs w:val="20"/>
          <w:lang w:val="en-US"/>
        </w:rPr>
        <w:t>contex</w:t>
      </w:r>
      <w:proofErr w:type="spellEnd"/>
      <w:r w:rsidRPr="007A17F5">
        <w:rPr>
          <w:rFonts w:ascii="Arial" w:hAnsi="Arial" w:cs="Arial"/>
          <w:iCs/>
          <w:sz w:val="20"/>
          <w:szCs w:val="20"/>
          <w:lang w:val="en-US"/>
        </w:rPr>
        <w:t>, International Journal of Retail &amp; Distribution Management, vol. 37. No.7., pp. 600-628.</w:t>
      </w:r>
    </w:p>
    <w:p w14:paraId="72865EE4"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bCs/>
          <w:sz w:val="20"/>
          <w:szCs w:val="20"/>
          <w:lang w:val="en-US"/>
        </w:rPr>
        <w:t>Papasolomou</w:t>
      </w:r>
      <w:proofErr w:type="spellEnd"/>
      <w:r w:rsidRPr="007A17F5">
        <w:rPr>
          <w:rFonts w:ascii="Arial" w:hAnsi="Arial" w:cs="Arial"/>
          <w:bCs/>
          <w:sz w:val="20"/>
          <w:szCs w:val="20"/>
          <w:lang w:val="en-US"/>
        </w:rPr>
        <w:t xml:space="preserve">, I., &amp; </w:t>
      </w:r>
      <w:proofErr w:type="spellStart"/>
      <w:r w:rsidRPr="007A17F5">
        <w:rPr>
          <w:rFonts w:ascii="Arial" w:hAnsi="Arial" w:cs="Arial"/>
          <w:bCs/>
          <w:sz w:val="20"/>
          <w:szCs w:val="20"/>
          <w:lang w:val="en-US"/>
        </w:rPr>
        <w:t>Vrontis</w:t>
      </w:r>
      <w:proofErr w:type="spellEnd"/>
      <w:r w:rsidRPr="007A17F5">
        <w:rPr>
          <w:rFonts w:ascii="Arial" w:hAnsi="Arial" w:cs="Arial"/>
          <w:bCs/>
          <w:sz w:val="20"/>
          <w:szCs w:val="20"/>
          <w:lang w:val="en-US"/>
        </w:rPr>
        <w:t>, D. (2006).</w:t>
      </w:r>
      <w:r w:rsidRPr="007A17F5">
        <w:rPr>
          <w:rFonts w:ascii="Arial" w:hAnsi="Arial" w:cs="Arial"/>
          <w:b/>
          <w:bCs/>
          <w:sz w:val="20"/>
          <w:szCs w:val="20"/>
          <w:lang w:val="en-US"/>
        </w:rPr>
        <w:t xml:space="preserve"> </w:t>
      </w:r>
      <w:r w:rsidRPr="007A17F5">
        <w:rPr>
          <w:rFonts w:ascii="Arial" w:hAnsi="Arial" w:cs="Arial"/>
          <w:sz w:val="20"/>
          <w:szCs w:val="20"/>
          <w:lang w:val="en-US"/>
        </w:rPr>
        <w:t xml:space="preserve">Using Internal Marketing to Ignite the Corporate Brand: The Case of the UK Retail Bank Industry, </w:t>
      </w:r>
      <w:r w:rsidRPr="007A17F5">
        <w:rPr>
          <w:rFonts w:ascii="Arial" w:hAnsi="Arial" w:cs="Arial"/>
          <w:iCs/>
          <w:sz w:val="20"/>
          <w:szCs w:val="20"/>
          <w:lang w:val="en-US"/>
        </w:rPr>
        <w:t>Journal of Brand Management</w:t>
      </w:r>
      <w:r w:rsidRPr="007A17F5">
        <w:rPr>
          <w:rFonts w:ascii="Arial" w:hAnsi="Arial" w:cs="Arial"/>
          <w:sz w:val="20"/>
          <w:szCs w:val="20"/>
          <w:lang w:val="en-US"/>
        </w:rPr>
        <w:t>, 14(1-2), 177–195.</w:t>
      </w:r>
    </w:p>
    <w:p w14:paraId="27F34C29"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Papasolomou-Doukakis</w:t>
      </w:r>
      <w:proofErr w:type="spellEnd"/>
      <w:r w:rsidRPr="007A17F5">
        <w:rPr>
          <w:rFonts w:ascii="Arial" w:hAnsi="Arial" w:cs="Arial"/>
          <w:sz w:val="20"/>
          <w:szCs w:val="20"/>
          <w:lang w:val="en-US"/>
        </w:rPr>
        <w:t xml:space="preserve">, I. (2002). The role of employee development in customer relations: the case of UK retail banks, Corporate Communication: An International Journal, Vol. 7. No. 1. </w:t>
      </w:r>
      <w:hyperlink r:id="rId20" w:history="1">
        <w:r w:rsidRPr="007A17F5">
          <w:rPr>
            <w:rStyle w:val="Hyperlink"/>
            <w:rFonts w:ascii="Arial" w:hAnsi="Arial" w:cs="Arial"/>
            <w:sz w:val="20"/>
            <w:szCs w:val="20"/>
            <w:shd w:val="clear" w:color="auto" w:fill="FFFFFF"/>
            <w:lang w:val="en-US"/>
          </w:rPr>
          <w:t>https://doi.org/10.1108/13563280210416053</w:t>
        </w:r>
      </w:hyperlink>
    </w:p>
    <w:p w14:paraId="3BBD9A22"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Park, J. H., &amp; Tran, T. B. H. (2018). Internal marketing, employee customer-oriented behaviors, and customer behavioral responses. Psychology &amp; Marketing, 35(6), 412-426.Available at: </w:t>
      </w:r>
      <w:hyperlink r:id="rId21" w:history="1">
        <w:r w:rsidRPr="007A17F5">
          <w:rPr>
            <w:rFonts w:ascii="Arial" w:hAnsi="Arial" w:cs="Arial"/>
            <w:sz w:val="20"/>
            <w:szCs w:val="20"/>
            <w:lang w:val="en-US"/>
          </w:rPr>
          <w:t>https://doi.org/10.1002/mar.21095</w:t>
        </w:r>
      </w:hyperlink>
      <w:r w:rsidRPr="007A17F5">
        <w:rPr>
          <w:rFonts w:ascii="Arial" w:hAnsi="Arial" w:cs="Arial"/>
          <w:sz w:val="20"/>
          <w:szCs w:val="20"/>
          <w:lang w:val="en-US"/>
        </w:rPr>
        <w:t>.</w:t>
      </w:r>
    </w:p>
    <w:p w14:paraId="73CEF100"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Piercy, N. and Morgan, N. (1990). Internal marketing: making marketing happen, Marketing Intelligence &amp; Planning, Vol. 8 No. 1, pp. 4-6. </w:t>
      </w:r>
    </w:p>
    <w:p w14:paraId="6500875B"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Piercy, N. and Morgan, N. (1991). Internal marketing the missing half of the marketing </w:t>
      </w:r>
      <w:proofErr w:type="spellStart"/>
      <w:r w:rsidRPr="007A17F5">
        <w:rPr>
          <w:rFonts w:ascii="Arial" w:hAnsi="Arial" w:cs="Arial"/>
          <w:sz w:val="20"/>
          <w:szCs w:val="20"/>
          <w:lang w:val="en-US"/>
        </w:rPr>
        <w:t>programme</w:t>
      </w:r>
      <w:proofErr w:type="spellEnd"/>
      <w:r w:rsidRPr="007A17F5">
        <w:rPr>
          <w:rFonts w:ascii="Arial" w:hAnsi="Arial" w:cs="Arial"/>
          <w:sz w:val="20"/>
          <w:szCs w:val="20"/>
          <w:lang w:val="en-US"/>
        </w:rPr>
        <w:t>, Long Range Planning, Vol. 24 No. 2, pp. 82-93.</w:t>
      </w:r>
    </w:p>
    <w:p w14:paraId="60559FB9"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Piercy, N. F. (2006). Marketing and business strategy: competing in the age of disruption, Journal of Strategic Marketing</w:t>
      </w:r>
    </w:p>
    <w:p w14:paraId="4FDD6B1A"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Pitt, L.F. and Foreman, S.K. (1999). Internal marketing role in </w:t>
      </w:r>
      <w:proofErr w:type="spellStart"/>
      <w:r w:rsidRPr="007A17F5">
        <w:rPr>
          <w:rFonts w:ascii="Arial" w:hAnsi="Arial" w:cs="Arial"/>
          <w:sz w:val="20"/>
          <w:szCs w:val="20"/>
          <w:lang w:val="en-US"/>
        </w:rPr>
        <w:t>organisations</w:t>
      </w:r>
      <w:proofErr w:type="spellEnd"/>
      <w:r w:rsidRPr="007A17F5">
        <w:rPr>
          <w:rFonts w:ascii="Arial" w:hAnsi="Arial" w:cs="Arial"/>
          <w:sz w:val="20"/>
          <w:szCs w:val="20"/>
          <w:lang w:val="en-US"/>
        </w:rPr>
        <w:t>: a transaction cost perspective, Journal of Business Research, Vol. 44 No. 1, pp. 25-36.</w:t>
      </w:r>
    </w:p>
    <w:p w14:paraId="7C6297B0"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Rafiq, M. and Ahmed, P. (1993). The scope of internal marketing: defining the boundary between marketing and human resource management, Journal of Marketing Management, Vol. 9, pp. 219-32.</w:t>
      </w:r>
    </w:p>
    <w:p w14:paraId="6D623392" w14:textId="77777777" w:rsidR="006D2E35" w:rsidRPr="007A17F5" w:rsidRDefault="006D2E35" w:rsidP="006D2E35">
      <w:pPr>
        <w:jc w:val="both"/>
        <w:rPr>
          <w:rFonts w:ascii="Arial" w:hAnsi="Arial" w:cs="Arial"/>
          <w:sz w:val="20"/>
          <w:szCs w:val="20"/>
          <w:lang w:val="en-US"/>
        </w:rPr>
      </w:pPr>
      <w:r w:rsidRPr="007A17F5">
        <w:rPr>
          <w:rFonts w:ascii="Arial" w:hAnsi="Arial" w:cs="Arial"/>
          <w:bCs/>
          <w:sz w:val="20"/>
          <w:szCs w:val="20"/>
          <w:lang w:val="en-US"/>
        </w:rPr>
        <w:t>Rafiq, M., Ahmed, P.K. (2000). Advances in Internal Marketing: A Review and Reconceptualization of the Concept.</w:t>
      </w:r>
      <w:r w:rsidRPr="007A17F5">
        <w:rPr>
          <w:rFonts w:ascii="Arial" w:hAnsi="Arial" w:cs="Arial"/>
          <w:sz w:val="20"/>
          <w:szCs w:val="20"/>
          <w:lang w:val="en-US"/>
        </w:rPr>
        <w:t xml:space="preserve"> Journal of Services Marketing, 14(6), 449-462.</w:t>
      </w:r>
    </w:p>
    <w:p w14:paraId="6B6152F6"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Rodrigues, A. P., &amp; Carlos </w:t>
      </w:r>
      <w:proofErr w:type="spellStart"/>
      <w:r w:rsidRPr="007A17F5">
        <w:rPr>
          <w:rFonts w:ascii="Arial" w:hAnsi="Arial" w:cs="Arial"/>
          <w:sz w:val="20"/>
          <w:szCs w:val="20"/>
          <w:lang w:val="en-US"/>
        </w:rPr>
        <w:t>Pinho</w:t>
      </w:r>
      <w:proofErr w:type="spellEnd"/>
      <w:r w:rsidRPr="007A17F5">
        <w:rPr>
          <w:rFonts w:ascii="Arial" w:hAnsi="Arial" w:cs="Arial"/>
          <w:sz w:val="20"/>
          <w:szCs w:val="20"/>
          <w:lang w:val="en-US"/>
        </w:rPr>
        <w:t xml:space="preserve">, J. (2012). The impact of internal and external market orientation on performance in local public </w:t>
      </w:r>
      <w:proofErr w:type="spellStart"/>
      <w:r w:rsidRPr="007A17F5">
        <w:rPr>
          <w:rFonts w:ascii="Arial" w:hAnsi="Arial" w:cs="Arial"/>
          <w:sz w:val="20"/>
          <w:szCs w:val="20"/>
          <w:lang w:val="en-US"/>
        </w:rPr>
        <w:t>organisations</w:t>
      </w:r>
      <w:proofErr w:type="spellEnd"/>
      <w:r w:rsidRPr="007A17F5">
        <w:rPr>
          <w:rFonts w:ascii="Arial" w:hAnsi="Arial" w:cs="Arial"/>
          <w:sz w:val="20"/>
          <w:szCs w:val="20"/>
          <w:lang w:val="en-US"/>
        </w:rPr>
        <w:t>. Marketing Intelligence &amp; Planning, </w:t>
      </w:r>
      <w:hyperlink r:id="rId22" w:tgtFrame="_blank" w:history="1">
        <w:r w:rsidRPr="007A17F5">
          <w:rPr>
            <w:rFonts w:ascii="Arial" w:hAnsi="Arial" w:cs="Arial"/>
            <w:sz w:val="20"/>
            <w:szCs w:val="20"/>
            <w:lang w:val="en-US"/>
          </w:rPr>
          <w:t>30</w:t>
        </w:r>
      </w:hyperlink>
      <w:r w:rsidRPr="007A17F5">
        <w:rPr>
          <w:rFonts w:ascii="Arial" w:hAnsi="Arial" w:cs="Arial"/>
          <w:sz w:val="20"/>
          <w:szCs w:val="20"/>
          <w:lang w:val="en-US"/>
        </w:rPr>
        <w:t>(</w:t>
      </w:r>
      <w:hyperlink r:id="rId23" w:tgtFrame="_blank" w:history="1">
        <w:r w:rsidRPr="007A17F5">
          <w:rPr>
            <w:rFonts w:ascii="Arial" w:hAnsi="Arial" w:cs="Arial"/>
            <w:sz w:val="20"/>
            <w:szCs w:val="20"/>
            <w:lang w:val="en-US"/>
          </w:rPr>
          <w:t>3</w:t>
        </w:r>
      </w:hyperlink>
      <w:r w:rsidRPr="007A17F5">
        <w:rPr>
          <w:rFonts w:ascii="Arial" w:hAnsi="Arial" w:cs="Arial"/>
          <w:sz w:val="20"/>
          <w:szCs w:val="20"/>
          <w:lang w:val="en-US"/>
        </w:rPr>
        <w:t>), 284–306. </w:t>
      </w:r>
      <w:hyperlink r:id="rId24" w:tgtFrame="_blank" w:history="1">
        <w:r w:rsidRPr="007A17F5">
          <w:rPr>
            <w:rFonts w:ascii="Arial" w:hAnsi="Arial" w:cs="Arial"/>
            <w:sz w:val="20"/>
            <w:szCs w:val="20"/>
            <w:lang w:val="en-US"/>
          </w:rPr>
          <w:t>https://doi.org/https://doi.org/10.1108/02634501211226276</w:t>
        </w:r>
      </w:hyperlink>
    </w:p>
    <w:p w14:paraId="0FB88901"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Saritprava</w:t>
      </w:r>
      <w:proofErr w:type="spellEnd"/>
      <w:r w:rsidRPr="007A17F5">
        <w:rPr>
          <w:rFonts w:ascii="Arial" w:hAnsi="Arial" w:cs="Arial"/>
          <w:sz w:val="20"/>
          <w:szCs w:val="20"/>
          <w:lang w:val="en-US"/>
        </w:rPr>
        <w:t xml:space="preserve">, D., </w:t>
      </w:r>
      <w:proofErr w:type="spellStart"/>
      <w:r w:rsidRPr="007A17F5">
        <w:rPr>
          <w:rFonts w:ascii="Arial" w:hAnsi="Arial" w:cs="Arial"/>
          <w:sz w:val="20"/>
          <w:szCs w:val="20"/>
          <w:lang w:val="en-US"/>
        </w:rPr>
        <w:t>Preeti</w:t>
      </w:r>
      <w:proofErr w:type="spellEnd"/>
      <w:r w:rsidRPr="007A17F5">
        <w:rPr>
          <w:rFonts w:ascii="Arial" w:hAnsi="Arial" w:cs="Arial"/>
          <w:sz w:val="20"/>
          <w:szCs w:val="20"/>
          <w:lang w:val="en-US"/>
        </w:rPr>
        <w:t xml:space="preserve">, N. (2018). Impact of Rewards and Recognition on Employees in Banking Sector, International Journal of Latest </w:t>
      </w:r>
      <w:proofErr w:type="spellStart"/>
      <w:r w:rsidRPr="007A17F5">
        <w:rPr>
          <w:rFonts w:ascii="Arial" w:hAnsi="Arial" w:cs="Arial"/>
          <w:sz w:val="20"/>
          <w:szCs w:val="20"/>
          <w:lang w:val="en-US"/>
        </w:rPr>
        <w:t>Tehnology</w:t>
      </w:r>
      <w:proofErr w:type="spellEnd"/>
      <w:r w:rsidRPr="007A17F5">
        <w:rPr>
          <w:rFonts w:ascii="Arial" w:hAnsi="Arial" w:cs="Arial"/>
          <w:sz w:val="20"/>
          <w:szCs w:val="20"/>
          <w:lang w:val="en-US"/>
        </w:rPr>
        <w:t xml:space="preserve"> in Engineering, Management &amp; Applied Science, vol. VII, Issue VI, pp: 160-164.</w:t>
      </w:r>
    </w:p>
    <w:p w14:paraId="356C928D" w14:textId="77777777" w:rsidR="006D2E35" w:rsidRPr="007A17F5" w:rsidRDefault="006D2E35" w:rsidP="006D2E35">
      <w:pPr>
        <w:jc w:val="both"/>
        <w:rPr>
          <w:rFonts w:ascii="Arial" w:hAnsi="Arial" w:cs="Arial"/>
          <w:sz w:val="20"/>
          <w:szCs w:val="20"/>
          <w:lang w:val="en-US"/>
        </w:rPr>
      </w:pPr>
      <w:r w:rsidRPr="006D2E35">
        <w:rPr>
          <w:rFonts w:ascii="Arial" w:hAnsi="Arial" w:cs="Arial"/>
          <w:sz w:val="20"/>
          <w:szCs w:val="20"/>
          <w:lang w:val="en-US"/>
        </w:rPr>
        <w:t xml:space="preserve">Sasser, W.E. and Arbeit, S.P. (1976). </w:t>
      </w:r>
      <w:r w:rsidRPr="007A17F5">
        <w:rPr>
          <w:rFonts w:ascii="Arial" w:hAnsi="Arial" w:cs="Arial"/>
          <w:sz w:val="20"/>
          <w:szCs w:val="20"/>
          <w:lang w:val="en-US"/>
        </w:rPr>
        <w:t>Selling jobs in the service sector, Business Horizons, Vol. 19 No. 3, pp. 61-5.</w:t>
      </w:r>
    </w:p>
    <w:p w14:paraId="213F04FD"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Schultz, D.E. (2004). Building an internal marketing management calculus, Interactive Marketing, Vol. 6, No. 2, pp.111–129.</w:t>
      </w:r>
    </w:p>
    <w:p w14:paraId="09AF289E"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Sergeant, A. and Asif, A. (1998). The strategic application of internal marketing-an investigation of UK banking, International Journal of Bank Marketing, Vol. 16 No. 2, pp. 66-79.</w:t>
      </w:r>
    </w:p>
    <w:p w14:paraId="1FB5EC8C"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Serhan</w:t>
      </w:r>
      <w:proofErr w:type="spellEnd"/>
      <w:r w:rsidRPr="007A17F5">
        <w:rPr>
          <w:rFonts w:ascii="Arial" w:hAnsi="Arial" w:cs="Arial"/>
          <w:sz w:val="20"/>
          <w:szCs w:val="20"/>
          <w:lang w:val="en-US"/>
        </w:rPr>
        <w:t xml:space="preserve">, C., </w:t>
      </w:r>
      <w:proofErr w:type="spellStart"/>
      <w:r w:rsidRPr="007A17F5">
        <w:rPr>
          <w:rFonts w:ascii="Arial" w:hAnsi="Arial" w:cs="Arial"/>
          <w:sz w:val="20"/>
          <w:szCs w:val="20"/>
          <w:lang w:val="en-US"/>
        </w:rPr>
        <w:t>Salloum</w:t>
      </w:r>
      <w:proofErr w:type="spellEnd"/>
      <w:r w:rsidRPr="007A17F5">
        <w:rPr>
          <w:rFonts w:ascii="Arial" w:hAnsi="Arial" w:cs="Arial"/>
          <w:sz w:val="20"/>
          <w:szCs w:val="20"/>
          <w:lang w:val="en-US"/>
        </w:rPr>
        <w:t>, W., Abdo, N. (2021). How reward systems affect team performance in banks: evidence from the Middle East and North Africa (MENA) region, Team Performance Management, Vol. 27 No. 5/6, pp. 446-465. </w:t>
      </w:r>
      <w:hyperlink r:id="rId25" w:tooltip="DOI: https://doi.org/10.1108/TPM-03-2021-0022" w:history="1">
        <w:r w:rsidRPr="007A17F5">
          <w:rPr>
            <w:rFonts w:ascii="Arial" w:hAnsi="Arial" w:cs="Arial"/>
            <w:sz w:val="20"/>
            <w:szCs w:val="20"/>
            <w:lang w:val="en-US"/>
          </w:rPr>
          <w:t>https://doi.org/10.1108/TPM-03-2021-0022</w:t>
        </w:r>
      </w:hyperlink>
    </w:p>
    <w:p w14:paraId="214084B6"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Shakeel A.K., </w:t>
      </w:r>
      <w:proofErr w:type="spellStart"/>
      <w:r w:rsidRPr="007A17F5">
        <w:rPr>
          <w:rFonts w:ascii="Arial" w:hAnsi="Arial" w:cs="Arial"/>
          <w:sz w:val="20"/>
          <w:szCs w:val="20"/>
          <w:lang w:val="en-US"/>
        </w:rPr>
        <w:t>Muazzam</w:t>
      </w:r>
      <w:proofErr w:type="spellEnd"/>
      <w:r w:rsidRPr="007A17F5">
        <w:rPr>
          <w:rFonts w:ascii="Arial" w:hAnsi="Arial" w:cs="Arial"/>
          <w:sz w:val="20"/>
          <w:szCs w:val="20"/>
          <w:lang w:val="en-US"/>
        </w:rPr>
        <w:t xml:space="preserve">, A., </w:t>
      </w:r>
      <w:proofErr w:type="spellStart"/>
      <w:r w:rsidRPr="007A17F5">
        <w:rPr>
          <w:rFonts w:ascii="Arial" w:hAnsi="Arial" w:cs="Arial"/>
          <w:sz w:val="20"/>
          <w:szCs w:val="20"/>
          <w:lang w:val="en-US"/>
        </w:rPr>
        <w:t>Farat</w:t>
      </w:r>
      <w:proofErr w:type="spellEnd"/>
      <w:r w:rsidRPr="007A17F5">
        <w:rPr>
          <w:rFonts w:ascii="Arial" w:hAnsi="Arial" w:cs="Arial"/>
          <w:sz w:val="20"/>
          <w:szCs w:val="20"/>
          <w:lang w:val="en-US"/>
        </w:rPr>
        <w:t>, H., Safdar, B. (2015). Impact of Employee Training and Motivation on Business Development in Banking Sector: Study Conducted in Pakistan, American Journal of Business, Economics and Management, vol. 3., No. 5., pp. 241-249.</w:t>
      </w:r>
    </w:p>
    <w:p w14:paraId="43300964"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Sleiman, F. Ismail, S. &amp; Sheriff, M. (2021). The Role of Internal Marketing in Employee Satisfaction and Productivity: Evidence from the Banking Sector, Australian Journal of Basic and Applied Sciences, str. 42-48.</w:t>
      </w:r>
    </w:p>
    <w:p w14:paraId="24E521EA"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Sohail</w:t>
      </w:r>
      <w:proofErr w:type="spellEnd"/>
      <w:r w:rsidRPr="007A17F5">
        <w:rPr>
          <w:rFonts w:ascii="Arial" w:hAnsi="Arial" w:cs="Arial"/>
          <w:sz w:val="20"/>
          <w:szCs w:val="20"/>
          <w:lang w:val="en-US"/>
        </w:rPr>
        <w:t xml:space="preserve">, M. S., Jang, J. (2017). Understanding the Relationships among Internal </w:t>
      </w:r>
      <w:proofErr w:type="spellStart"/>
      <w:r w:rsidRPr="007A17F5">
        <w:rPr>
          <w:rFonts w:ascii="Arial" w:hAnsi="Arial" w:cs="Arial"/>
          <w:sz w:val="20"/>
          <w:szCs w:val="20"/>
          <w:lang w:val="en-US"/>
        </w:rPr>
        <w:t>Marke</w:t>
      </w:r>
      <w:proofErr w:type="spellEnd"/>
      <w:r w:rsidRPr="007A17F5">
        <w:rPr>
          <w:rFonts w:ascii="Arial" w:hAnsi="Arial" w:cs="Arial"/>
          <w:sz w:val="20"/>
          <w:szCs w:val="20"/>
          <w:lang w:val="en-US"/>
        </w:rPr>
        <w:t xml:space="preserve"> ting Practices, Job Satisfaction, Service Quality and Customer Satisfaction: An Empirical Investigation of Saudi Arabia’s Service Employees. International Journal of Tourism Sci </w:t>
      </w:r>
      <w:proofErr w:type="spellStart"/>
      <w:r w:rsidRPr="007A17F5">
        <w:rPr>
          <w:rFonts w:ascii="Arial" w:hAnsi="Arial" w:cs="Arial"/>
          <w:sz w:val="20"/>
          <w:szCs w:val="20"/>
          <w:lang w:val="en-US"/>
        </w:rPr>
        <w:t>ences</w:t>
      </w:r>
      <w:proofErr w:type="spellEnd"/>
      <w:r w:rsidRPr="007A17F5">
        <w:rPr>
          <w:rFonts w:ascii="Arial" w:hAnsi="Arial" w:cs="Arial"/>
          <w:sz w:val="20"/>
          <w:szCs w:val="20"/>
          <w:lang w:val="en-US"/>
        </w:rPr>
        <w:t xml:space="preserve">, Vol. 17. No. 2, pp. 67–85. </w:t>
      </w:r>
      <w:hyperlink r:id="rId26" w:history="1">
        <w:r w:rsidRPr="007A17F5">
          <w:rPr>
            <w:rFonts w:ascii="Arial" w:hAnsi="Arial" w:cs="Arial"/>
            <w:sz w:val="20"/>
            <w:szCs w:val="20"/>
            <w:lang w:val="en-US"/>
          </w:rPr>
          <w:t>https://doi.org/10.1080/15980634.2017.1294343</w:t>
        </w:r>
      </w:hyperlink>
    </w:p>
    <w:p w14:paraId="0552C6A8"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Sureshchandar</w:t>
      </w:r>
      <w:proofErr w:type="spellEnd"/>
      <w:r w:rsidRPr="007A17F5">
        <w:rPr>
          <w:rFonts w:ascii="Arial" w:hAnsi="Arial" w:cs="Arial"/>
          <w:sz w:val="20"/>
          <w:szCs w:val="20"/>
          <w:lang w:val="en-US"/>
        </w:rPr>
        <w:t xml:space="preserve">, G. S., Rajendran, C., &amp; </w:t>
      </w:r>
      <w:proofErr w:type="spellStart"/>
      <w:r w:rsidRPr="007A17F5">
        <w:rPr>
          <w:rFonts w:ascii="Arial" w:hAnsi="Arial" w:cs="Arial"/>
          <w:sz w:val="20"/>
          <w:szCs w:val="20"/>
          <w:lang w:val="en-US"/>
        </w:rPr>
        <w:t>Anantharaman</w:t>
      </w:r>
      <w:proofErr w:type="spellEnd"/>
      <w:r w:rsidRPr="007A17F5">
        <w:rPr>
          <w:rFonts w:ascii="Arial" w:hAnsi="Arial" w:cs="Arial"/>
          <w:sz w:val="20"/>
          <w:szCs w:val="20"/>
          <w:lang w:val="en-US"/>
        </w:rPr>
        <w:t>, R. N. (2002). The Relationship between Service Quality and Customer Satisfaction: A Factor Specific Approach, Journal of Services Marketing.</w:t>
      </w:r>
    </w:p>
    <w:p w14:paraId="539BDACB"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Tansuhaj</w:t>
      </w:r>
      <w:proofErr w:type="spellEnd"/>
      <w:r w:rsidRPr="007A17F5">
        <w:rPr>
          <w:rFonts w:ascii="Arial" w:hAnsi="Arial" w:cs="Arial"/>
          <w:sz w:val="20"/>
          <w:szCs w:val="20"/>
          <w:lang w:val="en-US"/>
        </w:rPr>
        <w:t xml:space="preserve">, P., Wong, J. and McCullough, J. (1987). Internal and external marketing: effects on customer satisfaction in banks in Thailand, International Journal of Bank Marketing, Vol. 5, No. 3, pp.73–83. </w:t>
      </w:r>
    </w:p>
    <w:p w14:paraId="1D258DB1"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de-DE"/>
        </w:rPr>
        <w:t xml:space="preserve">Taştan, S. B., &amp; Davoudi, S. M. M. (2020). </w:t>
      </w:r>
      <w:r w:rsidRPr="007A17F5">
        <w:rPr>
          <w:rFonts w:ascii="Arial" w:hAnsi="Arial" w:cs="Arial"/>
          <w:sz w:val="20"/>
          <w:szCs w:val="20"/>
          <w:lang w:val="en-US"/>
        </w:rPr>
        <w:t xml:space="preserve">Investigating the mediating role of job satisfaction on the relationship between internal marketing and job performance: A research within services industry. Middle East Journal of Management, 7(5), 492-517.Available at: </w:t>
      </w:r>
      <w:hyperlink r:id="rId27" w:history="1">
        <w:r w:rsidRPr="007A17F5">
          <w:rPr>
            <w:rFonts w:ascii="Arial" w:hAnsi="Arial" w:cs="Arial"/>
            <w:sz w:val="20"/>
            <w:szCs w:val="20"/>
            <w:lang w:val="en-US"/>
          </w:rPr>
          <w:t>https://doi.org/10.1504/mejm.2020.109690</w:t>
        </w:r>
      </w:hyperlink>
      <w:r w:rsidRPr="007A17F5">
        <w:rPr>
          <w:rFonts w:ascii="Arial" w:hAnsi="Arial" w:cs="Arial"/>
          <w:sz w:val="20"/>
          <w:szCs w:val="20"/>
          <w:lang w:val="en-US"/>
        </w:rPr>
        <w:t>.</w:t>
      </w:r>
    </w:p>
    <w:p w14:paraId="44B98103" w14:textId="77777777" w:rsidR="006D2E35" w:rsidRPr="007A17F5" w:rsidRDefault="006D2E35" w:rsidP="006D2E35">
      <w:pPr>
        <w:jc w:val="both"/>
        <w:rPr>
          <w:rFonts w:ascii="Arial" w:hAnsi="Arial" w:cs="Arial"/>
          <w:sz w:val="20"/>
          <w:szCs w:val="20"/>
          <w:lang w:val="en-US"/>
        </w:rPr>
      </w:pPr>
      <w:proofErr w:type="spellStart"/>
      <w:r w:rsidRPr="007A17F5">
        <w:rPr>
          <w:rFonts w:ascii="Arial" w:hAnsi="Arial" w:cs="Arial"/>
          <w:sz w:val="20"/>
          <w:szCs w:val="20"/>
          <w:lang w:val="en-US"/>
        </w:rPr>
        <w:t>Tomić</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Osmanović</w:t>
      </w:r>
      <w:proofErr w:type="spellEnd"/>
      <w:r w:rsidRPr="007A17F5">
        <w:rPr>
          <w:rFonts w:ascii="Arial" w:hAnsi="Arial" w:cs="Arial"/>
          <w:sz w:val="20"/>
          <w:szCs w:val="20"/>
          <w:lang w:val="en-US"/>
        </w:rPr>
        <w:t xml:space="preserve">, A., </w:t>
      </w:r>
      <w:proofErr w:type="spellStart"/>
      <w:r w:rsidRPr="007A17F5">
        <w:rPr>
          <w:rFonts w:ascii="Arial" w:hAnsi="Arial" w:cs="Arial"/>
          <w:sz w:val="20"/>
          <w:szCs w:val="20"/>
          <w:lang w:val="en-US"/>
        </w:rPr>
        <w:t>Muratović</w:t>
      </w:r>
      <w:proofErr w:type="spellEnd"/>
      <w:r w:rsidRPr="007A17F5">
        <w:rPr>
          <w:rFonts w:ascii="Arial" w:hAnsi="Arial" w:cs="Arial"/>
          <w:sz w:val="20"/>
          <w:szCs w:val="20"/>
          <w:lang w:val="en-US"/>
        </w:rPr>
        <w:t xml:space="preserve">, A., </w:t>
      </w:r>
      <w:proofErr w:type="spellStart"/>
      <w:r w:rsidRPr="007A17F5">
        <w:rPr>
          <w:rFonts w:ascii="Arial" w:hAnsi="Arial" w:cs="Arial"/>
          <w:sz w:val="20"/>
          <w:szCs w:val="20"/>
          <w:lang w:val="en-US"/>
        </w:rPr>
        <w:t>Čivić</w:t>
      </w:r>
      <w:proofErr w:type="spellEnd"/>
      <w:r w:rsidRPr="007A17F5">
        <w:rPr>
          <w:rFonts w:ascii="Arial" w:hAnsi="Arial" w:cs="Arial"/>
          <w:sz w:val="20"/>
          <w:szCs w:val="20"/>
          <w:lang w:val="en-US"/>
        </w:rPr>
        <w:t xml:space="preserve">, B. (2024), </w:t>
      </w:r>
      <w:proofErr w:type="spellStart"/>
      <w:r w:rsidRPr="007A17F5">
        <w:rPr>
          <w:rFonts w:ascii="Arial" w:hAnsi="Arial" w:cs="Arial"/>
          <w:sz w:val="20"/>
          <w:szCs w:val="20"/>
          <w:lang w:val="en-US"/>
        </w:rPr>
        <w:t>Zastupljenost</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programa</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razvoja</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karijerezaposlenika</w:t>
      </w:r>
      <w:proofErr w:type="spellEnd"/>
      <w:r w:rsidRPr="007A17F5">
        <w:rPr>
          <w:rFonts w:ascii="Arial" w:hAnsi="Arial" w:cs="Arial"/>
          <w:sz w:val="20"/>
          <w:szCs w:val="20"/>
          <w:lang w:val="en-US"/>
        </w:rPr>
        <w:t xml:space="preserve"> u </w:t>
      </w:r>
      <w:proofErr w:type="spellStart"/>
      <w:r w:rsidRPr="007A17F5">
        <w:rPr>
          <w:rFonts w:ascii="Arial" w:hAnsi="Arial" w:cs="Arial"/>
          <w:sz w:val="20"/>
          <w:szCs w:val="20"/>
          <w:lang w:val="en-US"/>
        </w:rPr>
        <w:t>internom</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marketingu</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kod</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banaka</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na</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tržištu</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Bosne</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i</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Hercegovine</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Ekonomske</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ideje</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i</w:t>
      </w:r>
      <w:proofErr w:type="spellEnd"/>
      <w:r w:rsidRPr="007A17F5">
        <w:rPr>
          <w:rFonts w:ascii="Arial" w:hAnsi="Arial" w:cs="Arial"/>
          <w:sz w:val="20"/>
          <w:szCs w:val="20"/>
          <w:lang w:val="en-US"/>
        </w:rPr>
        <w:t xml:space="preserve"> </w:t>
      </w:r>
      <w:proofErr w:type="spellStart"/>
      <w:r w:rsidRPr="007A17F5">
        <w:rPr>
          <w:rFonts w:ascii="Arial" w:hAnsi="Arial" w:cs="Arial"/>
          <w:sz w:val="20"/>
          <w:szCs w:val="20"/>
          <w:lang w:val="en-US"/>
        </w:rPr>
        <w:t>praksa</w:t>
      </w:r>
      <w:proofErr w:type="spellEnd"/>
      <w:r w:rsidRPr="007A17F5">
        <w:rPr>
          <w:rFonts w:ascii="Arial" w:hAnsi="Arial" w:cs="Arial"/>
          <w:sz w:val="20"/>
          <w:szCs w:val="20"/>
          <w:lang w:val="en-US"/>
        </w:rPr>
        <w:t>, Beograd, vol. 52., str. 51-73.</w:t>
      </w:r>
    </w:p>
    <w:p w14:paraId="1B973565" w14:textId="77777777" w:rsidR="006D2E35" w:rsidRPr="007A17F5" w:rsidRDefault="006D2E35" w:rsidP="006D2E35">
      <w:pPr>
        <w:jc w:val="both"/>
        <w:rPr>
          <w:rFonts w:ascii="Arial" w:hAnsi="Arial" w:cs="Arial"/>
          <w:iCs/>
          <w:sz w:val="20"/>
          <w:szCs w:val="20"/>
          <w:lang w:val="en-US"/>
        </w:rPr>
      </w:pPr>
      <w:r w:rsidRPr="007A17F5">
        <w:rPr>
          <w:rFonts w:ascii="Arial" w:hAnsi="Arial" w:cs="Arial"/>
          <w:iCs/>
          <w:sz w:val="20"/>
          <w:szCs w:val="20"/>
          <w:lang w:val="de-DE"/>
        </w:rPr>
        <w:lastRenderedPageBreak/>
        <w:t xml:space="preserve">Tsai, C. F., &amp; Tang, W. J. (2008). </w:t>
      </w:r>
      <w:r w:rsidRPr="007A17F5">
        <w:rPr>
          <w:rFonts w:ascii="Arial" w:hAnsi="Arial" w:cs="Arial"/>
          <w:sz w:val="20"/>
          <w:szCs w:val="20"/>
          <w:lang w:val="en-US"/>
        </w:rPr>
        <w:t>The Relationship between Internal Marketing and Employee Job Satisfaction: Evidence from Taiwan's Hotel Industry,</w:t>
      </w:r>
      <w:r w:rsidRPr="007A17F5">
        <w:rPr>
          <w:rFonts w:ascii="Arial" w:hAnsi="Arial" w:cs="Arial"/>
          <w:iCs/>
          <w:sz w:val="20"/>
          <w:szCs w:val="20"/>
          <w:lang w:val="en-US"/>
        </w:rPr>
        <w:t xml:space="preserve"> </w:t>
      </w:r>
      <w:r w:rsidRPr="007A17F5">
        <w:rPr>
          <w:rFonts w:ascii="Arial" w:hAnsi="Arial" w:cs="Arial"/>
          <w:sz w:val="20"/>
          <w:szCs w:val="20"/>
          <w:lang w:val="en-US"/>
        </w:rPr>
        <w:t>International Journal of Hospitality Management, 27</w:t>
      </w:r>
      <w:r w:rsidRPr="007A17F5">
        <w:rPr>
          <w:rFonts w:ascii="Arial" w:hAnsi="Arial" w:cs="Arial"/>
          <w:iCs/>
          <w:sz w:val="20"/>
          <w:szCs w:val="20"/>
          <w:lang w:val="en-US"/>
        </w:rPr>
        <w:t>(3), 473-482.</w:t>
      </w:r>
    </w:p>
    <w:p w14:paraId="12E82D59"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Usman, A.W., Basheer, A., </w:t>
      </w:r>
      <w:proofErr w:type="spellStart"/>
      <w:r w:rsidRPr="007A17F5">
        <w:rPr>
          <w:rFonts w:ascii="Arial" w:hAnsi="Arial" w:cs="Arial"/>
          <w:sz w:val="20"/>
          <w:szCs w:val="20"/>
          <w:lang w:val="en-US"/>
        </w:rPr>
        <w:t>Shabib</w:t>
      </w:r>
      <w:proofErr w:type="spellEnd"/>
      <w:r w:rsidRPr="007A17F5">
        <w:rPr>
          <w:rFonts w:ascii="Arial" w:hAnsi="Arial" w:cs="Arial"/>
          <w:sz w:val="20"/>
          <w:szCs w:val="20"/>
          <w:lang w:val="en-US"/>
        </w:rPr>
        <w:t xml:space="preserve">, H. (2016). Investigating Internal Marketing practice in banks: An application of </w:t>
      </w:r>
      <w:proofErr w:type="spellStart"/>
      <w:r w:rsidRPr="007A17F5">
        <w:rPr>
          <w:rFonts w:ascii="Arial" w:hAnsi="Arial" w:cs="Arial"/>
          <w:sz w:val="20"/>
          <w:szCs w:val="20"/>
          <w:lang w:val="en-US"/>
        </w:rPr>
        <w:t>multivaritate</w:t>
      </w:r>
      <w:proofErr w:type="spellEnd"/>
      <w:r w:rsidRPr="007A17F5">
        <w:rPr>
          <w:rFonts w:ascii="Arial" w:hAnsi="Arial" w:cs="Arial"/>
          <w:sz w:val="20"/>
          <w:szCs w:val="20"/>
          <w:lang w:val="en-US"/>
        </w:rPr>
        <w:t xml:space="preserve"> statistical analysis, Pakistan Business Review, 558-576.</w:t>
      </w:r>
    </w:p>
    <w:p w14:paraId="70207803"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 xml:space="preserve">Varey, J.V. and Lewis, R.B. (1999). A broadened conception of internal marketing, European Journal of Marketing, Vol. 33 Nos 9/10, pp. 926-44. </w:t>
      </w:r>
    </w:p>
    <w:p w14:paraId="28A8EC46"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Varey, R. J., (1995). A model of internal marketing for building and sustaining a competitive service advantage, Journal of Marketing Management, Vol. 11, No. 1–3, pp. 41–54. https://doi.org/10. 1080/0267257X.1995.9964328</w:t>
      </w:r>
    </w:p>
    <w:p w14:paraId="737D0388"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Varey, R.J. (1995). Internal marketing: a review and some interdisciplinary research challenges, International Journal of Service Industry Management, Vol. 6 No. 1, pp. 40-63.</w:t>
      </w:r>
    </w:p>
    <w:p w14:paraId="1DFD6AE6" w14:textId="77777777" w:rsidR="006D2E35" w:rsidRPr="007A17F5" w:rsidRDefault="006D2E35" w:rsidP="006D2E35">
      <w:pPr>
        <w:jc w:val="both"/>
        <w:rPr>
          <w:rFonts w:ascii="Arial" w:hAnsi="Arial" w:cs="Arial"/>
          <w:sz w:val="20"/>
          <w:szCs w:val="20"/>
          <w:lang w:val="en-US"/>
        </w:rPr>
      </w:pPr>
      <w:r w:rsidRPr="007A17F5">
        <w:rPr>
          <w:rFonts w:ascii="Arial" w:hAnsi="Arial" w:cs="Arial"/>
          <w:sz w:val="20"/>
          <w:szCs w:val="20"/>
          <w:lang w:val="en-US"/>
        </w:rPr>
        <w:t>Yu, Q., Yen, D. A., Barnes, B. R., &amp; Huang, Y. A. (2019). Enhancing firm performance through internal market orientation and employee organizational commitment, International Journal of Human Resource Management, </w:t>
      </w:r>
      <w:hyperlink r:id="rId28" w:tgtFrame="_blank" w:history="1">
        <w:r w:rsidRPr="007A17F5">
          <w:rPr>
            <w:rFonts w:ascii="Arial" w:hAnsi="Arial" w:cs="Arial"/>
            <w:sz w:val="20"/>
            <w:szCs w:val="20"/>
            <w:lang w:val="en-US"/>
          </w:rPr>
          <w:t>30</w:t>
        </w:r>
      </w:hyperlink>
      <w:r w:rsidRPr="007A17F5">
        <w:rPr>
          <w:rFonts w:ascii="Arial" w:hAnsi="Arial" w:cs="Arial"/>
          <w:sz w:val="20"/>
          <w:szCs w:val="20"/>
          <w:lang w:val="en-US"/>
        </w:rPr>
        <w:t>(</w:t>
      </w:r>
      <w:hyperlink r:id="rId29" w:tgtFrame="_blank" w:history="1">
        <w:r w:rsidRPr="007A17F5">
          <w:rPr>
            <w:rFonts w:ascii="Arial" w:hAnsi="Arial" w:cs="Arial"/>
            <w:sz w:val="20"/>
            <w:szCs w:val="20"/>
            <w:lang w:val="en-US"/>
          </w:rPr>
          <w:t>6</w:t>
        </w:r>
      </w:hyperlink>
      <w:r w:rsidRPr="007A17F5">
        <w:rPr>
          <w:rFonts w:ascii="Arial" w:hAnsi="Arial" w:cs="Arial"/>
          <w:sz w:val="20"/>
          <w:szCs w:val="20"/>
          <w:lang w:val="en-US"/>
        </w:rPr>
        <w:t>), 964–987.</w:t>
      </w:r>
    </w:p>
    <w:p w14:paraId="1DFAC203" w14:textId="77777777" w:rsidR="006D2E35" w:rsidRPr="00EB1B8C" w:rsidRDefault="006D2E35" w:rsidP="006D2E35">
      <w:pPr>
        <w:ind w:left="450"/>
        <w:jc w:val="both"/>
        <w:rPr>
          <w:rFonts w:ascii="Arial" w:hAnsi="Arial" w:cs="Arial"/>
          <w:sz w:val="20"/>
          <w:szCs w:val="20"/>
          <w:lang w:val="en-US"/>
        </w:rPr>
      </w:pPr>
    </w:p>
    <w:p w14:paraId="10B6E6E8" w14:textId="77777777" w:rsidR="007E6181" w:rsidRDefault="007E6181" w:rsidP="0068046D">
      <w:pPr>
        <w:rPr>
          <w:rFonts w:cstheme="minorHAnsi"/>
          <w:color w:val="2E414F"/>
          <w:sz w:val="21"/>
          <w:szCs w:val="21"/>
          <w:shd w:val="clear" w:color="auto" w:fill="FFFFFF"/>
          <w:lang w:val="en-US"/>
        </w:rPr>
        <w:sectPr w:rsidR="007E6181"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379B7AA1" w14:textId="1AAD9842" w:rsidR="0068046D" w:rsidRPr="00D472BC" w:rsidRDefault="0068046D" w:rsidP="0068046D">
      <w:pPr>
        <w:rPr>
          <w:rFonts w:cstheme="minorHAnsi"/>
          <w:color w:val="2E414F"/>
          <w:sz w:val="21"/>
          <w:szCs w:val="21"/>
          <w:shd w:val="clear" w:color="auto" w:fill="FFFFFF"/>
          <w:lang w:val="en-US"/>
        </w:rPr>
      </w:pPr>
      <w:r w:rsidRPr="00D472BC">
        <w:rPr>
          <w:rFonts w:cstheme="minorHAnsi"/>
          <w:color w:val="2E414F"/>
          <w:sz w:val="21"/>
          <w:szCs w:val="21"/>
          <w:shd w:val="clear" w:color="auto" w:fill="FFFFFF"/>
          <w:lang w:val="en-US"/>
        </w:rPr>
        <w:t xml:space="preserve"> </w:t>
      </w:r>
    </w:p>
    <w:sectPr w:rsidR="0068046D" w:rsidRPr="00D472BC" w:rsidSect="008F6B76">
      <w:footnotePr>
        <w:numFmt w:val="chicago"/>
      </w:footnotePr>
      <w:endnotePr>
        <w:numFmt w:val="chicago"/>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2A90" w14:textId="77777777" w:rsidR="00923937" w:rsidRDefault="00923937" w:rsidP="00920D2C">
      <w:r>
        <w:separator/>
      </w:r>
    </w:p>
  </w:endnote>
  <w:endnote w:type="continuationSeparator" w:id="0">
    <w:p w14:paraId="10FD48F9" w14:textId="77777777" w:rsidR="00923937" w:rsidRDefault="00923937" w:rsidP="0092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E10E" w14:textId="77777777" w:rsidR="00345227" w:rsidRDefault="00345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810298071"/>
      <w:docPartObj>
        <w:docPartGallery w:val="Page Numbers (Bottom of Page)"/>
        <w:docPartUnique/>
      </w:docPartObj>
    </w:sdtPr>
    <w:sdtEndPr>
      <w:rPr>
        <w:noProof/>
      </w:rPr>
    </w:sdtEndPr>
    <w:sdtContent>
      <w:p w14:paraId="55E7E80C" w14:textId="582993A7" w:rsidR="00345227" w:rsidRPr="009D1BD5" w:rsidRDefault="00345227" w:rsidP="009D1BD5">
        <w:pPr>
          <w:pStyle w:val="Footer"/>
          <w:jc w:val="center"/>
          <w:rPr>
            <w:rFonts w:ascii="Arial" w:hAnsi="Arial" w:cs="Arial"/>
            <w:sz w:val="18"/>
            <w:szCs w:val="18"/>
          </w:rPr>
        </w:pPr>
        <w:r w:rsidRPr="009D1BD5">
          <w:rPr>
            <w:rFonts w:ascii="Arial" w:hAnsi="Arial" w:cs="Arial"/>
            <w:sz w:val="18"/>
            <w:szCs w:val="18"/>
          </w:rPr>
          <w:fldChar w:fldCharType="begin"/>
        </w:r>
        <w:r w:rsidRPr="009D1BD5">
          <w:rPr>
            <w:rFonts w:ascii="Arial" w:hAnsi="Arial" w:cs="Arial"/>
            <w:sz w:val="18"/>
            <w:szCs w:val="18"/>
          </w:rPr>
          <w:instrText xml:space="preserve"> PAGE   \* MERGEFORMAT </w:instrText>
        </w:r>
        <w:r w:rsidRPr="009D1BD5">
          <w:rPr>
            <w:rFonts w:ascii="Arial" w:hAnsi="Arial" w:cs="Arial"/>
            <w:sz w:val="18"/>
            <w:szCs w:val="18"/>
          </w:rPr>
          <w:fldChar w:fldCharType="separate"/>
        </w:r>
        <w:r w:rsidR="007825D3">
          <w:rPr>
            <w:rFonts w:ascii="Arial" w:hAnsi="Arial" w:cs="Arial"/>
            <w:noProof/>
            <w:sz w:val="18"/>
            <w:szCs w:val="18"/>
          </w:rPr>
          <w:t>1</w:t>
        </w:r>
        <w:r w:rsidRPr="009D1BD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0E50" w14:textId="77777777" w:rsidR="00345227" w:rsidRDefault="00345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17316" w14:textId="77777777" w:rsidR="00923937" w:rsidRDefault="00923937" w:rsidP="00920D2C">
      <w:r>
        <w:separator/>
      </w:r>
    </w:p>
  </w:footnote>
  <w:footnote w:type="continuationSeparator" w:id="0">
    <w:p w14:paraId="6F44C7BC" w14:textId="77777777" w:rsidR="00923937" w:rsidRDefault="00923937" w:rsidP="0092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6505E" w14:textId="50B8F997" w:rsidR="00345227" w:rsidRDefault="00923937">
    <w:pPr>
      <w:pStyle w:val="Header"/>
    </w:pPr>
    <w:r>
      <w:rPr>
        <w:noProof/>
      </w:rPr>
      <w:pict w14:anchorId="23D8D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E9EC9" w14:textId="418F4B4B" w:rsidR="00345227" w:rsidRDefault="00923937">
    <w:pPr>
      <w:pStyle w:val="Header"/>
    </w:pPr>
    <w:r>
      <w:rPr>
        <w:noProof/>
      </w:rPr>
      <w:pict w14:anchorId="24D95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6AA86" w14:textId="66A0497D" w:rsidR="00345227" w:rsidRDefault="00923937">
    <w:pPr>
      <w:pStyle w:val="Header"/>
    </w:pPr>
    <w:r>
      <w:rPr>
        <w:noProof/>
      </w:rPr>
      <w:pict w14:anchorId="056DF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E54"/>
    <w:multiLevelType w:val="hybridMultilevel"/>
    <w:tmpl w:val="E7042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215D4"/>
    <w:multiLevelType w:val="multilevel"/>
    <w:tmpl w:val="5078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1137D"/>
    <w:multiLevelType w:val="hybridMultilevel"/>
    <w:tmpl w:val="8856E2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9404B6"/>
    <w:multiLevelType w:val="multilevel"/>
    <w:tmpl w:val="E9227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15A10"/>
    <w:multiLevelType w:val="hybridMultilevel"/>
    <w:tmpl w:val="AFF2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867"/>
    <w:multiLevelType w:val="hybridMultilevel"/>
    <w:tmpl w:val="43EE883A"/>
    <w:lvl w:ilvl="0" w:tplc="625487B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F5448E7"/>
    <w:multiLevelType w:val="multilevel"/>
    <w:tmpl w:val="1DF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42CB3"/>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8D964EC"/>
    <w:multiLevelType w:val="hybridMultilevel"/>
    <w:tmpl w:val="8A18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E0195"/>
    <w:multiLevelType w:val="multilevel"/>
    <w:tmpl w:val="DE34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414124"/>
    <w:multiLevelType w:val="hybridMultilevel"/>
    <w:tmpl w:val="A6605208"/>
    <w:lvl w:ilvl="0" w:tplc="474C7D92">
      <w:start w:val="1"/>
      <w:numFmt w:val="decimal"/>
      <w:lvlText w:val="%1."/>
      <w:lvlJc w:val="left"/>
      <w:pPr>
        <w:ind w:left="720" w:hanging="360"/>
      </w:pPr>
      <w:rPr>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219341D8"/>
    <w:multiLevelType w:val="multilevel"/>
    <w:tmpl w:val="625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BC2E17"/>
    <w:multiLevelType w:val="multilevel"/>
    <w:tmpl w:val="EC9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42587"/>
    <w:multiLevelType w:val="hybridMultilevel"/>
    <w:tmpl w:val="BE008E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A57624"/>
    <w:multiLevelType w:val="hybridMultilevel"/>
    <w:tmpl w:val="41386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453D4"/>
    <w:multiLevelType w:val="multilevel"/>
    <w:tmpl w:val="8A8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03DDA"/>
    <w:multiLevelType w:val="hybridMultilevel"/>
    <w:tmpl w:val="3CE0C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743C7"/>
    <w:multiLevelType w:val="hybridMultilevel"/>
    <w:tmpl w:val="DA4E9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3647"/>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42144C7A"/>
    <w:multiLevelType w:val="hybridMultilevel"/>
    <w:tmpl w:val="66FE8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3658B"/>
    <w:multiLevelType w:val="hybridMultilevel"/>
    <w:tmpl w:val="C9D69B68"/>
    <w:lvl w:ilvl="0" w:tplc="65EA5D1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26D7123"/>
    <w:multiLevelType w:val="multilevel"/>
    <w:tmpl w:val="A01269A4"/>
    <w:lvl w:ilvl="0">
      <w:start w:val="1"/>
      <w:numFmt w:val="decimal"/>
      <w:lvlText w:val="%1."/>
      <w:lvlJc w:val="left"/>
      <w:pPr>
        <w:tabs>
          <w:tab w:val="num" w:pos="720"/>
        </w:tabs>
        <w:ind w:left="720" w:hanging="360"/>
      </w:pPr>
    </w:lvl>
    <w:lvl w:ilvl="1">
      <w:numFmt w:val="bullet"/>
      <w:lvlText w:val=""/>
      <w:lvlJc w:val="left"/>
      <w:pPr>
        <w:ind w:left="1440" w:hanging="360"/>
      </w:pPr>
      <w:rPr>
        <w:rFonts w:ascii="Book Antiqua" w:eastAsia="Times New Roman" w:hAnsi="Book Antiqu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9570F"/>
    <w:multiLevelType w:val="hybridMultilevel"/>
    <w:tmpl w:val="53927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B33E8"/>
    <w:multiLevelType w:val="hybridMultilevel"/>
    <w:tmpl w:val="4448DAB8"/>
    <w:lvl w:ilvl="0" w:tplc="2B5029BA">
      <w:start w:val="5"/>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672127D6"/>
    <w:multiLevelType w:val="hybridMultilevel"/>
    <w:tmpl w:val="DCD8E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3"/>
  </w:num>
  <w:num w:numId="4">
    <w:abstractNumId w:val="0"/>
  </w:num>
  <w:num w:numId="5">
    <w:abstractNumId w:val="18"/>
  </w:num>
  <w:num w:numId="6">
    <w:abstractNumId w:val="23"/>
  </w:num>
  <w:num w:numId="7">
    <w:abstractNumId w:val="8"/>
  </w:num>
  <w:num w:numId="8">
    <w:abstractNumId w:val="16"/>
  </w:num>
  <w:num w:numId="9">
    <w:abstractNumId w:val="19"/>
  </w:num>
  <w:num w:numId="10">
    <w:abstractNumId w:val="24"/>
  </w:num>
  <w:num w:numId="11">
    <w:abstractNumId w:val="17"/>
  </w:num>
  <w:num w:numId="12">
    <w:abstractNumId w:val="12"/>
  </w:num>
  <w:num w:numId="13">
    <w:abstractNumId w:val="11"/>
  </w:num>
  <w:num w:numId="14">
    <w:abstractNumId w:val="9"/>
  </w:num>
  <w:num w:numId="15">
    <w:abstractNumId w:val="6"/>
  </w:num>
  <w:num w:numId="16">
    <w:abstractNumId w:val="4"/>
  </w:num>
  <w:num w:numId="17">
    <w:abstractNumId w:val="21"/>
  </w:num>
  <w:num w:numId="18">
    <w:abstractNumId w:val="20"/>
  </w:num>
  <w:num w:numId="19">
    <w:abstractNumId w:val="2"/>
  </w:num>
  <w:num w:numId="20">
    <w:abstractNumId w:val="15"/>
  </w:num>
  <w:num w:numId="21">
    <w:abstractNumId w:val="22"/>
  </w:num>
  <w:num w:numId="22">
    <w:abstractNumId w:val="5"/>
  </w:num>
  <w:num w:numId="23">
    <w:abstractNumId w:val="1"/>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49"/>
    <w:rsid w:val="0000658A"/>
    <w:rsid w:val="00017A37"/>
    <w:rsid w:val="00031606"/>
    <w:rsid w:val="000331B9"/>
    <w:rsid w:val="000341DC"/>
    <w:rsid w:val="00040DDA"/>
    <w:rsid w:val="000456FF"/>
    <w:rsid w:val="00047AA2"/>
    <w:rsid w:val="00055425"/>
    <w:rsid w:val="0006099A"/>
    <w:rsid w:val="00065ACA"/>
    <w:rsid w:val="0007461E"/>
    <w:rsid w:val="00076631"/>
    <w:rsid w:val="00087611"/>
    <w:rsid w:val="0009224D"/>
    <w:rsid w:val="00093472"/>
    <w:rsid w:val="00093A56"/>
    <w:rsid w:val="00093C96"/>
    <w:rsid w:val="000A64CB"/>
    <w:rsid w:val="000A761D"/>
    <w:rsid w:val="000A78D1"/>
    <w:rsid w:val="000A7D56"/>
    <w:rsid w:val="000B1BC3"/>
    <w:rsid w:val="000B26D9"/>
    <w:rsid w:val="000B30E6"/>
    <w:rsid w:val="000B54BB"/>
    <w:rsid w:val="000C19EF"/>
    <w:rsid w:val="000C2AA6"/>
    <w:rsid w:val="000C452E"/>
    <w:rsid w:val="000C78FD"/>
    <w:rsid w:val="000C7EE9"/>
    <w:rsid w:val="000D3BE8"/>
    <w:rsid w:val="000D7591"/>
    <w:rsid w:val="000D7CF3"/>
    <w:rsid w:val="000E0BEC"/>
    <w:rsid w:val="000E2A55"/>
    <w:rsid w:val="000E6A95"/>
    <w:rsid w:val="000E6CB8"/>
    <w:rsid w:val="000F291F"/>
    <w:rsid w:val="000F30A4"/>
    <w:rsid w:val="001016B2"/>
    <w:rsid w:val="00104DED"/>
    <w:rsid w:val="001126E2"/>
    <w:rsid w:val="00115EEB"/>
    <w:rsid w:val="00123497"/>
    <w:rsid w:val="00123DC7"/>
    <w:rsid w:val="0012433A"/>
    <w:rsid w:val="00126D28"/>
    <w:rsid w:val="00127E00"/>
    <w:rsid w:val="001301AA"/>
    <w:rsid w:val="0014105B"/>
    <w:rsid w:val="00157BD9"/>
    <w:rsid w:val="0016745F"/>
    <w:rsid w:val="00172B30"/>
    <w:rsid w:val="00173BDC"/>
    <w:rsid w:val="0017461C"/>
    <w:rsid w:val="00185358"/>
    <w:rsid w:val="001927FC"/>
    <w:rsid w:val="001A5664"/>
    <w:rsid w:val="001B3032"/>
    <w:rsid w:val="001B3079"/>
    <w:rsid w:val="001B3149"/>
    <w:rsid w:val="001B3B8B"/>
    <w:rsid w:val="001C076E"/>
    <w:rsid w:val="001C2A5D"/>
    <w:rsid w:val="001C454E"/>
    <w:rsid w:val="001C633B"/>
    <w:rsid w:val="001D6BB3"/>
    <w:rsid w:val="001F1BE2"/>
    <w:rsid w:val="001F2781"/>
    <w:rsid w:val="001F2DF9"/>
    <w:rsid w:val="001F3D21"/>
    <w:rsid w:val="00201E93"/>
    <w:rsid w:val="002043D7"/>
    <w:rsid w:val="00204454"/>
    <w:rsid w:val="0020627A"/>
    <w:rsid w:val="002106CB"/>
    <w:rsid w:val="00221F0A"/>
    <w:rsid w:val="00226076"/>
    <w:rsid w:val="00234001"/>
    <w:rsid w:val="00244564"/>
    <w:rsid w:val="00244F73"/>
    <w:rsid w:val="0025213D"/>
    <w:rsid w:val="002529C9"/>
    <w:rsid w:val="002543A5"/>
    <w:rsid w:val="00256229"/>
    <w:rsid w:val="00256D90"/>
    <w:rsid w:val="002574CF"/>
    <w:rsid w:val="002624B8"/>
    <w:rsid w:val="002759A5"/>
    <w:rsid w:val="0027761F"/>
    <w:rsid w:val="00277917"/>
    <w:rsid w:val="0028717C"/>
    <w:rsid w:val="00293A0F"/>
    <w:rsid w:val="0029451C"/>
    <w:rsid w:val="00295683"/>
    <w:rsid w:val="0029794B"/>
    <w:rsid w:val="002A0C7B"/>
    <w:rsid w:val="002A38D0"/>
    <w:rsid w:val="002B620B"/>
    <w:rsid w:val="002C4A82"/>
    <w:rsid w:val="002C6F4F"/>
    <w:rsid w:val="002D1291"/>
    <w:rsid w:val="002D2532"/>
    <w:rsid w:val="002E4281"/>
    <w:rsid w:val="002E7B22"/>
    <w:rsid w:val="002F4A90"/>
    <w:rsid w:val="00302FC1"/>
    <w:rsid w:val="003034E0"/>
    <w:rsid w:val="0030375D"/>
    <w:rsid w:val="003057A2"/>
    <w:rsid w:val="0032551B"/>
    <w:rsid w:val="00326E2F"/>
    <w:rsid w:val="00331345"/>
    <w:rsid w:val="0034180A"/>
    <w:rsid w:val="00344D7E"/>
    <w:rsid w:val="00345227"/>
    <w:rsid w:val="00345418"/>
    <w:rsid w:val="00361CE5"/>
    <w:rsid w:val="00382116"/>
    <w:rsid w:val="00385536"/>
    <w:rsid w:val="00390E84"/>
    <w:rsid w:val="00391CD5"/>
    <w:rsid w:val="00391EED"/>
    <w:rsid w:val="0039639A"/>
    <w:rsid w:val="003A43B5"/>
    <w:rsid w:val="003A7B6F"/>
    <w:rsid w:val="003C4975"/>
    <w:rsid w:val="003C6317"/>
    <w:rsid w:val="003D1861"/>
    <w:rsid w:val="003D1C80"/>
    <w:rsid w:val="003D3779"/>
    <w:rsid w:val="003D3849"/>
    <w:rsid w:val="003D613B"/>
    <w:rsid w:val="003E03A0"/>
    <w:rsid w:val="003E341E"/>
    <w:rsid w:val="003E6D99"/>
    <w:rsid w:val="003F2706"/>
    <w:rsid w:val="003F3BD9"/>
    <w:rsid w:val="00403CBF"/>
    <w:rsid w:val="00405A13"/>
    <w:rsid w:val="00412D1B"/>
    <w:rsid w:val="00413B93"/>
    <w:rsid w:val="00416BEF"/>
    <w:rsid w:val="00420B05"/>
    <w:rsid w:val="004213B0"/>
    <w:rsid w:val="00421CCA"/>
    <w:rsid w:val="00423E2A"/>
    <w:rsid w:val="00430596"/>
    <w:rsid w:val="00432890"/>
    <w:rsid w:val="00435F26"/>
    <w:rsid w:val="004424F2"/>
    <w:rsid w:val="00447D98"/>
    <w:rsid w:val="00450026"/>
    <w:rsid w:val="00461CA3"/>
    <w:rsid w:val="00464969"/>
    <w:rsid w:val="00466A25"/>
    <w:rsid w:val="00480589"/>
    <w:rsid w:val="0048170D"/>
    <w:rsid w:val="00485879"/>
    <w:rsid w:val="00492684"/>
    <w:rsid w:val="00494608"/>
    <w:rsid w:val="004A4B86"/>
    <w:rsid w:val="004A7280"/>
    <w:rsid w:val="004B08BB"/>
    <w:rsid w:val="004B3AF8"/>
    <w:rsid w:val="004B7BD8"/>
    <w:rsid w:val="004C10F8"/>
    <w:rsid w:val="004C3398"/>
    <w:rsid w:val="004D449C"/>
    <w:rsid w:val="004E03BF"/>
    <w:rsid w:val="004E3CDF"/>
    <w:rsid w:val="004E6F55"/>
    <w:rsid w:val="004F4ED4"/>
    <w:rsid w:val="004F52DA"/>
    <w:rsid w:val="005011E9"/>
    <w:rsid w:val="00501E96"/>
    <w:rsid w:val="0051402D"/>
    <w:rsid w:val="005153CD"/>
    <w:rsid w:val="00523439"/>
    <w:rsid w:val="00524B75"/>
    <w:rsid w:val="005267F4"/>
    <w:rsid w:val="00545362"/>
    <w:rsid w:val="00546E5F"/>
    <w:rsid w:val="00554C06"/>
    <w:rsid w:val="00556999"/>
    <w:rsid w:val="00557394"/>
    <w:rsid w:val="005650FD"/>
    <w:rsid w:val="005658B6"/>
    <w:rsid w:val="0056612B"/>
    <w:rsid w:val="0056730C"/>
    <w:rsid w:val="005866DD"/>
    <w:rsid w:val="0059080C"/>
    <w:rsid w:val="00592F1C"/>
    <w:rsid w:val="00593A78"/>
    <w:rsid w:val="00593C72"/>
    <w:rsid w:val="00595179"/>
    <w:rsid w:val="005A3FDD"/>
    <w:rsid w:val="005A40F0"/>
    <w:rsid w:val="005A628D"/>
    <w:rsid w:val="005B58CA"/>
    <w:rsid w:val="005C33F2"/>
    <w:rsid w:val="005C342E"/>
    <w:rsid w:val="005D14A7"/>
    <w:rsid w:val="005E5EC1"/>
    <w:rsid w:val="005E6BBE"/>
    <w:rsid w:val="005F5878"/>
    <w:rsid w:val="0060420E"/>
    <w:rsid w:val="00604DE8"/>
    <w:rsid w:val="0061051F"/>
    <w:rsid w:val="0061213D"/>
    <w:rsid w:val="00613573"/>
    <w:rsid w:val="00621E00"/>
    <w:rsid w:val="006249E5"/>
    <w:rsid w:val="00627240"/>
    <w:rsid w:val="00630635"/>
    <w:rsid w:val="0063295F"/>
    <w:rsid w:val="0063424E"/>
    <w:rsid w:val="00634712"/>
    <w:rsid w:val="0064423D"/>
    <w:rsid w:val="006706DF"/>
    <w:rsid w:val="00677563"/>
    <w:rsid w:val="0068046D"/>
    <w:rsid w:val="00691BE1"/>
    <w:rsid w:val="0069564E"/>
    <w:rsid w:val="006A21DA"/>
    <w:rsid w:val="006A5AC1"/>
    <w:rsid w:val="006B1460"/>
    <w:rsid w:val="006B1F53"/>
    <w:rsid w:val="006B4B45"/>
    <w:rsid w:val="006B4CAB"/>
    <w:rsid w:val="006B581B"/>
    <w:rsid w:val="006B6E55"/>
    <w:rsid w:val="006C0FF1"/>
    <w:rsid w:val="006D2E35"/>
    <w:rsid w:val="006D3CF3"/>
    <w:rsid w:val="006D6D7B"/>
    <w:rsid w:val="006F2BC9"/>
    <w:rsid w:val="006F5160"/>
    <w:rsid w:val="00713F84"/>
    <w:rsid w:val="007149B9"/>
    <w:rsid w:val="00720074"/>
    <w:rsid w:val="00723398"/>
    <w:rsid w:val="00726698"/>
    <w:rsid w:val="007341DB"/>
    <w:rsid w:val="00742EC0"/>
    <w:rsid w:val="00744A97"/>
    <w:rsid w:val="00746A05"/>
    <w:rsid w:val="007559D7"/>
    <w:rsid w:val="00761EBF"/>
    <w:rsid w:val="00764638"/>
    <w:rsid w:val="0076791E"/>
    <w:rsid w:val="00770F20"/>
    <w:rsid w:val="00777C73"/>
    <w:rsid w:val="007825D3"/>
    <w:rsid w:val="00782D6F"/>
    <w:rsid w:val="00783AFE"/>
    <w:rsid w:val="0078600F"/>
    <w:rsid w:val="007956A9"/>
    <w:rsid w:val="00796E39"/>
    <w:rsid w:val="007A1BAE"/>
    <w:rsid w:val="007B1A3F"/>
    <w:rsid w:val="007B1AEF"/>
    <w:rsid w:val="007B7B20"/>
    <w:rsid w:val="007C20A0"/>
    <w:rsid w:val="007D0CFB"/>
    <w:rsid w:val="007E096A"/>
    <w:rsid w:val="007E40F0"/>
    <w:rsid w:val="007E52B5"/>
    <w:rsid w:val="007E6181"/>
    <w:rsid w:val="007F6A38"/>
    <w:rsid w:val="007F7565"/>
    <w:rsid w:val="007F7C49"/>
    <w:rsid w:val="008009A3"/>
    <w:rsid w:val="008013DD"/>
    <w:rsid w:val="00803386"/>
    <w:rsid w:val="00811770"/>
    <w:rsid w:val="0081266D"/>
    <w:rsid w:val="0081552A"/>
    <w:rsid w:val="00817E23"/>
    <w:rsid w:val="00821D1E"/>
    <w:rsid w:val="00822FBF"/>
    <w:rsid w:val="0082667A"/>
    <w:rsid w:val="00826725"/>
    <w:rsid w:val="00826FBC"/>
    <w:rsid w:val="008430A2"/>
    <w:rsid w:val="00846DE8"/>
    <w:rsid w:val="00846E9C"/>
    <w:rsid w:val="00853C73"/>
    <w:rsid w:val="008610EE"/>
    <w:rsid w:val="008647EC"/>
    <w:rsid w:val="00865698"/>
    <w:rsid w:val="008838D1"/>
    <w:rsid w:val="00885A81"/>
    <w:rsid w:val="00887AD9"/>
    <w:rsid w:val="00892433"/>
    <w:rsid w:val="008925D7"/>
    <w:rsid w:val="00893B6C"/>
    <w:rsid w:val="00894BE5"/>
    <w:rsid w:val="008A27D0"/>
    <w:rsid w:val="008A513C"/>
    <w:rsid w:val="008A5FDE"/>
    <w:rsid w:val="008B067B"/>
    <w:rsid w:val="008C0382"/>
    <w:rsid w:val="008C1F58"/>
    <w:rsid w:val="008D2EAD"/>
    <w:rsid w:val="008E097A"/>
    <w:rsid w:val="008E47F8"/>
    <w:rsid w:val="008F0D20"/>
    <w:rsid w:val="008F26C4"/>
    <w:rsid w:val="008F6B76"/>
    <w:rsid w:val="009128D7"/>
    <w:rsid w:val="00920D2C"/>
    <w:rsid w:val="00923937"/>
    <w:rsid w:val="00925063"/>
    <w:rsid w:val="009255EE"/>
    <w:rsid w:val="00932090"/>
    <w:rsid w:val="00934C59"/>
    <w:rsid w:val="00934C80"/>
    <w:rsid w:val="00940B3B"/>
    <w:rsid w:val="00947326"/>
    <w:rsid w:val="00947D5B"/>
    <w:rsid w:val="00950D65"/>
    <w:rsid w:val="0095497B"/>
    <w:rsid w:val="0096379B"/>
    <w:rsid w:val="00966B00"/>
    <w:rsid w:val="00970CEF"/>
    <w:rsid w:val="009779D5"/>
    <w:rsid w:val="00987CE8"/>
    <w:rsid w:val="009910AD"/>
    <w:rsid w:val="00995A53"/>
    <w:rsid w:val="00996854"/>
    <w:rsid w:val="009B1066"/>
    <w:rsid w:val="009B1859"/>
    <w:rsid w:val="009C1AA9"/>
    <w:rsid w:val="009D1BD5"/>
    <w:rsid w:val="009D3731"/>
    <w:rsid w:val="009D51C7"/>
    <w:rsid w:val="009E35FD"/>
    <w:rsid w:val="009F7232"/>
    <w:rsid w:val="00A01E00"/>
    <w:rsid w:val="00A06214"/>
    <w:rsid w:val="00A16F9E"/>
    <w:rsid w:val="00A212C1"/>
    <w:rsid w:val="00A244A3"/>
    <w:rsid w:val="00A273E2"/>
    <w:rsid w:val="00A36B68"/>
    <w:rsid w:val="00A3747A"/>
    <w:rsid w:val="00A41F10"/>
    <w:rsid w:val="00A45D31"/>
    <w:rsid w:val="00A46237"/>
    <w:rsid w:val="00A46DCA"/>
    <w:rsid w:val="00A46E12"/>
    <w:rsid w:val="00A5139F"/>
    <w:rsid w:val="00A56951"/>
    <w:rsid w:val="00A67EC2"/>
    <w:rsid w:val="00A81DFA"/>
    <w:rsid w:val="00A82DF2"/>
    <w:rsid w:val="00A82E82"/>
    <w:rsid w:val="00A87AAA"/>
    <w:rsid w:val="00A926EF"/>
    <w:rsid w:val="00A92DA1"/>
    <w:rsid w:val="00A9497D"/>
    <w:rsid w:val="00A955E6"/>
    <w:rsid w:val="00A976C2"/>
    <w:rsid w:val="00AA07FA"/>
    <w:rsid w:val="00AA3219"/>
    <w:rsid w:val="00AB3EC7"/>
    <w:rsid w:val="00AB556A"/>
    <w:rsid w:val="00AC174E"/>
    <w:rsid w:val="00AC5557"/>
    <w:rsid w:val="00AD162C"/>
    <w:rsid w:val="00AD2206"/>
    <w:rsid w:val="00AD47F0"/>
    <w:rsid w:val="00AD5653"/>
    <w:rsid w:val="00AD6E1A"/>
    <w:rsid w:val="00AE1B6B"/>
    <w:rsid w:val="00AF1C2F"/>
    <w:rsid w:val="00AF1E00"/>
    <w:rsid w:val="00AF1EFE"/>
    <w:rsid w:val="00AF2129"/>
    <w:rsid w:val="00AF5A5C"/>
    <w:rsid w:val="00B018AD"/>
    <w:rsid w:val="00B03001"/>
    <w:rsid w:val="00B06070"/>
    <w:rsid w:val="00B16866"/>
    <w:rsid w:val="00B20FE6"/>
    <w:rsid w:val="00B23F74"/>
    <w:rsid w:val="00B3265D"/>
    <w:rsid w:val="00B36E00"/>
    <w:rsid w:val="00B41748"/>
    <w:rsid w:val="00B4342B"/>
    <w:rsid w:val="00B437C9"/>
    <w:rsid w:val="00B472CE"/>
    <w:rsid w:val="00B47DB8"/>
    <w:rsid w:val="00B5260C"/>
    <w:rsid w:val="00B52B56"/>
    <w:rsid w:val="00B548ED"/>
    <w:rsid w:val="00B56B84"/>
    <w:rsid w:val="00B56D60"/>
    <w:rsid w:val="00B62F26"/>
    <w:rsid w:val="00B66682"/>
    <w:rsid w:val="00B72BCC"/>
    <w:rsid w:val="00B73B33"/>
    <w:rsid w:val="00B8226D"/>
    <w:rsid w:val="00B8409B"/>
    <w:rsid w:val="00B843D9"/>
    <w:rsid w:val="00B9145F"/>
    <w:rsid w:val="00B941FF"/>
    <w:rsid w:val="00B978A9"/>
    <w:rsid w:val="00BB494D"/>
    <w:rsid w:val="00BB7AB1"/>
    <w:rsid w:val="00BC00C2"/>
    <w:rsid w:val="00BC0CE3"/>
    <w:rsid w:val="00BC22D8"/>
    <w:rsid w:val="00BC68A5"/>
    <w:rsid w:val="00BD79B4"/>
    <w:rsid w:val="00BE20BB"/>
    <w:rsid w:val="00BF3B50"/>
    <w:rsid w:val="00BF3F0D"/>
    <w:rsid w:val="00C02C67"/>
    <w:rsid w:val="00C040CF"/>
    <w:rsid w:val="00C046F0"/>
    <w:rsid w:val="00C100B7"/>
    <w:rsid w:val="00C14D5B"/>
    <w:rsid w:val="00C14F37"/>
    <w:rsid w:val="00C15B7D"/>
    <w:rsid w:val="00C20DD2"/>
    <w:rsid w:val="00C23317"/>
    <w:rsid w:val="00C27CD7"/>
    <w:rsid w:val="00C32555"/>
    <w:rsid w:val="00C33D30"/>
    <w:rsid w:val="00C33EC0"/>
    <w:rsid w:val="00C36368"/>
    <w:rsid w:val="00C403AC"/>
    <w:rsid w:val="00C43AA0"/>
    <w:rsid w:val="00C462E6"/>
    <w:rsid w:val="00C508B2"/>
    <w:rsid w:val="00C52E2C"/>
    <w:rsid w:val="00C55732"/>
    <w:rsid w:val="00C56C22"/>
    <w:rsid w:val="00C60BA8"/>
    <w:rsid w:val="00C63BB0"/>
    <w:rsid w:val="00C645ED"/>
    <w:rsid w:val="00C66729"/>
    <w:rsid w:val="00C675A4"/>
    <w:rsid w:val="00C81333"/>
    <w:rsid w:val="00C879F2"/>
    <w:rsid w:val="00C90957"/>
    <w:rsid w:val="00C90B08"/>
    <w:rsid w:val="00C90B90"/>
    <w:rsid w:val="00C91069"/>
    <w:rsid w:val="00C9607D"/>
    <w:rsid w:val="00C96693"/>
    <w:rsid w:val="00C96765"/>
    <w:rsid w:val="00C96CBF"/>
    <w:rsid w:val="00C96FBA"/>
    <w:rsid w:val="00CA0E1C"/>
    <w:rsid w:val="00CA5A27"/>
    <w:rsid w:val="00CB5C9B"/>
    <w:rsid w:val="00CC0DC5"/>
    <w:rsid w:val="00CC0F1A"/>
    <w:rsid w:val="00CC190F"/>
    <w:rsid w:val="00CC1EB2"/>
    <w:rsid w:val="00CC2DD1"/>
    <w:rsid w:val="00CD5D26"/>
    <w:rsid w:val="00CE022E"/>
    <w:rsid w:val="00CE358E"/>
    <w:rsid w:val="00CF2468"/>
    <w:rsid w:val="00D03A3E"/>
    <w:rsid w:val="00D05BDC"/>
    <w:rsid w:val="00D1245A"/>
    <w:rsid w:val="00D14521"/>
    <w:rsid w:val="00D1526D"/>
    <w:rsid w:val="00D23EA9"/>
    <w:rsid w:val="00D2428C"/>
    <w:rsid w:val="00D26384"/>
    <w:rsid w:val="00D3279C"/>
    <w:rsid w:val="00D33C33"/>
    <w:rsid w:val="00D36D89"/>
    <w:rsid w:val="00D37442"/>
    <w:rsid w:val="00D401A0"/>
    <w:rsid w:val="00D42005"/>
    <w:rsid w:val="00D4325F"/>
    <w:rsid w:val="00D44EBD"/>
    <w:rsid w:val="00D472BC"/>
    <w:rsid w:val="00D53521"/>
    <w:rsid w:val="00D64991"/>
    <w:rsid w:val="00D72810"/>
    <w:rsid w:val="00D7363A"/>
    <w:rsid w:val="00D746B8"/>
    <w:rsid w:val="00D76A93"/>
    <w:rsid w:val="00D91067"/>
    <w:rsid w:val="00D9384F"/>
    <w:rsid w:val="00DA1D5E"/>
    <w:rsid w:val="00DA73CF"/>
    <w:rsid w:val="00DB1609"/>
    <w:rsid w:val="00DC2807"/>
    <w:rsid w:val="00DC2D2F"/>
    <w:rsid w:val="00DC36EA"/>
    <w:rsid w:val="00DC72A0"/>
    <w:rsid w:val="00DD1F7E"/>
    <w:rsid w:val="00DD2A47"/>
    <w:rsid w:val="00DE2C2C"/>
    <w:rsid w:val="00DE45EE"/>
    <w:rsid w:val="00DF33D8"/>
    <w:rsid w:val="00DF430F"/>
    <w:rsid w:val="00DF4B1D"/>
    <w:rsid w:val="00E015CD"/>
    <w:rsid w:val="00E0326E"/>
    <w:rsid w:val="00E14377"/>
    <w:rsid w:val="00E15397"/>
    <w:rsid w:val="00E20108"/>
    <w:rsid w:val="00E25581"/>
    <w:rsid w:val="00E30E06"/>
    <w:rsid w:val="00E4012F"/>
    <w:rsid w:val="00E403B7"/>
    <w:rsid w:val="00E42526"/>
    <w:rsid w:val="00E4372C"/>
    <w:rsid w:val="00E477F8"/>
    <w:rsid w:val="00E50113"/>
    <w:rsid w:val="00E523ED"/>
    <w:rsid w:val="00E55061"/>
    <w:rsid w:val="00E60D9E"/>
    <w:rsid w:val="00E620AF"/>
    <w:rsid w:val="00E73E07"/>
    <w:rsid w:val="00E7495F"/>
    <w:rsid w:val="00E86536"/>
    <w:rsid w:val="00E937AC"/>
    <w:rsid w:val="00E95050"/>
    <w:rsid w:val="00E95702"/>
    <w:rsid w:val="00EB0BED"/>
    <w:rsid w:val="00EB25FB"/>
    <w:rsid w:val="00EB2F21"/>
    <w:rsid w:val="00EC227D"/>
    <w:rsid w:val="00EC2FEF"/>
    <w:rsid w:val="00EC46B6"/>
    <w:rsid w:val="00EC70CF"/>
    <w:rsid w:val="00ED1B5F"/>
    <w:rsid w:val="00ED40DC"/>
    <w:rsid w:val="00EF18E2"/>
    <w:rsid w:val="00EF60BC"/>
    <w:rsid w:val="00F0134D"/>
    <w:rsid w:val="00F02E5F"/>
    <w:rsid w:val="00F12F3E"/>
    <w:rsid w:val="00F16E61"/>
    <w:rsid w:val="00F2490D"/>
    <w:rsid w:val="00F24B93"/>
    <w:rsid w:val="00F33A3C"/>
    <w:rsid w:val="00F43A32"/>
    <w:rsid w:val="00F4495D"/>
    <w:rsid w:val="00F56017"/>
    <w:rsid w:val="00F77D10"/>
    <w:rsid w:val="00F86018"/>
    <w:rsid w:val="00F9584D"/>
    <w:rsid w:val="00F95E15"/>
    <w:rsid w:val="00FB0666"/>
    <w:rsid w:val="00FB2A6B"/>
    <w:rsid w:val="00FB4057"/>
    <w:rsid w:val="00FB537B"/>
    <w:rsid w:val="00FC1633"/>
    <w:rsid w:val="00FC681F"/>
    <w:rsid w:val="00FD044E"/>
    <w:rsid w:val="00FD32D3"/>
    <w:rsid w:val="00FD4E73"/>
    <w:rsid w:val="00FD7A84"/>
    <w:rsid w:val="00FF0BAA"/>
    <w:rsid w:val="00FF146D"/>
    <w:rsid w:val="00FF76B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CE6FBD"/>
  <w15:chartTrackingRefBased/>
  <w15:docId w15:val="{8130FB18-3204-420B-B8C8-0AC619B5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34E0"/>
    <w:pPr>
      <w:spacing w:after="0" w:line="240" w:lineRule="auto"/>
    </w:pPr>
    <w:rPr>
      <w:rFonts w:ascii="Times New Roman" w:eastAsia="Times New Roman" w:hAnsi="Times New Roman" w:cs="Times New Roman"/>
      <w:kern w:val="0"/>
      <w:sz w:val="24"/>
      <w:szCs w:val="24"/>
      <w:lang w:eastAsia="bs-Latn-B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AA2"/>
    <w:pPr>
      <w:spacing w:after="0" w:line="240" w:lineRule="auto"/>
    </w:pPr>
    <w:rPr>
      <w:rFonts w:eastAsia="Times New Roman" w:cs="Times New Roman"/>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012F"/>
    <w:pPr>
      <w:ind w:left="720"/>
      <w:contextualSpacing/>
    </w:pPr>
  </w:style>
  <w:style w:type="character" w:styleId="Hyperlink">
    <w:name w:val="Hyperlink"/>
    <w:basedOn w:val="DefaultParagraphFont"/>
    <w:uiPriority w:val="99"/>
    <w:unhideWhenUsed/>
    <w:rsid w:val="00FD4E73"/>
    <w:rPr>
      <w:rFonts w:cs="Times New Roman"/>
      <w:color w:val="0563C1" w:themeColor="hyperlink"/>
      <w:u w:val="single"/>
    </w:rPr>
  </w:style>
  <w:style w:type="character" w:customStyle="1" w:styleId="ListParagraphChar">
    <w:name w:val="List Paragraph Char"/>
    <w:basedOn w:val="DefaultParagraphFont"/>
    <w:link w:val="ListParagraph"/>
    <w:uiPriority w:val="34"/>
    <w:rsid w:val="00FD4E73"/>
  </w:style>
  <w:style w:type="paragraph" w:styleId="BodyText">
    <w:name w:val="Body Text"/>
    <w:basedOn w:val="Normal"/>
    <w:link w:val="BodyTextChar"/>
    <w:uiPriority w:val="1"/>
    <w:qFormat/>
    <w:rsid w:val="00FD4E73"/>
    <w:pPr>
      <w:widowControl w:val="0"/>
      <w:autoSpaceDE w:val="0"/>
      <w:autoSpaceDN w:val="0"/>
    </w:pPr>
    <w:rPr>
      <w:lang w:val="en-US"/>
    </w:rPr>
  </w:style>
  <w:style w:type="character" w:customStyle="1" w:styleId="BodyTextChar">
    <w:name w:val="Body Text Char"/>
    <w:basedOn w:val="DefaultParagraphFont"/>
    <w:link w:val="BodyText"/>
    <w:uiPriority w:val="1"/>
    <w:rsid w:val="00FD4E73"/>
    <w:rPr>
      <w:rFonts w:ascii="Times New Roman" w:eastAsia="Times New Roman" w:hAnsi="Times New Roman" w:cs="Times New Roman"/>
      <w:kern w:val="0"/>
      <w:sz w:val="24"/>
      <w:szCs w:val="24"/>
      <w:lang w:val="en-US"/>
      <w14:ligatures w14:val="none"/>
    </w:rPr>
  </w:style>
  <w:style w:type="character" w:customStyle="1" w:styleId="rynqvb">
    <w:name w:val="rynqvb"/>
    <w:basedOn w:val="DefaultParagraphFont"/>
    <w:rsid w:val="00C046F0"/>
  </w:style>
  <w:style w:type="character" w:customStyle="1" w:styleId="UnresolvedMention1">
    <w:name w:val="Unresolved Mention1"/>
    <w:basedOn w:val="DefaultParagraphFont"/>
    <w:uiPriority w:val="99"/>
    <w:semiHidden/>
    <w:unhideWhenUsed/>
    <w:rsid w:val="005650FD"/>
    <w:rPr>
      <w:color w:val="605E5C"/>
      <w:shd w:val="clear" w:color="auto" w:fill="E1DFDD"/>
    </w:rPr>
  </w:style>
  <w:style w:type="character" w:styleId="FollowedHyperlink">
    <w:name w:val="FollowedHyperlink"/>
    <w:basedOn w:val="DefaultParagraphFont"/>
    <w:uiPriority w:val="99"/>
    <w:semiHidden/>
    <w:unhideWhenUsed/>
    <w:rsid w:val="00B73B33"/>
    <w:rPr>
      <w:color w:val="954F72" w:themeColor="followedHyperlink"/>
      <w:u w:val="single"/>
    </w:rPr>
  </w:style>
  <w:style w:type="character" w:customStyle="1" w:styleId="citationsource-journal">
    <w:name w:val="citation_source-journal"/>
    <w:basedOn w:val="DefaultParagraphFont"/>
    <w:rsid w:val="00B73B33"/>
  </w:style>
  <w:style w:type="paragraph" w:styleId="FootnoteText">
    <w:name w:val="footnote text"/>
    <w:basedOn w:val="Normal"/>
    <w:link w:val="FootnoteTextChar"/>
    <w:uiPriority w:val="99"/>
    <w:semiHidden/>
    <w:unhideWhenUsed/>
    <w:rsid w:val="00920D2C"/>
    <w:rPr>
      <w:sz w:val="20"/>
      <w:szCs w:val="20"/>
      <w:lang w:val="en-GB"/>
    </w:rPr>
  </w:style>
  <w:style w:type="character" w:customStyle="1" w:styleId="FootnoteTextChar">
    <w:name w:val="Footnote Text Char"/>
    <w:basedOn w:val="DefaultParagraphFont"/>
    <w:link w:val="FootnoteText"/>
    <w:uiPriority w:val="99"/>
    <w:semiHidden/>
    <w:rsid w:val="00920D2C"/>
    <w:rPr>
      <w:rFonts w:eastAsia="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920D2C"/>
    <w:rPr>
      <w:rFonts w:cs="Times New Roman"/>
      <w:vertAlign w:val="superscript"/>
    </w:rPr>
  </w:style>
  <w:style w:type="character" w:customStyle="1" w:styleId="dq">
    <w:name w:val="dq"/>
    <w:basedOn w:val="DefaultParagraphFont"/>
    <w:rsid w:val="00920D2C"/>
  </w:style>
  <w:style w:type="paragraph" w:styleId="Header">
    <w:name w:val="header"/>
    <w:basedOn w:val="Normal"/>
    <w:link w:val="HeaderChar"/>
    <w:uiPriority w:val="99"/>
    <w:unhideWhenUsed/>
    <w:rsid w:val="009D1BD5"/>
    <w:pPr>
      <w:tabs>
        <w:tab w:val="center" w:pos="4513"/>
        <w:tab w:val="right" w:pos="9026"/>
      </w:tabs>
    </w:pPr>
  </w:style>
  <w:style w:type="character" w:customStyle="1" w:styleId="HeaderChar">
    <w:name w:val="Header Char"/>
    <w:basedOn w:val="DefaultParagraphFont"/>
    <w:link w:val="Header"/>
    <w:uiPriority w:val="99"/>
    <w:rsid w:val="009D1BD5"/>
  </w:style>
  <w:style w:type="paragraph" w:styleId="Footer">
    <w:name w:val="footer"/>
    <w:basedOn w:val="Normal"/>
    <w:link w:val="FooterChar"/>
    <w:uiPriority w:val="99"/>
    <w:unhideWhenUsed/>
    <w:rsid w:val="009D1BD5"/>
    <w:pPr>
      <w:tabs>
        <w:tab w:val="center" w:pos="4513"/>
        <w:tab w:val="right" w:pos="9026"/>
      </w:tabs>
    </w:pPr>
  </w:style>
  <w:style w:type="character" w:customStyle="1" w:styleId="FooterChar">
    <w:name w:val="Footer Char"/>
    <w:basedOn w:val="DefaultParagraphFont"/>
    <w:link w:val="Footer"/>
    <w:uiPriority w:val="99"/>
    <w:rsid w:val="009D1BD5"/>
  </w:style>
  <w:style w:type="paragraph" w:styleId="NormalWeb">
    <w:name w:val="Normal (Web)"/>
    <w:basedOn w:val="Normal"/>
    <w:uiPriority w:val="99"/>
    <w:unhideWhenUsed/>
    <w:rsid w:val="002624B8"/>
    <w:pPr>
      <w:spacing w:before="100" w:beforeAutospacing="1" w:after="100" w:afterAutospacing="1"/>
    </w:pPr>
    <w:rPr>
      <w:lang w:val="en-US"/>
    </w:rPr>
  </w:style>
  <w:style w:type="character" w:styleId="Strong">
    <w:name w:val="Strong"/>
    <w:basedOn w:val="DefaultParagraphFont"/>
    <w:uiPriority w:val="22"/>
    <w:qFormat/>
    <w:rsid w:val="002624B8"/>
    <w:rPr>
      <w:b/>
      <w:bCs/>
    </w:rPr>
  </w:style>
  <w:style w:type="character" w:styleId="Emphasis">
    <w:name w:val="Emphasis"/>
    <w:basedOn w:val="DefaultParagraphFont"/>
    <w:uiPriority w:val="20"/>
    <w:qFormat/>
    <w:rsid w:val="002624B8"/>
    <w:rPr>
      <w:i/>
      <w:iCs/>
    </w:rPr>
  </w:style>
  <w:style w:type="table" w:styleId="GridTable4-Accent3">
    <w:name w:val="Grid Table 4 Accent 3"/>
    <w:basedOn w:val="TableNormal"/>
    <w:uiPriority w:val="49"/>
    <w:rsid w:val="0009224D"/>
    <w:pPr>
      <w:spacing w:after="0" w:line="240" w:lineRule="auto"/>
    </w:pPr>
    <w:rPr>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244F73"/>
    <w:pPr>
      <w:spacing w:after="0" w:line="240" w:lineRule="auto"/>
    </w:pPr>
    <w:rPr>
      <w:kern w:val="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tml-italic">
    <w:name w:val="html-italic"/>
    <w:basedOn w:val="DefaultParagraphFont"/>
    <w:rsid w:val="00244F73"/>
  </w:style>
  <w:style w:type="character" w:customStyle="1" w:styleId="fontstyle01">
    <w:name w:val="fontstyle01"/>
    <w:basedOn w:val="DefaultParagraphFont"/>
    <w:rsid w:val="00C20DD2"/>
    <w:rPr>
      <w:rFonts w:ascii="Book Antiqua" w:hAnsi="Book Antiqua" w:hint="default"/>
      <w:b w:val="0"/>
      <w:bCs w:val="0"/>
      <w:i w:val="0"/>
      <w:iCs w:val="0"/>
      <w:color w:val="000000"/>
      <w:sz w:val="24"/>
      <w:szCs w:val="24"/>
    </w:rPr>
  </w:style>
  <w:style w:type="paragraph" w:styleId="EndnoteText">
    <w:name w:val="endnote text"/>
    <w:basedOn w:val="Normal"/>
    <w:link w:val="EndnoteTextChar"/>
    <w:uiPriority w:val="99"/>
    <w:semiHidden/>
    <w:unhideWhenUsed/>
    <w:rsid w:val="00C040CF"/>
    <w:rPr>
      <w:sz w:val="20"/>
      <w:szCs w:val="20"/>
    </w:rPr>
  </w:style>
  <w:style w:type="character" w:customStyle="1" w:styleId="EndnoteTextChar">
    <w:name w:val="Endnote Text Char"/>
    <w:basedOn w:val="DefaultParagraphFont"/>
    <w:link w:val="EndnoteText"/>
    <w:uiPriority w:val="99"/>
    <w:semiHidden/>
    <w:rsid w:val="00C040CF"/>
    <w:rPr>
      <w:sz w:val="20"/>
      <w:szCs w:val="20"/>
    </w:rPr>
  </w:style>
  <w:style w:type="character" w:styleId="EndnoteReference">
    <w:name w:val="endnote reference"/>
    <w:basedOn w:val="DefaultParagraphFont"/>
    <w:uiPriority w:val="99"/>
    <w:semiHidden/>
    <w:unhideWhenUsed/>
    <w:rsid w:val="00C040CF"/>
    <w:rPr>
      <w:vertAlign w:val="superscript"/>
    </w:rPr>
  </w:style>
  <w:style w:type="character" w:styleId="CommentReference">
    <w:name w:val="annotation reference"/>
    <w:basedOn w:val="DefaultParagraphFont"/>
    <w:uiPriority w:val="99"/>
    <w:semiHidden/>
    <w:unhideWhenUsed/>
    <w:rsid w:val="00C100B7"/>
    <w:rPr>
      <w:sz w:val="16"/>
      <w:szCs w:val="16"/>
    </w:rPr>
  </w:style>
  <w:style w:type="paragraph" w:styleId="CommentText">
    <w:name w:val="annotation text"/>
    <w:basedOn w:val="Normal"/>
    <w:link w:val="CommentTextChar"/>
    <w:uiPriority w:val="99"/>
    <w:unhideWhenUsed/>
    <w:rsid w:val="00C100B7"/>
    <w:rPr>
      <w:sz w:val="20"/>
      <w:szCs w:val="20"/>
    </w:rPr>
  </w:style>
  <w:style w:type="character" w:customStyle="1" w:styleId="CommentTextChar">
    <w:name w:val="Comment Text Char"/>
    <w:basedOn w:val="DefaultParagraphFont"/>
    <w:link w:val="CommentText"/>
    <w:uiPriority w:val="99"/>
    <w:rsid w:val="00C100B7"/>
    <w:rPr>
      <w:sz w:val="20"/>
      <w:szCs w:val="20"/>
    </w:rPr>
  </w:style>
  <w:style w:type="paragraph" w:styleId="CommentSubject">
    <w:name w:val="annotation subject"/>
    <w:basedOn w:val="CommentText"/>
    <w:next w:val="CommentText"/>
    <w:link w:val="CommentSubjectChar"/>
    <w:uiPriority w:val="99"/>
    <w:semiHidden/>
    <w:unhideWhenUsed/>
    <w:rsid w:val="00C100B7"/>
    <w:rPr>
      <w:b/>
      <w:bCs/>
    </w:rPr>
  </w:style>
  <w:style w:type="character" w:customStyle="1" w:styleId="CommentSubjectChar">
    <w:name w:val="Comment Subject Char"/>
    <w:basedOn w:val="CommentTextChar"/>
    <w:link w:val="CommentSubject"/>
    <w:uiPriority w:val="99"/>
    <w:semiHidden/>
    <w:rsid w:val="00C100B7"/>
    <w:rPr>
      <w:b/>
      <w:bCs/>
      <w:sz w:val="20"/>
      <w:szCs w:val="20"/>
    </w:rPr>
  </w:style>
  <w:style w:type="paragraph" w:styleId="BalloonText">
    <w:name w:val="Balloon Text"/>
    <w:basedOn w:val="Normal"/>
    <w:link w:val="BalloonTextChar"/>
    <w:uiPriority w:val="99"/>
    <w:semiHidden/>
    <w:unhideWhenUsed/>
    <w:rsid w:val="00EB2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69470">
      <w:bodyDiv w:val="1"/>
      <w:marLeft w:val="0"/>
      <w:marRight w:val="0"/>
      <w:marTop w:val="0"/>
      <w:marBottom w:val="0"/>
      <w:divBdr>
        <w:top w:val="none" w:sz="0" w:space="0" w:color="auto"/>
        <w:left w:val="none" w:sz="0" w:space="0" w:color="auto"/>
        <w:bottom w:val="none" w:sz="0" w:space="0" w:color="auto"/>
        <w:right w:val="none" w:sz="0" w:space="0" w:color="auto"/>
      </w:divBdr>
    </w:div>
    <w:div w:id="662271185">
      <w:bodyDiv w:val="1"/>
      <w:marLeft w:val="0"/>
      <w:marRight w:val="0"/>
      <w:marTop w:val="0"/>
      <w:marBottom w:val="0"/>
      <w:divBdr>
        <w:top w:val="none" w:sz="0" w:space="0" w:color="auto"/>
        <w:left w:val="none" w:sz="0" w:space="0" w:color="auto"/>
        <w:bottom w:val="none" w:sz="0" w:space="0" w:color="auto"/>
        <w:right w:val="none" w:sz="0" w:space="0" w:color="auto"/>
      </w:divBdr>
    </w:div>
    <w:div w:id="675157759">
      <w:bodyDiv w:val="1"/>
      <w:marLeft w:val="0"/>
      <w:marRight w:val="0"/>
      <w:marTop w:val="0"/>
      <w:marBottom w:val="0"/>
      <w:divBdr>
        <w:top w:val="none" w:sz="0" w:space="0" w:color="auto"/>
        <w:left w:val="none" w:sz="0" w:space="0" w:color="auto"/>
        <w:bottom w:val="none" w:sz="0" w:space="0" w:color="auto"/>
        <w:right w:val="none" w:sz="0" w:space="0" w:color="auto"/>
      </w:divBdr>
    </w:div>
    <w:div w:id="751853947">
      <w:bodyDiv w:val="1"/>
      <w:marLeft w:val="0"/>
      <w:marRight w:val="0"/>
      <w:marTop w:val="0"/>
      <w:marBottom w:val="0"/>
      <w:divBdr>
        <w:top w:val="none" w:sz="0" w:space="0" w:color="auto"/>
        <w:left w:val="none" w:sz="0" w:space="0" w:color="auto"/>
        <w:bottom w:val="none" w:sz="0" w:space="0" w:color="auto"/>
        <w:right w:val="none" w:sz="0" w:space="0" w:color="auto"/>
      </w:divBdr>
      <w:divsChild>
        <w:div w:id="1436559804">
          <w:marLeft w:val="0"/>
          <w:marRight w:val="0"/>
          <w:marTop w:val="0"/>
          <w:marBottom w:val="120"/>
          <w:divBdr>
            <w:top w:val="none" w:sz="0" w:space="0" w:color="auto"/>
            <w:left w:val="none" w:sz="0" w:space="0" w:color="auto"/>
            <w:bottom w:val="none" w:sz="0" w:space="0" w:color="auto"/>
            <w:right w:val="none" w:sz="0" w:space="0" w:color="auto"/>
          </w:divBdr>
          <w:divsChild>
            <w:div w:id="2122144560">
              <w:marLeft w:val="0"/>
              <w:marRight w:val="120"/>
              <w:marTop w:val="0"/>
              <w:marBottom w:val="0"/>
              <w:divBdr>
                <w:top w:val="none" w:sz="0" w:space="0" w:color="auto"/>
                <w:left w:val="none" w:sz="0" w:space="0" w:color="auto"/>
                <w:bottom w:val="none" w:sz="0" w:space="0" w:color="auto"/>
                <w:right w:val="none" w:sz="0" w:space="0" w:color="auto"/>
              </w:divBdr>
              <w:divsChild>
                <w:div w:id="15408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0806">
      <w:bodyDiv w:val="1"/>
      <w:marLeft w:val="0"/>
      <w:marRight w:val="0"/>
      <w:marTop w:val="0"/>
      <w:marBottom w:val="0"/>
      <w:divBdr>
        <w:top w:val="none" w:sz="0" w:space="0" w:color="auto"/>
        <w:left w:val="none" w:sz="0" w:space="0" w:color="auto"/>
        <w:bottom w:val="none" w:sz="0" w:space="0" w:color="auto"/>
        <w:right w:val="none" w:sz="0" w:space="0" w:color="auto"/>
      </w:divBdr>
    </w:div>
    <w:div w:id="909971959">
      <w:bodyDiv w:val="1"/>
      <w:marLeft w:val="0"/>
      <w:marRight w:val="0"/>
      <w:marTop w:val="0"/>
      <w:marBottom w:val="0"/>
      <w:divBdr>
        <w:top w:val="none" w:sz="0" w:space="0" w:color="auto"/>
        <w:left w:val="none" w:sz="0" w:space="0" w:color="auto"/>
        <w:bottom w:val="none" w:sz="0" w:space="0" w:color="auto"/>
        <w:right w:val="none" w:sz="0" w:space="0" w:color="auto"/>
      </w:divBdr>
    </w:div>
    <w:div w:id="1202791436">
      <w:bodyDiv w:val="1"/>
      <w:marLeft w:val="0"/>
      <w:marRight w:val="0"/>
      <w:marTop w:val="0"/>
      <w:marBottom w:val="0"/>
      <w:divBdr>
        <w:top w:val="none" w:sz="0" w:space="0" w:color="auto"/>
        <w:left w:val="none" w:sz="0" w:space="0" w:color="auto"/>
        <w:bottom w:val="none" w:sz="0" w:space="0" w:color="auto"/>
        <w:right w:val="none" w:sz="0" w:space="0" w:color="auto"/>
      </w:divBdr>
    </w:div>
    <w:div w:id="1209562612">
      <w:bodyDiv w:val="1"/>
      <w:marLeft w:val="0"/>
      <w:marRight w:val="0"/>
      <w:marTop w:val="0"/>
      <w:marBottom w:val="0"/>
      <w:divBdr>
        <w:top w:val="none" w:sz="0" w:space="0" w:color="auto"/>
        <w:left w:val="none" w:sz="0" w:space="0" w:color="auto"/>
        <w:bottom w:val="none" w:sz="0" w:space="0" w:color="auto"/>
        <w:right w:val="none" w:sz="0" w:space="0" w:color="auto"/>
      </w:divBdr>
    </w:div>
    <w:div w:id="1211115704">
      <w:bodyDiv w:val="1"/>
      <w:marLeft w:val="0"/>
      <w:marRight w:val="0"/>
      <w:marTop w:val="0"/>
      <w:marBottom w:val="0"/>
      <w:divBdr>
        <w:top w:val="none" w:sz="0" w:space="0" w:color="auto"/>
        <w:left w:val="none" w:sz="0" w:space="0" w:color="auto"/>
        <w:bottom w:val="none" w:sz="0" w:space="0" w:color="auto"/>
        <w:right w:val="none" w:sz="0" w:space="0" w:color="auto"/>
      </w:divBdr>
    </w:div>
    <w:div w:id="1250577055">
      <w:bodyDiv w:val="1"/>
      <w:marLeft w:val="0"/>
      <w:marRight w:val="0"/>
      <w:marTop w:val="0"/>
      <w:marBottom w:val="0"/>
      <w:divBdr>
        <w:top w:val="none" w:sz="0" w:space="0" w:color="auto"/>
        <w:left w:val="none" w:sz="0" w:space="0" w:color="auto"/>
        <w:bottom w:val="none" w:sz="0" w:space="0" w:color="auto"/>
        <w:right w:val="none" w:sz="0" w:space="0" w:color="auto"/>
      </w:divBdr>
    </w:div>
    <w:div w:id="1435441345">
      <w:bodyDiv w:val="1"/>
      <w:marLeft w:val="0"/>
      <w:marRight w:val="0"/>
      <w:marTop w:val="0"/>
      <w:marBottom w:val="0"/>
      <w:divBdr>
        <w:top w:val="none" w:sz="0" w:space="0" w:color="auto"/>
        <w:left w:val="none" w:sz="0" w:space="0" w:color="auto"/>
        <w:bottom w:val="none" w:sz="0" w:space="0" w:color="auto"/>
        <w:right w:val="none" w:sz="0" w:space="0" w:color="auto"/>
      </w:divBdr>
    </w:div>
    <w:div w:id="14943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08/ARLA-08-2015-0190" TargetMode="External"/><Relationship Id="rId26" Type="http://schemas.openxmlformats.org/officeDocument/2006/relationships/hyperlink" Target="https://doi.org/10.1080/15980634.2017.1294343" TargetMode="External"/><Relationship Id="rId3" Type="http://schemas.openxmlformats.org/officeDocument/2006/relationships/styles" Target="styles.xml"/><Relationship Id="rId21" Type="http://schemas.openxmlformats.org/officeDocument/2006/relationships/hyperlink" Target="https://doi.org/10.1002/mar.2109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80/0965254X.2013.876077" TargetMode="External"/><Relationship Id="rId25" Type="http://schemas.openxmlformats.org/officeDocument/2006/relationships/hyperlink" Target="https://doi.org/10.1108/TPM-03-2021-0022" TargetMode="External"/><Relationship Id="rId2" Type="http://schemas.openxmlformats.org/officeDocument/2006/relationships/numbering" Target="numbering.xml"/><Relationship Id="rId16" Type="http://schemas.openxmlformats.org/officeDocument/2006/relationships/hyperlink" Target="https://doi.org/https:/doi.org/10.1108/EJM-06-2010-0353" TargetMode="External"/><Relationship Id="rId20" Type="http://schemas.openxmlformats.org/officeDocument/2006/relationships/hyperlink" Target="https://doi.org/10.1108/13563280210416053" TargetMode="External"/><Relationship Id="rId29" Type="http://schemas.openxmlformats.org/officeDocument/2006/relationships/hyperlink" Target="https://doi.org/https:/doi.org/10.1080/09585192.2017.13800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https:/doi.org/10.1108/02634501211226276" TargetMode="External"/><Relationship Id="rId5" Type="http://schemas.openxmlformats.org/officeDocument/2006/relationships/webSettings" Target="webSettings.xml"/><Relationship Id="rId15" Type="http://schemas.openxmlformats.org/officeDocument/2006/relationships/hyperlink" Target="https://doi.org/https:/doi.org/10.1108/EJM-06-2010-0353" TargetMode="External"/><Relationship Id="rId23" Type="http://schemas.openxmlformats.org/officeDocument/2006/relationships/hyperlink" Target="https://doi.org/https:/doi.org/10.1108/02634501211226276" TargetMode="External"/><Relationship Id="rId28" Type="http://schemas.openxmlformats.org/officeDocument/2006/relationships/hyperlink" Target="https://doi.org/https:/doi.org/10.1080/09585192.2017.1380059" TargetMode="External"/><Relationship Id="rId10" Type="http://schemas.openxmlformats.org/officeDocument/2006/relationships/footer" Target="footer1.xml"/><Relationship Id="rId19" Type="http://schemas.openxmlformats.org/officeDocument/2006/relationships/hyperlink" Target="https://doi.org/10.1108/ijbm-07-2018-019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EFTZ%203\Downloads\48" TargetMode="External"/><Relationship Id="rId22" Type="http://schemas.openxmlformats.org/officeDocument/2006/relationships/hyperlink" Target="https://doi.org/https:/doi.org/10.1108/02634501211226276" TargetMode="External"/><Relationship Id="rId27" Type="http://schemas.openxmlformats.org/officeDocument/2006/relationships/hyperlink" Target="https://doi.org/10.1504/mejm.2020.10969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8A27B-E9DC-4DE4-B30B-B7928E21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8488</Words>
  <Characters>48387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Beriz Civic</dc:creator>
  <cp:keywords/>
  <dc:description/>
  <cp:lastModifiedBy>SDI 1183</cp:lastModifiedBy>
  <cp:revision>3</cp:revision>
  <dcterms:created xsi:type="dcterms:W3CDTF">2025-03-06T00:23:00Z</dcterms:created>
  <dcterms:modified xsi:type="dcterms:W3CDTF">2025-03-07T10:53:00Z</dcterms:modified>
</cp:coreProperties>
</file>