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6EDEE">
      <w:pPr>
        <w:jc w:val="right"/>
        <w:rPr>
          <w:rStyle w:val="8"/>
          <w:rFonts w:ascii="Arial" w:hAnsi="Arial" w:eastAsia="宋体" w:cs="宋体"/>
          <w:sz w:val="36"/>
          <w:szCs w:val="36"/>
        </w:rPr>
      </w:pPr>
      <w:r>
        <w:rPr>
          <w:rStyle w:val="8"/>
          <w:rFonts w:ascii="Arial" w:hAnsi="Arial" w:eastAsia="宋体" w:cs="宋体"/>
          <w:sz w:val="36"/>
          <w:szCs w:val="36"/>
        </w:rPr>
        <w:t>Original Research Article</w:t>
      </w:r>
    </w:p>
    <w:p w14:paraId="5181D298">
      <w:pPr>
        <w:jc w:val="right"/>
        <w:rPr>
          <w:rStyle w:val="8"/>
          <w:rFonts w:ascii="Arial" w:hAnsi="Arial" w:eastAsia="宋体" w:cs="宋体"/>
          <w:sz w:val="36"/>
          <w:szCs w:val="36"/>
        </w:rPr>
      </w:pPr>
    </w:p>
    <w:p w14:paraId="2EDE0BC6">
      <w:pPr>
        <w:jc w:val="right"/>
        <w:rPr>
          <w:rFonts w:ascii="Arial" w:hAnsi="Arial" w:eastAsia="宋体" w:cs="宋体"/>
          <w:b/>
          <w:bCs/>
          <w:sz w:val="36"/>
          <w:szCs w:val="36"/>
        </w:rPr>
      </w:pPr>
      <w:r>
        <w:rPr>
          <w:rStyle w:val="8"/>
          <w:rFonts w:ascii="Arial" w:hAnsi="Arial" w:eastAsia="宋体" w:cs="宋体"/>
          <w:sz w:val="36"/>
          <w:szCs w:val="36"/>
        </w:rPr>
        <w:t>Selection of Representative Countries in</w:t>
      </w:r>
      <w:r>
        <w:rPr>
          <w:rStyle w:val="8"/>
          <w:rFonts w:hint="eastAsia" w:ascii="Arial" w:hAnsi="Arial" w:eastAsia="宋体" w:cs="宋体"/>
          <w:sz w:val="36"/>
          <w:szCs w:val="36"/>
        </w:rPr>
        <w:t xml:space="preserve"> </w:t>
      </w:r>
      <w:r>
        <w:rPr>
          <w:rStyle w:val="8"/>
          <w:rFonts w:ascii="Arial" w:hAnsi="Arial" w:eastAsia="宋体" w:cs="宋体"/>
          <w:sz w:val="36"/>
          <w:szCs w:val="36"/>
        </w:rPr>
        <w:t>Sino-African Economic and Trade Research-</w:t>
      </w:r>
      <w:r>
        <w:rPr>
          <w:rFonts w:ascii="Arial" w:hAnsi="Arial" w:eastAsia="宋体" w:cs="宋体"/>
          <w:b/>
          <w:bCs/>
          <w:sz w:val="36"/>
          <w:szCs w:val="36"/>
        </w:rPr>
        <w:t>An Analysis from a Logistics Perspective</w:t>
      </w:r>
    </w:p>
    <w:p w14:paraId="18EE487E">
      <w:pPr>
        <w:jc w:val="right"/>
        <w:rPr>
          <w:rFonts w:ascii="Arial" w:hAnsi="Arial"/>
          <w:sz w:val="36"/>
          <w:szCs w:val="36"/>
        </w:rPr>
      </w:pPr>
    </w:p>
    <w:p w14:paraId="1776648D">
      <w:pPr>
        <w:rPr>
          <w:rFonts w:ascii="Arial" w:hAnsi="Arial"/>
        </w:rPr>
      </w:pPr>
    </w:p>
    <w:p w14:paraId="585120D9">
      <w:pPr>
        <w:rPr>
          <w:rFonts w:ascii="Arial" w:hAnsi="Arial"/>
        </w:rPr>
      </w:pPr>
    </w:p>
    <w:p w14:paraId="3B66080A">
      <w:pPr>
        <w:rPr>
          <w:rFonts w:ascii="Arial" w:hAnsi="Arial"/>
        </w:rPr>
      </w:pPr>
    </w:p>
    <w:p w14:paraId="544F2DFD">
      <w:pPr>
        <w:rPr>
          <w:rFonts w:ascii="Arial" w:hAnsi="Arial"/>
        </w:rPr>
      </w:pPr>
      <w:r>
        <w:rPr>
          <w:rFonts w:ascii="Arial" w:hAnsi="Arial" w:cs="Arial"/>
        </w:rPr>
        <mc:AlternateContent>
          <mc:Choice Requires="wps">
            <w:drawing>
              <wp:inline distT="0" distB="0" distL="114300" distR="114300">
                <wp:extent cx="5303520" cy="0"/>
                <wp:effectExtent l="0" t="9525" r="0" b="13335"/>
                <wp:docPr id="1" name="直接箭头连接符 1"/>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 id="_x0000_s1026" o:spid="_x0000_s1026" o:spt="32" type="#_x0000_t32" style="height:0pt;width:417.6pt;" filled="f" stroked="t" coordsize="21600,21600" o:gfxdata="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BIQd88AAAACAQAADwAAAAAAAAABACAAAAAiAAAAZHJzL2Rvd25yZXYueG1sUEsBAhQA&#10;FAAAAAgAh07iQCT06P77AQAA7QMAAA4AAAAAAAAAAQAgAAAAHgEAAGRycy9lMm9Eb2MueG1sUEsF&#10;BgAAAAAGAAYAWQEAAIsFAAAAAA==&#10;">
                <v:fill on="f" focussize="0,0"/>
                <v:stroke weight="1.5pt" color="#000000" joinstyle="round"/>
                <v:imagedata o:title=""/>
                <o:lock v:ext="edit" aspectratio="f"/>
                <w10:wrap type="none"/>
                <w10:anchorlock/>
              </v:shape>
            </w:pict>
          </mc:Fallback>
        </mc:AlternateContent>
      </w:r>
    </w:p>
    <w:p w14:paraId="7CA43240">
      <w:pPr>
        <w:rPr>
          <w:rFonts w:ascii="Arial" w:hAnsi="Arial"/>
        </w:rPr>
      </w:pPr>
    </w:p>
    <w:p w14:paraId="4228BE4E">
      <w:pPr>
        <w:rPr>
          <w:rFonts w:ascii="Arial" w:hAnsi="Arial"/>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14:paraId="30199652">
      <w:pPr>
        <w:jc w:val="left"/>
        <w:rPr>
          <w:rFonts w:ascii="Arial" w:hAnsi="Arial"/>
          <w:b/>
          <w:bCs/>
          <w:sz w:val="22"/>
          <w:szCs w:val="22"/>
        </w:rPr>
      </w:pPr>
      <w:r>
        <w:rPr>
          <w:rFonts w:ascii="Arial" w:hAnsi="Arial"/>
          <w:b/>
          <w:bCs/>
          <w:sz w:val="22"/>
          <w:szCs w:val="22"/>
        </w:rPr>
        <w:t>ABSTRACT</w:t>
      </w:r>
    </w:p>
    <w:p w14:paraId="60A8956A">
      <w:pPr>
        <w:rPr>
          <w:rFonts w:ascii="Arial" w:hAnsi="Arial"/>
          <w:sz w:val="20"/>
          <w:szCs w:val="20"/>
        </w:rPr>
      </w:pPr>
    </w:p>
    <w:p w14:paraId="3E78E43E">
      <w:pPr>
        <w:rPr>
          <w:rFonts w:ascii="Arial" w:hAnsi="Arial"/>
          <w:sz w:val="20"/>
          <w:szCs w:val="20"/>
        </w:rPr>
      </w:pPr>
      <w:r>
        <w:rPr>
          <w:rFonts w:hint="eastAsia" w:ascii="Arial" w:hAnsi="Arial"/>
          <w:b/>
          <w:bCs/>
          <w:sz w:val="20"/>
          <w:szCs w:val="20"/>
        </w:rPr>
        <w:t>Aims:</w:t>
      </w:r>
      <w:r>
        <w:rPr>
          <w:rFonts w:hint="eastAsia" w:ascii="Arial" w:hAnsi="Arial"/>
          <w:sz w:val="20"/>
          <w:szCs w:val="20"/>
        </w:rPr>
        <w:t>Through the analysis of logistics capabilities, this study provides a more concrete basis for selecting sample countries in the research on Sino-African trade issues.</w:t>
      </w:r>
    </w:p>
    <w:p w14:paraId="3ED8E51B">
      <w:pPr>
        <w:rPr>
          <w:rFonts w:ascii="Arial" w:hAnsi="Arial"/>
          <w:sz w:val="20"/>
          <w:szCs w:val="20"/>
        </w:rPr>
      </w:pPr>
      <w:r>
        <w:rPr>
          <w:rFonts w:hint="eastAsia" w:ascii="Arial" w:hAnsi="Arial"/>
          <w:b/>
          <w:bCs/>
          <w:sz w:val="20"/>
          <w:szCs w:val="20"/>
        </w:rPr>
        <w:t>Study design:</w:t>
      </w:r>
      <w:r>
        <w:rPr>
          <w:rFonts w:hint="eastAsia" w:ascii="Arial" w:hAnsi="Arial"/>
          <w:sz w:val="20"/>
          <w:szCs w:val="20"/>
        </w:rPr>
        <w:t>Using official data sources such as the United Nations, World Bank, International Monetary Fund ( IMF ), China National Knowledge Infrastructure ( CNKI ), and China Customs, this study adopts a logistics capability analysis perspective and selects African sample countries suitable for academic research, taking into account the structure of Sino-African trade.</w:t>
      </w:r>
    </w:p>
    <w:p w14:paraId="21DA1AB2">
      <w:pPr>
        <w:rPr>
          <w:rFonts w:ascii="Arial" w:hAnsi="Arial"/>
          <w:sz w:val="20"/>
          <w:szCs w:val="20"/>
        </w:rPr>
      </w:pPr>
      <w:r>
        <w:rPr>
          <w:rFonts w:ascii="Arial" w:hAnsi="Arial"/>
          <w:b/>
          <w:bCs/>
          <w:sz w:val="20"/>
          <w:szCs w:val="20"/>
        </w:rPr>
        <w:t>Place and Duration of Study:</w:t>
      </w:r>
      <w:r>
        <w:rPr>
          <w:rFonts w:ascii="Arial" w:hAnsi="Arial"/>
          <w:sz w:val="20"/>
          <w:szCs w:val="20"/>
        </w:rPr>
        <w:t>Sino-African trade data from 2015 to 2024, as recorded by China Customs.</w:t>
      </w:r>
    </w:p>
    <w:p w14:paraId="473EE8FE">
      <w:pPr>
        <w:rPr>
          <w:rFonts w:ascii="Arial" w:hAnsi="Arial"/>
          <w:sz w:val="20"/>
          <w:szCs w:val="20"/>
        </w:rPr>
      </w:pPr>
      <w:r>
        <w:rPr>
          <w:rFonts w:ascii="Arial" w:hAnsi="Arial"/>
          <w:b/>
          <w:bCs/>
          <w:sz w:val="20"/>
          <w:szCs w:val="20"/>
        </w:rPr>
        <w:t>Methodology:</w:t>
      </w:r>
      <w:r>
        <w:rPr>
          <w:rFonts w:ascii="Arial" w:hAnsi="Arial"/>
          <w:sz w:val="20"/>
          <w:szCs w:val="20"/>
        </w:rPr>
        <w:t>By analyzing the total trade value between China and Africa from 2015 to 2024, the top 10 countries in terms of total trade volume in each year are selected. Then, the frequency of occurrence in these countries is analyzed. Finally, the selected countries are confirmed by analyzing the level of logistics infrastructure in African countries.</w:t>
      </w:r>
    </w:p>
    <w:p w14:paraId="537D394E">
      <w:pPr>
        <w:rPr>
          <w:rFonts w:ascii="Arial" w:hAnsi="Arial"/>
          <w:sz w:val="20"/>
          <w:szCs w:val="20"/>
        </w:rPr>
      </w:pPr>
      <w:r>
        <w:rPr>
          <w:rFonts w:ascii="Arial" w:hAnsi="Arial"/>
          <w:b/>
          <w:bCs/>
          <w:sz w:val="20"/>
          <w:szCs w:val="20"/>
        </w:rPr>
        <w:t>Results:</w:t>
      </w:r>
      <w:r>
        <w:rPr>
          <w:rFonts w:ascii="Arial" w:hAnsi="Arial"/>
          <w:sz w:val="20"/>
          <w:szCs w:val="20"/>
        </w:rPr>
        <w:t>In the statistical data from 2015 to 2024, six countries—Ghana, South Africa, Egypt, Angola, Nigeria, and Algeria—appeared with a frequency of 10. The Democratic Republic of the Congo, Kenya, Tanzania, and Morocco appeared with frequencies of 9, 8, 6, and 5, respectively. The Republic of the Congo and Liberia appeared with a frequency of 3, while Guinea, Libya, and Ethiopia appeared with a frequency of 2.</w:t>
      </w:r>
    </w:p>
    <w:p w14:paraId="060C47CC">
      <w:pPr>
        <w:rPr>
          <w:rFonts w:ascii="Arial" w:hAnsi="Arial"/>
          <w:sz w:val="20"/>
          <w:szCs w:val="20"/>
        </w:rPr>
      </w:pPr>
      <w:r>
        <w:rPr>
          <w:rFonts w:ascii="Arial" w:hAnsi="Arial"/>
          <w:b/>
          <w:bCs/>
          <w:sz w:val="20"/>
          <w:szCs w:val="20"/>
        </w:rPr>
        <w:t>Conclusion:</w:t>
      </w:r>
      <w:r>
        <w:rPr>
          <w:rFonts w:ascii="Arial" w:hAnsi="Arial"/>
          <w:sz w:val="20"/>
          <w:szCs w:val="20"/>
        </w:rPr>
        <w:t>Ten countries – Ghana, South Africa, Egypt, Angola, Nigeria, Algeria, Democratic Republic of the Congo, Kenya, Tanzania and Morocco – are the most suitable countries for the sample. Among them, South Africa has the most outstanding capabilities in air transport and rail transport; Egypt has the most outstanding capabilities in container port transportation; Morocco is the most capable in liner shipping.</w:t>
      </w:r>
    </w:p>
    <w:p w14:paraId="202B0426">
      <w:pPr>
        <w:rPr>
          <w:rFonts w:ascii="Arial" w:hAnsi="Arial"/>
          <w:sz w:val="20"/>
          <w:szCs w:val="20"/>
        </w:rPr>
      </w:pPr>
    </w:p>
    <w:p w14:paraId="2D4AF1A2">
      <w:pPr>
        <w:rPr>
          <w:rFonts w:ascii="Arial" w:hAnsi="Arial"/>
          <w:i/>
          <w:iCs/>
          <w:sz w:val="20"/>
          <w:szCs w:val="20"/>
        </w:rPr>
      </w:pPr>
      <w:r>
        <w:rPr>
          <w:rFonts w:ascii="Arial" w:hAnsi="Arial"/>
          <w:i/>
          <w:iCs/>
          <w:sz w:val="20"/>
          <w:szCs w:val="20"/>
        </w:rPr>
        <w:t>Keywords:</w:t>
      </w:r>
      <w:r>
        <w:rPr>
          <w:rFonts w:hint="eastAsia" w:ascii="Arial" w:hAnsi="Arial"/>
          <w:i/>
          <w:iCs/>
          <w:sz w:val="20"/>
          <w:szCs w:val="20"/>
        </w:rPr>
        <w:t xml:space="preserve"> Sino-African;</w:t>
      </w:r>
      <w:r>
        <w:rPr>
          <w:rFonts w:ascii="Arial" w:hAnsi="Arial"/>
          <w:i/>
          <w:iCs/>
          <w:sz w:val="20"/>
          <w:szCs w:val="20"/>
        </w:rPr>
        <w:t xml:space="preserve"> Economy; International trade; Logistics; supply chain</w:t>
      </w:r>
    </w:p>
    <w:p w14:paraId="2C1FBCDF">
      <w:pPr>
        <w:rPr>
          <w:rFonts w:ascii="Arial" w:hAnsi="Arial"/>
          <w:sz w:val="20"/>
          <w:szCs w:val="20"/>
        </w:rPr>
      </w:pPr>
    </w:p>
    <w:p w14:paraId="589D8BE8">
      <w:pPr>
        <w:rPr>
          <w:rFonts w:ascii="Arial" w:hAnsi="Arial"/>
          <w:b/>
          <w:bCs/>
          <w:sz w:val="22"/>
          <w:szCs w:val="22"/>
        </w:rPr>
      </w:pPr>
      <w:r>
        <w:rPr>
          <w:rFonts w:ascii="Arial" w:hAnsi="Arial" w:cs="Arial"/>
          <w:b/>
          <w:bCs/>
          <w:sz w:val="22"/>
          <w:szCs w:val="22"/>
        </w:rPr>
        <w:t>1. INTRODUCTION</w:t>
      </w:r>
    </w:p>
    <w:p w14:paraId="2F0D1567">
      <w:pPr>
        <w:rPr>
          <w:rFonts w:ascii="Arial" w:hAnsi="Arial"/>
          <w:sz w:val="20"/>
          <w:szCs w:val="20"/>
        </w:rPr>
      </w:pPr>
      <w:r>
        <w:rPr>
          <w:rFonts w:ascii="Arial" w:hAnsi="Arial"/>
          <w:sz w:val="20"/>
          <w:szCs w:val="20"/>
        </w:rPr>
        <w:t>On September 4, 2024, at the Beijing Summit of the ninth Forum on China Africa cooperation, the president</w:t>
      </w:r>
      <w:r>
        <w:rPr>
          <w:rFonts w:hint="eastAsia" w:ascii="Arial" w:hAnsi="Arial"/>
          <w:sz w:val="20"/>
          <w:szCs w:val="20"/>
        </w:rPr>
        <w:t xml:space="preserve"> Jinping Xi</w:t>
      </w:r>
      <w:r>
        <w:rPr>
          <w:rFonts w:ascii="Arial" w:hAnsi="Arial"/>
          <w:sz w:val="20"/>
          <w:szCs w:val="20"/>
        </w:rPr>
        <w:t xml:space="preserve"> delivered a speech, saying that without the modernization of China and Africa, there would be no modernization of the world </w:t>
      </w:r>
      <w:r>
        <w:rPr>
          <w:rFonts w:hint="eastAsia" w:ascii="Arial" w:hAnsi="Arial"/>
          <w:sz w:val="20"/>
          <w:szCs w:val="20"/>
        </w:rPr>
        <w:t>(Xi, 2024)</w:t>
      </w:r>
      <w:r>
        <w:rPr>
          <w:rFonts w:ascii="Arial" w:hAnsi="Arial"/>
          <w:sz w:val="20"/>
          <w:szCs w:val="20"/>
        </w:rPr>
        <w:t>.</w:t>
      </w:r>
      <w:r>
        <w:rPr>
          <w:rFonts w:hint="eastAsia" w:ascii="Arial" w:hAnsi="Arial"/>
          <w:sz w:val="20"/>
          <w:szCs w:val="20"/>
        </w:rPr>
        <w:t xml:space="preserve"> </w:t>
      </w:r>
      <w:r>
        <w:rPr>
          <w:rFonts w:ascii="Arial" w:hAnsi="Arial"/>
          <w:sz w:val="20"/>
          <w:szCs w:val="20"/>
        </w:rPr>
        <w:t xml:space="preserve">At the world economic forum from January 20 to 24, 2025, Africa is considered to be the forefront of economic growth. With the deepening of economic and trade cooperation between China and African countries, domestic scholars' attention to China Africa economic and trade cooperation continues to rise, and relevant research continues to increase </w:t>
      </w:r>
      <w:r>
        <w:rPr>
          <w:rFonts w:hint="eastAsia" w:ascii="Arial" w:hAnsi="Arial"/>
          <w:sz w:val="20"/>
          <w:szCs w:val="20"/>
        </w:rPr>
        <w:t>(Mao, 2022)</w:t>
      </w:r>
      <w:r>
        <w:rPr>
          <w:rFonts w:ascii="Arial" w:hAnsi="Arial"/>
          <w:sz w:val="20"/>
          <w:szCs w:val="20"/>
        </w:rPr>
        <w:t>. The research scope has gradually expanded from the initial trade and investment fields to energy, agriculture, infrastructure, digital economy and other fields. Research in these areas not only helps to deepen China Africa economic and trade cooperation, but also provides strong support for the economic development of African countries. However, in the research of China Africa economic and trade cooperation, researchers on the one hand still focus on the research of macro policies, on the other hand, they mainly stay in the business environment of African countries, China Africa investment and other fields, and rarely explain the reasons for the selection of sample countries. In view of this, in order to ensure that the selected African countries in the future research can be well representative, the author decided to analyze African countries from the perspective of logistics and ultimately select the most representative African countries.</w:t>
      </w:r>
    </w:p>
    <w:p w14:paraId="23FAED42">
      <w:pPr>
        <w:rPr>
          <w:rFonts w:ascii="Arial" w:hAnsi="Arial"/>
          <w:sz w:val="20"/>
          <w:szCs w:val="20"/>
        </w:rPr>
      </w:pPr>
    </w:p>
    <w:p w14:paraId="6C6CB279">
      <w:pPr>
        <w:numPr>
          <w:ilvl w:val="0"/>
          <w:numId w:val="1"/>
        </w:numPr>
        <w:rPr>
          <w:rFonts w:ascii="Arial" w:hAnsi="Arial"/>
          <w:b/>
          <w:bCs/>
          <w:sz w:val="22"/>
          <w:szCs w:val="22"/>
        </w:rPr>
      </w:pPr>
      <w:r>
        <w:rPr>
          <w:rFonts w:hint="eastAsia" w:ascii="Arial" w:hAnsi="Arial"/>
          <w:b/>
          <w:bCs/>
          <w:sz w:val="22"/>
          <w:szCs w:val="22"/>
        </w:rPr>
        <w:t>THE CHOICE OF LOGISTICS PERSPECTIVE</w:t>
      </w:r>
    </w:p>
    <w:p w14:paraId="2107C053">
      <w:pPr>
        <w:rPr>
          <w:rFonts w:ascii="Arial" w:hAnsi="Arial"/>
          <w:sz w:val="20"/>
          <w:szCs w:val="20"/>
        </w:rPr>
      </w:pPr>
      <w:r>
        <w:rPr>
          <w:rFonts w:ascii="Arial" w:hAnsi="Arial"/>
          <w:sz w:val="20"/>
          <w:szCs w:val="20"/>
        </w:rPr>
        <w:t xml:space="preserve">Infrastructure construction is the cornerstone of Africa's development, and improving infrastructure is the common expectation and urgent desire of African countries </w:t>
      </w:r>
      <w:r>
        <w:rPr>
          <w:rFonts w:hint="eastAsia" w:ascii="Arial" w:hAnsi="Arial"/>
          <w:sz w:val="20"/>
          <w:szCs w:val="20"/>
        </w:rPr>
        <w:t>(Tong et al, 2024)</w:t>
      </w:r>
      <w:r>
        <w:rPr>
          <w:rFonts w:ascii="Arial" w:hAnsi="Arial"/>
          <w:sz w:val="20"/>
          <w:szCs w:val="20"/>
        </w:rPr>
        <w:t xml:space="preserve">. The 2025 Africa Energy Summit held in Tanzania highlighted the problem of power shortage faced by Africa. At present, expanding power supply is one of the most urgent challenges facing Africa's development. About 43% of the people on the African continent still have no access to reliable power supply. Over the past 20 years, China's development financial institutions and commercial banks have played an important role in financing energy infrastructure across the African continent. At the Beijing Summit of the Forum on China Africa Cooperation held in September 2024, China announced its support for Africa's implementation of 30 clean energy and green development projects. In addition to power generation investment, one third of China's investment is used for power grid expansion in Africa. As the "ballast stone" and "propeller" of China Africa relations </w:t>
      </w:r>
      <w:r>
        <w:rPr>
          <w:rFonts w:hint="eastAsia" w:ascii="Arial" w:hAnsi="Arial"/>
          <w:sz w:val="20"/>
          <w:szCs w:val="20"/>
        </w:rPr>
        <w:t>(Lin et al, 2024)</w:t>
      </w:r>
      <w:r>
        <w:rPr>
          <w:rFonts w:ascii="Arial" w:hAnsi="Arial"/>
          <w:sz w:val="20"/>
          <w:szCs w:val="20"/>
        </w:rPr>
        <w:t>, the importance of China Africa economic and trade cooperation is increasingly prominent. The foundation of economic and trade cooperation lies in the development level of logistics between China and African countries. International logistics, as a bridge and link connecting countries around the world, plays a fundamental and key role in today's diversified trade patterns.</w:t>
      </w:r>
    </w:p>
    <w:p w14:paraId="4169E713">
      <w:pPr>
        <w:rPr>
          <w:rFonts w:ascii="Arial" w:hAnsi="Arial"/>
          <w:sz w:val="20"/>
          <w:szCs w:val="20"/>
        </w:rPr>
      </w:pPr>
      <w:r>
        <w:rPr>
          <w:rFonts w:ascii="Arial" w:hAnsi="Arial"/>
          <w:sz w:val="20"/>
          <w:szCs w:val="20"/>
        </w:rPr>
        <w:t xml:space="preserve">With the development of cross-border e-commerce, the demand for international logistics and transportation between China and Africa continues to increase, and the air transportation of e-commerce goods has increased significantly. According to CAAC's 2023 statistical bulletin, by the end of 2023, China had signed 27 bilateral air transport agreements with African countries or regions, further improving transport efficiency and broadening China Africa's transport channels </w:t>
      </w:r>
      <w:r>
        <w:rPr>
          <w:rFonts w:hint="eastAsia" w:ascii="Arial" w:hAnsi="Arial"/>
          <w:sz w:val="20"/>
          <w:szCs w:val="20"/>
        </w:rPr>
        <w:t>(Tong et al, 2024)</w:t>
      </w:r>
      <w:r>
        <w:rPr>
          <w:rFonts w:ascii="Arial" w:hAnsi="Arial"/>
          <w:sz w:val="20"/>
          <w:szCs w:val="20"/>
        </w:rPr>
        <w:t>. Guided by the high-quality opening-up policy, China's cross-border logistics scale is continuously expanding, and the efficiency of cross-border transport and the level of multi-national intermodal transport are also continuously improving. From January to November in 2024, the import and export cargo volume supervised by China's customs reached 509.2034 million tons, an increase of 4.8% compared with last year. Among them, the import freight volume was 3309.985 million tons, up 3.9% year-on-year compared with last year; The export freight volume was 178.2048 million tons, up 6.4% year-on-year compared with last year. During the same period, the total number of inbound and outbound means of transport supervised by China's customs was 36380567 vehicles/vessel, an increase of 27.7% compared with last year. Among them, 30990339 inbound and outbound cars, 4224564 inbound and outbound trains, 365135 inbound and outbound ships, and 800529 inbound and outbound aircraft increased by 29.5%, 13.3%, 8.0% and 68.8% respectively year-on-year compared with last year (see Table 1).</w:t>
      </w:r>
    </w:p>
    <w:p w14:paraId="16D2A337">
      <w:pPr>
        <w:rPr>
          <w:rFonts w:ascii="Arial" w:hAnsi="Arial"/>
          <w:sz w:val="20"/>
          <w:szCs w:val="20"/>
        </w:rPr>
      </w:pPr>
    </w:p>
    <w:p w14:paraId="29CC2A42">
      <w:pPr>
        <w:rPr>
          <w:rFonts w:ascii="Arial" w:hAnsi="Arial"/>
          <w:b/>
          <w:bCs/>
          <w:sz w:val="20"/>
          <w:szCs w:val="20"/>
        </w:rPr>
      </w:pPr>
      <w:r>
        <w:rPr>
          <w:rFonts w:ascii="Arial" w:hAnsi="Arial"/>
          <w:b/>
          <w:bCs/>
          <w:sz w:val="20"/>
          <w:szCs w:val="20"/>
        </w:rPr>
        <w:t>Table 1</w:t>
      </w:r>
      <w:r>
        <w:rPr>
          <w:rFonts w:hint="eastAsia" w:ascii="Arial" w:hAnsi="Arial"/>
          <w:b/>
          <w:bCs/>
          <w:sz w:val="20"/>
          <w:szCs w:val="20"/>
        </w:rPr>
        <w:tab/>
      </w:r>
      <w:r>
        <w:rPr>
          <w:rFonts w:hint="eastAsia" w:ascii="Arial" w:hAnsi="Arial"/>
          <w:b/>
          <w:bCs/>
          <w:sz w:val="20"/>
          <w:szCs w:val="20"/>
        </w:rPr>
        <w:t>Statistical Express of China Customs Freight Supervision Business from January to November 2024</w:t>
      </w:r>
    </w:p>
    <w:p w14:paraId="187DDF13">
      <w:pPr>
        <w:rPr>
          <w:rFonts w:ascii="Arial" w:hAnsi="Arial"/>
          <w:b/>
          <w:bCs/>
          <w:sz w:val="20"/>
          <w:szCs w:val="20"/>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6"/>
        <w:gridCol w:w="1520"/>
        <w:gridCol w:w="1580"/>
        <w:gridCol w:w="1470"/>
        <w:gridCol w:w="996"/>
      </w:tblGrid>
      <w:tr w14:paraId="7B2F9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6" w:type="dxa"/>
            <w:vMerge w:val="restart"/>
            <w:tcBorders>
              <w:top w:val="single" w:color="auto" w:sz="12" w:space="0"/>
              <w:left w:val="nil"/>
              <w:bottom w:val="nil"/>
              <w:right w:val="nil"/>
            </w:tcBorders>
            <w:vAlign w:val="center"/>
          </w:tcPr>
          <w:p w14:paraId="2FE39F1D">
            <w:pPr>
              <w:jc w:val="center"/>
              <w:rPr>
                <w:rFonts w:ascii="Arial" w:hAnsi="Arial" w:cs="Arial"/>
                <w:b/>
                <w:bCs/>
                <w:sz w:val="20"/>
                <w:szCs w:val="20"/>
              </w:rPr>
            </w:pPr>
            <w:r>
              <w:rPr>
                <w:rFonts w:ascii="Arial" w:hAnsi="Arial" w:cs="Arial"/>
                <w:b/>
                <w:bCs/>
                <w:sz w:val="20"/>
                <w:szCs w:val="20"/>
              </w:rPr>
              <w:t>Indicator Name</w:t>
            </w:r>
          </w:p>
        </w:tc>
        <w:tc>
          <w:tcPr>
            <w:tcW w:w="1520" w:type="dxa"/>
            <w:vMerge w:val="restart"/>
            <w:tcBorders>
              <w:top w:val="single" w:color="auto" w:sz="12" w:space="0"/>
              <w:left w:val="nil"/>
              <w:bottom w:val="nil"/>
              <w:right w:val="nil"/>
            </w:tcBorders>
            <w:vAlign w:val="center"/>
          </w:tcPr>
          <w:p w14:paraId="4A5BF2C0">
            <w:pPr>
              <w:jc w:val="center"/>
              <w:rPr>
                <w:rFonts w:ascii="Arial" w:hAnsi="Arial" w:cs="Arial"/>
                <w:b/>
                <w:bCs/>
                <w:sz w:val="20"/>
                <w:szCs w:val="20"/>
              </w:rPr>
            </w:pPr>
            <w:r>
              <w:rPr>
                <w:rFonts w:ascii="Arial" w:hAnsi="Arial" w:cs="Arial"/>
                <w:b/>
                <w:bCs/>
                <w:sz w:val="20"/>
                <w:szCs w:val="20"/>
              </w:rPr>
              <w:t>Unit</w:t>
            </w:r>
          </w:p>
        </w:tc>
        <w:tc>
          <w:tcPr>
            <w:tcW w:w="4046" w:type="dxa"/>
            <w:gridSpan w:val="3"/>
            <w:tcBorders>
              <w:top w:val="single" w:color="auto" w:sz="12" w:space="0"/>
              <w:left w:val="nil"/>
              <w:bottom w:val="nil"/>
              <w:right w:val="nil"/>
            </w:tcBorders>
          </w:tcPr>
          <w:p w14:paraId="447C9A13">
            <w:pPr>
              <w:jc w:val="center"/>
              <w:rPr>
                <w:rFonts w:ascii="Arial" w:hAnsi="Arial" w:cs="Arial"/>
                <w:b/>
                <w:bCs/>
                <w:sz w:val="20"/>
                <w:szCs w:val="20"/>
              </w:rPr>
            </w:pPr>
            <w:r>
              <w:rPr>
                <w:rFonts w:ascii="Arial" w:hAnsi="Arial" w:cs="Arial"/>
                <w:b/>
                <w:bCs/>
                <w:sz w:val="20"/>
                <w:szCs w:val="20"/>
              </w:rPr>
              <w:t>Total volume from January to November</w:t>
            </w:r>
          </w:p>
        </w:tc>
      </w:tr>
      <w:tr w14:paraId="6C82D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6" w:type="dxa"/>
            <w:vMerge w:val="continue"/>
            <w:tcBorders>
              <w:top w:val="nil"/>
              <w:left w:val="nil"/>
              <w:bottom w:val="single" w:color="auto" w:sz="4" w:space="0"/>
              <w:right w:val="nil"/>
            </w:tcBorders>
          </w:tcPr>
          <w:p w14:paraId="6C5D0F60">
            <w:pPr>
              <w:jc w:val="center"/>
              <w:rPr>
                <w:rFonts w:ascii="Arial" w:hAnsi="Arial" w:cs="Arial"/>
                <w:b/>
                <w:bCs/>
                <w:sz w:val="20"/>
                <w:szCs w:val="20"/>
              </w:rPr>
            </w:pPr>
          </w:p>
        </w:tc>
        <w:tc>
          <w:tcPr>
            <w:tcW w:w="1520" w:type="dxa"/>
            <w:vMerge w:val="continue"/>
            <w:tcBorders>
              <w:top w:val="nil"/>
              <w:left w:val="nil"/>
              <w:bottom w:val="single" w:color="auto" w:sz="4" w:space="0"/>
              <w:right w:val="nil"/>
            </w:tcBorders>
          </w:tcPr>
          <w:p w14:paraId="4923D03C">
            <w:pPr>
              <w:jc w:val="center"/>
              <w:rPr>
                <w:rFonts w:ascii="Arial" w:hAnsi="Arial" w:cs="Arial"/>
                <w:b/>
                <w:bCs/>
                <w:sz w:val="20"/>
                <w:szCs w:val="20"/>
              </w:rPr>
            </w:pPr>
          </w:p>
        </w:tc>
        <w:tc>
          <w:tcPr>
            <w:tcW w:w="1580" w:type="dxa"/>
            <w:tcBorders>
              <w:top w:val="nil"/>
              <w:left w:val="nil"/>
              <w:bottom w:val="single" w:color="auto" w:sz="4" w:space="0"/>
              <w:right w:val="nil"/>
            </w:tcBorders>
          </w:tcPr>
          <w:p w14:paraId="7DF85919">
            <w:pPr>
              <w:jc w:val="center"/>
              <w:rPr>
                <w:rFonts w:ascii="Arial" w:hAnsi="Arial" w:cs="Arial"/>
                <w:b/>
                <w:bCs/>
                <w:sz w:val="20"/>
                <w:szCs w:val="20"/>
              </w:rPr>
            </w:pPr>
            <w:r>
              <w:rPr>
                <w:rFonts w:ascii="Arial" w:hAnsi="Arial" w:cs="Arial"/>
                <w:b/>
                <w:bCs/>
                <w:sz w:val="20"/>
                <w:szCs w:val="20"/>
              </w:rPr>
              <w:t>this year</w:t>
            </w:r>
          </w:p>
        </w:tc>
        <w:tc>
          <w:tcPr>
            <w:tcW w:w="1470" w:type="dxa"/>
            <w:tcBorders>
              <w:top w:val="nil"/>
              <w:left w:val="nil"/>
              <w:bottom w:val="single" w:color="auto" w:sz="4" w:space="0"/>
              <w:right w:val="nil"/>
            </w:tcBorders>
          </w:tcPr>
          <w:p w14:paraId="3B7F02FA">
            <w:pPr>
              <w:jc w:val="center"/>
              <w:rPr>
                <w:rFonts w:ascii="Arial" w:hAnsi="Arial" w:cs="Arial"/>
                <w:b/>
                <w:bCs/>
                <w:sz w:val="20"/>
                <w:szCs w:val="20"/>
              </w:rPr>
            </w:pPr>
            <w:r>
              <w:rPr>
                <w:rFonts w:ascii="Arial" w:hAnsi="Arial" w:cs="Arial"/>
                <w:b/>
                <w:bCs/>
                <w:sz w:val="20"/>
                <w:szCs w:val="20"/>
              </w:rPr>
              <w:t>Last year</w:t>
            </w:r>
          </w:p>
        </w:tc>
        <w:tc>
          <w:tcPr>
            <w:tcW w:w="996" w:type="dxa"/>
            <w:tcBorders>
              <w:top w:val="nil"/>
              <w:left w:val="nil"/>
              <w:bottom w:val="single" w:color="auto" w:sz="4" w:space="0"/>
              <w:right w:val="nil"/>
            </w:tcBorders>
          </w:tcPr>
          <w:p w14:paraId="12A20412">
            <w:pPr>
              <w:jc w:val="center"/>
              <w:rPr>
                <w:rFonts w:ascii="Arial" w:hAnsi="Arial" w:cs="Arial"/>
                <w:b/>
                <w:bCs/>
                <w:sz w:val="20"/>
                <w:szCs w:val="20"/>
              </w:rPr>
            </w:pPr>
            <w:r>
              <w:rPr>
                <w:rFonts w:ascii="Arial" w:hAnsi="Arial" w:cs="Arial"/>
                <w:b/>
                <w:bCs/>
                <w:sz w:val="20"/>
                <w:szCs w:val="20"/>
              </w:rPr>
              <w:t>±%</w:t>
            </w:r>
          </w:p>
        </w:tc>
      </w:tr>
      <w:tr w14:paraId="048E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6" w:type="dxa"/>
            <w:tcBorders>
              <w:top w:val="single" w:color="auto" w:sz="4" w:space="0"/>
              <w:left w:val="nil"/>
              <w:bottom w:val="nil"/>
              <w:right w:val="nil"/>
            </w:tcBorders>
            <w:shd w:val="clear" w:color="auto" w:fill="E7E6E6" w:themeFill="background2"/>
          </w:tcPr>
          <w:p w14:paraId="71D04A2F">
            <w:pPr>
              <w:jc w:val="center"/>
              <w:rPr>
                <w:rFonts w:ascii="Arial" w:hAnsi="Arial" w:cs="Arial"/>
                <w:sz w:val="20"/>
                <w:szCs w:val="20"/>
              </w:rPr>
            </w:pPr>
            <w:r>
              <w:rPr>
                <w:rFonts w:ascii="Arial" w:hAnsi="Arial" w:cs="Arial"/>
                <w:sz w:val="20"/>
                <w:szCs w:val="20"/>
              </w:rPr>
              <w:t>Import and export freight volume</w:t>
            </w:r>
          </w:p>
        </w:tc>
        <w:tc>
          <w:tcPr>
            <w:tcW w:w="1520" w:type="dxa"/>
            <w:tcBorders>
              <w:top w:val="single" w:color="auto" w:sz="4" w:space="0"/>
              <w:left w:val="nil"/>
              <w:bottom w:val="nil"/>
              <w:right w:val="nil"/>
            </w:tcBorders>
            <w:shd w:val="clear" w:color="auto" w:fill="E7E6E6" w:themeFill="background2"/>
            <w:vAlign w:val="center"/>
          </w:tcPr>
          <w:p w14:paraId="5EBAE722">
            <w:pPr>
              <w:jc w:val="center"/>
              <w:rPr>
                <w:rFonts w:ascii="Arial" w:hAnsi="Arial" w:cs="Arial"/>
                <w:sz w:val="20"/>
                <w:szCs w:val="20"/>
              </w:rPr>
            </w:pPr>
            <w:r>
              <w:rPr>
                <w:rFonts w:ascii="Arial" w:hAnsi="Arial" w:cs="Arial"/>
                <w:sz w:val="20"/>
                <w:szCs w:val="20"/>
              </w:rPr>
              <w:t>10000 tons</w:t>
            </w:r>
          </w:p>
        </w:tc>
        <w:tc>
          <w:tcPr>
            <w:tcW w:w="1580" w:type="dxa"/>
            <w:tcBorders>
              <w:top w:val="single" w:color="auto" w:sz="4" w:space="0"/>
              <w:left w:val="nil"/>
              <w:bottom w:val="nil"/>
              <w:right w:val="nil"/>
            </w:tcBorders>
            <w:shd w:val="clear" w:color="auto" w:fill="E7E6E6" w:themeFill="background2"/>
            <w:vAlign w:val="center"/>
          </w:tcPr>
          <w:p w14:paraId="4341D925">
            <w:pPr>
              <w:jc w:val="center"/>
              <w:rPr>
                <w:rFonts w:ascii="Arial" w:hAnsi="Arial" w:cs="Arial"/>
                <w:sz w:val="20"/>
                <w:szCs w:val="20"/>
              </w:rPr>
            </w:pPr>
            <w:r>
              <w:rPr>
                <w:rFonts w:ascii="Arial" w:hAnsi="Arial" w:cs="Arial"/>
                <w:sz w:val="20"/>
                <w:szCs w:val="20"/>
              </w:rPr>
              <w:t>509203.4</w:t>
            </w:r>
          </w:p>
        </w:tc>
        <w:tc>
          <w:tcPr>
            <w:tcW w:w="1470" w:type="dxa"/>
            <w:tcBorders>
              <w:top w:val="single" w:color="auto" w:sz="4" w:space="0"/>
              <w:left w:val="nil"/>
              <w:bottom w:val="nil"/>
              <w:right w:val="nil"/>
            </w:tcBorders>
            <w:shd w:val="clear" w:color="auto" w:fill="E7E6E6" w:themeFill="background2"/>
            <w:vAlign w:val="center"/>
          </w:tcPr>
          <w:p w14:paraId="50343975">
            <w:pPr>
              <w:jc w:val="center"/>
              <w:rPr>
                <w:rFonts w:ascii="Arial" w:hAnsi="Arial" w:cs="Arial"/>
                <w:sz w:val="20"/>
                <w:szCs w:val="20"/>
              </w:rPr>
            </w:pPr>
            <w:r>
              <w:rPr>
                <w:rFonts w:ascii="Arial" w:hAnsi="Arial" w:cs="Arial"/>
                <w:sz w:val="20"/>
                <w:szCs w:val="20"/>
              </w:rPr>
              <w:t>486096.3</w:t>
            </w:r>
          </w:p>
        </w:tc>
        <w:tc>
          <w:tcPr>
            <w:tcW w:w="996" w:type="dxa"/>
            <w:tcBorders>
              <w:top w:val="single" w:color="auto" w:sz="4" w:space="0"/>
              <w:left w:val="nil"/>
              <w:bottom w:val="nil"/>
              <w:right w:val="nil"/>
            </w:tcBorders>
            <w:shd w:val="clear" w:color="auto" w:fill="E7E6E6" w:themeFill="background2"/>
            <w:vAlign w:val="center"/>
          </w:tcPr>
          <w:p w14:paraId="7E8D0F3F">
            <w:pPr>
              <w:jc w:val="center"/>
              <w:rPr>
                <w:rFonts w:ascii="Arial" w:hAnsi="Arial" w:cs="Arial"/>
                <w:sz w:val="20"/>
                <w:szCs w:val="20"/>
              </w:rPr>
            </w:pPr>
            <w:r>
              <w:rPr>
                <w:rFonts w:ascii="Arial" w:hAnsi="Arial" w:cs="Arial"/>
                <w:sz w:val="20"/>
                <w:szCs w:val="20"/>
              </w:rPr>
              <w:t>4.8</w:t>
            </w:r>
          </w:p>
        </w:tc>
      </w:tr>
      <w:tr w14:paraId="79F1E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6" w:type="dxa"/>
            <w:tcBorders>
              <w:top w:val="nil"/>
              <w:left w:val="nil"/>
              <w:bottom w:val="nil"/>
              <w:right w:val="nil"/>
            </w:tcBorders>
          </w:tcPr>
          <w:p w14:paraId="79CB2CEC">
            <w:pPr>
              <w:jc w:val="center"/>
              <w:rPr>
                <w:rFonts w:ascii="Arial" w:hAnsi="Arial" w:cs="Arial"/>
                <w:sz w:val="20"/>
                <w:szCs w:val="20"/>
              </w:rPr>
            </w:pPr>
            <w:r>
              <w:rPr>
                <w:rFonts w:ascii="Arial" w:hAnsi="Arial" w:cs="Arial"/>
                <w:sz w:val="20"/>
                <w:szCs w:val="20"/>
              </w:rPr>
              <w:t>import</w:t>
            </w:r>
          </w:p>
        </w:tc>
        <w:tc>
          <w:tcPr>
            <w:tcW w:w="1520" w:type="dxa"/>
            <w:tcBorders>
              <w:top w:val="nil"/>
              <w:left w:val="nil"/>
              <w:bottom w:val="nil"/>
              <w:right w:val="nil"/>
            </w:tcBorders>
            <w:vAlign w:val="center"/>
          </w:tcPr>
          <w:p w14:paraId="02875A2A">
            <w:pPr>
              <w:jc w:val="center"/>
              <w:rPr>
                <w:rFonts w:ascii="Arial" w:hAnsi="Arial" w:cs="Arial"/>
                <w:sz w:val="20"/>
                <w:szCs w:val="20"/>
              </w:rPr>
            </w:pPr>
            <w:r>
              <w:rPr>
                <w:rFonts w:ascii="Arial" w:hAnsi="Arial" w:cs="Arial"/>
                <w:sz w:val="20"/>
                <w:szCs w:val="20"/>
              </w:rPr>
              <w:t>10000 tons</w:t>
            </w:r>
          </w:p>
        </w:tc>
        <w:tc>
          <w:tcPr>
            <w:tcW w:w="1580" w:type="dxa"/>
            <w:tcBorders>
              <w:top w:val="nil"/>
              <w:left w:val="nil"/>
              <w:bottom w:val="nil"/>
              <w:right w:val="nil"/>
            </w:tcBorders>
          </w:tcPr>
          <w:p w14:paraId="1D9ABDA0">
            <w:pPr>
              <w:jc w:val="center"/>
              <w:rPr>
                <w:rFonts w:ascii="Arial" w:hAnsi="Arial" w:cs="Arial"/>
                <w:sz w:val="20"/>
                <w:szCs w:val="20"/>
              </w:rPr>
            </w:pPr>
            <w:r>
              <w:rPr>
                <w:rFonts w:ascii="Arial" w:hAnsi="Arial" w:cs="Arial"/>
                <w:sz w:val="20"/>
                <w:szCs w:val="20"/>
              </w:rPr>
              <w:t>330998.5</w:t>
            </w:r>
          </w:p>
        </w:tc>
        <w:tc>
          <w:tcPr>
            <w:tcW w:w="1470" w:type="dxa"/>
            <w:tcBorders>
              <w:top w:val="nil"/>
              <w:left w:val="nil"/>
              <w:bottom w:val="nil"/>
              <w:right w:val="nil"/>
            </w:tcBorders>
          </w:tcPr>
          <w:p w14:paraId="546957BA">
            <w:pPr>
              <w:jc w:val="center"/>
              <w:rPr>
                <w:rFonts w:ascii="Arial" w:hAnsi="Arial" w:cs="Arial"/>
                <w:sz w:val="20"/>
                <w:szCs w:val="20"/>
              </w:rPr>
            </w:pPr>
            <w:r>
              <w:rPr>
                <w:rFonts w:ascii="Arial" w:hAnsi="Arial" w:cs="Arial"/>
                <w:sz w:val="20"/>
                <w:szCs w:val="20"/>
              </w:rPr>
              <w:t>318636.7</w:t>
            </w:r>
          </w:p>
        </w:tc>
        <w:tc>
          <w:tcPr>
            <w:tcW w:w="996" w:type="dxa"/>
            <w:tcBorders>
              <w:top w:val="nil"/>
              <w:left w:val="nil"/>
              <w:bottom w:val="nil"/>
              <w:right w:val="nil"/>
            </w:tcBorders>
          </w:tcPr>
          <w:p w14:paraId="685758AE">
            <w:pPr>
              <w:jc w:val="center"/>
              <w:rPr>
                <w:rFonts w:ascii="Arial" w:hAnsi="Arial" w:cs="Arial"/>
                <w:sz w:val="20"/>
                <w:szCs w:val="20"/>
              </w:rPr>
            </w:pPr>
            <w:r>
              <w:rPr>
                <w:rFonts w:ascii="Arial" w:hAnsi="Arial" w:cs="Arial"/>
                <w:sz w:val="20"/>
                <w:szCs w:val="20"/>
              </w:rPr>
              <w:t>3.9</w:t>
            </w:r>
          </w:p>
        </w:tc>
      </w:tr>
      <w:tr w14:paraId="2565B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6" w:type="dxa"/>
            <w:tcBorders>
              <w:top w:val="nil"/>
              <w:left w:val="nil"/>
              <w:bottom w:val="nil"/>
              <w:right w:val="nil"/>
            </w:tcBorders>
          </w:tcPr>
          <w:p w14:paraId="50BBEC15">
            <w:pPr>
              <w:jc w:val="center"/>
              <w:rPr>
                <w:rFonts w:ascii="Arial" w:hAnsi="Arial" w:cs="Arial"/>
                <w:sz w:val="20"/>
                <w:szCs w:val="20"/>
              </w:rPr>
            </w:pPr>
            <w:r>
              <w:rPr>
                <w:rFonts w:ascii="Arial" w:hAnsi="Arial" w:cs="Arial"/>
                <w:sz w:val="20"/>
                <w:szCs w:val="20"/>
              </w:rPr>
              <w:t>export</w:t>
            </w:r>
          </w:p>
        </w:tc>
        <w:tc>
          <w:tcPr>
            <w:tcW w:w="1520" w:type="dxa"/>
            <w:tcBorders>
              <w:top w:val="nil"/>
              <w:left w:val="nil"/>
              <w:bottom w:val="nil"/>
              <w:right w:val="nil"/>
            </w:tcBorders>
            <w:vAlign w:val="center"/>
          </w:tcPr>
          <w:p w14:paraId="545CC55C">
            <w:pPr>
              <w:jc w:val="center"/>
              <w:rPr>
                <w:rFonts w:ascii="Arial" w:hAnsi="Arial" w:cs="Arial"/>
                <w:sz w:val="20"/>
                <w:szCs w:val="20"/>
              </w:rPr>
            </w:pPr>
            <w:r>
              <w:rPr>
                <w:rFonts w:ascii="Arial" w:hAnsi="Arial" w:cs="Arial"/>
                <w:sz w:val="20"/>
                <w:szCs w:val="20"/>
              </w:rPr>
              <w:t>10000 tons</w:t>
            </w:r>
          </w:p>
        </w:tc>
        <w:tc>
          <w:tcPr>
            <w:tcW w:w="1580" w:type="dxa"/>
            <w:tcBorders>
              <w:top w:val="nil"/>
              <w:left w:val="nil"/>
              <w:bottom w:val="nil"/>
              <w:right w:val="nil"/>
            </w:tcBorders>
          </w:tcPr>
          <w:p w14:paraId="060C2B33">
            <w:pPr>
              <w:jc w:val="center"/>
              <w:rPr>
                <w:rFonts w:ascii="Arial" w:hAnsi="Arial" w:cs="Arial"/>
                <w:sz w:val="20"/>
                <w:szCs w:val="20"/>
              </w:rPr>
            </w:pPr>
            <w:r>
              <w:rPr>
                <w:rFonts w:ascii="Arial" w:hAnsi="Arial" w:cs="Arial"/>
                <w:sz w:val="20"/>
                <w:szCs w:val="20"/>
              </w:rPr>
              <w:t>178204.8</w:t>
            </w:r>
          </w:p>
        </w:tc>
        <w:tc>
          <w:tcPr>
            <w:tcW w:w="1470" w:type="dxa"/>
            <w:tcBorders>
              <w:top w:val="nil"/>
              <w:left w:val="nil"/>
              <w:bottom w:val="nil"/>
              <w:right w:val="nil"/>
            </w:tcBorders>
          </w:tcPr>
          <w:p w14:paraId="1BE1EFAA">
            <w:pPr>
              <w:jc w:val="center"/>
              <w:rPr>
                <w:rFonts w:ascii="Arial" w:hAnsi="Arial" w:cs="Arial"/>
                <w:sz w:val="20"/>
                <w:szCs w:val="20"/>
              </w:rPr>
            </w:pPr>
            <w:r>
              <w:rPr>
                <w:rFonts w:ascii="Arial" w:hAnsi="Arial" w:cs="Arial"/>
                <w:sz w:val="20"/>
                <w:szCs w:val="20"/>
              </w:rPr>
              <w:t>167459.6</w:t>
            </w:r>
          </w:p>
        </w:tc>
        <w:tc>
          <w:tcPr>
            <w:tcW w:w="996" w:type="dxa"/>
            <w:tcBorders>
              <w:top w:val="nil"/>
              <w:left w:val="nil"/>
              <w:bottom w:val="nil"/>
              <w:right w:val="nil"/>
            </w:tcBorders>
          </w:tcPr>
          <w:p w14:paraId="45B3FFB6">
            <w:pPr>
              <w:jc w:val="center"/>
              <w:rPr>
                <w:rFonts w:ascii="Arial" w:hAnsi="Arial" w:cs="Arial"/>
                <w:sz w:val="20"/>
                <w:szCs w:val="20"/>
              </w:rPr>
            </w:pPr>
            <w:r>
              <w:rPr>
                <w:rFonts w:ascii="Arial" w:hAnsi="Arial" w:cs="Arial"/>
                <w:sz w:val="20"/>
                <w:szCs w:val="20"/>
              </w:rPr>
              <w:t>6.4</w:t>
            </w:r>
          </w:p>
        </w:tc>
      </w:tr>
      <w:tr w14:paraId="4A58F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6" w:type="dxa"/>
            <w:tcBorders>
              <w:top w:val="nil"/>
              <w:left w:val="nil"/>
              <w:bottom w:val="nil"/>
              <w:right w:val="nil"/>
            </w:tcBorders>
            <w:shd w:val="clear" w:color="auto" w:fill="E7E6E6" w:themeFill="background2"/>
          </w:tcPr>
          <w:p w14:paraId="492C22C0">
            <w:pPr>
              <w:jc w:val="center"/>
              <w:rPr>
                <w:rFonts w:ascii="Arial" w:hAnsi="Arial" w:cs="Arial"/>
                <w:sz w:val="20"/>
                <w:szCs w:val="20"/>
              </w:rPr>
            </w:pPr>
            <w:r>
              <w:rPr>
                <w:rFonts w:ascii="Arial" w:hAnsi="Arial" w:cs="Arial"/>
                <w:sz w:val="20"/>
                <w:szCs w:val="20"/>
              </w:rPr>
              <w:t>Total number of inbound and outbound means of transport</w:t>
            </w:r>
          </w:p>
        </w:tc>
        <w:tc>
          <w:tcPr>
            <w:tcW w:w="1520" w:type="dxa"/>
            <w:tcBorders>
              <w:top w:val="nil"/>
              <w:left w:val="nil"/>
              <w:bottom w:val="nil"/>
              <w:right w:val="nil"/>
            </w:tcBorders>
            <w:shd w:val="clear" w:color="auto" w:fill="E7E6E6" w:themeFill="background2"/>
            <w:vAlign w:val="center"/>
          </w:tcPr>
          <w:p w14:paraId="3D3DEB5A">
            <w:pPr>
              <w:jc w:val="center"/>
              <w:rPr>
                <w:rFonts w:ascii="Arial" w:hAnsi="Arial" w:cs="Arial"/>
                <w:sz w:val="20"/>
                <w:szCs w:val="20"/>
              </w:rPr>
            </w:pPr>
            <w:r>
              <w:rPr>
                <w:rFonts w:ascii="Arial" w:hAnsi="Arial" w:cs="Arial"/>
                <w:sz w:val="20"/>
                <w:szCs w:val="20"/>
              </w:rPr>
              <w:t>Vehicle/vessel</w:t>
            </w:r>
          </w:p>
        </w:tc>
        <w:tc>
          <w:tcPr>
            <w:tcW w:w="1580" w:type="dxa"/>
            <w:tcBorders>
              <w:top w:val="nil"/>
              <w:left w:val="nil"/>
              <w:bottom w:val="nil"/>
              <w:right w:val="nil"/>
            </w:tcBorders>
            <w:shd w:val="clear" w:color="auto" w:fill="E7E6E6" w:themeFill="background2"/>
            <w:vAlign w:val="center"/>
          </w:tcPr>
          <w:p w14:paraId="0B7AC01A">
            <w:pPr>
              <w:jc w:val="center"/>
              <w:rPr>
                <w:rFonts w:ascii="Arial" w:hAnsi="Arial" w:cs="Arial"/>
                <w:sz w:val="20"/>
                <w:szCs w:val="20"/>
              </w:rPr>
            </w:pPr>
            <w:r>
              <w:rPr>
                <w:rFonts w:ascii="Arial" w:hAnsi="Arial" w:cs="Arial"/>
                <w:sz w:val="20"/>
                <w:szCs w:val="20"/>
              </w:rPr>
              <w:t>36380567</w:t>
            </w:r>
          </w:p>
        </w:tc>
        <w:tc>
          <w:tcPr>
            <w:tcW w:w="1470" w:type="dxa"/>
            <w:tcBorders>
              <w:top w:val="nil"/>
              <w:left w:val="nil"/>
              <w:bottom w:val="nil"/>
              <w:right w:val="nil"/>
            </w:tcBorders>
            <w:shd w:val="clear" w:color="auto" w:fill="E7E6E6" w:themeFill="background2"/>
            <w:vAlign w:val="center"/>
          </w:tcPr>
          <w:p w14:paraId="7F286834">
            <w:pPr>
              <w:jc w:val="center"/>
              <w:rPr>
                <w:rFonts w:ascii="Arial" w:hAnsi="Arial" w:cs="Arial"/>
                <w:sz w:val="20"/>
                <w:szCs w:val="20"/>
              </w:rPr>
            </w:pPr>
            <w:r>
              <w:rPr>
                <w:rFonts w:ascii="Arial" w:hAnsi="Arial" w:cs="Arial"/>
                <w:sz w:val="20"/>
                <w:szCs w:val="20"/>
              </w:rPr>
              <w:t>28478775</w:t>
            </w:r>
          </w:p>
        </w:tc>
        <w:tc>
          <w:tcPr>
            <w:tcW w:w="996" w:type="dxa"/>
            <w:tcBorders>
              <w:top w:val="nil"/>
              <w:left w:val="nil"/>
              <w:bottom w:val="nil"/>
              <w:right w:val="nil"/>
            </w:tcBorders>
            <w:shd w:val="clear" w:color="auto" w:fill="E7E6E6" w:themeFill="background2"/>
            <w:vAlign w:val="center"/>
          </w:tcPr>
          <w:p w14:paraId="4C328D06">
            <w:pPr>
              <w:jc w:val="center"/>
              <w:rPr>
                <w:rFonts w:ascii="Arial" w:hAnsi="Arial" w:cs="Arial"/>
                <w:sz w:val="20"/>
                <w:szCs w:val="20"/>
              </w:rPr>
            </w:pPr>
            <w:r>
              <w:rPr>
                <w:rFonts w:ascii="Arial" w:hAnsi="Arial" w:cs="Arial"/>
                <w:sz w:val="20"/>
                <w:szCs w:val="20"/>
              </w:rPr>
              <w:t>27.7</w:t>
            </w:r>
          </w:p>
        </w:tc>
      </w:tr>
      <w:tr w14:paraId="4FAE6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6" w:type="dxa"/>
            <w:tcBorders>
              <w:top w:val="nil"/>
              <w:left w:val="nil"/>
              <w:bottom w:val="nil"/>
              <w:right w:val="nil"/>
            </w:tcBorders>
          </w:tcPr>
          <w:p w14:paraId="52C90150">
            <w:pPr>
              <w:jc w:val="center"/>
              <w:rPr>
                <w:rFonts w:ascii="Arial" w:hAnsi="Arial" w:cs="Arial"/>
                <w:sz w:val="20"/>
                <w:szCs w:val="20"/>
              </w:rPr>
            </w:pPr>
            <w:r>
              <w:rPr>
                <w:rFonts w:ascii="Arial" w:hAnsi="Arial" w:cs="Arial"/>
                <w:sz w:val="20"/>
                <w:szCs w:val="20"/>
              </w:rPr>
              <w:t>vehicles</w:t>
            </w:r>
          </w:p>
        </w:tc>
        <w:tc>
          <w:tcPr>
            <w:tcW w:w="1520" w:type="dxa"/>
            <w:tcBorders>
              <w:top w:val="nil"/>
              <w:left w:val="nil"/>
              <w:bottom w:val="nil"/>
              <w:right w:val="nil"/>
            </w:tcBorders>
            <w:vAlign w:val="center"/>
          </w:tcPr>
          <w:p w14:paraId="04444E6E">
            <w:pPr>
              <w:jc w:val="center"/>
              <w:rPr>
                <w:rFonts w:ascii="Arial" w:hAnsi="Arial" w:cs="Arial"/>
                <w:sz w:val="20"/>
                <w:szCs w:val="20"/>
              </w:rPr>
            </w:pPr>
            <w:r>
              <w:rPr>
                <w:rFonts w:ascii="Arial" w:hAnsi="Arial" w:cs="Arial"/>
                <w:sz w:val="20"/>
                <w:szCs w:val="20"/>
              </w:rPr>
              <w:t>Vehicle</w:t>
            </w:r>
          </w:p>
        </w:tc>
        <w:tc>
          <w:tcPr>
            <w:tcW w:w="1580" w:type="dxa"/>
            <w:tcBorders>
              <w:top w:val="nil"/>
              <w:left w:val="nil"/>
              <w:bottom w:val="nil"/>
              <w:right w:val="nil"/>
            </w:tcBorders>
          </w:tcPr>
          <w:p w14:paraId="4B8188CF">
            <w:pPr>
              <w:jc w:val="center"/>
              <w:rPr>
                <w:rFonts w:ascii="Arial" w:hAnsi="Arial" w:cs="Arial"/>
                <w:sz w:val="20"/>
                <w:szCs w:val="20"/>
              </w:rPr>
            </w:pPr>
            <w:r>
              <w:rPr>
                <w:rFonts w:ascii="Arial" w:hAnsi="Arial" w:cs="Arial"/>
                <w:sz w:val="20"/>
                <w:szCs w:val="20"/>
              </w:rPr>
              <w:t>30990339</w:t>
            </w:r>
          </w:p>
        </w:tc>
        <w:tc>
          <w:tcPr>
            <w:tcW w:w="1470" w:type="dxa"/>
            <w:tcBorders>
              <w:top w:val="nil"/>
              <w:left w:val="nil"/>
              <w:bottom w:val="nil"/>
              <w:right w:val="nil"/>
            </w:tcBorders>
          </w:tcPr>
          <w:p w14:paraId="436A458A">
            <w:pPr>
              <w:jc w:val="center"/>
              <w:rPr>
                <w:rFonts w:ascii="Arial" w:hAnsi="Arial" w:cs="Arial"/>
                <w:sz w:val="20"/>
                <w:szCs w:val="20"/>
              </w:rPr>
            </w:pPr>
            <w:r>
              <w:rPr>
                <w:rFonts w:ascii="Arial" w:hAnsi="Arial" w:cs="Arial"/>
                <w:sz w:val="20"/>
                <w:szCs w:val="20"/>
              </w:rPr>
              <w:t>23937786</w:t>
            </w:r>
          </w:p>
        </w:tc>
        <w:tc>
          <w:tcPr>
            <w:tcW w:w="996" w:type="dxa"/>
            <w:tcBorders>
              <w:top w:val="nil"/>
              <w:left w:val="nil"/>
              <w:bottom w:val="nil"/>
              <w:right w:val="nil"/>
            </w:tcBorders>
          </w:tcPr>
          <w:p w14:paraId="5EFA9EE4">
            <w:pPr>
              <w:jc w:val="center"/>
              <w:rPr>
                <w:rFonts w:ascii="Arial" w:hAnsi="Arial" w:cs="Arial"/>
                <w:sz w:val="20"/>
                <w:szCs w:val="20"/>
              </w:rPr>
            </w:pPr>
            <w:r>
              <w:rPr>
                <w:rFonts w:ascii="Arial" w:hAnsi="Arial" w:cs="Arial"/>
                <w:sz w:val="20"/>
                <w:szCs w:val="20"/>
              </w:rPr>
              <w:t>29.5</w:t>
            </w:r>
          </w:p>
        </w:tc>
      </w:tr>
      <w:tr w14:paraId="045BF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6" w:type="dxa"/>
            <w:tcBorders>
              <w:top w:val="nil"/>
              <w:left w:val="nil"/>
              <w:bottom w:val="nil"/>
              <w:right w:val="nil"/>
            </w:tcBorders>
          </w:tcPr>
          <w:p w14:paraId="72082ABD">
            <w:pPr>
              <w:jc w:val="center"/>
              <w:rPr>
                <w:rFonts w:ascii="Arial" w:hAnsi="Arial" w:cs="Arial"/>
                <w:sz w:val="20"/>
                <w:szCs w:val="20"/>
              </w:rPr>
            </w:pPr>
            <w:r>
              <w:rPr>
                <w:rFonts w:ascii="Arial" w:hAnsi="Arial" w:cs="Arial"/>
                <w:sz w:val="20"/>
                <w:szCs w:val="20"/>
              </w:rPr>
              <w:t>trains</w:t>
            </w:r>
          </w:p>
        </w:tc>
        <w:tc>
          <w:tcPr>
            <w:tcW w:w="1520" w:type="dxa"/>
            <w:tcBorders>
              <w:top w:val="nil"/>
              <w:left w:val="nil"/>
              <w:bottom w:val="nil"/>
              <w:right w:val="nil"/>
            </w:tcBorders>
            <w:vAlign w:val="center"/>
          </w:tcPr>
          <w:p w14:paraId="3E5C807B">
            <w:pPr>
              <w:jc w:val="center"/>
              <w:rPr>
                <w:rFonts w:ascii="Arial" w:hAnsi="Arial" w:cs="Arial"/>
                <w:sz w:val="20"/>
                <w:szCs w:val="20"/>
              </w:rPr>
            </w:pPr>
            <w:r>
              <w:rPr>
                <w:rFonts w:ascii="Arial" w:hAnsi="Arial" w:cs="Arial"/>
                <w:sz w:val="20"/>
                <w:szCs w:val="20"/>
              </w:rPr>
              <w:t>section</w:t>
            </w:r>
          </w:p>
        </w:tc>
        <w:tc>
          <w:tcPr>
            <w:tcW w:w="1580" w:type="dxa"/>
            <w:tcBorders>
              <w:top w:val="nil"/>
              <w:left w:val="nil"/>
              <w:bottom w:val="nil"/>
              <w:right w:val="nil"/>
            </w:tcBorders>
          </w:tcPr>
          <w:p w14:paraId="7DB9D735">
            <w:pPr>
              <w:jc w:val="center"/>
              <w:rPr>
                <w:rFonts w:ascii="Arial" w:hAnsi="Arial" w:cs="Arial"/>
                <w:sz w:val="20"/>
                <w:szCs w:val="20"/>
              </w:rPr>
            </w:pPr>
            <w:r>
              <w:rPr>
                <w:rFonts w:ascii="Arial" w:hAnsi="Arial" w:cs="Arial"/>
                <w:sz w:val="20"/>
                <w:szCs w:val="20"/>
              </w:rPr>
              <w:t>4224564</w:t>
            </w:r>
          </w:p>
        </w:tc>
        <w:tc>
          <w:tcPr>
            <w:tcW w:w="1470" w:type="dxa"/>
            <w:tcBorders>
              <w:top w:val="nil"/>
              <w:left w:val="nil"/>
              <w:bottom w:val="nil"/>
              <w:right w:val="nil"/>
            </w:tcBorders>
          </w:tcPr>
          <w:p w14:paraId="5D81F501">
            <w:pPr>
              <w:jc w:val="center"/>
              <w:rPr>
                <w:rFonts w:ascii="Arial" w:hAnsi="Arial" w:cs="Arial"/>
                <w:sz w:val="20"/>
                <w:szCs w:val="20"/>
              </w:rPr>
            </w:pPr>
            <w:r>
              <w:rPr>
                <w:rFonts w:ascii="Arial" w:hAnsi="Arial" w:cs="Arial"/>
                <w:sz w:val="20"/>
                <w:szCs w:val="20"/>
              </w:rPr>
              <w:t>3728738</w:t>
            </w:r>
          </w:p>
        </w:tc>
        <w:tc>
          <w:tcPr>
            <w:tcW w:w="996" w:type="dxa"/>
            <w:tcBorders>
              <w:top w:val="nil"/>
              <w:left w:val="nil"/>
              <w:bottom w:val="nil"/>
              <w:right w:val="nil"/>
            </w:tcBorders>
          </w:tcPr>
          <w:p w14:paraId="5DA0FECE">
            <w:pPr>
              <w:jc w:val="center"/>
              <w:rPr>
                <w:rFonts w:ascii="Arial" w:hAnsi="Arial" w:cs="Arial"/>
                <w:sz w:val="20"/>
                <w:szCs w:val="20"/>
              </w:rPr>
            </w:pPr>
            <w:r>
              <w:rPr>
                <w:rFonts w:ascii="Arial" w:hAnsi="Arial" w:cs="Arial"/>
                <w:sz w:val="20"/>
                <w:szCs w:val="20"/>
              </w:rPr>
              <w:t>13.3</w:t>
            </w:r>
          </w:p>
        </w:tc>
      </w:tr>
      <w:tr w14:paraId="31D51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6" w:type="dxa"/>
            <w:tcBorders>
              <w:top w:val="nil"/>
              <w:left w:val="nil"/>
              <w:bottom w:val="nil"/>
              <w:right w:val="nil"/>
            </w:tcBorders>
          </w:tcPr>
          <w:p w14:paraId="5820A633">
            <w:pPr>
              <w:jc w:val="center"/>
              <w:rPr>
                <w:rFonts w:ascii="Arial" w:hAnsi="Arial" w:cs="Arial"/>
                <w:sz w:val="20"/>
                <w:szCs w:val="20"/>
              </w:rPr>
            </w:pPr>
            <w:r>
              <w:rPr>
                <w:rFonts w:ascii="Arial" w:hAnsi="Arial" w:cs="Arial"/>
                <w:sz w:val="20"/>
                <w:szCs w:val="20"/>
              </w:rPr>
              <w:t>vessels</w:t>
            </w:r>
          </w:p>
        </w:tc>
        <w:tc>
          <w:tcPr>
            <w:tcW w:w="1520" w:type="dxa"/>
            <w:tcBorders>
              <w:top w:val="nil"/>
              <w:left w:val="nil"/>
              <w:bottom w:val="nil"/>
              <w:right w:val="nil"/>
            </w:tcBorders>
            <w:vAlign w:val="center"/>
          </w:tcPr>
          <w:p w14:paraId="7794DB20">
            <w:pPr>
              <w:jc w:val="center"/>
              <w:rPr>
                <w:rFonts w:ascii="Arial" w:hAnsi="Arial" w:cs="Arial"/>
                <w:sz w:val="20"/>
                <w:szCs w:val="20"/>
              </w:rPr>
            </w:pPr>
            <w:r>
              <w:rPr>
                <w:rFonts w:ascii="Arial" w:hAnsi="Arial" w:cs="Arial"/>
                <w:sz w:val="20"/>
                <w:szCs w:val="20"/>
              </w:rPr>
              <w:t>ship</w:t>
            </w:r>
          </w:p>
        </w:tc>
        <w:tc>
          <w:tcPr>
            <w:tcW w:w="1580" w:type="dxa"/>
            <w:tcBorders>
              <w:top w:val="nil"/>
              <w:left w:val="nil"/>
              <w:bottom w:val="nil"/>
              <w:right w:val="nil"/>
            </w:tcBorders>
          </w:tcPr>
          <w:p w14:paraId="24A74A58">
            <w:pPr>
              <w:jc w:val="center"/>
              <w:rPr>
                <w:rFonts w:ascii="Arial" w:hAnsi="Arial" w:cs="Arial"/>
                <w:sz w:val="20"/>
                <w:szCs w:val="20"/>
              </w:rPr>
            </w:pPr>
            <w:r>
              <w:rPr>
                <w:rFonts w:ascii="Arial" w:hAnsi="Arial" w:cs="Arial"/>
                <w:sz w:val="20"/>
                <w:szCs w:val="20"/>
              </w:rPr>
              <w:t>365135</w:t>
            </w:r>
          </w:p>
        </w:tc>
        <w:tc>
          <w:tcPr>
            <w:tcW w:w="1470" w:type="dxa"/>
            <w:tcBorders>
              <w:top w:val="nil"/>
              <w:left w:val="nil"/>
              <w:bottom w:val="nil"/>
              <w:right w:val="nil"/>
            </w:tcBorders>
          </w:tcPr>
          <w:p w14:paraId="40DBE537">
            <w:pPr>
              <w:jc w:val="center"/>
              <w:rPr>
                <w:rFonts w:ascii="Arial" w:hAnsi="Arial" w:cs="Arial"/>
                <w:sz w:val="20"/>
                <w:szCs w:val="20"/>
              </w:rPr>
            </w:pPr>
            <w:r>
              <w:rPr>
                <w:rFonts w:ascii="Arial" w:hAnsi="Arial" w:cs="Arial"/>
                <w:sz w:val="20"/>
                <w:szCs w:val="20"/>
              </w:rPr>
              <w:t>338087</w:t>
            </w:r>
          </w:p>
        </w:tc>
        <w:tc>
          <w:tcPr>
            <w:tcW w:w="996" w:type="dxa"/>
            <w:tcBorders>
              <w:top w:val="nil"/>
              <w:left w:val="nil"/>
              <w:bottom w:val="nil"/>
              <w:right w:val="nil"/>
            </w:tcBorders>
          </w:tcPr>
          <w:p w14:paraId="4EF54140">
            <w:pPr>
              <w:jc w:val="center"/>
              <w:rPr>
                <w:rFonts w:ascii="Arial" w:hAnsi="Arial" w:cs="Arial"/>
                <w:sz w:val="20"/>
                <w:szCs w:val="20"/>
              </w:rPr>
            </w:pPr>
            <w:r>
              <w:rPr>
                <w:rFonts w:ascii="Arial" w:hAnsi="Arial" w:cs="Arial"/>
                <w:sz w:val="20"/>
                <w:szCs w:val="20"/>
              </w:rPr>
              <w:t>8.0</w:t>
            </w:r>
          </w:p>
        </w:tc>
      </w:tr>
      <w:tr w14:paraId="7358B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6" w:type="dxa"/>
            <w:tcBorders>
              <w:top w:val="nil"/>
              <w:left w:val="nil"/>
              <w:bottom w:val="single" w:color="auto" w:sz="12" w:space="0"/>
              <w:right w:val="nil"/>
            </w:tcBorders>
          </w:tcPr>
          <w:p w14:paraId="5813FCCC">
            <w:pPr>
              <w:jc w:val="center"/>
              <w:rPr>
                <w:rFonts w:ascii="Arial" w:hAnsi="Arial" w:cs="Arial"/>
                <w:sz w:val="20"/>
                <w:szCs w:val="20"/>
              </w:rPr>
            </w:pPr>
            <w:r>
              <w:rPr>
                <w:rFonts w:ascii="Arial" w:hAnsi="Arial" w:cs="Arial"/>
                <w:sz w:val="20"/>
                <w:szCs w:val="20"/>
              </w:rPr>
              <w:t>aircraft</w:t>
            </w:r>
          </w:p>
        </w:tc>
        <w:tc>
          <w:tcPr>
            <w:tcW w:w="1520" w:type="dxa"/>
            <w:tcBorders>
              <w:top w:val="nil"/>
              <w:left w:val="nil"/>
              <w:bottom w:val="single" w:color="auto" w:sz="12" w:space="0"/>
              <w:right w:val="nil"/>
            </w:tcBorders>
            <w:vAlign w:val="center"/>
          </w:tcPr>
          <w:p w14:paraId="11D6133A">
            <w:pPr>
              <w:jc w:val="center"/>
              <w:rPr>
                <w:rFonts w:ascii="Arial" w:hAnsi="Arial" w:cs="Arial"/>
                <w:sz w:val="20"/>
                <w:szCs w:val="20"/>
              </w:rPr>
            </w:pPr>
            <w:r>
              <w:rPr>
                <w:rFonts w:ascii="Arial" w:hAnsi="Arial" w:cs="Arial"/>
                <w:sz w:val="20"/>
                <w:szCs w:val="20"/>
              </w:rPr>
              <w:t>plane</w:t>
            </w:r>
          </w:p>
        </w:tc>
        <w:tc>
          <w:tcPr>
            <w:tcW w:w="1580" w:type="dxa"/>
            <w:tcBorders>
              <w:top w:val="nil"/>
              <w:left w:val="nil"/>
              <w:bottom w:val="single" w:color="auto" w:sz="12" w:space="0"/>
              <w:right w:val="nil"/>
            </w:tcBorders>
          </w:tcPr>
          <w:p w14:paraId="5CAC47E0">
            <w:pPr>
              <w:jc w:val="center"/>
              <w:rPr>
                <w:rFonts w:ascii="Arial" w:hAnsi="Arial" w:cs="Arial"/>
                <w:sz w:val="20"/>
                <w:szCs w:val="20"/>
              </w:rPr>
            </w:pPr>
            <w:r>
              <w:rPr>
                <w:rFonts w:ascii="Arial" w:hAnsi="Arial" w:cs="Arial"/>
                <w:sz w:val="20"/>
                <w:szCs w:val="20"/>
              </w:rPr>
              <w:t>800529</w:t>
            </w:r>
          </w:p>
        </w:tc>
        <w:tc>
          <w:tcPr>
            <w:tcW w:w="1470" w:type="dxa"/>
            <w:tcBorders>
              <w:top w:val="nil"/>
              <w:left w:val="nil"/>
              <w:bottom w:val="single" w:color="auto" w:sz="12" w:space="0"/>
              <w:right w:val="nil"/>
            </w:tcBorders>
          </w:tcPr>
          <w:p w14:paraId="584E31DE">
            <w:pPr>
              <w:jc w:val="center"/>
              <w:rPr>
                <w:rFonts w:ascii="Arial" w:hAnsi="Arial" w:cs="Arial"/>
                <w:sz w:val="20"/>
                <w:szCs w:val="20"/>
              </w:rPr>
            </w:pPr>
            <w:r>
              <w:rPr>
                <w:rFonts w:ascii="Arial" w:hAnsi="Arial" w:cs="Arial"/>
                <w:sz w:val="20"/>
                <w:szCs w:val="20"/>
              </w:rPr>
              <w:t>474164</w:t>
            </w:r>
          </w:p>
        </w:tc>
        <w:tc>
          <w:tcPr>
            <w:tcW w:w="996" w:type="dxa"/>
            <w:tcBorders>
              <w:top w:val="nil"/>
              <w:left w:val="nil"/>
              <w:bottom w:val="single" w:color="auto" w:sz="12" w:space="0"/>
              <w:right w:val="nil"/>
            </w:tcBorders>
          </w:tcPr>
          <w:p w14:paraId="4ADBF527">
            <w:pPr>
              <w:jc w:val="center"/>
              <w:rPr>
                <w:rFonts w:ascii="Arial" w:hAnsi="Arial" w:cs="Arial"/>
                <w:sz w:val="20"/>
                <w:szCs w:val="20"/>
              </w:rPr>
            </w:pPr>
            <w:r>
              <w:rPr>
                <w:rFonts w:ascii="Arial" w:hAnsi="Arial" w:cs="Arial"/>
                <w:sz w:val="20"/>
                <w:szCs w:val="20"/>
              </w:rPr>
              <w:t>68.8</w:t>
            </w:r>
          </w:p>
        </w:tc>
      </w:tr>
    </w:tbl>
    <w:p w14:paraId="2E1A16EA">
      <w:pPr>
        <w:rPr>
          <w:rFonts w:ascii="Arial" w:hAnsi="Arial"/>
          <w:i/>
          <w:iCs/>
          <w:sz w:val="18"/>
          <w:szCs w:val="18"/>
        </w:rPr>
      </w:pPr>
      <w:r>
        <w:rPr>
          <w:rFonts w:ascii="Arial" w:hAnsi="Arial"/>
          <w:i/>
          <w:iCs/>
          <w:sz w:val="18"/>
          <w:szCs w:val="18"/>
        </w:rPr>
        <w:t>Data source: General Administration of Customs of the people's Republic of China</w:t>
      </w:r>
    </w:p>
    <w:p w14:paraId="39EDE759">
      <w:pPr>
        <w:rPr>
          <w:rFonts w:ascii="Arial" w:hAnsi="Arial"/>
          <w:sz w:val="20"/>
          <w:szCs w:val="20"/>
        </w:rPr>
      </w:pPr>
    </w:p>
    <w:p w14:paraId="76D12116">
      <w:pPr>
        <w:ind w:firstLine="200" w:firstLineChars="100"/>
        <w:rPr>
          <w:rFonts w:ascii="Arial" w:hAnsi="Arial"/>
          <w:sz w:val="20"/>
          <w:szCs w:val="20"/>
        </w:rPr>
      </w:pPr>
      <w:r>
        <w:rPr>
          <w:rFonts w:ascii="Arial" w:hAnsi="Arial"/>
          <w:sz w:val="20"/>
          <w:szCs w:val="20"/>
        </w:rPr>
        <w:t>With the rapid development of cross-border logistics, China can give better play to the global allocation of resources, so as to improve the level of domestic economic development. Therefore, logistics is indispensable for a country's economy. It is scientific to divide African countries based on logistics capacity and select appropriate representative countries.</w:t>
      </w:r>
    </w:p>
    <w:p w14:paraId="4FEF4E70">
      <w:pPr>
        <w:rPr>
          <w:rFonts w:ascii="Arial" w:hAnsi="Arial"/>
          <w:sz w:val="20"/>
          <w:szCs w:val="20"/>
        </w:rPr>
      </w:pPr>
    </w:p>
    <w:p w14:paraId="2AA10BDC">
      <w:pPr>
        <w:numPr>
          <w:ilvl w:val="0"/>
          <w:numId w:val="1"/>
        </w:numPr>
        <w:rPr>
          <w:rFonts w:ascii="Arial" w:hAnsi="Arial"/>
          <w:b/>
          <w:bCs/>
          <w:sz w:val="22"/>
          <w:szCs w:val="22"/>
        </w:rPr>
      </w:pPr>
      <w:r>
        <w:rPr>
          <w:rFonts w:hint="eastAsia" w:ascii="Arial" w:hAnsi="Arial"/>
          <w:b/>
          <w:bCs/>
          <w:sz w:val="22"/>
          <w:szCs w:val="22"/>
        </w:rPr>
        <w:t>THE OVERVIEW OF SINO-AFRICA ECONOMIC AND TRADE RELATIONS</w:t>
      </w:r>
      <w:r>
        <w:rPr>
          <w:rFonts w:ascii="Arial" w:hAnsi="Arial"/>
          <w:b/>
          <w:bCs/>
          <w:sz w:val="22"/>
          <w:szCs w:val="22"/>
        </w:rPr>
        <w:t xml:space="preserve"> </w:t>
      </w:r>
    </w:p>
    <w:p w14:paraId="7F50C358">
      <w:pPr>
        <w:rPr>
          <w:rFonts w:ascii="Arial" w:hAnsi="Arial"/>
          <w:sz w:val="20"/>
          <w:szCs w:val="20"/>
        </w:rPr>
      </w:pPr>
      <w:r>
        <w:rPr>
          <w:rFonts w:ascii="Arial" w:hAnsi="Arial"/>
          <w:sz w:val="20"/>
          <w:szCs w:val="20"/>
        </w:rPr>
        <w:t xml:space="preserve">As a post-development region, Africa has long had the typical characteristics of a "post-colonial" economy, with a single economic structure, high dependence on the European and American markets, and limited investment attractiveness </w:t>
      </w:r>
      <w:r>
        <w:rPr>
          <w:rFonts w:hint="eastAsia" w:ascii="Arial" w:hAnsi="Arial"/>
          <w:sz w:val="20"/>
          <w:szCs w:val="20"/>
        </w:rPr>
        <w:t>(Sheng et al, 2022)</w:t>
      </w:r>
      <w:r>
        <w:rPr>
          <w:rFonts w:ascii="Arial" w:hAnsi="Arial"/>
          <w:sz w:val="20"/>
          <w:szCs w:val="20"/>
        </w:rPr>
        <w:t>. Since the beginning of the 21st century, the prices of bulk commodities and resource commodities in the international market have risen sharply, transportation prices have fallen sharply, and foreign direct investment has been very active</w:t>
      </w:r>
      <w:r>
        <w:rPr>
          <w:rFonts w:hint="eastAsia" w:ascii="Arial" w:hAnsi="Arial"/>
          <w:sz w:val="20"/>
          <w:szCs w:val="20"/>
        </w:rPr>
        <w:t xml:space="preserve"> (Qi, 2015)</w:t>
      </w:r>
      <w:r>
        <w:rPr>
          <w:rFonts w:ascii="Arial" w:hAnsi="Arial"/>
          <w:sz w:val="20"/>
          <w:szCs w:val="20"/>
        </w:rPr>
        <w:t>, and the economies of African countries have achieved relatively good development during this period. However, Patterson.C. Ekocha</w:t>
      </w:r>
      <w:r>
        <w:rPr>
          <w:rFonts w:hint="eastAsia" w:ascii="Arial" w:hAnsi="Arial"/>
          <w:sz w:val="20"/>
          <w:szCs w:val="20"/>
        </w:rPr>
        <w:t xml:space="preserve"> (Patterson &amp; Ekocha et al, 2020)</w:t>
      </w:r>
      <w:r>
        <w:rPr>
          <w:rFonts w:ascii="Arial" w:hAnsi="Arial"/>
          <w:sz w:val="20"/>
          <w:szCs w:val="20"/>
        </w:rPr>
        <w:t xml:space="preserve">.  argue that rapid market liberalization will lead to a surge in imports from developing countries, adversely affecting the local industrial and agricultural sectors, as well as the balance of payments and debt situation. Moreover, the African economy's role as net recipients of trade conflicts in countries such as China, the United States, the United Kingdom, Japan, the European Union, and Canada, coupled with the ongoing legitimacy challenge to the World Trade Organization, could lead Africa to shift from multilateralism to multipolarity. Duggan.Niall </w:t>
      </w:r>
      <w:r>
        <w:rPr>
          <w:rFonts w:hint="eastAsia" w:ascii="Arial" w:hAnsi="Arial"/>
          <w:sz w:val="20"/>
          <w:szCs w:val="20"/>
        </w:rPr>
        <w:t>(</w:t>
      </w:r>
      <w:r>
        <w:rPr>
          <w:rFonts w:ascii="Arial" w:hAnsi="Arial"/>
          <w:sz w:val="20"/>
          <w:szCs w:val="20"/>
        </w:rPr>
        <w:t>Duggan</w:t>
      </w:r>
      <w:r>
        <w:rPr>
          <w:rFonts w:hint="eastAsia" w:ascii="Arial" w:hAnsi="Arial"/>
          <w:sz w:val="20"/>
          <w:szCs w:val="20"/>
        </w:rPr>
        <w:t xml:space="preserve"> &amp; </w:t>
      </w:r>
      <w:r>
        <w:rPr>
          <w:rFonts w:ascii="Arial" w:hAnsi="Arial"/>
          <w:sz w:val="20"/>
          <w:szCs w:val="20"/>
        </w:rPr>
        <w:t>Niall</w:t>
      </w:r>
      <w:r>
        <w:rPr>
          <w:rFonts w:hint="eastAsia" w:ascii="Arial" w:hAnsi="Arial"/>
          <w:sz w:val="20"/>
          <w:szCs w:val="20"/>
        </w:rPr>
        <w:t>, 2023)</w:t>
      </w:r>
      <w:r>
        <w:rPr>
          <w:rFonts w:ascii="Arial" w:hAnsi="Arial"/>
          <w:sz w:val="20"/>
          <w:szCs w:val="20"/>
        </w:rPr>
        <w:t xml:space="preserve"> argues that the agency of African countries plays a non-negligible role in the relationship by discussing the structural and agency approaches in China-Africa relations. Relations between China and African countries will face a certain degree of challenge in the future.</w:t>
      </w:r>
    </w:p>
    <w:p w14:paraId="586311A9">
      <w:pPr>
        <w:rPr>
          <w:rFonts w:ascii="Arial" w:hAnsi="Arial"/>
          <w:sz w:val="20"/>
          <w:szCs w:val="20"/>
        </w:rPr>
      </w:pPr>
      <w:r>
        <w:rPr>
          <w:rFonts w:ascii="Arial" w:hAnsi="Arial"/>
          <w:sz w:val="20"/>
          <w:szCs w:val="20"/>
        </w:rPr>
        <w:t>According to the 2023 United Nations List of Least Developed Countries and the World Bank's Country Income Classification, 33 of Africa's 55 countries are LDCs. These countries are often characterized by low incomes, weak human capital, and fragile economies. Among them, Sao Tome and Principe has been approved by the United Nations and plans to graduate from the list of least developed countries in 2024. Despite its high per capita GDP, Djibouti remains a least developed country due to the apparent homogeneity and fragility of its economy. Due to the war in Somalia and South Sudan, there is a lack of systematic data (see Table 2).</w:t>
      </w:r>
    </w:p>
    <w:p w14:paraId="6BA962A0">
      <w:pPr>
        <w:rPr>
          <w:rFonts w:ascii="Arial" w:hAnsi="Arial"/>
          <w:sz w:val="20"/>
          <w:szCs w:val="20"/>
        </w:rPr>
      </w:pPr>
    </w:p>
    <w:p w14:paraId="5C3972FC">
      <w:pPr>
        <w:rPr>
          <w:rFonts w:ascii="Arial" w:hAnsi="Arial"/>
          <w:b/>
          <w:bCs/>
          <w:sz w:val="20"/>
          <w:szCs w:val="20"/>
        </w:rPr>
      </w:pPr>
      <w:r>
        <w:rPr>
          <w:rFonts w:hint="eastAsia" w:ascii="Arial" w:hAnsi="Arial"/>
          <w:b/>
          <w:bCs/>
          <w:sz w:val="20"/>
          <w:szCs w:val="20"/>
        </w:rPr>
        <w:t>Table 2</w:t>
      </w:r>
      <w:r>
        <w:rPr>
          <w:rFonts w:hint="eastAsia" w:ascii="Arial" w:hAnsi="Arial"/>
          <w:b/>
          <w:bCs/>
          <w:sz w:val="20"/>
          <w:szCs w:val="20"/>
        </w:rPr>
        <w:tab/>
      </w:r>
      <w:r>
        <w:rPr>
          <w:rFonts w:hint="eastAsia" w:ascii="Arial" w:hAnsi="Arial"/>
          <w:b/>
          <w:bCs/>
          <w:sz w:val="20"/>
          <w:szCs w:val="20"/>
        </w:rPr>
        <w:t>List of Least Developed Countries in Africa in 2023</w:t>
      </w:r>
    </w:p>
    <w:p w14:paraId="22FD05E4">
      <w:pPr>
        <w:rPr>
          <w:rFonts w:ascii="Arial" w:hAnsi="Arial"/>
          <w:b/>
          <w:bCs/>
          <w:sz w:val="20"/>
          <w:szCs w:val="20"/>
        </w:rPr>
      </w:pPr>
    </w:p>
    <w:tbl>
      <w:tblPr>
        <w:tblStyle w:val="6"/>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1386"/>
        <w:gridCol w:w="1292"/>
        <w:gridCol w:w="2799"/>
        <w:gridCol w:w="1661"/>
      </w:tblGrid>
      <w:tr w14:paraId="7D3FD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12" w:space="0"/>
              <w:left w:val="nil"/>
              <w:bottom w:val="single" w:color="auto" w:sz="4" w:space="0"/>
              <w:right w:val="nil"/>
            </w:tcBorders>
            <w:vAlign w:val="center"/>
          </w:tcPr>
          <w:p w14:paraId="5FD7B539">
            <w:pPr>
              <w:rPr>
                <w:rFonts w:ascii="Arial" w:hAnsi="Arial" w:eastAsia="Arial" w:cs="Arial"/>
                <w:b/>
                <w:bCs/>
                <w:sz w:val="20"/>
                <w:szCs w:val="20"/>
              </w:rPr>
            </w:pPr>
            <w:r>
              <w:rPr>
                <w:rFonts w:ascii="Arial" w:hAnsi="Arial" w:eastAsia="Arial" w:cs="Arial"/>
                <w:b/>
                <w:bCs/>
                <w:sz w:val="20"/>
                <w:szCs w:val="20"/>
              </w:rPr>
              <w:t>Country</w:t>
            </w:r>
          </w:p>
        </w:tc>
        <w:tc>
          <w:tcPr>
            <w:tcW w:w="1388" w:type="dxa"/>
            <w:tcBorders>
              <w:top w:val="single" w:color="auto" w:sz="12" w:space="0"/>
              <w:left w:val="nil"/>
              <w:bottom w:val="single" w:color="auto" w:sz="4" w:space="0"/>
              <w:right w:val="nil"/>
            </w:tcBorders>
            <w:vAlign w:val="center"/>
          </w:tcPr>
          <w:p w14:paraId="71502ACA">
            <w:pPr>
              <w:rPr>
                <w:rFonts w:ascii="Arial" w:hAnsi="Arial" w:eastAsia="Arial" w:cs="Arial"/>
                <w:b/>
                <w:bCs/>
                <w:sz w:val="20"/>
                <w:szCs w:val="20"/>
              </w:rPr>
            </w:pPr>
            <w:r>
              <w:rPr>
                <w:rFonts w:ascii="Arial" w:hAnsi="Arial" w:eastAsia="Arial" w:cs="Arial"/>
                <w:b/>
                <w:bCs/>
                <w:sz w:val="20"/>
                <w:szCs w:val="20"/>
              </w:rPr>
              <w:t>Region</w:t>
            </w:r>
          </w:p>
        </w:tc>
        <w:tc>
          <w:tcPr>
            <w:tcW w:w="1296" w:type="dxa"/>
            <w:tcBorders>
              <w:top w:val="single" w:color="auto" w:sz="12" w:space="0"/>
              <w:left w:val="nil"/>
              <w:bottom w:val="single" w:color="auto" w:sz="4" w:space="0"/>
              <w:right w:val="nil"/>
            </w:tcBorders>
            <w:vAlign w:val="center"/>
          </w:tcPr>
          <w:p w14:paraId="2B86747B">
            <w:pPr>
              <w:rPr>
                <w:rFonts w:ascii="Arial" w:hAnsi="Arial" w:eastAsia="Arial" w:cs="Arial"/>
                <w:b/>
                <w:bCs/>
                <w:sz w:val="20"/>
                <w:szCs w:val="20"/>
              </w:rPr>
            </w:pPr>
            <w:r>
              <w:rPr>
                <w:rFonts w:ascii="Arial" w:hAnsi="Arial" w:eastAsia="Arial" w:cs="Arial"/>
                <w:b/>
                <w:bCs/>
                <w:sz w:val="20"/>
                <w:szCs w:val="20"/>
              </w:rPr>
              <w:t>GDP per capita (USD)</w:t>
            </w:r>
          </w:p>
        </w:tc>
        <w:tc>
          <w:tcPr>
            <w:tcW w:w="2808" w:type="dxa"/>
            <w:tcBorders>
              <w:top w:val="single" w:color="auto" w:sz="12" w:space="0"/>
              <w:left w:val="nil"/>
              <w:bottom w:val="single" w:color="auto" w:sz="4" w:space="0"/>
              <w:right w:val="nil"/>
            </w:tcBorders>
            <w:vAlign w:val="center"/>
          </w:tcPr>
          <w:p w14:paraId="602F5824">
            <w:pPr>
              <w:rPr>
                <w:rFonts w:ascii="Arial" w:hAnsi="Arial" w:eastAsia="Arial" w:cs="Arial"/>
                <w:b/>
                <w:bCs/>
                <w:sz w:val="20"/>
                <w:szCs w:val="20"/>
              </w:rPr>
            </w:pPr>
            <w:r>
              <w:rPr>
                <w:rFonts w:ascii="Arial" w:hAnsi="Arial" w:eastAsia="Arial" w:cs="Arial"/>
                <w:b/>
                <w:bCs/>
                <w:sz w:val="20"/>
                <w:szCs w:val="20"/>
              </w:rPr>
              <w:t>economic structure</w:t>
            </w:r>
          </w:p>
          <w:p w14:paraId="13554588">
            <w:pPr>
              <w:rPr>
                <w:rFonts w:ascii="Arial" w:hAnsi="Arial" w:eastAsia="Arial" w:cs="Arial"/>
                <w:b/>
                <w:bCs/>
                <w:sz w:val="20"/>
                <w:szCs w:val="20"/>
              </w:rPr>
            </w:pPr>
            <w:r>
              <w:rPr>
                <w:rFonts w:ascii="Arial" w:hAnsi="Arial" w:eastAsia="Arial" w:cs="Arial"/>
                <w:b/>
                <w:bCs/>
                <w:sz w:val="20"/>
                <w:szCs w:val="20"/>
              </w:rPr>
              <w:t>(main industries)</w:t>
            </w:r>
          </w:p>
        </w:tc>
        <w:tc>
          <w:tcPr>
            <w:tcW w:w="1644" w:type="dxa"/>
            <w:tcBorders>
              <w:top w:val="single" w:color="auto" w:sz="12" w:space="0"/>
              <w:left w:val="nil"/>
              <w:bottom w:val="single" w:color="auto" w:sz="4" w:space="0"/>
              <w:right w:val="nil"/>
            </w:tcBorders>
            <w:vAlign w:val="center"/>
          </w:tcPr>
          <w:p w14:paraId="49592DD3">
            <w:pPr>
              <w:rPr>
                <w:rFonts w:ascii="Arial" w:hAnsi="Arial" w:eastAsia="Arial" w:cs="Arial"/>
                <w:b/>
                <w:bCs/>
                <w:sz w:val="20"/>
                <w:szCs w:val="20"/>
              </w:rPr>
            </w:pPr>
            <w:r>
              <w:rPr>
                <w:rFonts w:ascii="Arial" w:hAnsi="Arial" w:eastAsia="Arial" w:cs="Arial"/>
                <w:b/>
                <w:bCs/>
                <w:sz w:val="20"/>
                <w:szCs w:val="20"/>
              </w:rPr>
              <w:t>Unemployment rate (%)(year)</w:t>
            </w:r>
          </w:p>
        </w:tc>
      </w:tr>
      <w:tr w14:paraId="1DC8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4" w:space="0"/>
              <w:left w:val="nil"/>
              <w:bottom w:val="nil"/>
              <w:right w:val="nil"/>
            </w:tcBorders>
            <w:shd w:val="clear" w:color="auto" w:fill="auto"/>
            <w:vAlign w:val="center"/>
          </w:tcPr>
          <w:p w14:paraId="1490FDBB">
            <w:pPr>
              <w:rPr>
                <w:rFonts w:ascii="Arial" w:hAnsi="Arial" w:eastAsia="Arial" w:cs="Arial"/>
                <w:sz w:val="20"/>
                <w:szCs w:val="20"/>
              </w:rPr>
            </w:pPr>
            <w:r>
              <w:rPr>
                <w:rFonts w:hint="eastAsia" w:ascii="Arial" w:hAnsi="Arial" w:eastAsia="Arial" w:cs="Arial"/>
                <w:sz w:val="20"/>
                <w:szCs w:val="20"/>
              </w:rPr>
              <w:t>S</w:t>
            </w:r>
            <w:r>
              <w:rPr>
                <w:rFonts w:ascii="Arial" w:hAnsi="Arial" w:eastAsia="Arial" w:cs="Arial"/>
                <w:sz w:val="20"/>
                <w:szCs w:val="20"/>
              </w:rPr>
              <w:t xml:space="preserve">ierra </w:t>
            </w:r>
            <w:r>
              <w:rPr>
                <w:rFonts w:hint="eastAsia" w:ascii="Arial" w:hAnsi="Arial" w:eastAsia="Arial" w:cs="Arial"/>
                <w:sz w:val="20"/>
                <w:szCs w:val="20"/>
              </w:rPr>
              <w:t>L</w:t>
            </w:r>
            <w:r>
              <w:rPr>
                <w:rFonts w:ascii="Arial" w:hAnsi="Arial" w:eastAsia="Arial" w:cs="Arial"/>
                <w:sz w:val="20"/>
                <w:szCs w:val="20"/>
              </w:rPr>
              <w:t>eone</w:t>
            </w:r>
          </w:p>
        </w:tc>
        <w:tc>
          <w:tcPr>
            <w:tcW w:w="1388" w:type="dxa"/>
            <w:vMerge w:val="restart"/>
            <w:tcBorders>
              <w:top w:val="single" w:color="auto" w:sz="4" w:space="0"/>
              <w:left w:val="nil"/>
              <w:right w:val="nil"/>
            </w:tcBorders>
            <w:shd w:val="clear" w:color="auto" w:fill="auto"/>
            <w:vAlign w:val="center"/>
          </w:tcPr>
          <w:p w14:paraId="1962BE96">
            <w:pPr>
              <w:rPr>
                <w:rFonts w:ascii="Arial" w:hAnsi="Arial" w:eastAsia="Arial" w:cs="Arial"/>
                <w:sz w:val="20"/>
                <w:szCs w:val="20"/>
              </w:rPr>
            </w:pPr>
            <w:r>
              <w:rPr>
                <w:rFonts w:ascii="Arial" w:hAnsi="Arial" w:eastAsia="Arial" w:cs="Arial"/>
                <w:sz w:val="20"/>
                <w:szCs w:val="20"/>
              </w:rPr>
              <w:t>West Africa</w:t>
            </w:r>
          </w:p>
          <w:p w14:paraId="7C363730">
            <w:pPr>
              <w:rPr>
                <w:rFonts w:ascii="Arial" w:hAnsi="Arial" w:eastAsia="Arial" w:cs="Arial"/>
                <w:sz w:val="20"/>
                <w:szCs w:val="20"/>
              </w:rPr>
            </w:pPr>
            <w:r>
              <w:rPr>
                <w:rFonts w:ascii="Arial" w:hAnsi="Arial" w:eastAsia="Arial" w:cs="Arial"/>
                <w:sz w:val="20"/>
                <w:szCs w:val="20"/>
              </w:rPr>
              <w:t>(12 countries)</w:t>
            </w:r>
          </w:p>
        </w:tc>
        <w:tc>
          <w:tcPr>
            <w:tcW w:w="1296" w:type="dxa"/>
            <w:tcBorders>
              <w:top w:val="single" w:color="auto" w:sz="4" w:space="0"/>
              <w:left w:val="nil"/>
              <w:bottom w:val="nil"/>
              <w:right w:val="nil"/>
            </w:tcBorders>
            <w:shd w:val="clear" w:color="auto" w:fill="auto"/>
            <w:vAlign w:val="center"/>
          </w:tcPr>
          <w:p w14:paraId="46F01D34">
            <w:pPr>
              <w:rPr>
                <w:rFonts w:ascii="Arial" w:hAnsi="Arial" w:eastAsia="Arial" w:cs="Arial"/>
                <w:sz w:val="20"/>
                <w:szCs w:val="20"/>
              </w:rPr>
            </w:pPr>
            <w:r>
              <w:rPr>
                <w:rFonts w:ascii="Arial" w:hAnsi="Arial" w:eastAsia="Arial" w:cs="Arial"/>
                <w:sz w:val="20"/>
                <w:szCs w:val="20"/>
              </w:rPr>
              <w:t>518</w:t>
            </w:r>
          </w:p>
        </w:tc>
        <w:tc>
          <w:tcPr>
            <w:tcW w:w="2808" w:type="dxa"/>
            <w:tcBorders>
              <w:top w:val="single" w:color="auto" w:sz="4" w:space="0"/>
              <w:left w:val="nil"/>
              <w:bottom w:val="nil"/>
              <w:right w:val="nil"/>
            </w:tcBorders>
            <w:shd w:val="clear" w:color="auto" w:fill="auto"/>
            <w:vAlign w:val="center"/>
          </w:tcPr>
          <w:p w14:paraId="049D3BF8">
            <w:pPr>
              <w:rPr>
                <w:rFonts w:ascii="Arial" w:hAnsi="Arial" w:eastAsia="Arial" w:cs="Arial"/>
                <w:sz w:val="20"/>
                <w:szCs w:val="20"/>
              </w:rPr>
            </w:pPr>
            <w:r>
              <w:rPr>
                <w:rFonts w:ascii="Arial" w:hAnsi="Arial" w:eastAsia="Arial" w:cs="Arial"/>
              </w:rPr>
              <w:t>Diamond, iron ore, agriculture</w:t>
            </w:r>
          </w:p>
        </w:tc>
        <w:tc>
          <w:tcPr>
            <w:tcW w:w="1644" w:type="dxa"/>
            <w:tcBorders>
              <w:top w:val="single" w:color="auto" w:sz="4" w:space="0"/>
              <w:left w:val="nil"/>
              <w:bottom w:val="nil"/>
              <w:right w:val="nil"/>
            </w:tcBorders>
            <w:shd w:val="clear" w:color="auto" w:fill="auto"/>
            <w:vAlign w:val="center"/>
          </w:tcPr>
          <w:p w14:paraId="1F125809">
            <w:pPr>
              <w:rPr>
                <w:rFonts w:ascii="Arial" w:hAnsi="Arial" w:eastAsia="Arial" w:cs="Arial"/>
                <w:sz w:val="20"/>
                <w:szCs w:val="20"/>
              </w:rPr>
            </w:pPr>
            <w:r>
              <w:rPr>
                <w:rFonts w:ascii="Arial" w:hAnsi="Arial" w:eastAsia="Arial" w:cs="Arial"/>
                <w:sz w:val="20"/>
                <w:szCs w:val="20"/>
              </w:rPr>
              <w:t>3.2</w:t>
            </w:r>
            <w:r>
              <w:rPr>
                <w:rFonts w:hint="eastAsia" w:ascii="Arial" w:hAnsi="Arial" w:eastAsia="Arial" w:cs="Arial"/>
                <w:sz w:val="20"/>
                <w:szCs w:val="20"/>
              </w:rPr>
              <w:t xml:space="preserve">  (</w:t>
            </w:r>
            <w:r>
              <w:rPr>
                <w:rFonts w:ascii="Arial" w:hAnsi="Arial" w:eastAsia="Arial" w:cs="Arial"/>
                <w:sz w:val="20"/>
                <w:szCs w:val="20"/>
              </w:rPr>
              <w:t>2021</w:t>
            </w:r>
            <w:r>
              <w:rPr>
                <w:rFonts w:hint="eastAsia" w:ascii="Arial" w:hAnsi="Arial" w:eastAsia="Arial" w:cs="Arial"/>
                <w:sz w:val="20"/>
                <w:szCs w:val="20"/>
              </w:rPr>
              <w:t>)</w:t>
            </w:r>
          </w:p>
        </w:tc>
      </w:tr>
      <w:tr w14:paraId="136FD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nil"/>
              <w:right w:val="nil"/>
            </w:tcBorders>
            <w:shd w:val="clear" w:color="auto" w:fill="auto"/>
            <w:vAlign w:val="center"/>
          </w:tcPr>
          <w:p w14:paraId="20BDBEC8">
            <w:pPr>
              <w:rPr>
                <w:rFonts w:ascii="Arial" w:hAnsi="Arial" w:eastAsia="Arial" w:cs="Arial"/>
                <w:sz w:val="20"/>
                <w:szCs w:val="20"/>
              </w:rPr>
            </w:pPr>
            <w:r>
              <w:rPr>
                <w:rFonts w:ascii="Arial" w:hAnsi="Arial" w:eastAsia="Arial" w:cs="Arial"/>
                <w:sz w:val="20"/>
                <w:szCs w:val="20"/>
              </w:rPr>
              <w:t>Niger</w:t>
            </w:r>
          </w:p>
        </w:tc>
        <w:tc>
          <w:tcPr>
            <w:tcW w:w="1388" w:type="dxa"/>
            <w:vMerge w:val="continue"/>
            <w:tcBorders>
              <w:left w:val="nil"/>
              <w:right w:val="nil"/>
            </w:tcBorders>
            <w:shd w:val="clear" w:color="auto" w:fill="auto"/>
            <w:vAlign w:val="center"/>
          </w:tcPr>
          <w:p w14:paraId="2A4CB97A">
            <w:pPr>
              <w:rPr>
                <w:rFonts w:ascii="Arial" w:hAnsi="Arial" w:eastAsia="Arial" w:cs="Arial"/>
                <w:sz w:val="20"/>
                <w:szCs w:val="20"/>
              </w:rPr>
            </w:pPr>
          </w:p>
        </w:tc>
        <w:tc>
          <w:tcPr>
            <w:tcW w:w="1296" w:type="dxa"/>
            <w:tcBorders>
              <w:top w:val="nil"/>
              <w:left w:val="nil"/>
              <w:bottom w:val="nil"/>
              <w:right w:val="nil"/>
            </w:tcBorders>
            <w:shd w:val="clear" w:color="auto" w:fill="auto"/>
            <w:vAlign w:val="center"/>
          </w:tcPr>
          <w:p w14:paraId="5C744759">
            <w:pPr>
              <w:rPr>
                <w:rFonts w:ascii="Arial" w:hAnsi="Arial" w:eastAsia="Arial" w:cs="Arial"/>
                <w:sz w:val="20"/>
                <w:szCs w:val="20"/>
              </w:rPr>
            </w:pPr>
            <w:r>
              <w:rPr>
                <w:rFonts w:ascii="Arial" w:hAnsi="Arial" w:eastAsia="Arial" w:cs="Arial"/>
                <w:sz w:val="20"/>
                <w:szCs w:val="20"/>
              </w:rPr>
              <w:t>610</w:t>
            </w:r>
          </w:p>
        </w:tc>
        <w:tc>
          <w:tcPr>
            <w:tcW w:w="2808" w:type="dxa"/>
            <w:tcBorders>
              <w:top w:val="nil"/>
              <w:left w:val="nil"/>
              <w:bottom w:val="nil"/>
              <w:right w:val="nil"/>
            </w:tcBorders>
            <w:shd w:val="clear" w:color="auto" w:fill="auto"/>
            <w:vAlign w:val="center"/>
          </w:tcPr>
          <w:p w14:paraId="73E20CDA">
            <w:pPr>
              <w:rPr>
                <w:rFonts w:ascii="Arial" w:hAnsi="Arial" w:eastAsia="Arial" w:cs="Arial"/>
                <w:sz w:val="20"/>
                <w:szCs w:val="20"/>
              </w:rPr>
            </w:pPr>
            <w:r>
              <w:rPr>
                <w:rFonts w:ascii="Arial" w:hAnsi="Arial" w:eastAsia="Arial" w:cs="Arial"/>
              </w:rPr>
              <w:t>Uranium mining and animal husbandry</w:t>
            </w:r>
          </w:p>
        </w:tc>
        <w:tc>
          <w:tcPr>
            <w:tcW w:w="1644" w:type="dxa"/>
            <w:tcBorders>
              <w:top w:val="nil"/>
              <w:left w:val="nil"/>
              <w:bottom w:val="nil"/>
              <w:right w:val="nil"/>
            </w:tcBorders>
            <w:shd w:val="clear" w:color="auto" w:fill="auto"/>
            <w:vAlign w:val="center"/>
          </w:tcPr>
          <w:p w14:paraId="4213FA23">
            <w:pPr>
              <w:rPr>
                <w:rFonts w:ascii="Arial" w:hAnsi="Arial" w:eastAsia="Arial" w:cs="Arial"/>
                <w:sz w:val="20"/>
                <w:szCs w:val="20"/>
              </w:rPr>
            </w:pPr>
            <w:r>
              <w:rPr>
                <w:rFonts w:ascii="Arial" w:hAnsi="Arial" w:eastAsia="Arial" w:cs="Arial"/>
                <w:sz w:val="20"/>
                <w:szCs w:val="20"/>
              </w:rPr>
              <w:t>0.8</w:t>
            </w:r>
            <w:r>
              <w:rPr>
                <w:rFonts w:hint="eastAsia" w:ascii="Arial" w:hAnsi="Arial" w:eastAsia="Arial" w:cs="Arial"/>
                <w:sz w:val="20"/>
                <w:szCs w:val="20"/>
              </w:rPr>
              <w:t xml:space="preserve">  (</w:t>
            </w:r>
            <w:r>
              <w:rPr>
                <w:rFonts w:ascii="Arial" w:hAnsi="Arial" w:eastAsia="Arial" w:cs="Arial"/>
                <w:sz w:val="20"/>
                <w:szCs w:val="20"/>
              </w:rPr>
              <w:t>2021</w:t>
            </w:r>
            <w:r>
              <w:rPr>
                <w:rFonts w:hint="eastAsia" w:ascii="Arial" w:hAnsi="Arial" w:eastAsia="Arial" w:cs="Arial"/>
                <w:sz w:val="20"/>
                <w:szCs w:val="20"/>
              </w:rPr>
              <w:t>)</w:t>
            </w:r>
          </w:p>
        </w:tc>
      </w:tr>
      <w:tr w14:paraId="0D30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nil"/>
              <w:right w:val="nil"/>
            </w:tcBorders>
            <w:shd w:val="clear" w:color="auto" w:fill="auto"/>
            <w:vAlign w:val="center"/>
          </w:tcPr>
          <w:p w14:paraId="4575330E">
            <w:pPr>
              <w:rPr>
                <w:rFonts w:ascii="Arial" w:hAnsi="Arial" w:eastAsia="Arial" w:cs="Arial"/>
                <w:sz w:val="20"/>
                <w:szCs w:val="20"/>
              </w:rPr>
            </w:pPr>
            <w:r>
              <w:rPr>
                <w:rFonts w:ascii="Arial" w:hAnsi="Arial" w:eastAsia="Arial" w:cs="Arial"/>
                <w:sz w:val="20"/>
                <w:szCs w:val="20"/>
              </w:rPr>
              <w:t>Liberia</w:t>
            </w:r>
          </w:p>
        </w:tc>
        <w:tc>
          <w:tcPr>
            <w:tcW w:w="1388" w:type="dxa"/>
            <w:vMerge w:val="continue"/>
            <w:tcBorders>
              <w:left w:val="nil"/>
              <w:right w:val="nil"/>
            </w:tcBorders>
            <w:shd w:val="clear" w:color="auto" w:fill="auto"/>
            <w:vAlign w:val="center"/>
          </w:tcPr>
          <w:p w14:paraId="3C34707C">
            <w:pPr>
              <w:rPr>
                <w:rFonts w:ascii="Arial" w:hAnsi="Arial" w:eastAsia="Arial" w:cs="Arial"/>
                <w:sz w:val="20"/>
                <w:szCs w:val="20"/>
              </w:rPr>
            </w:pPr>
          </w:p>
        </w:tc>
        <w:tc>
          <w:tcPr>
            <w:tcW w:w="1296" w:type="dxa"/>
            <w:tcBorders>
              <w:top w:val="nil"/>
              <w:left w:val="nil"/>
              <w:bottom w:val="nil"/>
              <w:right w:val="nil"/>
            </w:tcBorders>
            <w:shd w:val="clear" w:color="auto" w:fill="auto"/>
            <w:vAlign w:val="center"/>
          </w:tcPr>
          <w:p w14:paraId="42CC1B11">
            <w:pPr>
              <w:rPr>
                <w:rFonts w:ascii="Arial" w:hAnsi="Arial" w:eastAsia="Arial" w:cs="Arial"/>
                <w:sz w:val="20"/>
                <w:szCs w:val="20"/>
              </w:rPr>
            </w:pPr>
            <w:r>
              <w:rPr>
                <w:rFonts w:ascii="Arial" w:hAnsi="Arial" w:eastAsia="Arial" w:cs="Arial"/>
                <w:sz w:val="20"/>
                <w:szCs w:val="20"/>
              </w:rPr>
              <w:t>680</w:t>
            </w:r>
          </w:p>
        </w:tc>
        <w:tc>
          <w:tcPr>
            <w:tcW w:w="2808" w:type="dxa"/>
            <w:tcBorders>
              <w:top w:val="nil"/>
              <w:left w:val="nil"/>
              <w:bottom w:val="nil"/>
              <w:right w:val="nil"/>
            </w:tcBorders>
            <w:shd w:val="clear" w:color="auto" w:fill="auto"/>
            <w:vAlign w:val="center"/>
          </w:tcPr>
          <w:p w14:paraId="2B3722BC">
            <w:pPr>
              <w:rPr>
                <w:rFonts w:ascii="Arial" w:hAnsi="Arial" w:eastAsia="Arial" w:cs="Arial"/>
                <w:sz w:val="20"/>
                <w:szCs w:val="20"/>
              </w:rPr>
            </w:pPr>
            <w:r>
              <w:rPr>
                <w:rFonts w:ascii="Arial" w:hAnsi="Arial" w:eastAsia="Arial" w:cs="Arial"/>
              </w:rPr>
              <w:t>Rubber, iron ore and ship registration</w:t>
            </w:r>
          </w:p>
        </w:tc>
        <w:tc>
          <w:tcPr>
            <w:tcW w:w="1644" w:type="dxa"/>
            <w:tcBorders>
              <w:top w:val="nil"/>
              <w:left w:val="nil"/>
              <w:bottom w:val="nil"/>
              <w:right w:val="nil"/>
            </w:tcBorders>
            <w:shd w:val="clear" w:color="auto" w:fill="auto"/>
            <w:vAlign w:val="center"/>
          </w:tcPr>
          <w:p w14:paraId="7D3C4BAD">
            <w:pPr>
              <w:rPr>
                <w:rFonts w:ascii="Arial" w:hAnsi="Arial" w:eastAsia="Arial" w:cs="Arial"/>
                <w:sz w:val="20"/>
                <w:szCs w:val="20"/>
              </w:rPr>
            </w:pPr>
            <w:r>
              <w:rPr>
                <w:rFonts w:ascii="Arial" w:hAnsi="Arial" w:eastAsia="Arial" w:cs="Arial"/>
                <w:sz w:val="20"/>
                <w:szCs w:val="20"/>
              </w:rPr>
              <w:t>3.7</w:t>
            </w:r>
            <w:r>
              <w:rPr>
                <w:rFonts w:hint="eastAsia" w:ascii="Arial" w:hAnsi="Arial" w:eastAsia="Arial" w:cs="Arial"/>
                <w:sz w:val="20"/>
                <w:szCs w:val="20"/>
              </w:rPr>
              <w:t xml:space="preserve">  (</w:t>
            </w:r>
            <w:r>
              <w:rPr>
                <w:rFonts w:ascii="Arial" w:hAnsi="Arial" w:eastAsia="Arial" w:cs="Arial"/>
                <w:sz w:val="20"/>
                <w:szCs w:val="20"/>
              </w:rPr>
              <w:t>2022</w:t>
            </w:r>
            <w:r>
              <w:rPr>
                <w:rFonts w:hint="eastAsia" w:ascii="Arial" w:hAnsi="Arial" w:eastAsia="Arial" w:cs="Arial"/>
                <w:sz w:val="20"/>
                <w:szCs w:val="20"/>
              </w:rPr>
              <w:t>)</w:t>
            </w:r>
          </w:p>
        </w:tc>
      </w:tr>
      <w:tr w14:paraId="2ABD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nil"/>
              <w:right w:val="nil"/>
            </w:tcBorders>
            <w:shd w:val="clear" w:color="auto" w:fill="auto"/>
            <w:vAlign w:val="center"/>
          </w:tcPr>
          <w:p w14:paraId="0D3BF348">
            <w:pPr>
              <w:rPr>
                <w:rFonts w:ascii="Arial" w:hAnsi="Arial" w:eastAsia="Arial" w:cs="Arial"/>
                <w:sz w:val="20"/>
                <w:szCs w:val="20"/>
              </w:rPr>
            </w:pPr>
            <w:r>
              <w:rPr>
                <w:rFonts w:ascii="Arial" w:hAnsi="Arial" w:eastAsia="Arial" w:cs="Arial"/>
                <w:sz w:val="20"/>
                <w:szCs w:val="20"/>
              </w:rPr>
              <w:t>Guinea-Bissau</w:t>
            </w:r>
          </w:p>
        </w:tc>
        <w:tc>
          <w:tcPr>
            <w:tcW w:w="1388" w:type="dxa"/>
            <w:vMerge w:val="continue"/>
            <w:tcBorders>
              <w:left w:val="nil"/>
              <w:right w:val="nil"/>
            </w:tcBorders>
            <w:shd w:val="clear" w:color="auto" w:fill="auto"/>
            <w:vAlign w:val="center"/>
          </w:tcPr>
          <w:p w14:paraId="4FF0CCCC">
            <w:pPr>
              <w:rPr>
                <w:rFonts w:ascii="Arial" w:hAnsi="Arial" w:eastAsia="Arial" w:cs="Arial"/>
                <w:sz w:val="20"/>
                <w:szCs w:val="20"/>
              </w:rPr>
            </w:pPr>
          </w:p>
        </w:tc>
        <w:tc>
          <w:tcPr>
            <w:tcW w:w="1296" w:type="dxa"/>
            <w:tcBorders>
              <w:top w:val="nil"/>
              <w:left w:val="nil"/>
              <w:bottom w:val="nil"/>
              <w:right w:val="nil"/>
            </w:tcBorders>
            <w:shd w:val="clear" w:color="auto" w:fill="auto"/>
            <w:vAlign w:val="center"/>
          </w:tcPr>
          <w:p w14:paraId="63ED9E6D">
            <w:pPr>
              <w:rPr>
                <w:rFonts w:ascii="Arial" w:hAnsi="Arial" w:eastAsia="Arial" w:cs="Arial"/>
                <w:sz w:val="20"/>
                <w:szCs w:val="20"/>
              </w:rPr>
            </w:pPr>
            <w:r>
              <w:rPr>
                <w:rFonts w:ascii="Arial" w:hAnsi="Arial" w:eastAsia="Arial" w:cs="Arial"/>
                <w:sz w:val="20"/>
                <w:szCs w:val="20"/>
              </w:rPr>
              <w:t>820</w:t>
            </w:r>
          </w:p>
        </w:tc>
        <w:tc>
          <w:tcPr>
            <w:tcW w:w="2808" w:type="dxa"/>
            <w:tcBorders>
              <w:top w:val="nil"/>
              <w:left w:val="nil"/>
              <w:bottom w:val="nil"/>
              <w:right w:val="nil"/>
            </w:tcBorders>
            <w:shd w:val="clear" w:color="auto" w:fill="auto"/>
            <w:vAlign w:val="center"/>
          </w:tcPr>
          <w:p w14:paraId="2DE3A027">
            <w:pPr>
              <w:rPr>
                <w:rFonts w:ascii="Arial" w:hAnsi="Arial" w:eastAsia="Arial" w:cs="Arial"/>
                <w:sz w:val="20"/>
                <w:szCs w:val="20"/>
              </w:rPr>
            </w:pPr>
            <w:r>
              <w:rPr>
                <w:rFonts w:ascii="Arial" w:hAnsi="Arial" w:eastAsia="Arial" w:cs="Arial"/>
              </w:rPr>
              <w:t>Cashew nuts, fishery</w:t>
            </w:r>
          </w:p>
        </w:tc>
        <w:tc>
          <w:tcPr>
            <w:tcW w:w="1644" w:type="dxa"/>
            <w:tcBorders>
              <w:top w:val="nil"/>
              <w:left w:val="nil"/>
              <w:bottom w:val="nil"/>
              <w:right w:val="nil"/>
            </w:tcBorders>
            <w:shd w:val="clear" w:color="auto" w:fill="auto"/>
            <w:vAlign w:val="center"/>
          </w:tcPr>
          <w:p w14:paraId="1083C8DE">
            <w:pPr>
              <w:rPr>
                <w:rFonts w:ascii="Arial" w:hAnsi="Arial" w:eastAsia="Arial" w:cs="Arial"/>
                <w:sz w:val="20"/>
                <w:szCs w:val="20"/>
              </w:rPr>
            </w:pPr>
            <w:r>
              <w:rPr>
                <w:rFonts w:ascii="Arial" w:hAnsi="Arial" w:eastAsia="Arial" w:cs="Arial"/>
                <w:sz w:val="20"/>
                <w:szCs w:val="20"/>
              </w:rPr>
              <w:t>3.2</w:t>
            </w:r>
            <w:r>
              <w:rPr>
                <w:rFonts w:hint="eastAsia" w:ascii="Arial" w:hAnsi="Arial" w:eastAsia="Arial" w:cs="Arial"/>
                <w:sz w:val="20"/>
                <w:szCs w:val="20"/>
              </w:rPr>
              <w:t xml:space="preserve">  (</w:t>
            </w:r>
            <w:r>
              <w:rPr>
                <w:rFonts w:ascii="Arial" w:hAnsi="Arial" w:eastAsia="Arial" w:cs="Arial"/>
                <w:sz w:val="20"/>
                <w:szCs w:val="20"/>
              </w:rPr>
              <w:t>2020</w:t>
            </w:r>
            <w:r>
              <w:rPr>
                <w:rFonts w:hint="eastAsia" w:ascii="Arial" w:hAnsi="Arial" w:eastAsia="Arial" w:cs="Arial"/>
                <w:sz w:val="20"/>
                <w:szCs w:val="20"/>
              </w:rPr>
              <w:t>)</w:t>
            </w:r>
          </w:p>
        </w:tc>
      </w:tr>
      <w:tr w14:paraId="70169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nil"/>
              <w:right w:val="nil"/>
            </w:tcBorders>
            <w:shd w:val="clear" w:color="auto" w:fill="auto"/>
            <w:vAlign w:val="center"/>
          </w:tcPr>
          <w:p w14:paraId="4B4F73C8">
            <w:pPr>
              <w:rPr>
                <w:rFonts w:ascii="Arial" w:hAnsi="Arial" w:eastAsia="Arial" w:cs="Arial"/>
                <w:sz w:val="20"/>
                <w:szCs w:val="20"/>
              </w:rPr>
            </w:pPr>
            <w:r>
              <w:rPr>
                <w:rFonts w:ascii="Arial" w:hAnsi="Arial" w:eastAsia="Arial" w:cs="Arial"/>
                <w:sz w:val="20"/>
                <w:szCs w:val="20"/>
              </w:rPr>
              <w:t>Gambia</w:t>
            </w:r>
          </w:p>
        </w:tc>
        <w:tc>
          <w:tcPr>
            <w:tcW w:w="1388" w:type="dxa"/>
            <w:vMerge w:val="continue"/>
            <w:tcBorders>
              <w:left w:val="nil"/>
              <w:right w:val="nil"/>
            </w:tcBorders>
            <w:shd w:val="clear" w:color="auto" w:fill="auto"/>
            <w:vAlign w:val="center"/>
          </w:tcPr>
          <w:p w14:paraId="4219ACE7">
            <w:pPr>
              <w:rPr>
                <w:rFonts w:ascii="Arial" w:hAnsi="Arial" w:eastAsia="Arial" w:cs="Arial"/>
                <w:sz w:val="20"/>
                <w:szCs w:val="20"/>
              </w:rPr>
            </w:pPr>
          </w:p>
        </w:tc>
        <w:tc>
          <w:tcPr>
            <w:tcW w:w="1296" w:type="dxa"/>
            <w:tcBorders>
              <w:top w:val="nil"/>
              <w:left w:val="nil"/>
              <w:bottom w:val="nil"/>
              <w:right w:val="nil"/>
            </w:tcBorders>
            <w:shd w:val="clear" w:color="auto" w:fill="auto"/>
            <w:vAlign w:val="center"/>
          </w:tcPr>
          <w:p w14:paraId="6E0AED50">
            <w:pPr>
              <w:rPr>
                <w:rFonts w:ascii="Arial" w:hAnsi="Arial" w:eastAsia="Arial" w:cs="Arial"/>
                <w:sz w:val="20"/>
                <w:szCs w:val="20"/>
              </w:rPr>
            </w:pPr>
            <w:r>
              <w:rPr>
                <w:rFonts w:ascii="Arial" w:hAnsi="Arial" w:eastAsia="Arial" w:cs="Arial"/>
                <w:sz w:val="20"/>
                <w:szCs w:val="20"/>
              </w:rPr>
              <w:t>822</w:t>
            </w:r>
          </w:p>
        </w:tc>
        <w:tc>
          <w:tcPr>
            <w:tcW w:w="2808" w:type="dxa"/>
            <w:tcBorders>
              <w:top w:val="nil"/>
              <w:left w:val="nil"/>
              <w:bottom w:val="nil"/>
              <w:right w:val="nil"/>
            </w:tcBorders>
            <w:shd w:val="clear" w:color="auto" w:fill="auto"/>
            <w:vAlign w:val="center"/>
          </w:tcPr>
          <w:p w14:paraId="343EF645">
            <w:pPr>
              <w:rPr>
                <w:rFonts w:ascii="Arial" w:hAnsi="Arial" w:eastAsia="Arial" w:cs="Arial"/>
                <w:sz w:val="20"/>
                <w:szCs w:val="20"/>
              </w:rPr>
            </w:pPr>
            <w:r>
              <w:rPr>
                <w:rFonts w:ascii="Arial" w:hAnsi="Arial" w:eastAsia="Arial" w:cs="Arial"/>
              </w:rPr>
              <w:t>Tourism, peanuts</w:t>
            </w:r>
          </w:p>
        </w:tc>
        <w:tc>
          <w:tcPr>
            <w:tcW w:w="1644" w:type="dxa"/>
            <w:tcBorders>
              <w:top w:val="nil"/>
              <w:left w:val="nil"/>
              <w:bottom w:val="nil"/>
              <w:right w:val="nil"/>
            </w:tcBorders>
            <w:shd w:val="clear" w:color="auto" w:fill="auto"/>
            <w:vAlign w:val="center"/>
          </w:tcPr>
          <w:p w14:paraId="6E7A9798">
            <w:pPr>
              <w:rPr>
                <w:rFonts w:ascii="Arial" w:hAnsi="Arial" w:eastAsia="Arial" w:cs="Arial"/>
                <w:sz w:val="20"/>
                <w:szCs w:val="20"/>
              </w:rPr>
            </w:pPr>
            <w:r>
              <w:rPr>
                <w:rFonts w:ascii="Arial" w:hAnsi="Arial" w:eastAsia="Arial" w:cs="Arial"/>
                <w:sz w:val="20"/>
                <w:szCs w:val="20"/>
              </w:rPr>
              <w:t>11.5</w:t>
            </w:r>
            <w:r>
              <w:rPr>
                <w:rFonts w:hint="eastAsia" w:ascii="Arial" w:hAnsi="Arial" w:eastAsia="Arial" w:cs="Arial"/>
                <w:sz w:val="20"/>
                <w:szCs w:val="20"/>
              </w:rPr>
              <w:t xml:space="preserve">  (</w:t>
            </w:r>
            <w:r>
              <w:rPr>
                <w:rFonts w:ascii="Arial" w:hAnsi="Arial" w:eastAsia="Arial" w:cs="Arial"/>
                <w:sz w:val="20"/>
                <w:szCs w:val="20"/>
              </w:rPr>
              <w:t>2022</w:t>
            </w:r>
            <w:r>
              <w:rPr>
                <w:rFonts w:hint="eastAsia" w:ascii="Arial" w:hAnsi="Arial" w:eastAsia="Arial" w:cs="Arial"/>
                <w:sz w:val="20"/>
                <w:szCs w:val="20"/>
              </w:rPr>
              <w:t>)</w:t>
            </w:r>
          </w:p>
        </w:tc>
      </w:tr>
      <w:tr w14:paraId="729F3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nil"/>
              <w:right w:val="nil"/>
            </w:tcBorders>
            <w:shd w:val="clear" w:color="auto" w:fill="auto"/>
            <w:vAlign w:val="center"/>
          </w:tcPr>
          <w:p w14:paraId="2E900480">
            <w:pPr>
              <w:rPr>
                <w:rFonts w:ascii="Arial" w:hAnsi="Arial" w:eastAsia="Arial" w:cs="Arial"/>
                <w:sz w:val="20"/>
                <w:szCs w:val="20"/>
              </w:rPr>
            </w:pPr>
            <w:r>
              <w:rPr>
                <w:rFonts w:hint="eastAsia" w:ascii="Arial" w:hAnsi="Arial" w:eastAsia="Arial" w:cs="Arial"/>
                <w:sz w:val="20"/>
                <w:szCs w:val="20"/>
              </w:rPr>
              <w:t>B</w:t>
            </w:r>
            <w:r>
              <w:rPr>
                <w:rFonts w:ascii="Arial" w:hAnsi="Arial" w:eastAsia="Arial" w:cs="Arial"/>
                <w:sz w:val="20"/>
                <w:szCs w:val="20"/>
              </w:rPr>
              <w:t xml:space="preserve">urkina </w:t>
            </w:r>
            <w:r>
              <w:rPr>
                <w:rFonts w:hint="eastAsia" w:ascii="Arial" w:hAnsi="Arial" w:eastAsia="Arial" w:cs="Arial"/>
                <w:sz w:val="20"/>
                <w:szCs w:val="20"/>
              </w:rPr>
              <w:t>F</w:t>
            </w:r>
            <w:r>
              <w:rPr>
                <w:rFonts w:ascii="Arial" w:hAnsi="Arial" w:eastAsia="Arial" w:cs="Arial"/>
                <w:sz w:val="20"/>
                <w:szCs w:val="20"/>
              </w:rPr>
              <w:t>aso</w:t>
            </w:r>
          </w:p>
        </w:tc>
        <w:tc>
          <w:tcPr>
            <w:tcW w:w="1388" w:type="dxa"/>
            <w:vMerge w:val="continue"/>
            <w:tcBorders>
              <w:left w:val="nil"/>
              <w:right w:val="nil"/>
            </w:tcBorders>
            <w:shd w:val="clear" w:color="auto" w:fill="auto"/>
            <w:vAlign w:val="center"/>
          </w:tcPr>
          <w:p w14:paraId="66095D77">
            <w:pPr>
              <w:rPr>
                <w:rFonts w:ascii="Arial" w:hAnsi="Arial" w:eastAsia="Arial" w:cs="Arial"/>
                <w:sz w:val="20"/>
                <w:szCs w:val="20"/>
              </w:rPr>
            </w:pPr>
          </w:p>
        </w:tc>
        <w:tc>
          <w:tcPr>
            <w:tcW w:w="1296" w:type="dxa"/>
            <w:tcBorders>
              <w:top w:val="nil"/>
              <w:left w:val="nil"/>
              <w:bottom w:val="nil"/>
              <w:right w:val="nil"/>
            </w:tcBorders>
            <w:shd w:val="clear" w:color="auto" w:fill="auto"/>
            <w:vAlign w:val="center"/>
          </w:tcPr>
          <w:p w14:paraId="10539C90">
            <w:pPr>
              <w:rPr>
                <w:rFonts w:ascii="Arial" w:hAnsi="Arial" w:eastAsia="Arial" w:cs="Arial"/>
                <w:sz w:val="20"/>
                <w:szCs w:val="20"/>
              </w:rPr>
            </w:pPr>
            <w:r>
              <w:rPr>
                <w:rFonts w:ascii="Arial" w:hAnsi="Arial" w:eastAsia="Arial" w:cs="Arial"/>
                <w:sz w:val="20"/>
                <w:szCs w:val="20"/>
              </w:rPr>
              <w:t>890</w:t>
            </w:r>
          </w:p>
        </w:tc>
        <w:tc>
          <w:tcPr>
            <w:tcW w:w="2808" w:type="dxa"/>
            <w:tcBorders>
              <w:top w:val="nil"/>
              <w:left w:val="nil"/>
              <w:bottom w:val="nil"/>
              <w:right w:val="nil"/>
            </w:tcBorders>
            <w:shd w:val="clear" w:color="auto" w:fill="auto"/>
            <w:vAlign w:val="center"/>
          </w:tcPr>
          <w:p w14:paraId="72A9FD3A">
            <w:pPr>
              <w:rPr>
                <w:rFonts w:ascii="Arial" w:hAnsi="Arial" w:eastAsia="Arial" w:cs="Arial"/>
                <w:sz w:val="20"/>
                <w:szCs w:val="20"/>
              </w:rPr>
            </w:pPr>
            <w:r>
              <w:rPr>
                <w:rFonts w:ascii="Arial" w:hAnsi="Arial" w:eastAsia="Arial" w:cs="Arial"/>
              </w:rPr>
              <w:t>Agriculture and mining</w:t>
            </w:r>
          </w:p>
        </w:tc>
        <w:tc>
          <w:tcPr>
            <w:tcW w:w="1644" w:type="dxa"/>
            <w:tcBorders>
              <w:top w:val="nil"/>
              <w:left w:val="nil"/>
              <w:bottom w:val="nil"/>
              <w:right w:val="nil"/>
            </w:tcBorders>
            <w:shd w:val="clear" w:color="auto" w:fill="auto"/>
            <w:vAlign w:val="center"/>
          </w:tcPr>
          <w:p w14:paraId="7E648DC2">
            <w:pPr>
              <w:rPr>
                <w:rFonts w:ascii="Arial" w:hAnsi="Arial" w:eastAsia="Arial" w:cs="Arial"/>
                <w:sz w:val="20"/>
                <w:szCs w:val="20"/>
              </w:rPr>
            </w:pPr>
            <w:r>
              <w:rPr>
                <w:rFonts w:ascii="Arial" w:hAnsi="Arial" w:eastAsia="Arial" w:cs="Arial"/>
                <w:sz w:val="20"/>
                <w:szCs w:val="20"/>
              </w:rPr>
              <w:t>5.1</w:t>
            </w:r>
            <w:r>
              <w:rPr>
                <w:rFonts w:hint="eastAsia" w:ascii="Arial" w:hAnsi="Arial" w:eastAsia="Arial" w:cs="Arial"/>
                <w:sz w:val="20"/>
                <w:szCs w:val="20"/>
              </w:rPr>
              <w:t xml:space="preserve">  (</w:t>
            </w:r>
            <w:r>
              <w:rPr>
                <w:rFonts w:ascii="Arial" w:hAnsi="Arial" w:eastAsia="Arial" w:cs="Arial"/>
                <w:sz w:val="20"/>
                <w:szCs w:val="20"/>
              </w:rPr>
              <w:t>2021</w:t>
            </w:r>
            <w:r>
              <w:rPr>
                <w:rFonts w:hint="eastAsia" w:ascii="Arial" w:hAnsi="Arial" w:eastAsia="Arial" w:cs="Arial"/>
                <w:sz w:val="20"/>
                <w:szCs w:val="20"/>
              </w:rPr>
              <w:t>)</w:t>
            </w:r>
          </w:p>
        </w:tc>
      </w:tr>
      <w:tr w14:paraId="7499B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nil"/>
              <w:right w:val="nil"/>
            </w:tcBorders>
            <w:shd w:val="clear" w:color="auto" w:fill="auto"/>
            <w:vAlign w:val="center"/>
          </w:tcPr>
          <w:p w14:paraId="6102482B">
            <w:pPr>
              <w:rPr>
                <w:rFonts w:ascii="Arial" w:hAnsi="Arial" w:eastAsia="Arial" w:cs="Arial"/>
                <w:sz w:val="20"/>
                <w:szCs w:val="20"/>
              </w:rPr>
            </w:pPr>
            <w:r>
              <w:rPr>
                <w:rFonts w:ascii="Arial" w:hAnsi="Arial" w:eastAsia="Arial" w:cs="Arial"/>
                <w:sz w:val="20"/>
                <w:szCs w:val="20"/>
              </w:rPr>
              <w:t>Mali</w:t>
            </w:r>
          </w:p>
        </w:tc>
        <w:tc>
          <w:tcPr>
            <w:tcW w:w="1388" w:type="dxa"/>
            <w:vMerge w:val="continue"/>
            <w:tcBorders>
              <w:left w:val="nil"/>
              <w:right w:val="nil"/>
            </w:tcBorders>
            <w:shd w:val="clear" w:color="auto" w:fill="auto"/>
            <w:vAlign w:val="center"/>
          </w:tcPr>
          <w:p w14:paraId="2F977D0D">
            <w:pPr>
              <w:rPr>
                <w:rFonts w:ascii="Arial" w:hAnsi="Arial" w:eastAsia="Arial" w:cs="Arial"/>
                <w:sz w:val="20"/>
                <w:szCs w:val="20"/>
              </w:rPr>
            </w:pPr>
          </w:p>
        </w:tc>
        <w:tc>
          <w:tcPr>
            <w:tcW w:w="1296" w:type="dxa"/>
            <w:tcBorders>
              <w:top w:val="nil"/>
              <w:left w:val="nil"/>
              <w:bottom w:val="nil"/>
              <w:right w:val="nil"/>
            </w:tcBorders>
            <w:shd w:val="clear" w:color="auto" w:fill="auto"/>
            <w:vAlign w:val="center"/>
          </w:tcPr>
          <w:p w14:paraId="61A536FC">
            <w:pPr>
              <w:rPr>
                <w:rFonts w:ascii="Arial" w:hAnsi="Arial" w:eastAsia="Arial" w:cs="Arial"/>
                <w:sz w:val="20"/>
                <w:szCs w:val="20"/>
              </w:rPr>
            </w:pPr>
            <w:r>
              <w:rPr>
                <w:rFonts w:ascii="Arial" w:hAnsi="Arial" w:eastAsia="Arial" w:cs="Arial"/>
                <w:sz w:val="20"/>
                <w:szCs w:val="20"/>
              </w:rPr>
              <w:t>890</w:t>
            </w:r>
          </w:p>
        </w:tc>
        <w:tc>
          <w:tcPr>
            <w:tcW w:w="2808" w:type="dxa"/>
            <w:tcBorders>
              <w:top w:val="nil"/>
              <w:left w:val="nil"/>
              <w:bottom w:val="nil"/>
              <w:right w:val="nil"/>
            </w:tcBorders>
            <w:shd w:val="clear" w:color="auto" w:fill="auto"/>
            <w:vAlign w:val="center"/>
          </w:tcPr>
          <w:p w14:paraId="1A3B4488">
            <w:pPr>
              <w:rPr>
                <w:rFonts w:ascii="Arial" w:hAnsi="Arial" w:eastAsia="Arial" w:cs="Arial"/>
                <w:sz w:val="20"/>
                <w:szCs w:val="20"/>
              </w:rPr>
            </w:pPr>
            <w:r>
              <w:rPr>
                <w:rFonts w:ascii="Arial" w:hAnsi="Arial" w:eastAsia="Arial" w:cs="Arial"/>
              </w:rPr>
              <w:t>Gold, cotton</w:t>
            </w:r>
          </w:p>
        </w:tc>
        <w:tc>
          <w:tcPr>
            <w:tcW w:w="1644" w:type="dxa"/>
            <w:tcBorders>
              <w:top w:val="nil"/>
              <w:left w:val="nil"/>
              <w:bottom w:val="nil"/>
              <w:right w:val="nil"/>
            </w:tcBorders>
            <w:shd w:val="clear" w:color="auto" w:fill="auto"/>
            <w:vAlign w:val="center"/>
          </w:tcPr>
          <w:p w14:paraId="6EC0C6DB">
            <w:pPr>
              <w:rPr>
                <w:rFonts w:ascii="Arial" w:hAnsi="Arial" w:eastAsia="Arial" w:cs="Arial"/>
                <w:sz w:val="20"/>
                <w:szCs w:val="20"/>
              </w:rPr>
            </w:pPr>
            <w:r>
              <w:rPr>
                <w:rFonts w:ascii="Arial" w:hAnsi="Arial" w:eastAsia="Arial" w:cs="Arial"/>
                <w:sz w:val="20"/>
                <w:szCs w:val="20"/>
              </w:rPr>
              <w:t>6.4</w:t>
            </w:r>
            <w:r>
              <w:rPr>
                <w:rFonts w:hint="eastAsia" w:ascii="Arial" w:hAnsi="Arial" w:eastAsia="Arial" w:cs="Arial"/>
                <w:sz w:val="20"/>
                <w:szCs w:val="20"/>
              </w:rPr>
              <w:t xml:space="preserve">  (</w:t>
            </w:r>
            <w:r>
              <w:rPr>
                <w:rFonts w:ascii="Arial" w:hAnsi="Arial" w:eastAsia="Arial" w:cs="Arial"/>
                <w:sz w:val="20"/>
                <w:szCs w:val="20"/>
              </w:rPr>
              <w:t>2021</w:t>
            </w:r>
            <w:r>
              <w:rPr>
                <w:rFonts w:hint="eastAsia" w:ascii="Arial" w:hAnsi="Arial" w:eastAsia="Arial" w:cs="Arial"/>
                <w:sz w:val="20"/>
                <w:szCs w:val="20"/>
              </w:rPr>
              <w:t>)</w:t>
            </w:r>
          </w:p>
        </w:tc>
      </w:tr>
      <w:tr w14:paraId="51AB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nil"/>
              <w:right w:val="nil"/>
            </w:tcBorders>
            <w:shd w:val="clear" w:color="auto" w:fill="auto"/>
            <w:vAlign w:val="center"/>
          </w:tcPr>
          <w:p w14:paraId="48B1F559">
            <w:pPr>
              <w:rPr>
                <w:rFonts w:ascii="Arial" w:hAnsi="Arial" w:eastAsia="Arial" w:cs="Arial"/>
                <w:sz w:val="20"/>
                <w:szCs w:val="20"/>
              </w:rPr>
            </w:pPr>
            <w:r>
              <w:rPr>
                <w:rFonts w:ascii="Arial" w:hAnsi="Arial" w:eastAsia="Arial" w:cs="Arial"/>
                <w:sz w:val="20"/>
                <w:szCs w:val="20"/>
              </w:rPr>
              <w:t>Togo</w:t>
            </w:r>
          </w:p>
        </w:tc>
        <w:tc>
          <w:tcPr>
            <w:tcW w:w="1388" w:type="dxa"/>
            <w:vMerge w:val="continue"/>
            <w:tcBorders>
              <w:left w:val="nil"/>
              <w:right w:val="nil"/>
            </w:tcBorders>
            <w:shd w:val="clear" w:color="auto" w:fill="auto"/>
            <w:vAlign w:val="center"/>
          </w:tcPr>
          <w:p w14:paraId="6E1E227C">
            <w:pPr>
              <w:rPr>
                <w:rFonts w:ascii="Arial" w:hAnsi="Arial" w:eastAsia="Arial" w:cs="Arial"/>
                <w:sz w:val="20"/>
                <w:szCs w:val="20"/>
              </w:rPr>
            </w:pPr>
          </w:p>
        </w:tc>
        <w:tc>
          <w:tcPr>
            <w:tcW w:w="1296" w:type="dxa"/>
            <w:tcBorders>
              <w:top w:val="nil"/>
              <w:left w:val="nil"/>
              <w:bottom w:val="nil"/>
              <w:right w:val="nil"/>
            </w:tcBorders>
            <w:shd w:val="clear" w:color="auto" w:fill="auto"/>
            <w:vAlign w:val="center"/>
          </w:tcPr>
          <w:p w14:paraId="151DD002">
            <w:pPr>
              <w:rPr>
                <w:rFonts w:ascii="Arial" w:hAnsi="Arial" w:eastAsia="Arial" w:cs="Arial"/>
                <w:sz w:val="20"/>
                <w:szCs w:val="20"/>
              </w:rPr>
            </w:pPr>
            <w:r>
              <w:rPr>
                <w:rFonts w:ascii="Arial" w:hAnsi="Arial" w:eastAsia="Arial" w:cs="Arial"/>
                <w:sz w:val="20"/>
                <w:szCs w:val="20"/>
              </w:rPr>
              <w:t>973</w:t>
            </w:r>
          </w:p>
        </w:tc>
        <w:tc>
          <w:tcPr>
            <w:tcW w:w="2808" w:type="dxa"/>
            <w:tcBorders>
              <w:top w:val="nil"/>
              <w:left w:val="nil"/>
              <w:bottom w:val="nil"/>
              <w:right w:val="nil"/>
            </w:tcBorders>
            <w:shd w:val="clear" w:color="auto" w:fill="auto"/>
            <w:vAlign w:val="center"/>
          </w:tcPr>
          <w:p w14:paraId="33C19200">
            <w:pPr>
              <w:rPr>
                <w:rFonts w:ascii="Arial" w:hAnsi="Arial" w:eastAsia="Arial" w:cs="Arial"/>
                <w:sz w:val="20"/>
                <w:szCs w:val="20"/>
              </w:rPr>
            </w:pPr>
            <w:r>
              <w:rPr>
                <w:rFonts w:ascii="Arial" w:hAnsi="Arial" w:eastAsia="Arial" w:cs="Arial"/>
              </w:rPr>
              <w:t>Phosphate, cotton, entrepot trade</w:t>
            </w:r>
          </w:p>
        </w:tc>
        <w:tc>
          <w:tcPr>
            <w:tcW w:w="1644" w:type="dxa"/>
            <w:tcBorders>
              <w:top w:val="nil"/>
              <w:left w:val="nil"/>
              <w:bottom w:val="nil"/>
              <w:right w:val="nil"/>
            </w:tcBorders>
            <w:shd w:val="clear" w:color="auto" w:fill="auto"/>
            <w:vAlign w:val="center"/>
          </w:tcPr>
          <w:p w14:paraId="240AE976">
            <w:pPr>
              <w:rPr>
                <w:rFonts w:ascii="Arial" w:hAnsi="Arial" w:eastAsia="Arial" w:cs="Arial"/>
                <w:sz w:val="20"/>
                <w:szCs w:val="20"/>
              </w:rPr>
            </w:pPr>
            <w:r>
              <w:rPr>
                <w:rFonts w:ascii="Arial" w:hAnsi="Arial" w:eastAsia="Arial" w:cs="Arial"/>
                <w:sz w:val="20"/>
                <w:szCs w:val="20"/>
              </w:rPr>
              <w:t>3.6</w:t>
            </w:r>
            <w:r>
              <w:rPr>
                <w:rFonts w:hint="eastAsia" w:ascii="Arial" w:hAnsi="Arial" w:eastAsia="Arial" w:cs="Arial"/>
                <w:sz w:val="20"/>
                <w:szCs w:val="20"/>
              </w:rPr>
              <w:t xml:space="preserve">  (</w:t>
            </w:r>
            <w:r>
              <w:rPr>
                <w:rFonts w:ascii="Arial" w:hAnsi="Arial" w:eastAsia="Arial" w:cs="Arial"/>
                <w:sz w:val="20"/>
                <w:szCs w:val="20"/>
              </w:rPr>
              <w:t>2021</w:t>
            </w:r>
            <w:r>
              <w:rPr>
                <w:rFonts w:hint="eastAsia" w:ascii="Arial" w:hAnsi="Arial" w:eastAsia="Arial" w:cs="Arial"/>
                <w:sz w:val="20"/>
                <w:szCs w:val="20"/>
              </w:rPr>
              <w:t>)</w:t>
            </w:r>
          </w:p>
        </w:tc>
      </w:tr>
      <w:tr w14:paraId="033E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nil"/>
              <w:right w:val="nil"/>
            </w:tcBorders>
            <w:shd w:val="clear" w:color="auto" w:fill="auto"/>
            <w:vAlign w:val="center"/>
          </w:tcPr>
          <w:p w14:paraId="2BA1317C">
            <w:pPr>
              <w:rPr>
                <w:rFonts w:ascii="Arial" w:hAnsi="Arial" w:eastAsia="Arial" w:cs="Arial"/>
                <w:sz w:val="20"/>
                <w:szCs w:val="20"/>
              </w:rPr>
            </w:pPr>
            <w:r>
              <w:rPr>
                <w:rFonts w:ascii="Arial" w:hAnsi="Arial" w:eastAsia="Arial" w:cs="Arial"/>
                <w:sz w:val="20"/>
                <w:szCs w:val="20"/>
              </w:rPr>
              <w:t>Guinea</w:t>
            </w:r>
          </w:p>
        </w:tc>
        <w:tc>
          <w:tcPr>
            <w:tcW w:w="1388" w:type="dxa"/>
            <w:vMerge w:val="continue"/>
            <w:tcBorders>
              <w:left w:val="nil"/>
              <w:right w:val="nil"/>
            </w:tcBorders>
            <w:shd w:val="clear" w:color="auto" w:fill="auto"/>
            <w:vAlign w:val="center"/>
          </w:tcPr>
          <w:p w14:paraId="61F42601">
            <w:pPr>
              <w:rPr>
                <w:rFonts w:ascii="Arial" w:hAnsi="Arial" w:eastAsia="Arial" w:cs="Arial"/>
                <w:sz w:val="20"/>
                <w:szCs w:val="20"/>
              </w:rPr>
            </w:pPr>
          </w:p>
        </w:tc>
        <w:tc>
          <w:tcPr>
            <w:tcW w:w="1296" w:type="dxa"/>
            <w:tcBorders>
              <w:top w:val="nil"/>
              <w:left w:val="nil"/>
              <w:bottom w:val="nil"/>
              <w:right w:val="nil"/>
            </w:tcBorders>
            <w:shd w:val="clear" w:color="auto" w:fill="auto"/>
            <w:vAlign w:val="center"/>
          </w:tcPr>
          <w:p w14:paraId="6E62EAE6">
            <w:pPr>
              <w:rPr>
                <w:rFonts w:ascii="Arial" w:hAnsi="Arial" w:eastAsia="Arial" w:cs="Arial"/>
                <w:sz w:val="20"/>
                <w:szCs w:val="20"/>
              </w:rPr>
            </w:pPr>
            <w:r>
              <w:rPr>
                <w:rFonts w:ascii="Arial" w:hAnsi="Arial" w:eastAsia="Arial" w:cs="Arial"/>
                <w:sz w:val="20"/>
                <w:szCs w:val="20"/>
              </w:rPr>
              <w:t>1260</w:t>
            </w:r>
          </w:p>
        </w:tc>
        <w:tc>
          <w:tcPr>
            <w:tcW w:w="2808" w:type="dxa"/>
            <w:tcBorders>
              <w:top w:val="nil"/>
              <w:left w:val="nil"/>
              <w:bottom w:val="nil"/>
              <w:right w:val="nil"/>
            </w:tcBorders>
            <w:shd w:val="clear" w:color="auto" w:fill="auto"/>
            <w:vAlign w:val="center"/>
          </w:tcPr>
          <w:p w14:paraId="63DA6107">
            <w:pPr>
              <w:rPr>
                <w:rFonts w:ascii="Arial" w:hAnsi="Arial" w:eastAsia="Arial" w:cs="Arial"/>
                <w:sz w:val="20"/>
                <w:szCs w:val="20"/>
              </w:rPr>
            </w:pPr>
            <w:r>
              <w:rPr>
                <w:rFonts w:ascii="Arial" w:hAnsi="Arial" w:eastAsia="Arial" w:cs="Arial"/>
              </w:rPr>
              <w:t>Bauxite, agriculture</w:t>
            </w:r>
          </w:p>
        </w:tc>
        <w:tc>
          <w:tcPr>
            <w:tcW w:w="1644" w:type="dxa"/>
            <w:tcBorders>
              <w:top w:val="nil"/>
              <w:left w:val="nil"/>
              <w:bottom w:val="nil"/>
              <w:right w:val="nil"/>
            </w:tcBorders>
            <w:shd w:val="clear" w:color="auto" w:fill="auto"/>
            <w:vAlign w:val="center"/>
          </w:tcPr>
          <w:p w14:paraId="4BC943E7">
            <w:pPr>
              <w:rPr>
                <w:rFonts w:ascii="Arial" w:hAnsi="Arial" w:eastAsia="Arial" w:cs="Arial"/>
                <w:sz w:val="20"/>
                <w:szCs w:val="20"/>
              </w:rPr>
            </w:pPr>
            <w:r>
              <w:rPr>
                <w:rFonts w:ascii="Arial" w:hAnsi="Arial" w:eastAsia="Arial" w:cs="Arial"/>
                <w:sz w:val="20"/>
                <w:szCs w:val="20"/>
              </w:rPr>
              <w:t>5.9</w:t>
            </w:r>
            <w:r>
              <w:rPr>
                <w:rFonts w:hint="eastAsia" w:ascii="Arial" w:hAnsi="Arial" w:eastAsia="Arial" w:cs="Arial"/>
                <w:sz w:val="20"/>
                <w:szCs w:val="20"/>
              </w:rPr>
              <w:t xml:space="preserve">  (</w:t>
            </w:r>
            <w:r>
              <w:rPr>
                <w:rFonts w:ascii="Arial" w:hAnsi="Arial" w:eastAsia="Arial" w:cs="Arial"/>
                <w:sz w:val="20"/>
                <w:szCs w:val="20"/>
              </w:rPr>
              <w:t>2021</w:t>
            </w:r>
            <w:r>
              <w:rPr>
                <w:rFonts w:hint="eastAsia" w:ascii="Arial" w:hAnsi="Arial" w:eastAsia="Arial" w:cs="Arial"/>
                <w:sz w:val="20"/>
                <w:szCs w:val="20"/>
              </w:rPr>
              <w:t>)</w:t>
            </w:r>
          </w:p>
        </w:tc>
      </w:tr>
      <w:tr w14:paraId="3B75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nil"/>
              <w:right w:val="nil"/>
            </w:tcBorders>
            <w:shd w:val="clear" w:color="auto" w:fill="auto"/>
            <w:vAlign w:val="center"/>
          </w:tcPr>
          <w:p w14:paraId="195E335F">
            <w:pPr>
              <w:rPr>
                <w:rFonts w:ascii="Arial" w:hAnsi="Arial" w:eastAsia="Arial" w:cs="Arial"/>
                <w:sz w:val="20"/>
                <w:szCs w:val="20"/>
              </w:rPr>
            </w:pPr>
            <w:r>
              <w:rPr>
                <w:rFonts w:ascii="Arial" w:hAnsi="Arial" w:eastAsia="Arial" w:cs="Arial"/>
                <w:sz w:val="20"/>
                <w:szCs w:val="20"/>
              </w:rPr>
              <w:t>Benin</w:t>
            </w:r>
          </w:p>
        </w:tc>
        <w:tc>
          <w:tcPr>
            <w:tcW w:w="1388" w:type="dxa"/>
            <w:vMerge w:val="continue"/>
            <w:tcBorders>
              <w:left w:val="nil"/>
              <w:right w:val="nil"/>
            </w:tcBorders>
            <w:shd w:val="clear" w:color="auto" w:fill="auto"/>
            <w:vAlign w:val="center"/>
          </w:tcPr>
          <w:p w14:paraId="4DE57484">
            <w:pPr>
              <w:rPr>
                <w:rFonts w:ascii="Arial" w:hAnsi="Arial" w:eastAsia="Arial" w:cs="Arial"/>
                <w:sz w:val="20"/>
                <w:szCs w:val="20"/>
              </w:rPr>
            </w:pPr>
          </w:p>
        </w:tc>
        <w:tc>
          <w:tcPr>
            <w:tcW w:w="1296" w:type="dxa"/>
            <w:tcBorders>
              <w:top w:val="nil"/>
              <w:left w:val="nil"/>
              <w:bottom w:val="nil"/>
              <w:right w:val="nil"/>
            </w:tcBorders>
            <w:shd w:val="clear" w:color="auto" w:fill="auto"/>
            <w:vAlign w:val="center"/>
          </w:tcPr>
          <w:p w14:paraId="76B3D4DA">
            <w:pPr>
              <w:rPr>
                <w:rFonts w:ascii="Arial" w:hAnsi="Arial" w:eastAsia="Arial" w:cs="Arial"/>
                <w:sz w:val="20"/>
                <w:szCs w:val="20"/>
              </w:rPr>
            </w:pPr>
            <w:r>
              <w:rPr>
                <w:rFonts w:ascii="Arial" w:hAnsi="Arial" w:eastAsia="Arial" w:cs="Arial"/>
                <w:sz w:val="20"/>
                <w:szCs w:val="20"/>
              </w:rPr>
              <w:t>1320</w:t>
            </w:r>
          </w:p>
        </w:tc>
        <w:tc>
          <w:tcPr>
            <w:tcW w:w="2808" w:type="dxa"/>
            <w:tcBorders>
              <w:top w:val="nil"/>
              <w:left w:val="nil"/>
              <w:bottom w:val="nil"/>
              <w:right w:val="nil"/>
            </w:tcBorders>
            <w:shd w:val="clear" w:color="auto" w:fill="auto"/>
            <w:vAlign w:val="center"/>
          </w:tcPr>
          <w:p w14:paraId="6BF9946C">
            <w:pPr>
              <w:rPr>
                <w:rFonts w:ascii="Arial" w:hAnsi="Arial" w:eastAsia="Arial" w:cs="Arial"/>
                <w:sz w:val="20"/>
                <w:szCs w:val="20"/>
              </w:rPr>
            </w:pPr>
            <w:r>
              <w:rPr>
                <w:rFonts w:ascii="Arial" w:hAnsi="Arial" w:eastAsia="Arial" w:cs="Arial"/>
              </w:rPr>
              <w:t>Agriculture and port trade</w:t>
            </w:r>
          </w:p>
        </w:tc>
        <w:tc>
          <w:tcPr>
            <w:tcW w:w="1644" w:type="dxa"/>
            <w:tcBorders>
              <w:top w:val="nil"/>
              <w:left w:val="nil"/>
              <w:bottom w:val="nil"/>
              <w:right w:val="nil"/>
            </w:tcBorders>
            <w:shd w:val="clear" w:color="auto" w:fill="auto"/>
            <w:vAlign w:val="center"/>
          </w:tcPr>
          <w:p w14:paraId="60BFDC5B">
            <w:pPr>
              <w:rPr>
                <w:rFonts w:ascii="Arial" w:hAnsi="Arial" w:eastAsia="Arial" w:cs="Arial"/>
                <w:sz w:val="20"/>
                <w:szCs w:val="20"/>
              </w:rPr>
            </w:pPr>
            <w:r>
              <w:rPr>
                <w:rFonts w:ascii="Arial" w:hAnsi="Arial" w:eastAsia="Arial" w:cs="Arial"/>
                <w:sz w:val="20"/>
                <w:szCs w:val="20"/>
              </w:rPr>
              <w:t>2.5</w:t>
            </w:r>
            <w:r>
              <w:rPr>
                <w:rFonts w:hint="eastAsia" w:ascii="Arial" w:hAnsi="Arial" w:eastAsia="Arial" w:cs="Arial"/>
                <w:sz w:val="20"/>
                <w:szCs w:val="20"/>
              </w:rPr>
              <w:t xml:space="preserve">  (</w:t>
            </w:r>
            <w:r>
              <w:rPr>
                <w:rFonts w:ascii="Arial" w:hAnsi="Arial" w:eastAsia="Arial" w:cs="Arial"/>
                <w:sz w:val="20"/>
                <w:szCs w:val="20"/>
              </w:rPr>
              <w:t>2022</w:t>
            </w:r>
            <w:r>
              <w:rPr>
                <w:rFonts w:hint="eastAsia" w:ascii="Arial" w:hAnsi="Arial" w:eastAsia="Arial" w:cs="Arial"/>
                <w:sz w:val="20"/>
                <w:szCs w:val="20"/>
              </w:rPr>
              <w:t>)</w:t>
            </w:r>
          </w:p>
        </w:tc>
      </w:tr>
      <w:tr w14:paraId="5A07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nil"/>
              <w:right w:val="nil"/>
            </w:tcBorders>
            <w:shd w:val="clear" w:color="auto" w:fill="auto"/>
            <w:vAlign w:val="center"/>
          </w:tcPr>
          <w:p w14:paraId="271FD95C">
            <w:pPr>
              <w:rPr>
                <w:rFonts w:ascii="Arial" w:hAnsi="Arial" w:eastAsia="Arial" w:cs="Arial"/>
                <w:sz w:val="20"/>
                <w:szCs w:val="20"/>
              </w:rPr>
            </w:pPr>
            <w:r>
              <w:rPr>
                <w:rFonts w:ascii="Arial" w:hAnsi="Arial" w:eastAsia="Arial" w:cs="Arial"/>
                <w:sz w:val="20"/>
                <w:szCs w:val="20"/>
              </w:rPr>
              <w:t>Senegal</w:t>
            </w:r>
          </w:p>
        </w:tc>
        <w:tc>
          <w:tcPr>
            <w:tcW w:w="1388" w:type="dxa"/>
            <w:vMerge w:val="continue"/>
            <w:tcBorders>
              <w:left w:val="nil"/>
              <w:right w:val="nil"/>
            </w:tcBorders>
            <w:shd w:val="clear" w:color="auto" w:fill="auto"/>
            <w:vAlign w:val="center"/>
          </w:tcPr>
          <w:p w14:paraId="0BE2683B">
            <w:pPr>
              <w:rPr>
                <w:rFonts w:ascii="Arial" w:hAnsi="Arial" w:eastAsia="Arial" w:cs="Arial"/>
                <w:sz w:val="20"/>
                <w:szCs w:val="20"/>
              </w:rPr>
            </w:pPr>
          </w:p>
        </w:tc>
        <w:tc>
          <w:tcPr>
            <w:tcW w:w="1296" w:type="dxa"/>
            <w:tcBorders>
              <w:top w:val="nil"/>
              <w:left w:val="nil"/>
              <w:bottom w:val="nil"/>
              <w:right w:val="nil"/>
            </w:tcBorders>
            <w:shd w:val="clear" w:color="auto" w:fill="auto"/>
            <w:vAlign w:val="center"/>
          </w:tcPr>
          <w:p w14:paraId="07C54FB1">
            <w:pPr>
              <w:rPr>
                <w:rFonts w:ascii="Arial" w:hAnsi="Arial" w:eastAsia="Arial" w:cs="Arial"/>
                <w:sz w:val="20"/>
                <w:szCs w:val="20"/>
              </w:rPr>
            </w:pPr>
            <w:r>
              <w:rPr>
                <w:rFonts w:ascii="Arial" w:hAnsi="Arial" w:eastAsia="Arial" w:cs="Arial"/>
                <w:sz w:val="20"/>
                <w:szCs w:val="20"/>
              </w:rPr>
              <w:t>1640</w:t>
            </w:r>
          </w:p>
        </w:tc>
        <w:tc>
          <w:tcPr>
            <w:tcW w:w="2808" w:type="dxa"/>
            <w:tcBorders>
              <w:top w:val="nil"/>
              <w:left w:val="nil"/>
              <w:bottom w:val="nil"/>
              <w:right w:val="nil"/>
            </w:tcBorders>
            <w:shd w:val="clear" w:color="auto" w:fill="auto"/>
            <w:vAlign w:val="center"/>
          </w:tcPr>
          <w:p w14:paraId="378EEBE1">
            <w:pPr>
              <w:rPr>
                <w:rFonts w:ascii="Arial" w:hAnsi="Arial" w:eastAsia="Arial" w:cs="Arial"/>
                <w:sz w:val="20"/>
                <w:szCs w:val="20"/>
              </w:rPr>
            </w:pPr>
            <w:r>
              <w:rPr>
                <w:rFonts w:ascii="Arial" w:hAnsi="Arial" w:eastAsia="Arial" w:cs="Arial"/>
              </w:rPr>
              <w:t>Phosphate, fishery and service industry</w:t>
            </w:r>
          </w:p>
        </w:tc>
        <w:tc>
          <w:tcPr>
            <w:tcW w:w="1644" w:type="dxa"/>
            <w:tcBorders>
              <w:top w:val="nil"/>
              <w:left w:val="nil"/>
              <w:bottom w:val="nil"/>
              <w:right w:val="nil"/>
            </w:tcBorders>
            <w:shd w:val="clear" w:color="auto" w:fill="auto"/>
            <w:vAlign w:val="center"/>
          </w:tcPr>
          <w:p w14:paraId="00FBE185">
            <w:pPr>
              <w:rPr>
                <w:rFonts w:ascii="Arial" w:hAnsi="Arial" w:eastAsia="Arial" w:cs="Arial"/>
                <w:sz w:val="20"/>
                <w:szCs w:val="20"/>
              </w:rPr>
            </w:pPr>
            <w:r>
              <w:rPr>
                <w:rFonts w:ascii="Arial" w:hAnsi="Arial" w:eastAsia="Arial" w:cs="Arial"/>
                <w:sz w:val="20"/>
                <w:szCs w:val="20"/>
              </w:rPr>
              <w:t>18.0</w:t>
            </w:r>
            <w:r>
              <w:rPr>
                <w:rFonts w:hint="eastAsia" w:ascii="Arial" w:hAnsi="Arial" w:eastAsia="Arial" w:cs="Arial"/>
                <w:sz w:val="20"/>
                <w:szCs w:val="20"/>
              </w:rPr>
              <w:t xml:space="preserve">  (</w:t>
            </w:r>
            <w:r>
              <w:rPr>
                <w:rFonts w:ascii="Arial" w:hAnsi="Arial" w:eastAsia="Arial" w:cs="Arial"/>
                <w:sz w:val="20"/>
                <w:szCs w:val="20"/>
              </w:rPr>
              <w:t>2022</w:t>
            </w:r>
            <w:r>
              <w:rPr>
                <w:rFonts w:hint="eastAsia" w:ascii="Arial" w:hAnsi="Arial" w:eastAsia="Arial" w:cs="Arial"/>
                <w:sz w:val="20"/>
                <w:szCs w:val="20"/>
              </w:rPr>
              <w:t>)</w:t>
            </w:r>
          </w:p>
        </w:tc>
      </w:tr>
      <w:tr w14:paraId="32AA8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nil"/>
              <w:right w:val="nil"/>
            </w:tcBorders>
            <w:shd w:val="clear" w:color="auto" w:fill="auto"/>
            <w:vAlign w:val="center"/>
          </w:tcPr>
          <w:p w14:paraId="6964910D">
            <w:pPr>
              <w:rPr>
                <w:rFonts w:ascii="Arial" w:hAnsi="Arial" w:eastAsia="Arial" w:cs="Arial"/>
                <w:sz w:val="20"/>
                <w:szCs w:val="20"/>
              </w:rPr>
            </w:pPr>
            <w:r>
              <w:rPr>
                <w:rFonts w:ascii="Arial" w:hAnsi="Arial" w:eastAsia="Arial" w:cs="Arial"/>
                <w:sz w:val="20"/>
                <w:szCs w:val="20"/>
              </w:rPr>
              <w:t>Mauritania</w:t>
            </w:r>
          </w:p>
        </w:tc>
        <w:tc>
          <w:tcPr>
            <w:tcW w:w="1388" w:type="dxa"/>
            <w:vMerge w:val="continue"/>
            <w:tcBorders>
              <w:left w:val="nil"/>
              <w:bottom w:val="nil"/>
              <w:right w:val="nil"/>
            </w:tcBorders>
            <w:shd w:val="clear" w:color="auto" w:fill="auto"/>
            <w:vAlign w:val="center"/>
          </w:tcPr>
          <w:p w14:paraId="521DA133">
            <w:pPr>
              <w:rPr>
                <w:rFonts w:ascii="Arial" w:hAnsi="Arial" w:eastAsia="Arial" w:cs="Arial"/>
                <w:sz w:val="20"/>
                <w:szCs w:val="20"/>
              </w:rPr>
            </w:pPr>
          </w:p>
        </w:tc>
        <w:tc>
          <w:tcPr>
            <w:tcW w:w="1296" w:type="dxa"/>
            <w:tcBorders>
              <w:top w:val="nil"/>
              <w:left w:val="nil"/>
              <w:bottom w:val="nil"/>
              <w:right w:val="nil"/>
            </w:tcBorders>
            <w:shd w:val="clear" w:color="auto" w:fill="auto"/>
            <w:vAlign w:val="center"/>
          </w:tcPr>
          <w:p w14:paraId="55BDF692">
            <w:pPr>
              <w:rPr>
                <w:rFonts w:ascii="Arial" w:hAnsi="Arial" w:eastAsia="Arial" w:cs="Arial"/>
                <w:sz w:val="20"/>
                <w:szCs w:val="20"/>
              </w:rPr>
            </w:pPr>
            <w:r>
              <w:rPr>
                <w:rFonts w:ascii="Arial" w:hAnsi="Arial" w:eastAsia="Arial" w:cs="Arial"/>
                <w:sz w:val="20"/>
                <w:szCs w:val="20"/>
              </w:rPr>
              <w:t>2210</w:t>
            </w:r>
          </w:p>
        </w:tc>
        <w:tc>
          <w:tcPr>
            <w:tcW w:w="2808" w:type="dxa"/>
            <w:tcBorders>
              <w:top w:val="nil"/>
              <w:left w:val="nil"/>
              <w:bottom w:val="nil"/>
              <w:right w:val="nil"/>
            </w:tcBorders>
            <w:shd w:val="clear" w:color="auto" w:fill="auto"/>
            <w:vAlign w:val="center"/>
          </w:tcPr>
          <w:p w14:paraId="73A91F18">
            <w:pPr>
              <w:rPr>
                <w:rFonts w:ascii="Arial" w:hAnsi="Arial" w:eastAsia="Arial" w:cs="Arial"/>
                <w:sz w:val="20"/>
                <w:szCs w:val="20"/>
              </w:rPr>
            </w:pPr>
            <w:r>
              <w:rPr>
                <w:rFonts w:ascii="Arial" w:hAnsi="Arial" w:eastAsia="Arial" w:cs="Arial"/>
              </w:rPr>
              <w:t>Iron ore, fishery and animal husbandry</w:t>
            </w:r>
          </w:p>
        </w:tc>
        <w:tc>
          <w:tcPr>
            <w:tcW w:w="1644" w:type="dxa"/>
            <w:tcBorders>
              <w:top w:val="nil"/>
              <w:left w:val="nil"/>
              <w:bottom w:val="nil"/>
              <w:right w:val="nil"/>
            </w:tcBorders>
            <w:shd w:val="clear" w:color="auto" w:fill="auto"/>
            <w:vAlign w:val="center"/>
          </w:tcPr>
          <w:p w14:paraId="3A1AD6AD">
            <w:pPr>
              <w:rPr>
                <w:rFonts w:ascii="Arial" w:hAnsi="Arial" w:eastAsia="Arial" w:cs="Arial"/>
                <w:sz w:val="20"/>
                <w:szCs w:val="20"/>
              </w:rPr>
            </w:pPr>
            <w:r>
              <w:rPr>
                <w:rFonts w:ascii="Arial" w:hAnsi="Arial" w:eastAsia="Arial" w:cs="Arial"/>
                <w:sz w:val="20"/>
                <w:szCs w:val="20"/>
              </w:rPr>
              <w:t>12.8</w:t>
            </w:r>
            <w:r>
              <w:rPr>
                <w:rFonts w:hint="eastAsia" w:ascii="Arial" w:hAnsi="Arial" w:eastAsia="Arial" w:cs="Arial"/>
                <w:sz w:val="20"/>
                <w:szCs w:val="20"/>
              </w:rPr>
              <w:t xml:space="preserve">  (</w:t>
            </w:r>
            <w:r>
              <w:rPr>
                <w:rFonts w:ascii="Arial" w:hAnsi="Arial" w:eastAsia="Arial" w:cs="Arial"/>
                <w:sz w:val="20"/>
                <w:szCs w:val="20"/>
              </w:rPr>
              <w:t>2022</w:t>
            </w:r>
            <w:r>
              <w:rPr>
                <w:rFonts w:hint="eastAsia" w:ascii="Arial" w:hAnsi="Arial" w:eastAsia="Arial" w:cs="Arial"/>
                <w:sz w:val="20"/>
                <w:szCs w:val="20"/>
              </w:rPr>
              <w:t>)</w:t>
            </w:r>
          </w:p>
        </w:tc>
      </w:tr>
      <w:tr w14:paraId="3DA94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nil"/>
              <w:right w:val="nil"/>
            </w:tcBorders>
            <w:shd w:val="clear" w:color="auto" w:fill="auto"/>
            <w:vAlign w:val="center"/>
          </w:tcPr>
          <w:p w14:paraId="531E60B2">
            <w:pPr>
              <w:rPr>
                <w:rFonts w:ascii="Arial" w:hAnsi="Arial" w:eastAsia="Arial" w:cs="Arial"/>
                <w:sz w:val="20"/>
                <w:szCs w:val="20"/>
              </w:rPr>
            </w:pPr>
            <w:r>
              <w:rPr>
                <w:rFonts w:hint="eastAsia" w:ascii="Arial" w:hAnsi="Arial" w:eastAsia="宋体" w:cs="Arial"/>
              </w:rPr>
              <w:t>B</w:t>
            </w:r>
            <w:r>
              <w:rPr>
                <w:rFonts w:ascii="Arial" w:hAnsi="Arial" w:eastAsia="Arial" w:cs="Arial"/>
              </w:rPr>
              <w:t>urundi</w:t>
            </w:r>
          </w:p>
        </w:tc>
        <w:tc>
          <w:tcPr>
            <w:tcW w:w="1388" w:type="dxa"/>
            <w:vMerge w:val="restart"/>
            <w:tcBorders>
              <w:top w:val="nil"/>
              <w:left w:val="nil"/>
              <w:right w:val="nil"/>
            </w:tcBorders>
            <w:shd w:val="clear" w:color="auto" w:fill="auto"/>
            <w:vAlign w:val="center"/>
          </w:tcPr>
          <w:p w14:paraId="4F7062E8">
            <w:pPr>
              <w:rPr>
                <w:rFonts w:ascii="Arial" w:hAnsi="Arial" w:eastAsia="Arial" w:cs="Arial"/>
                <w:sz w:val="20"/>
                <w:szCs w:val="20"/>
              </w:rPr>
            </w:pPr>
            <w:r>
              <w:rPr>
                <w:rFonts w:ascii="Arial" w:hAnsi="Arial" w:eastAsia="Arial" w:cs="Arial"/>
                <w:sz w:val="20"/>
                <w:szCs w:val="20"/>
              </w:rPr>
              <w:t>East Africa</w:t>
            </w:r>
          </w:p>
          <w:p w14:paraId="258F3ABF">
            <w:pPr>
              <w:rPr>
                <w:rFonts w:ascii="Arial" w:hAnsi="Arial" w:eastAsia="Arial" w:cs="Arial"/>
                <w:sz w:val="20"/>
                <w:szCs w:val="20"/>
              </w:rPr>
            </w:pPr>
            <w:r>
              <w:rPr>
                <w:rFonts w:ascii="Arial" w:hAnsi="Arial" w:eastAsia="Arial" w:cs="Arial"/>
                <w:sz w:val="20"/>
                <w:szCs w:val="20"/>
              </w:rPr>
              <w:t>(15 countries)</w:t>
            </w:r>
          </w:p>
        </w:tc>
        <w:tc>
          <w:tcPr>
            <w:tcW w:w="1296" w:type="dxa"/>
            <w:tcBorders>
              <w:top w:val="nil"/>
              <w:left w:val="nil"/>
              <w:bottom w:val="nil"/>
              <w:right w:val="nil"/>
            </w:tcBorders>
            <w:shd w:val="clear" w:color="auto" w:fill="auto"/>
            <w:vAlign w:val="center"/>
          </w:tcPr>
          <w:p w14:paraId="02CD6A69">
            <w:pPr>
              <w:rPr>
                <w:rFonts w:ascii="Arial" w:hAnsi="Arial" w:eastAsia="Arial" w:cs="Arial"/>
                <w:sz w:val="20"/>
                <w:szCs w:val="20"/>
              </w:rPr>
            </w:pPr>
            <w:r>
              <w:rPr>
                <w:rFonts w:ascii="Arial" w:hAnsi="Arial" w:eastAsia="Arial" w:cs="Arial"/>
                <w:sz w:val="20"/>
                <w:szCs w:val="20"/>
              </w:rPr>
              <w:t>259</w:t>
            </w:r>
          </w:p>
        </w:tc>
        <w:tc>
          <w:tcPr>
            <w:tcW w:w="2808" w:type="dxa"/>
            <w:tcBorders>
              <w:top w:val="nil"/>
              <w:left w:val="nil"/>
              <w:bottom w:val="nil"/>
              <w:right w:val="nil"/>
            </w:tcBorders>
            <w:shd w:val="clear" w:color="auto" w:fill="auto"/>
            <w:vAlign w:val="center"/>
          </w:tcPr>
          <w:p w14:paraId="1D77FA64">
            <w:pPr>
              <w:rPr>
                <w:rFonts w:ascii="Arial" w:hAnsi="Arial" w:eastAsia="Arial" w:cs="Arial"/>
              </w:rPr>
            </w:pPr>
            <w:r>
              <w:rPr>
                <w:rFonts w:ascii="Arial" w:hAnsi="Arial" w:eastAsia="Arial" w:cs="Arial"/>
              </w:rPr>
              <w:t>Agriculture,</w:t>
            </w:r>
          </w:p>
          <w:p w14:paraId="1ECD834F">
            <w:pPr>
              <w:rPr>
                <w:rFonts w:ascii="Arial" w:hAnsi="Arial" w:eastAsia="Arial" w:cs="Arial"/>
                <w:sz w:val="20"/>
                <w:szCs w:val="20"/>
              </w:rPr>
            </w:pPr>
            <w:r>
              <w:rPr>
                <w:rFonts w:ascii="Arial" w:hAnsi="Arial" w:eastAsia="Arial" w:cs="Arial"/>
              </w:rPr>
              <w:t>self-sufficiency economy</w:t>
            </w:r>
          </w:p>
        </w:tc>
        <w:tc>
          <w:tcPr>
            <w:tcW w:w="1644" w:type="dxa"/>
            <w:tcBorders>
              <w:top w:val="nil"/>
              <w:left w:val="nil"/>
              <w:bottom w:val="nil"/>
              <w:right w:val="nil"/>
            </w:tcBorders>
            <w:shd w:val="clear" w:color="auto" w:fill="auto"/>
            <w:vAlign w:val="center"/>
          </w:tcPr>
          <w:p w14:paraId="4D3321EC">
            <w:pPr>
              <w:rPr>
                <w:rFonts w:ascii="Arial" w:hAnsi="Arial" w:eastAsia="Arial" w:cs="Arial"/>
                <w:sz w:val="20"/>
                <w:szCs w:val="20"/>
              </w:rPr>
            </w:pPr>
            <w:r>
              <w:rPr>
                <w:rFonts w:ascii="Arial" w:hAnsi="Arial" w:eastAsia="Arial" w:cs="Arial"/>
                <w:sz w:val="20"/>
                <w:szCs w:val="20"/>
              </w:rPr>
              <w:t>2.0</w:t>
            </w:r>
            <w:r>
              <w:rPr>
                <w:rFonts w:hint="eastAsia" w:ascii="Arial" w:hAnsi="Arial" w:eastAsia="Arial" w:cs="Arial"/>
                <w:sz w:val="20"/>
                <w:szCs w:val="20"/>
              </w:rPr>
              <w:t xml:space="preserve">  (</w:t>
            </w:r>
            <w:r>
              <w:rPr>
                <w:rFonts w:ascii="Arial" w:hAnsi="Arial" w:eastAsia="Arial" w:cs="Arial"/>
                <w:sz w:val="20"/>
                <w:szCs w:val="20"/>
              </w:rPr>
              <w:t>2020</w:t>
            </w:r>
            <w:r>
              <w:rPr>
                <w:rFonts w:hint="eastAsia" w:ascii="Arial" w:hAnsi="Arial" w:eastAsia="Arial" w:cs="Arial"/>
                <w:sz w:val="20"/>
                <w:szCs w:val="20"/>
              </w:rPr>
              <w:t>)</w:t>
            </w:r>
          </w:p>
        </w:tc>
      </w:tr>
      <w:tr w14:paraId="307B8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nil"/>
              <w:right w:val="nil"/>
            </w:tcBorders>
            <w:shd w:val="clear" w:color="auto" w:fill="auto"/>
            <w:vAlign w:val="center"/>
          </w:tcPr>
          <w:p w14:paraId="22CAF51D">
            <w:pPr>
              <w:rPr>
                <w:rFonts w:ascii="Arial" w:hAnsi="Arial" w:eastAsia="Arial" w:cs="Arial"/>
                <w:sz w:val="20"/>
                <w:szCs w:val="20"/>
              </w:rPr>
            </w:pPr>
            <w:r>
              <w:rPr>
                <w:rFonts w:ascii="Arial" w:hAnsi="Arial" w:eastAsia="Arial" w:cs="Arial"/>
              </w:rPr>
              <w:t>Mozambique</w:t>
            </w:r>
          </w:p>
        </w:tc>
        <w:tc>
          <w:tcPr>
            <w:tcW w:w="1388" w:type="dxa"/>
            <w:vMerge w:val="continue"/>
            <w:tcBorders>
              <w:left w:val="nil"/>
              <w:right w:val="nil"/>
            </w:tcBorders>
            <w:shd w:val="clear" w:color="auto" w:fill="auto"/>
            <w:vAlign w:val="center"/>
          </w:tcPr>
          <w:p w14:paraId="5F2A2B81">
            <w:pPr>
              <w:rPr>
                <w:rFonts w:ascii="Arial" w:hAnsi="Arial" w:eastAsia="Arial" w:cs="Arial"/>
                <w:sz w:val="20"/>
                <w:szCs w:val="20"/>
              </w:rPr>
            </w:pPr>
          </w:p>
        </w:tc>
        <w:tc>
          <w:tcPr>
            <w:tcW w:w="1296" w:type="dxa"/>
            <w:tcBorders>
              <w:top w:val="nil"/>
              <w:left w:val="nil"/>
              <w:bottom w:val="nil"/>
              <w:right w:val="nil"/>
            </w:tcBorders>
            <w:shd w:val="clear" w:color="auto" w:fill="auto"/>
            <w:vAlign w:val="center"/>
          </w:tcPr>
          <w:p w14:paraId="6FD3E920">
            <w:pPr>
              <w:rPr>
                <w:rFonts w:ascii="Arial" w:hAnsi="Arial" w:eastAsia="Arial" w:cs="Arial"/>
                <w:sz w:val="20"/>
                <w:szCs w:val="20"/>
              </w:rPr>
            </w:pPr>
            <w:r>
              <w:rPr>
                <w:rFonts w:ascii="Arial" w:hAnsi="Arial" w:eastAsia="Arial" w:cs="Arial"/>
                <w:sz w:val="20"/>
                <w:szCs w:val="20"/>
              </w:rPr>
              <w:t>548</w:t>
            </w:r>
          </w:p>
        </w:tc>
        <w:tc>
          <w:tcPr>
            <w:tcW w:w="2808" w:type="dxa"/>
            <w:tcBorders>
              <w:top w:val="nil"/>
              <w:left w:val="nil"/>
              <w:bottom w:val="nil"/>
              <w:right w:val="nil"/>
            </w:tcBorders>
            <w:shd w:val="clear" w:color="auto" w:fill="auto"/>
            <w:vAlign w:val="center"/>
          </w:tcPr>
          <w:p w14:paraId="2FA354BB">
            <w:pPr>
              <w:rPr>
                <w:rFonts w:ascii="Arial" w:hAnsi="Arial" w:eastAsia="Arial" w:cs="Arial"/>
                <w:sz w:val="20"/>
                <w:szCs w:val="20"/>
              </w:rPr>
            </w:pPr>
            <w:r>
              <w:rPr>
                <w:rFonts w:ascii="Arial" w:hAnsi="Arial" w:eastAsia="Arial" w:cs="Arial"/>
              </w:rPr>
              <w:t>Natural gas, coal</w:t>
            </w:r>
          </w:p>
        </w:tc>
        <w:tc>
          <w:tcPr>
            <w:tcW w:w="1644" w:type="dxa"/>
            <w:tcBorders>
              <w:top w:val="nil"/>
              <w:left w:val="nil"/>
              <w:bottom w:val="nil"/>
              <w:right w:val="nil"/>
            </w:tcBorders>
            <w:shd w:val="clear" w:color="auto" w:fill="auto"/>
            <w:vAlign w:val="center"/>
          </w:tcPr>
          <w:p w14:paraId="27F65730">
            <w:pPr>
              <w:rPr>
                <w:rFonts w:ascii="Arial" w:hAnsi="Arial" w:eastAsia="Arial" w:cs="Arial"/>
                <w:sz w:val="20"/>
                <w:szCs w:val="20"/>
              </w:rPr>
            </w:pPr>
            <w:r>
              <w:rPr>
                <w:rFonts w:ascii="Arial" w:hAnsi="Arial" w:eastAsia="Arial" w:cs="Arial"/>
                <w:sz w:val="20"/>
                <w:szCs w:val="20"/>
              </w:rPr>
              <w:t>24.5</w:t>
            </w:r>
            <w:r>
              <w:rPr>
                <w:rFonts w:hint="eastAsia" w:ascii="Arial" w:hAnsi="Arial" w:eastAsia="Arial" w:cs="Arial"/>
                <w:sz w:val="20"/>
                <w:szCs w:val="20"/>
              </w:rPr>
              <w:t xml:space="preserve">  (</w:t>
            </w:r>
            <w:r>
              <w:rPr>
                <w:rFonts w:ascii="Arial" w:hAnsi="Arial" w:eastAsia="Arial" w:cs="Arial"/>
                <w:sz w:val="20"/>
                <w:szCs w:val="20"/>
              </w:rPr>
              <w:t>2022</w:t>
            </w:r>
            <w:r>
              <w:rPr>
                <w:rFonts w:hint="eastAsia" w:ascii="Arial" w:hAnsi="Arial" w:eastAsia="Arial" w:cs="Arial"/>
                <w:sz w:val="20"/>
                <w:szCs w:val="20"/>
              </w:rPr>
              <w:t>)</w:t>
            </w:r>
          </w:p>
        </w:tc>
      </w:tr>
      <w:tr w14:paraId="6EF04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nil"/>
              <w:right w:val="nil"/>
            </w:tcBorders>
            <w:shd w:val="clear" w:color="auto" w:fill="auto"/>
            <w:vAlign w:val="center"/>
          </w:tcPr>
          <w:p w14:paraId="0E7693B5">
            <w:pPr>
              <w:rPr>
                <w:rFonts w:ascii="Arial" w:hAnsi="Arial" w:eastAsia="Arial" w:cs="Arial"/>
                <w:sz w:val="20"/>
                <w:szCs w:val="20"/>
              </w:rPr>
            </w:pPr>
            <w:r>
              <w:rPr>
                <w:rFonts w:ascii="Arial" w:hAnsi="Arial" w:eastAsia="Arial" w:cs="Arial"/>
              </w:rPr>
              <w:t>Madagascar</w:t>
            </w:r>
          </w:p>
        </w:tc>
        <w:tc>
          <w:tcPr>
            <w:tcW w:w="1388" w:type="dxa"/>
            <w:vMerge w:val="continue"/>
            <w:tcBorders>
              <w:left w:val="nil"/>
              <w:right w:val="nil"/>
            </w:tcBorders>
            <w:shd w:val="clear" w:color="auto" w:fill="auto"/>
            <w:vAlign w:val="center"/>
          </w:tcPr>
          <w:p w14:paraId="760D3C66">
            <w:pPr>
              <w:rPr>
                <w:rFonts w:ascii="Arial" w:hAnsi="Arial" w:eastAsia="Arial" w:cs="Arial"/>
                <w:sz w:val="20"/>
                <w:szCs w:val="20"/>
              </w:rPr>
            </w:pPr>
          </w:p>
        </w:tc>
        <w:tc>
          <w:tcPr>
            <w:tcW w:w="1296" w:type="dxa"/>
            <w:tcBorders>
              <w:top w:val="nil"/>
              <w:left w:val="nil"/>
              <w:bottom w:val="nil"/>
              <w:right w:val="nil"/>
            </w:tcBorders>
            <w:shd w:val="clear" w:color="auto" w:fill="auto"/>
            <w:vAlign w:val="center"/>
          </w:tcPr>
          <w:p w14:paraId="74D3175A">
            <w:pPr>
              <w:rPr>
                <w:rFonts w:ascii="Arial" w:hAnsi="Arial" w:eastAsia="Arial" w:cs="Arial"/>
                <w:sz w:val="20"/>
                <w:szCs w:val="20"/>
              </w:rPr>
            </w:pPr>
            <w:r>
              <w:rPr>
                <w:rFonts w:ascii="Arial" w:hAnsi="Arial" w:eastAsia="Arial" w:cs="Arial"/>
                <w:sz w:val="20"/>
                <w:szCs w:val="20"/>
              </w:rPr>
              <w:t>579</w:t>
            </w:r>
          </w:p>
        </w:tc>
        <w:tc>
          <w:tcPr>
            <w:tcW w:w="2808" w:type="dxa"/>
            <w:tcBorders>
              <w:top w:val="nil"/>
              <w:left w:val="nil"/>
              <w:bottom w:val="nil"/>
              <w:right w:val="nil"/>
            </w:tcBorders>
            <w:shd w:val="clear" w:color="auto" w:fill="auto"/>
            <w:vAlign w:val="center"/>
          </w:tcPr>
          <w:p w14:paraId="6133D31A">
            <w:pPr>
              <w:rPr>
                <w:rFonts w:ascii="Arial" w:hAnsi="Arial" w:eastAsia="Arial" w:cs="Arial"/>
                <w:sz w:val="20"/>
                <w:szCs w:val="20"/>
              </w:rPr>
            </w:pPr>
            <w:r>
              <w:rPr>
                <w:rFonts w:ascii="Arial" w:hAnsi="Arial" w:eastAsia="Arial" w:cs="Arial"/>
              </w:rPr>
              <w:t>Vanilla, nickel mining, tourism</w:t>
            </w:r>
          </w:p>
        </w:tc>
        <w:tc>
          <w:tcPr>
            <w:tcW w:w="1644" w:type="dxa"/>
            <w:tcBorders>
              <w:top w:val="nil"/>
              <w:left w:val="nil"/>
              <w:bottom w:val="nil"/>
              <w:right w:val="nil"/>
            </w:tcBorders>
            <w:shd w:val="clear" w:color="auto" w:fill="auto"/>
            <w:vAlign w:val="center"/>
          </w:tcPr>
          <w:p w14:paraId="1C366C95">
            <w:pPr>
              <w:rPr>
                <w:rFonts w:ascii="Arial" w:hAnsi="Arial" w:eastAsia="Arial" w:cs="Arial"/>
                <w:sz w:val="20"/>
                <w:szCs w:val="20"/>
              </w:rPr>
            </w:pPr>
            <w:r>
              <w:rPr>
                <w:rFonts w:ascii="Arial" w:hAnsi="Arial" w:eastAsia="Arial" w:cs="Arial"/>
                <w:sz w:val="20"/>
                <w:szCs w:val="20"/>
              </w:rPr>
              <w:t>2.1</w:t>
            </w:r>
            <w:r>
              <w:rPr>
                <w:rFonts w:hint="eastAsia" w:ascii="Arial" w:hAnsi="Arial" w:eastAsia="Arial" w:cs="Arial"/>
                <w:sz w:val="20"/>
                <w:szCs w:val="20"/>
              </w:rPr>
              <w:t xml:space="preserve">  (</w:t>
            </w:r>
            <w:r>
              <w:rPr>
                <w:rFonts w:ascii="Arial" w:hAnsi="Arial" w:eastAsia="Arial" w:cs="Arial"/>
                <w:sz w:val="20"/>
                <w:szCs w:val="20"/>
              </w:rPr>
              <w:t>2021</w:t>
            </w:r>
            <w:r>
              <w:rPr>
                <w:rFonts w:hint="eastAsia" w:ascii="Arial" w:hAnsi="Arial" w:eastAsia="Arial" w:cs="Arial"/>
                <w:sz w:val="20"/>
                <w:szCs w:val="20"/>
              </w:rPr>
              <w:t>)</w:t>
            </w:r>
          </w:p>
        </w:tc>
      </w:tr>
      <w:tr w14:paraId="713F8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nil"/>
              <w:right w:val="nil"/>
            </w:tcBorders>
            <w:shd w:val="clear" w:color="auto" w:fill="auto"/>
            <w:vAlign w:val="center"/>
          </w:tcPr>
          <w:p w14:paraId="12A08002">
            <w:pPr>
              <w:rPr>
                <w:rFonts w:ascii="Arial" w:hAnsi="Arial" w:eastAsia="Arial" w:cs="Arial"/>
                <w:sz w:val="20"/>
                <w:szCs w:val="20"/>
              </w:rPr>
            </w:pPr>
            <w:r>
              <w:rPr>
                <w:rFonts w:ascii="Arial" w:hAnsi="Arial" w:eastAsia="Arial" w:cs="Arial"/>
              </w:rPr>
              <w:t>Eritrea</w:t>
            </w:r>
          </w:p>
        </w:tc>
        <w:tc>
          <w:tcPr>
            <w:tcW w:w="1388" w:type="dxa"/>
            <w:vMerge w:val="continue"/>
            <w:tcBorders>
              <w:left w:val="nil"/>
              <w:right w:val="nil"/>
            </w:tcBorders>
            <w:shd w:val="clear" w:color="auto" w:fill="auto"/>
            <w:vAlign w:val="center"/>
          </w:tcPr>
          <w:p w14:paraId="325B9422">
            <w:pPr>
              <w:rPr>
                <w:rFonts w:ascii="Arial" w:hAnsi="Arial" w:eastAsia="Arial" w:cs="Arial"/>
                <w:sz w:val="20"/>
                <w:szCs w:val="20"/>
              </w:rPr>
            </w:pPr>
          </w:p>
        </w:tc>
        <w:tc>
          <w:tcPr>
            <w:tcW w:w="1296" w:type="dxa"/>
            <w:tcBorders>
              <w:top w:val="nil"/>
              <w:left w:val="nil"/>
              <w:bottom w:val="nil"/>
              <w:right w:val="nil"/>
            </w:tcBorders>
            <w:shd w:val="clear" w:color="auto" w:fill="auto"/>
            <w:vAlign w:val="center"/>
          </w:tcPr>
          <w:p w14:paraId="7E4EBA29">
            <w:pPr>
              <w:rPr>
                <w:rFonts w:ascii="Arial" w:hAnsi="Arial" w:eastAsia="Arial" w:cs="Arial"/>
                <w:sz w:val="20"/>
                <w:szCs w:val="20"/>
              </w:rPr>
            </w:pPr>
            <w:r>
              <w:rPr>
                <w:rFonts w:ascii="Arial" w:hAnsi="Arial" w:eastAsia="Arial" w:cs="Arial"/>
                <w:sz w:val="20"/>
                <w:szCs w:val="20"/>
              </w:rPr>
              <w:t>642</w:t>
            </w:r>
          </w:p>
        </w:tc>
        <w:tc>
          <w:tcPr>
            <w:tcW w:w="2808" w:type="dxa"/>
            <w:tcBorders>
              <w:top w:val="nil"/>
              <w:left w:val="nil"/>
              <w:bottom w:val="nil"/>
              <w:right w:val="nil"/>
            </w:tcBorders>
            <w:shd w:val="clear" w:color="auto" w:fill="auto"/>
            <w:vAlign w:val="center"/>
          </w:tcPr>
          <w:p w14:paraId="2D48A09F">
            <w:pPr>
              <w:rPr>
                <w:rFonts w:ascii="Arial" w:hAnsi="Arial" w:eastAsia="Arial" w:cs="Arial"/>
                <w:sz w:val="20"/>
                <w:szCs w:val="20"/>
              </w:rPr>
            </w:pPr>
            <w:r>
              <w:rPr>
                <w:rFonts w:ascii="Arial" w:hAnsi="Arial" w:eastAsia="Arial" w:cs="Arial"/>
              </w:rPr>
              <w:t>Mining and agriculture</w:t>
            </w:r>
          </w:p>
        </w:tc>
        <w:tc>
          <w:tcPr>
            <w:tcW w:w="1644" w:type="dxa"/>
            <w:tcBorders>
              <w:top w:val="nil"/>
              <w:left w:val="nil"/>
              <w:bottom w:val="nil"/>
              <w:right w:val="nil"/>
            </w:tcBorders>
            <w:shd w:val="clear" w:color="auto" w:fill="auto"/>
            <w:vAlign w:val="center"/>
          </w:tcPr>
          <w:p w14:paraId="5646B2A0">
            <w:pPr>
              <w:rPr>
                <w:rFonts w:ascii="Arial" w:hAnsi="Arial" w:eastAsia="Arial" w:cs="Arial"/>
                <w:sz w:val="20"/>
                <w:szCs w:val="20"/>
              </w:rPr>
            </w:pPr>
            <w:r>
              <w:rPr>
                <w:rFonts w:ascii="Arial" w:hAnsi="Arial" w:eastAsia="Arial" w:cs="Arial"/>
                <w:sz w:val="20"/>
                <w:szCs w:val="20"/>
              </w:rPr>
              <w:t>——</w:t>
            </w:r>
          </w:p>
        </w:tc>
      </w:tr>
      <w:tr w14:paraId="36C73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nil"/>
              <w:right w:val="nil"/>
            </w:tcBorders>
            <w:shd w:val="clear" w:color="auto" w:fill="auto"/>
            <w:vAlign w:val="center"/>
          </w:tcPr>
          <w:p w14:paraId="2E17C427">
            <w:pPr>
              <w:rPr>
                <w:rFonts w:ascii="Arial" w:hAnsi="Arial" w:eastAsia="Arial" w:cs="Arial"/>
                <w:sz w:val="20"/>
                <w:szCs w:val="20"/>
              </w:rPr>
            </w:pPr>
            <w:r>
              <w:rPr>
                <w:rFonts w:ascii="Arial" w:hAnsi="Arial" w:eastAsia="Arial" w:cs="Arial"/>
              </w:rPr>
              <w:t>Malawi</w:t>
            </w:r>
          </w:p>
        </w:tc>
        <w:tc>
          <w:tcPr>
            <w:tcW w:w="1388" w:type="dxa"/>
            <w:vMerge w:val="continue"/>
            <w:tcBorders>
              <w:left w:val="nil"/>
              <w:right w:val="nil"/>
            </w:tcBorders>
            <w:shd w:val="clear" w:color="auto" w:fill="auto"/>
            <w:vAlign w:val="center"/>
          </w:tcPr>
          <w:p w14:paraId="60CCC6AF">
            <w:pPr>
              <w:rPr>
                <w:rFonts w:ascii="Arial" w:hAnsi="Arial" w:eastAsia="Arial" w:cs="Arial"/>
                <w:sz w:val="20"/>
                <w:szCs w:val="20"/>
              </w:rPr>
            </w:pPr>
          </w:p>
        </w:tc>
        <w:tc>
          <w:tcPr>
            <w:tcW w:w="1296" w:type="dxa"/>
            <w:tcBorders>
              <w:top w:val="nil"/>
              <w:left w:val="nil"/>
              <w:bottom w:val="nil"/>
              <w:right w:val="nil"/>
            </w:tcBorders>
            <w:shd w:val="clear" w:color="auto" w:fill="auto"/>
            <w:vAlign w:val="center"/>
          </w:tcPr>
          <w:p w14:paraId="2AEF2275">
            <w:pPr>
              <w:rPr>
                <w:rFonts w:ascii="Arial" w:hAnsi="Arial" w:eastAsia="Arial" w:cs="Arial"/>
                <w:sz w:val="20"/>
                <w:szCs w:val="20"/>
              </w:rPr>
            </w:pPr>
            <w:r>
              <w:rPr>
                <w:rFonts w:ascii="Arial" w:hAnsi="Arial" w:eastAsia="Arial" w:cs="Arial"/>
                <w:sz w:val="20"/>
                <w:szCs w:val="20"/>
              </w:rPr>
              <w:t>642</w:t>
            </w:r>
          </w:p>
        </w:tc>
        <w:tc>
          <w:tcPr>
            <w:tcW w:w="2808" w:type="dxa"/>
            <w:tcBorders>
              <w:top w:val="nil"/>
              <w:left w:val="nil"/>
              <w:bottom w:val="nil"/>
              <w:right w:val="nil"/>
            </w:tcBorders>
            <w:shd w:val="clear" w:color="auto" w:fill="auto"/>
            <w:vAlign w:val="center"/>
          </w:tcPr>
          <w:p w14:paraId="3309B826">
            <w:pPr>
              <w:rPr>
                <w:rFonts w:ascii="Arial" w:hAnsi="Arial" w:eastAsia="Arial" w:cs="Arial"/>
                <w:sz w:val="20"/>
                <w:szCs w:val="20"/>
              </w:rPr>
            </w:pPr>
            <w:r>
              <w:rPr>
                <w:rFonts w:ascii="Arial" w:hAnsi="Arial" w:eastAsia="Arial" w:cs="Arial"/>
              </w:rPr>
              <w:t>Tobacco and agricultural assistance</w:t>
            </w:r>
          </w:p>
        </w:tc>
        <w:tc>
          <w:tcPr>
            <w:tcW w:w="1644" w:type="dxa"/>
            <w:tcBorders>
              <w:top w:val="nil"/>
              <w:left w:val="nil"/>
              <w:bottom w:val="nil"/>
              <w:right w:val="nil"/>
            </w:tcBorders>
            <w:shd w:val="clear" w:color="auto" w:fill="auto"/>
            <w:vAlign w:val="center"/>
          </w:tcPr>
          <w:p w14:paraId="16EA54E3">
            <w:pPr>
              <w:rPr>
                <w:rFonts w:ascii="Arial" w:hAnsi="Arial" w:eastAsia="Arial" w:cs="Arial"/>
                <w:sz w:val="20"/>
                <w:szCs w:val="20"/>
              </w:rPr>
            </w:pPr>
            <w:r>
              <w:rPr>
                <w:rFonts w:ascii="Arial" w:hAnsi="Arial" w:eastAsia="Arial" w:cs="Arial"/>
                <w:sz w:val="20"/>
                <w:szCs w:val="20"/>
              </w:rPr>
              <w:t>5.9</w:t>
            </w:r>
            <w:r>
              <w:rPr>
                <w:rFonts w:hint="eastAsia" w:ascii="Arial" w:hAnsi="Arial" w:eastAsia="Arial" w:cs="Arial"/>
                <w:sz w:val="20"/>
                <w:szCs w:val="20"/>
              </w:rPr>
              <w:t xml:space="preserve">  (</w:t>
            </w:r>
            <w:r>
              <w:rPr>
                <w:rFonts w:ascii="Arial" w:hAnsi="Arial" w:eastAsia="Arial" w:cs="Arial"/>
                <w:sz w:val="20"/>
                <w:szCs w:val="20"/>
              </w:rPr>
              <w:t>2022</w:t>
            </w:r>
            <w:r>
              <w:rPr>
                <w:rFonts w:hint="eastAsia" w:ascii="Arial" w:hAnsi="Arial" w:eastAsia="Arial" w:cs="Arial"/>
                <w:sz w:val="20"/>
                <w:szCs w:val="20"/>
              </w:rPr>
              <w:t>)</w:t>
            </w:r>
          </w:p>
        </w:tc>
      </w:tr>
      <w:tr w14:paraId="0C5A3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nil"/>
              <w:right w:val="nil"/>
            </w:tcBorders>
            <w:shd w:val="clear" w:color="auto" w:fill="auto"/>
            <w:vAlign w:val="center"/>
          </w:tcPr>
          <w:p w14:paraId="14591DF8">
            <w:pPr>
              <w:rPr>
                <w:rFonts w:ascii="Arial" w:hAnsi="Arial" w:eastAsia="Arial" w:cs="Arial"/>
                <w:sz w:val="20"/>
                <w:szCs w:val="20"/>
              </w:rPr>
            </w:pPr>
            <w:r>
              <w:rPr>
                <w:rFonts w:ascii="Arial" w:hAnsi="Arial" w:eastAsia="Arial" w:cs="Arial"/>
                <w:sz w:val="20"/>
                <w:szCs w:val="20"/>
              </w:rPr>
              <w:t>Sudan</w:t>
            </w:r>
          </w:p>
        </w:tc>
        <w:tc>
          <w:tcPr>
            <w:tcW w:w="1388" w:type="dxa"/>
            <w:vMerge w:val="continue"/>
            <w:tcBorders>
              <w:left w:val="nil"/>
              <w:right w:val="nil"/>
            </w:tcBorders>
            <w:shd w:val="clear" w:color="auto" w:fill="auto"/>
            <w:vAlign w:val="center"/>
          </w:tcPr>
          <w:p w14:paraId="39DF5DE1">
            <w:pPr>
              <w:rPr>
                <w:rFonts w:ascii="Arial" w:hAnsi="Arial" w:eastAsia="Arial" w:cs="Arial"/>
                <w:sz w:val="20"/>
                <w:szCs w:val="20"/>
              </w:rPr>
            </w:pPr>
          </w:p>
        </w:tc>
        <w:tc>
          <w:tcPr>
            <w:tcW w:w="1296" w:type="dxa"/>
            <w:tcBorders>
              <w:top w:val="nil"/>
              <w:left w:val="nil"/>
              <w:bottom w:val="nil"/>
              <w:right w:val="nil"/>
            </w:tcBorders>
            <w:shd w:val="clear" w:color="auto" w:fill="auto"/>
            <w:vAlign w:val="center"/>
          </w:tcPr>
          <w:p w14:paraId="49214FB6">
            <w:pPr>
              <w:rPr>
                <w:rFonts w:ascii="Arial" w:hAnsi="Arial" w:eastAsia="Arial" w:cs="Arial"/>
                <w:sz w:val="20"/>
                <w:szCs w:val="20"/>
              </w:rPr>
            </w:pPr>
            <w:r>
              <w:rPr>
                <w:rFonts w:ascii="Arial" w:hAnsi="Arial" w:eastAsia="Arial" w:cs="Arial"/>
                <w:sz w:val="20"/>
                <w:szCs w:val="20"/>
              </w:rPr>
              <w:t>714</w:t>
            </w:r>
          </w:p>
        </w:tc>
        <w:tc>
          <w:tcPr>
            <w:tcW w:w="2808" w:type="dxa"/>
            <w:tcBorders>
              <w:top w:val="nil"/>
              <w:left w:val="nil"/>
              <w:bottom w:val="nil"/>
              <w:right w:val="nil"/>
            </w:tcBorders>
            <w:shd w:val="clear" w:color="auto" w:fill="auto"/>
            <w:vAlign w:val="center"/>
          </w:tcPr>
          <w:p w14:paraId="1DFBE431">
            <w:pPr>
              <w:rPr>
                <w:rFonts w:ascii="Arial" w:hAnsi="Arial" w:eastAsia="Arial" w:cs="Arial"/>
                <w:sz w:val="20"/>
                <w:szCs w:val="20"/>
              </w:rPr>
            </w:pPr>
            <w:r>
              <w:rPr>
                <w:rFonts w:ascii="Arial" w:hAnsi="Arial" w:eastAsia="Arial" w:cs="Arial"/>
              </w:rPr>
              <w:t>Gold mining, agriculture</w:t>
            </w:r>
          </w:p>
        </w:tc>
        <w:tc>
          <w:tcPr>
            <w:tcW w:w="1644" w:type="dxa"/>
            <w:tcBorders>
              <w:top w:val="nil"/>
              <w:left w:val="nil"/>
              <w:bottom w:val="nil"/>
              <w:right w:val="nil"/>
            </w:tcBorders>
            <w:shd w:val="clear" w:color="auto" w:fill="auto"/>
            <w:vAlign w:val="center"/>
          </w:tcPr>
          <w:p w14:paraId="636DF4EE">
            <w:pPr>
              <w:rPr>
                <w:rFonts w:ascii="Arial" w:hAnsi="Arial" w:eastAsia="Arial" w:cs="Arial"/>
                <w:sz w:val="20"/>
                <w:szCs w:val="20"/>
              </w:rPr>
            </w:pPr>
            <w:r>
              <w:rPr>
                <w:rFonts w:ascii="Arial" w:hAnsi="Arial" w:eastAsia="Arial" w:cs="Arial"/>
                <w:sz w:val="20"/>
                <w:szCs w:val="20"/>
              </w:rPr>
              <w:t>——</w:t>
            </w:r>
          </w:p>
        </w:tc>
      </w:tr>
      <w:tr w14:paraId="2C58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nil"/>
              <w:right w:val="nil"/>
            </w:tcBorders>
            <w:shd w:val="clear" w:color="auto" w:fill="auto"/>
            <w:vAlign w:val="center"/>
          </w:tcPr>
          <w:p w14:paraId="7B66D105">
            <w:pPr>
              <w:rPr>
                <w:rFonts w:ascii="Arial" w:hAnsi="Arial" w:eastAsia="Arial" w:cs="Arial"/>
                <w:sz w:val="20"/>
                <w:szCs w:val="20"/>
              </w:rPr>
            </w:pPr>
            <w:r>
              <w:rPr>
                <w:rFonts w:ascii="Arial" w:hAnsi="Arial" w:eastAsia="Arial" w:cs="Arial"/>
              </w:rPr>
              <w:t>Rwanda</w:t>
            </w:r>
          </w:p>
        </w:tc>
        <w:tc>
          <w:tcPr>
            <w:tcW w:w="1388" w:type="dxa"/>
            <w:vMerge w:val="continue"/>
            <w:tcBorders>
              <w:left w:val="nil"/>
              <w:right w:val="nil"/>
            </w:tcBorders>
            <w:shd w:val="clear" w:color="auto" w:fill="auto"/>
            <w:vAlign w:val="center"/>
          </w:tcPr>
          <w:p w14:paraId="326D9A96">
            <w:pPr>
              <w:rPr>
                <w:rFonts w:ascii="Arial" w:hAnsi="Arial" w:eastAsia="Arial" w:cs="Arial"/>
                <w:sz w:val="20"/>
                <w:szCs w:val="20"/>
              </w:rPr>
            </w:pPr>
          </w:p>
        </w:tc>
        <w:tc>
          <w:tcPr>
            <w:tcW w:w="1296" w:type="dxa"/>
            <w:tcBorders>
              <w:top w:val="nil"/>
              <w:left w:val="nil"/>
              <w:bottom w:val="nil"/>
              <w:right w:val="nil"/>
            </w:tcBorders>
            <w:shd w:val="clear" w:color="auto" w:fill="auto"/>
            <w:vAlign w:val="center"/>
          </w:tcPr>
          <w:p w14:paraId="31D04A61">
            <w:pPr>
              <w:rPr>
                <w:rFonts w:ascii="Arial" w:hAnsi="Arial" w:eastAsia="Arial" w:cs="Arial"/>
                <w:sz w:val="20"/>
                <w:szCs w:val="20"/>
              </w:rPr>
            </w:pPr>
            <w:r>
              <w:rPr>
                <w:rFonts w:ascii="Arial" w:hAnsi="Arial" w:eastAsia="Arial" w:cs="Arial"/>
                <w:sz w:val="20"/>
                <w:szCs w:val="20"/>
              </w:rPr>
              <w:t>1030</w:t>
            </w:r>
          </w:p>
        </w:tc>
        <w:tc>
          <w:tcPr>
            <w:tcW w:w="2808" w:type="dxa"/>
            <w:tcBorders>
              <w:top w:val="nil"/>
              <w:left w:val="nil"/>
              <w:bottom w:val="nil"/>
              <w:right w:val="nil"/>
            </w:tcBorders>
            <w:shd w:val="clear" w:color="auto" w:fill="auto"/>
            <w:vAlign w:val="center"/>
          </w:tcPr>
          <w:p w14:paraId="1EC23592">
            <w:pPr>
              <w:rPr>
                <w:rFonts w:ascii="Arial" w:hAnsi="Arial" w:eastAsia="Arial" w:cs="Arial"/>
                <w:sz w:val="20"/>
                <w:szCs w:val="20"/>
              </w:rPr>
            </w:pPr>
            <w:r>
              <w:rPr>
                <w:rFonts w:ascii="Arial" w:hAnsi="Arial" w:eastAsia="Arial" w:cs="Arial"/>
              </w:rPr>
              <w:t>Coffee, oil exploration and service industry</w:t>
            </w:r>
          </w:p>
        </w:tc>
        <w:tc>
          <w:tcPr>
            <w:tcW w:w="1644" w:type="dxa"/>
            <w:tcBorders>
              <w:top w:val="nil"/>
              <w:left w:val="nil"/>
              <w:bottom w:val="nil"/>
              <w:right w:val="nil"/>
            </w:tcBorders>
            <w:shd w:val="clear" w:color="auto" w:fill="auto"/>
            <w:vAlign w:val="center"/>
          </w:tcPr>
          <w:p w14:paraId="1B8DDCB6">
            <w:pPr>
              <w:rPr>
                <w:rFonts w:ascii="Arial" w:hAnsi="Arial" w:eastAsia="Arial" w:cs="Arial"/>
                <w:sz w:val="20"/>
                <w:szCs w:val="20"/>
              </w:rPr>
            </w:pPr>
            <w:r>
              <w:rPr>
                <w:rFonts w:ascii="Arial" w:hAnsi="Arial" w:eastAsia="Arial" w:cs="Arial"/>
                <w:sz w:val="20"/>
                <w:szCs w:val="20"/>
              </w:rPr>
              <w:t>——</w:t>
            </w:r>
          </w:p>
        </w:tc>
      </w:tr>
      <w:tr w14:paraId="6D5D0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nil"/>
              <w:right w:val="nil"/>
            </w:tcBorders>
            <w:shd w:val="clear" w:color="auto" w:fill="auto"/>
            <w:vAlign w:val="center"/>
          </w:tcPr>
          <w:p w14:paraId="6AB75B04">
            <w:pPr>
              <w:rPr>
                <w:rFonts w:ascii="Arial" w:hAnsi="Arial" w:eastAsia="Arial" w:cs="Arial"/>
                <w:sz w:val="20"/>
                <w:szCs w:val="20"/>
              </w:rPr>
            </w:pPr>
            <w:r>
              <w:rPr>
                <w:rFonts w:ascii="Arial" w:hAnsi="Arial" w:eastAsia="Arial" w:cs="Arial"/>
                <w:sz w:val="20"/>
                <w:szCs w:val="20"/>
              </w:rPr>
              <w:t>Uganda</w:t>
            </w:r>
          </w:p>
        </w:tc>
        <w:tc>
          <w:tcPr>
            <w:tcW w:w="1388" w:type="dxa"/>
            <w:vMerge w:val="continue"/>
            <w:tcBorders>
              <w:left w:val="nil"/>
              <w:right w:val="nil"/>
            </w:tcBorders>
            <w:shd w:val="clear" w:color="auto" w:fill="auto"/>
            <w:vAlign w:val="center"/>
          </w:tcPr>
          <w:p w14:paraId="172B9AA6">
            <w:pPr>
              <w:rPr>
                <w:rFonts w:ascii="Arial" w:hAnsi="Arial" w:eastAsia="Arial" w:cs="Arial"/>
                <w:sz w:val="20"/>
                <w:szCs w:val="20"/>
              </w:rPr>
            </w:pPr>
          </w:p>
        </w:tc>
        <w:tc>
          <w:tcPr>
            <w:tcW w:w="1296" w:type="dxa"/>
            <w:tcBorders>
              <w:top w:val="nil"/>
              <w:left w:val="nil"/>
              <w:bottom w:val="nil"/>
              <w:right w:val="nil"/>
            </w:tcBorders>
            <w:shd w:val="clear" w:color="auto" w:fill="auto"/>
            <w:vAlign w:val="center"/>
          </w:tcPr>
          <w:p w14:paraId="7ED87EE2">
            <w:pPr>
              <w:rPr>
                <w:rFonts w:ascii="Arial" w:hAnsi="Arial" w:eastAsia="Arial" w:cs="Arial"/>
                <w:sz w:val="20"/>
                <w:szCs w:val="20"/>
              </w:rPr>
            </w:pPr>
            <w:r>
              <w:rPr>
                <w:rFonts w:ascii="Arial" w:hAnsi="Arial" w:eastAsia="Arial" w:cs="Arial"/>
                <w:sz w:val="20"/>
                <w:szCs w:val="20"/>
              </w:rPr>
              <w:t>1070</w:t>
            </w:r>
          </w:p>
        </w:tc>
        <w:tc>
          <w:tcPr>
            <w:tcW w:w="2808" w:type="dxa"/>
            <w:tcBorders>
              <w:top w:val="nil"/>
              <w:left w:val="nil"/>
              <w:bottom w:val="nil"/>
              <w:right w:val="nil"/>
            </w:tcBorders>
            <w:shd w:val="clear" w:color="auto" w:fill="auto"/>
            <w:vAlign w:val="center"/>
          </w:tcPr>
          <w:p w14:paraId="5288A73A">
            <w:pPr>
              <w:rPr>
                <w:rFonts w:ascii="Arial" w:hAnsi="Arial" w:eastAsia="Arial" w:cs="Arial"/>
                <w:sz w:val="20"/>
                <w:szCs w:val="20"/>
              </w:rPr>
            </w:pPr>
            <w:r>
              <w:rPr>
                <w:rFonts w:ascii="Arial" w:hAnsi="Arial" w:eastAsia="Arial" w:cs="Arial"/>
              </w:rPr>
              <w:t>Coffee, oil exploration and service industry</w:t>
            </w:r>
          </w:p>
        </w:tc>
        <w:tc>
          <w:tcPr>
            <w:tcW w:w="1644" w:type="dxa"/>
            <w:tcBorders>
              <w:top w:val="nil"/>
              <w:left w:val="nil"/>
              <w:bottom w:val="nil"/>
              <w:right w:val="nil"/>
            </w:tcBorders>
            <w:shd w:val="clear" w:color="auto" w:fill="auto"/>
            <w:vAlign w:val="center"/>
          </w:tcPr>
          <w:p w14:paraId="5F84311D">
            <w:pPr>
              <w:rPr>
                <w:rFonts w:ascii="Arial" w:hAnsi="Arial" w:eastAsia="Arial" w:cs="Arial"/>
                <w:sz w:val="20"/>
                <w:szCs w:val="20"/>
              </w:rPr>
            </w:pPr>
            <w:r>
              <w:rPr>
                <w:rFonts w:ascii="Arial" w:hAnsi="Arial" w:eastAsia="Arial" w:cs="Arial"/>
                <w:sz w:val="20"/>
                <w:szCs w:val="20"/>
              </w:rPr>
              <w:t>2.9</w:t>
            </w:r>
            <w:r>
              <w:rPr>
                <w:rFonts w:hint="eastAsia" w:ascii="Arial" w:hAnsi="Arial" w:eastAsia="Arial" w:cs="Arial"/>
                <w:sz w:val="20"/>
                <w:szCs w:val="20"/>
              </w:rPr>
              <w:t xml:space="preserve">  (</w:t>
            </w:r>
            <w:r>
              <w:rPr>
                <w:rFonts w:ascii="Arial" w:hAnsi="Arial" w:eastAsia="Arial" w:cs="Arial"/>
                <w:sz w:val="20"/>
                <w:szCs w:val="20"/>
              </w:rPr>
              <w:t>2022</w:t>
            </w:r>
            <w:r>
              <w:rPr>
                <w:rFonts w:hint="eastAsia" w:ascii="Arial" w:hAnsi="Arial" w:eastAsia="Arial" w:cs="Arial"/>
                <w:sz w:val="20"/>
                <w:szCs w:val="20"/>
              </w:rPr>
              <w:t>)</w:t>
            </w:r>
          </w:p>
        </w:tc>
      </w:tr>
      <w:tr w14:paraId="04A11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nil"/>
              <w:right w:val="nil"/>
            </w:tcBorders>
            <w:shd w:val="clear" w:color="auto" w:fill="auto"/>
            <w:vAlign w:val="center"/>
          </w:tcPr>
          <w:p w14:paraId="24AC6CD1">
            <w:pPr>
              <w:rPr>
                <w:rFonts w:ascii="Arial" w:hAnsi="Arial" w:eastAsia="Arial" w:cs="Arial"/>
                <w:sz w:val="20"/>
                <w:szCs w:val="20"/>
              </w:rPr>
            </w:pPr>
            <w:r>
              <w:rPr>
                <w:rFonts w:ascii="Arial" w:hAnsi="Arial" w:eastAsia="Arial" w:cs="Arial"/>
                <w:sz w:val="20"/>
                <w:szCs w:val="20"/>
              </w:rPr>
              <w:t>Ethiopia</w:t>
            </w:r>
          </w:p>
        </w:tc>
        <w:tc>
          <w:tcPr>
            <w:tcW w:w="1388" w:type="dxa"/>
            <w:vMerge w:val="continue"/>
            <w:tcBorders>
              <w:left w:val="nil"/>
              <w:right w:val="nil"/>
            </w:tcBorders>
            <w:shd w:val="clear" w:color="auto" w:fill="auto"/>
            <w:vAlign w:val="center"/>
          </w:tcPr>
          <w:p w14:paraId="05D74441">
            <w:pPr>
              <w:rPr>
                <w:rFonts w:ascii="Arial" w:hAnsi="Arial" w:eastAsia="Arial" w:cs="Arial"/>
                <w:sz w:val="20"/>
                <w:szCs w:val="20"/>
              </w:rPr>
            </w:pPr>
          </w:p>
        </w:tc>
        <w:tc>
          <w:tcPr>
            <w:tcW w:w="1296" w:type="dxa"/>
            <w:tcBorders>
              <w:top w:val="nil"/>
              <w:left w:val="nil"/>
              <w:bottom w:val="nil"/>
              <w:right w:val="nil"/>
            </w:tcBorders>
            <w:shd w:val="clear" w:color="auto" w:fill="auto"/>
            <w:vAlign w:val="center"/>
          </w:tcPr>
          <w:p w14:paraId="2E62192D">
            <w:pPr>
              <w:rPr>
                <w:rFonts w:ascii="Arial" w:hAnsi="Arial" w:eastAsia="Arial" w:cs="Arial"/>
                <w:sz w:val="20"/>
                <w:szCs w:val="20"/>
              </w:rPr>
            </w:pPr>
            <w:r>
              <w:rPr>
                <w:rFonts w:ascii="Arial" w:hAnsi="Arial" w:eastAsia="Arial" w:cs="Arial"/>
                <w:sz w:val="20"/>
                <w:szCs w:val="20"/>
              </w:rPr>
              <w:t>1090</w:t>
            </w:r>
          </w:p>
        </w:tc>
        <w:tc>
          <w:tcPr>
            <w:tcW w:w="2808" w:type="dxa"/>
            <w:tcBorders>
              <w:top w:val="nil"/>
              <w:left w:val="nil"/>
              <w:bottom w:val="nil"/>
              <w:right w:val="nil"/>
            </w:tcBorders>
            <w:shd w:val="clear" w:color="auto" w:fill="auto"/>
            <w:vAlign w:val="center"/>
          </w:tcPr>
          <w:p w14:paraId="046CA998">
            <w:pPr>
              <w:rPr>
                <w:rFonts w:ascii="Arial" w:hAnsi="Arial" w:eastAsia="Arial" w:cs="Arial"/>
                <w:sz w:val="20"/>
                <w:szCs w:val="20"/>
              </w:rPr>
            </w:pPr>
            <w:r>
              <w:rPr>
                <w:rFonts w:ascii="Arial" w:hAnsi="Arial" w:eastAsia="Arial" w:cs="Arial"/>
              </w:rPr>
              <w:t>Agriculture and light industry</w:t>
            </w:r>
          </w:p>
        </w:tc>
        <w:tc>
          <w:tcPr>
            <w:tcW w:w="1644" w:type="dxa"/>
            <w:tcBorders>
              <w:top w:val="nil"/>
              <w:left w:val="nil"/>
              <w:bottom w:val="nil"/>
              <w:right w:val="nil"/>
            </w:tcBorders>
            <w:shd w:val="clear" w:color="auto" w:fill="auto"/>
            <w:vAlign w:val="center"/>
          </w:tcPr>
          <w:p w14:paraId="57B2E251">
            <w:pPr>
              <w:rPr>
                <w:rFonts w:ascii="Arial" w:hAnsi="Arial" w:eastAsia="Arial" w:cs="Arial"/>
                <w:sz w:val="20"/>
                <w:szCs w:val="20"/>
              </w:rPr>
            </w:pPr>
            <w:r>
              <w:rPr>
                <w:rFonts w:ascii="Arial" w:hAnsi="Arial" w:eastAsia="Arial" w:cs="Arial"/>
                <w:sz w:val="20"/>
                <w:szCs w:val="20"/>
              </w:rPr>
              <w:t>19.1</w:t>
            </w:r>
            <w:r>
              <w:rPr>
                <w:rFonts w:hint="eastAsia" w:ascii="Arial" w:hAnsi="Arial" w:eastAsia="Arial" w:cs="Arial"/>
                <w:sz w:val="20"/>
                <w:szCs w:val="20"/>
              </w:rPr>
              <w:t xml:space="preserve">  (</w:t>
            </w:r>
            <w:r>
              <w:rPr>
                <w:rFonts w:ascii="Arial" w:hAnsi="Arial" w:eastAsia="Arial" w:cs="Arial"/>
                <w:sz w:val="20"/>
                <w:szCs w:val="20"/>
              </w:rPr>
              <w:t>2022</w:t>
            </w:r>
            <w:r>
              <w:rPr>
                <w:rFonts w:hint="eastAsia" w:ascii="Arial" w:hAnsi="Arial" w:eastAsia="Arial" w:cs="Arial"/>
                <w:sz w:val="20"/>
                <w:szCs w:val="20"/>
              </w:rPr>
              <w:t>)</w:t>
            </w:r>
          </w:p>
        </w:tc>
      </w:tr>
      <w:tr w14:paraId="3955E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nil"/>
              <w:right w:val="nil"/>
            </w:tcBorders>
            <w:shd w:val="clear" w:color="auto" w:fill="auto"/>
            <w:vAlign w:val="center"/>
          </w:tcPr>
          <w:p w14:paraId="33DB13CE">
            <w:pPr>
              <w:rPr>
                <w:rFonts w:ascii="Arial" w:hAnsi="Arial" w:eastAsia="Arial" w:cs="Arial"/>
                <w:sz w:val="20"/>
                <w:szCs w:val="20"/>
              </w:rPr>
            </w:pPr>
            <w:r>
              <w:rPr>
                <w:rFonts w:ascii="Arial" w:hAnsi="Arial" w:eastAsia="Arial" w:cs="Arial"/>
                <w:sz w:val="20"/>
                <w:szCs w:val="20"/>
              </w:rPr>
              <w:t>Tanzania</w:t>
            </w:r>
          </w:p>
        </w:tc>
        <w:tc>
          <w:tcPr>
            <w:tcW w:w="1388" w:type="dxa"/>
            <w:vMerge w:val="continue"/>
            <w:tcBorders>
              <w:left w:val="nil"/>
              <w:right w:val="nil"/>
            </w:tcBorders>
            <w:shd w:val="clear" w:color="auto" w:fill="auto"/>
            <w:vAlign w:val="center"/>
          </w:tcPr>
          <w:p w14:paraId="7693A12C">
            <w:pPr>
              <w:rPr>
                <w:rFonts w:ascii="Arial" w:hAnsi="Arial" w:eastAsia="Arial" w:cs="Arial"/>
                <w:sz w:val="20"/>
                <w:szCs w:val="20"/>
              </w:rPr>
            </w:pPr>
          </w:p>
        </w:tc>
        <w:tc>
          <w:tcPr>
            <w:tcW w:w="1296" w:type="dxa"/>
            <w:tcBorders>
              <w:top w:val="nil"/>
              <w:left w:val="nil"/>
              <w:bottom w:val="nil"/>
              <w:right w:val="nil"/>
            </w:tcBorders>
            <w:shd w:val="clear" w:color="auto" w:fill="auto"/>
            <w:vAlign w:val="center"/>
          </w:tcPr>
          <w:p w14:paraId="189AFEF0">
            <w:pPr>
              <w:rPr>
                <w:rFonts w:ascii="Arial" w:hAnsi="Arial" w:eastAsia="Arial" w:cs="Arial"/>
                <w:sz w:val="20"/>
                <w:szCs w:val="20"/>
              </w:rPr>
            </w:pPr>
            <w:r>
              <w:rPr>
                <w:rFonts w:ascii="Arial" w:hAnsi="Arial" w:eastAsia="Arial" w:cs="Arial"/>
                <w:sz w:val="20"/>
                <w:szCs w:val="20"/>
              </w:rPr>
              <w:t>1200</w:t>
            </w:r>
          </w:p>
        </w:tc>
        <w:tc>
          <w:tcPr>
            <w:tcW w:w="2808" w:type="dxa"/>
            <w:tcBorders>
              <w:top w:val="nil"/>
              <w:left w:val="nil"/>
              <w:bottom w:val="nil"/>
              <w:right w:val="nil"/>
            </w:tcBorders>
            <w:shd w:val="clear" w:color="auto" w:fill="auto"/>
            <w:vAlign w:val="center"/>
          </w:tcPr>
          <w:p w14:paraId="0D32EAAC">
            <w:pPr>
              <w:rPr>
                <w:rFonts w:ascii="Arial" w:hAnsi="Arial" w:eastAsia="Arial" w:cs="Arial"/>
                <w:sz w:val="20"/>
                <w:szCs w:val="20"/>
              </w:rPr>
            </w:pPr>
            <w:r>
              <w:rPr>
                <w:rFonts w:ascii="Arial" w:hAnsi="Arial" w:eastAsia="Arial" w:cs="Arial"/>
              </w:rPr>
              <w:t>Gold, tourism, agriculture</w:t>
            </w:r>
          </w:p>
        </w:tc>
        <w:tc>
          <w:tcPr>
            <w:tcW w:w="1644" w:type="dxa"/>
            <w:tcBorders>
              <w:top w:val="nil"/>
              <w:left w:val="nil"/>
              <w:bottom w:val="nil"/>
              <w:right w:val="nil"/>
            </w:tcBorders>
            <w:shd w:val="clear" w:color="auto" w:fill="auto"/>
            <w:vAlign w:val="center"/>
          </w:tcPr>
          <w:p w14:paraId="756185C6">
            <w:pPr>
              <w:rPr>
                <w:rFonts w:ascii="Arial" w:hAnsi="Arial" w:eastAsia="Arial" w:cs="Arial"/>
                <w:sz w:val="20"/>
                <w:szCs w:val="20"/>
              </w:rPr>
            </w:pPr>
            <w:r>
              <w:rPr>
                <w:rFonts w:ascii="Arial" w:hAnsi="Arial" w:eastAsia="Arial" w:cs="Arial"/>
                <w:sz w:val="20"/>
                <w:szCs w:val="20"/>
              </w:rPr>
              <w:t>2.6</w:t>
            </w:r>
            <w:r>
              <w:rPr>
                <w:rFonts w:hint="eastAsia" w:ascii="Arial" w:hAnsi="Arial" w:eastAsia="Arial" w:cs="Arial"/>
                <w:sz w:val="20"/>
                <w:szCs w:val="20"/>
              </w:rPr>
              <w:t xml:space="preserve">  (</w:t>
            </w:r>
            <w:r>
              <w:rPr>
                <w:rFonts w:ascii="Arial" w:hAnsi="Arial" w:eastAsia="Arial" w:cs="Arial"/>
                <w:sz w:val="20"/>
                <w:szCs w:val="20"/>
              </w:rPr>
              <w:t>2022</w:t>
            </w:r>
            <w:r>
              <w:rPr>
                <w:rFonts w:hint="eastAsia" w:ascii="Arial" w:hAnsi="Arial" w:eastAsia="Arial" w:cs="Arial"/>
                <w:sz w:val="20"/>
                <w:szCs w:val="20"/>
              </w:rPr>
              <w:t>)</w:t>
            </w:r>
          </w:p>
        </w:tc>
      </w:tr>
      <w:tr w14:paraId="229C0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nil"/>
              <w:right w:val="nil"/>
            </w:tcBorders>
            <w:shd w:val="clear" w:color="auto" w:fill="auto"/>
            <w:vAlign w:val="center"/>
          </w:tcPr>
          <w:p w14:paraId="3075AEC6">
            <w:pPr>
              <w:rPr>
                <w:rFonts w:ascii="Arial" w:hAnsi="Arial" w:eastAsia="Arial" w:cs="Arial"/>
                <w:sz w:val="20"/>
                <w:szCs w:val="20"/>
              </w:rPr>
            </w:pPr>
            <w:r>
              <w:rPr>
                <w:rFonts w:ascii="Arial" w:hAnsi="Arial" w:eastAsia="Arial" w:cs="Arial"/>
                <w:sz w:val="20"/>
                <w:szCs w:val="20"/>
              </w:rPr>
              <w:t>Zambia</w:t>
            </w:r>
          </w:p>
        </w:tc>
        <w:tc>
          <w:tcPr>
            <w:tcW w:w="1388" w:type="dxa"/>
            <w:vMerge w:val="continue"/>
            <w:tcBorders>
              <w:left w:val="nil"/>
              <w:right w:val="nil"/>
            </w:tcBorders>
            <w:shd w:val="clear" w:color="auto" w:fill="auto"/>
            <w:vAlign w:val="center"/>
          </w:tcPr>
          <w:p w14:paraId="2DBEC1D7">
            <w:pPr>
              <w:rPr>
                <w:rFonts w:ascii="Arial" w:hAnsi="Arial" w:eastAsia="Arial" w:cs="Arial"/>
                <w:sz w:val="20"/>
                <w:szCs w:val="20"/>
              </w:rPr>
            </w:pPr>
          </w:p>
        </w:tc>
        <w:tc>
          <w:tcPr>
            <w:tcW w:w="1296" w:type="dxa"/>
            <w:tcBorders>
              <w:top w:val="nil"/>
              <w:left w:val="nil"/>
              <w:bottom w:val="nil"/>
              <w:right w:val="nil"/>
            </w:tcBorders>
            <w:shd w:val="clear" w:color="auto" w:fill="auto"/>
            <w:vAlign w:val="center"/>
          </w:tcPr>
          <w:p w14:paraId="0A1F1BC4">
            <w:pPr>
              <w:rPr>
                <w:rFonts w:ascii="Arial" w:hAnsi="Arial" w:eastAsia="Arial" w:cs="Arial"/>
                <w:sz w:val="20"/>
                <w:szCs w:val="20"/>
              </w:rPr>
            </w:pPr>
            <w:r>
              <w:rPr>
                <w:rFonts w:ascii="Arial" w:hAnsi="Arial" w:eastAsia="Arial" w:cs="Arial"/>
                <w:sz w:val="20"/>
                <w:szCs w:val="20"/>
              </w:rPr>
              <w:t>1310</w:t>
            </w:r>
          </w:p>
        </w:tc>
        <w:tc>
          <w:tcPr>
            <w:tcW w:w="2808" w:type="dxa"/>
            <w:tcBorders>
              <w:top w:val="nil"/>
              <w:left w:val="nil"/>
              <w:bottom w:val="nil"/>
              <w:right w:val="nil"/>
            </w:tcBorders>
            <w:shd w:val="clear" w:color="auto" w:fill="auto"/>
            <w:vAlign w:val="center"/>
          </w:tcPr>
          <w:p w14:paraId="6678ECB1">
            <w:pPr>
              <w:rPr>
                <w:rFonts w:ascii="Arial" w:hAnsi="Arial" w:eastAsia="Arial" w:cs="Arial"/>
                <w:sz w:val="20"/>
                <w:szCs w:val="20"/>
              </w:rPr>
            </w:pPr>
            <w:r>
              <w:rPr>
                <w:rFonts w:ascii="Arial" w:hAnsi="Arial" w:eastAsia="Arial" w:cs="Arial"/>
              </w:rPr>
              <w:t>Copper mine, agriculture</w:t>
            </w:r>
          </w:p>
        </w:tc>
        <w:tc>
          <w:tcPr>
            <w:tcW w:w="1644" w:type="dxa"/>
            <w:tcBorders>
              <w:top w:val="nil"/>
              <w:left w:val="nil"/>
              <w:bottom w:val="nil"/>
              <w:right w:val="nil"/>
            </w:tcBorders>
            <w:shd w:val="clear" w:color="auto" w:fill="auto"/>
            <w:vAlign w:val="center"/>
          </w:tcPr>
          <w:p w14:paraId="481D2EDF">
            <w:pPr>
              <w:rPr>
                <w:rFonts w:ascii="Arial" w:hAnsi="Arial" w:eastAsia="Arial" w:cs="Arial"/>
                <w:sz w:val="20"/>
                <w:szCs w:val="20"/>
              </w:rPr>
            </w:pPr>
            <w:r>
              <w:rPr>
                <w:rFonts w:ascii="Arial" w:hAnsi="Arial" w:eastAsia="Arial" w:cs="Arial"/>
                <w:sz w:val="20"/>
                <w:szCs w:val="20"/>
              </w:rPr>
              <w:t>12.9</w:t>
            </w:r>
            <w:r>
              <w:rPr>
                <w:rFonts w:hint="eastAsia" w:ascii="Arial" w:hAnsi="Arial" w:eastAsia="Arial" w:cs="Arial"/>
                <w:sz w:val="20"/>
                <w:szCs w:val="20"/>
              </w:rPr>
              <w:t xml:space="preserve">  (</w:t>
            </w:r>
            <w:r>
              <w:rPr>
                <w:rFonts w:ascii="Arial" w:hAnsi="Arial" w:eastAsia="Arial" w:cs="Arial"/>
                <w:sz w:val="20"/>
                <w:szCs w:val="20"/>
              </w:rPr>
              <w:t>2022</w:t>
            </w:r>
            <w:r>
              <w:rPr>
                <w:rFonts w:hint="eastAsia" w:ascii="Arial" w:hAnsi="Arial" w:eastAsia="Arial" w:cs="Arial"/>
                <w:sz w:val="20"/>
                <w:szCs w:val="20"/>
              </w:rPr>
              <w:t>)</w:t>
            </w:r>
          </w:p>
        </w:tc>
      </w:tr>
      <w:tr w14:paraId="63517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nil"/>
              <w:right w:val="nil"/>
            </w:tcBorders>
            <w:shd w:val="clear" w:color="auto" w:fill="auto"/>
            <w:vAlign w:val="center"/>
          </w:tcPr>
          <w:p w14:paraId="5615A1CE">
            <w:pPr>
              <w:rPr>
                <w:rFonts w:ascii="Arial" w:hAnsi="Arial" w:eastAsia="Arial" w:cs="Arial"/>
                <w:sz w:val="20"/>
                <w:szCs w:val="20"/>
              </w:rPr>
            </w:pPr>
            <w:r>
              <w:rPr>
                <w:rFonts w:ascii="Arial" w:hAnsi="Arial" w:eastAsia="Arial" w:cs="Arial"/>
                <w:sz w:val="20"/>
                <w:szCs w:val="20"/>
              </w:rPr>
              <w:t>Comoros</w:t>
            </w:r>
          </w:p>
        </w:tc>
        <w:tc>
          <w:tcPr>
            <w:tcW w:w="1388" w:type="dxa"/>
            <w:vMerge w:val="continue"/>
            <w:tcBorders>
              <w:left w:val="nil"/>
              <w:right w:val="nil"/>
            </w:tcBorders>
            <w:shd w:val="clear" w:color="auto" w:fill="auto"/>
            <w:vAlign w:val="center"/>
          </w:tcPr>
          <w:p w14:paraId="16ED3AFF">
            <w:pPr>
              <w:rPr>
                <w:rFonts w:ascii="Arial" w:hAnsi="Arial" w:eastAsia="Arial" w:cs="Arial"/>
                <w:sz w:val="20"/>
                <w:szCs w:val="20"/>
              </w:rPr>
            </w:pPr>
          </w:p>
        </w:tc>
        <w:tc>
          <w:tcPr>
            <w:tcW w:w="1296" w:type="dxa"/>
            <w:tcBorders>
              <w:top w:val="nil"/>
              <w:left w:val="nil"/>
              <w:bottom w:val="nil"/>
              <w:right w:val="nil"/>
            </w:tcBorders>
            <w:shd w:val="clear" w:color="auto" w:fill="auto"/>
            <w:vAlign w:val="center"/>
          </w:tcPr>
          <w:p w14:paraId="25FD1657">
            <w:pPr>
              <w:rPr>
                <w:rFonts w:ascii="Arial" w:hAnsi="Arial" w:eastAsia="Arial" w:cs="Arial"/>
                <w:sz w:val="20"/>
                <w:szCs w:val="20"/>
              </w:rPr>
            </w:pPr>
            <w:r>
              <w:rPr>
                <w:rFonts w:ascii="Arial" w:hAnsi="Arial" w:eastAsia="Arial" w:cs="Arial"/>
                <w:sz w:val="20"/>
                <w:szCs w:val="20"/>
              </w:rPr>
              <w:t>1580</w:t>
            </w:r>
          </w:p>
        </w:tc>
        <w:tc>
          <w:tcPr>
            <w:tcW w:w="2808" w:type="dxa"/>
            <w:tcBorders>
              <w:top w:val="nil"/>
              <w:left w:val="nil"/>
              <w:bottom w:val="nil"/>
              <w:right w:val="nil"/>
            </w:tcBorders>
            <w:shd w:val="clear" w:color="auto" w:fill="auto"/>
            <w:vAlign w:val="center"/>
          </w:tcPr>
          <w:p w14:paraId="794EC8F1">
            <w:pPr>
              <w:rPr>
                <w:rFonts w:ascii="Arial" w:hAnsi="Arial" w:eastAsia="Arial" w:cs="Arial"/>
                <w:sz w:val="20"/>
                <w:szCs w:val="20"/>
              </w:rPr>
            </w:pPr>
            <w:r>
              <w:rPr>
                <w:rFonts w:ascii="Arial" w:hAnsi="Arial" w:eastAsia="Arial" w:cs="Arial"/>
              </w:rPr>
              <w:t>Spices and fishery</w:t>
            </w:r>
          </w:p>
        </w:tc>
        <w:tc>
          <w:tcPr>
            <w:tcW w:w="1644" w:type="dxa"/>
            <w:tcBorders>
              <w:top w:val="nil"/>
              <w:left w:val="nil"/>
              <w:bottom w:val="nil"/>
              <w:right w:val="nil"/>
            </w:tcBorders>
            <w:shd w:val="clear" w:color="auto" w:fill="auto"/>
            <w:vAlign w:val="center"/>
          </w:tcPr>
          <w:p w14:paraId="5E7FAE60">
            <w:pPr>
              <w:rPr>
                <w:rFonts w:ascii="Arial" w:hAnsi="Arial" w:eastAsia="Arial" w:cs="Arial"/>
                <w:sz w:val="20"/>
                <w:szCs w:val="20"/>
              </w:rPr>
            </w:pPr>
            <w:r>
              <w:rPr>
                <w:rFonts w:ascii="Arial" w:hAnsi="Arial" w:eastAsia="Arial" w:cs="Arial"/>
                <w:sz w:val="20"/>
                <w:szCs w:val="20"/>
              </w:rPr>
              <w:t>14.7</w:t>
            </w:r>
            <w:r>
              <w:rPr>
                <w:rFonts w:hint="eastAsia" w:ascii="Arial" w:hAnsi="Arial" w:eastAsia="Arial" w:cs="Arial"/>
                <w:sz w:val="20"/>
                <w:szCs w:val="20"/>
              </w:rPr>
              <w:t xml:space="preserve">  (</w:t>
            </w:r>
            <w:r>
              <w:rPr>
                <w:rFonts w:ascii="Arial" w:hAnsi="Arial" w:eastAsia="Arial" w:cs="Arial"/>
                <w:sz w:val="20"/>
                <w:szCs w:val="20"/>
              </w:rPr>
              <w:t>2022</w:t>
            </w:r>
            <w:r>
              <w:rPr>
                <w:rFonts w:hint="eastAsia" w:ascii="Arial" w:hAnsi="Arial" w:eastAsia="Arial" w:cs="Arial"/>
                <w:sz w:val="20"/>
                <w:szCs w:val="20"/>
              </w:rPr>
              <w:t>)</w:t>
            </w:r>
          </w:p>
        </w:tc>
      </w:tr>
      <w:tr w14:paraId="51EBF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nil"/>
              <w:right w:val="nil"/>
            </w:tcBorders>
            <w:shd w:val="clear" w:color="auto" w:fill="auto"/>
            <w:vAlign w:val="center"/>
          </w:tcPr>
          <w:p w14:paraId="47572065">
            <w:pPr>
              <w:rPr>
                <w:rFonts w:ascii="Arial" w:hAnsi="Arial" w:eastAsia="Arial" w:cs="Arial"/>
                <w:sz w:val="20"/>
                <w:szCs w:val="20"/>
              </w:rPr>
            </w:pPr>
            <w:r>
              <w:rPr>
                <w:rFonts w:ascii="Arial" w:hAnsi="Arial" w:eastAsia="Arial" w:cs="Arial"/>
                <w:sz w:val="20"/>
                <w:szCs w:val="20"/>
              </w:rPr>
              <w:t>Djibouti</w:t>
            </w:r>
          </w:p>
        </w:tc>
        <w:tc>
          <w:tcPr>
            <w:tcW w:w="1388" w:type="dxa"/>
            <w:vMerge w:val="continue"/>
            <w:tcBorders>
              <w:left w:val="nil"/>
              <w:right w:val="nil"/>
            </w:tcBorders>
            <w:shd w:val="clear" w:color="auto" w:fill="auto"/>
            <w:vAlign w:val="center"/>
          </w:tcPr>
          <w:p w14:paraId="74828AFF">
            <w:pPr>
              <w:rPr>
                <w:rFonts w:ascii="Arial" w:hAnsi="Arial" w:eastAsia="Arial" w:cs="Arial"/>
                <w:sz w:val="20"/>
                <w:szCs w:val="20"/>
              </w:rPr>
            </w:pPr>
          </w:p>
        </w:tc>
        <w:tc>
          <w:tcPr>
            <w:tcW w:w="1296" w:type="dxa"/>
            <w:tcBorders>
              <w:top w:val="nil"/>
              <w:left w:val="nil"/>
              <w:bottom w:val="nil"/>
              <w:right w:val="nil"/>
            </w:tcBorders>
            <w:shd w:val="clear" w:color="auto" w:fill="auto"/>
            <w:vAlign w:val="center"/>
          </w:tcPr>
          <w:p w14:paraId="4F1B3D57">
            <w:pPr>
              <w:rPr>
                <w:rFonts w:ascii="Arial" w:hAnsi="Arial" w:eastAsia="Arial" w:cs="Arial"/>
                <w:sz w:val="20"/>
                <w:szCs w:val="20"/>
              </w:rPr>
            </w:pPr>
            <w:r>
              <w:rPr>
                <w:rFonts w:ascii="Arial" w:hAnsi="Arial" w:eastAsia="Arial" w:cs="Arial"/>
                <w:sz w:val="20"/>
                <w:szCs w:val="20"/>
              </w:rPr>
              <w:t>3670</w:t>
            </w:r>
          </w:p>
        </w:tc>
        <w:tc>
          <w:tcPr>
            <w:tcW w:w="2808" w:type="dxa"/>
            <w:tcBorders>
              <w:top w:val="nil"/>
              <w:left w:val="nil"/>
              <w:bottom w:val="nil"/>
              <w:right w:val="nil"/>
            </w:tcBorders>
            <w:shd w:val="clear" w:color="auto" w:fill="auto"/>
            <w:vAlign w:val="center"/>
          </w:tcPr>
          <w:p w14:paraId="630D113D">
            <w:pPr>
              <w:rPr>
                <w:rFonts w:ascii="Arial" w:hAnsi="Arial" w:eastAsia="Arial" w:cs="Arial"/>
                <w:sz w:val="20"/>
                <w:szCs w:val="20"/>
              </w:rPr>
            </w:pPr>
            <w:r>
              <w:rPr>
                <w:rFonts w:ascii="Arial" w:hAnsi="Arial" w:eastAsia="Arial" w:cs="Arial"/>
              </w:rPr>
              <w:t>Port logistics, salt industry, military base leasing</w:t>
            </w:r>
          </w:p>
        </w:tc>
        <w:tc>
          <w:tcPr>
            <w:tcW w:w="1644" w:type="dxa"/>
            <w:tcBorders>
              <w:top w:val="nil"/>
              <w:left w:val="nil"/>
              <w:bottom w:val="nil"/>
              <w:right w:val="nil"/>
            </w:tcBorders>
            <w:shd w:val="clear" w:color="auto" w:fill="auto"/>
            <w:vAlign w:val="center"/>
          </w:tcPr>
          <w:p w14:paraId="075B3AD0">
            <w:pPr>
              <w:rPr>
                <w:rFonts w:ascii="Arial" w:hAnsi="Arial" w:eastAsia="Arial" w:cs="Arial"/>
                <w:sz w:val="20"/>
                <w:szCs w:val="20"/>
              </w:rPr>
            </w:pPr>
            <w:r>
              <w:rPr>
                <w:rFonts w:ascii="Arial" w:hAnsi="Arial" w:eastAsia="Arial" w:cs="Arial"/>
                <w:sz w:val="20"/>
                <w:szCs w:val="20"/>
              </w:rPr>
              <w:t>28.0</w:t>
            </w:r>
            <w:r>
              <w:rPr>
                <w:rFonts w:hint="eastAsia" w:ascii="Arial" w:hAnsi="Arial" w:eastAsia="Arial" w:cs="Arial"/>
                <w:sz w:val="20"/>
                <w:szCs w:val="20"/>
              </w:rPr>
              <w:t xml:space="preserve">  (</w:t>
            </w:r>
            <w:r>
              <w:rPr>
                <w:rFonts w:ascii="Arial" w:hAnsi="Arial" w:eastAsia="Arial" w:cs="Arial"/>
                <w:sz w:val="20"/>
                <w:szCs w:val="20"/>
              </w:rPr>
              <w:t>2022</w:t>
            </w:r>
            <w:r>
              <w:rPr>
                <w:rFonts w:hint="eastAsia" w:ascii="Arial" w:hAnsi="Arial" w:eastAsia="Arial" w:cs="Arial"/>
                <w:sz w:val="20"/>
                <w:szCs w:val="20"/>
              </w:rPr>
              <w:t>)</w:t>
            </w:r>
          </w:p>
        </w:tc>
      </w:tr>
      <w:tr w14:paraId="749B3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nil"/>
              <w:right w:val="nil"/>
            </w:tcBorders>
            <w:shd w:val="clear" w:color="auto" w:fill="auto"/>
            <w:vAlign w:val="center"/>
          </w:tcPr>
          <w:p w14:paraId="643196CD">
            <w:pPr>
              <w:rPr>
                <w:rFonts w:ascii="Arial" w:hAnsi="Arial" w:eastAsia="Arial" w:cs="Arial"/>
                <w:sz w:val="20"/>
                <w:szCs w:val="20"/>
              </w:rPr>
            </w:pPr>
            <w:r>
              <w:rPr>
                <w:rFonts w:ascii="Arial" w:hAnsi="Arial" w:eastAsia="Arial" w:cs="Arial"/>
                <w:sz w:val="20"/>
                <w:szCs w:val="20"/>
              </w:rPr>
              <w:t>Somalia</w:t>
            </w:r>
          </w:p>
        </w:tc>
        <w:tc>
          <w:tcPr>
            <w:tcW w:w="1388" w:type="dxa"/>
            <w:vMerge w:val="continue"/>
            <w:tcBorders>
              <w:left w:val="nil"/>
              <w:right w:val="nil"/>
            </w:tcBorders>
            <w:shd w:val="clear" w:color="auto" w:fill="auto"/>
            <w:vAlign w:val="center"/>
          </w:tcPr>
          <w:p w14:paraId="5D732D62">
            <w:pPr>
              <w:rPr>
                <w:rFonts w:ascii="Arial" w:hAnsi="Arial" w:eastAsia="Arial" w:cs="Arial"/>
                <w:sz w:val="20"/>
                <w:szCs w:val="20"/>
              </w:rPr>
            </w:pPr>
          </w:p>
        </w:tc>
        <w:tc>
          <w:tcPr>
            <w:tcW w:w="1296" w:type="dxa"/>
            <w:tcBorders>
              <w:top w:val="nil"/>
              <w:left w:val="nil"/>
              <w:bottom w:val="nil"/>
              <w:right w:val="nil"/>
            </w:tcBorders>
            <w:shd w:val="clear" w:color="auto" w:fill="auto"/>
            <w:vAlign w:val="center"/>
          </w:tcPr>
          <w:p w14:paraId="26A0EC8F">
            <w:pPr>
              <w:rPr>
                <w:rFonts w:ascii="Arial" w:hAnsi="Arial" w:eastAsia="Arial" w:cs="Arial"/>
                <w:sz w:val="20"/>
                <w:szCs w:val="20"/>
              </w:rPr>
            </w:pPr>
            <w:r>
              <w:rPr>
                <w:rFonts w:ascii="Arial" w:hAnsi="Arial" w:eastAsia="Arial" w:cs="Arial"/>
                <w:sz w:val="20"/>
                <w:szCs w:val="20"/>
              </w:rPr>
              <w:t>——</w:t>
            </w:r>
          </w:p>
        </w:tc>
        <w:tc>
          <w:tcPr>
            <w:tcW w:w="2808" w:type="dxa"/>
            <w:tcBorders>
              <w:top w:val="nil"/>
              <w:left w:val="nil"/>
              <w:bottom w:val="nil"/>
              <w:right w:val="nil"/>
            </w:tcBorders>
            <w:shd w:val="clear" w:color="auto" w:fill="auto"/>
            <w:vAlign w:val="center"/>
          </w:tcPr>
          <w:p w14:paraId="069FE944">
            <w:pPr>
              <w:rPr>
                <w:rFonts w:ascii="Arial" w:hAnsi="Arial" w:eastAsia="Arial" w:cs="Arial"/>
                <w:sz w:val="20"/>
                <w:szCs w:val="20"/>
              </w:rPr>
            </w:pPr>
            <w:r>
              <w:rPr>
                <w:rFonts w:ascii="Arial" w:hAnsi="Arial" w:eastAsia="Arial" w:cs="Arial"/>
              </w:rPr>
              <w:t>Animal husbandry, overseas remittance</w:t>
            </w:r>
          </w:p>
        </w:tc>
        <w:tc>
          <w:tcPr>
            <w:tcW w:w="1644" w:type="dxa"/>
            <w:tcBorders>
              <w:top w:val="nil"/>
              <w:left w:val="nil"/>
              <w:bottom w:val="nil"/>
              <w:right w:val="nil"/>
            </w:tcBorders>
            <w:shd w:val="clear" w:color="auto" w:fill="auto"/>
            <w:vAlign w:val="center"/>
          </w:tcPr>
          <w:p w14:paraId="3FC49BD6">
            <w:pPr>
              <w:rPr>
                <w:rFonts w:ascii="Arial" w:hAnsi="Arial" w:eastAsia="Arial" w:cs="Arial"/>
                <w:sz w:val="20"/>
                <w:szCs w:val="20"/>
              </w:rPr>
            </w:pPr>
            <w:r>
              <w:rPr>
                <w:rFonts w:ascii="Arial" w:hAnsi="Arial" w:eastAsia="Arial" w:cs="Arial"/>
                <w:sz w:val="20"/>
                <w:szCs w:val="20"/>
              </w:rPr>
              <w:t>——</w:t>
            </w:r>
          </w:p>
        </w:tc>
      </w:tr>
      <w:tr w14:paraId="7E567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nil"/>
              <w:right w:val="nil"/>
            </w:tcBorders>
            <w:shd w:val="clear" w:color="auto" w:fill="auto"/>
            <w:vAlign w:val="center"/>
          </w:tcPr>
          <w:p w14:paraId="023A36C5">
            <w:pPr>
              <w:rPr>
                <w:rFonts w:ascii="Arial" w:hAnsi="Arial" w:eastAsia="Arial" w:cs="Arial"/>
                <w:sz w:val="20"/>
                <w:szCs w:val="20"/>
              </w:rPr>
            </w:pPr>
            <w:r>
              <w:rPr>
                <w:rFonts w:ascii="Arial" w:hAnsi="Arial" w:eastAsia="Arial" w:cs="Arial"/>
                <w:sz w:val="20"/>
                <w:szCs w:val="20"/>
              </w:rPr>
              <w:t>South Sudan</w:t>
            </w:r>
          </w:p>
        </w:tc>
        <w:tc>
          <w:tcPr>
            <w:tcW w:w="1388" w:type="dxa"/>
            <w:vMerge w:val="continue"/>
            <w:tcBorders>
              <w:left w:val="nil"/>
              <w:bottom w:val="nil"/>
              <w:right w:val="nil"/>
            </w:tcBorders>
            <w:shd w:val="clear" w:color="auto" w:fill="auto"/>
            <w:vAlign w:val="center"/>
          </w:tcPr>
          <w:p w14:paraId="0E53DC24">
            <w:pPr>
              <w:rPr>
                <w:rFonts w:ascii="Arial" w:hAnsi="Arial" w:eastAsia="Arial" w:cs="Arial"/>
                <w:sz w:val="20"/>
                <w:szCs w:val="20"/>
              </w:rPr>
            </w:pPr>
          </w:p>
        </w:tc>
        <w:tc>
          <w:tcPr>
            <w:tcW w:w="1296" w:type="dxa"/>
            <w:tcBorders>
              <w:top w:val="nil"/>
              <w:left w:val="nil"/>
              <w:bottom w:val="nil"/>
              <w:right w:val="nil"/>
            </w:tcBorders>
            <w:shd w:val="clear" w:color="auto" w:fill="auto"/>
            <w:vAlign w:val="center"/>
          </w:tcPr>
          <w:p w14:paraId="423109E0">
            <w:pPr>
              <w:rPr>
                <w:rFonts w:ascii="Arial" w:hAnsi="Arial" w:eastAsia="Arial" w:cs="Arial"/>
                <w:sz w:val="20"/>
                <w:szCs w:val="20"/>
              </w:rPr>
            </w:pPr>
            <w:r>
              <w:rPr>
                <w:rFonts w:ascii="Arial" w:hAnsi="Arial" w:eastAsia="Arial" w:cs="Arial"/>
                <w:sz w:val="20"/>
                <w:szCs w:val="20"/>
              </w:rPr>
              <w:t>——</w:t>
            </w:r>
          </w:p>
        </w:tc>
        <w:tc>
          <w:tcPr>
            <w:tcW w:w="2808" w:type="dxa"/>
            <w:tcBorders>
              <w:top w:val="nil"/>
              <w:left w:val="nil"/>
              <w:bottom w:val="nil"/>
              <w:right w:val="nil"/>
            </w:tcBorders>
            <w:shd w:val="clear" w:color="auto" w:fill="auto"/>
            <w:vAlign w:val="center"/>
          </w:tcPr>
          <w:p w14:paraId="6E54BB13">
            <w:pPr>
              <w:rPr>
                <w:rFonts w:ascii="Arial" w:hAnsi="Arial" w:eastAsia="Arial" w:cs="Arial"/>
                <w:sz w:val="20"/>
                <w:szCs w:val="20"/>
              </w:rPr>
            </w:pPr>
            <w:r>
              <w:rPr>
                <w:rFonts w:ascii="Arial" w:hAnsi="Arial" w:eastAsia="Arial" w:cs="Arial"/>
              </w:rPr>
              <w:t>petroleum</w:t>
            </w:r>
          </w:p>
        </w:tc>
        <w:tc>
          <w:tcPr>
            <w:tcW w:w="1644" w:type="dxa"/>
            <w:tcBorders>
              <w:top w:val="nil"/>
              <w:left w:val="nil"/>
              <w:bottom w:val="nil"/>
              <w:right w:val="nil"/>
            </w:tcBorders>
            <w:shd w:val="clear" w:color="auto" w:fill="auto"/>
            <w:vAlign w:val="center"/>
          </w:tcPr>
          <w:p w14:paraId="4399CCE6">
            <w:pPr>
              <w:rPr>
                <w:rFonts w:ascii="Arial" w:hAnsi="Arial" w:eastAsia="Arial" w:cs="Arial"/>
                <w:sz w:val="20"/>
                <w:szCs w:val="20"/>
              </w:rPr>
            </w:pPr>
            <w:r>
              <w:rPr>
                <w:rFonts w:ascii="Arial" w:hAnsi="Arial" w:eastAsia="Arial" w:cs="Arial"/>
                <w:sz w:val="20"/>
                <w:szCs w:val="20"/>
              </w:rPr>
              <w:t>——</w:t>
            </w:r>
          </w:p>
        </w:tc>
      </w:tr>
      <w:tr w14:paraId="6A577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nil"/>
              <w:right w:val="nil"/>
            </w:tcBorders>
            <w:shd w:val="clear" w:color="auto" w:fill="auto"/>
            <w:vAlign w:val="center"/>
          </w:tcPr>
          <w:p w14:paraId="5710F1F2">
            <w:pPr>
              <w:rPr>
                <w:rFonts w:ascii="Arial" w:hAnsi="Arial" w:eastAsia="Arial" w:cs="Arial"/>
                <w:sz w:val="20"/>
                <w:szCs w:val="20"/>
              </w:rPr>
            </w:pPr>
            <w:r>
              <w:rPr>
                <w:rFonts w:ascii="Arial" w:hAnsi="Arial" w:eastAsia="Arial" w:cs="Arial"/>
                <w:sz w:val="20"/>
                <w:szCs w:val="20"/>
              </w:rPr>
              <w:t>Central African Republic</w:t>
            </w:r>
          </w:p>
        </w:tc>
        <w:tc>
          <w:tcPr>
            <w:tcW w:w="1388" w:type="dxa"/>
            <w:vMerge w:val="restart"/>
            <w:tcBorders>
              <w:top w:val="nil"/>
              <w:left w:val="nil"/>
              <w:right w:val="nil"/>
            </w:tcBorders>
            <w:shd w:val="clear" w:color="auto" w:fill="auto"/>
            <w:vAlign w:val="center"/>
          </w:tcPr>
          <w:p w14:paraId="401EB325">
            <w:pPr>
              <w:rPr>
                <w:rFonts w:ascii="Arial" w:hAnsi="Arial" w:eastAsia="Arial" w:cs="Arial"/>
                <w:sz w:val="20"/>
                <w:szCs w:val="20"/>
              </w:rPr>
            </w:pPr>
            <w:r>
              <w:rPr>
                <w:rFonts w:ascii="Arial" w:hAnsi="Arial" w:eastAsia="Arial" w:cs="Arial"/>
                <w:sz w:val="20"/>
                <w:szCs w:val="20"/>
              </w:rPr>
              <w:t>Central African</w:t>
            </w:r>
          </w:p>
          <w:p w14:paraId="74CB714C">
            <w:pPr>
              <w:rPr>
                <w:rFonts w:ascii="Arial" w:hAnsi="Arial" w:eastAsia="Arial" w:cs="Arial"/>
                <w:sz w:val="20"/>
                <w:szCs w:val="20"/>
              </w:rPr>
            </w:pPr>
            <w:r>
              <w:rPr>
                <w:rFonts w:ascii="Arial" w:hAnsi="Arial" w:eastAsia="Arial" w:cs="Arial"/>
                <w:sz w:val="20"/>
                <w:szCs w:val="20"/>
              </w:rPr>
              <w:t>(4 countries)</w:t>
            </w:r>
          </w:p>
        </w:tc>
        <w:tc>
          <w:tcPr>
            <w:tcW w:w="1296" w:type="dxa"/>
            <w:tcBorders>
              <w:top w:val="nil"/>
              <w:left w:val="nil"/>
              <w:bottom w:val="nil"/>
              <w:right w:val="nil"/>
            </w:tcBorders>
            <w:shd w:val="clear" w:color="auto" w:fill="auto"/>
            <w:vAlign w:val="center"/>
          </w:tcPr>
          <w:p w14:paraId="3BC66F2A">
            <w:pPr>
              <w:rPr>
                <w:rFonts w:ascii="Arial" w:hAnsi="Arial" w:eastAsia="Arial" w:cs="Arial"/>
                <w:sz w:val="20"/>
                <w:szCs w:val="20"/>
              </w:rPr>
            </w:pPr>
            <w:r>
              <w:rPr>
                <w:rFonts w:ascii="Arial" w:hAnsi="Arial" w:eastAsia="Arial" w:cs="Arial"/>
                <w:sz w:val="20"/>
                <w:szCs w:val="20"/>
              </w:rPr>
              <w:t>511</w:t>
            </w:r>
          </w:p>
        </w:tc>
        <w:tc>
          <w:tcPr>
            <w:tcW w:w="2808" w:type="dxa"/>
            <w:tcBorders>
              <w:top w:val="nil"/>
              <w:left w:val="nil"/>
              <w:bottom w:val="nil"/>
              <w:right w:val="nil"/>
            </w:tcBorders>
            <w:shd w:val="clear" w:color="auto" w:fill="auto"/>
            <w:vAlign w:val="center"/>
          </w:tcPr>
          <w:p w14:paraId="46A37028">
            <w:pPr>
              <w:rPr>
                <w:rFonts w:ascii="Arial" w:hAnsi="Arial" w:eastAsia="Arial" w:cs="Arial"/>
                <w:sz w:val="20"/>
                <w:szCs w:val="20"/>
              </w:rPr>
            </w:pPr>
            <w:r>
              <w:rPr>
                <w:rFonts w:ascii="Arial" w:hAnsi="Arial" w:eastAsia="Arial" w:cs="Arial"/>
              </w:rPr>
              <w:t>Diamond mining, forestry, agriculture</w:t>
            </w:r>
          </w:p>
        </w:tc>
        <w:tc>
          <w:tcPr>
            <w:tcW w:w="1644" w:type="dxa"/>
            <w:tcBorders>
              <w:top w:val="nil"/>
              <w:left w:val="nil"/>
              <w:bottom w:val="nil"/>
              <w:right w:val="nil"/>
            </w:tcBorders>
            <w:shd w:val="clear" w:color="auto" w:fill="auto"/>
            <w:vAlign w:val="center"/>
          </w:tcPr>
          <w:p w14:paraId="07127677">
            <w:pPr>
              <w:rPr>
                <w:rFonts w:ascii="Arial" w:hAnsi="Arial" w:eastAsia="Arial" w:cs="Arial"/>
                <w:sz w:val="20"/>
                <w:szCs w:val="20"/>
              </w:rPr>
            </w:pPr>
            <w:r>
              <w:rPr>
                <w:rFonts w:ascii="Arial" w:hAnsi="Arial" w:eastAsia="Arial" w:cs="Arial"/>
                <w:sz w:val="20"/>
                <w:szCs w:val="20"/>
              </w:rPr>
              <w:t>6.3</w:t>
            </w:r>
            <w:r>
              <w:rPr>
                <w:rFonts w:hint="eastAsia" w:ascii="Arial" w:hAnsi="Arial" w:eastAsia="Arial" w:cs="Arial"/>
                <w:sz w:val="20"/>
                <w:szCs w:val="20"/>
              </w:rPr>
              <w:t xml:space="preserve">  (</w:t>
            </w:r>
            <w:r>
              <w:rPr>
                <w:rFonts w:ascii="Arial" w:hAnsi="Arial" w:eastAsia="Arial" w:cs="Arial"/>
                <w:sz w:val="20"/>
                <w:szCs w:val="20"/>
              </w:rPr>
              <w:t>2022</w:t>
            </w:r>
            <w:r>
              <w:rPr>
                <w:rFonts w:hint="eastAsia" w:ascii="Arial" w:hAnsi="Arial" w:eastAsia="Arial" w:cs="Arial"/>
                <w:sz w:val="20"/>
                <w:szCs w:val="20"/>
              </w:rPr>
              <w:t>)</w:t>
            </w:r>
          </w:p>
        </w:tc>
      </w:tr>
      <w:tr w14:paraId="79683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nil"/>
              <w:right w:val="nil"/>
            </w:tcBorders>
            <w:shd w:val="clear" w:color="auto" w:fill="auto"/>
            <w:vAlign w:val="center"/>
          </w:tcPr>
          <w:p w14:paraId="3833E699">
            <w:pPr>
              <w:rPr>
                <w:rFonts w:ascii="Arial" w:hAnsi="Arial" w:eastAsia="Arial" w:cs="Arial"/>
                <w:sz w:val="20"/>
                <w:szCs w:val="20"/>
              </w:rPr>
            </w:pPr>
            <w:r>
              <w:rPr>
                <w:rFonts w:ascii="Arial" w:hAnsi="Arial" w:eastAsia="Arial" w:cs="Arial"/>
                <w:sz w:val="20"/>
                <w:szCs w:val="20"/>
              </w:rPr>
              <w:t>Chad</w:t>
            </w:r>
          </w:p>
        </w:tc>
        <w:tc>
          <w:tcPr>
            <w:tcW w:w="1388" w:type="dxa"/>
            <w:vMerge w:val="continue"/>
            <w:tcBorders>
              <w:left w:val="nil"/>
              <w:right w:val="nil"/>
            </w:tcBorders>
            <w:shd w:val="clear" w:color="auto" w:fill="auto"/>
            <w:vAlign w:val="center"/>
          </w:tcPr>
          <w:p w14:paraId="3A223CFF">
            <w:pPr>
              <w:rPr>
                <w:rFonts w:ascii="Arial" w:hAnsi="Arial" w:eastAsia="Arial" w:cs="Arial"/>
                <w:sz w:val="20"/>
                <w:szCs w:val="20"/>
              </w:rPr>
            </w:pPr>
          </w:p>
        </w:tc>
        <w:tc>
          <w:tcPr>
            <w:tcW w:w="1296" w:type="dxa"/>
            <w:tcBorders>
              <w:top w:val="nil"/>
              <w:left w:val="nil"/>
              <w:bottom w:val="nil"/>
              <w:right w:val="nil"/>
            </w:tcBorders>
            <w:shd w:val="clear" w:color="auto" w:fill="auto"/>
            <w:vAlign w:val="center"/>
          </w:tcPr>
          <w:p w14:paraId="4E8ACC11">
            <w:pPr>
              <w:rPr>
                <w:rFonts w:ascii="Arial" w:hAnsi="Arial" w:eastAsia="Arial" w:cs="Arial"/>
                <w:sz w:val="20"/>
                <w:szCs w:val="20"/>
              </w:rPr>
            </w:pPr>
            <w:r>
              <w:rPr>
                <w:rFonts w:ascii="Arial" w:hAnsi="Arial" w:eastAsia="Arial" w:cs="Arial"/>
                <w:sz w:val="20"/>
                <w:szCs w:val="20"/>
              </w:rPr>
              <w:t>710</w:t>
            </w:r>
          </w:p>
        </w:tc>
        <w:tc>
          <w:tcPr>
            <w:tcW w:w="2808" w:type="dxa"/>
            <w:tcBorders>
              <w:top w:val="nil"/>
              <w:left w:val="nil"/>
              <w:bottom w:val="nil"/>
              <w:right w:val="nil"/>
            </w:tcBorders>
            <w:shd w:val="clear" w:color="auto" w:fill="auto"/>
            <w:vAlign w:val="center"/>
          </w:tcPr>
          <w:p w14:paraId="3DC38251">
            <w:pPr>
              <w:rPr>
                <w:rFonts w:ascii="Arial" w:hAnsi="Arial" w:eastAsia="Arial" w:cs="Arial"/>
                <w:sz w:val="20"/>
                <w:szCs w:val="20"/>
              </w:rPr>
            </w:pPr>
            <w:r>
              <w:rPr>
                <w:rFonts w:ascii="Arial" w:hAnsi="Arial" w:eastAsia="Arial" w:cs="Arial"/>
              </w:rPr>
              <w:t>Petroleum, animal husbandry</w:t>
            </w:r>
          </w:p>
        </w:tc>
        <w:tc>
          <w:tcPr>
            <w:tcW w:w="1644" w:type="dxa"/>
            <w:tcBorders>
              <w:top w:val="nil"/>
              <w:left w:val="nil"/>
              <w:bottom w:val="nil"/>
              <w:right w:val="nil"/>
            </w:tcBorders>
            <w:shd w:val="clear" w:color="auto" w:fill="auto"/>
            <w:vAlign w:val="center"/>
          </w:tcPr>
          <w:p w14:paraId="106B249C">
            <w:pPr>
              <w:rPr>
                <w:rFonts w:ascii="Arial" w:hAnsi="Arial" w:eastAsia="Arial" w:cs="Arial"/>
                <w:sz w:val="20"/>
                <w:szCs w:val="20"/>
              </w:rPr>
            </w:pPr>
            <w:r>
              <w:rPr>
                <w:rFonts w:ascii="Arial" w:hAnsi="Arial" w:eastAsia="Arial" w:cs="Arial"/>
                <w:sz w:val="20"/>
                <w:szCs w:val="20"/>
              </w:rPr>
              <w:t>5.8</w:t>
            </w:r>
            <w:r>
              <w:rPr>
                <w:rFonts w:hint="eastAsia" w:ascii="Arial" w:hAnsi="Arial" w:eastAsia="Arial" w:cs="Arial"/>
                <w:sz w:val="20"/>
                <w:szCs w:val="20"/>
              </w:rPr>
              <w:t xml:space="preserve">  (</w:t>
            </w:r>
            <w:r>
              <w:rPr>
                <w:rFonts w:ascii="Arial" w:hAnsi="Arial" w:eastAsia="Arial" w:cs="Arial"/>
                <w:sz w:val="20"/>
                <w:szCs w:val="20"/>
              </w:rPr>
              <w:t>2021</w:t>
            </w:r>
            <w:r>
              <w:rPr>
                <w:rFonts w:hint="eastAsia" w:ascii="Arial" w:hAnsi="Arial" w:eastAsia="Arial" w:cs="Arial"/>
                <w:sz w:val="20"/>
                <w:szCs w:val="20"/>
              </w:rPr>
              <w:t>)</w:t>
            </w:r>
          </w:p>
        </w:tc>
      </w:tr>
      <w:tr w14:paraId="29175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nil"/>
              <w:right w:val="nil"/>
            </w:tcBorders>
            <w:shd w:val="clear" w:color="auto" w:fill="auto"/>
            <w:vAlign w:val="center"/>
          </w:tcPr>
          <w:p w14:paraId="2F0F267E">
            <w:pPr>
              <w:rPr>
                <w:rFonts w:ascii="Arial" w:hAnsi="Arial" w:eastAsia="Arial" w:cs="Arial"/>
                <w:sz w:val="20"/>
                <w:szCs w:val="20"/>
              </w:rPr>
            </w:pPr>
            <w:r>
              <w:rPr>
                <w:rFonts w:ascii="Arial" w:hAnsi="Arial" w:eastAsia="Arial" w:cs="Arial"/>
                <w:sz w:val="20"/>
                <w:szCs w:val="20"/>
              </w:rPr>
              <w:t xml:space="preserve">Congo (DRC) </w:t>
            </w:r>
          </w:p>
        </w:tc>
        <w:tc>
          <w:tcPr>
            <w:tcW w:w="1388" w:type="dxa"/>
            <w:vMerge w:val="continue"/>
            <w:tcBorders>
              <w:left w:val="nil"/>
              <w:right w:val="nil"/>
            </w:tcBorders>
            <w:shd w:val="clear" w:color="auto" w:fill="auto"/>
            <w:vAlign w:val="center"/>
          </w:tcPr>
          <w:p w14:paraId="73446D70">
            <w:pPr>
              <w:rPr>
                <w:rFonts w:ascii="Arial" w:hAnsi="Arial" w:eastAsia="Arial" w:cs="Arial"/>
                <w:sz w:val="20"/>
                <w:szCs w:val="20"/>
              </w:rPr>
            </w:pPr>
          </w:p>
        </w:tc>
        <w:tc>
          <w:tcPr>
            <w:tcW w:w="1296" w:type="dxa"/>
            <w:tcBorders>
              <w:top w:val="nil"/>
              <w:left w:val="nil"/>
              <w:bottom w:val="nil"/>
              <w:right w:val="nil"/>
            </w:tcBorders>
            <w:shd w:val="clear" w:color="auto" w:fill="auto"/>
            <w:vAlign w:val="center"/>
          </w:tcPr>
          <w:p w14:paraId="23274E56">
            <w:pPr>
              <w:rPr>
                <w:rFonts w:ascii="Arial" w:hAnsi="Arial" w:eastAsia="Arial" w:cs="Arial"/>
                <w:sz w:val="20"/>
                <w:szCs w:val="20"/>
              </w:rPr>
            </w:pPr>
            <w:r>
              <w:rPr>
                <w:rFonts w:ascii="Arial" w:hAnsi="Arial" w:eastAsia="Arial" w:cs="Arial"/>
                <w:sz w:val="20"/>
                <w:szCs w:val="20"/>
              </w:rPr>
              <w:t>660</w:t>
            </w:r>
          </w:p>
        </w:tc>
        <w:tc>
          <w:tcPr>
            <w:tcW w:w="2808" w:type="dxa"/>
            <w:tcBorders>
              <w:top w:val="nil"/>
              <w:left w:val="nil"/>
              <w:bottom w:val="nil"/>
              <w:right w:val="nil"/>
            </w:tcBorders>
            <w:shd w:val="clear" w:color="auto" w:fill="auto"/>
            <w:vAlign w:val="center"/>
          </w:tcPr>
          <w:p w14:paraId="35F4FB68">
            <w:pPr>
              <w:rPr>
                <w:rFonts w:ascii="Arial" w:hAnsi="Arial" w:eastAsia="Arial" w:cs="Arial"/>
                <w:sz w:val="20"/>
                <w:szCs w:val="20"/>
              </w:rPr>
            </w:pPr>
            <w:r>
              <w:rPr>
                <w:rFonts w:ascii="Arial" w:hAnsi="Arial" w:eastAsia="Arial" w:cs="Arial"/>
              </w:rPr>
              <w:t>Cobalt, copper, agriculture</w:t>
            </w:r>
          </w:p>
        </w:tc>
        <w:tc>
          <w:tcPr>
            <w:tcW w:w="1644" w:type="dxa"/>
            <w:tcBorders>
              <w:top w:val="nil"/>
              <w:left w:val="nil"/>
              <w:bottom w:val="nil"/>
              <w:right w:val="nil"/>
            </w:tcBorders>
            <w:shd w:val="clear" w:color="auto" w:fill="auto"/>
            <w:vAlign w:val="center"/>
          </w:tcPr>
          <w:p w14:paraId="125D872C">
            <w:pPr>
              <w:rPr>
                <w:rFonts w:ascii="Arial" w:hAnsi="Arial" w:eastAsia="Arial" w:cs="Arial"/>
                <w:sz w:val="20"/>
                <w:szCs w:val="20"/>
              </w:rPr>
            </w:pPr>
            <w:r>
              <w:rPr>
                <w:rFonts w:ascii="Arial" w:hAnsi="Arial" w:eastAsia="Arial" w:cs="Arial"/>
                <w:sz w:val="20"/>
                <w:szCs w:val="20"/>
              </w:rPr>
              <w:t>——</w:t>
            </w:r>
          </w:p>
        </w:tc>
      </w:tr>
      <w:tr w14:paraId="31798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nil"/>
              <w:right w:val="nil"/>
            </w:tcBorders>
            <w:shd w:val="clear" w:color="auto" w:fill="auto"/>
            <w:vAlign w:val="center"/>
          </w:tcPr>
          <w:p w14:paraId="7EFB02EF">
            <w:pPr>
              <w:rPr>
                <w:rFonts w:ascii="Arial" w:hAnsi="Arial" w:eastAsia="Arial" w:cs="Arial"/>
                <w:sz w:val="20"/>
                <w:szCs w:val="20"/>
              </w:rPr>
            </w:pPr>
            <w:r>
              <w:rPr>
                <w:rFonts w:ascii="Arial" w:hAnsi="Arial" w:eastAsia="Arial" w:cs="Arial"/>
                <w:sz w:val="20"/>
                <w:szCs w:val="20"/>
              </w:rPr>
              <w:t>Sao Tome and Principe</w:t>
            </w:r>
          </w:p>
        </w:tc>
        <w:tc>
          <w:tcPr>
            <w:tcW w:w="1388" w:type="dxa"/>
            <w:vMerge w:val="continue"/>
            <w:tcBorders>
              <w:left w:val="nil"/>
              <w:bottom w:val="nil"/>
              <w:right w:val="nil"/>
            </w:tcBorders>
            <w:shd w:val="clear" w:color="auto" w:fill="auto"/>
            <w:vAlign w:val="center"/>
          </w:tcPr>
          <w:p w14:paraId="7EAC7D3C">
            <w:pPr>
              <w:rPr>
                <w:rFonts w:ascii="Arial" w:hAnsi="Arial" w:eastAsia="Arial" w:cs="Arial"/>
                <w:sz w:val="20"/>
                <w:szCs w:val="20"/>
              </w:rPr>
            </w:pPr>
          </w:p>
        </w:tc>
        <w:tc>
          <w:tcPr>
            <w:tcW w:w="1296" w:type="dxa"/>
            <w:tcBorders>
              <w:top w:val="nil"/>
              <w:left w:val="nil"/>
              <w:bottom w:val="nil"/>
              <w:right w:val="nil"/>
            </w:tcBorders>
            <w:shd w:val="clear" w:color="auto" w:fill="auto"/>
            <w:vAlign w:val="center"/>
          </w:tcPr>
          <w:p w14:paraId="3A4D7516">
            <w:pPr>
              <w:rPr>
                <w:rFonts w:ascii="Arial" w:hAnsi="Arial" w:eastAsia="Arial" w:cs="Arial"/>
                <w:sz w:val="20"/>
                <w:szCs w:val="20"/>
              </w:rPr>
            </w:pPr>
            <w:r>
              <w:rPr>
                <w:rFonts w:ascii="Arial" w:hAnsi="Arial" w:eastAsia="Arial" w:cs="Arial"/>
                <w:sz w:val="20"/>
                <w:szCs w:val="20"/>
              </w:rPr>
              <w:t>2420</w:t>
            </w:r>
          </w:p>
        </w:tc>
        <w:tc>
          <w:tcPr>
            <w:tcW w:w="2808" w:type="dxa"/>
            <w:tcBorders>
              <w:top w:val="nil"/>
              <w:left w:val="nil"/>
              <w:bottom w:val="nil"/>
              <w:right w:val="nil"/>
            </w:tcBorders>
            <w:shd w:val="clear" w:color="auto" w:fill="auto"/>
            <w:vAlign w:val="center"/>
          </w:tcPr>
          <w:p w14:paraId="4891A46F">
            <w:pPr>
              <w:rPr>
                <w:rFonts w:ascii="Arial" w:hAnsi="Arial" w:eastAsia="Arial" w:cs="Arial"/>
                <w:sz w:val="20"/>
                <w:szCs w:val="20"/>
              </w:rPr>
            </w:pPr>
            <w:r>
              <w:rPr>
                <w:rFonts w:ascii="Arial" w:hAnsi="Arial" w:eastAsia="Arial" w:cs="Arial"/>
              </w:rPr>
              <w:t>Cocoa and Tourism</w:t>
            </w:r>
          </w:p>
        </w:tc>
        <w:tc>
          <w:tcPr>
            <w:tcW w:w="1644" w:type="dxa"/>
            <w:tcBorders>
              <w:top w:val="nil"/>
              <w:left w:val="nil"/>
              <w:bottom w:val="nil"/>
              <w:right w:val="nil"/>
            </w:tcBorders>
            <w:shd w:val="clear" w:color="auto" w:fill="auto"/>
            <w:vAlign w:val="center"/>
          </w:tcPr>
          <w:p w14:paraId="165E0F31">
            <w:pPr>
              <w:rPr>
                <w:rFonts w:ascii="Arial" w:hAnsi="Arial" w:eastAsia="Arial" w:cs="Arial"/>
                <w:sz w:val="20"/>
                <w:szCs w:val="20"/>
              </w:rPr>
            </w:pPr>
            <w:r>
              <w:rPr>
                <w:rFonts w:ascii="Arial" w:hAnsi="Arial" w:eastAsia="Arial" w:cs="Arial"/>
                <w:sz w:val="20"/>
                <w:szCs w:val="20"/>
              </w:rPr>
              <w:t>14.2</w:t>
            </w:r>
            <w:r>
              <w:rPr>
                <w:rFonts w:hint="eastAsia" w:ascii="Arial" w:hAnsi="Arial" w:eastAsia="Arial" w:cs="Arial"/>
                <w:sz w:val="20"/>
                <w:szCs w:val="20"/>
              </w:rPr>
              <w:t xml:space="preserve">  (</w:t>
            </w:r>
            <w:r>
              <w:rPr>
                <w:rFonts w:ascii="Arial" w:hAnsi="Arial" w:eastAsia="Arial" w:cs="Arial"/>
                <w:sz w:val="20"/>
                <w:szCs w:val="20"/>
              </w:rPr>
              <w:t>2021</w:t>
            </w:r>
            <w:r>
              <w:rPr>
                <w:rFonts w:hint="eastAsia" w:ascii="Arial" w:hAnsi="Arial" w:eastAsia="Arial" w:cs="Arial"/>
                <w:sz w:val="20"/>
                <w:szCs w:val="20"/>
              </w:rPr>
              <w:t>)</w:t>
            </w:r>
          </w:p>
        </w:tc>
      </w:tr>
      <w:tr w14:paraId="35DB8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single" w:color="auto" w:sz="12" w:space="0"/>
              <w:right w:val="nil"/>
            </w:tcBorders>
            <w:shd w:val="clear" w:color="auto" w:fill="auto"/>
            <w:vAlign w:val="center"/>
          </w:tcPr>
          <w:p w14:paraId="1F60DF46">
            <w:pPr>
              <w:rPr>
                <w:rFonts w:ascii="Arial" w:hAnsi="Arial" w:eastAsia="Arial" w:cs="Arial"/>
                <w:sz w:val="20"/>
                <w:szCs w:val="20"/>
              </w:rPr>
            </w:pPr>
            <w:r>
              <w:rPr>
                <w:rFonts w:ascii="Arial" w:hAnsi="Arial" w:eastAsia="Arial" w:cs="Arial"/>
                <w:sz w:val="20"/>
                <w:szCs w:val="20"/>
              </w:rPr>
              <w:t>Lesotho</w:t>
            </w:r>
          </w:p>
        </w:tc>
        <w:tc>
          <w:tcPr>
            <w:tcW w:w="1388" w:type="dxa"/>
            <w:tcBorders>
              <w:top w:val="nil"/>
              <w:left w:val="nil"/>
              <w:bottom w:val="single" w:color="auto" w:sz="12" w:space="0"/>
              <w:right w:val="nil"/>
            </w:tcBorders>
            <w:shd w:val="clear" w:color="auto" w:fill="auto"/>
            <w:vAlign w:val="center"/>
          </w:tcPr>
          <w:p w14:paraId="626249C8">
            <w:pPr>
              <w:rPr>
                <w:rFonts w:ascii="Arial" w:hAnsi="Arial" w:eastAsia="Arial" w:cs="Arial"/>
                <w:sz w:val="20"/>
                <w:szCs w:val="20"/>
              </w:rPr>
            </w:pPr>
            <w:r>
              <w:rPr>
                <w:rFonts w:ascii="Arial" w:hAnsi="Arial" w:eastAsia="Arial" w:cs="Arial"/>
                <w:sz w:val="20"/>
                <w:szCs w:val="20"/>
              </w:rPr>
              <w:t>South Africa</w:t>
            </w:r>
          </w:p>
        </w:tc>
        <w:tc>
          <w:tcPr>
            <w:tcW w:w="1296" w:type="dxa"/>
            <w:tcBorders>
              <w:top w:val="nil"/>
              <w:left w:val="nil"/>
              <w:bottom w:val="single" w:color="auto" w:sz="12" w:space="0"/>
              <w:right w:val="nil"/>
            </w:tcBorders>
            <w:shd w:val="clear" w:color="auto" w:fill="auto"/>
            <w:vAlign w:val="center"/>
          </w:tcPr>
          <w:p w14:paraId="6FB57730">
            <w:pPr>
              <w:rPr>
                <w:rFonts w:ascii="Arial" w:hAnsi="Arial" w:eastAsia="Arial" w:cs="Arial"/>
                <w:sz w:val="20"/>
                <w:szCs w:val="20"/>
              </w:rPr>
            </w:pPr>
            <w:r>
              <w:rPr>
                <w:rFonts w:ascii="Arial" w:hAnsi="Arial" w:eastAsia="Arial" w:cs="Arial"/>
                <w:sz w:val="20"/>
                <w:szCs w:val="20"/>
              </w:rPr>
              <w:t>1220</w:t>
            </w:r>
          </w:p>
        </w:tc>
        <w:tc>
          <w:tcPr>
            <w:tcW w:w="2808" w:type="dxa"/>
            <w:tcBorders>
              <w:top w:val="nil"/>
              <w:left w:val="nil"/>
              <w:bottom w:val="single" w:color="auto" w:sz="12" w:space="0"/>
              <w:right w:val="nil"/>
            </w:tcBorders>
            <w:shd w:val="clear" w:color="auto" w:fill="auto"/>
            <w:vAlign w:val="center"/>
          </w:tcPr>
          <w:p w14:paraId="1FAA5E1B">
            <w:pPr>
              <w:rPr>
                <w:rFonts w:ascii="Arial" w:hAnsi="Arial" w:eastAsia="Arial" w:cs="Arial"/>
                <w:sz w:val="20"/>
                <w:szCs w:val="20"/>
              </w:rPr>
            </w:pPr>
            <w:r>
              <w:rPr>
                <w:rFonts w:ascii="Arial" w:hAnsi="Arial" w:eastAsia="Arial" w:cs="Arial"/>
              </w:rPr>
              <w:t>Textile industry, diamond mining, remittances</w:t>
            </w:r>
          </w:p>
        </w:tc>
        <w:tc>
          <w:tcPr>
            <w:tcW w:w="1644" w:type="dxa"/>
            <w:tcBorders>
              <w:top w:val="nil"/>
              <w:left w:val="nil"/>
              <w:bottom w:val="single" w:color="auto" w:sz="12" w:space="0"/>
              <w:right w:val="nil"/>
            </w:tcBorders>
            <w:shd w:val="clear" w:color="auto" w:fill="auto"/>
            <w:vAlign w:val="center"/>
          </w:tcPr>
          <w:p w14:paraId="65E8FA6A">
            <w:pPr>
              <w:rPr>
                <w:rFonts w:ascii="Arial" w:hAnsi="Arial" w:eastAsia="Arial" w:cs="Arial"/>
                <w:sz w:val="20"/>
                <w:szCs w:val="20"/>
              </w:rPr>
            </w:pPr>
            <w:r>
              <w:rPr>
                <w:rFonts w:ascii="Arial" w:hAnsi="Arial" w:eastAsia="Arial" w:cs="Arial"/>
                <w:sz w:val="20"/>
                <w:szCs w:val="20"/>
              </w:rPr>
              <w:t>24.6</w:t>
            </w:r>
            <w:r>
              <w:rPr>
                <w:rFonts w:hint="eastAsia" w:ascii="Arial" w:hAnsi="Arial" w:eastAsia="Arial" w:cs="Arial"/>
                <w:sz w:val="20"/>
                <w:szCs w:val="20"/>
              </w:rPr>
              <w:t xml:space="preserve">  (</w:t>
            </w:r>
            <w:r>
              <w:rPr>
                <w:rFonts w:ascii="Arial" w:hAnsi="Arial" w:eastAsia="Arial" w:cs="Arial"/>
                <w:sz w:val="20"/>
                <w:szCs w:val="20"/>
              </w:rPr>
              <w:t>2022</w:t>
            </w:r>
            <w:r>
              <w:rPr>
                <w:rFonts w:hint="eastAsia" w:ascii="Arial" w:hAnsi="Arial" w:eastAsia="Arial" w:cs="Arial"/>
                <w:sz w:val="20"/>
                <w:szCs w:val="20"/>
              </w:rPr>
              <w:t>)</w:t>
            </w:r>
          </w:p>
        </w:tc>
      </w:tr>
    </w:tbl>
    <w:p w14:paraId="42FF1D5B">
      <w:pPr>
        <w:rPr>
          <w:rFonts w:ascii="Arial" w:hAnsi="Arial"/>
          <w:i/>
          <w:iCs/>
          <w:sz w:val="18"/>
          <w:szCs w:val="18"/>
        </w:rPr>
      </w:pPr>
      <w:r>
        <w:rPr>
          <w:rFonts w:hint="eastAsia" w:ascii="Arial" w:hAnsi="Arial"/>
          <w:i/>
          <w:iCs/>
          <w:sz w:val="18"/>
          <w:szCs w:val="18"/>
        </w:rPr>
        <w:t>Date s</w:t>
      </w:r>
      <w:r>
        <w:rPr>
          <w:rFonts w:ascii="Arial" w:hAnsi="Arial"/>
          <w:i/>
          <w:iCs/>
          <w:sz w:val="18"/>
          <w:szCs w:val="18"/>
        </w:rPr>
        <w:t>ource: United Nations, World Bank, International Monetary Fund</w:t>
      </w:r>
    </w:p>
    <w:p w14:paraId="50161735">
      <w:pPr>
        <w:rPr>
          <w:rFonts w:ascii="Arial" w:hAnsi="Arial"/>
          <w:sz w:val="20"/>
          <w:szCs w:val="20"/>
        </w:rPr>
      </w:pPr>
    </w:p>
    <w:p w14:paraId="7A851C59">
      <w:pPr>
        <w:rPr>
          <w:rFonts w:ascii="Arial" w:hAnsi="Arial"/>
          <w:sz w:val="20"/>
          <w:szCs w:val="20"/>
        </w:rPr>
      </w:pPr>
      <w:r>
        <w:rPr>
          <w:rFonts w:ascii="Arial" w:hAnsi="Arial"/>
          <w:sz w:val="20"/>
          <w:szCs w:val="20"/>
        </w:rPr>
        <w:t>Taking China-Africa trade as an example, according to the Ministry of Commerce, China has maintained its position as Africa's largest trading partner for 15 consecutive years, and the scale of China-Africa trade has reached new highs, and the structure has been continuously optimized. At the same time, China is also the largest developing country in terms of investment in Africa</w:t>
      </w:r>
      <w:r>
        <w:rPr>
          <w:rFonts w:hint="eastAsia" w:ascii="Arial" w:hAnsi="Arial"/>
          <w:sz w:val="20"/>
          <w:szCs w:val="20"/>
        </w:rPr>
        <w:t xml:space="preserve"> (Wang, 2024)</w:t>
      </w:r>
      <w:r>
        <w:rPr>
          <w:rFonts w:ascii="Arial" w:hAnsi="Arial"/>
          <w:sz w:val="20"/>
          <w:szCs w:val="20"/>
        </w:rPr>
        <w:t>. However, in the decades of trade between China and Africa, African countries' exports have always been in a weak position, that is, Africa has always been in a low value-added stage between the two. The author takes the categories and amounts of import and export products between China and Africa in January ~ October 2024 as the research object, and finds that although the trade balance between China and Africa is generally low, the products exported by Africa to China are mainly primary products, and the value appreciation level is generally low, such as minerals, leather products, rough jewelry, wood pulp, tobacco, etc. (see Table 3).</w:t>
      </w:r>
    </w:p>
    <w:p w14:paraId="5F9D8934">
      <w:pPr>
        <w:rPr>
          <w:rFonts w:ascii="Arial" w:hAnsi="Arial"/>
          <w:sz w:val="20"/>
          <w:szCs w:val="20"/>
        </w:rPr>
      </w:pPr>
    </w:p>
    <w:p w14:paraId="39A567EF">
      <w:pPr>
        <w:rPr>
          <w:rFonts w:ascii="Arial" w:hAnsi="Arial"/>
          <w:b/>
          <w:bCs/>
          <w:sz w:val="20"/>
          <w:szCs w:val="20"/>
        </w:rPr>
      </w:pPr>
      <w:r>
        <w:rPr>
          <w:rFonts w:hint="eastAsia" w:ascii="Arial" w:hAnsi="Arial"/>
          <w:b/>
          <w:bCs/>
          <w:sz w:val="20"/>
          <w:szCs w:val="20"/>
        </w:rPr>
        <w:t>Table 3</w:t>
      </w:r>
      <w:r>
        <w:rPr>
          <w:rFonts w:hint="eastAsia" w:ascii="Arial" w:hAnsi="Arial"/>
          <w:b/>
          <w:bCs/>
          <w:sz w:val="20"/>
          <w:szCs w:val="20"/>
        </w:rPr>
        <w:tab/>
      </w:r>
      <w:r>
        <w:rPr>
          <w:rFonts w:hint="eastAsia" w:ascii="Arial" w:hAnsi="Arial"/>
          <w:b/>
          <w:bCs/>
          <w:sz w:val="20"/>
          <w:szCs w:val="20"/>
        </w:rPr>
        <w:t>China Africa trade structure from January to October 2024</w:t>
      </w:r>
    </w:p>
    <w:p w14:paraId="1990FFB6">
      <w:pPr>
        <w:rPr>
          <w:rFonts w:ascii="Arial" w:hAnsi="Arial"/>
          <w:b/>
          <w:bCs/>
          <w:sz w:val="20"/>
          <w:szCs w:val="20"/>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1B174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12" w:space="0"/>
              <w:left w:val="nil"/>
              <w:bottom w:val="single" w:color="auto" w:sz="4" w:space="0"/>
              <w:right w:val="nil"/>
            </w:tcBorders>
          </w:tcPr>
          <w:p w14:paraId="6AAEB252">
            <w:pPr>
              <w:jc w:val="center"/>
              <w:rPr>
                <w:rFonts w:ascii="Arial" w:hAnsi="Arial" w:eastAsia="Arial"/>
                <w:b/>
                <w:bCs/>
                <w:sz w:val="20"/>
                <w:szCs w:val="20"/>
              </w:rPr>
            </w:pPr>
            <w:r>
              <w:rPr>
                <w:rFonts w:hint="eastAsia" w:ascii="Arial" w:hAnsi="Arial" w:eastAsia="Arial"/>
                <w:b/>
                <w:bCs/>
                <w:sz w:val="20"/>
                <w:szCs w:val="20"/>
              </w:rPr>
              <w:t>Commodity classification</w:t>
            </w:r>
          </w:p>
        </w:tc>
        <w:tc>
          <w:tcPr>
            <w:tcW w:w="2130" w:type="dxa"/>
            <w:tcBorders>
              <w:top w:val="single" w:color="auto" w:sz="12" w:space="0"/>
              <w:left w:val="nil"/>
              <w:bottom w:val="single" w:color="auto" w:sz="4" w:space="0"/>
              <w:right w:val="nil"/>
            </w:tcBorders>
          </w:tcPr>
          <w:p w14:paraId="4AFBDF63">
            <w:pPr>
              <w:jc w:val="center"/>
              <w:rPr>
                <w:rFonts w:ascii="Arial" w:hAnsi="Arial" w:eastAsia="Arial"/>
                <w:b/>
                <w:bCs/>
                <w:sz w:val="20"/>
                <w:szCs w:val="20"/>
              </w:rPr>
            </w:pPr>
            <w:r>
              <w:rPr>
                <w:rFonts w:hint="eastAsia" w:ascii="Arial" w:hAnsi="Arial" w:eastAsia="Arial"/>
                <w:b/>
                <w:bCs/>
                <w:sz w:val="20"/>
                <w:szCs w:val="20"/>
              </w:rPr>
              <w:t>Africa exports to China</w:t>
            </w:r>
          </w:p>
        </w:tc>
        <w:tc>
          <w:tcPr>
            <w:tcW w:w="2131" w:type="dxa"/>
            <w:tcBorders>
              <w:top w:val="single" w:color="auto" w:sz="12" w:space="0"/>
              <w:left w:val="nil"/>
              <w:bottom w:val="single" w:color="auto" w:sz="4" w:space="0"/>
              <w:right w:val="nil"/>
            </w:tcBorders>
          </w:tcPr>
          <w:p w14:paraId="3BB5AC83">
            <w:pPr>
              <w:jc w:val="center"/>
              <w:rPr>
                <w:rFonts w:ascii="Arial" w:hAnsi="Arial" w:eastAsia="Arial"/>
                <w:b/>
                <w:bCs/>
                <w:sz w:val="20"/>
                <w:szCs w:val="20"/>
              </w:rPr>
            </w:pPr>
            <w:r>
              <w:rPr>
                <w:rFonts w:hint="eastAsia" w:ascii="Arial" w:hAnsi="Arial" w:eastAsia="Arial"/>
                <w:b/>
                <w:bCs/>
                <w:sz w:val="20"/>
                <w:szCs w:val="20"/>
              </w:rPr>
              <w:t>Africa imports from China</w:t>
            </w:r>
          </w:p>
        </w:tc>
        <w:tc>
          <w:tcPr>
            <w:tcW w:w="2131" w:type="dxa"/>
            <w:tcBorders>
              <w:top w:val="single" w:color="auto" w:sz="12" w:space="0"/>
              <w:left w:val="nil"/>
              <w:bottom w:val="single" w:color="auto" w:sz="4" w:space="0"/>
              <w:right w:val="nil"/>
            </w:tcBorders>
          </w:tcPr>
          <w:p w14:paraId="43A7E55F">
            <w:pPr>
              <w:jc w:val="center"/>
              <w:rPr>
                <w:rFonts w:ascii="Arial" w:hAnsi="Arial" w:eastAsia="Arial"/>
                <w:b/>
                <w:bCs/>
                <w:sz w:val="20"/>
                <w:szCs w:val="20"/>
              </w:rPr>
            </w:pPr>
            <w:r>
              <w:rPr>
                <w:rFonts w:hint="eastAsia" w:ascii="Arial" w:hAnsi="Arial" w:eastAsia="Arial"/>
                <w:b/>
                <w:bCs/>
                <w:sz w:val="20"/>
                <w:szCs w:val="20"/>
              </w:rPr>
              <w:t>Proportion of exports in total</w:t>
            </w:r>
          </w:p>
        </w:tc>
      </w:tr>
      <w:tr w14:paraId="15E0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nil"/>
              <w:bottom w:val="nil"/>
              <w:right w:val="nil"/>
            </w:tcBorders>
            <w:shd w:val="clear" w:color="auto" w:fill="E7E6E6" w:themeFill="background2"/>
          </w:tcPr>
          <w:p w14:paraId="672A5897">
            <w:pPr>
              <w:jc w:val="center"/>
              <w:rPr>
                <w:rFonts w:ascii="Arial" w:hAnsi="Arial" w:eastAsia="Arial"/>
                <w:sz w:val="20"/>
                <w:szCs w:val="20"/>
              </w:rPr>
            </w:pPr>
            <w:r>
              <w:rPr>
                <w:rFonts w:ascii="Arial" w:hAnsi="Arial" w:eastAsia="Arial"/>
                <w:sz w:val="20"/>
                <w:szCs w:val="20"/>
              </w:rPr>
              <w:t>Total amount</w:t>
            </w:r>
          </w:p>
        </w:tc>
        <w:tc>
          <w:tcPr>
            <w:tcW w:w="2130" w:type="dxa"/>
            <w:tcBorders>
              <w:top w:val="single" w:color="auto" w:sz="4" w:space="0"/>
              <w:left w:val="nil"/>
              <w:bottom w:val="nil"/>
              <w:right w:val="nil"/>
            </w:tcBorders>
            <w:shd w:val="clear" w:color="auto" w:fill="E7E6E6" w:themeFill="background2"/>
            <w:vAlign w:val="center"/>
          </w:tcPr>
          <w:p w14:paraId="5E957FE1">
            <w:pPr>
              <w:jc w:val="center"/>
              <w:rPr>
                <w:rFonts w:ascii="Arial" w:hAnsi="Arial" w:eastAsia="Arial"/>
                <w:sz w:val="20"/>
                <w:szCs w:val="20"/>
              </w:rPr>
            </w:pPr>
            <w:r>
              <w:rPr>
                <w:rFonts w:ascii="Arial" w:hAnsi="Arial" w:eastAsia="Arial"/>
                <w:sz w:val="20"/>
                <w:szCs w:val="20"/>
              </w:rPr>
              <w:t>558010086297</w:t>
            </w:r>
          </w:p>
        </w:tc>
        <w:tc>
          <w:tcPr>
            <w:tcW w:w="2131" w:type="dxa"/>
            <w:tcBorders>
              <w:top w:val="single" w:color="auto" w:sz="4" w:space="0"/>
              <w:left w:val="nil"/>
              <w:bottom w:val="nil"/>
              <w:right w:val="nil"/>
            </w:tcBorders>
            <w:shd w:val="clear" w:color="auto" w:fill="E7E6E6" w:themeFill="background2"/>
            <w:vAlign w:val="center"/>
          </w:tcPr>
          <w:p w14:paraId="2857D194">
            <w:pPr>
              <w:jc w:val="center"/>
              <w:rPr>
                <w:rFonts w:ascii="Arial" w:hAnsi="Arial" w:eastAsia="Arial"/>
                <w:sz w:val="20"/>
                <w:szCs w:val="20"/>
              </w:rPr>
            </w:pPr>
            <w:r>
              <w:rPr>
                <w:rFonts w:ascii="Arial" w:hAnsi="Arial" w:eastAsia="Arial"/>
                <w:sz w:val="20"/>
                <w:szCs w:val="20"/>
              </w:rPr>
              <w:t>746042667705</w:t>
            </w:r>
          </w:p>
        </w:tc>
        <w:tc>
          <w:tcPr>
            <w:tcW w:w="2131" w:type="dxa"/>
            <w:tcBorders>
              <w:top w:val="single" w:color="auto" w:sz="4" w:space="0"/>
              <w:left w:val="nil"/>
              <w:bottom w:val="nil"/>
              <w:right w:val="nil"/>
            </w:tcBorders>
            <w:shd w:val="clear" w:color="auto" w:fill="E7E6E6" w:themeFill="background2"/>
            <w:vAlign w:val="center"/>
          </w:tcPr>
          <w:p w14:paraId="4C0FD163">
            <w:pPr>
              <w:jc w:val="center"/>
              <w:rPr>
                <w:rFonts w:ascii="Arial" w:hAnsi="Arial" w:eastAsia="Arial"/>
                <w:sz w:val="20"/>
                <w:szCs w:val="20"/>
              </w:rPr>
            </w:pPr>
            <w:r>
              <w:rPr>
                <w:rFonts w:ascii="Arial" w:hAnsi="Arial" w:eastAsia="Arial"/>
                <w:sz w:val="20"/>
                <w:szCs w:val="20"/>
              </w:rPr>
              <w:t>42.79%</w:t>
            </w:r>
          </w:p>
        </w:tc>
      </w:tr>
      <w:tr w14:paraId="308E1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nil"/>
              <w:left w:val="nil"/>
              <w:bottom w:val="nil"/>
              <w:right w:val="nil"/>
            </w:tcBorders>
          </w:tcPr>
          <w:p w14:paraId="6750A0F6">
            <w:pPr>
              <w:jc w:val="center"/>
              <w:rPr>
                <w:rFonts w:ascii="Arial" w:hAnsi="Arial" w:eastAsia="Arial"/>
                <w:sz w:val="20"/>
                <w:szCs w:val="20"/>
              </w:rPr>
            </w:pPr>
            <w:r>
              <w:rPr>
                <w:rFonts w:hint="eastAsia" w:ascii="Arial" w:hAnsi="Arial" w:eastAsia="Arial"/>
                <w:sz w:val="20"/>
                <w:szCs w:val="20"/>
              </w:rPr>
              <w:t>Mineral sand, slag and ash</w:t>
            </w:r>
          </w:p>
        </w:tc>
        <w:tc>
          <w:tcPr>
            <w:tcW w:w="2130" w:type="dxa"/>
            <w:tcBorders>
              <w:top w:val="nil"/>
              <w:left w:val="nil"/>
              <w:bottom w:val="nil"/>
              <w:right w:val="nil"/>
            </w:tcBorders>
            <w:shd w:val="clear" w:color="auto" w:fill="auto"/>
            <w:vAlign w:val="center"/>
          </w:tcPr>
          <w:p w14:paraId="1B3BDB54">
            <w:pPr>
              <w:jc w:val="center"/>
              <w:rPr>
                <w:rFonts w:ascii="Arial" w:hAnsi="Arial" w:eastAsia="Arial"/>
                <w:sz w:val="20"/>
                <w:szCs w:val="20"/>
              </w:rPr>
            </w:pPr>
            <w:r>
              <w:rPr>
                <w:rFonts w:ascii="Arial" w:hAnsi="Arial" w:eastAsia="Arial"/>
                <w:sz w:val="20"/>
                <w:szCs w:val="20"/>
              </w:rPr>
              <w:t>165789209434</w:t>
            </w:r>
          </w:p>
        </w:tc>
        <w:tc>
          <w:tcPr>
            <w:tcW w:w="2131" w:type="dxa"/>
            <w:tcBorders>
              <w:top w:val="nil"/>
              <w:left w:val="nil"/>
              <w:bottom w:val="nil"/>
              <w:right w:val="nil"/>
            </w:tcBorders>
            <w:vAlign w:val="center"/>
          </w:tcPr>
          <w:p w14:paraId="6259F6D0">
            <w:pPr>
              <w:jc w:val="center"/>
              <w:rPr>
                <w:rFonts w:ascii="Arial" w:hAnsi="Arial" w:eastAsia="Arial"/>
                <w:sz w:val="20"/>
                <w:szCs w:val="20"/>
              </w:rPr>
            </w:pPr>
            <w:r>
              <w:rPr>
                <w:rFonts w:ascii="Arial" w:hAnsi="Arial" w:eastAsia="Arial"/>
                <w:sz w:val="20"/>
                <w:szCs w:val="20"/>
              </w:rPr>
              <w:t>100461670</w:t>
            </w:r>
          </w:p>
        </w:tc>
        <w:tc>
          <w:tcPr>
            <w:tcW w:w="2131" w:type="dxa"/>
            <w:tcBorders>
              <w:top w:val="nil"/>
              <w:left w:val="nil"/>
              <w:bottom w:val="nil"/>
              <w:right w:val="nil"/>
            </w:tcBorders>
            <w:vAlign w:val="center"/>
          </w:tcPr>
          <w:p w14:paraId="305E667A">
            <w:pPr>
              <w:jc w:val="center"/>
              <w:rPr>
                <w:rFonts w:ascii="Arial" w:hAnsi="Arial" w:eastAsia="Arial"/>
                <w:sz w:val="20"/>
                <w:szCs w:val="20"/>
              </w:rPr>
            </w:pPr>
            <w:r>
              <w:rPr>
                <w:rFonts w:ascii="Arial" w:hAnsi="Arial" w:eastAsia="Arial"/>
                <w:sz w:val="20"/>
                <w:szCs w:val="20"/>
              </w:rPr>
              <w:t>99.94%</w:t>
            </w:r>
          </w:p>
        </w:tc>
      </w:tr>
      <w:tr w14:paraId="04A43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nil"/>
              <w:left w:val="nil"/>
              <w:bottom w:val="nil"/>
              <w:right w:val="nil"/>
            </w:tcBorders>
          </w:tcPr>
          <w:p w14:paraId="55739943">
            <w:pPr>
              <w:jc w:val="center"/>
              <w:rPr>
                <w:rFonts w:ascii="Arial" w:hAnsi="Arial" w:eastAsia="Arial"/>
                <w:sz w:val="20"/>
                <w:szCs w:val="20"/>
              </w:rPr>
            </w:pPr>
            <w:r>
              <w:rPr>
                <w:rFonts w:hint="eastAsia" w:ascii="Arial" w:hAnsi="Arial" w:eastAsia="Arial"/>
                <w:sz w:val="20"/>
                <w:szCs w:val="20"/>
              </w:rPr>
              <w:t>Rawhide (except fur) and leather</w:t>
            </w:r>
          </w:p>
        </w:tc>
        <w:tc>
          <w:tcPr>
            <w:tcW w:w="2130" w:type="dxa"/>
            <w:tcBorders>
              <w:top w:val="nil"/>
              <w:left w:val="nil"/>
              <w:bottom w:val="nil"/>
              <w:right w:val="nil"/>
            </w:tcBorders>
            <w:shd w:val="clear" w:color="auto" w:fill="auto"/>
            <w:vAlign w:val="center"/>
          </w:tcPr>
          <w:p w14:paraId="4ECB7CED">
            <w:pPr>
              <w:jc w:val="center"/>
              <w:rPr>
                <w:rFonts w:ascii="Arial" w:hAnsi="Arial" w:eastAsia="Arial"/>
                <w:sz w:val="20"/>
                <w:szCs w:val="20"/>
              </w:rPr>
            </w:pPr>
            <w:r>
              <w:rPr>
                <w:rFonts w:ascii="Arial" w:hAnsi="Arial" w:eastAsia="Arial"/>
                <w:sz w:val="20"/>
                <w:szCs w:val="20"/>
              </w:rPr>
              <w:t>371526075</w:t>
            </w:r>
          </w:p>
        </w:tc>
        <w:tc>
          <w:tcPr>
            <w:tcW w:w="2131" w:type="dxa"/>
            <w:tcBorders>
              <w:top w:val="nil"/>
              <w:left w:val="nil"/>
              <w:bottom w:val="nil"/>
              <w:right w:val="nil"/>
            </w:tcBorders>
            <w:vAlign w:val="center"/>
          </w:tcPr>
          <w:p w14:paraId="6F8464EA">
            <w:pPr>
              <w:jc w:val="center"/>
              <w:rPr>
                <w:rFonts w:ascii="Arial" w:hAnsi="Arial" w:eastAsia="Arial"/>
                <w:sz w:val="20"/>
                <w:szCs w:val="20"/>
              </w:rPr>
            </w:pPr>
            <w:r>
              <w:rPr>
                <w:rFonts w:ascii="Arial" w:hAnsi="Arial" w:eastAsia="Arial"/>
                <w:sz w:val="20"/>
                <w:szCs w:val="20"/>
              </w:rPr>
              <w:t>2971454</w:t>
            </w:r>
          </w:p>
        </w:tc>
        <w:tc>
          <w:tcPr>
            <w:tcW w:w="2131" w:type="dxa"/>
            <w:tcBorders>
              <w:top w:val="nil"/>
              <w:left w:val="nil"/>
              <w:bottom w:val="nil"/>
              <w:right w:val="nil"/>
            </w:tcBorders>
            <w:vAlign w:val="center"/>
          </w:tcPr>
          <w:p w14:paraId="45205686">
            <w:pPr>
              <w:jc w:val="center"/>
              <w:rPr>
                <w:rFonts w:ascii="Arial" w:hAnsi="Arial" w:eastAsia="Arial"/>
                <w:sz w:val="20"/>
                <w:szCs w:val="20"/>
              </w:rPr>
            </w:pPr>
            <w:r>
              <w:rPr>
                <w:rFonts w:ascii="Arial" w:hAnsi="Arial" w:eastAsia="Arial"/>
                <w:sz w:val="20"/>
                <w:szCs w:val="20"/>
              </w:rPr>
              <w:t>99.21%</w:t>
            </w:r>
          </w:p>
        </w:tc>
      </w:tr>
      <w:tr w14:paraId="67C9E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nil"/>
              <w:left w:val="nil"/>
              <w:bottom w:val="nil"/>
              <w:right w:val="nil"/>
            </w:tcBorders>
          </w:tcPr>
          <w:p w14:paraId="2A60AF93">
            <w:pPr>
              <w:jc w:val="center"/>
              <w:rPr>
                <w:rFonts w:ascii="Arial" w:hAnsi="Arial" w:eastAsia="Arial"/>
                <w:sz w:val="20"/>
                <w:szCs w:val="20"/>
              </w:rPr>
            </w:pPr>
            <w:r>
              <w:rPr>
                <w:rFonts w:hint="eastAsia" w:ascii="Arial" w:hAnsi="Arial" w:eastAsia="Arial"/>
                <w:sz w:val="20"/>
                <w:szCs w:val="20"/>
              </w:rPr>
              <w:t>Jewelry raw stone, precious metal</w:t>
            </w:r>
          </w:p>
        </w:tc>
        <w:tc>
          <w:tcPr>
            <w:tcW w:w="2130" w:type="dxa"/>
            <w:tcBorders>
              <w:top w:val="nil"/>
              <w:left w:val="nil"/>
              <w:bottom w:val="nil"/>
              <w:right w:val="nil"/>
            </w:tcBorders>
            <w:vAlign w:val="center"/>
          </w:tcPr>
          <w:p w14:paraId="5A3C67CD">
            <w:pPr>
              <w:jc w:val="center"/>
              <w:rPr>
                <w:rFonts w:ascii="Arial" w:hAnsi="Arial" w:eastAsia="Arial"/>
                <w:sz w:val="20"/>
                <w:szCs w:val="20"/>
              </w:rPr>
            </w:pPr>
            <w:r>
              <w:rPr>
                <w:rFonts w:ascii="Arial" w:hAnsi="Arial" w:eastAsia="Arial"/>
                <w:sz w:val="20"/>
                <w:szCs w:val="20"/>
              </w:rPr>
              <w:t>57114752219</w:t>
            </w:r>
          </w:p>
        </w:tc>
        <w:tc>
          <w:tcPr>
            <w:tcW w:w="2131" w:type="dxa"/>
            <w:tcBorders>
              <w:top w:val="nil"/>
              <w:left w:val="nil"/>
              <w:bottom w:val="nil"/>
              <w:right w:val="nil"/>
            </w:tcBorders>
            <w:vAlign w:val="center"/>
          </w:tcPr>
          <w:p w14:paraId="5A6715A9">
            <w:pPr>
              <w:jc w:val="center"/>
              <w:rPr>
                <w:rFonts w:ascii="Arial" w:hAnsi="Arial" w:eastAsia="Arial"/>
                <w:sz w:val="20"/>
                <w:szCs w:val="20"/>
              </w:rPr>
            </w:pPr>
            <w:r>
              <w:rPr>
                <w:rFonts w:ascii="Arial" w:hAnsi="Arial" w:eastAsia="Arial"/>
                <w:sz w:val="20"/>
                <w:szCs w:val="20"/>
              </w:rPr>
              <w:t>496966581</w:t>
            </w:r>
          </w:p>
        </w:tc>
        <w:tc>
          <w:tcPr>
            <w:tcW w:w="2131" w:type="dxa"/>
            <w:tcBorders>
              <w:top w:val="nil"/>
              <w:left w:val="nil"/>
              <w:bottom w:val="nil"/>
              <w:right w:val="nil"/>
            </w:tcBorders>
            <w:vAlign w:val="center"/>
          </w:tcPr>
          <w:p w14:paraId="3FB6EDB4">
            <w:pPr>
              <w:jc w:val="center"/>
              <w:rPr>
                <w:rFonts w:ascii="Arial" w:hAnsi="Arial" w:eastAsia="Arial"/>
                <w:sz w:val="20"/>
                <w:szCs w:val="20"/>
              </w:rPr>
            </w:pPr>
            <w:r>
              <w:rPr>
                <w:rFonts w:ascii="Arial" w:hAnsi="Arial" w:eastAsia="Arial"/>
                <w:sz w:val="20"/>
                <w:szCs w:val="20"/>
              </w:rPr>
              <w:t>99.14%</w:t>
            </w:r>
          </w:p>
        </w:tc>
      </w:tr>
      <w:tr w14:paraId="4F752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nil"/>
              <w:left w:val="nil"/>
              <w:bottom w:val="nil"/>
              <w:right w:val="nil"/>
            </w:tcBorders>
          </w:tcPr>
          <w:p w14:paraId="48E88010">
            <w:pPr>
              <w:jc w:val="center"/>
              <w:rPr>
                <w:rFonts w:ascii="Arial" w:hAnsi="Arial" w:eastAsia="Arial"/>
                <w:sz w:val="20"/>
                <w:szCs w:val="20"/>
              </w:rPr>
            </w:pPr>
            <w:r>
              <w:rPr>
                <w:rFonts w:hint="eastAsia" w:ascii="Arial" w:hAnsi="Arial" w:eastAsia="Arial"/>
                <w:sz w:val="20"/>
                <w:szCs w:val="20"/>
              </w:rPr>
              <w:t>Mineral fuels and their distillates</w:t>
            </w:r>
          </w:p>
        </w:tc>
        <w:tc>
          <w:tcPr>
            <w:tcW w:w="2130" w:type="dxa"/>
            <w:tcBorders>
              <w:top w:val="nil"/>
              <w:left w:val="nil"/>
              <w:bottom w:val="nil"/>
              <w:right w:val="nil"/>
            </w:tcBorders>
            <w:vAlign w:val="center"/>
          </w:tcPr>
          <w:p w14:paraId="1A85B7F0">
            <w:pPr>
              <w:jc w:val="center"/>
              <w:rPr>
                <w:rFonts w:ascii="Arial" w:hAnsi="Arial" w:eastAsia="Arial"/>
                <w:sz w:val="20"/>
                <w:szCs w:val="20"/>
              </w:rPr>
            </w:pPr>
            <w:r>
              <w:rPr>
                <w:rFonts w:ascii="Arial" w:hAnsi="Arial" w:eastAsia="Arial"/>
                <w:sz w:val="20"/>
                <w:szCs w:val="20"/>
              </w:rPr>
              <w:t>164922445385</w:t>
            </w:r>
          </w:p>
        </w:tc>
        <w:tc>
          <w:tcPr>
            <w:tcW w:w="2131" w:type="dxa"/>
            <w:tcBorders>
              <w:top w:val="nil"/>
              <w:left w:val="nil"/>
              <w:bottom w:val="nil"/>
              <w:right w:val="nil"/>
            </w:tcBorders>
            <w:vAlign w:val="center"/>
          </w:tcPr>
          <w:p w14:paraId="16EE28AA">
            <w:pPr>
              <w:jc w:val="center"/>
              <w:rPr>
                <w:rFonts w:ascii="Arial" w:hAnsi="Arial" w:eastAsia="Arial"/>
                <w:sz w:val="20"/>
                <w:szCs w:val="20"/>
              </w:rPr>
            </w:pPr>
            <w:r>
              <w:rPr>
                <w:rFonts w:ascii="Arial" w:hAnsi="Arial" w:eastAsia="Arial"/>
                <w:sz w:val="20"/>
                <w:szCs w:val="20"/>
              </w:rPr>
              <w:t>1487781016</w:t>
            </w:r>
          </w:p>
        </w:tc>
        <w:tc>
          <w:tcPr>
            <w:tcW w:w="2131" w:type="dxa"/>
            <w:tcBorders>
              <w:top w:val="nil"/>
              <w:left w:val="nil"/>
              <w:bottom w:val="nil"/>
              <w:right w:val="nil"/>
            </w:tcBorders>
            <w:vAlign w:val="center"/>
          </w:tcPr>
          <w:p w14:paraId="499AB742">
            <w:pPr>
              <w:jc w:val="center"/>
              <w:rPr>
                <w:rFonts w:ascii="Arial" w:hAnsi="Arial" w:eastAsia="Arial"/>
                <w:sz w:val="20"/>
                <w:szCs w:val="20"/>
              </w:rPr>
            </w:pPr>
            <w:r>
              <w:rPr>
                <w:rFonts w:ascii="Arial" w:hAnsi="Arial" w:eastAsia="Arial"/>
                <w:sz w:val="20"/>
                <w:szCs w:val="20"/>
              </w:rPr>
              <w:t>99.11%</w:t>
            </w:r>
          </w:p>
        </w:tc>
      </w:tr>
      <w:tr w14:paraId="028BB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nil"/>
              <w:left w:val="nil"/>
              <w:bottom w:val="nil"/>
              <w:right w:val="nil"/>
            </w:tcBorders>
          </w:tcPr>
          <w:p w14:paraId="5D4B5008">
            <w:pPr>
              <w:jc w:val="center"/>
              <w:rPr>
                <w:rFonts w:ascii="Arial" w:hAnsi="Arial" w:eastAsia="Arial"/>
                <w:sz w:val="20"/>
                <w:szCs w:val="20"/>
              </w:rPr>
            </w:pPr>
            <w:r>
              <w:rPr>
                <w:rFonts w:hint="eastAsia" w:ascii="Arial" w:hAnsi="Arial" w:eastAsia="Arial"/>
                <w:sz w:val="20"/>
                <w:szCs w:val="20"/>
              </w:rPr>
              <w:t>Wood pulp and other fibrous cellulose pulp</w:t>
            </w:r>
          </w:p>
        </w:tc>
        <w:tc>
          <w:tcPr>
            <w:tcW w:w="2130" w:type="dxa"/>
            <w:tcBorders>
              <w:top w:val="nil"/>
              <w:left w:val="nil"/>
              <w:bottom w:val="nil"/>
              <w:right w:val="nil"/>
            </w:tcBorders>
            <w:vAlign w:val="center"/>
          </w:tcPr>
          <w:p w14:paraId="2D4A1B40">
            <w:pPr>
              <w:jc w:val="center"/>
              <w:rPr>
                <w:rFonts w:ascii="Arial" w:hAnsi="Arial" w:eastAsia="Arial"/>
                <w:sz w:val="20"/>
                <w:szCs w:val="20"/>
              </w:rPr>
            </w:pPr>
            <w:r>
              <w:rPr>
                <w:rFonts w:ascii="Arial" w:hAnsi="Arial" w:eastAsia="Arial"/>
                <w:sz w:val="20"/>
                <w:szCs w:val="20"/>
              </w:rPr>
              <w:t>1317048552</w:t>
            </w:r>
          </w:p>
        </w:tc>
        <w:tc>
          <w:tcPr>
            <w:tcW w:w="2131" w:type="dxa"/>
            <w:tcBorders>
              <w:top w:val="nil"/>
              <w:left w:val="nil"/>
              <w:bottom w:val="nil"/>
              <w:right w:val="nil"/>
            </w:tcBorders>
            <w:vAlign w:val="center"/>
          </w:tcPr>
          <w:p w14:paraId="0F041FA6">
            <w:pPr>
              <w:jc w:val="center"/>
              <w:rPr>
                <w:rFonts w:ascii="Arial" w:hAnsi="Arial" w:eastAsia="Arial"/>
                <w:sz w:val="20"/>
                <w:szCs w:val="20"/>
              </w:rPr>
            </w:pPr>
            <w:r>
              <w:rPr>
                <w:rFonts w:ascii="Arial" w:hAnsi="Arial" w:eastAsia="Arial"/>
                <w:sz w:val="20"/>
                <w:szCs w:val="20"/>
              </w:rPr>
              <w:t>15670069</w:t>
            </w:r>
          </w:p>
        </w:tc>
        <w:tc>
          <w:tcPr>
            <w:tcW w:w="2131" w:type="dxa"/>
            <w:tcBorders>
              <w:top w:val="nil"/>
              <w:left w:val="nil"/>
              <w:bottom w:val="nil"/>
              <w:right w:val="nil"/>
            </w:tcBorders>
            <w:vAlign w:val="center"/>
          </w:tcPr>
          <w:p w14:paraId="2C3EDC07">
            <w:pPr>
              <w:jc w:val="center"/>
              <w:rPr>
                <w:rFonts w:ascii="Arial" w:hAnsi="Arial" w:eastAsia="Arial"/>
                <w:sz w:val="20"/>
                <w:szCs w:val="20"/>
              </w:rPr>
            </w:pPr>
            <w:r>
              <w:rPr>
                <w:rFonts w:ascii="Arial" w:hAnsi="Arial" w:eastAsia="Arial"/>
                <w:sz w:val="20"/>
                <w:szCs w:val="20"/>
              </w:rPr>
              <w:t>98.82%</w:t>
            </w:r>
          </w:p>
        </w:tc>
      </w:tr>
      <w:tr w14:paraId="687E0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nil"/>
              <w:left w:val="nil"/>
              <w:bottom w:val="nil"/>
              <w:right w:val="nil"/>
            </w:tcBorders>
          </w:tcPr>
          <w:p w14:paraId="4635CC40">
            <w:pPr>
              <w:jc w:val="center"/>
              <w:rPr>
                <w:rFonts w:ascii="Arial" w:hAnsi="Arial" w:eastAsia="Arial"/>
                <w:sz w:val="20"/>
                <w:szCs w:val="20"/>
              </w:rPr>
            </w:pPr>
            <w:r>
              <w:rPr>
                <w:rFonts w:hint="eastAsia" w:ascii="Arial" w:hAnsi="Arial" w:eastAsia="Arial"/>
                <w:sz w:val="20"/>
                <w:szCs w:val="20"/>
              </w:rPr>
              <w:t>Copper and its products</w:t>
            </w:r>
          </w:p>
        </w:tc>
        <w:tc>
          <w:tcPr>
            <w:tcW w:w="2130" w:type="dxa"/>
            <w:tcBorders>
              <w:top w:val="nil"/>
              <w:left w:val="nil"/>
              <w:bottom w:val="nil"/>
              <w:right w:val="nil"/>
            </w:tcBorders>
            <w:vAlign w:val="center"/>
          </w:tcPr>
          <w:p w14:paraId="18E99BB5">
            <w:pPr>
              <w:jc w:val="center"/>
              <w:rPr>
                <w:rFonts w:ascii="Arial" w:hAnsi="Arial" w:eastAsia="Arial"/>
                <w:sz w:val="20"/>
                <w:szCs w:val="20"/>
              </w:rPr>
            </w:pPr>
            <w:r>
              <w:rPr>
                <w:rFonts w:ascii="Arial" w:hAnsi="Arial" w:eastAsia="Arial"/>
                <w:sz w:val="20"/>
                <w:szCs w:val="20"/>
              </w:rPr>
              <w:t>85013054231</w:t>
            </w:r>
          </w:p>
        </w:tc>
        <w:tc>
          <w:tcPr>
            <w:tcW w:w="2131" w:type="dxa"/>
            <w:tcBorders>
              <w:top w:val="nil"/>
              <w:left w:val="nil"/>
              <w:bottom w:val="nil"/>
              <w:right w:val="nil"/>
            </w:tcBorders>
            <w:vAlign w:val="center"/>
          </w:tcPr>
          <w:p w14:paraId="55071AD0">
            <w:pPr>
              <w:jc w:val="center"/>
              <w:rPr>
                <w:rFonts w:ascii="Arial" w:hAnsi="Arial" w:eastAsia="Arial"/>
                <w:sz w:val="20"/>
                <w:szCs w:val="20"/>
              </w:rPr>
            </w:pPr>
            <w:r>
              <w:rPr>
                <w:rFonts w:ascii="Arial" w:hAnsi="Arial" w:eastAsia="Arial"/>
                <w:sz w:val="20"/>
                <w:szCs w:val="20"/>
              </w:rPr>
              <w:t>1245118195</w:t>
            </w:r>
          </w:p>
        </w:tc>
        <w:tc>
          <w:tcPr>
            <w:tcW w:w="2131" w:type="dxa"/>
            <w:tcBorders>
              <w:top w:val="nil"/>
              <w:left w:val="nil"/>
              <w:bottom w:val="nil"/>
              <w:right w:val="nil"/>
            </w:tcBorders>
            <w:vAlign w:val="center"/>
          </w:tcPr>
          <w:p w14:paraId="0C9C6FEA">
            <w:pPr>
              <w:jc w:val="center"/>
              <w:rPr>
                <w:rFonts w:ascii="Arial" w:hAnsi="Arial" w:eastAsia="Arial"/>
                <w:sz w:val="20"/>
                <w:szCs w:val="20"/>
              </w:rPr>
            </w:pPr>
            <w:r>
              <w:rPr>
                <w:rFonts w:ascii="Arial" w:hAnsi="Arial" w:eastAsia="Arial"/>
                <w:sz w:val="20"/>
                <w:szCs w:val="20"/>
              </w:rPr>
              <w:t>98.56%</w:t>
            </w:r>
          </w:p>
        </w:tc>
      </w:tr>
      <w:tr w14:paraId="10865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nil"/>
              <w:left w:val="nil"/>
              <w:bottom w:val="nil"/>
              <w:right w:val="nil"/>
            </w:tcBorders>
          </w:tcPr>
          <w:p w14:paraId="462CFAAE">
            <w:pPr>
              <w:jc w:val="center"/>
              <w:rPr>
                <w:rFonts w:ascii="Arial" w:hAnsi="Arial" w:eastAsia="Arial"/>
                <w:sz w:val="20"/>
                <w:szCs w:val="20"/>
              </w:rPr>
            </w:pPr>
            <w:r>
              <w:rPr>
                <w:rFonts w:hint="eastAsia" w:ascii="Arial" w:hAnsi="Arial" w:eastAsia="Arial"/>
                <w:sz w:val="20"/>
                <w:szCs w:val="20"/>
              </w:rPr>
              <w:t>Other base metals, cermets and their products</w:t>
            </w:r>
          </w:p>
        </w:tc>
        <w:tc>
          <w:tcPr>
            <w:tcW w:w="2130" w:type="dxa"/>
            <w:tcBorders>
              <w:top w:val="nil"/>
              <w:left w:val="nil"/>
              <w:bottom w:val="nil"/>
              <w:right w:val="nil"/>
            </w:tcBorders>
            <w:vAlign w:val="center"/>
          </w:tcPr>
          <w:p w14:paraId="4699B456">
            <w:pPr>
              <w:jc w:val="center"/>
              <w:rPr>
                <w:rFonts w:ascii="Arial" w:hAnsi="Arial" w:eastAsia="Arial"/>
                <w:sz w:val="20"/>
                <w:szCs w:val="20"/>
              </w:rPr>
            </w:pPr>
            <w:r>
              <w:rPr>
                <w:rFonts w:ascii="Arial" w:hAnsi="Arial" w:eastAsia="Arial"/>
                <w:sz w:val="20"/>
                <w:szCs w:val="20"/>
              </w:rPr>
              <w:t>13273466184</w:t>
            </w:r>
          </w:p>
        </w:tc>
        <w:tc>
          <w:tcPr>
            <w:tcW w:w="2131" w:type="dxa"/>
            <w:tcBorders>
              <w:top w:val="nil"/>
              <w:left w:val="nil"/>
              <w:bottom w:val="nil"/>
              <w:right w:val="nil"/>
            </w:tcBorders>
            <w:vAlign w:val="center"/>
          </w:tcPr>
          <w:p w14:paraId="11A819E4">
            <w:pPr>
              <w:jc w:val="center"/>
              <w:rPr>
                <w:rFonts w:ascii="Arial" w:hAnsi="Arial" w:eastAsia="Arial"/>
                <w:sz w:val="20"/>
                <w:szCs w:val="20"/>
              </w:rPr>
            </w:pPr>
            <w:r>
              <w:rPr>
                <w:rFonts w:ascii="Arial" w:hAnsi="Arial" w:eastAsia="Arial"/>
                <w:sz w:val="20"/>
                <w:szCs w:val="20"/>
              </w:rPr>
              <w:t>275260189</w:t>
            </w:r>
          </w:p>
        </w:tc>
        <w:tc>
          <w:tcPr>
            <w:tcW w:w="2131" w:type="dxa"/>
            <w:tcBorders>
              <w:top w:val="nil"/>
              <w:left w:val="nil"/>
              <w:bottom w:val="nil"/>
              <w:right w:val="nil"/>
            </w:tcBorders>
            <w:vAlign w:val="center"/>
          </w:tcPr>
          <w:p w14:paraId="78F600B6">
            <w:pPr>
              <w:jc w:val="center"/>
              <w:rPr>
                <w:rFonts w:ascii="Arial" w:hAnsi="Arial" w:eastAsia="Arial"/>
                <w:sz w:val="20"/>
                <w:szCs w:val="20"/>
              </w:rPr>
            </w:pPr>
            <w:r>
              <w:rPr>
                <w:rFonts w:ascii="Arial" w:hAnsi="Arial" w:eastAsia="Arial"/>
                <w:sz w:val="20"/>
                <w:szCs w:val="20"/>
              </w:rPr>
              <w:t>97.97%</w:t>
            </w:r>
          </w:p>
        </w:tc>
      </w:tr>
      <w:tr w14:paraId="77305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nil"/>
              <w:left w:val="nil"/>
              <w:bottom w:val="nil"/>
              <w:right w:val="nil"/>
            </w:tcBorders>
          </w:tcPr>
          <w:p w14:paraId="0BFF35A0">
            <w:pPr>
              <w:jc w:val="center"/>
              <w:rPr>
                <w:rFonts w:ascii="Arial" w:hAnsi="Arial" w:eastAsia="Arial"/>
                <w:sz w:val="20"/>
                <w:szCs w:val="20"/>
              </w:rPr>
            </w:pPr>
            <w:r>
              <w:rPr>
                <w:rFonts w:hint="eastAsia" w:ascii="Arial" w:hAnsi="Arial" w:eastAsia="Arial"/>
                <w:sz w:val="20"/>
                <w:szCs w:val="20"/>
              </w:rPr>
              <w:t>Oily nuts and fruits</w:t>
            </w:r>
          </w:p>
        </w:tc>
        <w:tc>
          <w:tcPr>
            <w:tcW w:w="2130" w:type="dxa"/>
            <w:tcBorders>
              <w:top w:val="nil"/>
              <w:left w:val="nil"/>
              <w:bottom w:val="nil"/>
              <w:right w:val="nil"/>
            </w:tcBorders>
            <w:vAlign w:val="center"/>
          </w:tcPr>
          <w:p w14:paraId="58B8E04A">
            <w:pPr>
              <w:jc w:val="center"/>
              <w:rPr>
                <w:rFonts w:ascii="Arial" w:hAnsi="Arial" w:eastAsia="Arial"/>
                <w:sz w:val="20"/>
                <w:szCs w:val="20"/>
              </w:rPr>
            </w:pPr>
            <w:r>
              <w:rPr>
                <w:rFonts w:ascii="Arial" w:hAnsi="Arial" w:eastAsia="Arial"/>
                <w:sz w:val="20"/>
                <w:szCs w:val="20"/>
              </w:rPr>
              <w:t>14636721501</w:t>
            </w:r>
          </w:p>
        </w:tc>
        <w:tc>
          <w:tcPr>
            <w:tcW w:w="2131" w:type="dxa"/>
            <w:tcBorders>
              <w:top w:val="nil"/>
              <w:left w:val="nil"/>
              <w:bottom w:val="nil"/>
              <w:right w:val="nil"/>
            </w:tcBorders>
            <w:vAlign w:val="center"/>
          </w:tcPr>
          <w:p w14:paraId="47815451">
            <w:pPr>
              <w:jc w:val="center"/>
              <w:rPr>
                <w:rFonts w:ascii="Arial" w:hAnsi="Arial" w:eastAsia="Arial"/>
                <w:sz w:val="20"/>
                <w:szCs w:val="20"/>
              </w:rPr>
            </w:pPr>
            <w:r>
              <w:rPr>
                <w:rFonts w:ascii="Arial" w:hAnsi="Arial" w:eastAsia="Arial"/>
                <w:sz w:val="20"/>
                <w:szCs w:val="20"/>
              </w:rPr>
              <w:t>534474713</w:t>
            </w:r>
          </w:p>
        </w:tc>
        <w:tc>
          <w:tcPr>
            <w:tcW w:w="2131" w:type="dxa"/>
            <w:tcBorders>
              <w:top w:val="nil"/>
              <w:left w:val="nil"/>
              <w:bottom w:val="nil"/>
              <w:right w:val="nil"/>
            </w:tcBorders>
            <w:vAlign w:val="center"/>
          </w:tcPr>
          <w:p w14:paraId="478C94AC">
            <w:pPr>
              <w:jc w:val="center"/>
              <w:rPr>
                <w:rFonts w:ascii="Arial" w:hAnsi="Arial" w:eastAsia="Arial"/>
                <w:sz w:val="20"/>
                <w:szCs w:val="20"/>
              </w:rPr>
            </w:pPr>
            <w:r>
              <w:rPr>
                <w:rFonts w:ascii="Arial" w:hAnsi="Arial" w:eastAsia="Arial"/>
                <w:sz w:val="20"/>
                <w:szCs w:val="20"/>
              </w:rPr>
              <w:t>96.48%</w:t>
            </w:r>
          </w:p>
        </w:tc>
      </w:tr>
      <w:tr w14:paraId="2FE54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nil"/>
              <w:left w:val="nil"/>
              <w:bottom w:val="nil"/>
              <w:right w:val="nil"/>
            </w:tcBorders>
          </w:tcPr>
          <w:p w14:paraId="158E60F3">
            <w:pPr>
              <w:jc w:val="center"/>
              <w:rPr>
                <w:rFonts w:ascii="Arial" w:hAnsi="Arial" w:eastAsia="Arial"/>
                <w:sz w:val="20"/>
                <w:szCs w:val="20"/>
              </w:rPr>
            </w:pPr>
            <w:r>
              <w:rPr>
                <w:rFonts w:hint="eastAsia" w:ascii="Arial" w:hAnsi="Arial" w:eastAsia="Arial"/>
                <w:sz w:val="20"/>
                <w:szCs w:val="20"/>
              </w:rPr>
              <w:t>Cork and cork products</w:t>
            </w:r>
          </w:p>
        </w:tc>
        <w:tc>
          <w:tcPr>
            <w:tcW w:w="2130" w:type="dxa"/>
            <w:tcBorders>
              <w:top w:val="nil"/>
              <w:left w:val="nil"/>
              <w:bottom w:val="nil"/>
              <w:right w:val="nil"/>
            </w:tcBorders>
            <w:vAlign w:val="center"/>
          </w:tcPr>
          <w:p w14:paraId="122A0673">
            <w:pPr>
              <w:jc w:val="center"/>
              <w:rPr>
                <w:rFonts w:ascii="Arial" w:hAnsi="Arial" w:eastAsia="Arial"/>
                <w:sz w:val="20"/>
                <w:szCs w:val="20"/>
              </w:rPr>
            </w:pPr>
            <w:r>
              <w:rPr>
                <w:rFonts w:ascii="Arial" w:hAnsi="Arial" w:eastAsia="Arial"/>
                <w:sz w:val="20"/>
                <w:szCs w:val="20"/>
              </w:rPr>
              <w:t>15757706</w:t>
            </w:r>
          </w:p>
        </w:tc>
        <w:tc>
          <w:tcPr>
            <w:tcW w:w="2131" w:type="dxa"/>
            <w:tcBorders>
              <w:top w:val="nil"/>
              <w:left w:val="nil"/>
              <w:bottom w:val="nil"/>
              <w:right w:val="nil"/>
            </w:tcBorders>
            <w:vAlign w:val="center"/>
          </w:tcPr>
          <w:p w14:paraId="714617C8">
            <w:pPr>
              <w:jc w:val="center"/>
              <w:rPr>
                <w:rFonts w:ascii="Arial" w:hAnsi="Arial" w:eastAsia="Arial"/>
                <w:sz w:val="20"/>
                <w:szCs w:val="20"/>
              </w:rPr>
            </w:pPr>
            <w:r>
              <w:rPr>
                <w:rFonts w:ascii="Arial" w:hAnsi="Arial" w:eastAsia="Arial"/>
                <w:sz w:val="20"/>
                <w:szCs w:val="20"/>
              </w:rPr>
              <w:t>1338286</w:t>
            </w:r>
          </w:p>
        </w:tc>
        <w:tc>
          <w:tcPr>
            <w:tcW w:w="2131" w:type="dxa"/>
            <w:tcBorders>
              <w:top w:val="nil"/>
              <w:left w:val="nil"/>
              <w:bottom w:val="nil"/>
              <w:right w:val="nil"/>
            </w:tcBorders>
            <w:vAlign w:val="center"/>
          </w:tcPr>
          <w:p w14:paraId="290B41BA">
            <w:pPr>
              <w:jc w:val="center"/>
              <w:rPr>
                <w:rFonts w:ascii="Arial" w:hAnsi="Arial" w:eastAsia="Arial"/>
                <w:sz w:val="20"/>
                <w:szCs w:val="20"/>
              </w:rPr>
            </w:pPr>
            <w:r>
              <w:rPr>
                <w:rFonts w:ascii="Arial" w:hAnsi="Arial" w:eastAsia="Arial"/>
                <w:sz w:val="20"/>
                <w:szCs w:val="20"/>
              </w:rPr>
              <w:t>92.17%</w:t>
            </w:r>
          </w:p>
        </w:tc>
      </w:tr>
      <w:tr w14:paraId="32259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nil"/>
              <w:left w:val="nil"/>
              <w:bottom w:val="nil"/>
              <w:right w:val="nil"/>
            </w:tcBorders>
          </w:tcPr>
          <w:p w14:paraId="0B3996F1">
            <w:pPr>
              <w:jc w:val="center"/>
              <w:rPr>
                <w:rFonts w:ascii="Arial" w:hAnsi="Arial" w:eastAsia="Arial"/>
                <w:sz w:val="20"/>
                <w:szCs w:val="20"/>
              </w:rPr>
            </w:pPr>
            <w:r>
              <w:rPr>
                <w:rFonts w:hint="eastAsia" w:ascii="Arial" w:hAnsi="Arial" w:eastAsia="Arial"/>
                <w:sz w:val="20"/>
                <w:szCs w:val="20"/>
              </w:rPr>
              <w:t>Salt, sulfur, lime</w:t>
            </w:r>
          </w:p>
        </w:tc>
        <w:tc>
          <w:tcPr>
            <w:tcW w:w="2130" w:type="dxa"/>
            <w:tcBorders>
              <w:top w:val="nil"/>
              <w:left w:val="nil"/>
              <w:bottom w:val="nil"/>
              <w:right w:val="nil"/>
            </w:tcBorders>
            <w:vAlign w:val="center"/>
          </w:tcPr>
          <w:p w14:paraId="3B6057B8">
            <w:pPr>
              <w:jc w:val="center"/>
              <w:rPr>
                <w:rFonts w:ascii="Arial" w:hAnsi="Arial" w:eastAsia="Arial"/>
                <w:sz w:val="20"/>
                <w:szCs w:val="20"/>
              </w:rPr>
            </w:pPr>
            <w:r>
              <w:rPr>
                <w:rFonts w:ascii="Arial" w:hAnsi="Arial" w:eastAsia="Arial"/>
                <w:sz w:val="20"/>
                <w:szCs w:val="20"/>
              </w:rPr>
              <w:t>9056877999</w:t>
            </w:r>
          </w:p>
        </w:tc>
        <w:tc>
          <w:tcPr>
            <w:tcW w:w="2131" w:type="dxa"/>
            <w:tcBorders>
              <w:top w:val="nil"/>
              <w:left w:val="nil"/>
              <w:bottom w:val="nil"/>
              <w:right w:val="nil"/>
            </w:tcBorders>
            <w:vAlign w:val="center"/>
          </w:tcPr>
          <w:p w14:paraId="7A120236">
            <w:pPr>
              <w:jc w:val="center"/>
              <w:rPr>
                <w:rFonts w:ascii="Arial" w:hAnsi="Arial" w:eastAsia="Arial"/>
                <w:sz w:val="20"/>
                <w:szCs w:val="20"/>
              </w:rPr>
            </w:pPr>
            <w:r>
              <w:rPr>
                <w:rFonts w:ascii="Arial" w:hAnsi="Arial" w:eastAsia="Arial"/>
                <w:sz w:val="20"/>
                <w:szCs w:val="20"/>
              </w:rPr>
              <w:t>885061431</w:t>
            </w:r>
          </w:p>
        </w:tc>
        <w:tc>
          <w:tcPr>
            <w:tcW w:w="2131" w:type="dxa"/>
            <w:tcBorders>
              <w:top w:val="nil"/>
              <w:left w:val="nil"/>
              <w:bottom w:val="nil"/>
              <w:right w:val="nil"/>
            </w:tcBorders>
            <w:vAlign w:val="center"/>
          </w:tcPr>
          <w:p w14:paraId="1FEBBFB0">
            <w:pPr>
              <w:jc w:val="center"/>
              <w:rPr>
                <w:rFonts w:ascii="Arial" w:hAnsi="Arial" w:eastAsia="Arial"/>
                <w:sz w:val="20"/>
                <w:szCs w:val="20"/>
              </w:rPr>
            </w:pPr>
            <w:r>
              <w:rPr>
                <w:rFonts w:ascii="Arial" w:hAnsi="Arial" w:eastAsia="Arial"/>
                <w:sz w:val="20"/>
                <w:szCs w:val="20"/>
              </w:rPr>
              <w:t>91.10%</w:t>
            </w:r>
          </w:p>
        </w:tc>
      </w:tr>
      <w:tr w14:paraId="2D37C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nil"/>
              <w:left w:val="nil"/>
              <w:bottom w:val="single" w:color="auto" w:sz="12" w:space="0"/>
              <w:right w:val="nil"/>
            </w:tcBorders>
          </w:tcPr>
          <w:p w14:paraId="67051B16">
            <w:pPr>
              <w:jc w:val="center"/>
              <w:rPr>
                <w:rFonts w:ascii="Arial" w:hAnsi="Arial" w:eastAsia="Arial"/>
                <w:sz w:val="20"/>
                <w:szCs w:val="20"/>
              </w:rPr>
            </w:pPr>
            <w:r>
              <w:rPr>
                <w:rFonts w:hint="eastAsia" w:ascii="Arial" w:hAnsi="Arial" w:eastAsia="Arial"/>
                <w:sz w:val="20"/>
                <w:szCs w:val="20"/>
              </w:rPr>
              <w:t>Tobacco and its products</w:t>
            </w:r>
          </w:p>
        </w:tc>
        <w:tc>
          <w:tcPr>
            <w:tcW w:w="2130" w:type="dxa"/>
            <w:tcBorders>
              <w:top w:val="nil"/>
              <w:left w:val="nil"/>
              <w:bottom w:val="single" w:color="auto" w:sz="12" w:space="0"/>
              <w:right w:val="nil"/>
            </w:tcBorders>
            <w:vAlign w:val="center"/>
          </w:tcPr>
          <w:p w14:paraId="49ECFD86">
            <w:pPr>
              <w:jc w:val="center"/>
              <w:rPr>
                <w:rFonts w:ascii="Arial" w:hAnsi="Arial" w:eastAsia="Arial"/>
                <w:sz w:val="20"/>
                <w:szCs w:val="20"/>
              </w:rPr>
            </w:pPr>
            <w:r>
              <w:rPr>
                <w:rFonts w:ascii="Arial" w:hAnsi="Arial" w:eastAsia="Arial"/>
                <w:sz w:val="20"/>
                <w:szCs w:val="20"/>
              </w:rPr>
              <w:t>6375368417</w:t>
            </w:r>
          </w:p>
        </w:tc>
        <w:tc>
          <w:tcPr>
            <w:tcW w:w="2131" w:type="dxa"/>
            <w:tcBorders>
              <w:top w:val="nil"/>
              <w:left w:val="nil"/>
              <w:bottom w:val="single" w:color="auto" w:sz="12" w:space="0"/>
              <w:right w:val="nil"/>
            </w:tcBorders>
            <w:vAlign w:val="center"/>
          </w:tcPr>
          <w:p w14:paraId="23C6D20D">
            <w:pPr>
              <w:jc w:val="center"/>
              <w:rPr>
                <w:rFonts w:ascii="Arial" w:hAnsi="Arial" w:eastAsia="Arial"/>
                <w:sz w:val="20"/>
                <w:szCs w:val="20"/>
              </w:rPr>
            </w:pPr>
            <w:r>
              <w:rPr>
                <w:rFonts w:ascii="Arial" w:hAnsi="Arial" w:eastAsia="Arial"/>
                <w:sz w:val="20"/>
                <w:szCs w:val="20"/>
              </w:rPr>
              <w:t>643018473</w:t>
            </w:r>
          </w:p>
        </w:tc>
        <w:tc>
          <w:tcPr>
            <w:tcW w:w="2131" w:type="dxa"/>
            <w:tcBorders>
              <w:top w:val="nil"/>
              <w:left w:val="nil"/>
              <w:bottom w:val="single" w:color="auto" w:sz="12" w:space="0"/>
              <w:right w:val="nil"/>
            </w:tcBorders>
            <w:vAlign w:val="center"/>
          </w:tcPr>
          <w:p w14:paraId="1D75046E">
            <w:pPr>
              <w:jc w:val="center"/>
              <w:rPr>
                <w:rFonts w:ascii="Arial" w:hAnsi="Arial" w:eastAsia="Arial"/>
                <w:sz w:val="20"/>
                <w:szCs w:val="20"/>
              </w:rPr>
            </w:pPr>
            <w:r>
              <w:rPr>
                <w:rFonts w:ascii="Arial" w:hAnsi="Arial" w:eastAsia="Arial"/>
                <w:sz w:val="20"/>
                <w:szCs w:val="20"/>
              </w:rPr>
              <w:t>90.84%</w:t>
            </w:r>
          </w:p>
        </w:tc>
      </w:tr>
    </w:tbl>
    <w:p w14:paraId="4F4B7A65">
      <w:pPr>
        <w:rPr>
          <w:rFonts w:ascii="Arial" w:hAnsi="Arial"/>
          <w:i/>
          <w:iCs/>
          <w:sz w:val="18"/>
          <w:szCs w:val="18"/>
        </w:rPr>
      </w:pPr>
      <w:r>
        <w:rPr>
          <w:rFonts w:ascii="Arial" w:hAnsi="Arial"/>
          <w:i/>
          <w:iCs/>
          <w:sz w:val="18"/>
          <w:szCs w:val="18"/>
        </w:rPr>
        <w:t>Data source: General Administration of Customs of the people's Republic of China</w:t>
      </w:r>
    </w:p>
    <w:p w14:paraId="1DA35B58">
      <w:pPr>
        <w:rPr>
          <w:rFonts w:ascii="Arial" w:hAnsi="Arial"/>
          <w:sz w:val="20"/>
          <w:szCs w:val="20"/>
        </w:rPr>
      </w:pPr>
    </w:p>
    <w:p w14:paraId="1EF412F7">
      <w:pPr>
        <w:rPr>
          <w:rFonts w:ascii="Arial" w:hAnsi="Arial"/>
          <w:sz w:val="20"/>
          <w:szCs w:val="20"/>
        </w:rPr>
      </w:pPr>
      <w:r>
        <w:rPr>
          <w:rFonts w:ascii="Arial" w:hAnsi="Arial"/>
          <w:sz w:val="20"/>
          <w:szCs w:val="20"/>
        </w:rPr>
        <w:t>In recent years, under the impact of the once-in-a-century pandemic and the Ukraine crisis, African regional organizations and countries have become more self-motivated, and their awareness and ability to govern independently have been enhanced</w:t>
      </w:r>
      <w:r>
        <w:rPr>
          <w:rFonts w:hint="eastAsia" w:ascii="Arial" w:hAnsi="Arial"/>
          <w:sz w:val="20"/>
          <w:szCs w:val="20"/>
        </w:rPr>
        <w:t xml:space="preserve"> (Zhao, 2023)</w:t>
      </w:r>
      <w:r>
        <w:rPr>
          <w:rFonts w:ascii="Arial" w:hAnsi="Arial"/>
          <w:sz w:val="20"/>
          <w:szCs w:val="20"/>
        </w:rPr>
        <w:t xml:space="preserve">. The concept of "African way to solve African problems" originated from the rise of pan-Africanism, as an important concept of the African Union to promote African collective security, it emphasizes the use of African indigenous knowledge to solve African security problems, its essence is to pursue African autonomy, and the key is to emphasize the African way </w:t>
      </w:r>
      <w:r>
        <w:rPr>
          <w:rFonts w:hint="eastAsia" w:ascii="Arial" w:hAnsi="Arial"/>
          <w:sz w:val="20"/>
          <w:szCs w:val="20"/>
        </w:rPr>
        <w:t>(Lou et al, 2023)</w:t>
      </w:r>
      <w:r>
        <w:rPr>
          <w:rFonts w:ascii="Arial" w:hAnsi="Arial"/>
          <w:sz w:val="20"/>
          <w:szCs w:val="20"/>
        </w:rPr>
        <w:t>.</w:t>
      </w:r>
    </w:p>
    <w:p w14:paraId="148858F6">
      <w:pPr>
        <w:rPr>
          <w:rFonts w:ascii="Arial" w:hAnsi="Arial"/>
          <w:sz w:val="20"/>
          <w:szCs w:val="20"/>
        </w:rPr>
      </w:pPr>
      <w:r>
        <w:rPr>
          <w:rFonts w:ascii="Arial" w:hAnsi="Arial"/>
          <w:sz w:val="20"/>
          <w:szCs w:val="20"/>
        </w:rPr>
        <w:t xml:space="preserve">Due to the rapid growth of China's influence in Africa and the lack of sufficient understanding of China's policy towards Africa, some African think tank scholars such as Johanna Malm believe that African countries are often in a weak position in the process of China-Africa economic and trade cooperation, which may make some African countries worry about affecting the stability of their own regimes. At the same time, due to the relatively weak industrial production capacity of African local enterprises, the products they produce can be easily replaced by Chinese products, thus threatening the development of basic industries in African countries </w:t>
      </w:r>
      <w:r>
        <w:rPr>
          <w:rFonts w:hint="eastAsia" w:ascii="Arial" w:hAnsi="Arial"/>
          <w:sz w:val="20"/>
          <w:szCs w:val="20"/>
        </w:rPr>
        <w:t>(Wang et al, 2023)</w:t>
      </w:r>
      <w:r>
        <w:rPr>
          <w:rFonts w:ascii="Arial" w:hAnsi="Arial"/>
          <w:sz w:val="20"/>
          <w:szCs w:val="20"/>
        </w:rPr>
        <w:t>. The above situation has posed a great threat to the development of China-Africa friendship. Therefore, it is very important to enhance the understanding of the logistics situation of African countries and then choose the right location for direct investment, which is very important for the friendly development of China and Africa in the future.</w:t>
      </w:r>
    </w:p>
    <w:p w14:paraId="4DC996EE">
      <w:pPr>
        <w:rPr>
          <w:rFonts w:ascii="Arial" w:hAnsi="Arial"/>
          <w:sz w:val="20"/>
          <w:szCs w:val="20"/>
        </w:rPr>
      </w:pPr>
    </w:p>
    <w:p w14:paraId="49AFFFD4">
      <w:pPr>
        <w:numPr>
          <w:ilvl w:val="0"/>
          <w:numId w:val="1"/>
        </w:numPr>
        <w:rPr>
          <w:rFonts w:ascii="Arial" w:hAnsi="Arial"/>
          <w:b/>
          <w:bCs/>
          <w:sz w:val="22"/>
          <w:szCs w:val="22"/>
        </w:rPr>
      </w:pPr>
      <w:r>
        <w:rPr>
          <w:rFonts w:hint="eastAsia" w:ascii="Arial" w:hAnsi="Arial"/>
          <w:b/>
          <w:bCs/>
          <w:sz w:val="22"/>
          <w:szCs w:val="22"/>
        </w:rPr>
        <w:t>THE SELECTION OF SAMPLES FROM AFRICAN COUNTRIES</w:t>
      </w:r>
    </w:p>
    <w:p w14:paraId="7FF639E9">
      <w:pPr>
        <w:rPr>
          <w:rFonts w:ascii="Arial" w:hAnsi="Arial"/>
          <w:sz w:val="20"/>
          <w:szCs w:val="20"/>
        </w:rPr>
      </w:pPr>
      <w:r>
        <w:rPr>
          <w:rFonts w:ascii="Arial" w:hAnsi="Arial"/>
          <w:sz w:val="20"/>
          <w:szCs w:val="20"/>
        </w:rPr>
        <w:t>Based on the total trade volume between China and Africa from 2015 to 2024 from the General Administration of Oceans of the People's Republic of China in the past ten years, the author takes the year, country and total trade volume of the year as variables, and uses Stata software to conduct statistical analysis of countries with a total trade volume of more than 100 billion yuan per year, and finds that the probability of South Africa and Angola in 100 years of total trade with China in the scale of 100 billion yuan is 100%, the probability of Nigeria is 70%, and the probability of Egypt is 50% , the Democratic Republic of the Congo corresponds to a probability of 30 per cent (see Table 4). That is, the economic and trade exchanges between South Africa, Angola, and Nigeria and China are closer than those of other African countries.</w:t>
      </w:r>
    </w:p>
    <w:p w14:paraId="24188DF1">
      <w:pPr>
        <w:rPr>
          <w:rFonts w:ascii="Arial" w:hAnsi="Arial"/>
          <w:sz w:val="20"/>
          <w:szCs w:val="20"/>
        </w:rPr>
      </w:pPr>
    </w:p>
    <w:p w14:paraId="5D0A1869">
      <w:pPr>
        <w:rPr>
          <w:rFonts w:ascii="Arial" w:hAnsi="Arial"/>
          <w:b/>
          <w:bCs/>
          <w:sz w:val="20"/>
          <w:szCs w:val="20"/>
        </w:rPr>
      </w:pPr>
      <w:r>
        <w:rPr>
          <w:rFonts w:hint="eastAsia" w:ascii="Arial" w:hAnsi="Arial"/>
          <w:b/>
          <w:bCs/>
          <w:sz w:val="20"/>
          <w:szCs w:val="20"/>
        </w:rPr>
        <w:t>Table 4</w:t>
      </w:r>
      <w:r>
        <w:rPr>
          <w:rFonts w:hint="eastAsia" w:ascii="Arial" w:hAnsi="Arial"/>
          <w:b/>
          <w:bCs/>
          <w:sz w:val="20"/>
          <w:szCs w:val="20"/>
        </w:rPr>
        <w:tab/>
      </w:r>
      <w:r>
        <w:rPr>
          <w:rFonts w:hint="eastAsia" w:ascii="Arial" w:hAnsi="Arial"/>
          <w:b/>
          <w:bCs/>
          <w:sz w:val="20"/>
          <w:szCs w:val="20"/>
        </w:rPr>
        <w:t>African countries with a total trade volume of billions in the past decade between China and Africa</w:t>
      </w:r>
    </w:p>
    <w:p w14:paraId="67576762">
      <w:pPr>
        <w:rPr>
          <w:rFonts w:ascii="Arial" w:hAnsi="Arial"/>
          <w:b/>
          <w:bCs/>
          <w:sz w:val="20"/>
          <w:szCs w:val="20"/>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0326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12" w:space="0"/>
              <w:left w:val="nil"/>
              <w:bottom w:val="single" w:color="auto" w:sz="4" w:space="0"/>
              <w:right w:val="nil"/>
            </w:tcBorders>
            <w:vAlign w:val="center"/>
          </w:tcPr>
          <w:p w14:paraId="1F260261">
            <w:pPr>
              <w:jc w:val="center"/>
              <w:rPr>
                <w:rFonts w:ascii="Arial" w:hAnsi="Arial" w:cs="Arial"/>
                <w:b/>
                <w:bCs/>
                <w:sz w:val="20"/>
                <w:szCs w:val="20"/>
              </w:rPr>
            </w:pPr>
            <w:r>
              <w:rPr>
                <w:rFonts w:ascii="Arial" w:hAnsi="Arial" w:cs="Arial"/>
                <w:b/>
                <w:bCs/>
                <w:sz w:val="20"/>
                <w:szCs w:val="20"/>
              </w:rPr>
              <w:t>Country</w:t>
            </w:r>
          </w:p>
        </w:tc>
        <w:tc>
          <w:tcPr>
            <w:tcW w:w="2130" w:type="dxa"/>
            <w:tcBorders>
              <w:top w:val="single" w:color="auto" w:sz="12" w:space="0"/>
              <w:left w:val="nil"/>
              <w:bottom w:val="single" w:color="auto" w:sz="4" w:space="0"/>
              <w:right w:val="nil"/>
            </w:tcBorders>
            <w:vAlign w:val="center"/>
          </w:tcPr>
          <w:p w14:paraId="10360CAC">
            <w:pPr>
              <w:jc w:val="center"/>
              <w:rPr>
                <w:rFonts w:ascii="Arial" w:hAnsi="Arial" w:cs="Arial"/>
                <w:b/>
                <w:bCs/>
                <w:sz w:val="20"/>
                <w:szCs w:val="20"/>
              </w:rPr>
            </w:pPr>
            <w:r>
              <w:rPr>
                <w:rFonts w:ascii="Arial" w:hAnsi="Arial" w:cs="Arial"/>
                <w:b/>
                <w:bCs/>
                <w:sz w:val="20"/>
                <w:szCs w:val="20"/>
              </w:rPr>
              <w:t>Freq</w:t>
            </w:r>
          </w:p>
        </w:tc>
        <w:tc>
          <w:tcPr>
            <w:tcW w:w="2131" w:type="dxa"/>
            <w:tcBorders>
              <w:top w:val="single" w:color="auto" w:sz="12" w:space="0"/>
              <w:left w:val="nil"/>
              <w:bottom w:val="single" w:color="auto" w:sz="4" w:space="0"/>
              <w:right w:val="nil"/>
            </w:tcBorders>
            <w:vAlign w:val="center"/>
          </w:tcPr>
          <w:p w14:paraId="0490D644">
            <w:pPr>
              <w:jc w:val="center"/>
              <w:rPr>
                <w:rFonts w:ascii="Arial" w:hAnsi="Arial" w:cs="Arial"/>
                <w:b/>
                <w:bCs/>
                <w:sz w:val="20"/>
                <w:szCs w:val="20"/>
              </w:rPr>
            </w:pPr>
            <w:r>
              <w:rPr>
                <w:rFonts w:ascii="Arial" w:hAnsi="Arial" w:cs="Arial"/>
                <w:b/>
                <w:bCs/>
                <w:sz w:val="20"/>
                <w:szCs w:val="20"/>
              </w:rPr>
              <w:t>Percent</w:t>
            </w:r>
          </w:p>
        </w:tc>
        <w:tc>
          <w:tcPr>
            <w:tcW w:w="2131" w:type="dxa"/>
            <w:tcBorders>
              <w:top w:val="single" w:color="auto" w:sz="12" w:space="0"/>
              <w:left w:val="nil"/>
              <w:bottom w:val="single" w:color="auto" w:sz="4" w:space="0"/>
              <w:right w:val="nil"/>
            </w:tcBorders>
            <w:vAlign w:val="center"/>
          </w:tcPr>
          <w:p w14:paraId="43788F86">
            <w:pPr>
              <w:jc w:val="center"/>
              <w:rPr>
                <w:rFonts w:ascii="Arial" w:hAnsi="Arial" w:cs="Arial"/>
                <w:b/>
                <w:bCs/>
                <w:sz w:val="20"/>
                <w:szCs w:val="20"/>
              </w:rPr>
            </w:pPr>
            <w:r>
              <w:rPr>
                <w:rFonts w:ascii="Arial" w:hAnsi="Arial" w:cs="Arial"/>
                <w:b/>
                <w:bCs/>
                <w:sz w:val="20"/>
                <w:szCs w:val="20"/>
              </w:rPr>
              <w:t>Cum</w:t>
            </w:r>
          </w:p>
        </w:tc>
      </w:tr>
      <w:tr w14:paraId="30A3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nil"/>
              <w:bottom w:val="nil"/>
              <w:right w:val="nil"/>
            </w:tcBorders>
            <w:vAlign w:val="center"/>
          </w:tcPr>
          <w:p w14:paraId="031CDA38">
            <w:pPr>
              <w:jc w:val="center"/>
              <w:rPr>
                <w:rFonts w:ascii="Arial" w:hAnsi="Arial" w:cs="Arial"/>
                <w:sz w:val="20"/>
                <w:szCs w:val="20"/>
              </w:rPr>
            </w:pPr>
            <w:r>
              <w:rPr>
                <w:rFonts w:ascii="Arial" w:hAnsi="Arial" w:cs="Arial"/>
                <w:sz w:val="20"/>
                <w:szCs w:val="20"/>
              </w:rPr>
              <w:t>South Africa</w:t>
            </w:r>
          </w:p>
        </w:tc>
        <w:tc>
          <w:tcPr>
            <w:tcW w:w="2130" w:type="dxa"/>
            <w:tcBorders>
              <w:top w:val="single" w:color="auto" w:sz="4" w:space="0"/>
              <w:left w:val="nil"/>
              <w:bottom w:val="nil"/>
              <w:right w:val="nil"/>
            </w:tcBorders>
            <w:vAlign w:val="center"/>
          </w:tcPr>
          <w:p w14:paraId="04EC5404">
            <w:pPr>
              <w:jc w:val="center"/>
              <w:rPr>
                <w:rFonts w:ascii="Arial" w:hAnsi="Arial" w:cs="Arial"/>
                <w:sz w:val="20"/>
                <w:szCs w:val="20"/>
              </w:rPr>
            </w:pPr>
            <w:r>
              <w:rPr>
                <w:rFonts w:ascii="Arial" w:hAnsi="Arial" w:cs="Arial"/>
                <w:sz w:val="20"/>
                <w:szCs w:val="20"/>
              </w:rPr>
              <w:t>10</w:t>
            </w:r>
          </w:p>
        </w:tc>
        <w:tc>
          <w:tcPr>
            <w:tcW w:w="2131" w:type="dxa"/>
            <w:tcBorders>
              <w:top w:val="single" w:color="auto" w:sz="4" w:space="0"/>
              <w:left w:val="nil"/>
              <w:bottom w:val="nil"/>
              <w:right w:val="nil"/>
            </w:tcBorders>
            <w:vAlign w:val="center"/>
          </w:tcPr>
          <w:p w14:paraId="795FD45E">
            <w:pPr>
              <w:jc w:val="center"/>
              <w:rPr>
                <w:rFonts w:ascii="Arial" w:hAnsi="Arial" w:cs="Arial"/>
                <w:sz w:val="20"/>
                <w:szCs w:val="20"/>
              </w:rPr>
            </w:pPr>
            <w:r>
              <w:rPr>
                <w:rFonts w:ascii="Arial" w:hAnsi="Arial" w:cs="Arial"/>
                <w:sz w:val="20"/>
                <w:szCs w:val="20"/>
              </w:rPr>
              <w:t>28.57</w:t>
            </w:r>
          </w:p>
        </w:tc>
        <w:tc>
          <w:tcPr>
            <w:tcW w:w="2131" w:type="dxa"/>
            <w:tcBorders>
              <w:top w:val="single" w:color="auto" w:sz="4" w:space="0"/>
              <w:left w:val="nil"/>
              <w:bottom w:val="nil"/>
              <w:right w:val="nil"/>
            </w:tcBorders>
            <w:vAlign w:val="center"/>
          </w:tcPr>
          <w:p w14:paraId="6C631831">
            <w:pPr>
              <w:jc w:val="center"/>
              <w:rPr>
                <w:rFonts w:ascii="Arial" w:hAnsi="Arial" w:cs="Arial"/>
                <w:sz w:val="20"/>
                <w:szCs w:val="20"/>
              </w:rPr>
            </w:pPr>
            <w:r>
              <w:rPr>
                <w:rFonts w:ascii="Arial" w:hAnsi="Arial" w:cs="Arial"/>
                <w:sz w:val="20"/>
                <w:szCs w:val="20"/>
              </w:rPr>
              <w:t>28.57</w:t>
            </w:r>
          </w:p>
        </w:tc>
      </w:tr>
      <w:tr w14:paraId="34C03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nil"/>
              <w:left w:val="nil"/>
              <w:bottom w:val="nil"/>
              <w:right w:val="nil"/>
            </w:tcBorders>
            <w:vAlign w:val="center"/>
          </w:tcPr>
          <w:p w14:paraId="1BF38291">
            <w:pPr>
              <w:jc w:val="center"/>
              <w:rPr>
                <w:rFonts w:ascii="Arial" w:hAnsi="Arial" w:cs="Arial"/>
                <w:sz w:val="20"/>
                <w:szCs w:val="20"/>
              </w:rPr>
            </w:pPr>
            <w:r>
              <w:rPr>
                <w:rFonts w:ascii="Arial" w:hAnsi="Arial" w:cs="Arial"/>
                <w:sz w:val="20"/>
                <w:szCs w:val="20"/>
              </w:rPr>
              <w:t>Angola</w:t>
            </w:r>
          </w:p>
        </w:tc>
        <w:tc>
          <w:tcPr>
            <w:tcW w:w="2130" w:type="dxa"/>
            <w:tcBorders>
              <w:top w:val="nil"/>
              <w:left w:val="nil"/>
              <w:bottom w:val="nil"/>
              <w:right w:val="nil"/>
            </w:tcBorders>
            <w:vAlign w:val="center"/>
          </w:tcPr>
          <w:p w14:paraId="67E4C3F3">
            <w:pPr>
              <w:jc w:val="center"/>
              <w:rPr>
                <w:rFonts w:ascii="Arial" w:hAnsi="Arial" w:cs="Arial"/>
                <w:sz w:val="20"/>
                <w:szCs w:val="20"/>
              </w:rPr>
            </w:pPr>
            <w:r>
              <w:rPr>
                <w:rFonts w:ascii="Arial" w:hAnsi="Arial" w:cs="Arial"/>
                <w:sz w:val="20"/>
                <w:szCs w:val="20"/>
              </w:rPr>
              <w:t>10</w:t>
            </w:r>
          </w:p>
        </w:tc>
        <w:tc>
          <w:tcPr>
            <w:tcW w:w="2131" w:type="dxa"/>
            <w:tcBorders>
              <w:top w:val="nil"/>
              <w:left w:val="nil"/>
              <w:bottom w:val="nil"/>
              <w:right w:val="nil"/>
            </w:tcBorders>
            <w:vAlign w:val="center"/>
          </w:tcPr>
          <w:p w14:paraId="4E3E21DC">
            <w:pPr>
              <w:jc w:val="center"/>
              <w:rPr>
                <w:rFonts w:ascii="Arial" w:hAnsi="Arial" w:cs="Arial"/>
                <w:sz w:val="20"/>
                <w:szCs w:val="20"/>
              </w:rPr>
            </w:pPr>
            <w:r>
              <w:rPr>
                <w:rFonts w:ascii="Arial" w:hAnsi="Arial" w:cs="Arial"/>
                <w:sz w:val="20"/>
                <w:szCs w:val="20"/>
              </w:rPr>
              <w:t>28.57</w:t>
            </w:r>
          </w:p>
        </w:tc>
        <w:tc>
          <w:tcPr>
            <w:tcW w:w="2131" w:type="dxa"/>
            <w:tcBorders>
              <w:top w:val="nil"/>
              <w:left w:val="nil"/>
              <w:bottom w:val="nil"/>
              <w:right w:val="nil"/>
            </w:tcBorders>
            <w:vAlign w:val="center"/>
          </w:tcPr>
          <w:p w14:paraId="40A5D3EE">
            <w:pPr>
              <w:jc w:val="center"/>
              <w:rPr>
                <w:rFonts w:ascii="Arial" w:hAnsi="Arial" w:cs="Arial"/>
                <w:sz w:val="20"/>
                <w:szCs w:val="20"/>
              </w:rPr>
            </w:pPr>
            <w:r>
              <w:rPr>
                <w:rFonts w:ascii="Arial" w:hAnsi="Arial" w:cs="Arial"/>
                <w:sz w:val="20"/>
                <w:szCs w:val="20"/>
              </w:rPr>
              <w:t>57.14</w:t>
            </w:r>
          </w:p>
        </w:tc>
      </w:tr>
      <w:tr w14:paraId="2FE97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nil"/>
              <w:left w:val="nil"/>
              <w:bottom w:val="nil"/>
              <w:right w:val="nil"/>
            </w:tcBorders>
            <w:vAlign w:val="center"/>
          </w:tcPr>
          <w:p w14:paraId="4D21656F">
            <w:pPr>
              <w:jc w:val="center"/>
              <w:rPr>
                <w:rFonts w:ascii="Arial" w:hAnsi="Arial" w:cs="Arial"/>
                <w:sz w:val="20"/>
                <w:szCs w:val="20"/>
              </w:rPr>
            </w:pPr>
            <w:r>
              <w:rPr>
                <w:rFonts w:ascii="Arial" w:hAnsi="Arial" w:cs="Arial"/>
                <w:sz w:val="20"/>
                <w:szCs w:val="20"/>
              </w:rPr>
              <w:t>Nigeria</w:t>
            </w:r>
          </w:p>
        </w:tc>
        <w:tc>
          <w:tcPr>
            <w:tcW w:w="2130" w:type="dxa"/>
            <w:tcBorders>
              <w:top w:val="nil"/>
              <w:left w:val="nil"/>
              <w:bottom w:val="nil"/>
              <w:right w:val="nil"/>
            </w:tcBorders>
            <w:vAlign w:val="center"/>
          </w:tcPr>
          <w:p w14:paraId="153D3B67">
            <w:pPr>
              <w:jc w:val="center"/>
              <w:rPr>
                <w:rFonts w:ascii="Arial" w:hAnsi="Arial" w:cs="Arial"/>
                <w:sz w:val="20"/>
                <w:szCs w:val="20"/>
              </w:rPr>
            </w:pPr>
            <w:r>
              <w:rPr>
                <w:rFonts w:ascii="Arial" w:hAnsi="Arial" w:cs="Arial"/>
                <w:sz w:val="20"/>
                <w:szCs w:val="20"/>
              </w:rPr>
              <w:t>7</w:t>
            </w:r>
          </w:p>
        </w:tc>
        <w:tc>
          <w:tcPr>
            <w:tcW w:w="2131" w:type="dxa"/>
            <w:tcBorders>
              <w:top w:val="nil"/>
              <w:left w:val="nil"/>
              <w:bottom w:val="nil"/>
              <w:right w:val="nil"/>
            </w:tcBorders>
            <w:vAlign w:val="center"/>
          </w:tcPr>
          <w:p w14:paraId="691C9D5B">
            <w:pPr>
              <w:jc w:val="center"/>
              <w:rPr>
                <w:rFonts w:ascii="Arial" w:hAnsi="Arial" w:cs="Arial"/>
                <w:sz w:val="20"/>
                <w:szCs w:val="20"/>
              </w:rPr>
            </w:pPr>
            <w:r>
              <w:rPr>
                <w:rFonts w:ascii="Arial" w:hAnsi="Arial" w:cs="Arial"/>
                <w:sz w:val="20"/>
                <w:szCs w:val="20"/>
              </w:rPr>
              <w:t>20.00</w:t>
            </w:r>
          </w:p>
        </w:tc>
        <w:tc>
          <w:tcPr>
            <w:tcW w:w="2131" w:type="dxa"/>
            <w:tcBorders>
              <w:top w:val="nil"/>
              <w:left w:val="nil"/>
              <w:bottom w:val="nil"/>
              <w:right w:val="nil"/>
            </w:tcBorders>
            <w:vAlign w:val="center"/>
          </w:tcPr>
          <w:p w14:paraId="09CD9C14">
            <w:pPr>
              <w:jc w:val="center"/>
              <w:rPr>
                <w:rFonts w:ascii="Arial" w:hAnsi="Arial" w:cs="Arial"/>
                <w:sz w:val="20"/>
                <w:szCs w:val="20"/>
              </w:rPr>
            </w:pPr>
            <w:r>
              <w:rPr>
                <w:rFonts w:ascii="Arial" w:hAnsi="Arial" w:cs="Arial"/>
                <w:sz w:val="20"/>
                <w:szCs w:val="20"/>
              </w:rPr>
              <w:t>77.14</w:t>
            </w:r>
          </w:p>
        </w:tc>
      </w:tr>
      <w:tr w14:paraId="462C2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nil"/>
              <w:left w:val="nil"/>
              <w:bottom w:val="nil"/>
              <w:right w:val="nil"/>
            </w:tcBorders>
            <w:vAlign w:val="center"/>
          </w:tcPr>
          <w:p w14:paraId="2A11EC19">
            <w:pPr>
              <w:jc w:val="center"/>
              <w:rPr>
                <w:rFonts w:ascii="Arial" w:hAnsi="Arial" w:cs="Arial"/>
                <w:sz w:val="20"/>
                <w:szCs w:val="20"/>
              </w:rPr>
            </w:pPr>
            <w:r>
              <w:rPr>
                <w:rFonts w:ascii="Arial" w:hAnsi="Arial" w:cs="Arial"/>
                <w:sz w:val="20"/>
                <w:szCs w:val="20"/>
              </w:rPr>
              <w:t>Egypt</w:t>
            </w:r>
          </w:p>
        </w:tc>
        <w:tc>
          <w:tcPr>
            <w:tcW w:w="2130" w:type="dxa"/>
            <w:tcBorders>
              <w:top w:val="nil"/>
              <w:left w:val="nil"/>
              <w:bottom w:val="nil"/>
              <w:right w:val="nil"/>
            </w:tcBorders>
            <w:vAlign w:val="center"/>
          </w:tcPr>
          <w:p w14:paraId="0C9B451D">
            <w:pPr>
              <w:jc w:val="center"/>
              <w:rPr>
                <w:rFonts w:ascii="Arial" w:hAnsi="Arial" w:cs="Arial"/>
                <w:sz w:val="20"/>
                <w:szCs w:val="20"/>
              </w:rPr>
            </w:pPr>
            <w:r>
              <w:rPr>
                <w:rFonts w:ascii="Arial" w:hAnsi="Arial" w:cs="Arial"/>
                <w:sz w:val="20"/>
                <w:szCs w:val="20"/>
              </w:rPr>
              <w:t>5</w:t>
            </w:r>
          </w:p>
        </w:tc>
        <w:tc>
          <w:tcPr>
            <w:tcW w:w="2131" w:type="dxa"/>
            <w:tcBorders>
              <w:top w:val="nil"/>
              <w:left w:val="nil"/>
              <w:bottom w:val="nil"/>
              <w:right w:val="nil"/>
            </w:tcBorders>
            <w:vAlign w:val="center"/>
          </w:tcPr>
          <w:p w14:paraId="3BB72EB2">
            <w:pPr>
              <w:jc w:val="center"/>
              <w:rPr>
                <w:rFonts w:ascii="Arial" w:hAnsi="Arial" w:cs="Arial"/>
                <w:sz w:val="20"/>
                <w:szCs w:val="20"/>
              </w:rPr>
            </w:pPr>
            <w:r>
              <w:rPr>
                <w:rFonts w:ascii="Arial" w:hAnsi="Arial" w:cs="Arial"/>
                <w:sz w:val="20"/>
                <w:szCs w:val="20"/>
              </w:rPr>
              <w:t>14.29</w:t>
            </w:r>
          </w:p>
        </w:tc>
        <w:tc>
          <w:tcPr>
            <w:tcW w:w="2131" w:type="dxa"/>
            <w:tcBorders>
              <w:top w:val="nil"/>
              <w:left w:val="nil"/>
              <w:bottom w:val="nil"/>
              <w:right w:val="nil"/>
            </w:tcBorders>
            <w:vAlign w:val="center"/>
          </w:tcPr>
          <w:p w14:paraId="7D872F3D">
            <w:pPr>
              <w:jc w:val="center"/>
              <w:rPr>
                <w:rFonts w:ascii="Arial" w:hAnsi="Arial" w:cs="Arial"/>
                <w:sz w:val="20"/>
                <w:szCs w:val="20"/>
              </w:rPr>
            </w:pPr>
            <w:r>
              <w:rPr>
                <w:rFonts w:ascii="Arial" w:hAnsi="Arial" w:cs="Arial"/>
                <w:sz w:val="20"/>
                <w:szCs w:val="20"/>
              </w:rPr>
              <w:t>91.43</w:t>
            </w:r>
          </w:p>
        </w:tc>
      </w:tr>
      <w:tr w14:paraId="777DB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nil"/>
              <w:left w:val="nil"/>
              <w:bottom w:val="nil"/>
              <w:right w:val="nil"/>
            </w:tcBorders>
            <w:vAlign w:val="center"/>
          </w:tcPr>
          <w:p w14:paraId="273E1497">
            <w:pPr>
              <w:jc w:val="center"/>
              <w:rPr>
                <w:rFonts w:ascii="Arial" w:hAnsi="Arial" w:cs="Arial"/>
                <w:sz w:val="20"/>
                <w:szCs w:val="20"/>
              </w:rPr>
            </w:pPr>
            <w:r>
              <w:rPr>
                <w:rFonts w:ascii="Arial" w:hAnsi="Arial" w:cs="Arial"/>
                <w:sz w:val="20"/>
                <w:szCs w:val="20"/>
              </w:rPr>
              <w:t>Democratic Republic of the Congo</w:t>
            </w:r>
          </w:p>
        </w:tc>
        <w:tc>
          <w:tcPr>
            <w:tcW w:w="2130" w:type="dxa"/>
            <w:tcBorders>
              <w:top w:val="nil"/>
              <w:left w:val="nil"/>
              <w:bottom w:val="nil"/>
              <w:right w:val="nil"/>
            </w:tcBorders>
            <w:vAlign w:val="center"/>
          </w:tcPr>
          <w:p w14:paraId="13A89E1B">
            <w:pPr>
              <w:jc w:val="center"/>
              <w:rPr>
                <w:rFonts w:ascii="Arial" w:hAnsi="Arial" w:cs="Arial"/>
                <w:sz w:val="20"/>
                <w:szCs w:val="20"/>
              </w:rPr>
            </w:pPr>
            <w:r>
              <w:rPr>
                <w:rFonts w:ascii="Arial" w:hAnsi="Arial" w:cs="Arial"/>
                <w:sz w:val="20"/>
                <w:szCs w:val="20"/>
              </w:rPr>
              <w:t>3</w:t>
            </w:r>
          </w:p>
        </w:tc>
        <w:tc>
          <w:tcPr>
            <w:tcW w:w="2131" w:type="dxa"/>
            <w:tcBorders>
              <w:top w:val="nil"/>
              <w:left w:val="nil"/>
              <w:bottom w:val="nil"/>
              <w:right w:val="nil"/>
            </w:tcBorders>
            <w:vAlign w:val="center"/>
          </w:tcPr>
          <w:p w14:paraId="46C61C98">
            <w:pPr>
              <w:jc w:val="center"/>
              <w:rPr>
                <w:rFonts w:ascii="Arial" w:hAnsi="Arial" w:cs="Arial"/>
                <w:sz w:val="20"/>
                <w:szCs w:val="20"/>
              </w:rPr>
            </w:pPr>
            <w:r>
              <w:rPr>
                <w:rFonts w:ascii="Arial" w:hAnsi="Arial" w:cs="Arial"/>
                <w:sz w:val="20"/>
                <w:szCs w:val="20"/>
              </w:rPr>
              <w:t>8.57</w:t>
            </w:r>
          </w:p>
        </w:tc>
        <w:tc>
          <w:tcPr>
            <w:tcW w:w="2131" w:type="dxa"/>
            <w:tcBorders>
              <w:top w:val="nil"/>
              <w:left w:val="nil"/>
              <w:bottom w:val="nil"/>
              <w:right w:val="nil"/>
            </w:tcBorders>
            <w:vAlign w:val="center"/>
          </w:tcPr>
          <w:p w14:paraId="3943C232">
            <w:pPr>
              <w:jc w:val="center"/>
              <w:rPr>
                <w:rFonts w:ascii="Arial" w:hAnsi="Arial" w:cs="Arial"/>
                <w:sz w:val="20"/>
                <w:szCs w:val="20"/>
              </w:rPr>
            </w:pPr>
            <w:r>
              <w:rPr>
                <w:rFonts w:ascii="Arial" w:hAnsi="Arial" w:cs="Arial"/>
                <w:sz w:val="20"/>
                <w:szCs w:val="20"/>
              </w:rPr>
              <w:t>100.00</w:t>
            </w:r>
          </w:p>
        </w:tc>
      </w:tr>
      <w:tr w14:paraId="20186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nil"/>
              <w:left w:val="nil"/>
              <w:bottom w:val="single" w:color="auto" w:sz="12" w:space="0"/>
              <w:right w:val="nil"/>
            </w:tcBorders>
            <w:vAlign w:val="center"/>
          </w:tcPr>
          <w:p w14:paraId="2DC3A682">
            <w:pPr>
              <w:jc w:val="center"/>
              <w:rPr>
                <w:rFonts w:ascii="Arial" w:hAnsi="Arial" w:cs="Arial"/>
                <w:sz w:val="20"/>
                <w:szCs w:val="20"/>
              </w:rPr>
            </w:pPr>
            <w:r>
              <w:rPr>
                <w:rFonts w:ascii="Arial" w:hAnsi="Arial" w:cs="Arial"/>
                <w:sz w:val="20"/>
                <w:szCs w:val="20"/>
              </w:rPr>
              <w:t>Total</w:t>
            </w:r>
          </w:p>
        </w:tc>
        <w:tc>
          <w:tcPr>
            <w:tcW w:w="2130" w:type="dxa"/>
            <w:tcBorders>
              <w:top w:val="nil"/>
              <w:left w:val="nil"/>
              <w:bottom w:val="single" w:color="auto" w:sz="12" w:space="0"/>
              <w:right w:val="nil"/>
            </w:tcBorders>
            <w:vAlign w:val="center"/>
          </w:tcPr>
          <w:p w14:paraId="45D7877E">
            <w:pPr>
              <w:jc w:val="center"/>
              <w:rPr>
                <w:rFonts w:ascii="Arial" w:hAnsi="Arial" w:cs="Arial"/>
                <w:sz w:val="20"/>
                <w:szCs w:val="20"/>
              </w:rPr>
            </w:pPr>
            <w:r>
              <w:rPr>
                <w:rFonts w:ascii="Arial" w:hAnsi="Arial" w:cs="Arial"/>
                <w:sz w:val="20"/>
                <w:szCs w:val="20"/>
              </w:rPr>
              <w:t>35</w:t>
            </w:r>
          </w:p>
        </w:tc>
        <w:tc>
          <w:tcPr>
            <w:tcW w:w="2131" w:type="dxa"/>
            <w:tcBorders>
              <w:top w:val="nil"/>
              <w:left w:val="nil"/>
              <w:bottom w:val="single" w:color="auto" w:sz="12" w:space="0"/>
              <w:right w:val="nil"/>
            </w:tcBorders>
            <w:vAlign w:val="center"/>
          </w:tcPr>
          <w:p w14:paraId="7875C470">
            <w:pPr>
              <w:jc w:val="center"/>
              <w:rPr>
                <w:rFonts w:ascii="Arial" w:hAnsi="Arial" w:cs="Arial"/>
                <w:sz w:val="20"/>
                <w:szCs w:val="20"/>
              </w:rPr>
            </w:pPr>
            <w:r>
              <w:rPr>
                <w:rFonts w:ascii="Arial" w:hAnsi="Arial" w:cs="Arial"/>
                <w:sz w:val="20"/>
                <w:szCs w:val="20"/>
              </w:rPr>
              <w:t>100.00</w:t>
            </w:r>
          </w:p>
        </w:tc>
        <w:tc>
          <w:tcPr>
            <w:tcW w:w="2131" w:type="dxa"/>
            <w:tcBorders>
              <w:top w:val="nil"/>
              <w:left w:val="nil"/>
              <w:bottom w:val="single" w:color="auto" w:sz="12" w:space="0"/>
              <w:right w:val="nil"/>
            </w:tcBorders>
            <w:vAlign w:val="center"/>
          </w:tcPr>
          <w:p w14:paraId="58FDEA75">
            <w:pPr>
              <w:jc w:val="center"/>
              <w:rPr>
                <w:rFonts w:ascii="Arial" w:hAnsi="Arial" w:cs="Arial"/>
                <w:sz w:val="20"/>
                <w:szCs w:val="20"/>
              </w:rPr>
            </w:pPr>
          </w:p>
        </w:tc>
      </w:tr>
    </w:tbl>
    <w:p w14:paraId="63698EA8">
      <w:pPr>
        <w:rPr>
          <w:rFonts w:ascii="Arial" w:hAnsi="Arial"/>
          <w:i/>
          <w:iCs/>
          <w:sz w:val="18"/>
          <w:szCs w:val="18"/>
        </w:rPr>
      </w:pPr>
      <w:r>
        <w:rPr>
          <w:rFonts w:ascii="Arial" w:hAnsi="Arial"/>
          <w:i/>
          <w:iCs/>
          <w:sz w:val="18"/>
          <w:szCs w:val="18"/>
        </w:rPr>
        <w:t>Data source: General Administration of Customs of the people's Republic of China</w:t>
      </w:r>
    </w:p>
    <w:p w14:paraId="6392A410">
      <w:pPr>
        <w:rPr>
          <w:rFonts w:ascii="Arial" w:hAnsi="Arial"/>
          <w:sz w:val="20"/>
          <w:szCs w:val="20"/>
        </w:rPr>
      </w:pPr>
    </w:p>
    <w:p w14:paraId="0BACDC46">
      <w:pPr>
        <w:rPr>
          <w:rFonts w:ascii="Arial" w:hAnsi="Arial"/>
          <w:sz w:val="20"/>
          <w:szCs w:val="20"/>
        </w:rPr>
      </w:pPr>
      <w:r>
        <w:rPr>
          <w:rFonts w:ascii="Arial" w:hAnsi="Arial"/>
          <w:sz w:val="20"/>
          <w:szCs w:val="20"/>
        </w:rPr>
        <w:t>Through further collation of data, the top ten African countries with the largest annual economic and trade exchanges with China are screened, and their frequency can be found that Ghana, South Africa, Egypt, Angola, Nigeria, Algeria, the Democratic Republic of the Congo, Kenya, these eight countries have closer economic and trade exchanges with China than other African countries, as an echelon. Tanzania, Morocco, the Republic of the Congo, Liberia, Guinea, Libya, and Ethiopia, the seven countries that have close economic and trade ties with China, are in the second echelon (see Table 5).</w:t>
      </w:r>
    </w:p>
    <w:p w14:paraId="018B1079">
      <w:pPr>
        <w:rPr>
          <w:rFonts w:ascii="Arial" w:hAnsi="Arial"/>
          <w:sz w:val="20"/>
          <w:szCs w:val="20"/>
        </w:rPr>
      </w:pPr>
    </w:p>
    <w:p w14:paraId="4F03976C">
      <w:pPr>
        <w:rPr>
          <w:rFonts w:ascii="Arial" w:hAnsi="Arial"/>
          <w:b/>
          <w:bCs/>
          <w:sz w:val="20"/>
          <w:szCs w:val="20"/>
        </w:rPr>
      </w:pPr>
      <w:r>
        <w:rPr>
          <w:rFonts w:hint="eastAsia" w:ascii="Arial" w:hAnsi="Arial"/>
          <w:b/>
          <w:bCs/>
          <w:sz w:val="20"/>
          <w:szCs w:val="20"/>
        </w:rPr>
        <w:t>Table 5</w:t>
      </w:r>
      <w:r>
        <w:rPr>
          <w:rFonts w:hint="eastAsia" w:ascii="Arial" w:hAnsi="Arial"/>
          <w:b/>
          <w:bCs/>
          <w:sz w:val="20"/>
          <w:szCs w:val="20"/>
        </w:rPr>
        <w:tab/>
      </w:r>
      <w:r>
        <w:rPr>
          <w:rFonts w:hint="eastAsia" w:ascii="Arial" w:hAnsi="Arial"/>
          <w:b/>
          <w:bCs/>
          <w:sz w:val="20"/>
          <w:szCs w:val="20"/>
        </w:rPr>
        <w:t>Top 10 African countries in terms of annual trade volume with China from 2015 to 2024</w:t>
      </w:r>
    </w:p>
    <w:p w14:paraId="57D4DD2E">
      <w:pPr>
        <w:rPr>
          <w:rFonts w:ascii="Arial" w:hAnsi="Arial"/>
          <w:b/>
          <w:bCs/>
          <w:sz w:val="20"/>
          <w:szCs w:val="20"/>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4E3BB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12" w:space="0"/>
              <w:left w:val="nil"/>
              <w:bottom w:val="single" w:color="auto" w:sz="4" w:space="0"/>
              <w:right w:val="nil"/>
            </w:tcBorders>
            <w:vAlign w:val="center"/>
          </w:tcPr>
          <w:p w14:paraId="1C3615F0">
            <w:pPr>
              <w:jc w:val="center"/>
              <w:rPr>
                <w:rFonts w:ascii="Arial" w:hAnsi="Arial" w:cs="Arial"/>
                <w:b/>
                <w:bCs/>
                <w:sz w:val="20"/>
                <w:szCs w:val="20"/>
              </w:rPr>
            </w:pPr>
            <w:r>
              <w:rPr>
                <w:rFonts w:ascii="Arial" w:hAnsi="Arial" w:cs="Arial"/>
                <w:b/>
                <w:bCs/>
                <w:sz w:val="20"/>
                <w:szCs w:val="20"/>
              </w:rPr>
              <w:t>Country</w:t>
            </w:r>
          </w:p>
        </w:tc>
        <w:tc>
          <w:tcPr>
            <w:tcW w:w="2130" w:type="dxa"/>
            <w:tcBorders>
              <w:top w:val="single" w:color="auto" w:sz="12" w:space="0"/>
              <w:left w:val="nil"/>
              <w:bottom w:val="single" w:color="auto" w:sz="4" w:space="0"/>
              <w:right w:val="nil"/>
            </w:tcBorders>
            <w:vAlign w:val="center"/>
          </w:tcPr>
          <w:p w14:paraId="61F46510">
            <w:pPr>
              <w:jc w:val="center"/>
              <w:rPr>
                <w:rFonts w:ascii="Arial" w:hAnsi="Arial" w:cs="Arial"/>
                <w:b/>
                <w:bCs/>
                <w:sz w:val="20"/>
                <w:szCs w:val="20"/>
              </w:rPr>
            </w:pPr>
            <w:r>
              <w:rPr>
                <w:rFonts w:ascii="Arial" w:hAnsi="Arial" w:cs="Arial"/>
                <w:b/>
                <w:bCs/>
                <w:sz w:val="20"/>
                <w:szCs w:val="20"/>
              </w:rPr>
              <w:t>Freq</w:t>
            </w:r>
          </w:p>
        </w:tc>
        <w:tc>
          <w:tcPr>
            <w:tcW w:w="2131" w:type="dxa"/>
            <w:tcBorders>
              <w:top w:val="single" w:color="auto" w:sz="12" w:space="0"/>
              <w:left w:val="nil"/>
              <w:bottom w:val="single" w:color="auto" w:sz="4" w:space="0"/>
              <w:right w:val="nil"/>
            </w:tcBorders>
            <w:vAlign w:val="center"/>
          </w:tcPr>
          <w:p w14:paraId="77D5FE96">
            <w:pPr>
              <w:jc w:val="center"/>
              <w:rPr>
                <w:rFonts w:ascii="Arial" w:hAnsi="Arial" w:cs="Arial"/>
                <w:b/>
                <w:bCs/>
                <w:sz w:val="20"/>
                <w:szCs w:val="20"/>
              </w:rPr>
            </w:pPr>
            <w:r>
              <w:rPr>
                <w:rFonts w:ascii="Arial" w:hAnsi="Arial" w:cs="Arial"/>
                <w:b/>
                <w:bCs/>
                <w:sz w:val="20"/>
                <w:szCs w:val="20"/>
              </w:rPr>
              <w:t>Percent</w:t>
            </w:r>
          </w:p>
        </w:tc>
        <w:tc>
          <w:tcPr>
            <w:tcW w:w="2131" w:type="dxa"/>
            <w:tcBorders>
              <w:top w:val="single" w:color="auto" w:sz="12" w:space="0"/>
              <w:left w:val="nil"/>
              <w:bottom w:val="single" w:color="auto" w:sz="4" w:space="0"/>
              <w:right w:val="nil"/>
            </w:tcBorders>
            <w:vAlign w:val="center"/>
          </w:tcPr>
          <w:p w14:paraId="6794B048">
            <w:pPr>
              <w:jc w:val="center"/>
              <w:rPr>
                <w:rFonts w:ascii="Arial" w:hAnsi="Arial" w:cs="Arial"/>
                <w:b/>
                <w:bCs/>
                <w:sz w:val="20"/>
                <w:szCs w:val="20"/>
              </w:rPr>
            </w:pPr>
            <w:r>
              <w:rPr>
                <w:rFonts w:ascii="Arial" w:hAnsi="Arial" w:cs="Arial"/>
                <w:b/>
                <w:bCs/>
                <w:sz w:val="20"/>
                <w:szCs w:val="20"/>
              </w:rPr>
              <w:t>Cum</w:t>
            </w:r>
          </w:p>
        </w:tc>
      </w:tr>
      <w:tr w14:paraId="4FA41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nil"/>
              <w:bottom w:val="nil"/>
              <w:right w:val="nil"/>
            </w:tcBorders>
            <w:vAlign w:val="center"/>
          </w:tcPr>
          <w:p w14:paraId="6474AC93">
            <w:pPr>
              <w:jc w:val="center"/>
              <w:rPr>
                <w:rFonts w:ascii="Arial" w:hAnsi="Arial" w:cs="Arial"/>
                <w:sz w:val="20"/>
                <w:szCs w:val="20"/>
              </w:rPr>
            </w:pPr>
            <w:r>
              <w:rPr>
                <w:rFonts w:ascii="Arial" w:hAnsi="Arial" w:cs="Arial"/>
              </w:rPr>
              <w:t>Ghana</w:t>
            </w:r>
          </w:p>
        </w:tc>
        <w:tc>
          <w:tcPr>
            <w:tcW w:w="2130" w:type="dxa"/>
            <w:tcBorders>
              <w:top w:val="single" w:color="auto" w:sz="4" w:space="0"/>
              <w:left w:val="nil"/>
              <w:bottom w:val="nil"/>
              <w:right w:val="nil"/>
            </w:tcBorders>
            <w:vAlign w:val="center"/>
          </w:tcPr>
          <w:p w14:paraId="6B0D72AB">
            <w:pPr>
              <w:jc w:val="center"/>
              <w:rPr>
                <w:rFonts w:ascii="Arial" w:hAnsi="Arial" w:cs="Arial"/>
                <w:sz w:val="20"/>
                <w:szCs w:val="20"/>
              </w:rPr>
            </w:pPr>
            <w:r>
              <w:rPr>
                <w:rFonts w:ascii="Arial" w:hAnsi="Arial" w:cs="Arial"/>
                <w:sz w:val="20"/>
                <w:szCs w:val="20"/>
              </w:rPr>
              <w:t>10</w:t>
            </w:r>
          </w:p>
        </w:tc>
        <w:tc>
          <w:tcPr>
            <w:tcW w:w="2131" w:type="dxa"/>
            <w:tcBorders>
              <w:top w:val="single" w:color="auto" w:sz="4" w:space="0"/>
              <w:left w:val="nil"/>
              <w:bottom w:val="nil"/>
              <w:right w:val="nil"/>
            </w:tcBorders>
            <w:shd w:val="clear" w:color="auto" w:fill="auto"/>
            <w:vAlign w:val="center"/>
          </w:tcPr>
          <w:p w14:paraId="7DF50034">
            <w:pPr>
              <w:jc w:val="center"/>
              <w:rPr>
                <w:rFonts w:ascii="Arial" w:hAnsi="Arial" w:cs="Arial"/>
                <w:sz w:val="20"/>
                <w:szCs w:val="20"/>
              </w:rPr>
            </w:pPr>
            <w:r>
              <w:rPr>
                <w:rFonts w:ascii="Arial" w:hAnsi="Arial" w:cs="Arial"/>
                <w:sz w:val="20"/>
                <w:szCs w:val="20"/>
              </w:rPr>
              <w:t>10</w:t>
            </w:r>
          </w:p>
        </w:tc>
        <w:tc>
          <w:tcPr>
            <w:tcW w:w="2131" w:type="dxa"/>
            <w:tcBorders>
              <w:top w:val="single" w:color="auto" w:sz="4" w:space="0"/>
              <w:left w:val="nil"/>
              <w:bottom w:val="nil"/>
              <w:right w:val="nil"/>
            </w:tcBorders>
            <w:vAlign w:val="center"/>
          </w:tcPr>
          <w:p w14:paraId="3B15D549">
            <w:pPr>
              <w:jc w:val="center"/>
              <w:rPr>
                <w:rFonts w:ascii="Arial" w:hAnsi="Arial" w:cs="Arial"/>
                <w:sz w:val="20"/>
                <w:szCs w:val="20"/>
              </w:rPr>
            </w:pPr>
            <w:r>
              <w:rPr>
                <w:rFonts w:ascii="Arial" w:hAnsi="Arial" w:cs="Arial"/>
                <w:sz w:val="20"/>
                <w:szCs w:val="20"/>
              </w:rPr>
              <w:t>10</w:t>
            </w:r>
          </w:p>
        </w:tc>
      </w:tr>
      <w:tr w14:paraId="74DBB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nil"/>
              <w:left w:val="nil"/>
              <w:bottom w:val="nil"/>
              <w:right w:val="nil"/>
            </w:tcBorders>
            <w:vAlign w:val="center"/>
          </w:tcPr>
          <w:p w14:paraId="6534DBB7">
            <w:pPr>
              <w:jc w:val="center"/>
              <w:rPr>
                <w:rFonts w:ascii="Arial" w:hAnsi="Arial" w:cs="Arial"/>
                <w:sz w:val="20"/>
                <w:szCs w:val="20"/>
              </w:rPr>
            </w:pPr>
            <w:r>
              <w:rPr>
                <w:rFonts w:ascii="Arial" w:hAnsi="Arial" w:cs="Arial"/>
              </w:rPr>
              <w:t>South Africa</w:t>
            </w:r>
          </w:p>
        </w:tc>
        <w:tc>
          <w:tcPr>
            <w:tcW w:w="2130" w:type="dxa"/>
            <w:tcBorders>
              <w:top w:val="nil"/>
              <w:left w:val="nil"/>
              <w:bottom w:val="nil"/>
              <w:right w:val="nil"/>
            </w:tcBorders>
            <w:vAlign w:val="center"/>
          </w:tcPr>
          <w:p w14:paraId="37DDF889">
            <w:pPr>
              <w:jc w:val="center"/>
              <w:rPr>
                <w:rFonts w:ascii="Arial" w:hAnsi="Arial" w:cs="Arial"/>
                <w:sz w:val="20"/>
                <w:szCs w:val="20"/>
              </w:rPr>
            </w:pPr>
            <w:r>
              <w:rPr>
                <w:rFonts w:ascii="Arial" w:hAnsi="Arial" w:cs="Arial"/>
                <w:sz w:val="20"/>
                <w:szCs w:val="20"/>
              </w:rPr>
              <w:t>10</w:t>
            </w:r>
          </w:p>
        </w:tc>
        <w:tc>
          <w:tcPr>
            <w:tcW w:w="2131" w:type="dxa"/>
            <w:tcBorders>
              <w:top w:val="nil"/>
              <w:left w:val="nil"/>
              <w:bottom w:val="nil"/>
              <w:right w:val="nil"/>
            </w:tcBorders>
            <w:shd w:val="clear" w:color="auto" w:fill="auto"/>
            <w:vAlign w:val="center"/>
          </w:tcPr>
          <w:p w14:paraId="59947FAD">
            <w:pPr>
              <w:jc w:val="center"/>
              <w:rPr>
                <w:rFonts w:ascii="Arial" w:hAnsi="Arial" w:cs="Arial"/>
                <w:sz w:val="20"/>
                <w:szCs w:val="20"/>
              </w:rPr>
            </w:pPr>
            <w:r>
              <w:rPr>
                <w:rFonts w:ascii="Arial" w:hAnsi="Arial" w:cs="Arial"/>
                <w:sz w:val="20"/>
                <w:szCs w:val="20"/>
              </w:rPr>
              <w:t>10</w:t>
            </w:r>
          </w:p>
        </w:tc>
        <w:tc>
          <w:tcPr>
            <w:tcW w:w="2131" w:type="dxa"/>
            <w:tcBorders>
              <w:top w:val="nil"/>
              <w:left w:val="nil"/>
              <w:bottom w:val="nil"/>
              <w:right w:val="nil"/>
            </w:tcBorders>
            <w:vAlign w:val="center"/>
          </w:tcPr>
          <w:p w14:paraId="30F2FCDF">
            <w:pPr>
              <w:jc w:val="center"/>
              <w:rPr>
                <w:rFonts w:ascii="Arial" w:hAnsi="Arial" w:cs="Arial"/>
                <w:sz w:val="20"/>
                <w:szCs w:val="20"/>
              </w:rPr>
            </w:pPr>
            <w:r>
              <w:rPr>
                <w:rFonts w:ascii="Arial" w:hAnsi="Arial" w:cs="Arial"/>
                <w:sz w:val="20"/>
                <w:szCs w:val="20"/>
              </w:rPr>
              <w:t>20</w:t>
            </w:r>
          </w:p>
        </w:tc>
      </w:tr>
      <w:tr w14:paraId="11E75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nil"/>
              <w:left w:val="nil"/>
              <w:bottom w:val="nil"/>
              <w:right w:val="nil"/>
            </w:tcBorders>
            <w:vAlign w:val="center"/>
          </w:tcPr>
          <w:p w14:paraId="2BCEDC13">
            <w:pPr>
              <w:jc w:val="center"/>
              <w:rPr>
                <w:rFonts w:ascii="Arial" w:hAnsi="Arial" w:cs="Arial"/>
                <w:sz w:val="20"/>
                <w:szCs w:val="20"/>
              </w:rPr>
            </w:pPr>
            <w:r>
              <w:rPr>
                <w:rFonts w:ascii="Arial" w:hAnsi="Arial" w:cs="Arial"/>
              </w:rPr>
              <w:t>Egypt</w:t>
            </w:r>
          </w:p>
        </w:tc>
        <w:tc>
          <w:tcPr>
            <w:tcW w:w="2130" w:type="dxa"/>
            <w:tcBorders>
              <w:top w:val="nil"/>
              <w:left w:val="nil"/>
              <w:bottom w:val="nil"/>
              <w:right w:val="nil"/>
            </w:tcBorders>
            <w:vAlign w:val="center"/>
          </w:tcPr>
          <w:p w14:paraId="39DD8005">
            <w:pPr>
              <w:jc w:val="center"/>
              <w:rPr>
                <w:rFonts w:ascii="Arial" w:hAnsi="Arial" w:cs="Arial"/>
                <w:sz w:val="20"/>
                <w:szCs w:val="20"/>
              </w:rPr>
            </w:pPr>
            <w:r>
              <w:rPr>
                <w:rFonts w:ascii="Arial" w:hAnsi="Arial" w:cs="Arial"/>
                <w:sz w:val="20"/>
                <w:szCs w:val="20"/>
              </w:rPr>
              <w:t>10</w:t>
            </w:r>
          </w:p>
        </w:tc>
        <w:tc>
          <w:tcPr>
            <w:tcW w:w="2131" w:type="dxa"/>
            <w:tcBorders>
              <w:top w:val="nil"/>
              <w:left w:val="nil"/>
              <w:bottom w:val="nil"/>
              <w:right w:val="nil"/>
            </w:tcBorders>
            <w:shd w:val="clear" w:color="auto" w:fill="auto"/>
            <w:vAlign w:val="center"/>
          </w:tcPr>
          <w:p w14:paraId="018525B9">
            <w:pPr>
              <w:jc w:val="center"/>
              <w:rPr>
                <w:rFonts w:ascii="Arial" w:hAnsi="Arial" w:cs="Arial"/>
                <w:sz w:val="20"/>
                <w:szCs w:val="20"/>
              </w:rPr>
            </w:pPr>
            <w:r>
              <w:rPr>
                <w:rFonts w:ascii="Arial" w:hAnsi="Arial" w:cs="Arial"/>
                <w:sz w:val="20"/>
                <w:szCs w:val="20"/>
              </w:rPr>
              <w:t>10</w:t>
            </w:r>
          </w:p>
        </w:tc>
        <w:tc>
          <w:tcPr>
            <w:tcW w:w="2131" w:type="dxa"/>
            <w:tcBorders>
              <w:top w:val="nil"/>
              <w:left w:val="nil"/>
              <w:bottom w:val="nil"/>
              <w:right w:val="nil"/>
            </w:tcBorders>
            <w:vAlign w:val="center"/>
          </w:tcPr>
          <w:p w14:paraId="6C04DEE1">
            <w:pPr>
              <w:jc w:val="center"/>
              <w:rPr>
                <w:rFonts w:ascii="Arial" w:hAnsi="Arial" w:cs="Arial"/>
                <w:sz w:val="20"/>
                <w:szCs w:val="20"/>
              </w:rPr>
            </w:pPr>
            <w:r>
              <w:rPr>
                <w:rFonts w:ascii="Arial" w:hAnsi="Arial" w:cs="Arial"/>
                <w:sz w:val="20"/>
                <w:szCs w:val="20"/>
              </w:rPr>
              <w:t>30</w:t>
            </w:r>
          </w:p>
        </w:tc>
      </w:tr>
      <w:tr w14:paraId="56F04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nil"/>
              <w:left w:val="nil"/>
              <w:bottom w:val="nil"/>
              <w:right w:val="nil"/>
            </w:tcBorders>
            <w:shd w:val="clear" w:color="auto" w:fill="auto"/>
            <w:vAlign w:val="center"/>
          </w:tcPr>
          <w:p w14:paraId="72487810">
            <w:pPr>
              <w:jc w:val="center"/>
              <w:rPr>
                <w:rFonts w:ascii="Arial" w:hAnsi="Arial" w:cs="Arial"/>
                <w:sz w:val="20"/>
                <w:szCs w:val="20"/>
              </w:rPr>
            </w:pPr>
            <w:r>
              <w:rPr>
                <w:rFonts w:ascii="Arial" w:hAnsi="Arial" w:cs="Arial"/>
              </w:rPr>
              <w:t>Angola</w:t>
            </w:r>
          </w:p>
        </w:tc>
        <w:tc>
          <w:tcPr>
            <w:tcW w:w="2130" w:type="dxa"/>
            <w:tcBorders>
              <w:top w:val="nil"/>
              <w:left w:val="nil"/>
              <w:bottom w:val="nil"/>
              <w:right w:val="nil"/>
            </w:tcBorders>
            <w:shd w:val="clear" w:color="auto" w:fill="auto"/>
            <w:vAlign w:val="center"/>
          </w:tcPr>
          <w:p w14:paraId="6132F758">
            <w:pPr>
              <w:jc w:val="center"/>
              <w:rPr>
                <w:rFonts w:ascii="Arial" w:hAnsi="Arial" w:cs="Arial"/>
                <w:sz w:val="20"/>
                <w:szCs w:val="20"/>
              </w:rPr>
            </w:pPr>
            <w:r>
              <w:rPr>
                <w:rFonts w:ascii="Arial" w:hAnsi="Arial" w:cs="Arial"/>
                <w:sz w:val="20"/>
                <w:szCs w:val="20"/>
              </w:rPr>
              <w:t>10</w:t>
            </w:r>
          </w:p>
        </w:tc>
        <w:tc>
          <w:tcPr>
            <w:tcW w:w="2131" w:type="dxa"/>
            <w:tcBorders>
              <w:top w:val="nil"/>
              <w:left w:val="nil"/>
              <w:bottom w:val="nil"/>
              <w:right w:val="nil"/>
            </w:tcBorders>
            <w:shd w:val="clear" w:color="auto" w:fill="auto"/>
            <w:vAlign w:val="center"/>
          </w:tcPr>
          <w:p w14:paraId="7B47DCC8">
            <w:pPr>
              <w:jc w:val="center"/>
              <w:rPr>
                <w:rFonts w:ascii="Arial" w:hAnsi="Arial" w:cs="Arial"/>
                <w:sz w:val="20"/>
                <w:szCs w:val="20"/>
              </w:rPr>
            </w:pPr>
            <w:r>
              <w:rPr>
                <w:rFonts w:ascii="Arial" w:hAnsi="Arial" w:cs="Arial"/>
                <w:sz w:val="20"/>
                <w:szCs w:val="20"/>
              </w:rPr>
              <w:t>10</w:t>
            </w:r>
          </w:p>
        </w:tc>
        <w:tc>
          <w:tcPr>
            <w:tcW w:w="2131" w:type="dxa"/>
            <w:tcBorders>
              <w:top w:val="nil"/>
              <w:left w:val="nil"/>
              <w:bottom w:val="nil"/>
              <w:right w:val="nil"/>
            </w:tcBorders>
            <w:shd w:val="clear" w:color="auto" w:fill="auto"/>
            <w:vAlign w:val="center"/>
          </w:tcPr>
          <w:p w14:paraId="0EEDE17D">
            <w:pPr>
              <w:jc w:val="center"/>
              <w:rPr>
                <w:rFonts w:ascii="Arial" w:hAnsi="Arial" w:cs="Arial"/>
                <w:sz w:val="20"/>
                <w:szCs w:val="20"/>
              </w:rPr>
            </w:pPr>
            <w:r>
              <w:rPr>
                <w:rFonts w:ascii="Arial" w:hAnsi="Arial" w:cs="Arial"/>
                <w:sz w:val="20"/>
                <w:szCs w:val="20"/>
              </w:rPr>
              <w:t>40</w:t>
            </w:r>
          </w:p>
        </w:tc>
      </w:tr>
      <w:tr w14:paraId="0F73E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nil"/>
              <w:left w:val="nil"/>
              <w:bottom w:val="nil"/>
              <w:right w:val="nil"/>
            </w:tcBorders>
            <w:shd w:val="clear" w:color="auto" w:fill="auto"/>
            <w:vAlign w:val="center"/>
          </w:tcPr>
          <w:p w14:paraId="5A5CCC45">
            <w:pPr>
              <w:jc w:val="center"/>
              <w:rPr>
                <w:rFonts w:ascii="Arial" w:hAnsi="Arial" w:cs="Arial"/>
                <w:sz w:val="20"/>
                <w:szCs w:val="20"/>
              </w:rPr>
            </w:pPr>
            <w:r>
              <w:rPr>
                <w:rFonts w:ascii="Arial" w:hAnsi="Arial" w:cs="Arial"/>
              </w:rPr>
              <w:t>Nigeria</w:t>
            </w:r>
          </w:p>
        </w:tc>
        <w:tc>
          <w:tcPr>
            <w:tcW w:w="2130" w:type="dxa"/>
            <w:tcBorders>
              <w:top w:val="nil"/>
              <w:left w:val="nil"/>
              <w:bottom w:val="nil"/>
              <w:right w:val="nil"/>
            </w:tcBorders>
            <w:shd w:val="clear" w:color="auto" w:fill="auto"/>
            <w:vAlign w:val="center"/>
          </w:tcPr>
          <w:p w14:paraId="35154E8E">
            <w:pPr>
              <w:jc w:val="center"/>
              <w:rPr>
                <w:rFonts w:ascii="Arial" w:hAnsi="Arial" w:cs="Arial"/>
                <w:sz w:val="20"/>
                <w:szCs w:val="20"/>
              </w:rPr>
            </w:pPr>
            <w:r>
              <w:rPr>
                <w:rFonts w:ascii="Arial" w:hAnsi="Arial" w:cs="Arial"/>
                <w:sz w:val="20"/>
                <w:szCs w:val="20"/>
              </w:rPr>
              <w:t>10</w:t>
            </w:r>
          </w:p>
        </w:tc>
        <w:tc>
          <w:tcPr>
            <w:tcW w:w="2131" w:type="dxa"/>
            <w:tcBorders>
              <w:top w:val="nil"/>
              <w:left w:val="nil"/>
              <w:bottom w:val="nil"/>
              <w:right w:val="nil"/>
            </w:tcBorders>
            <w:shd w:val="clear" w:color="auto" w:fill="auto"/>
            <w:vAlign w:val="center"/>
          </w:tcPr>
          <w:p w14:paraId="0D736F1D">
            <w:pPr>
              <w:jc w:val="center"/>
              <w:rPr>
                <w:rFonts w:ascii="Arial" w:hAnsi="Arial" w:cs="Arial"/>
                <w:sz w:val="20"/>
                <w:szCs w:val="20"/>
              </w:rPr>
            </w:pPr>
            <w:r>
              <w:rPr>
                <w:rFonts w:ascii="Arial" w:hAnsi="Arial" w:cs="Arial"/>
                <w:sz w:val="20"/>
                <w:szCs w:val="20"/>
              </w:rPr>
              <w:t>10</w:t>
            </w:r>
          </w:p>
        </w:tc>
        <w:tc>
          <w:tcPr>
            <w:tcW w:w="2131" w:type="dxa"/>
            <w:tcBorders>
              <w:top w:val="nil"/>
              <w:left w:val="nil"/>
              <w:bottom w:val="nil"/>
              <w:right w:val="nil"/>
            </w:tcBorders>
            <w:shd w:val="clear" w:color="auto" w:fill="auto"/>
            <w:vAlign w:val="center"/>
          </w:tcPr>
          <w:p w14:paraId="207A50A0">
            <w:pPr>
              <w:jc w:val="center"/>
              <w:rPr>
                <w:rFonts w:ascii="Arial" w:hAnsi="Arial" w:cs="Arial"/>
                <w:sz w:val="20"/>
                <w:szCs w:val="20"/>
              </w:rPr>
            </w:pPr>
            <w:r>
              <w:rPr>
                <w:rFonts w:ascii="Arial" w:hAnsi="Arial" w:cs="Arial"/>
                <w:sz w:val="20"/>
                <w:szCs w:val="20"/>
              </w:rPr>
              <w:t>50</w:t>
            </w:r>
          </w:p>
        </w:tc>
      </w:tr>
      <w:tr w14:paraId="35F7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nil"/>
              <w:left w:val="nil"/>
              <w:bottom w:val="nil"/>
              <w:right w:val="nil"/>
            </w:tcBorders>
            <w:shd w:val="clear" w:color="auto" w:fill="auto"/>
            <w:vAlign w:val="center"/>
          </w:tcPr>
          <w:p w14:paraId="6B7BF238">
            <w:pPr>
              <w:jc w:val="center"/>
              <w:rPr>
                <w:rFonts w:ascii="Arial" w:hAnsi="Arial" w:cs="Arial"/>
                <w:sz w:val="20"/>
                <w:szCs w:val="20"/>
              </w:rPr>
            </w:pPr>
            <w:r>
              <w:rPr>
                <w:rFonts w:ascii="Arial" w:hAnsi="Arial" w:cs="Arial"/>
              </w:rPr>
              <w:t>Algeria</w:t>
            </w:r>
          </w:p>
        </w:tc>
        <w:tc>
          <w:tcPr>
            <w:tcW w:w="2130" w:type="dxa"/>
            <w:tcBorders>
              <w:top w:val="nil"/>
              <w:left w:val="nil"/>
              <w:bottom w:val="nil"/>
              <w:right w:val="nil"/>
            </w:tcBorders>
            <w:shd w:val="clear" w:color="auto" w:fill="auto"/>
            <w:vAlign w:val="center"/>
          </w:tcPr>
          <w:p w14:paraId="0D0847BB">
            <w:pPr>
              <w:jc w:val="center"/>
              <w:rPr>
                <w:rFonts w:ascii="Arial" w:hAnsi="Arial" w:cs="Arial"/>
                <w:sz w:val="20"/>
                <w:szCs w:val="20"/>
              </w:rPr>
            </w:pPr>
            <w:r>
              <w:rPr>
                <w:rFonts w:ascii="Arial" w:hAnsi="Arial" w:cs="Arial"/>
                <w:sz w:val="20"/>
                <w:szCs w:val="20"/>
              </w:rPr>
              <w:t>10</w:t>
            </w:r>
          </w:p>
        </w:tc>
        <w:tc>
          <w:tcPr>
            <w:tcW w:w="2131" w:type="dxa"/>
            <w:tcBorders>
              <w:top w:val="nil"/>
              <w:left w:val="nil"/>
              <w:bottom w:val="nil"/>
              <w:right w:val="nil"/>
            </w:tcBorders>
            <w:shd w:val="clear" w:color="auto" w:fill="auto"/>
            <w:vAlign w:val="center"/>
          </w:tcPr>
          <w:p w14:paraId="11B48E4E">
            <w:pPr>
              <w:jc w:val="center"/>
              <w:rPr>
                <w:rFonts w:ascii="Arial" w:hAnsi="Arial" w:cs="Arial"/>
                <w:sz w:val="20"/>
                <w:szCs w:val="20"/>
              </w:rPr>
            </w:pPr>
            <w:r>
              <w:rPr>
                <w:rFonts w:ascii="Arial" w:hAnsi="Arial" w:cs="Arial"/>
                <w:sz w:val="20"/>
                <w:szCs w:val="20"/>
              </w:rPr>
              <w:t>10</w:t>
            </w:r>
          </w:p>
        </w:tc>
        <w:tc>
          <w:tcPr>
            <w:tcW w:w="2131" w:type="dxa"/>
            <w:tcBorders>
              <w:top w:val="nil"/>
              <w:left w:val="nil"/>
              <w:bottom w:val="nil"/>
              <w:right w:val="nil"/>
            </w:tcBorders>
            <w:shd w:val="clear" w:color="auto" w:fill="auto"/>
            <w:vAlign w:val="center"/>
          </w:tcPr>
          <w:p w14:paraId="56C3F0BF">
            <w:pPr>
              <w:jc w:val="center"/>
              <w:rPr>
                <w:rFonts w:ascii="Arial" w:hAnsi="Arial" w:cs="Arial"/>
                <w:sz w:val="20"/>
                <w:szCs w:val="20"/>
              </w:rPr>
            </w:pPr>
            <w:r>
              <w:rPr>
                <w:rFonts w:ascii="Arial" w:hAnsi="Arial" w:cs="Arial"/>
                <w:sz w:val="20"/>
                <w:szCs w:val="20"/>
              </w:rPr>
              <w:t>60</w:t>
            </w:r>
          </w:p>
        </w:tc>
      </w:tr>
      <w:tr w14:paraId="2A77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nil"/>
              <w:left w:val="nil"/>
              <w:bottom w:val="nil"/>
              <w:right w:val="nil"/>
            </w:tcBorders>
            <w:vAlign w:val="center"/>
          </w:tcPr>
          <w:p w14:paraId="780A346A">
            <w:pPr>
              <w:jc w:val="center"/>
              <w:rPr>
                <w:rFonts w:ascii="Arial" w:hAnsi="Arial" w:cs="Arial"/>
                <w:sz w:val="20"/>
                <w:szCs w:val="20"/>
              </w:rPr>
            </w:pPr>
            <w:r>
              <w:rPr>
                <w:rFonts w:ascii="Arial" w:hAnsi="Arial" w:cs="Arial"/>
              </w:rPr>
              <w:t>Democratic Republic of the Congo</w:t>
            </w:r>
          </w:p>
        </w:tc>
        <w:tc>
          <w:tcPr>
            <w:tcW w:w="2130" w:type="dxa"/>
            <w:tcBorders>
              <w:top w:val="nil"/>
              <w:left w:val="nil"/>
              <w:bottom w:val="nil"/>
              <w:right w:val="nil"/>
            </w:tcBorders>
            <w:vAlign w:val="center"/>
          </w:tcPr>
          <w:p w14:paraId="3A89B421">
            <w:pPr>
              <w:jc w:val="center"/>
              <w:rPr>
                <w:rFonts w:ascii="Arial" w:hAnsi="Arial" w:cs="Arial"/>
                <w:sz w:val="20"/>
                <w:szCs w:val="20"/>
              </w:rPr>
            </w:pPr>
            <w:r>
              <w:rPr>
                <w:rFonts w:ascii="Arial" w:hAnsi="Arial" w:cs="Arial"/>
                <w:sz w:val="20"/>
                <w:szCs w:val="20"/>
              </w:rPr>
              <w:t>9</w:t>
            </w:r>
          </w:p>
        </w:tc>
        <w:tc>
          <w:tcPr>
            <w:tcW w:w="2131" w:type="dxa"/>
            <w:tcBorders>
              <w:top w:val="nil"/>
              <w:left w:val="nil"/>
              <w:bottom w:val="nil"/>
              <w:right w:val="nil"/>
            </w:tcBorders>
            <w:shd w:val="clear" w:color="auto" w:fill="auto"/>
            <w:vAlign w:val="center"/>
          </w:tcPr>
          <w:p w14:paraId="4FD025F0">
            <w:pPr>
              <w:jc w:val="center"/>
              <w:rPr>
                <w:rFonts w:ascii="Arial" w:hAnsi="Arial" w:cs="Arial"/>
                <w:sz w:val="20"/>
                <w:szCs w:val="20"/>
              </w:rPr>
            </w:pPr>
            <w:r>
              <w:rPr>
                <w:rFonts w:ascii="Arial" w:hAnsi="Arial" w:cs="Arial"/>
                <w:sz w:val="20"/>
                <w:szCs w:val="20"/>
              </w:rPr>
              <w:t>9</w:t>
            </w:r>
          </w:p>
        </w:tc>
        <w:tc>
          <w:tcPr>
            <w:tcW w:w="2131" w:type="dxa"/>
            <w:tcBorders>
              <w:top w:val="nil"/>
              <w:left w:val="nil"/>
              <w:bottom w:val="nil"/>
              <w:right w:val="nil"/>
            </w:tcBorders>
            <w:vAlign w:val="center"/>
          </w:tcPr>
          <w:p w14:paraId="7F4C3AC1">
            <w:pPr>
              <w:jc w:val="center"/>
              <w:rPr>
                <w:rFonts w:ascii="Arial" w:hAnsi="Arial" w:cs="Arial"/>
                <w:sz w:val="20"/>
                <w:szCs w:val="20"/>
              </w:rPr>
            </w:pPr>
            <w:r>
              <w:rPr>
                <w:rFonts w:ascii="Arial" w:hAnsi="Arial" w:cs="Arial"/>
                <w:sz w:val="20"/>
                <w:szCs w:val="20"/>
              </w:rPr>
              <w:t>69</w:t>
            </w:r>
          </w:p>
        </w:tc>
      </w:tr>
      <w:tr w14:paraId="55523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nil"/>
              <w:left w:val="nil"/>
              <w:bottom w:val="nil"/>
              <w:right w:val="nil"/>
            </w:tcBorders>
            <w:vAlign w:val="center"/>
          </w:tcPr>
          <w:p w14:paraId="32FE700D">
            <w:pPr>
              <w:jc w:val="center"/>
              <w:rPr>
                <w:rFonts w:ascii="Arial" w:hAnsi="Arial" w:cs="Arial"/>
                <w:sz w:val="20"/>
                <w:szCs w:val="20"/>
              </w:rPr>
            </w:pPr>
            <w:r>
              <w:rPr>
                <w:rFonts w:ascii="Arial" w:hAnsi="Arial" w:cs="Arial"/>
              </w:rPr>
              <w:t>Kenya</w:t>
            </w:r>
          </w:p>
        </w:tc>
        <w:tc>
          <w:tcPr>
            <w:tcW w:w="2130" w:type="dxa"/>
            <w:tcBorders>
              <w:top w:val="nil"/>
              <w:left w:val="nil"/>
              <w:bottom w:val="nil"/>
              <w:right w:val="nil"/>
            </w:tcBorders>
            <w:vAlign w:val="center"/>
          </w:tcPr>
          <w:p w14:paraId="661D79F0">
            <w:pPr>
              <w:jc w:val="center"/>
              <w:rPr>
                <w:rFonts w:ascii="Arial" w:hAnsi="Arial" w:cs="Arial"/>
                <w:sz w:val="20"/>
                <w:szCs w:val="20"/>
              </w:rPr>
            </w:pPr>
            <w:r>
              <w:rPr>
                <w:rFonts w:ascii="Arial" w:hAnsi="Arial" w:cs="Arial"/>
                <w:sz w:val="20"/>
                <w:szCs w:val="20"/>
              </w:rPr>
              <w:t>8</w:t>
            </w:r>
          </w:p>
        </w:tc>
        <w:tc>
          <w:tcPr>
            <w:tcW w:w="2131" w:type="dxa"/>
            <w:tcBorders>
              <w:top w:val="nil"/>
              <w:left w:val="nil"/>
              <w:bottom w:val="nil"/>
              <w:right w:val="nil"/>
            </w:tcBorders>
            <w:shd w:val="clear" w:color="auto" w:fill="auto"/>
            <w:vAlign w:val="center"/>
          </w:tcPr>
          <w:p w14:paraId="13DBD684">
            <w:pPr>
              <w:jc w:val="center"/>
              <w:rPr>
                <w:rFonts w:ascii="Arial" w:hAnsi="Arial" w:cs="Arial"/>
                <w:sz w:val="20"/>
                <w:szCs w:val="20"/>
              </w:rPr>
            </w:pPr>
            <w:r>
              <w:rPr>
                <w:rFonts w:ascii="Arial" w:hAnsi="Arial" w:cs="Arial"/>
                <w:sz w:val="20"/>
                <w:szCs w:val="20"/>
              </w:rPr>
              <w:t>8</w:t>
            </w:r>
          </w:p>
        </w:tc>
        <w:tc>
          <w:tcPr>
            <w:tcW w:w="2131" w:type="dxa"/>
            <w:tcBorders>
              <w:top w:val="nil"/>
              <w:left w:val="nil"/>
              <w:bottom w:val="nil"/>
              <w:right w:val="nil"/>
            </w:tcBorders>
            <w:vAlign w:val="center"/>
          </w:tcPr>
          <w:p w14:paraId="73C12FC3">
            <w:pPr>
              <w:jc w:val="center"/>
              <w:rPr>
                <w:rFonts w:ascii="Arial" w:hAnsi="Arial" w:cs="Arial"/>
                <w:sz w:val="20"/>
                <w:szCs w:val="20"/>
              </w:rPr>
            </w:pPr>
            <w:r>
              <w:rPr>
                <w:rFonts w:ascii="Arial" w:hAnsi="Arial" w:cs="Arial"/>
                <w:sz w:val="20"/>
                <w:szCs w:val="20"/>
              </w:rPr>
              <w:t>77</w:t>
            </w:r>
          </w:p>
        </w:tc>
      </w:tr>
      <w:tr w14:paraId="77AD0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nil"/>
              <w:left w:val="nil"/>
              <w:bottom w:val="nil"/>
              <w:right w:val="nil"/>
            </w:tcBorders>
            <w:vAlign w:val="center"/>
          </w:tcPr>
          <w:p w14:paraId="4D877E6B">
            <w:pPr>
              <w:jc w:val="center"/>
              <w:rPr>
                <w:rFonts w:ascii="Arial" w:hAnsi="Arial" w:cs="Arial"/>
                <w:sz w:val="20"/>
                <w:szCs w:val="20"/>
              </w:rPr>
            </w:pPr>
            <w:r>
              <w:rPr>
                <w:rFonts w:ascii="Arial" w:hAnsi="Arial" w:cs="Arial"/>
              </w:rPr>
              <w:t>Tanzania</w:t>
            </w:r>
          </w:p>
        </w:tc>
        <w:tc>
          <w:tcPr>
            <w:tcW w:w="2130" w:type="dxa"/>
            <w:tcBorders>
              <w:top w:val="nil"/>
              <w:left w:val="nil"/>
              <w:bottom w:val="nil"/>
              <w:right w:val="nil"/>
            </w:tcBorders>
            <w:vAlign w:val="center"/>
          </w:tcPr>
          <w:p w14:paraId="6209C076">
            <w:pPr>
              <w:jc w:val="center"/>
              <w:rPr>
                <w:rFonts w:ascii="Arial" w:hAnsi="Arial" w:cs="Arial"/>
                <w:sz w:val="20"/>
                <w:szCs w:val="20"/>
              </w:rPr>
            </w:pPr>
            <w:r>
              <w:rPr>
                <w:rFonts w:ascii="Arial" w:hAnsi="Arial" w:cs="Arial"/>
                <w:sz w:val="20"/>
                <w:szCs w:val="20"/>
              </w:rPr>
              <w:t>6</w:t>
            </w:r>
          </w:p>
        </w:tc>
        <w:tc>
          <w:tcPr>
            <w:tcW w:w="2131" w:type="dxa"/>
            <w:tcBorders>
              <w:top w:val="nil"/>
              <w:left w:val="nil"/>
              <w:bottom w:val="nil"/>
              <w:right w:val="nil"/>
            </w:tcBorders>
            <w:shd w:val="clear" w:color="auto" w:fill="auto"/>
            <w:vAlign w:val="center"/>
          </w:tcPr>
          <w:p w14:paraId="2B2956CB">
            <w:pPr>
              <w:jc w:val="center"/>
              <w:rPr>
                <w:rFonts w:ascii="Arial" w:hAnsi="Arial" w:cs="Arial"/>
                <w:sz w:val="20"/>
                <w:szCs w:val="20"/>
              </w:rPr>
            </w:pPr>
            <w:r>
              <w:rPr>
                <w:rFonts w:ascii="Arial" w:hAnsi="Arial" w:cs="Arial"/>
                <w:sz w:val="20"/>
                <w:szCs w:val="20"/>
              </w:rPr>
              <w:t>6</w:t>
            </w:r>
          </w:p>
        </w:tc>
        <w:tc>
          <w:tcPr>
            <w:tcW w:w="2131" w:type="dxa"/>
            <w:tcBorders>
              <w:top w:val="nil"/>
              <w:left w:val="nil"/>
              <w:bottom w:val="nil"/>
              <w:right w:val="nil"/>
            </w:tcBorders>
            <w:vAlign w:val="center"/>
          </w:tcPr>
          <w:p w14:paraId="6BF3811C">
            <w:pPr>
              <w:jc w:val="center"/>
              <w:rPr>
                <w:rFonts w:ascii="Arial" w:hAnsi="Arial" w:cs="Arial"/>
                <w:sz w:val="20"/>
                <w:szCs w:val="20"/>
              </w:rPr>
            </w:pPr>
            <w:r>
              <w:rPr>
                <w:rFonts w:ascii="Arial" w:hAnsi="Arial" w:cs="Arial"/>
                <w:sz w:val="20"/>
                <w:szCs w:val="20"/>
              </w:rPr>
              <w:t>83</w:t>
            </w:r>
          </w:p>
        </w:tc>
      </w:tr>
      <w:tr w14:paraId="22B32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nil"/>
              <w:left w:val="nil"/>
              <w:bottom w:val="nil"/>
              <w:right w:val="nil"/>
            </w:tcBorders>
            <w:vAlign w:val="center"/>
          </w:tcPr>
          <w:p w14:paraId="4402F555">
            <w:pPr>
              <w:jc w:val="center"/>
              <w:rPr>
                <w:rFonts w:ascii="Arial" w:hAnsi="Arial" w:cs="Arial"/>
                <w:sz w:val="20"/>
                <w:szCs w:val="20"/>
              </w:rPr>
            </w:pPr>
            <w:r>
              <w:rPr>
                <w:rFonts w:ascii="Arial" w:hAnsi="Arial" w:cs="Arial"/>
              </w:rPr>
              <w:t>Morocco</w:t>
            </w:r>
          </w:p>
        </w:tc>
        <w:tc>
          <w:tcPr>
            <w:tcW w:w="2130" w:type="dxa"/>
            <w:tcBorders>
              <w:top w:val="nil"/>
              <w:left w:val="nil"/>
              <w:bottom w:val="nil"/>
              <w:right w:val="nil"/>
            </w:tcBorders>
            <w:vAlign w:val="center"/>
          </w:tcPr>
          <w:p w14:paraId="408A86C9">
            <w:pPr>
              <w:jc w:val="center"/>
              <w:rPr>
                <w:rFonts w:ascii="Arial" w:hAnsi="Arial" w:cs="Arial"/>
                <w:sz w:val="20"/>
                <w:szCs w:val="20"/>
              </w:rPr>
            </w:pPr>
            <w:r>
              <w:rPr>
                <w:rFonts w:ascii="Arial" w:hAnsi="Arial" w:cs="Arial"/>
                <w:sz w:val="20"/>
                <w:szCs w:val="20"/>
              </w:rPr>
              <w:t>5</w:t>
            </w:r>
          </w:p>
        </w:tc>
        <w:tc>
          <w:tcPr>
            <w:tcW w:w="2131" w:type="dxa"/>
            <w:tcBorders>
              <w:top w:val="nil"/>
              <w:left w:val="nil"/>
              <w:bottom w:val="nil"/>
              <w:right w:val="nil"/>
            </w:tcBorders>
            <w:shd w:val="clear" w:color="auto" w:fill="auto"/>
            <w:vAlign w:val="center"/>
          </w:tcPr>
          <w:p w14:paraId="1D619CBF">
            <w:pPr>
              <w:jc w:val="center"/>
              <w:rPr>
                <w:rFonts w:ascii="Arial" w:hAnsi="Arial" w:cs="Arial"/>
                <w:sz w:val="20"/>
                <w:szCs w:val="20"/>
              </w:rPr>
            </w:pPr>
            <w:r>
              <w:rPr>
                <w:rFonts w:ascii="Arial" w:hAnsi="Arial" w:cs="Arial"/>
                <w:sz w:val="20"/>
                <w:szCs w:val="20"/>
              </w:rPr>
              <w:t>5</w:t>
            </w:r>
          </w:p>
        </w:tc>
        <w:tc>
          <w:tcPr>
            <w:tcW w:w="2131" w:type="dxa"/>
            <w:tcBorders>
              <w:top w:val="nil"/>
              <w:left w:val="nil"/>
              <w:bottom w:val="nil"/>
              <w:right w:val="nil"/>
            </w:tcBorders>
            <w:vAlign w:val="center"/>
          </w:tcPr>
          <w:p w14:paraId="44C7090E">
            <w:pPr>
              <w:jc w:val="center"/>
              <w:rPr>
                <w:rFonts w:ascii="Arial" w:hAnsi="Arial" w:cs="Arial"/>
                <w:sz w:val="20"/>
                <w:szCs w:val="20"/>
              </w:rPr>
            </w:pPr>
            <w:r>
              <w:rPr>
                <w:rFonts w:ascii="Arial" w:hAnsi="Arial" w:cs="Arial"/>
                <w:sz w:val="20"/>
                <w:szCs w:val="20"/>
              </w:rPr>
              <w:t>88</w:t>
            </w:r>
          </w:p>
        </w:tc>
      </w:tr>
      <w:tr w14:paraId="7A2C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nil"/>
              <w:left w:val="nil"/>
              <w:bottom w:val="nil"/>
              <w:right w:val="nil"/>
            </w:tcBorders>
            <w:vAlign w:val="center"/>
          </w:tcPr>
          <w:p w14:paraId="4D871286">
            <w:pPr>
              <w:jc w:val="center"/>
              <w:rPr>
                <w:rFonts w:ascii="Arial" w:hAnsi="Arial" w:cs="Arial"/>
                <w:sz w:val="20"/>
                <w:szCs w:val="20"/>
              </w:rPr>
            </w:pPr>
            <w:r>
              <w:rPr>
                <w:rFonts w:ascii="Arial" w:hAnsi="Arial" w:cs="Arial"/>
              </w:rPr>
              <w:t>Republic of Congo</w:t>
            </w:r>
          </w:p>
        </w:tc>
        <w:tc>
          <w:tcPr>
            <w:tcW w:w="2130" w:type="dxa"/>
            <w:tcBorders>
              <w:top w:val="nil"/>
              <w:left w:val="nil"/>
              <w:bottom w:val="nil"/>
              <w:right w:val="nil"/>
            </w:tcBorders>
            <w:vAlign w:val="center"/>
          </w:tcPr>
          <w:p w14:paraId="51DE797E">
            <w:pPr>
              <w:jc w:val="center"/>
              <w:rPr>
                <w:rFonts w:ascii="Arial" w:hAnsi="Arial" w:cs="Arial"/>
                <w:sz w:val="20"/>
                <w:szCs w:val="20"/>
              </w:rPr>
            </w:pPr>
            <w:r>
              <w:rPr>
                <w:rFonts w:ascii="Arial" w:hAnsi="Arial" w:cs="Arial"/>
                <w:sz w:val="20"/>
                <w:szCs w:val="20"/>
              </w:rPr>
              <w:t>3</w:t>
            </w:r>
          </w:p>
        </w:tc>
        <w:tc>
          <w:tcPr>
            <w:tcW w:w="2131" w:type="dxa"/>
            <w:tcBorders>
              <w:top w:val="nil"/>
              <w:left w:val="nil"/>
              <w:bottom w:val="nil"/>
              <w:right w:val="nil"/>
            </w:tcBorders>
            <w:shd w:val="clear" w:color="auto" w:fill="auto"/>
            <w:vAlign w:val="center"/>
          </w:tcPr>
          <w:p w14:paraId="5EE7B64E">
            <w:pPr>
              <w:jc w:val="center"/>
              <w:rPr>
                <w:rFonts w:ascii="Arial" w:hAnsi="Arial" w:cs="Arial"/>
                <w:sz w:val="20"/>
                <w:szCs w:val="20"/>
              </w:rPr>
            </w:pPr>
            <w:r>
              <w:rPr>
                <w:rFonts w:ascii="Arial" w:hAnsi="Arial" w:cs="Arial"/>
                <w:sz w:val="20"/>
                <w:szCs w:val="20"/>
              </w:rPr>
              <w:t>3</w:t>
            </w:r>
          </w:p>
        </w:tc>
        <w:tc>
          <w:tcPr>
            <w:tcW w:w="2131" w:type="dxa"/>
            <w:tcBorders>
              <w:top w:val="nil"/>
              <w:left w:val="nil"/>
              <w:bottom w:val="nil"/>
              <w:right w:val="nil"/>
            </w:tcBorders>
            <w:vAlign w:val="center"/>
          </w:tcPr>
          <w:p w14:paraId="7A49BEE0">
            <w:pPr>
              <w:jc w:val="center"/>
              <w:rPr>
                <w:rFonts w:ascii="Arial" w:hAnsi="Arial" w:cs="Arial"/>
                <w:sz w:val="20"/>
                <w:szCs w:val="20"/>
              </w:rPr>
            </w:pPr>
            <w:r>
              <w:rPr>
                <w:rFonts w:ascii="Arial" w:hAnsi="Arial" w:cs="Arial"/>
                <w:sz w:val="20"/>
                <w:szCs w:val="20"/>
              </w:rPr>
              <w:t>91</w:t>
            </w:r>
          </w:p>
        </w:tc>
      </w:tr>
      <w:tr w14:paraId="6886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nil"/>
              <w:left w:val="nil"/>
              <w:bottom w:val="nil"/>
              <w:right w:val="nil"/>
            </w:tcBorders>
            <w:vAlign w:val="center"/>
          </w:tcPr>
          <w:p w14:paraId="1ABD2628">
            <w:pPr>
              <w:jc w:val="center"/>
              <w:rPr>
                <w:rFonts w:ascii="Arial" w:hAnsi="Arial" w:cs="Arial"/>
                <w:sz w:val="20"/>
                <w:szCs w:val="20"/>
              </w:rPr>
            </w:pPr>
            <w:r>
              <w:rPr>
                <w:rFonts w:ascii="Arial" w:hAnsi="Arial" w:cs="Arial"/>
              </w:rPr>
              <w:t>Liberia</w:t>
            </w:r>
          </w:p>
        </w:tc>
        <w:tc>
          <w:tcPr>
            <w:tcW w:w="2130" w:type="dxa"/>
            <w:tcBorders>
              <w:top w:val="nil"/>
              <w:left w:val="nil"/>
              <w:bottom w:val="nil"/>
              <w:right w:val="nil"/>
            </w:tcBorders>
            <w:vAlign w:val="center"/>
          </w:tcPr>
          <w:p w14:paraId="656D79DC">
            <w:pPr>
              <w:jc w:val="center"/>
              <w:rPr>
                <w:rFonts w:ascii="Arial" w:hAnsi="Arial" w:cs="Arial"/>
                <w:sz w:val="20"/>
                <w:szCs w:val="20"/>
              </w:rPr>
            </w:pPr>
            <w:r>
              <w:rPr>
                <w:rFonts w:ascii="Arial" w:hAnsi="Arial" w:cs="Arial"/>
                <w:sz w:val="20"/>
                <w:szCs w:val="20"/>
              </w:rPr>
              <w:t>3</w:t>
            </w:r>
          </w:p>
        </w:tc>
        <w:tc>
          <w:tcPr>
            <w:tcW w:w="2131" w:type="dxa"/>
            <w:tcBorders>
              <w:top w:val="nil"/>
              <w:left w:val="nil"/>
              <w:bottom w:val="nil"/>
              <w:right w:val="nil"/>
            </w:tcBorders>
            <w:shd w:val="clear" w:color="auto" w:fill="auto"/>
            <w:vAlign w:val="center"/>
          </w:tcPr>
          <w:p w14:paraId="33E8E901">
            <w:pPr>
              <w:jc w:val="center"/>
              <w:rPr>
                <w:rFonts w:ascii="Arial" w:hAnsi="Arial" w:cs="Arial"/>
                <w:sz w:val="20"/>
                <w:szCs w:val="20"/>
              </w:rPr>
            </w:pPr>
            <w:r>
              <w:rPr>
                <w:rFonts w:ascii="Arial" w:hAnsi="Arial" w:cs="Arial"/>
                <w:sz w:val="20"/>
                <w:szCs w:val="20"/>
              </w:rPr>
              <w:t>3</w:t>
            </w:r>
          </w:p>
        </w:tc>
        <w:tc>
          <w:tcPr>
            <w:tcW w:w="2131" w:type="dxa"/>
            <w:tcBorders>
              <w:top w:val="nil"/>
              <w:left w:val="nil"/>
              <w:bottom w:val="nil"/>
              <w:right w:val="nil"/>
            </w:tcBorders>
            <w:vAlign w:val="center"/>
          </w:tcPr>
          <w:p w14:paraId="093F9D6A">
            <w:pPr>
              <w:jc w:val="center"/>
              <w:rPr>
                <w:rFonts w:ascii="Arial" w:hAnsi="Arial" w:cs="Arial"/>
                <w:sz w:val="20"/>
                <w:szCs w:val="20"/>
              </w:rPr>
            </w:pPr>
            <w:r>
              <w:rPr>
                <w:rFonts w:ascii="Arial" w:hAnsi="Arial" w:cs="Arial"/>
                <w:sz w:val="20"/>
                <w:szCs w:val="20"/>
              </w:rPr>
              <w:t>94</w:t>
            </w:r>
          </w:p>
        </w:tc>
      </w:tr>
      <w:tr w14:paraId="0CDA6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nil"/>
              <w:left w:val="nil"/>
              <w:bottom w:val="nil"/>
              <w:right w:val="nil"/>
            </w:tcBorders>
            <w:vAlign w:val="center"/>
          </w:tcPr>
          <w:p w14:paraId="0EF5A214">
            <w:pPr>
              <w:jc w:val="center"/>
              <w:rPr>
                <w:rFonts w:ascii="Arial" w:hAnsi="Arial" w:cs="Arial"/>
                <w:sz w:val="20"/>
                <w:szCs w:val="20"/>
              </w:rPr>
            </w:pPr>
            <w:r>
              <w:rPr>
                <w:rFonts w:ascii="Arial" w:hAnsi="Arial" w:cs="Arial"/>
              </w:rPr>
              <w:t>Guinea</w:t>
            </w:r>
          </w:p>
        </w:tc>
        <w:tc>
          <w:tcPr>
            <w:tcW w:w="2130" w:type="dxa"/>
            <w:tcBorders>
              <w:top w:val="nil"/>
              <w:left w:val="nil"/>
              <w:bottom w:val="nil"/>
              <w:right w:val="nil"/>
            </w:tcBorders>
            <w:vAlign w:val="center"/>
          </w:tcPr>
          <w:p w14:paraId="00578088">
            <w:pPr>
              <w:jc w:val="center"/>
              <w:rPr>
                <w:rFonts w:ascii="Arial" w:hAnsi="Arial" w:cs="Arial"/>
                <w:sz w:val="20"/>
                <w:szCs w:val="20"/>
              </w:rPr>
            </w:pPr>
            <w:r>
              <w:rPr>
                <w:rFonts w:ascii="Arial" w:hAnsi="Arial" w:cs="Arial"/>
                <w:sz w:val="20"/>
                <w:szCs w:val="20"/>
              </w:rPr>
              <w:t>2</w:t>
            </w:r>
          </w:p>
        </w:tc>
        <w:tc>
          <w:tcPr>
            <w:tcW w:w="2131" w:type="dxa"/>
            <w:tcBorders>
              <w:top w:val="nil"/>
              <w:left w:val="nil"/>
              <w:bottom w:val="nil"/>
              <w:right w:val="nil"/>
            </w:tcBorders>
            <w:shd w:val="clear" w:color="auto" w:fill="auto"/>
            <w:vAlign w:val="center"/>
          </w:tcPr>
          <w:p w14:paraId="37EA9BC7">
            <w:pPr>
              <w:jc w:val="center"/>
              <w:rPr>
                <w:rFonts w:ascii="Arial" w:hAnsi="Arial" w:cs="Arial"/>
                <w:sz w:val="20"/>
                <w:szCs w:val="20"/>
              </w:rPr>
            </w:pPr>
            <w:r>
              <w:rPr>
                <w:rFonts w:ascii="Arial" w:hAnsi="Arial" w:cs="Arial"/>
                <w:sz w:val="20"/>
                <w:szCs w:val="20"/>
              </w:rPr>
              <w:t>2</w:t>
            </w:r>
          </w:p>
        </w:tc>
        <w:tc>
          <w:tcPr>
            <w:tcW w:w="2131" w:type="dxa"/>
            <w:tcBorders>
              <w:top w:val="nil"/>
              <w:left w:val="nil"/>
              <w:bottom w:val="nil"/>
              <w:right w:val="nil"/>
            </w:tcBorders>
            <w:vAlign w:val="center"/>
          </w:tcPr>
          <w:p w14:paraId="3E66E7E1">
            <w:pPr>
              <w:jc w:val="center"/>
              <w:rPr>
                <w:rFonts w:ascii="Arial" w:hAnsi="Arial" w:cs="Arial"/>
                <w:sz w:val="20"/>
                <w:szCs w:val="20"/>
              </w:rPr>
            </w:pPr>
            <w:r>
              <w:rPr>
                <w:rFonts w:ascii="Arial" w:hAnsi="Arial" w:cs="Arial"/>
                <w:sz w:val="20"/>
                <w:szCs w:val="20"/>
              </w:rPr>
              <w:t>96</w:t>
            </w:r>
          </w:p>
        </w:tc>
      </w:tr>
      <w:tr w14:paraId="3D7A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nil"/>
              <w:left w:val="nil"/>
              <w:bottom w:val="nil"/>
              <w:right w:val="nil"/>
            </w:tcBorders>
            <w:vAlign w:val="center"/>
          </w:tcPr>
          <w:p w14:paraId="31ED6DD7">
            <w:pPr>
              <w:jc w:val="center"/>
              <w:rPr>
                <w:rFonts w:ascii="Arial" w:hAnsi="Arial" w:cs="Arial"/>
                <w:sz w:val="20"/>
                <w:szCs w:val="20"/>
              </w:rPr>
            </w:pPr>
            <w:r>
              <w:rPr>
                <w:rFonts w:ascii="Arial" w:hAnsi="Arial" w:cs="Arial"/>
              </w:rPr>
              <w:t>Libya</w:t>
            </w:r>
          </w:p>
        </w:tc>
        <w:tc>
          <w:tcPr>
            <w:tcW w:w="2130" w:type="dxa"/>
            <w:tcBorders>
              <w:top w:val="nil"/>
              <w:left w:val="nil"/>
              <w:bottom w:val="nil"/>
              <w:right w:val="nil"/>
            </w:tcBorders>
            <w:vAlign w:val="center"/>
          </w:tcPr>
          <w:p w14:paraId="7C9B9A28">
            <w:pPr>
              <w:jc w:val="center"/>
              <w:rPr>
                <w:rFonts w:ascii="Arial" w:hAnsi="Arial" w:cs="Arial"/>
                <w:sz w:val="20"/>
                <w:szCs w:val="20"/>
              </w:rPr>
            </w:pPr>
            <w:r>
              <w:rPr>
                <w:rFonts w:ascii="Arial" w:hAnsi="Arial" w:cs="Arial"/>
                <w:sz w:val="20"/>
                <w:szCs w:val="20"/>
              </w:rPr>
              <w:t>2</w:t>
            </w:r>
          </w:p>
        </w:tc>
        <w:tc>
          <w:tcPr>
            <w:tcW w:w="2131" w:type="dxa"/>
            <w:tcBorders>
              <w:top w:val="nil"/>
              <w:left w:val="nil"/>
              <w:bottom w:val="nil"/>
              <w:right w:val="nil"/>
            </w:tcBorders>
            <w:shd w:val="clear" w:color="auto" w:fill="auto"/>
            <w:vAlign w:val="center"/>
          </w:tcPr>
          <w:p w14:paraId="7875F48D">
            <w:pPr>
              <w:jc w:val="center"/>
              <w:rPr>
                <w:rFonts w:ascii="Arial" w:hAnsi="Arial" w:cs="Arial"/>
                <w:sz w:val="20"/>
                <w:szCs w:val="20"/>
              </w:rPr>
            </w:pPr>
            <w:r>
              <w:rPr>
                <w:rFonts w:ascii="Arial" w:hAnsi="Arial" w:cs="Arial"/>
                <w:sz w:val="20"/>
                <w:szCs w:val="20"/>
              </w:rPr>
              <w:t>2</w:t>
            </w:r>
          </w:p>
        </w:tc>
        <w:tc>
          <w:tcPr>
            <w:tcW w:w="2131" w:type="dxa"/>
            <w:tcBorders>
              <w:top w:val="nil"/>
              <w:left w:val="nil"/>
              <w:bottom w:val="nil"/>
              <w:right w:val="nil"/>
            </w:tcBorders>
            <w:vAlign w:val="center"/>
          </w:tcPr>
          <w:p w14:paraId="6033C785">
            <w:pPr>
              <w:jc w:val="center"/>
              <w:rPr>
                <w:rFonts w:ascii="Arial" w:hAnsi="Arial" w:cs="Arial"/>
                <w:sz w:val="20"/>
                <w:szCs w:val="20"/>
              </w:rPr>
            </w:pPr>
            <w:r>
              <w:rPr>
                <w:rFonts w:ascii="Arial" w:hAnsi="Arial" w:cs="Arial"/>
                <w:sz w:val="20"/>
                <w:szCs w:val="20"/>
              </w:rPr>
              <w:t>98</w:t>
            </w:r>
          </w:p>
        </w:tc>
      </w:tr>
      <w:tr w14:paraId="4D962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nil"/>
              <w:left w:val="nil"/>
              <w:bottom w:val="nil"/>
              <w:right w:val="nil"/>
            </w:tcBorders>
            <w:vAlign w:val="center"/>
          </w:tcPr>
          <w:p w14:paraId="14457D45">
            <w:pPr>
              <w:jc w:val="center"/>
              <w:rPr>
                <w:rFonts w:ascii="Arial" w:hAnsi="Arial" w:cs="Arial"/>
                <w:sz w:val="20"/>
                <w:szCs w:val="20"/>
              </w:rPr>
            </w:pPr>
            <w:r>
              <w:rPr>
                <w:rFonts w:ascii="Arial" w:hAnsi="Arial" w:cs="Arial"/>
              </w:rPr>
              <w:t>Ethiopia</w:t>
            </w:r>
          </w:p>
        </w:tc>
        <w:tc>
          <w:tcPr>
            <w:tcW w:w="2130" w:type="dxa"/>
            <w:tcBorders>
              <w:top w:val="nil"/>
              <w:left w:val="nil"/>
              <w:bottom w:val="nil"/>
              <w:right w:val="nil"/>
            </w:tcBorders>
            <w:vAlign w:val="center"/>
          </w:tcPr>
          <w:p w14:paraId="48E36E4C">
            <w:pPr>
              <w:jc w:val="center"/>
              <w:rPr>
                <w:rFonts w:ascii="Arial" w:hAnsi="Arial" w:cs="Arial"/>
                <w:sz w:val="20"/>
                <w:szCs w:val="20"/>
              </w:rPr>
            </w:pPr>
            <w:r>
              <w:rPr>
                <w:rFonts w:ascii="Arial" w:hAnsi="Arial" w:cs="Arial"/>
                <w:sz w:val="20"/>
                <w:szCs w:val="20"/>
              </w:rPr>
              <w:t>2</w:t>
            </w:r>
          </w:p>
        </w:tc>
        <w:tc>
          <w:tcPr>
            <w:tcW w:w="2131" w:type="dxa"/>
            <w:tcBorders>
              <w:top w:val="nil"/>
              <w:left w:val="nil"/>
              <w:bottom w:val="nil"/>
              <w:right w:val="nil"/>
            </w:tcBorders>
            <w:shd w:val="clear" w:color="auto" w:fill="auto"/>
            <w:vAlign w:val="center"/>
          </w:tcPr>
          <w:p w14:paraId="580B3638">
            <w:pPr>
              <w:jc w:val="center"/>
              <w:rPr>
                <w:rFonts w:ascii="Arial" w:hAnsi="Arial" w:cs="Arial"/>
                <w:sz w:val="20"/>
                <w:szCs w:val="20"/>
              </w:rPr>
            </w:pPr>
            <w:r>
              <w:rPr>
                <w:rFonts w:ascii="Arial" w:hAnsi="Arial" w:cs="Arial"/>
                <w:sz w:val="20"/>
                <w:szCs w:val="20"/>
              </w:rPr>
              <w:t>2</w:t>
            </w:r>
          </w:p>
        </w:tc>
        <w:tc>
          <w:tcPr>
            <w:tcW w:w="2131" w:type="dxa"/>
            <w:tcBorders>
              <w:top w:val="nil"/>
              <w:left w:val="nil"/>
              <w:bottom w:val="nil"/>
              <w:right w:val="nil"/>
            </w:tcBorders>
            <w:vAlign w:val="center"/>
          </w:tcPr>
          <w:p w14:paraId="412BEFAA">
            <w:pPr>
              <w:jc w:val="center"/>
              <w:rPr>
                <w:rFonts w:ascii="Arial" w:hAnsi="Arial" w:cs="Arial"/>
                <w:sz w:val="20"/>
                <w:szCs w:val="20"/>
              </w:rPr>
            </w:pPr>
            <w:r>
              <w:rPr>
                <w:rFonts w:ascii="Arial" w:hAnsi="Arial" w:cs="Arial"/>
                <w:sz w:val="20"/>
                <w:szCs w:val="20"/>
              </w:rPr>
              <w:t>100</w:t>
            </w:r>
          </w:p>
        </w:tc>
      </w:tr>
      <w:tr w14:paraId="057FE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nil"/>
              <w:left w:val="nil"/>
              <w:bottom w:val="single" w:color="auto" w:sz="12" w:space="0"/>
              <w:right w:val="nil"/>
            </w:tcBorders>
            <w:vAlign w:val="center"/>
          </w:tcPr>
          <w:p w14:paraId="1467AC5A">
            <w:pPr>
              <w:jc w:val="center"/>
              <w:rPr>
                <w:rFonts w:ascii="Arial" w:hAnsi="Arial" w:cs="Arial"/>
                <w:sz w:val="20"/>
                <w:szCs w:val="20"/>
              </w:rPr>
            </w:pPr>
            <w:r>
              <w:rPr>
                <w:rFonts w:ascii="Arial" w:hAnsi="Arial" w:cs="Arial"/>
                <w:sz w:val="20"/>
                <w:szCs w:val="20"/>
              </w:rPr>
              <w:t>Total</w:t>
            </w:r>
          </w:p>
        </w:tc>
        <w:tc>
          <w:tcPr>
            <w:tcW w:w="2130" w:type="dxa"/>
            <w:tcBorders>
              <w:top w:val="nil"/>
              <w:left w:val="nil"/>
              <w:bottom w:val="single" w:color="auto" w:sz="12" w:space="0"/>
              <w:right w:val="nil"/>
            </w:tcBorders>
            <w:vAlign w:val="center"/>
          </w:tcPr>
          <w:p w14:paraId="684BB53C">
            <w:pPr>
              <w:jc w:val="center"/>
              <w:rPr>
                <w:rFonts w:ascii="Arial" w:hAnsi="Arial" w:cs="Arial"/>
                <w:sz w:val="20"/>
                <w:szCs w:val="20"/>
              </w:rPr>
            </w:pPr>
            <w:r>
              <w:rPr>
                <w:rFonts w:ascii="Arial" w:hAnsi="Arial" w:cs="Arial"/>
                <w:sz w:val="20"/>
                <w:szCs w:val="20"/>
              </w:rPr>
              <w:t>100</w:t>
            </w:r>
          </w:p>
        </w:tc>
        <w:tc>
          <w:tcPr>
            <w:tcW w:w="2131" w:type="dxa"/>
            <w:tcBorders>
              <w:top w:val="nil"/>
              <w:left w:val="nil"/>
              <w:bottom w:val="single" w:color="auto" w:sz="12" w:space="0"/>
              <w:right w:val="nil"/>
            </w:tcBorders>
            <w:vAlign w:val="center"/>
          </w:tcPr>
          <w:p w14:paraId="3B74B602">
            <w:pPr>
              <w:jc w:val="center"/>
              <w:rPr>
                <w:rFonts w:ascii="Arial" w:hAnsi="Arial" w:cs="Arial"/>
                <w:sz w:val="20"/>
                <w:szCs w:val="20"/>
              </w:rPr>
            </w:pPr>
            <w:r>
              <w:rPr>
                <w:rFonts w:ascii="Arial" w:hAnsi="Arial" w:cs="Arial"/>
                <w:sz w:val="20"/>
                <w:szCs w:val="20"/>
              </w:rPr>
              <w:t>100</w:t>
            </w:r>
          </w:p>
        </w:tc>
        <w:tc>
          <w:tcPr>
            <w:tcW w:w="2131" w:type="dxa"/>
            <w:tcBorders>
              <w:top w:val="nil"/>
              <w:left w:val="nil"/>
              <w:bottom w:val="single" w:color="auto" w:sz="12" w:space="0"/>
              <w:right w:val="nil"/>
            </w:tcBorders>
            <w:vAlign w:val="center"/>
          </w:tcPr>
          <w:p w14:paraId="07774432">
            <w:pPr>
              <w:jc w:val="center"/>
              <w:rPr>
                <w:rFonts w:ascii="Arial" w:hAnsi="Arial" w:cs="Arial"/>
                <w:sz w:val="20"/>
                <w:szCs w:val="20"/>
              </w:rPr>
            </w:pPr>
          </w:p>
        </w:tc>
      </w:tr>
    </w:tbl>
    <w:p w14:paraId="15E75E45">
      <w:pPr>
        <w:rPr>
          <w:rFonts w:ascii="Arial" w:hAnsi="Arial"/>
          <w:i/>
          <w:iCs/>
          <w:sz w:val="18"/>
          <w:szCs w:val="18"/>
        </w:rPr>
      </w:pPr>
      <w:r>
        <w:rPr>
          <w:rFonts w:ascii="Arial" w:hAnsi="Arial"/>
          <w:i/>
          <w:iCs/>
          <w:sz w:val="18"/>
          <w:szCs w:val="18"/>
        </w:rPr>
        <w:t>Data source: General Administration of Customs of the people's Republic of China</w:t>
      </w:r>
    </w:p>
    <w:p w14:paraId="6818496B">
      <w:pPr>
        <w:rPr>
          <w:rFonts w:ascii="Arial" w:hAnsi="Arial"/>
          <w:sz w:val="20"/>
          <w:szCs w:val="20"/>
        </w:rPr>
      </w:pPr>
    </w:p>
    <w:p w14:paraId="06C56B3C">
      <w:pPr>
        <w:rPr>
          <w:rFonts w:ascii="Arial" w:hAnsi="Arial"/>
          <w:sz w:val="20"/>
          <w:szCs w:val="20"/>
        </w:rPr>
      </w:pPr>
      <w:r>
        <w:rPr>
          <w:rFonts w:ascii="Arial" w:hAnsi="Arial"/>
          <w:sz w:val="20"/>
          <w:szCs w:val="20"/>
        </w:rPr>
        <w:t>To sum up, in the overall analysis of African countries, priority should be given to the eight countries in the first tier, supplemented by the countries in the second tier.</w:t>
      </w:r>
    </w:p>
    <w:p w14:paraId="5EAF9CB6">
      <w:pPr>
        <w:rPr>
          <w:rFonts w:ascii="Arial" w:hAnsi="Arial"/>
          <w:sz w:val="20"/>
          <w:szCs w:val="20"/>
        </w:rPr>
      </w:pPr>
    </w:p>
    <w:p w14:paraId="121BC9A3">
      <w:pPr>
        <w:numPr>
          <w:ilvl w:val="0"/>
          <w:numId w:val="1"/>
        </w:numPr>
        <w:rPr>
          <w:rFonts w:ascii="Arial" w:hAnsi="Arial"/>
          <w:b/>
          <w:bCs/>
          <w:sz w:val="22"/>
          <w:szCs w:val="22"/>
        </w:rPr>
      </w:pPr>
      <w:r>
        <w:rPr>
          <w:rFonts w:hint="eastAsia" w:ascii="Arial" w:hAnsi="Arial"/>
          <w:b/>
          <w:bCs/>
          <w:sz w:val="22"/>
          <w:szCs w:val="22"/>
        </w:rPr>
        <w:t>LOGISTICS INDICATORS FOR MAJOR AFRICAN COUNTRIES</w:t>
      </w:r>
    </w:p>
    <w:p w14:paraId="4F132BAF">
      <w:pPr>
        <w:rPr>
          <w:rFonts w:ascii="Arial" w:hAnsi="Arial"/>
          <w:sz w:val="20"/>
          <w:szCs w:val="20"/>
        </w:rPr>
      </w:pPr>
      <w:r>
        <w:rPr>
          <w:rFonts w:ascii="Arial" w:hAnsi="Arial"/>
          <w:sz w:val="20"/>
          <w:szCs w:val="20"/>
        </w:rPr>
        <w:t>Based on the China economic and social big data research platform provided by CNKI, the author takes 11 countries, including South Africa, Congo, Angola, Nigeria, Egypt, Guinea, Ghana, Algeria, Morocco, Tanzania, and Kenya, as the research area, and takes 2004-2023 as the research interval, and takes "Air transport, freight (million ton-km)" and "Liner shipping connectivity". index (maximum value in 2004 = 100)”、“Logistics performance index: Overall (1=low to 5=high)”、“Quality of port infrastructure, WEF (1 = extremely underdeveloped to 7 = well developed and efficient by international standards)”、“Railway, goods transported (million ton-km)”、“Road, paved (% of total roads)”、“Container port traffic (TEU: 20 foot equivalent units)”、“Rail lines (total route-km)" and "Road density (km of road per 100 sq. km of land area)" are used to measure the transportation capacity of the target area. The analysis process found "Quality of port infrastructure, WEF (1 = extremely underdeveloped to 7 = well developed and efficient by international standards)", "Road, paved (% of total roads)", "Road density (km of road per 100 sq. km of land area)" are missing. Data from 2020 onwards are also not available. Given the limited statistical capacity of African countries and the impact of the pandemic, the lack of data is too expensive to obtain, so the authors chose to use the remaining indicators to measure the transport capacity of the selected study area.</w:t>
      </w:r>
    </w:p>
    <w:p w14:paraId="2D7FBEA1">
      <w:pPr>
        <w:rPr>
          <w:rFonts w:ascii="Arial" w:hAnsi="Arial"/>
          <w:sz w:val="20"/>
          <w:szCs w:val="20"/>
        </w:rPr>
      </w:pPr>
    </w:p>
    <w:p w14:paraId="18C0E91A">
      <w:pPr>
        <w:rPr>
          <w:rFonts w:ascii="Arial" w:hAnsi="Arial"/>
          <w:b/>
          <w:bCs/>
          <w:sz w:val="22"/>
          <w:szCs w:val="22"/>
        </w:rPr>
      </w:pPr>
      <w:r>
        <w:rPr>
          <w:rFonts w:hint="eastAsia" w:ascii="Arial" w:hAnsi="Arial"/>
          <w:b/>
          <w:bCs/>
          <w:sz w:val="22"/>
          <w:szCs w:val="22"/>
        </w:rPr>
        <w:t>5.1 Air Cargo Transport Capacity</w:t>
      </w:r>
    </w:p>
    <w:p w14:paraId="3BBB5047">
      <w:pPr>
        <w:rPr>
          <w:rFonts w:ascii="Arial" w:hAnsi="Arial"/>
          <w:sz w:val="20"/>
          <w:szCs w:val="20"/>
        </w:rPr>
      </w:pPr>
      <w:r>
        <w:rPr>
          <w:rFonts w:ascii="Arial" w:hAnsi="Arial"/>
          <w:sz w:val="20"/>
          <w:szCs w:val="20"/>
        </w:rPr>
        <w:t>According to the results provided by the China Economic and Social Big Data Research Platform, in the statistical period, the most prominent air cargo transportation capacity of 11 countries is: South Africa, Egypt, Kenya, among which South Africa's air cargo transportation capacity is the most prominent. In order to facilitate the visual display of the data, after hiding the data of South Africa, Egypt and Kenya, the author found that the air cargo transportation capacity of the rest of the countries from large to small is: Morocco, Angola, AlGuinea, Nigeria, Ghana and Tanzania. Data are not available for Congo and Guinea (see Figure 1).</w:t>
      </w:r>
    </w:p>
    <w:p w14:paraId="1C0398B9">
      <w:pPr>
        <w:jc w:val="center"/>
        <w:rPr>
          <w:rFonts w:ascii="Arial" w:hAnsi="Arial"/>
          <w:sz w:val="20"/>
          <w:szCs w:val="20"/>
        </w:rPr>
      </w:pPr>
      <w:r>
        <w:rPr>
          <w:rFonts w:ascii="Arial" w:hAnsi="Arial"/>
          <w:sz w:val="20"/>
          <w:szCs w:val="20"/>
        </w:rPr>
        <w:drawing>
          <wp:inline distT="0" distB="0" distL="114300" distR="114300">
            <wp:extent cx="5269865" cy="3844925"/>
            <wp:effectExtent l="0" t="0" r="3175" b="10795"/>
            <wp:docPr id="13" name="图片 1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片1"/>
                    <pic:cNvPicPr>
                      <a:picLocks noChangeAspect="1"/>
                    </pic:cNvPicPr>
                  </pic:nvPicPr>
                  <pic:blipFill>
                    <a:blip r:embed="rId10"/>
                    <a:stretch>
                      <a:fillRect/>
                    </a:stretch>
                  </pic:blipFill>
                  <pic:spPr>
                    <a:xfrm>
                      <a:off x="0" y="0"/>
                      <a:ext cx="5269865" cy="3844925"/>
                    </a:xfrm>
                    <a:prstGeom prst="rect">
                      <a:avLst/>
                    </a:prstGeom>
                  </pic:spPr>
                </pic:pic>
              </a:graphicData>
            </a:graphic>
          </wp:inline>
        </w:drawing>
      </w:r>
    </w:p>
    <w:p w14:paraId="5106BE62">
      <w:pPr>
        <w:jc w:val="center"/>
        <w:rPr>
          <w:rFonts w:ascii="Arial" w:hAnsi="Arial"/>
          <w:b/>
          <w:bCs/>
          <w:sz w:val="20"/>
          <w:szCs w:val="20"/>
        </w:rPr>
      </w:pPr>
      <w:r>
        <w:rPr>
          <w:rFonts w:hint="eastAsia" w:ascii="Arial" w:hAnsi="Arial"/>
          <w:b/>
          <w:bCs/>
          <w:sz w:val="20"/>
          <w:szCs w:val="20"/>
        </w:rPr>
        <w:t>Figure 1</w:t>
      </w:r>
      <w:r>
        <w:rPr>
          <w:rFonts w:hint="eastAsia" w:ascii="Arial" w:hAnsi="Arial"/>
          <w:b/>
          <w:bCs/>
          <w:sz w:val="20"/>
          <w:szCs w:val="20"/>
        </w:rPr>
        <w:tab/>
      </w:r>
      <w:r>
        <w:rPr>
          <w:rFonts w:hint="eastAsia" w:ascii="Arial" w:hAnsi="Arial"/>
          <w:b/>
          <w:bCs/>
          <w:sz w:val="20"/>
          <w:szCs w:val="20"/>
        </w:rPr>
        <w:t>Air transport, freight (million ton-km)</w:t>
      </w:r>
    </w:p>
    <w:p w14:paraId="0AC292E4">
      <w:pPr>
        <w:jc w:val="center"/>
        <w:rPr>
          <w:rFonts w:ascii="Arial" w:hAnsi="Arial"/>
          <w:i/>
          <w:iCs/>
          <w:sz w:val="18"/>
          <w:szCs w:val="18"/>
        </w:rPr>
      </w:pPr>
      <w:r>
        <w:rPr>
          <w:rFonts w:ascii="Arial" w:hAnsi="Arial"/>
          <w:i/>
          <w:iCs/>
          <w:sz w:val="18"/>
          <w:szCs w:val="18"/>
        </w:rPr>
        <w:t>Data source: China Economic and social big data research platform</w:t>
      </w:r>
    </w:p>
    <w:p w14:paraId="6589EDC6">
      <w:pPr>
        <w:rPr>
          <w:rFonts w:ascii="Arial" w:hAnsi="Arial"/>
          <w:sz w:val="20"/>
          <w:szCs w:val="20"/>
        </w:rPr>
      </w:pPr>
    </w:p>
    <w:p w14:paraId="7773A090">
      <w:pPr>
        <w:rPr>
          <w:rFonts w:ascii="Arial" w:hAnsi="Arial"/>
          <w:b/>
          <w:bCs/>
          <w:sz w:val="22"/>
          <w:szCs w:val="22"/>
        </w:rPr>
      </w:pPr>
      <w:r>
        <w:rPr>
          <w:rFonts w:hint="eastAsia" w:ascii="Arial" w:hAnsi="Arial"/>
          <w:b/>
          <w:bCs/>
          <w:sz w:val="22"/>
          <w:szCs w:val="22"/>
        </w:rPr>
        <w:t>5.2 Liner Shipping Capacity</w:t>
      </w:r>
    </w:p>
    <w:p w14:paraId="29E3BA23">
      <w:pPr>
        <w:rPr>
          <w:rFonts w:ascii="Arial" w:hAnsi="Arial"/>
          <w:sz w:val="20"/>
          <w:szCs w:val="20"/>
        </w:rPr>
      </w:pPr>
      <w:r>
        <w:rPr>
          <w:rFonts w:ascii="Arial" w:hAnsi="Arial"/>
          <w:sz w:val="20"/>
          <w:szCs w:val="20"/>
        </w:rPr>
        <w:t>According to the results provided by the China Economic and Social Big Data Research Platform, in the statistical period, the coherence indicators of liner shipping in 11 countries are: Morocco, Egypt, South Africa, Ghana, Angola, Nigeria, Kenya, Tanzania, Algeria and Guinea. Of these, data for Congo are missing (see Figure 2).</w:t>
      </w:r>
    </w:p>
    <w:p w14:paraId="20689414">
      <w:pPr>
        <w:jc w:val="center"/>
        <w:rPr>
          <w:rFonts w:ascii="Arial" w:hAnsi="Arial"/>
          <w:sz w:val="20"/>
          <w:szCs w:val="20"/>
        </w:rPr>
      </w:pPr>
      <w:r>
        <w:rPr>
          <w:rFonts w:ascii="Arial" w:hAnsi="Arial"/>
          <w:sz w:val="20"/>
          <w:szCs w:val="20"/>
        </w:rPr>
        <w:drawing>
          <wp:inline distT="0" distB="0" distL="114300" distR="114300">
            <wp:extent cx="5267960" cy="1922780"/>
            <wp:effectExtent l="0" t="0" r="5080" b="12700"/>
            <wp:docPr id="14" name="图片 1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2"/>
                    <pic:cNvPicPr>
                      <a:picLocks noChangeAspect="1"/>
                    </pic:cNvPicPr>
                  </pic:nvPicPr>
                  <pic:blipFill>
                    <a:blip r:embed="rId11"/>
                    <a:stretch>
                      <a:fillRect/>
                    </a:stretch>
                  </pic:blipFill>
                  <pic:spPr>
                    <a:xfrm>
                      <a:off x="0" y="0"/>
                      <a:ext cx="5267960" cy="1922780"/>
                    </a:xfrm>
                    <a:prstGeom prst="rect">
                      <a:avLst/>
                    </a:prstGeom>
                  </pic:spPr>
                </pic:pic>
              </a:graphicData>
            </a:graphic>
          </wp:inline>
        </w:drawing>
      </w:r>
    </w:p>
    <w:p w14:paraId="6705820E">
      <w:pPr>
        <w:jc w:val="center"/>
        <w:rPr>
          <w:rFonts w:ascii="Arial" w:hAnsi="Arial"/>
          <w:b/>
          <w:bCs/>
          <w:sz w:val="20"/>
          <w:szCs w:val="20"/>
        </w:rPr>
      </w:pPr>
      <w:r>
        <w:rPr>
          <w:rFonts w:hint="eastAsia" w:ascii="Arial" w:hAnsi="Arial"/>
          <w:b/>
          <w:bCs/>
          <w:sz w:val="20"/>
          <w:szCs w:val="20"/>
        </w:rPr>
        <w:t>Figure 2</w:t>
      </w:r>
      <w:r>
        <w:rPr>
          <w:rFonts w:hint="eastAsia" w:ascii="Arial" w:hAnsi="Arial"/>
          <w:b/>
          <w:bCs/>
          <w:sz w:val="20"/>
          <w:szCs w:val="20"/>
        </w:rPr>
        <w:tab/>
      </w:r>
      <w:r>
        <w:rPr>
          <w:rFonts w:hint="eastAsia" w:ascii="Arial" w:hAnsi="Arial"/>
          <w:b/>
          <w:bCs/>
          <w:sz w:val="20"/>
          <w:szCs w:val="20"/>
        </w:rPr>
        <w:t>Liner shipping connectivity index (maximum value in 2004 = 100)</w:t>
      </w:r>
    </w:p>
    <w:p w14:paraId="595B352A">
      <w:pPr>
        <w:jc w:val="center"/>
        <w:rPr>
          <w:rFonts w:ascii="Arial" w:hAnsi="Arial"/>
          <w:b/>
          <w:bCs/>
          <w:sz w:val="20"/>
          <w:szCs w:val="20"/>
        </w:rPr>
      </w:pPr>
      <w:r>
        <w:rPr>
          <w:rFonts w:ascii="Arial" w:hAnsi="Arial"/>
          <w:i/>
          <w:iCs/>
          <w:sz w:val="18"/>
          <w:szCs w:val="18"/>
        </w:rPr>
        <w:t>Data source: China Economic and social big data research platform</w:t>
      </w:r>
    </w:p>
    <w:p w14:paraId="1B13838C">
      <w:pPr>
        <w:rPr>
          <w:rFonts w:ascii="Arial" w:hAnsi="Arial"/>
          <w:sz w:val="20"/>
          <w:szCs w:val="20"/>
        </w:rPr>
      </w:pPr>
    </w:p>
    <w:p w14:paraId="56AA4BEE">
      <w:pPr>
        <w:rPr>
          <w:rFonts w:ascii="Arial" w:hAnsi="Arial"/>
          <w:b/>
          <w:bCs/>
          <w:sz w:val="22"/>
          <w:szCs w:val="22"/>
        </w:rPr>
      </w:pPr>
      <w:r>
        <w:rPr>
          <w:rFonts w:hint="eastAsia" w:ascii="Arial" w:hAnsi="Arial"/>
          <w:b/>
          <w:bCs/>
          <w:sz w:val="22"/>
          <w:szCs w:val="22"/>
        </w:rPr>
        <w:t>5.3 Rail Cargo Transport Capacity</w:t>
      </w:r>
    </w:p>
    <w:p w14:paraId="5E2FBA88">
      <w:pPr>
        <w:rPr>
          <w:rFonts w:ascii="Arial" w:hAnsi="Arial"/>
          <w:sz w:val="20"/>
          <w:szCs w:val="20"/>
        </w:rPr>
      </w:pPr>
      <w:r>
        <w:rPr>
          <w:rFonts w:hint="eastAsia" w:ascii="Arial" w:hAnsi="Arial"/>
          <w:sz w:val="20"/>
          <w:szCs w:val="20"/>
        </w:rPr>
        <w:t>According to the results provided by the China Economic and Social Big Data Research Platform, among the 11 countries, South Africa has the most leading railway freight transportation capacity and the most prominent advantages in the statistical period. In order to facilitate the visual display of the data, the author hides the data of South Africa and ranks the rest of the countries according to the railway freight transportation capacity from large to small: Morocco, Egypt, Algeria, Kenya, Tanzania, Ghana, and Nigeria. Among them, the relevant data of Congo, Angola and Guinea are missing (see Figure 3).</w:t>
      </w:r>
    </w:p>
    <w:p w14:paraId="6813E1C6">
      <w:pPr>
        <w:jc w:val="center"/>
        <w:rPr>
          <w:rFonts w:ascii="Arial" w:hAnsi="Arial"/>
          <w:sz w:val="20"/>
          <w:szCs w:val="20"/>
        </w:rPr>
      </w:pPr>
      <w:r>
        <w:rPr>
          <w:rFonts w:hint="eastAsia" w:ascii="Arial" w:hAnsi="Arial"/>
          <w:sz w:val="20"/>
          <w:szCs w:val="20"/>
        </w:rPr>
        <w:drawing>
          <wp:inline distT="0" distB="0" distL="114300" distR="114300">
            <wp:extent cx="5269865" cy="3844925"/>
            <wp:effectExtent l="0" t="0" r="3175" b="10795"/>
            <wp:docPr id="15" name="图片 15"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图片2"/>
                    <pic:cNvPicPr>
                      <a:picLocks noChangeAspect="1"/>
                    </pic:cNvPicPr>
                  </pic:nvPicPr>
                  <pic:blipFill>
                    <a:blip r:embed="rId12"/>
                    <a:stretch>
                      <a:fillRect/>
                    </a:stretch>
                  </pic:blipFill>
                  <pic:spPr>
                    <a:xfrm>
                      <a:off x="0" y="0"/>
                      <a:ext cx="5269865" cy="3844925"/>
                    </a:xfrm>
                    <a:prstGeom prst="rect">
                      <a:avLst/>
                    </a:prstGeom>
                  </pic:spPr>
                </pic:pic>
              </a:graphicData>
            </a:graphic>
          </wp:inline>
        </w:drawing>
      </w:r>
    </w:p>
    <w:p w14:paraId="5DC9581F">
      <w:pPr>
        <w:jc w:val="center"/>
        <w:rPr>
          <w:rFonts w:ascii="Times New Roman" w:hAnsi="Times New Roman"/>
          <w:b/>
          <w:bCs/>
          <w:sz w:val="24"/>
          <w:szCs w:val="32"/>
        </w:rPr>
      </w:pPr>
      <w:r>
        <w:rPr>
          <w:rFonts w:hint="eastAsia" w:ascii="Arial" w:hAnsi="Arial"/>
          <w:b/>
          <w:bCs/>
          <w:sz w:val="20"/>
          <w:szCs w:val="20"/>
        </w:rPr>
        <w:t>Figure 3</w:t>
      </w:r>
      <w:r>
        <w:rPr>
          <w:rFonts w:hint="eastAsia" w:ascii="Arial" w:hAnsi="Arial"/>
          <w:b/>
          <w:bCs/>
          <w:sz w:val="20"/>
          <w:szCs w:val="20"/>
        </w:rPr>
        <w:tab/>
      </w:r>
      <w:r>
        <w:rPr>
          <w:rFonts w:hint="eastAsia" w:ascii="Times New Roman" w:hAnsi="Times New Roman"/>
          <w:b/>
          <w:bCs/>
          <w:sz w:val="24"/>
          <w:szCs w:val="32"/>
        </w:rPr>
        <w:t>Railway, goods transported (million ton-km)</w:t>
      </w:r>
    </w:p>
    <w:p w14:paraId="10468C62">
      <w:pPr>
        <w:jc w:val="center"/>
        <w:rPr>
          <w:rFonts w:ascii="Times New Roman" w:hAnsi="Times New Roman"/>
          <w:b/>
          <w:bCs/>
          <w:sz w:val="24"/>
          <w:szCs w:val="32"/>
        </w:rPr>
      </w:pPr>
      <w:r>
        <w:rPr>
          <w:rFonts w:ascii="Arial" w:hAnsi="Arial"/>
          <w:i/>
          <w:iCs/>
          <w:sz w:val="18"/>
          <w:szCs w:val="18"/>
        </w:rPr>
        <w:t>Data source: China Economic and social big data research platform</w:t>
      </w:r>
    </w:p>
    <w:p w14:paraId="7D844D63">
      <w:pPr>
        <w:rPr>
          <w:rFonts w:ascii="Arial" w:hAnsi="Arial"/>
          <w:sz w:val="20"/>
          <w:szCs w:val="20"/>
        </w:rPr>
      </w:pPr>
    </w:p>
    <w:p w14:paraId="5799BB3C">
      <w:pPr>
        <w:rPr>
          <w:rFonts w:ascii="Arial" w:hAnsi="Arial"/>
          <w:b/>
          <w:bCs/>
          <w:sz w:val="22"/>
          <w:szCs w:val="22"/>
        </w:rPr>
      </w:pPr>
      <w:r>
        <w:rPr>
          <w:rFonts w:hint="eastAsia" w:ascii="Arial" w:hAnsi="Arial"/>
          <w:b/>
          <w:bCs/>
          <w:sz w:val="22"/>
          <w:szCs w:val="22"/>
        </w:rPr>
        <w:t>5.4 Railroad Foundations</w:t>
      </w:r>
    </w:p>
    <w:p w14:paraId="3FB0D8C5">
      <w:pPr>
        <w:rPr>
          <w:rFonts w:ascii="Arial" w:hAnsi="Arial"/>
          <w:sz w:val="20"/>
          <w:szCs w:val="20"/>
        </w:rPr>
      </w:pPr>
      <w:r>
        <w:rPr>
          <w:rFonts w:ascii="Arial" w:hAnsi="Arial"/>
          <w:sz w:val="20"/>
          <w:szCs w:val="20"/>
        </w:rPr>
        <w:t>According to the results provided by the China Economic and Social Big Data Research Platform, South Africa has the most outstanding total railway length among the 11 countries in the statistical period, which is consistent with the analysis of railway freight transportation capacity above. In order to facilitate the visual display of the data, after hiding the data of South Africa, the total railway length of the rest of the countries is in descending order: Egypt, Algeria, Nigeria, Tanzania, Morocco, Kenya, and Ghana. Among them, the relevant data of Congo, Angola and Guinea are missing (see Figure 4).</w:t>
      </w:r>
    </w:p>
    <w:p w14:paraId="7E78CD96">
      <w:pPr>
        <w:jc w:val="center"/>
        <w:rPr>
          <w:rFonts w:ascii="Arial" w:hAnsi="Arial"/>
          <w:sz w:val="20"/>
          <w:szCs w:val="20"/>
        </w:rPr>
      </w:pPr>
      <w:r>
        <w:rPr>
          <w:rFonts w:ascii="Arial" w:hAnsi="Arial"/>
          <w:sz w:val="20"/>
          <w:szCs w:val="20"/>
        </w:rPr>
        <w:drawing>
          <wp:inline distT="0" distB="0" distL="114300" distR="114300">
            <wp:extent cx="5269865" cy="3844925"/>
            <wp:effectExtent l="0" t="0" r="3175" b="10795"/>
            <wp:docPr id="16" name="图片 16"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图片3"/>
                    <pic:cNvPicPr>
                      <a:picLocks noChangeAspect="1"/>
                    </pic:cNvPicPr>
                  </pic:nvPicPr>
                  <pic:blipFill>
                    <a:blip r:embed="rId13"/>
                    <a:stretch>
                      <a:fillRect/>
                    </a:stretch>
                  </pic:blipFill>
                  <pic:spPr>
                    <a:xfrm>
                      <a:off x="0" y="0"/>
                      <a:ext cx="5269865" cy="3844925"/>
                    </a:xfrm>
                    <a:prstGeom prst="rect">
                      <a:avLst/>
                    </a:prstGeom>
                  </pic:spPr>
                </pic:pic>
              </a:graphicData>
            </a:graphic>
          </wp:inline>
        </w:drawing>
      </w:r>
    </w:p>
    <w:p w14:paraId="7B73F364">
      <w:pPr>
        <w:jc w:val="center"/>
        <w:rPr>
          <w:rFonts w:ascii="Arial" w:hAnsi="Arial"/>
          <w:b/>
          <w:bCs/>
          <w:sz w:val="20"/>
          <w:szCs w:val="20"/>
        </w:rPr>
      </w:pPr>
      <w:r>
        <w:rPr>
          <w:rFonts w:hint="eastAsia" w:ascii="Arial" w:hAnsi="Arial"/>
          <w:b/>
          <w:bCs/>
          <w:sz w:val="20"/>
          <w:szCs w:val="20"/>
        </w:rPr>
        <w:t>Figure 4</w:t>
      </w:r>
      <w:r>
        <w:rPr>
          <w:rFonts w:hint="eastAsia" w:ascii="Arial" w:hAnsi="Arial"/>
          <w:b/>
          <w:bCs/>
          <w:sz w:val="20"/>
          <w:szCs w:val="20"/>
        </w:rPr>
        <w:tab/>
      </w:r>
      <w:r>
        <w:rPr>
          <w:rFonts w:hint="eastAsia" w:ascii="Arial" w:hAnsi="Arial"/>
          <w:b/>
          <w:bCs/>
          <w:sz w:val="20"/>
          <w:szCs w:val="20"/>
        </w:rPr>
        <w:t>Rail lines (total route-km)</w:t>
      </w:r>
    </w:p>
    <w:p w14:paraId="2A4D45EE">
      <w:pPr>
        <w:jc w:val="center"/>
        <w:rPr>
          <w:rFonts w:ascii="Arial" w:hAnsi="Arial"/>
          <w:b/>
          <w:bCs/>
          <w:sz w:val="20"/>
          <w:szCs w:val="20"/>
        </w:rPr>
      </w:pPr>
      <w:r>
        <w:rPr>
          <w:rFonts w:ascii="Arial" w:hAnsi="Arial"/>
          <w:i/>
          <w:iCs/>
          <w:sz w:val="18"/>
          <w:szCs w:val="18"/>
        </w:rPr>
        <w:t>Data source: China Economic and social big data research platform</w:t>
      </w:r>
    </w:p>
    <w:p w14:paraId="71808603">
      <w:pPr>
        <w:rPr>
          <w:rFonts w:ascii="Arial" w:hAnsi="Arial"/>
          <w:sz w:val="20"/>
          <w:szCs w:val="20"/>
        </w:rPr>
      </w:pPr>
    </w:p>
    <w:p w14:paraId="6AA21706">
      <w:pPr>
        <w:rPr>
          <w:rFonts w:ascii="Arial" w:hAnsi="Arial"/>
          <w:b/>
          <w:bCs/>
          <w:sz w:val="22"/>
          <w:szCs w:val="22"/>
        </w:rPr>
      </w:pPr>
      <w:r>
        <w:rPr>
          <w:rFonts w:hint="eastAsia" w:ascii="Arial" w:hAnsi="Arial"/>
          <w:b/>
          <w:bCs/>
          <w:sz w:val="22"/>
          <w:szCs w:val="22"/>
        </w:rPr>
        <w:t>5.5 Container Port Capacity</w:t>
      </w:r>
    </w:p>
    <w:p w14:paraId="675A3DC9">
      <w:pPr>
        <w:rPr>
          <w:rFonts w:ascii="Arial" w:hAnsi="Arial"/>
          <w:sz w:val="20"/>
          <w:szCs w:val="20"/>
        </w:rPr>
      </w:pPr>
      <w:r>
        <w:rPr>
          <w:rFonts w:ascii="Arial" w:hAnsi="Arial"/>
          <w:sz w:val="20"/>
          <w:szCs w:val="20"/>
        </w:rPr>
        <w:t>According to the results provided by the China Economic and Social Big Data Research Platform, the container port transportation capacity of Egypt, South Africa and Morocco is the most prominent in the statistical period, among which the container port transportation capacity of Morocco is on the rise, and the container port transportation capacity of Egypt and South Africa is on the downward trend. In order to facilitate the data display, after hiding the data of Egypt, South Africa, and Morocco, the container port transportation capacity of the rest of the countries is as follows: Nigeria, Algeria, Kenya, Ghana, Angola, Tanzania, and Guinea. Among them, the relevant data of Congo is missing.</w:t>
      </w:r>
    </w:p>
    <w:p w14:paraId="0C01247C">
      <w:pPr>
        <w:rPr>
          <w:rFonts w:ascii="Arial" w:hAnsi="Arial"/>
          <w:sz w:val="20"/>
          <w:szCs w:val="20"/>
        </w:rPr>
      </w:pPr>
      <w:r>
        <w:rPr>
          <w:rFonts w:ascii="Arial" w:hAnsi="Arial"/>
          <w:sz w:val="20"/>
          <w:szCs w:val="20"/>
        </w:rPr>
        <w:t>Further analysis shows that the container port capacity of Algeria and Nigeria increased rapidly between 2009 and 2011, but the container port capacity of Algeria has been decreasing since 2015. Container port capacity in Kenya and Ghana has been steadily increasing overall (see Figure 5).</w:t>
      </w:r>
    </w:p>
    <w:p w14:paraId="22E16212">
      <w:pPr>
        <w:jc w:val="center"/>
        <w:rPr>
          <w:rFonts w:ascii="Arial" w:hAnsi="Arial"/>
          <w:sz w:val="20"/>
          <w:szCs w:val="20"/>
        </w:rPr>
      </w:pPr>
      <w:r>
        <w:rPr>
          <w:rFonts w:ascii="Arial" w:hAnsi="Arial"/>
          <w:sz w:val="20"/>
          <w:szCs w:val="20"/>
        </w:rPr>
        <w:drawing>
          <wp:inline distT="0" distB="0" distL="114300" distR="114300">
            <wp:extent cx="5269865" cy="3902710"/>
            <wp:effectExtent l="0" t="0" r="3175" b="13970"/>
            <wp:docPr id="17" name="图片 17"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图片4"/>
                    <pic:cNvPicPr>
                      <a:picLocks noChangeAspect="1"/>
                    </pic:cNvPicPr>
                  </pic:nvPicPr>
                  <pic:blipFill>
                    <a:blip r:embed="rId14"/>
                    <a:stretch>
                      <a:fillRect/>
                    </a:stretch>
                  </pic:blipFill>
                  <pic:spPr>
                    <a:xfrm>
                      <a:off x="0" y="0"/>
                      <a:ext cx="5269865" cy="3902710"/>
                    </a:xfrm>
                    <a:prstGeom prst="rect">
                      <a:avLst/>
                    </a:prstGeom>
                  </pic:spPr>
                </pic:pic>
              </a:graphicData>
            </a:graphic>
          </wp:inline>
        </w:drawing>
      </w:r>
    </w:p>
    <w:p w14:paraId="3B7C08C8">
      <w:pPr>
        <w:jc w:val="center"/>
        <w:rPr>
          <w:rFonts w:ascii="Arial" w:hAnsi="Arial"/>
          <w:b/>
          <w:bCs/>
          <w:sz w:val="20"/>
          <w:szCs w:val="20"/>
        </w:rPr>
      </w:pPr>
      <w:r>
        <w:rPr>
          <w:rFonts w:hint="eastAsia" w:ascii="Arial" w:hAnsi="Arial"/>
          <w:b/>
          <w:bCs/>
          <w:sz w:val="20"/>
          <w:szCs w:val="20"/>
        </w:rPr>
        <w:t>Figure 5</w:t>
      </w:r>
      <w:r>
        <w:rPr>
          <w:rFonts w:hint="eastAsia" w:ascii="Arial" w:hAnsi="Arial"/>
          <w:b/>
          <w:bCs/>
          <w:sz w:val="20"/>
          <w:szCs w:val="20"/>
        </w:rPr>
        <w:tab/>
      </w:r>
      <w:r>
        <w:rPr>
          <w:rFonts w:hint="eastAsia" w:ascii="Arial" w:hAnsi="Arial"/>
          <w:b/>
          <w:bCs/>
          <w:sz w:val="20"/>
          <w:szCs w:val="20"/>
        </w:rPr>
        <w:t>Container port traffic (TEU: 20 foot equivalent units)</w:t>
      </w:r>
    </w:p>
    <w:p w14:paraId="2069BBFF">
      <w:pPr>
        <w:jc w:val="center"/>
        <w:rPr>
          <w:rFonts w:ascii="Arial" w:hAnsi="Arial"/>
          <w:b/>
          <w:bCs/>
          <w:sz w:val="20"/>
          <w:szCs w:val="20"/>
        </w:rPr>
      </w:pPr>
      <w:r>
        <w:rPr>
          <w:rFonts w:ascii="Arial" w:hAnsi="Arial"/>
          <w:i/>
          <w:iCs/>
          <w:sz w:val="18"/>
          <w:szCs w:val="18"/>
        </w:rPr>
        <w:t>Data source: China Economic and social big data research platform</w:t>
      </w:r>
    </w:p>
    <w:p w14:paraId="135DE93A">
      <w:pPr>
        <w:rPr>
          <w:rFonts w:ascii="Arial" w:hAnsi="Arial"/>
          <w:sz w:val="20"/>
          <w:szCs w:val="20"/>
        </w:rPr>
      </w:pPr>
    </w:p>
    <w:p w14:paraId="14C90368">
      <w:pPr>
        <w:rPr>
          <w:rFonts w:ascii="Arial" w:hAnsi="Arial"/>
          <w:b/>
          <w:bCs/>
          <w:sz w:val="22"/>
          <w:szCs w:val="22"/>
        </w:rPr>
      </w:pPr>
      <w:r>
        <w:rPr>
          <w:rFonts w:hint="eastAsia" w:ascii="Arial" w:hAnsi="Arial"/>
          <w:b/>
          <w:bCs/>
          <w:sz w:val="22"/>
          <w:szCs w:val="22"/>
        </w:rPr>
        <w:t>5.6 Overall Logistics Performance Indicators</w:t>
      </w:r>
    </w:p>
    <w:p w14:paraId="7E945C22">
      <w:pPr>
        <w:rPr>
          <w:rFonts w:ascii="Arial" w:hAnsi="Arial"/>
          <w:sz w:val="20"/>
          <w:szCs w:val="20"/>
        </w:rPr>
      </w:pPr>
      <w:r>
        <w:rPr>
          <w:rFonts w:ascii="Arial" w:hAnsi="Arial"/>
          <w:sz w:val="20"/>
          <w:szCs w:val="20"/>
        </w:rPr>
        <w:t>According to the results provided by the China Economic and Social Big Data Research Platform, the overall logistics performance of South Africa is the most outstanding in the statistical period, which corresponds to the above analysis results. The overall logistics performance of Kenya and Egypt is second only to South Africa and slightly larger than the third tier. The remaining countries are generally in the second to third tier (see figure 6).</w:t>
      </w:r>
    </w:p>
    <w:p w14:paraId="1C9F7CC4">
      <w:pPr>
        <w:jc w:val="center"/>
        <w:rPr>
          <w:rFonts w:ascii="Arial" w:hAnsi="Arial"/>
          <w:sz w:val="20"/>
          <w:szCs w:val="20"/>
        </w:rPr>
      </w:pPr>
      <w:r>
        <w:rPr>
          <w:rFonts w:ascii="Arial" w:hAnsi="Arial"/>
          <w:sz w:val="20"/>
          <w:szCs w:val="20"/>
        </w:rPr>
        <w:drawing>
          <wp:inline distT="0" distB="0" distL="114300" distR="114300">
            <wp:extent cx="5269865" cy="3844925"/>
            <wp:effectExtent l="0" t="0" r="3175" b="10795"/>
            <wp:docPr id="18" name="图片 18"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图片5"/>
                    <pic:cNvPicPr>
                      <a:picLocks noChangeAspect="1"/>
                    </pic:cNvPicPr>
                  </pic:nvPicPr>
                  <pic:blipFill>
                    <a:blip r:embed="rId15"/>
                    <a:stretch>
                      <a:fillRect/>
                    </a:stretch>
                  </pic:blipFill>
                  <pic:spPr>
                    <a:xfrm>
                      <a:off x="0" y="0"/>
                      <a:ext cx="5269865" cy="3844925"/>
                    </a:xfrm>
                    <a:prstGeom prst="rect">
                      <a:avLst/>
                    </a:prstGeom>
                  </pic:spPr>
                </pic:pic>
              </a:graphicData>
            </a:graphic>
          </wp:inline>
        </w:drawing>
      </w:r>
    </w:p>
    <w:p w14:paraId="2D821AC9">
      <w:pPr>
        <w:jc w:val="center"/>
        <w:rPr>
          <w:rFonts w:ascii="Arial" w:hAnsi="Arial"/>
          <w:b/>
          <w:bCs/>
          <w:sz w:val="20"/>
          <w:szCs w:val="20"/>
        </w:rPr>
      </w:pPr>
      <w:r>
        <w:rPr>
          <w:rFonts w:hint="eastAsia" w:ascii="Arial" w:hAnsi="Arial"/>
          <w:b/>
          <w:bCs/>
          <w:sz w:val="20"/>
          <w:szCs w:val="20"/>
        </w:rPr>
        <w:t>Figure 6</w:t>
      </w:r>
      <w:r>
        <w:rPr>
          <w:rFonts w:hint="eastAsia" w:ascii="Arial" w:hAnsi="Arial"/>
          <w:b/>
          <w:bCs/>
          <w:sz w:val="20"/>
          <w:szCs w:val="20"/>
        </w:rPr>
        <w:tab/>
      </w:r>
      <w:r>
        <w:rPr>
          <w:rFonts w:hint="eastAsia" w:ascii="Arial" w:hAnsi="Arial"/>
          <w:b/>
          <w:bCs/>
          <w:sz w:val="20"/>
          <w:szCs w:val="20"/>
        </w:rPr>
        <w:t>Logistics performance index: Overall (1=low to 5=high)</w:t>
      </w:r>
    </w:p>
    <w:p w14:paraId="734A519B">
      <w:pPr>
        <w:jc w:val="center"/>
        <w:rPr>
          <w:rFonts w:ascii="Arial" w:hAnsi="Arial"/>
          <w:b/>
          <w:bCs/>
          <w:sz w:val="20"/>
          <w:szCs w:val="20"/>
        </w:rPr>
      </w:pPr>
      <w:r>
        <w:rPr>
          <w:rFonts w:ascii="Arial" w:hAnsi="Arial"/>
          <w:i/>
          <w:iCs/>
          <w:sz w:val="18"/>
          <w:szCs w:val="18"/>
        </w:rPr>
        <w:t>Data source: China Economic and social big data research platform</w:t>
      </w:r>
    </w:p>
    <w:p w14:paraId="0529972E">
      <w:pPr>
        <w:rPr>
          <w:rFonts w:ascii="Arial" w:hAnsi="Arial"/>
          <w:sz w:val="20"/>
          <w:szCs w:val="20"/>
        </w:rPr>
      </w:pPr>
    </w:p>
    <w:p w14:paraId="27997A88">
      <w:pPr>
        <w:numPr>
          <w:ilvl w:val="0"/>
          <w:numId w:val="1"/>
        </w:numPr>
        <w:rPr>
          <w:rFonts w:ascii="Arial" w:hAnsi="Arial"/>
          <w:b/>
          <w:bCs/>
          <w:sz w:val="22"/>
          <w:szCs w:val="22"/>
        </w:rPr>
      </w:pPr>
      <w:r>
        <w:rPr>
          <w:rFonts w:hint="eastAsia" w:ascii="Arial" w:hAnsi="Arial"/>
          <w:b/>
          <w:bCs/>
          <w:sz w:val="22"/>
          <w:szCs w:val="22"/>
        </w:rPr>
        <w:t>CONCLUSION</w:t>
      </w:r>
    </w:p>
    <w:p w14:paraId="45FE7D6F">
      <w:pPr>
        <w:rPr>
          <w:rFonts w:ascii="Arial" w:hAnsi="Arial"/>
          <w:sz w:val="20"/>
          <w:szCs w:val="20"/>
        </w:rPr>
      </w:pPr>
      <w:r>
        <w:rPr>
          <w:rFonts w:ascii="Arial" w:hAnsi="Arial"/>
          <w:sz w:val="20"/>
          <w:szCs w:val="20"/>
        </w:rPr>
        <w:t>In summary, although Africa's logistics and transportation capacity has improved in recent years, it is still generally at a low level. Among them, South Africa has the most outstanding capabilities in air and rail transportation, followed by liner transportation and container port transportation; Morocco has the most outstanding capabilities in liner shipping, followed by rail and container port transportation; Egypt has the most outstanding capabilities in container port transportation, followed by liner transportation and rail transportation. Although the lack of data from Congo and some countries may cause some errors, it can be judged that South Africa, Egypt and Morocco are the countries with the strongest logistics capacity among African countries. Therefore, when studying China-Africa economic and trade exchanges, based on the consideration of sample representativeness and data acquisition cost, ten countries, namely Ghana, South Africa, Egypt, Angola, Nigeria, Algeria, the Democratic Republic of the Congo, Kenya, Tanzania, and Morocco, are the most suitable as sample countries, and Congo and Guinea are carefully selected as sample countries. Among them, South Africa has the most outstanding capabilities in air transport and rail transport; Egypt has the most outstanding capabilities in container port transportation; Morocco is the most capable in liner shipping.</w:t>
      </w:r>
    </w:p>
    <w:p w14:paraId="4F1EF6D9">
      <w:pPr>
        <w:rPr>
          <w:rFonts w:ascii="Arial" w:hAnsi="Arial"/>
          <w:sz w:val="20"/>
          <w:szCs w:val="20"/>
        </w:rPr>
      </w:pPr>
    </w:p>
    <w:p w14:paraId="4794C634">
      <w:pPr>
        <w:rPr>
          <w:rFonts w:ascii="Arial" w:hAnsi="Arial"/>
          <w:sz w:val="20"/>
          <w:szCs w:val="20"/>
        </w:rPr>
      </w:pPr>
    </w:p>
    <w:p w14:paraId="31848505">
      <w:pPr>
        <w:rPr>
          <w:rFonts w:ascii="Arial" w:hAnsi="Arial"/>
          <w:b/>
          <w:bCs/>
          <w:sz w:val="20"/>
          <w:szCs w:val="20"/>
        </w:rPr>
      </w:pPr>
      <w:r>
        <w:rPr>
          <w:rFonts w:ascii="Arial" w:hAnsi="Arial"/>
          <w:b/>
          <w:bCs/>
          <w:sz w:val="20"/>
          <w:szCs w:val="20"/>
        </w:rPr>
        <w:t>DISCLAIMER (ARTIFICIAL INTELLIGENCE</w:t>
      </w:r>
      <w:r>
        <w:rPr>
          <w:rFonts w:hint="eastAsia" w:ascii="Arial" w:hAnsi="Arial"/>
          <w:b/>
          <w:bCs/>
          <w:sz w:val="20"/>
          <w:szCs w:val="20"/>
        </w:rPr>
        <w:t>)</w:t>
      </w:r>
    </w:p>
    <w:p w14:paraId="43EFD946">
      <w:pPr>
        <w:rPr>
          <w:rFonts w:ascii="Arial" w:hAnsi="Arial"/>
          <w:sz w:val="20"/>
          <w:szCs w:val="20"/>
        </w:rPr>
      </w:pPr>
      <w:r>
        <w:rPr>
          <w:rFonts w:ascii="Arial" w:hAnsi="Arial"/>
          <w:sz w:val="20"/>
          <w:szCs w:val="20"/>
        </w:rPr>
        <w:t>Author(s) hereby declare that NO generative AI technologies such as Large Language Models (ChatGPT, COPILOT, etc.) and text-to-image generators have been used during the writing or editing of this manuscript.</w:t>
      </w:r>
    </w:p>
    <w:p w14:paraId="636F1EB4">
      <w:pPr>
        <w:rPr>
          <w:rFonts w:ascii="Arial" w:hAnsi="Arial"/>
          <w:sz w:val="20"/>
          <w:szCs w:val="20"/>
        </w:rPr>
      </w:pPr>
    </w:p>
    <w:p w14:paraId="38F9DC26">
      <w:pPr>
        <w:rPr>
          <w:rFonts w:ascii="Arial" w:hAnsi="Arial"/>
          <w:b/>
          <w:bCs/>
          <w:sz w:val="22"/>
          <w:szCs w:val="22"/>
        </w:rPr>
      </w:pPr>
      <w:r>
        <w:rPr>
          <w:rFonts w:hint="eastAsia" w:ascii="Arial" w:hAnsi="Arial"/>
          <w:b/>
          <w:bCs/>
          <w:sz w:val="22"/>
          <w:szCs w:val="22"/>
        </w:rPr>
        <w:t>REFERENCES</w:t>
      </w:r>
    </w:p>
    <w:p w14:paraId="647F61D6">
      <w:pPr>
        <w:rPr>
          <w:rFonts w:ascii="Arial" w:hAnsi="Arial"/>
          <w:b/>
          <w:bCs/>
          <w:sz w:val="22"/>
          <w:szCs w:val="22"/>
        </w:rPr>
      </w:pPr>
    </w:p>
    <w:p w14:paraId="05D94C40">
      <w:pPr>
        <w:ind w:left="1000" w:hanging="1000" w:hangingChars="500"/>
        <w:rPr>
          <w:rFonts w:ascii="Arial" w:hAnsi="Arial"/>
          <w:sz w:val="20"/>
          <w:szCs w:val="20"/>
        </w:rPr>
      </w:pPr>
      <w:r>
        <w:rPr>
          <w:rFonts w:ascii="Arial" w:hAnsi="Arial"/>
          <w:sz w:val="20"/>
          <w:szCs w:val="20"/>
        </w:rPr>
        <w:t>Xi</w:t>
      </w:r>
      <w:r>
        <w:rPr>
          <w:rFonts w:hint="eastAsia" w:ascii="Arial" w:hAnsi="Arial"/>
          <w:sz w:val="20"/>
          <w:szCs w:val="20"/>
        </w:rPr>
        <w:t>, J.P</w:t>
      </w:r>
      <w:r>
        <w:rPr>
          <w:rFonts w:ascii="Arial" w:hAnsi="Arial"/>
          <w:sz w:val="20"/>
          <w:szCs w:val="20"/>
        </w:rPr>
        <w:t>. (2024). Working Together to Advance Modernization and Build a Shared Future for Mankind – Keynote Speech at the Opening Ceremony of the Beijing Summit of the Forum on China-Africa Cooperation. China Industry &amp; Economy, (17), 16-20.</w:t>
      </w:r>
      <w:r>
        <w:rPr>
          <w:rFonts w:hint="eastAsia" w:ascii="Arial" w:hAnsi="Arial"/>
          <w:sz w:val="20"/>
          <w:szCs w:val="20"/>
          <w:lang w:val="en-US" w:eastAsia="zh-CN"/>
        </w:rPr>
        <w:t xml:space="preserve"> (In Chinese) </w:t>
      </w:r>
      <w:r>
        <w:rPr>
          <w:rFonts w:hint="eastAsia" w:ascii="Arial" w:hAnsi="Arial"/>
          <w:sz w:val="20"/>
          <w:szCs w:val="20"/>
          <w:highlight w:val="yellow"/>
        </w:rPr>
        <w:t>http://webvpn.jou.edu.cn:58888/https/77726476706e69737468656265737421fbf952d2243e635930068cb8/kcms2/article/abstract?v=jNHD1hIvxn2mA2s8IDhRhGU6mdUaSz7mpwqjKvwUwZhyRp_ojLoEhXI5Dk1OD_S5BIfzVZ-RYE4nF0gRMFj-zos2XZPYwYknMZ2DtBIlqshh5fN6unYndgh9FefR1XRjUuWug3YxRsT4jWdXsILng_mg49vtXp0-lTIITShNaczzH1bOXnjHQ9DP39EqvRvj&amp;uniplatform=NZKPT&amp;language=CHS</w:t>
      </w:r>
    </w:p>
    <w:p w14:paraId="7C4EF03D">
      <w:pPr>
        <w:ind w:left="1000" w:hanging="1000" w:hangingChars="500"/>
        <w:rPr>
          <w:rFonts w:hint="eastAsia" w:ascii="Arial" w:hAnsi="Arial" w:eastAsiaTheme="minorEastAsia"/>
          <w:sz w:val="20"/>
          <w:szCs w:val="20"/>
          <w:lang w:val="en-US" w:eastAsia="zh-CN"/>
        </w:rPr>
      </w:pPr>
      <w:r>
        <w:rPr>
          <w:rFonts w:ascii="Arial" w:hAnsi="Arial"/>
          <w:sz w:val="20"/>
          <w:szCs w:val="20"/>
        </w:rPr>
        <w:t>Mao</w:t>
      </w:r>
      <w:r>
        <w:rPr>
          <w:rFonts w:hint="eastAsia" w:ascii="Arial" w:hAnsi="Arial"/>
          <w:sz w:val="20"/>
          <w:szCs w:val="20"/>
        </w:rPr>
        <w:t>,</w:t>
      </w:r>
      <w:r>
        <w:rPr>
          <w:rFonts w:ascii="Arial" w:hAnsi="Arial"/>
          <w:sz w:val="20"/>
          <w:szCs w:val="20"/>
        </w:rPr>
        <w:t xml:space="preserve"> X</w:t>
      </w:r>
      <w:r>
        <w:rPr>
          <w:rFonts w:hint="eastAsia" w:ascii="Arial" w:hAnsi="Arial"/>
          <w:sz w:val="20"/>
          <w:szCs w:val="20"/>
        </w:rPr>
        <w:t>.J.</w:t>
      </w:r>
      <w:r>
        <w:rPr>
          <w:rFonts w:ascii="Arial" w:hAnsi="Arial"/>
          <w:sz w:val="20"/>
          <w:szCs w:val="20"/>
        </w:rPr>
        <w:t xml:space="preserve"> (2022)</w:t>
      </w:r>
      <w:r>
        <w:rPr>
          <w:rFonts w:hint="eastAsia" w:ascii="Arial" w:hAnsi="Arial"/>
          <w:sz w:val="20"/>
          <w:szCs w:val="20"/>
        </w:rPr>
        <w:t>.</w:t>
      </w:r>
      <w:r>
        <w:rPr>
          <w:rFonts w:ascii="Arial" w:hAnsi="Arial"/>
          <w:sz w:val="20"/>
          <w:szCs w:val="20"/>
        </w:rPr>
        <w:t xml:space="preserve"> </w:t>
      </w:r>
      <w:r>
        <w:rPr>
          <w:rFonts w:hint="eastAsia" w:ascii="Arial" w:hAnsi="Arial"/>
          <w:sz w:val="20"/>
          <w:szCs w:val="20"/>
        </w:rPr>
        <w:t>Difficulties and Countermeasures of High Quality Development in China － Africa Economic and Trade Cooperation: Based on Questionnaire Survey of Enterprises</w:t>
      </w:r>
      <w:r>
        <w:rPr>
          <w:rFonts w:hint="eastAsia" w:ascii="Arial" w:hAnsi="Arial"/>
          <w:sz w:val="20"/>
          <w:szCs w:val="20"/>
          <w:lang w:val="en-US" w:eastAsia="zh-CN"/>
        </w:rPr>
        <w:t xml:space="preserve">. </w:t>
      </w:r>
      <w:r>
        <w:rPr>
          <w:rFonts w:ascii="Arial" w:hAnsi="Arial"/>
          <w:sz w:val="20"/>
          <w:szCs w:val="20"/>
        </w:rPr>
        <w:t>West Asia and Africa (06), 74-93+158-159</w:t>
      </w:r>
      <w:r>
        <w:rPr>
          <w:rFonts w:hint="eastAsia" w:ascii="Arial" w:hAnsi="Arial"/>
          <w:sz w:val="20"/>
          <w:szCs w:val="20"/>
          <w:lang w:val="en-US" w:eastAsia="zh-CN"/>
        </w:rPr>
        <w:t xml:space="preserve"> (In Chinese) </w:t>
      </w:r>
      <w:r>
        <w:rPr>
          <w:rFonts w:hint="eastAsia" w:ascii="Arial" w:hAnsi="Arial"/>
          <w:sz w:val="20"/>
          <w:szCs w:val="20"/>
          <w:highlight w:val="yellow"/>
          <w:lang w:val="en-US" w:eastAsia="zh-CN"/>
        </w:rPr>
        <w:t>https://link.cnki.net/urlid/11.1150.c.20221118.1806.008</w:t>
      </w:r>
    </w:p>
    <w:p w14:paraId="7B634ED1">
      <w:pPr>
        <w:ind w:left="1000" w:hanging="1000" w:hangingChars="500"/>
        <w:rPr>
          <w:rFonts w:hint="eastAsia" w:ascii="Arial" w:hAnsi="Arial" w:eastAsiaTheme="minorEastAsia"/>
          <w:sz w:val="20"/>
          <w:szCs w:val="20"/>
          <w:lang w:val="en-US" w:eastAsia="zh-CN"/>
        </w:rPr>
      </w:pPr>
      <w:r>
        <w:rPr>
          <w:rFonts w:ascii="Arial" w:hAnsi="Arial"/>
          <w:sz w:val="20"/>
          <w:szCs w:val="20"/>
        </w:rPr>
        <w:t>Tong</w:t>
      </w:r>
      <w:r>
        <w:rPr>
          <w:rFonts w:hint="eastAsia" w:ascii="Arial" w:hAnsi="Arial"/>
          <w:sz w:val="20"/>
          <w:szCs w:val="20"/>
        </w:rPr>
        <w:t xml:space="preserve">, J.Y. </w:t>
      </w:r>
      <w:r>
        <w:rPr>
          <w:rFonts w:ascii="Arial" w:hAnsi="Arial"/>
          <w:sz w:val="20"/>
          <w:szCs w:val="20"/>
        </w:rPr>
        <w:t>&amp;</w:t>
      </w:r>
      <w:r>
        <w:rPr>
          <w:rFonts w:hint="eastAsia" w:ascii="Arial" w:hAnsi="Arial"/>
          <w:sz w:val="20"/>
          <w:szCs w:val="20"/>
        </w:rPr>
        <w:t xml:space="preserve"> </w:t>
      </w:r>
      <w:r>
        <w:rPr>
          <w:rFonts w:ascii="Arial" w:hAnsi="Arial"/>
          <w:sz w:val="20"/>
          <w:szCs w:val="20"/>
        </w:rPr>
        <w:t>Zhang</w:t>
      </w:r>
      <w:r>
        <w:rPr>
          <w:rFonts w:hint="eastAsia" w:ascii="Arial" w:hAnsi="Arial"/>
          <w:sz w:val="20"/>
          <w:szCs w:val="20"/>
        </w:rPr>
        <w:t>, L.</w:t>
      </w:r>
      <w:r>
        <w:rPr>
          <w:rFonts w:ascii="Arial" w:hAnsi="Arial"/>
          <w:sz w:val="20"/>
          <w:szCs w:val="20"/>
        </w:rPr>
        <w:t xml:space="preserve"> (2024)</w:t>
      </w:r>
      <w:r>
        <w:rPr>
          <w:rFonts w:hint="eastAsia" w:ascii="Arial" w:hAnsi="Arial"/>
          <w:sz w:val="20"/>
          <w:szCs w:val="20"/>
        </w:rPr>
        <w:t>.</w:t>
      </w:r>
      <w:r>
        <w:rPr>
          <w:rFonts w:ascii="Arial" w:hAnsi="Arial"/>
          <w:sz w:val="20"/>
          <w:szCs w:val="20"/>
        </w:rPr>
        <w:t xml:space="preserve"> Why is this two-way passage so popular</w:t>
      </w:r>
      <w:r>
        <w:rPr>
          <w:rFonts w:hint="eastAsia" w:ascii="Arial" w:hAnsi="Arial"/>
          <w:sz w:val="20"/>
          <w:szCs w:val="20"/>
          <w:lang w:val="en-US" w:eastAsia="zh-CN"/>
        </w:rPr>
        <w:t>.</w:t>
      </w:r>
      <w:r>
        <w:rPr>
          <w:rFonts w:ascii="Arial" w:hAnsi="Arial"/>
          <w:sz w:val="20"/>
          <w:szCs w:val="20"/>
        </w:rPr>
        <w:t xml:space="preserve"> Yantai daily, 003.</w:t>
      </w:r>
      <w:r>
        <w:rPr>
          <w:rFonts w:hint="eastAsia" w:ascii="Arial" w:hAnsi="Arial"/>
          <w:sz w:val="20"/>
          <w:szCs w:val="20"/>
          <w:lang w:val="en-US" w:eastAsia="zh-CN"/>
        </w:rPr>
        <w:t xml:space="preserve"> (In Chinese) </w:t>
      </w:r>
      <w:r>
        <w:rPr>
          <w:rFonts w:hint="eastAsia" w:ascii="Arial" w:hAnsi="Arial"/>
          <w:sz w:val="20"/>
          <w:szCs w:val="20"/>
          <w:highlight w:val="yellow"/>
          <w:lang w:val="en-US" w:eastAsia="zh-CN"/>
        </w:rPr>
        <w:t>https://link.cnki.net/doi/10.38267/n.cnki.nytrb.2024.002076</w:t>
      </w:r>
    </w:p>
    <w:p w14:paraId="2BD38F1B">
      <w:pPr>
        <w:ind w:left="1000" w:hanging="1000" w:hangingChars="500"/>
        <w:rPr>
          <w:rFonts w:hint="eastAsia" w:ascii="Arial" w:hAnsi="Arial" w:eastAsiaTheme="minorEastAsia"/>
          <w:sz w:val="20"/>
          <w:szCs w:val="20"/>
          <w:lang w:val="en-US" w:eastAsia="zh-CN"/>
        </w:rPr>
      </w:pPr>
      <w:r>
        <w:rPr>
          <w:rFonts w:ascii="Arial" w:hAnsi="Arial"/>
          <w:sz w:val="20"/>
          <w:szCs w:val="20"/>
        </w:rPr>
        <w:t>Lin</w:t>
      </w:r>
      <w:r>
        <w:rPr>
          <w:rFonts w:hint="eastAsia" w:ascii="Arial" w:hAnsi="Arial"/>
          <w:sz w:val="20"/>
          <w:szCs w:val="20"/>
        </w:rPr>
        <w:t>,</w:t>
      </w:r>
      <w:r>
        <w:rPr>
          <w:rFonts w:ascii="Arial" w:hAnsi="Arial"/>
          <w:sz w:val="20"/>
          <w:szCs w:val="20"/>
        </w:rPr>
        <w:t xml:space="preserve"> F</w:t>
      </w:r>
      <w:r>
        <w:rPr>
          <w:rFonts w:hint="eastAsia" w:ascii="Arial" w:hAnsi="Arial"/>
          <w:sz w:val="20"/>
          <w:szCs w:val="20"/>
        </w:rPr>
        <w:t>.</w:t>
      </w:r>
      <w:r>
        <w:rPr>
          <w:rFonts w:ascii="Arial" w:hAnsi="Arial"/>
          <w:sz w:val="20"/>
          <w:szCs w:val="20"/>
        </w:rPr>
        <w:t xml:space="preserve"> Liu</w:t>
      </w:r>
      <w:r>
        <w:rPr>
          <w:rFonts w:hint="eastAsia" w:ascii="Arial" w:hAnsi="Arial"/>
          <w:sz w:val="20"/>
          <w:szCs w:val="20"/>
        </w:rPr>
        <w:t>,</w:t>
      </w:r>
      <w:r>
        <w:rPr>
          <w:rFonts w:ascii="Arial" w:hAnsi="Arial"/>
          <w:sz w:val="20"/>
          <w:szCs w:val="20"/>
        </w:rPr>
        <w:t xml:space="preserve"> F</w:t>
      </w:r>
      <w:r>
        <w:rPr>
          <w:rFonts w:hint="eastAsia" w:ascii="Arial" w:hAnsi="Arial"/>
          <w:sz w:val="20"/>
          <w:szCs w:val="20"/>
        </w:rPr>
        <w:t xml:space="preserve">.Y. </w:t>
      </w:r>
      <w:r>
        <w:rPr>
          <w:rFonts w:ascii="Arial" w:hAnsi="Arial"/>
          <w:sz w:val="20"/>
          <w:szCs w:val="20"/>
        </w:rPr>
        <w:t>&amp;</w:t>
      </w:r>
      <w:r>
        <w:rPr>
          <w:rFonts w:hint="eastAsia" w:ascii="Arial" w:hAnsi="Arial"/>
          <w:sz w:val="20"/>
          <w:szCs w:val="20"/>
        </w:rPr>
        <w:t xml:space="preserve"> </w:t>
      </w:r>
      <w:r>
        <w:rPr>
          <w:rFonts w:ascii="Arial" w:hAnsi="Arial"/>
          <w:sz w:val="20"/>
          <w:szCs w:val="20"/>
        </w:rPr>
        <w:t>Jiang</w:t>
      </w:r>
      <w:r>
        <w:rPr>
          <w:rFonts w:hint="eastAsia" w:ascii="Arial" w:hAnsi="Arial"/>
          <w:sz w:val="20"/>
          <w:szCs w:val="20"/>
        </w:rPr>
        <w:t>,</w:t>
      </w:r>
      <w:r>
        <w:rPr>
          <w:rFonts w:ascii="Arial" w:hAnsi="Arial"/>
          <w:sz w:val="20"/>
          <w:szCs w:val="20"/>
        </w:rPr>
        <w:t xml:space="preserve"> L</w:t>
      </w:r>
      <w:r>
        <w:rPr>
          <w:rFonts w:hint="eastAsia" w:ascii="Arial" w:hAnsi="Arial"/>
          <w:sz w:val="20"/>
          <w:szCs w:val="20"/>
        </w:rPr>
        <w:t>.</w:t>
      </w:r>
      <w:r>
        <w:rPr>
          <w:rFonts w:ascii="Arial" w:hAnsi="Arial"/>
          <w:sz w:val="20"/>
          <w:szCs w:val="20"/>
        </w:rPr>
        <w:t xml:space="preserve"> (2024)</w:t>
      </w:r>
      <w:r>
        <w:rPr>
          <w:rFonts w:hint="eastAsia" w:ascii="Arial" w:hAnsi="Arial"/>
          <w:sz w:val="20"/>
          <w:szCs w:val="20"/>
        </w:rPr>
        <w:t>.</w:t>
      </w:r>
      <w:r>
        <w:rPr>
          <w:rFonts w:ascii="Arial" w:hAnsi="Arial"/>
          <w:sz w:val="20"/>
          <w:szCs w:val="20"/>
        </w:rPr>
        <w:t xml:space="preserve"> Cross border logistics is more convenient and China Africa trade is more prosperous</w:t>
      </w:r>
      <w:r>
        <w:rPr>
          <w:rFonts w:hint="eastAsia" w:ascii="Arial" w:hAnsi="Arial"/>
          <w:sz w:val="20"/>
          <w:szCs w:val="20"/>
          <w:lang w:val="en-US" w:eastAsia="zh-CN"/>
        </w:rPr>
        <w:t>.</w:t>
      </w:r>
      <w:r>
        <w:rPr>
          <w:rFonts w:ascii="Arial" w:hAnsi="Arial"/>
          <w:sz w:val="20"/>
          <w:szCs w:val="20"/>
        </w:rPr>
        <w:t xml:space="preserve"> China Communications News, 001.</w:t>
      </w:r>
      <w:r>
        <w:rPr>
          <w:rFonts w:hint="eastAsia" w:ascii="Arial" w:hAnsi="Arial"/>
          <w:sz w:val="20"/>
          <w:szCs w:val="20"/>
          <w:lang w:val="en-US" w:eastAsia="zh-CN"/>
        </w:rPr>
        <w:t xml:space="preserve"> (In Chinese) </w:t>
      </w:r>
      <w:r>
        <w:rPr>
          <w:rFonts w:hint="eastAsia" w:ascii="Arial" w:hAnsi="Arial"/>
          <w:sz w:val="20"/>
          <w:szCs w:val="20"/>
          <w:highlight w:val="yellow"/>
          <w:lang w:val="en-US" w:eastAsia="zh-CN"/>
        </w:rPr>
        <w:t>https://link.cnki.net/doi/10.28099/n.cnki.ncjtb.2024.001694</w:t>
      </w:r>
    </w:p>
    <w:p w14:paraId="6E25B6ED">
      <w:pPr>
        <w:ind w:left="1000" w:hanging="1000" w:hangingChars="500"/>
        <w:rPr>
          <w:rFonts w:hint="eastAsia" w:ascii="Arial" w:hAnsi="Arial" w:eastAsiaTheme="minorEastAsia"/>
          <w:sz w:val="20"/>
          <w:szCs w:val="20"/>
          <w:lang w:val="en-US" w:eastAsia="zh-CN"/>
        </w:rPr>
      </w:pPr>
      <w:r>
        <w:rPr>
          <w:rFonts w:ascii="Arial" w:hAnsi="Arial"/>
          <w:sz w:val="20"/>
          <w:szCs w:val="20"/>
        </w:rPr>
        <w:t>Sheng</w:t>
      </w:r>
      <w:r>
        <w:rPr>
          <w:rFonts w:hint="eastAsia" w:ascii="Arial" w:hAnsi="Arial"/>
          <w:sz w:val="20"/>
          <w:szCs w:val="20"/>
        </w:rPr>
        <w:t>,</w:t>
      </w:r>
      <w:r>
        <w:rPr>
          <w:rFonts w:ascii="Arial" w:hAnsi="Arial"/>
          <w:sz w:val="20"/>
          <w:szCs w:val="20"/>
        </w:rPr>
        <w:t xml:space="preserve"> J</w:t>
      </w:r>
      <w:r>
        <w:rPr>
          <w:rFonts w:hint="eastAsia" w:ascii="Arial" w:hAnsi="Arial"/>
          <w:sz w:val="20"/>
          <w:szCs w:val="20"/>
        </w:rPr>
        <w:t xml:space="preserve">.Y. </w:t>
      </w:r>
      <w:r>
        <w:rPr>
          <w:rFonts w:ascii="Arial" w:hAnsi="Arial"/>
          <w:sz w:val="20"/>
          <w:szCs w:val="20"/>
        </w:rPr>
        <w:t>&amp;</w:t>
      </w:r>
      <w:r>
        <w:rPr>
          <w:rFonts w:hint="eastAsia" w:ascii="Arial" w:hAnsi="Arial"/>
          <w:sz w:val="20"/>
          <w:szCs w:val="20"/>
        </w:rPr>
        <w:t xml:space="preserve"> </w:t>
      </w:r>
      <w:r>
        <w:rPr>
          <w:rFonts w:ascii="Arial" w:hAnsi="Arial"/>
          <w:sz w:val="20"/>
          <w:szCs w:val="20"/>
        </w:rPr>
        <w:t>Liu</w:t>
      </w:r>
      <w:r>
        <w:rPr>
          <w:rFonts w:hint="eastAsia" w:ascii="Arial" w:hAnsi="Arial"/>
          <w:sz w:val="20"/>
          <w:szCs w:val="20"/>
        </w:rPr>
        <w:t>,</w:t>
      </w:r>
      <w:r>
        <w:rPr>
          <w:rFonts w:ascii="Arial" w:hAnsi="Arial"/>
          <w:sz w:val="20"/>
          <w:szCs w:val="20"/>
        </w:rPr>
        <w:t xml:space="preserve"> C</w:t>
      </w:r>
      <w:r>
        <w:rPr>
          <w:rFonts w:hint="eastAsia" w:ascii="Arial" w:hAnsi="Arial"/>
          <w:sz w:val="20"/>
          <w:szCs w:val="20"/>
        </w:rPr>
        <w:t>.</w:t>
      </w:r>
      <w:r>
        <w:rPr>
          <w:rFonts w:ascii="Arial" w:hAnsi="Arial"/>
          <w:sz w:val="20"/>
          <w:szCs w:val="20"/>
        </w:rPr>
        <w:t xml:space="preserve"> (2022)</w:t>
      </w:r>
      <w:r>
        <w:rPr>
          <w:rFonts w:hint="eastAsia" w:ascii="Arial" w:hAnsi="Arial"/>
          <w:sz w:val="20"/>
          <w:szCs w:val="20"/>
        </w:rPr>
        <w:t>.</w:t>
      </w:r>
      <w:r>
        <w:rPr>
          <w:rFonts w:ascii="Arial" w:hAnsi="Arial"/>
          <w:sz w:val="20"/>
          <w:szCs w:val="20"/>
        </w:rPr>
        <w:t xml:space="preserve"> </w:t>
      </w:r>
      <w:r>
        <w:rPr>
          <w:rFonts w:hint="eastAsia" w:ascii="Arial" w:hAnsi="Arial"/>
          <w:sz w:val="20"/>
          <w:szCs w:val="20"/>
        </w:rPr>
        <w:t>China-Africa Economic Cooperation: Current Situation, Problems and Prospects</w:t>
      </w:r>
      <w:r>
        <w:rPr>
          <w:rFonts w:hint="eastAsia" w:ascii="Arial" w:hAnsi="Arial"/>
          <w:sz w:val="20"/>
          <w:szCs w:val="20"/>
          <w:lang w:val="en-US" w:eastAsia="zh-CN"/>
        </w:rPr>
        <w:t>.</w:t>
      </w:r>
      <w:r>
        <w:rPr>
          <w:rFonts w:ascii="Arial" w:hAnsi="Arial"/>
          <w:sz w:val="20"/>
          <w:szCs w:val="20"/>
        </w:rPr>
        <w:t xml:space="preserve"> Asia Pacific economy (05), 123-129.</w:t>
      </w:r>
      <w:r>
        <w:rPr>
          <w:rFonts w:hint="eastAsia" w:ascii="Arial" w:hAnsi="Arial"/>
          <w:sz w:val="20"/>
          <w:szCs w:val="20"/>
          <w:lang w:val="en-US" w:eastAsia="zh-CN"/>
        </w:rPr>
        <w:t xml:space="preserve"> (In Chinese) </w:t>
      </w:r>
      <w:r>
        <w:rPr>
          <w:rFonts w:hint="eastAsia" w:ascii="Arial" w:hAnsi="Arial"/>
          <w:sz w:val="20"/>
          <w:szCs w:val="20"/>
          <w:highlight w:val="yellow"/>
          <w:lang w:val="en-US" w:eastAsia="zh-CN"/>
        </w:rPr>
        <w:t>https://link.cnki.net/doi/10.16407/j.cnki.1000-6052.2022.05.007</w:t>
      </w:r>
    </w:p>
    <w:p w14:paraId="37E7A42D">
      <w:pPr>
        <w:ind w:left="1000" w:hanging="1000" w:hangingChars="500"/>
        <w:rPr>
          <w:rFonts w:hint="eastAsia" w:ascii="Arial" w:hAnsi="Arial" w:eastAsiaTheme="minorEastAsia"/>
          <w:sz w:val="20"/>
          <w:szCs w:val="20"/>
          <w:lang w:val="en-US" w:eastAsia="zh-CN"/>
        </w:rPr>
      </w:pPr>
      <w:r>
        <w:rPr>
          <w:rFonts w:ascii="Arial" w:hAnsi="Arial"/>
          <w:sz w:val="20"/>
          <w:szCs w:val="20"/>
        </w:rPr>
        <w:t>Qi</w:t>
      </w:r>
      <w:r>
        <w:rPr>
          <w:rFonts w:hint="eastAsia" w:ascii="Arial" w:hAnsi="Arial"/>
          <w:sz w:val="20"/>
          <w:szCs w:val="20"/>
        </w:rPr>
        <w:t>,</w:t>
      </w:r>
      <w:r>
        <w:rPr>
          <w:rFonts w:ascii="Arial" w:hAnsi="Arial"/>
          <w:sz w:val="20"/>
          <w:szCs w:val="20"/>
        </w:rPr>
        <w:t xml:space="preserve"> G</w:t>
      </w:r>
      <w:r>
        <w:rPr>
          <w:rFonts w:hint="eastAsia" w:ascii="Arial" w:hAnsi="Arial"/>
          <w:sz w:val="20"/>
          <w:szCs w:val="20"/>
        </w:rPr>
        <w:t>.Q.</w:t>
      </w:r>
      <w:r>
        <w:rPr>
          <w:rFonts w:ascii="Arial" w:hAnsi="Arial"/>
          <w:sz w:val="20"/>
          <w:szCs w:val="20"/>
        </w:rPr>
        <w:t xml:space="preserve"> (2015)</w:t>
      </w:r>
      <w:r>
        <w:rPr>
          <w:rFonts w:hint="eastAsia" w:ascii="Arial" w:hAnsi="Arial"/>
          <w:sz w:val="20"/>
          <w:szCs w:val="20"/>
        </w:rPr>
        <w:t>.</w:t>
      </w:r>
      <w:r>
        <w:rPr>
          <w:rFonts w:ascii="Arial" w:hAnsi="Arial"/>
          <w:sz w:val="20"/>
          <w:szCs w:val="20"/>
        </w:rPr>
        <w:t xml:space="preserve"> African economic development and foreign capital inflow: trends and challenges International</w:t>
      </w:r>
      <w:r>
        <w:rPr>
          <w:rFonts w:hint="eastAsia" w:ascii="Arial" w:hAnsi="Arial"/>
          <w:sz w:val="20"/>
          <w:szCs w:val="20"/>
          <w:lang w:val="en-US" w:eastAsia="zh-CN"/>
        </w:rPr>
        <w:t>.</w:t>
      </w:r>
      <w:r>
        <w:rPr>
          <w:rFonts w:ascii="Arial" w:hAnsi="Arial"/>
          <w:sz w:val="20"/>
          <w:szCs w:val="20"/>
        </w:rPr>
        <w:t xml:space="preserve"> Economic Cooperation (09), 4-8</w:t>
      </w:r>
      <w:r>
        <w:rPr>
          <w:rFonts w:hint="eastAsia" w:ascii="Arial" w:hAnsi="Arial"/>
          <w:sz w:val="20"/>
          <w:szCs w:val="20"/>
          <w:lang w:val="en-US" w:eastAsia="zh-CN"/>
        </w:rPr>
        <w:t xml:space="preserve"> (In Chinese) </w:t>
      </w:r>
      <w:r>
        <w:rPr>
          <w:rFonts w:hint="eastAsia" w:ascii="Arial" w:hAnsi="Arial"/>
          <w:sz w:val="20"/>
          <w:szCs w:val="20"/>
          <w:highlight w:val="yellow"/>
          <w:lang w:val="en-US" w:eastAsia="zh-CN"/>
        </w:rPr>
        <w:t>https://kns.cnki.net/kcms2/article/abstract?v=Zw74qSZOFgg-0_aQSWSiXeUTqnInTRlikyEm0bN8IWD_i2xa3UxqukcpKb7NANGJL2WGlg8Ejcbr2tf7W4icTN6BkdIQO0vGLFGVK6XkW9UkASOyQnU1auFypPJ15pLVSJP3uSwkxY1fgTFebJYNxl1P90Payq6IXnenv-rUd6zKr09tZaN5rp15dvBkOYCgk93BDhex_kM=&amp;uniplatform=NZKPT&amp;language=CHS</w:t>
      </w:r>
    </w:p>
    <w:p w14:paraId="4C921269">
      <w:pPr>
        <w:ind w:left="1000" w:hanging="1000" w:hangingChars="500"/>
        <w:rPr>
          <w:rFonts w:hint="eastAsia" w:ascii="Arial" w:hAnsi="Arial" w:eastAsiaTheme="minorEastAsia"/>
          <w:sz w:val="20"/>
          <w:szCs w:val="20"/>
          <w:lang w:val="en-US" w:eastAsia="zh-CN"/>
        </w:rPr>
      </w:pPr>
      <w:r>
        <w:rPr>
          <w:rFonts w:ascii="Arial" w:hAnsi="Arial"/>
          <w:sz w:val="20"/>
          <w:szCs w:val="20"/>
        </w:rPr>
        <w:t>Ekeocha, P. C., &amp; Ogbuabor, J. E. (2024). From Multilateralism To Multi-Polarism: A Study Of Trade Shock Transmission Between Selected African Economies, The Bric And The Rest Of The Global Economy. The Singapore Economic Review, 69(08), 2445-2473.</w:t>
      </w:r>
      <w:r>
        <w:rPr>
          <w:rFonts w:hint="eastAsia" w:ascii="Arial" w:hAnsi="Arial"/>
          <w:sz w:val="20"/>
          <w:szCs w:val="20"/>
          <w:lang w:val="en-US" w:eastAsia="zh-CN"/>
        </w:rPr>
        <w:t xml:space="preserve"> </w:t>
      </w:r>
      <w:r>
        <w:rPr>
          <w:rFonts w:hint="eastAsia" w:ascii="Arial" w:hAnsi="Arial"/>
          <w:sz w:val="20"/>
          <w:szCs w:val="20"/>
          <w:highlight w:val="yellow"/>
          <w:lang w:val="en-US" w:eastAsia="zh-CN"/>
        </w:rPr>
        <w:t>https://www.worldscientific.com/doi/abs/10.1142/S0217590820500794</w:t>
      </w:r>
    </w:p>
    <w:p w14:paraId="3A493FFE">
      <w:pPr>
        <w:ind w:left="1000" w:hanging="1000" w:hangingChars="500"/>
        <w:rPr>
          <w:rFonts w:hint="eastAsia" w:ascii="Arial" w:hAnsi="Arial" w:eastAsiaTheme="minorEastAsia"/>
          <w:sz w:val="20"/>
          <w:szCs w:val="20"/>
          <w:lang w:val="en-US" w:eastAsia="zh-CN"/>
        </w:rPr>
      </w:pPr>
      <w:r>
        <w:rPr>
          <w:rFonts w:ascii="Arial" w:hAnsi="Arial"/>
          <w:sz w:val="20"/>
          <w:szCs w:val="20"/>
        </w:rPr>
        <w:t>Duggan, N. (2023). The agency problem in readings of Sino–African relations. African Affairs, 122(488), 461-475.</w:t>
      </w:r>
      <w:r>
        <w:rPr>
          <w:rFonts w:hint="eastAsia" w:ascii="Arial" w:hAnsi="Arial"/>
          <w:sz w:val="20"/>
          <w:szCs w:val="20"/>
          <w:lang w:val="en-US" w:eastAsia="zh-CN"/>
        </w:rPr>
        <w:t xml:space="preserve"> </w:t>
      </w:r>
      <w:r>
        <w:rPr>
          <w:rFonts w:hint="eastAsia" w:ascii="Arial" w:hAnsi="Arial"/>
          <w:sz w:val="20"/>
          <w:szCs w:val="20"/>
          <w:highlight w:val="yellow"/>
          <w:lang w:val="en-US" w:eastAsia="zh-CN"/>
        </w:rPr>
        <w:fldChar w:fldCharType="begin"/>
      </w:r>
      <w:r>
        <w:rPr>
          <w:rFonts w:hint="eastAsia" w:ascii="Arial" w:hAnsi="Arial"/>
          <w:sz w:val="20"/>
          <w:szCs w:val="20"/>
          <w:highlight w:val="yellow"/>
          <w:lang w:val="en-US" w:eastAsia="zh-CN"/>
        </w:rPr>
        <w:instrText xml:space="preserve"> HYPERLINK "https://doi.org/10.1093/afraf/adad024" </w:instrText>
      </w:r>
      <w:r>
        <w:rPr>
          <w:rFonts w:hint="eastAsia" w:ascii="Arial" w:hAnsi="Arial"/>
          <w:sz w:val="20"/>
          <w:szCs w:val="20"/>
          <w:highlight w:val="yellow"/>
          <w:lang w:val="en-US" w:eastAsia="zh-CN"/>
        </w:rPr>
        <w:fldChar w:fldCharType="separate"/>
      </w:r>
      <w:r>
        <w:rPr>
          <w:rFonts w:hint="eastAsia" w:ascii="Arial" w:hAnsi="Arial"/>
          <w:sz w:val="20"/>
          <w:szCs w:val="20"/>
          <w:highlight w:val="yellow"/>
          <w:lang w:val="en-US" w:eastAsia="zh-CN"/>
        </w:rPr>
        <w:t>https://doi.org/10.1093/afraf/adad024</w:t>
      </w:r>
      <w:r>
        <w:rPr>
          <w:rFonts w:hint="eastAsia" w:ascii="Arial" w:hAnsi="Arial"/>
          <w:sz w:val="20"/>
          <w:szCs w:val="20"/>
          <w:highlight w:val="yellow"/>
          <w:lang w:val="en-US" w:eastAsia="zh-CN"/>
        </w:rPr>
        <w:fldChar w:fldCharType="end"/>
      </w:r>
      <w:bookmarkStart w:id="0" w:name="_GoBack"/>
      <w:bookmarkEnd w:id="0"/>
    </w:p>
    <w:p w14:paraId="186A642D">
      <w:pPr>
        <w:ind w:left="1000" w:hanging="1000" w:hangingChars="500"/>
        <w:rPr>
          <w:rFonts w:hint="eastAsia" w:ascii="Arial" w:hAnsi="Arial" w:eastAsiaTheme="minorEastAsia"/>
          <w:sz w:val="20"/>
          <w:szCs w:val="20"/>
          <w:lang w:val="en-US" w:eastAsia="zh-CN"/>
        </w:rPr>
      </w:pPr>
      <w:r>
        <w:rPr>
          <w:rFonts w:ascii="Arial" w:hAnsi="Arial"/>
          <w:sz w:val="20"/>
          <w:szCs w:val="20"/>
        </w:rPr>
        <w:t>Wang</w:t>
      </w:r>
      <w:r>
        <w:rPr>
          <w:rFonts w:hint="eastAsia" w:ascii="Arial" w:hAnsi="Arial"/>
          <w:sz w:val="20"/>
          <w:szCs w:val="20"/>
        </w:rPr>
        <w:t>, J.L.</w:t>
      </w:r>
      <w:r>
        <w:rPr>
          <w:rFonts w:ascii="Arial" w:hAnsi="Arial"/>
          <w:sz w:val="20"/>
          <w:szCs w:val="20"/>
        </w:rPr>
        <w:t xml:space="preserve"> (2024)</w:t>
      </w:r>
      <w:r>
        <w:rPr>
          <w:rFonts w:hint="eastAsia" w:ascii="Arial" w:hAnsi="Arial"/>
          <w:sz w:val="20"/>
          <w:szCs w:val="20"/>
        </w:rPr>
        <w:t>.</w:t>
      </w:r>
      <w:r>
        <w:rPr>
          <w:rFonts w:ascii="Arial" w:hAnsi="Arial"/>
          <w:sz w:val="20"/>
          <w:szCs w:val="20"/>
        </w:rPr>
        <w:t xml:space="preserve"> China - Africa economic and trade cooperation has yielded fruitful results</w:t>
      </w:r>
      <w:r>
        <w:rPr>
          <w:rFonts w:hint="eastAsia" w:ascii="Arial" w:hAnsi="Arial"/>
          <w:sz w:val="20"/>
          <w:szCs w:val="20"/>
          <w:lang w:val="en-US" w:eastAsia="zh-CN"/>
        </w:rPr>
        <w:t>.</w:t>
      </w:r>
      <w:r>
        <w:rPr>
          <w:rFonts w:ascii="Arial" w:hAnsi="Arial"/>
          <w:sz w:val="20"/>
          <w:szCs w:val="20"/>
        </w:rPr>
        <w:t xml:space="preserve"> People's Daily Overseas Edition, 003.</w:t>
      </w:r>
      <w:r>
        <w:rPr>
          <w:rFonts w:hint="eastAsia" w:ascii="Arial" w:hAnsi="Arial"/>
          <w:sz w:val="20"/>
          <w:szCs w:val="20"/>
          <w:lang w:val="en-US" w:eastAsia="zh-CN"/>
        </w:rPr>
        <w:t xml:space="preserve"> (In Chinese) </w:t>
      </w:r>
      <w:r>
        <w:rPr>
          <w:rFonts w:hint="eastAsia" w:ascii="Arial" w:hAnsi="Arial"/>
          <w:sz w:val="20"/>
          <w:szCs w:val="20"/>
          <w:highlight w:val="yellow"/>
          <w:lang w:val="en-US" w:eastAsia="zh-CN"/>
        </w:rPr>
        <w:t>https://link.cnki.net/doi/10.28656/n.cnki.nrmrh.2024.000510</w:t>
      </w:r>
    </w:p>
    <w:p w14:paraId="4491D2C9">
      <w:pPr>
        <w:ind w:left="1000" w:hanging="1000" w:hangingChars="500"/>
        <w:rPr>
          <w:rFonts w:hint="eastAsia" w:ascii="Arial" w:hAnsi="Arial" w:eastAsiaTheme="minorEastAsia"/>
          <w:sz w:val="20"/>
          <w:szCs w:val="20"/>
          <w:lang w:val="en-US" w:eastAsia="zh-CN"/>
        </w:rPr>
      </w:pPr>
      <w:r>
        <w:rPr>
          <w:rFonts w:ascii="Arial" w:hAnsi="Arial"/>
          <w:sz w:val="20"/>
          <w:szCs w:val="20"/>
        </w:rPr>
        <w:t>Zhao</w:t>
      </w:r>
      <w:r>
        <w:rPr>
          <w:rFonts w:hint="eastAsia" w:ascii="Arial" w:hAnsi="Arial"/>
          <w:sz w:val="20"/>
          <w:szCs w:val="20"/>
        </w:rPr>
        <w:t>, Y.T.</w:t>
      </w:r>
      <w:r>
        <w:rPr>
          <w:rFonts w:ascii="Arial" w:hAnsi="Arial"/>
          <w:sz w:val="20"/>
          <w:szCs w:val="20"/>
        </w:rPr>
        <w:t xml:space="preserve"> (2023)</w:t>
      </w:r>
      <w:r>
        <w:rPr>
          <w:rFonts w:hint="eastAsia" w:ascii="Arial" w:hAnsi="Arial"/>
          <w:sz w:val="20"/>
          <w:szCs w:val="20"/>
        </w:rPr>
        <w:t>.</w:t>
      </w:r>
      <w:r>
        <w:rPr>
          <w:rFonts w:ascii="Arial" w:hAnsi="Arial"/>
          <w:sz w:val="20"/>
          <w:szCs w:val="20"/>
        </w:rPr>
        <w:t xml:space="preserve"> </w:t>
      </w:r>
      <w:r>
        <w:rPr>
          <w:rFonts w:hint="eastAsia" w:ascii="Arial" w:hAnsi="Arial"/>
          <w:sz w:val="20"/>
          <w:szCs w:val="20"/>
        </w:rPr>
        <w:t>New Features and Effects of Western Powers Participating in African Governance under the Background of Africa’s Independent Development</w:t>
      </w:r>
      <w:r>
        <w:rPr>
          <w:rFonts w:hint="eastAsia" w:ascii="Arial" w:hAnsi="Arial"/>
          <w:sz w:val="20"/>
          <w:szCs w:val="20"/>
          <w:lang w:val="en-US" w:eastAsia="zh-CN"/>
        </w:rPr>
        <w:t>.</w:t>
      </w:r>
      <w:r>
        <w:rPr>
          <w:rFonts w:ascii="Arial" w:hAnsi="Arial"/>
          <w:sz w:val="20"/>
          <w:szCs w:val="20"/>
        </w:rPr>
        <w:t xml:space="preserve"> West Asia and Africa (04), 88-109+158-159</w:t>
      </w:r>
      <w:r>
        <w:rPr>
          <w:rFonts w:hint="eastAsia" w:ascii="Arial" w:hAnsi="Arial"/>
          <w:sz w:val="20"/>
          <w:szCs w:val="20"/>
          <w:lang w:val="en-US" w:eastAsia="zh-CN"/>
        </w:rPr>
        <w:t xml:space="preserve"> (In Chinese) </w:t>
      </w:r>
      <w:r>
        <w:rPr>
          <w:rFonts w:hint="eastAsia" w:ascii="Arial" w:hAnsi="Arial"/>
          <w:sz w:val="20"/>
          <w:szCs w:val="20"/>
          <w:highlight w:val="yellow"/>
          <w:lang w:val="en-US" w:eastAsia="zh-CN"/>
        </w:rPr>
        <w:t>https://link.cnki.net/urlid/11.1150.C.20230705.1615.010</w:t>
      </w:r>
    </w:p>
    <w:p w14:paraId="29504AF4">
      <w:pPr>
        <w:ind w:left="1000" w:hanging="1000" w:hangingChars="500"/>
        <w:rPr>
          <w:rFonts w:hint="eastAsia" w:ascii="Arial" w:hAnsi="Arial" w:eastAsiaTheme="minorEastAsia"/>
          <w:sz w:val="20"/>
          <w:szCs w:val="20"/>
          <w:lang w:val="en-US" w:eastAsia="zh-CN"/>
        </w:rPr>
      </w:pPr>
      <w:r>
        <w:rPr>
          <w:rFonts w:ascii="Arial" w:hAnsi="Arial"/>
          <w:sz w:val="20"/>
          <w:szCs w:val="20"/>
        </w:rPr>
        <w:t>Luo</w:t>
      </w:r>
      <w:r>
        <w:rPr>
          <w:rFonts w:hint="eastAsia" w:ascii="Arial" w:hAnsi="Arial"/>
          <w:sz w:val="20"/>
          <w:szCs w:val="20"/>
        </w:rPr>
        <w:t xml:space="preserve">, J.B. </w:t>
      </w:r>
      <w:r>
        <w:rPr>
          <w:rFonts w:ascii="Arial" w:hAnsi="Arial"/>
          <w:sz w:val="20"/>
          <w:szCs w:val="20"/>
        </w:rPr>
        <w:t>&amp;Sun</w:t>
      </w:r>
      <w:r>
        <w:rPr>
          <w:rFonts w:hint="eastAsia" w:ascii="Arial" w:hAnsi="Arial"/>
          <w:sz w:val="20"/>
          <w:szCs w:val="20"/>
        </w:rPr>
        <w:t>,</w:t>
      </w:r>
      <w:r>
        <w:rPr>
          <w:rFonts w:ascii="Arial" w:hAnsi="Arial"/>
          <w:sz w:val="20"/>
          <w:szCs w:val="20"/>
        </w:rPr>
        <w:t xml:space="preserve"> X</w:t>
      </w:r>
      <w:r>
        <w:rPr>
          <w:rFonts w:hint="eastAsia" w:ascii="Arial" w:hAnsi="Arial"/>
          <w:sz w:val="20"/>
          <w:szCs w:val="20"/>
        </w:rPr>
        <w:t>.</w:t>
      </w:r>
      <w:r>
        <w:rPr>
          <w:rFonts w:ascii="Arial" w:hAnsi="Arial"/>
          <w:sz w:val="20"/>
          <w:szCs w:val="20"/>
        </w:rPr>
        <w:t xml:space="preserve"> (2023)</w:t>
      </w:r>
      <w:r>
        <w:rPr>
          <w:rFonts w:hint="eastAsia" w:ascii="Arial" w:hAnsi="Arial"/>
          <w:sz w:val="20"/>
          <w:szCs w:val="20"/>
        </w:rPr>
        <w:t>.</w:t>
      </w:r>
      <w:r>
        <w:rPr>
          <w:rFonts w:ascii="Arial" w:hAnsi="Arial"/>
          <w:sz w:val="20"/>
          <w:szCs w:val="20"/>
        </w:rPr>
        <w:t xml:space="preserve"> </w:t>
      </w:r>
      <w:r>
        <w:rPr>
          <w:rFonts w:hint="default" w:ascii="Arial" w:hAnsi="Arial"/>
          <w:sz w:val="20"/>
          <w:szCs w:val="20"/>
          <w:lang w:val="en-US" w:eastAsia="zh-CN"/>
        </w:rPr>
        <w:t>“</w:t>
      </w:r>
      <w:r>
        <w:rPr>
          <w:rFonts w:hint="eastAsia" w:ascii="Arial" w:hAnsi="Arial"/>
          <w:sz w:val="20"/>
          <w:szCs w:val="20"/>
        </w:rPr>
        <w:t>African Solutions to African Problems</w:t>
      </w:r>
      <w:r>
        <w:rPr>
          <w:rFonts w:hint="default" w:ascii="Arial" w:hAnsi="Arial"/>
          <w:sz w:val="20"/>
          <w:szCs w:val="20"/>
          <w:lang w:val="en-US" w:eastAsia="zh-CN"/>
        </w:rPr>
        <w:t>”</w:t>
      </w:r>
      <w:r>
        <w:rPr>
          <w:rFonts w:hint="eastAsia" w:ascii="Arial" w:hAnsi="Arial"/>
          <w:sz w:val="20"/>
          <w:szCs w:val="20"/>
        </w:rPr>
        <w:t>: Exploration of Indigenous Knowledge of African Collective Securit</w:t>
      </w:r>
      <w:r>
        <w:rPr>
          <w:rFonts w:hint="eastAsia" w:ascii="Arial" w:hAnsi="Arial"/>
          <w:sz w:val="20"/>
          <w:szCs w:val="20"/>
          <w:lang w:val="en-US" w:eastAsia="zh-CN"/>
        </w:rPr>
        <w:t xml:space="preserve"> .</w:t>
      </w:r>
      <w:r>
        <w:rPr>
          <w:rFonts w:ascii="Arial" w:hAnsi="Arial"/>
          <w:sz w:val="20"/>
          <w:szCs w:val="20"/>
        </w:rPr>
        <w:t xml:space="preserve"> West Asia and Africa (05), 103-133+159</w:t>
      </w:r>
      <w:r>
        <w:rPr>
          <w:rFonts w:hint="eastAsia" w:ascii="Arial" w:hAnsi="Arial"/>
          <w:sz w:val="20"/>
          <w:szCs w:val="20"/>
          <w:lang w:val="en-US" w:eastAsia="zh-CN"/>
        </w:rPr>
        <w:t xml:space="preserve"> (In Chinese) </w:t>
      </w:r>
      <w:r>
        <w:rPr>
          <w:rFonts w:hint="eastAsia" w:ascii="Arial" w:hAnsi="Arial"/>
          <w:sz w:val="20"/>
          <w:szCs w:val="20"/>
          <w:highlight w:val="yellow"/>
          <w:lang w:val="en-US" w:eastAsia="zh-CN"/>
        </w:rPr>
        <w:t>https://link.cnki.net/urlid/11.1150.C.20230825.0858</w:t>
      </w:r>
    </w:p>
    <w:p w14:paraId="085835A1">
      <w:pPr>
        <w:ind w:left="1000" w:hanging="1000" w:hangingChars="500"/>
        <w:rPr>
          <w:rFonts w:hint="eastAsia" w:ascii="Arial" w:hAnsi="Arial" w:eastAsiaTheme="minorEastAsia"/>
          <w:sz w:val="20"/>
          <w:szCs w:val="20"/>
          <w:lang w:val="en-US" w:eastAsia="zh-CN"/>
        </w:rPr>
      </w:pPr>
      <w:r>
        <w:rPr>
          <w:rFonts w:ascii="Arial" w:hAnsi="Arial"/>
          <w:sz w:val="20"/>
          <w:szCs w:val="20"/>
        </w:rPr>
        <w:t>Wang</w:t>
      </w:r>
      <w:r>
        <w:rPr>
          <w:rFonts w:hint="eastAsia" w:ascii="Arial" w:hAnsi="Arial"/>
          <w:sz w:val="20"/>
          <w:szCs w:val="20"/>
        </w:rPr>
        <w:t xml:space="preserve">, E. </w:t>
      </w:r>
      <w:r>
        <w:rPr>
          <w:rFonts w:ascii="Arial" w:hAnsi="Arial"/>
          <w:sz w:val="20"/>
          <w:szCs w:val="20"/>
        </w:rPr>
        <w:t>&amp;</w:t>
      </w:r>
      <w:r>
        <w:rPr>
          <w:rFonts w:hint="eastAsia" w:ascii="Arial" w:hAnsi="Arial"/>
          <w:sz w:val="20"/>
          <w:szCs w:val="20"/>
        </w:rPr>
        <w:t xml:space="preserve"> S</w:t>
      </w:r>
      <w:r>
        <w:rPr>
          <w:rFonts w:ascii="Arial" w:hAnsi="Arial"/>
          <w:sz w:val="20"/>
          <w:szCs w:val="20"/>
        </w:rPr>
        <w:t>hen</w:t>
      </w:r>
      <w:r>
        <w:rPr>
          <w:rFonts w:hint="eastAsia" w:ascii="Arial" w:hAnsi="Arial"/>
          <w:sz w:val="20"/>
          <w:szCs w:val="20"/>
        </w:rPr>
        <w:t>, Z.X.</w:t>
      </w:r>
      <w:r>
        <w:rPr>
          <w:rFonts w:ascii="Arial" w:hAnsi="Arial"/>
          <w:sz w:val="20"/>
          <w:szCs w:val="20"/>
        </w:rPr>
        <w:t xml:space="preserve"> (2023)</w:t>
      </w:r>
      <w:r>
        <w:rPr>
          <w:rFonts w:hint="eastAsia" w:ascii="Arial" w:hAnsi="Arial"/>
          <w:sz w:val="20"/>
          <w:szCs w:val="20"/>
        </w:rPr>
        <w:t>.</w:t>
      </w:r>
      <w:r>
        <w:rPr>
          <w:rFonts w:ascii="Arial" w:hAnsi="Arial"/>
          <w:sz w:val="20"/>
          <w:szCs w:val="20"/>
        </w:rPr>
        <w:t xml:space="preserve"> </w:t>
      </w:r>
      <w:r>
        <w:rPr>
          <w:rFonts w:hint="eastAsia" w:ascii="Arial" w:hAnsi="Arial"/>
          <w:sz w:val="20"/>
          <w:szCs w:val="20"/>
        </w:rPr>
        <w:t>The Construction and Enlightenment of African Think Tanks on China-Africa Economic and Trade Cooperation</w:t>
      </w:r>
      <w:r>
        <w:rPr>
          <w:rFonts w:hint="eastAsia" w:ascii="Arial" w:hAnsi="Arial"/>
          <w:sz w:val="20"/>
          <w:szCs w:val="20"/>
          <w:lang w:val="en-US" w:eastAsia="zh-CN"/>
        </w:rPr>
        <w:t>.</w:t>
      </w:r>
      <w:r>
        <w:rPr>
          <w:rFonts w:ascii="Arial" w:hAnsi="Arial"/>
          <w:sz w:val="20"/>
          <w:szCs w:val="20"/>
        </w:rPr>
        <w:t xml:space="preserve"> Think tank theory and Practice (06), 92-101.</w:t>
      </w:r>
      <w:r>
        <w:rPr>
          <w:rFonts w:hint="eastAsia" w:ascii="Arial" w:hAnsi="Arial"/>
          <w:sz w:val="20"/>
          <w:szCs w:val="20"/>
          <w:lang w:val="en-US" w:eastAsia="zh-CN"/>
        </w:rPr>
        <w:t xml:space="preserve"> (In Chinese) </w:t>
      </w:r>
      <w:r>
        <w:rPr>
          <w:rFonts w:hint="eastAsia" w:ascii="Arial" w:hAnsi="Arial"/>
          <w:sz w:val="20"/>
          <w:szCs w:val="20"/>
          <w:highlight w:val="yellow"/>
          <w:lang w:val="en-US" w:eastAsia="zh-CN"/>
        </w:rPr>
        <w:t>https://link.cnki.net/doi/10.19318/j.cnki.issn.2096-1634.2023.06.10</w:t>
      </w:r>
    </w:p>
    <w:p w14:paraId="3B0E23CD">
      <w:pPr>
        <w:rPr>
          <w:rFonts w:ascii="Arial" w:hAnsi="Arial"/>
          <w:sz w:val="20"/>
          <w:szCs w:val="20"/>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ECB16">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C0943">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B34B1">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5C81C">
    <w:pPr>
      <w:pStyle w:val="3"/>
    </w:pPr>
    <w:r>
      <w:pict>
        <v:shape id="PowerPlusWaterMarkObject634477798" o:spid="_x0000_s2051" o:spt="136" type="#_x0000_t136" style="position:absolute;left:0pt;height:92.45pt;width:493.0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B65DA">
    <w:pPr>
      <w:pStyle w:val="3"/>
    </w:pPr>
    <w:r>
      <w:pict>
        <v:shape id="PowerPlusWaterMarkObject634477797" o:spid="_x0000_s2050" o:spt="136" type="#_x0000_t136" style="position:absolute;left:0pt;height:92.45pt;width:493.0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F7320">
    <w:pPr>
      <w:pStyle w:val="3"/>
    </w:pPr>
    <w:r>
      <w:pict>
        <v:shape id="PowerPlusWaterMarkObject634477796" o:spid="_x0000_s2049" o:spt="136" type="#_x0000_t136" style="position:absolute;left:0pt;height:92.45pt;width:493.0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4FEDC5"/>
    <w:multiLevelType w:val="singleLevel"/>
    <w:tmpl w:val="454FEDC5"/>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124B8C"/>
    <w:rsid w:val="000201D7"/>
    <w:rsid w:val="00052E60"/>
    <w:rsid w:val="000E6FA2"/>
    <w:rsid w:val="001565D3"/>
    <w:rsid w:val="003044DC"/>
    <w:rsid w:val="009A2C55"/>
    <w:rsid w:val="009D4740"/>
    <w:rsid w:val="00C97512"/>
    <w:rsid w:val="00D44248"/>
    <w:rsid w:val="00E130B0"/>
    <w:rsid w:val="00E7540F"/>
    <w:rsid w:val="010941FC"/>
    <w:rsid w:val="0B1053FA"/>
    <w:rsid w:val="10541D65"/>
    <w:rsid w:val="126857B5"/>
    <w:rsid w:val="183971D6"/>
    <w:rsid w:val="2B1B5263"/>
    <w:rsid w:val="31124B8C"/>
    <w:rsid w:val="330D5203"/>
    <w:rsid w:val="38B90269"/>
    <w:rsid w:val="4B30783D"/>
    <w:rsid w:val="53E26F26"/>
    <w:rsid w:val="5B433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320"/>
        <w:tab w:val="right" w:pos="8640"/>
      </w:tabs>
    </w:pPr>
  </w:style>
  <w:style w:type="paragraph" w:styleId="3">
    <w:name w:val="header"/>
    <w:basedOn w:val="1"/>
    <w:qFormat/>
    <w:uiPriority w:val="0"/>
    <w:pPr>
      <w:tabs>
        <w:tab w:val="center" w:pos="4320"/>
        <w:tab w:val="right" w:pos="8640"/>
      </w:tabs>
    </w:pPr>
  </w:style>
  <w:style w:type="paragraph" w:styleId="4">
    <w:name w:val="Normal (Web)"/>
    <w:basedOn w:val="1"/>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26E5" w:themeColor="hyperlink"/>
      <w:u w:val="single"/>
      <w14:textFill>
        <w14:solidFill>
          <w14:schemeClr w14:val="hlink"/>
        </w14:solidFill>
      </w14:textFill>
    </w:rPr>
  </w:style>
  <w:style w:type="paragraph" w:customStyle="1" w:styleId="11">
    <w:name w:val="Ackn Head"/>
    <w:basedOn w:val="12"/>
    <w:qFormat/>
    <w:uiPriority w:val="0"/>
    <w:rPr>
      <w:sz w:val="22"/>
    </w:rPr>
  </w:style>
  <w:style w:type="paragraph" w:customStyle="1" w:styleId="12">
    <w:name w:val="Main Head"/>
    <w:basedOn w:val="1"/>
    <w:qFormat/>
    <w:uiPriority w:val="0"/>
    <w:pPr>
      <w:keepNext/>
      <w:spacing w:after="240"/>
    </w:pPr>
    <w:rPr>
      <w:b/>
      <w:caps/>
    </w:rPr>
  </w:style>
  <w:style w:type="paragraph" w:customStyle="1" w:styleId="13">
    <w:name w:val="Refer Head"/>
    <w:basedOn w:val="12"/>
    <w:qFormat/>
    <w:uiPriority w:val="0"/>
    <w:rPr>
      <w:sz w:val="22"/>
    </w:rPr>
  </w:style>
  <w:style w:type="character" w:customStyle="1" w:styleId="14">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646952-8327-4645-B0D2-1EA7165E181F}">
  <ds:schemaRefs/>
</ds:datastoreItem>
</file>

<file path=docProps/app.xml><?xml version="1.0" encoding="utf-8"?>
<Properties xmlns="http://schemas.openxmlformats.org/officeDocument/2006/extended-properties" xmlns:vt="http://schemas.openxmlformats.org/officeDocument/2006/docPropsVTypes">
  <Template>Normal</Template>
  <Pages>15</Pages>
  <Words>1514</Words>
  <Characters>8683</Characters>
  <Lines>201</Lines>
  <Paragraphs>56</Paragraphs>
  <TotalTime>28</TotalTime>
  <ScaleCrop>false</ScaleCrop>
  <LinksUpToDate>false</LinksUpToDate>
  <CharactersWithSpaces>10120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2025-02-18T11:21:00Z</dcterms:created>
  <dc:creator>张建杰</dc:creator>
  <cp:lastModifiedBy>张建杰</cp:lastModifiedBy>
  <dcterms:modified xsi:type="dcterms:W3CDTF">2025-02-27T12:37:37Z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EFE9C6FC5BE74036A3EDFB8E26CF8994_11</vt:lpwstr>
  </property>
  <property fmtid="{D5CDD505-2E9C-101B-9397-08002B2CF9AE}" pid="4" name="KSOTemplateDocerSaveRecord">
    <vt:lpwstr>eyJoZGlkIjoiOThjNmU3YmVjMzMxODQzOTAyMzYyNzY5OWRjMTBlMDgiLCJ1c2VySWQiOiI2NjQ2NzQ1MzQifQ==</vt:lpwstr>
  </property>
</Properties>
</file>