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B7ECE" w14:textId="77777777" w:rsidR="00865186" w:rsidRPr="00865186" w:rsidRDefault="00481EB1" w:rsidP="00865186">
      <w:pPr>
        <w:jc w:val="center"/>
        <w:rPr>
          <w:rFonts w:ascii="Times New Roman" w:hAnsi="Times New Roman" w:cs="Times New Roman"/>
          <w:b/>
          <w:bCs/>
          <w:sz w:val="24"/>
          <w:szCs w:val="24"/>
          <w:lang w:val="en-GB"/>
        </w:rPr>
      </w:pPr>
      <w:r w:rsidRPr="00865186">
        <w:rPr>
          <w:rFonts w:ascii="Times New Roman" w:hAnsi="Times New Roman" w:cs="Times New Roman"/>
          <w:b/>
          <w:bCs/>
          <w:sz w:val="24"/>
          <w:szCs w:val="24"/>
          <w:lang w:val="en-GB"/>
        </w:rPr>
        <w:t>Market Integration and Price Transmission in India's Major Paddy Markets: An Econometric Introspection</w:t>
      </w:r>
    </w:p>
    <w:p w14:paraId="4DFC8E69" w14:textId="77777777" w:rsidR="004F3782" w:rsidRDefault="00481EB1" w:rsidP="00B9095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6CF0295C" w14:textId="77777777" w:rsidR="00865186" w:rsidRPr="004004FB" w:rsidRDefault="00481EB1" w:rsidP="00865186">
      <w:pPr>
        <w:spacing w:line="360" w:lineRule="auto"/>
        <w:jc w:val="both"/>
        <w:rPr>
          <w:rFonts w:ascii="Times New Roman" w:hAnsi="Times New Roman" w:cs="Times New Roman"/>
        </w:rPr>
      </w:pPr>
      <w:r w:rsidRPr="00E260FF">
        <w:rPr>
          <w:rFonts w:ascii="Times New Roman" w:hAnsi="Times New Roman" w:cs="Times New Roman"/>
        </w:rPr>
        <w:t xml:space="preserve">This study investigates the integration dynamics of five major wholesale paddy markets in India, each representing distinct zonal councils: Kota (Rajasthan), Attabira (Odisha), Sindhanur (Karnataka), Dahod (Gujarat), and Bhatapara (Chhattisgarh). </w:t>
      </w:r>
      <w:r w:rsidRPr="00E260FF">
        <w:rPr>
          <w:rFonts w:ascii="Times New Roman" w:hAnsi="Times New Roman" w:cs="Times New Roman"/>
          <w:highlight w:val="yellow"/>
        </w:rPr>
        <w:t>Unlike pr</w:t>
      </w:r>
      <w:r w:rsidRPr="00E260FF">
        <w:rPr>
          <w:rFonts w:ascii="Times New Roman" w:hAnsi="Times New Roman" w:cs="Times New Roman"/>
          <w:highlight w:val="yellow"/>
        </w:rPr>
        <w:t>ior research, which primarily focuses on localized short-term market integration, this study addresses a critical gap by employing long-term market integration analysis using structural break techniques</w:t>
      </w:r>
      <w:r w:rsidRPr="00E260FF">
        <w:rPr>
          <w:rFonts w:ascii="Times New Roman" w:hAnsi="Times New Roman" w:cs="Times New Roman"/>
        </w:rPr>
        <w:t>. By utilizing a 15-year dataset (2009–2023), we syste</w:t>
      </w:r>
      <w:r w:rsidRPr="00E260FF">
        <w:rPr>
          <w:rFonts w:ascii="Times New Roman" w:hAnsi="Times New Roman" w:cs="Times New Roman"/>
        </w:rPr>
        <w:t>matically examine price linkages, structural shifts, and the speed of price adjustments across markets.</w:t>
      </w:r>
      <w:r w:rsidRPr="004004FB">
        <w:rPr>
          <w:rFonts w:ascii="Times New Roman" w:hAnsi="Times New Roman" w:cs="Times New Roman"/>
        </w:rPr>
        <w:t xml:space="preserve"> </w:t>
      </w:r>
      <w:r w:rsidRPr="00E260FF">
        <w:rPr>
          <w:rFonts w:ascii="Times New Roman" w:hAnsi="Times New Roman" w:cs="Times New Roman"/>
        </w:rPr>
        <w:t xml:space="preserve">A robust econometric framework was applied to assess market efficiency, incorporating the Augmented Dickey-Fuller test, Johansen's Co-integration Test, </w:t>
      </w:r>
      <w:r w:rsidRPr="00E260FF">
        <w:rPr>
          <w:rFonts w:ascii="Times New Roman" w:hAnsi="Times New Roman" w:cs="Times New Roman"/>
        </w:rPr>
        <w:t xml:space="preserve">Structural Break Analysis, and the Vector Error Correction Model (VECM). The findings confirm long-term price integration, with the structural break analysis identifying critical market disruptions. </w:t>
      </w:r>
      <w:r w:rsidRPr="00E260FF">
        <w:rPr>
          <w:rFonts w:ascii="Times New Roman" w:hAnsi="Times New Roman" w:cs="Times New Roman"/>
          <w:highlight w:val="yellow"/>
        </w:rPr>
        <w:t>The VECM results indicate that price adjustments occur at</w:t>
      </w:r>
      <w:r w:rsidRPr="00E260FF">
        <w:rPr>
          <w:rFonts w:ascii="Times New Roman" w:hAnsi="Times New Roman" w:cs="Times New Roman"/>
          <w:highlight w:val="yellow"/>
        </w:rPr>
        <w:t xml:space="preserve"> varying speeds—Kota (32.5%), Sindhanur (35.4%), and Dahod (19.56%)—highlighting asymmetries in market efficiency</w:t>
      </w:r>
      <w:r w:rsidRPr="00E260FF">
        <w:rPr>
          <w:rFonts w:ascii="Times New Roman" w:hAnsi="Times New Roman" w:cs="Times New Roman"/>
        </w:rPr>
        <w:t>. In the short-run, adjustments are significant between Attabira and both Dahod and Sindhanur markets, suggesting localized transmission effect</w:t>
      </w:r>
      <w:r w:rsidRPr="00E260FF">
        <w:rPr>
          <w:rFonts w:ascii="Times New Roman" w:hAnsi="Times New Roman" w:cs="Times New Roman"/>
        </w:rPr>
        <w:t>s. Furthermore, Granger causality tests reveal unidirectional price leadership in select market pairs.</w:t>
      </w:r>
      <w:r w:rsidRPr="004004FB">
        <w:rPr>
          <w:rFonts w:ascii="Times New Roman" w:hAnsi="Times New Roman" w:cs="Times New Roman"/>
        </w:rPr>
        <w:t xml:space="preserve"> </w:t>
      </w:r>
      <w:r w:rsidRPr="00E260FF">
        <w:rPr>
          <w:rFonts w:ascii="Times New Roman" w:hAnsi="Times New Roman" w:cs="Times New Roman"/>
        </w:rPr>
        <w:t>These insights underscore the need for targeted policy interventions to enhance market efficiency. Improved market oversight, digital price dissemination</w:t>
      </w:r>
      <w:r w:rsidRPr="00E260FF">
        <w:rPr>
          <w:rFonts w:ascii="Times New Roman" w:hAnsi="Times New Roman" w:cs="Times New Roman"/>
        </w:rPr>
        <w:t>, and enhanced storage and transport infrastructure can facilitate smoother price transmission and minimize volatility. Additionally, strengthening farmer awareness programs on price trends and inter-market linkages can help optimize market participation a</w:t>
      </w:r>
      <w:r w:rsidRPr="00E260FF">
        <w:rPr>
          <w:rFonts w:ascii="Times New Roman" w:hAnsi="Times New Roman" w:cs="Times New Roman"/>
        </w:rPr>
        <w:t>nd price realization.</w:t>
      </w:r>
    </w:p>
    <w:p w14:paraId="546F98BF" w14:textId="77777777" w:rsidR="004F3782" w:rsidRDefault="00481EB1">
      <w:pPr>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bookmarkStart w:id="0" w:name="_Hlk190170167"/>
      <w:r>
        <w:rPr>
          <w:rFonts w:ascii="Times New Roman" w:hAnsi="Times New Roman" w:cs="Times New Roman"/>
          <w:sz w:val="24"/>
          <w:szCs w:val="24"/>
        </w:rPr>
        <w:t>Market Integration, Co-Integration, Granger Causality, Paddy Markets</w:t>
      </w:r>
    </w:p>
    <w:bookmarkEnd w:id="0"/>
    <w:p w14:paraId="5843A7A2" w14:textId="77777777" w:rsidR="00751D0E" w:rsidRDefault="00481EB1" w:rsidP="00751D0E">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3682E04C" w14:textId="77777777" w:rsidR="00751D0E" w:rsidRPr="00F87E4B" w:rsidRDefault="00481EB1" w:rsidP="00751D0E">
      <w:pPr>
        <w:spacing w:line="360" w:lineRule="auto"/>
        <w:ind w:firstLine="720"/>
        <w:jc w:val="both"/>
        <w:rPr>
          <w:rFonts w:ascii="Times New Roman" w:hAnsi="Times New Roman" w:cs="Times New Roman"/>
          <w:sz w:val="24"/>
          <w:szCs w:val="24"/>
        </w:rPr>
      </w:pPr>
      <w:bookmarkStart w:id="1" w:name="_Hlk190170332"/>
      <w:r w:rsidRPr="00F87E4B">
        <w:rPr>
          <w:rFonts w:ascii="Times New Roman" w:hAnsi="Times New Roman" w:cs="Times New Roman"/>
          <w:sz w:val="24"/>
          <w:szCs w:val="24"/>
        </w:rPr>
        <w:t>India's agricultural sector plays a pivotal role in its economy, employing nearly 46.07% of the population and contributing approximately 16%</w:t>
      </w:r>
      <w:r w:rsidRPr="00F87E4B">
        <w:rPr>
          <w:rFonts w:ascii="Times New Roman" w:hAnsi="Times New Roman" w:cs="Times New Roman"/>
          <w:sz w:val="24"/>
          <w:szCs w:val="24"/>
        </w:rPr>
        <w:t xml:space="preserve"> to the country's Gross Domestic Product (GDP) (PLFS, 2023-24; Economic Survey, 2024-25). Over the past decade, this sector has maintained an average annual growth rate of 5%, highlighting its resilience and economic importance. Among the various agricultu</w:t>
      </w:r>
      <w:r w:rsidRPr="00F87E4B">
        <w:rPr>
          <w:rFonts w:ascii="Times New Roman" w:hAnsi="Times New Roman" w:cs="Times New Roman"/>
          <w:sz w:val="24"/>
          <w:szCs w:val="24"/>
        </w:rPr>
        <w:t>ral commodities, paddy is a particularly significant staple food crop and a key contributor to rural livelihoods and export revenues. India is the second-largest rice producer globally, with a total production of 137.83 million tonnes in the fiscal year 20</w:t>
      </w:r>
      <w:r w:rsidRPr="00F87E4B">
        <w:rPr>
          <w:rFonts w:ascii="Times New Roman" w:hAnsi="Times New Roman" w:cs="Times New Roman"/>
          <w:sz w:val="24"/>
          <w:szCs w:val="24"/>
        </w:rPr>
        <w:t>23-24, accounting for 41.47% of the country's total food grain output (Agricultural Statistics at a Glance, 2023). Major paddy-producing states, including Uttar Pradesh, Telangana, West Bengal, Punjab, Chhattisgarh, Odisha, Andhra Pradesh, Tamil Nadu, Biha</w:t>
      </w:r>
      <w:r w:rsidRPr="00F87E4B">
        <w:rPr>
          <w:rFonts w:ascii="Times New Roman" w:hAnsi="Times New Roman" w:cs="Times New Roman"/>
          <w:sz w:val="24"/>
          <w:szCs w:val="24"/>
        </w:rPr>
        <w:t>r, and Madhya Pradesh, collectively contribute over 80% of national production, underscoring the widespread cultivation and economic relevance of this crop.</w:t>
      </w:r>
    </w:p>
    <w:p w14:paraId="55E39368" w14:textId="77777777" w:rsidR="00751D0E" w:rsidRPr="00F87E4B" w:rsidRDefault="00481EB1" w:rsidP="00751D0E">
      <w:pPr>
        <w:spacing w:line="360" w:lineRule="auto"/>
        <w:ind w:firstLine="720"/>
        <w:jc w:val="both"/>
        <w:rPr>
          <w:rFonts w:ascii="Times New Roman" w:hAnsi="Times New Roman" w:cs="Times New Roman"/>
          <w:sz w:val="24"/>
          <w:szCs w:val="24"/>
        </w:rPr>
      </w:pPr>
      <w:r w:rsidRPr="00F87E4B">
        <w:rPr>
          <w:rFonts w:ascii="Times New Roman" w:hAnsi="Times New Roman" w:cs="Times New Roman"/>
          <w:sz w:val="24"/>
          <w:szCs w:val="24"/>
        </w:rPr>
        <w:lastRenderedPageBreak/>
        <w:t xml:space="preserve">Despite its production dominance, inefficiencies in paddy markets remain a pressing concern. </w:t>
      </w:r>
      <w:r w:rsidRPr="00F87E4B">
        <w:rPr>
          <w:rFonts w:ascii="Times New Roman" w:hAnsi="Times New Roman" w:cs="Times New Roman"/>
          <w:sz w:val="24"/>
          <w:szCs w:val="24"/>
        </w:rPr>
        <w:t>Fragmentation, price volatility, and asymmetries in price transmission across regions pose significant challenges to farmers and consumers. Efficient market integration ensures fair price discovery, optimizing resource allocation, and stabilises farm incom</w:t>
      </w:r>
      <w:r w:rsidRPr="00F87E4B">
        <w:rPr>
          <w:rFonts w:ascii="Times New Roman" w:hAnsi="Times New Roman" w:cs="Times New Roman"/>
          <w:sz w:val="24"/>
          <w:szCs w:val="24"/>
        </w:rPr>
        <w:t>es. However, empirical evidence suggests that India's paddy markets exhibit considerable inefficiencies, primarily due to infrastructural disparities, the involvement of multiple intermediaries, speculative trading, and government interventions that distor</w:t>
      </w:r>
      <w:r w:rsidRPr="00F87E4B">
        <w:rPr>
          <w:rFonts w:ascii="Times New Roman" w:hAnsi="Times New Roman" w:cs="Times New Roman"/>
          <w:sz w:val="24"/>
          <w:szCs w:val="24"/>
        </w:rPr>
        <w:t>t natural price signals (</w:t>
      </w:r>
      <w:r w:rsidRPr="00814D5A">
        <w:rPr>
          <w:rFonts w:ascii="Times New Roman" w:hAnsi="Times New Roman" w:cs="Times New Roman"/>
          <w:highlight w:val="yellow"/>
        </w:rPr>
        <w:t>Andrle &amp; Blagrave, 2020;  Pumihic, 2023</w:t>
      </w:r>
      <w:r w:rsidRPr="00814D5A">
        <w:rPr>
          <w:rFonts w:ascii="Times New Roman" w:hAnsi="Times New Roman" w:cs="Times New Roman"/>
        </w:rPr>
        <w:t>)</w:t>
      </w:r>
      <w:r w:rsidRPr="00F87E4B">
        <w:rPr>
          <w:rFonts w:ascii="Times New Roman" w:hAnsi="Times New Roman" w:cs="Times New Roman"/>
          <w:sz w:val="24"/>
          <w:szCs w:val="24"/>
        </w:rPr>
        <w:t>. These inefficiencies manifest in price asymmetry, wherein farmers in surplus-producing regions fail to receive remunerative prices, while consumers in deficit regions face disproportionatel</w:t>
      </w:r>
      <w:r w:rsidRPr="00F87E4B">
        <w:rPr>
          <w:rFonts w:ascii="Times New Roman" w:hAnsi="Times New Roman" w:cs="Times New Roman"/>
          <w:sz w:val="24"/>
          <w:szCs w:val="24"/>
        </w:rPr>
        <w:t>y high costs. This situation calls for a rigorous assessment of the degree and direction of price linkages among major paddy markets in India</w:t>
      </w:r>
      <w:r>
        <w:rPr>
          <w:rFonts w:ascii="Times New Roman" w:hAnsi="Times New Roman" w:cs="Times New Roman"/>
        </w:rPr>
        <w:t xml:space="preserve"> (</w:t>
      </w:r>
      <w:r w:rsidRPr="00814D5A">
        <w:rPr>
          <w:rFonts w:ascii="Times New Roman" w:hAnsi="Times New Roman" w:cs="Times New Roman"/>
          <w:highlight w:val="yellow"/>
        </w:rPr>
        <w:t>Hamulczuk, 2020; Pokharkar &amp; Yadav, 2021)</w:t>
      </w:r>
      <w:r w:rsidRPr="00987450">
        <w:rPr>
          <w:rFonts w:ascii="Times New Roman" w:hAnsi="Times New Roman" w:cs="Times New Roman"/>
          <w:highlight w:val="yellow"/>
        </w:rPr>
        <w:t>.</w:t>
      </w:r>
    </w:p>
    <w:p w14:paraId="169AE7C8" w14:textId="77777777" w:rsidR="00751D0E" w:rsidRPr="00F87E4B" w:rsidRDefault="00481EB1" w:rsidP="00751D0E">
      <w:pPr>
        <w:spacing w:line="360" w:lineRule="auto"/>
        <w:ind w:firstLine="720"/>
        <w:jc w:val="both"/>
        <w:rPr>
          <w:rFonts w:ascii="Times New Roman" w:hAnsi="Times New Roman" w:cs="Times New Roman"/>
          <w:sz w:val="24"/>
          <w:szCs w:val="24"/>
        </w:rPr>
      </w:pPr>
      <w:r w:rsidRPr="00F87E4B">
        <w:rPr>
          <w:rFonts w:ascii="Times New Roman" w:hAnsi="Times New Roman" w:cs="Times New Roman"/>
          <w:sz w:val="24"/>
          <w:szCs w:val="24"/>
        </w:rPr>
        <w:t>Existing literature has explored the integration of agricultural marke</w:t>
      </w:r>
      <w:r w:rsidRPr="00F87E4B">
        <w:rPr>
          <w:rFonts w:ascii="Times New Roman" w:hAnsi="Times New Roman" w:cs="Times New Roman"/>
          <w:sz w:val="24"/>
          <w:szCs w:val="24"/>
        </w:rPr>
        <w:t>ts in India, particularly in the cereal sector. However, several critical gaps limit the applicability of these studies in designing effective policy interventions. First, most studies adopt a highly localized approach, focusing on individual states or dis</w:t>
      </w:r>
      <w:r w:rsidRPr="00F87E4B">
        <w:rPr>
          <w:rFonts w:ascii="Times New Roman" w:hAnsi="Times New Roman" w:cs="Times New Roman"/>
          <w:sz w:val="24"/>
          <w:szCs w:val="24"/>
        </w:rPr>
        <w:t>tricts rather than providing a broader, national-level perspective on market integration (</w:t>
      </w:r>
      <w:r w:rsidRPr="00814D5A">
        <w:rPr>
          <w:rFonts w:ascii="Times New Roman" w:hAnsi="Times New Roman" w:cs="Times New Roman"/>
          <w:highlight w:val="yellow"/>
        </w:rPr>
        <w:t>Akbari &amp; Ng, 2020; Paul &amp; Karak, 2022</w:t>
      </w:r>
      <w:r>
        <w:rPr>
          <w:rFonts w:ascii="Times New Roman" w:hAnsi="Times New Roman" w:cs="Times New Roman"/>
        </w:rPr>
        <w:t xml:space="preserve">; </w:t>
      </w:r>
      <w:r w:rsidRPr="00F87E4B">
        <w:rPr>
          <w:rFonts w:ascii="Times New Roman" w:hAnsi="Times New Roman" w:cs="Times New Roman"/>
          <w:sz w:val="24"/>
          <w:szCs w:val="24"/>
        </w:rPr>
        <w:t>Udhayan et al., 2023). Second, the majority of studies rely on relatively short timeframes, typically spanning 7 to 10 years, w</w:t>
      </w:r>
      <w:r w:rsidRPr="00F87E4B">
        <w:rPr>
          <w:rFonts w:ascii="Times New Roman" w:hAnsi="Times New Roman" w:cs="Times New Roman"/>
          <w:sz w:val="24"/>
          <w:szCs w:val="24"/>
        </w:rPr>
        <w:t>hich may not adequately capture long-term structural changes, policy shifts, or macroeconomic shocks affecting market behavior (Zalkuwi &amp; Joshua, 2024). Third, prior research often employs basic econometric techniques, such as simple correlation analysis o</w:t>
      </w:r>
      <w:r w:rsidRPr="00F87E4B">
        <w:rPr>
          <w:rFonts w:ascii="Times New Roman" w:hAnsi="Times New Roman" w:cs="Times New Roman"/>
          <w:sz w:val="24"/>
          <w:szCs w:val="24"/>
        </w:rPr>
        <w:t>r bivariate co-integration models, which do not provide a comprehensive understanding of both short-run and long-run integration dynamics. Moreover, many studies fail to account for structural breaks in price series, which can arise due to policy intervent</w:t>
      </w:r>
      <w:r w:rsidRPr="00F87E4B">
        <w:rPr>
          <w:rFonts w:ascii="Times New Roman" w:hAnsi="Times New Roman" w:cs="Times New Roman"/>
          <w:sz w:val="24"/>
          <w:szCs w:val="24"/>
        </w:rPr>
        <w:t>ions, trade liberalization, or macroeconomic disruptions, thereby limiting the robustness of their findings.</w:t>
      </w:r>
    </w:p>
    <w:p w14:paraId="4FBAA5D1" w14:textId="77777777" w:rsidR="00751D0E" w:rsidRPr="00F87E4B" w:rsidRDefault="00481EB1" w:rsidP="00751D0E">
      <w:pPr>
        <w:spacing w:line="360" w:lineRule="auto"/>
        <w:ind w:firstLine="720"/>
        <w:jc w:val="both"/>
        <w:rPr>
          <w:rFonts w:ascii="Times New Roman" w:hAnsi="Times New Roman" w:cs="Times New Roman"/>
          <w:sz w:val="24"/>
          <w:szCs w:val="24"/>
        </w:rPr>
      </w:pPr>
      <w:r w:rsidRPr="00F87E4B">
        <w:rPr>
          <w:rFonts w:ascii="Times New Roman" w:hAnsi="Times New Roman" w:cs="Times New Roman"/>
          <w:sz w:val="24"/>
          <w:szCs w:val="24"/>
        </w:rPr>
        <w:t>Addressing these gaps, the present study seeks to offer a comprehensive and methodologically rigorous analysis of market integration in India’s pad</w:t>
      </w:r>
      <w:r w:rsidRPr="00F87E4B">
        <w:rPr>
          <w:rFonts w:ascii="Times New Roman" w:hAnsi="Times New Roman" w:cs="Times New Roman"/>
          <w:sz w:val="24"/>
          <w:szCs w:val="24"/>
        </w:rPr>
        <w:t>dy sector. This research investigates the long-term integration dynamics of five major wholesale paddy markets—Kota (Rajasthan), Attabira (Odisha), Sindhanur (Karnataka), Dahod (Gujarat), and Bhatapara (Chhattisgarh)—which represent distinct geographical z</w:t>
      </w:r>
      <w:r w:rsidRPr="00F87E4B">
        <w:rPr>
          <w:rFonts w:ascii="Times New Roman" w:hAnsi="Times New Roman" w:cs="Times New Roman"/>
          <w:sz w:val="24"/>
          <w:szCs w:val="24"/>
        </w:rPr>
        <w:t>ones of the country. By utilizing an extensive 15-year dataset covering the period from 2009 to 2023, this study moves beyond short-term analyses to capture broader market trends, policy impacts, and structural shifts in price behavior. Unlike previous res</w:t>
      </w:r>
      <w:r w:rsidRPr="00F87E4B">
        <w:rPr>
          <w:rFonts w:ascii="Times New Roman" w:hAnsi="Times New Roman" w:cs="Times New Roman"/>
          <w:sz w:val="24"/>
          <w:szCs w:val="24"/>
        </w:rPr>
        <w:t>earch, this study systematically examines structural breaks, market efficiency, price linkages, and the short-run versus long-run price relationships among these markets using advanced econometric methodologies, including Johansen’s Co-</w:t>
      </w:r>
      <w:r w:rsidRPr="00F87E4B">
        <w:rPr>
          <w:rFonts w:ascii="Times New Roman" w:hAnsi="Times New Roman" w:cs="Times New Roman"/>
          <w:sz w:val="24"/>
          <w:szCs w:val="24"/>
        </w:rPr>
        <w:lastRenderedPageBreak/>
        <w:t>integration Test, th</w:t>
      </w:r>
      <w:r w:rsidRPr="00F87E4B">
        <w:rPr>
          <w:rFonts w:ascii="Times New Roman" w:hAnsi="Times New Roman" w:cs="Times New Roman"/>
          <w:sz w:val="24"/>
          <w:szCs w:val="24"/>
        </w:rPr>
        <w:t>e Augmented Dickey-Fuller (ADF) Unit Root Test, the Granger Causality Test, and the Vector Error Correction Model (VECM).</w:t>
      </w:r>
    </w:p>
    <w:p w14:paraId="46782BAD" w14:textId="77777777" w:rsidR="00751D0E" w:rsidRPr="00F87E4B" w:rsidRDefault="00481EB1" w:rsidP="00751D0E">
      <w:pPr>
        <w:spacing w:line="360" w:lineRule="auto"/>
        <w:ind w:firstLine="720"/>
        <w:jc w:val="both"/>
        <w:rPr>
          <w:rFonts w:ascii="Times New Roman" w:hAnsi="Times New Roman" w:cs="Times New Roman"/>
          <w:sz w:val="24"/>
          <w:szCs w:val="24"/>
        </w:rPr>
      </w:pPr>
      <w:r w:rsidRPr="00F87E4B">
        <w:rPr>
          <w:rFonts w:ascii="Times New Roman" w:hAnsi="Times New Roman" w:cs="Times New Roman"/>
          <w:sz w:val="24"/>
          <w:szCs w:val="24"/>
        </w:rPr>
        <w:t>Through this investigation, the study aims to assess the extent of price co-integration among major paddy markets and determine whethe</w:t>
      </w:r>
      <w:r w:rsidRPr="00F87E4B">
        <w:rPr>
          <w:rFonts w:ascii="Times New Roman" w:hAnsi="Times New Roman" w:cs="Times New Roman"/>
          <w:sz w:val="24"/>
          <w:szCs w:val="24"/>
        </w:rPr>
        <w:t>r they function as a unified national market. It further seeks to identify structural breaks in paddy price trends and analyze their impact on market dynamics, examine both short-term and long-term price transmission mechanisms to evaluate the efficiency o</w:t>
      </w:r>
      <w:r w:rsidRPr="00F87E4B">
        <w:rPr>
          <w:rFonts w:ascii="Times New Roman" w:hAnsi="Times New Roman" w:cs="Times New Roman"/>
          <w:sz w:val="24"/>
          <w:szCs w:val="24"/>
        </w:rPr>
        <w:t>f inter-market price adjustments, and derive policy insights that can help enhance market efficiency, stabilize prices, and secure higher returns for farmers. By addressing these objectives, this study contributes valuable empirical insights that can infor</w:t>
      </w:r>
      <w:r w:rsidRPr="00F87E4B">
        <w:rPr>
          <w:rFonts w:ascii="Times New Roman" w:hAnsi="Times New Roman" w:cs="Times New Roman"/>
          <w:sz w:val="24"/>
          <w:szCs w:val="24"/>
        </w:rPr>
        <w:t>m policy interventions aimed at improving the efficiency of India’s paddy markets. The findings will serve as a crucial resource for policymakers, market regulators, and agricultural stakeholders, helping to develop strategies for market integration, price</w:t>
      </w:r>
      <w:r w:rsidRPr="00F87E4B">
        <w:rPr>
          <w:rFonts w:ascii="Times New Roman" w:hAnsi="Times New Roman" w:cs="Times New Roman"/>
          <w:sz w:val="24"/>
          <w:szCs w:val="24"/>
        </w:rPr>
        <w:t xml:space="preserve"> stabilization, and farmer welfare, ultimately ensuring a more equitable distribution of market benefits across regions.</w:t>
      </w:r>
    </w:p>
    <w:bookmarkEnd w:id="1"/>
    <w:p w14:paraId="0B306325" w14:textId="77777777" w:rsidR="004F3782" w:rsidRDefault="00481EB1" w:rsidP="000212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5A582701" w14:textId="77777777" w:rsidR="00F87E4B" w:rsidRPr="00F87E4B" w:rsidRDefault="00481EB1"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This study employs a robust econometric framework to analyze the integration of five major wholesale paddy markets in India. The selected markets—Kota (Rajasthan), Attabira (Odisha), Sindhanur (Karnataka), Dahod (Gujarat), and Bhatapara (Chhattisgarh)—repr</w:t>
      </w:r>
      <w:r w:rsidRPr="00F87E4B">
        <w:rPr>
          <w:rFonts w:ascii="Times New Roman" w:hAnsi="Times New Roman" w:cs="Times New Roman"/>
          <w:sz w:val="24"/>
          <w:szCs w:val="24"/>
        </w:rPr>
        <w:t xml:space="preserve">esent different </w:t>
      </w:r>
      <w:r w:rsidRPr="00F87E4B">
        <w:rPr>
          <w:rFonts w:ascii="Times New Roman" w:hAnsi="Times New Roman" w:cs="Times New Roman"/>
          <w:b/>
          <w:bCs/>
          <w:sz w:val="24"/>
          <w:szCs w:val="24"/>
        </w:rPr>
        <w:t>geographical zones of the country</w:t>
      </w:r>
      <w:r w:rsidRPr="00F87E4B">
        <w:rPr>
          <w:rFonts w:ascii="Times New Roman" w:hAnsi="Times New Roman" w:cs="Times New Roman"/>
          <w:sz w:val="24"/>
          <w:szCs w:val="24"/>
        </w:rPr>
        <w:t xml:space="preserve"> and were chosen based on multiple considerations. The </w:t>
      </w:r>
      <w:r w:rsidRPr="00F87E4B">
        <w:rPr>
          <w:rFonts w:ascii="Times New Roman" w:hAnsi="Times New Roman" w:cs="Times New Roman"/>
          <w:b/>
          <w:bCs/>
          <w:sz w:val="24"/>
          <w:szCs w:val="24"/>
        </w:rPr>
        <w:t>primary criterion for market selection</w:t>
      </w:r>
      <w:r w:rsidRPr="00F87E4B">
        <w:rPr>
          <w:rFonts w:ascii="Times New Roman" w:hAnsi="Times New Roman" w:cs="Times New Roman"/>
          <w:sz w:val="24"/>
          <w:szCs w:val="24"/>
        </w:rPr>
        <w:t xml:space="preserve"> was </w:t>
      </w:r>
      <w:r w:rsidRPr="00F87E4B">
        <w:rPr>
          <w:rFonts w:ascii="Times New Roman" w:hAnsi="Times New Roman" w:cs="Times New Roman"/>
          <w:b/>
          <w:bCs/>
          <w:sz w:val="24"/>
          <w:szCs w:val="24"/>
        </w:rPr>
        <w:t>representativeness</w:t>
      </w:r>
      <w:r w:rsidRPr="00F87E4B">
        <w:rPr>
          <w:rFonts w:ascii="Times New Roman" w:hAnsi="Times New Roman" w:cs="Times New Roman"/>
          <w:sz w:val="24"/>
          <w:szCs w:val="24"/>
        </w:rPr>
        <w:t xml:space="preserve">, ensuring that each market reflects price trends in its respective region. Secondly, </w:t>
      </w:r>
      <w:r w:rsidRPr="00F87E4B">
        <w:rPr>
          <w:rFonts w:ascii="Times New Roman" w:hAnsi="Times New Roman" w:cs="Times New Roman"/>
          <w:b/>
          <w:bCs/>
          <w:sz w:val="24"/>
          <w:szCs w:val="24"/>
        </w:rPr>
        <w:t xml:space="preserve">high </w:t>
      </w:r>
      <w:r w:rsidRPr="00F87E4B">
        <w:rPr>
          <w:rFonts w:ascii="Times New Roman" w:hAnsi="Times New Roman" w:cs="Times New Roman"/>
          <w:b/>
          <w:bCs/>
          <w:sz w:val="24"/>
          <w:szCs w:val="24"/>
        </w:rPr>
        <w:t>trade volume and data availability</w:t>
      </w:r>
      <w:r w:rsidRPr="00F87E4B">
        <w:rPr>
          <w:rFonts w:ascii="Times New Roman" w:hAnsi="Times New Roman" w:cs="Times New Roman"/>
          <w:sz w:val="24"/>
          <w:szCs w:val="24"/>
        </w:rPr>
        <w:t xml:space="preserve"> were essential, ensuring consistent and uninterrupted long-term price and arrival records, making them suitable for time-series econometric analysis. The </w:t>
      </w:r>
      <w:r w:rsidRPr="00F87E4B">
        <w:rPr>
          <w:rFonts w:ascii="Times New Roman" w:hAnsi="Times New Roman" w:cs="Times New Roman"/>
          <w:b/>
          <w:bCs/>
          <w:sz w:val="24"/>
          <w:szCs w:val="24"/>
        </w:rPr>
        <w:t>selected markets are among the largest contributors to paddy arriva</w:t>
      </w:r>
      <w:r w:rsidRPr="00F87E4B">
        <w:rPr>
          <w:rFonts w:ascii="Times New Roman" w:hAnsi="Times New Roman" w:cs="Times New Roman"/>
          <w:b/>
          <w:bCs/>
          <w:sz w:val="24"/>
          <w:szCs w:val="24"/>
        </w:rPr>
        <w:t>ls in their respective states</w:t>
      </w:r>
      <w:r w:rsidRPr="00F87E4B">
        <w:rPr>
          <w:rFonts w:ascii="Times New Roman" w:hAnsi="Times New Roman" w:cs="Times New Roman"/>
          <w:sz w:val="24"/>
          <w:szCs w:val="24"/>
        </w:rPr>
        <w:t xml:space="preserve">, playing a significant role in regional price discovery. Furthermore, these markets exhibit </w:t>
      </w:r>
      <w:r w:rsidRPr="00F87E4B">
        <w:rPr>
          <w:rFonts w:ascii="Times New Roman" w:hAnsi="Times New Roman" w:cs="Times New Roman"/>
          <w:b/>
          <w:bCs/>
          <w:sz w:val="24"/>
          <w:szCs w:val="24"/>
        </w:rPr>
        <w:t>distinct variations in supply chain structures, market linkages, and price transmission patterns</w:t>
      </w:r>
      <w:r w:rsidRPr="00F87E4B">
        <w:rPr>
          <w:rFonts w:ascii="Times New Roman" w:hAnsi="Times New Roman" w:cs="Times New Roman"/>
          <w:sz w:val="24"/>
          <w:szCs w:val="24"/>
        </w:rPr>
        <w:t>, making them an ideal sample for eval</w:t>
      </w:r>
      <w:r w:rsidRPr="00F87E4B">
        <w:rPr>
          <w:rFonts w:ascii="Times New Roman" w:hAnsi="Times New Roman" w:cs="Times New Roman"/>
          <w:sz w:val="24"/>
          <w:szCs w:val="24"/>
        </w:rPr>
        <w:t>uating the dynamics of market integration at the national level.</w:t>
      </w:r>
    </w:p>
    <w:p w14:paraId="02DD43C8" w14:textId="77777777" w:rsidR="00F87E4B" w:rsidRPr="00F87E4B" w:rsidRDefault="00481EB1"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The study utilizes </w:t>
      </w:r>
      <w:r w:rsidRPr="00F87E4B">
        <w:rPr>
          <w:rFonts w:ascii="Times New Roman" w:hAnsi="Times New Roman" w:cs="Times New Roman"/>
          <w:b/>
          <w:bCs/>
          <w:sz w:val="24"/>
          <w:szCs w:val="24"/>
        </w:rPr>
        <w:t>secondary data</w:t>
      </w:r>
      <w:r w:rsidRPr="00F87E4B">
        <w:rPr>
          <w:rFonts w:ascii="Times New Roman" w:hAnsi="Times New Roman" w:cs="Times New Roman"/>
          <w:sz w:val="24"/>
          <w:szCs w:val="24"/>
        </w:rPr>
        <w:t xml:space="preserve"> on monthly wholesale prices and arrivals of paddy from </w:t>
      </w:r>
      <w:r w:rsidRPr="00F87E4B">
        <w:rPr>
          <w:rFonts w:ascii="Times New Roman" w:hAnsi="Times New Roman" w:cs="Times New Roman"/>
          <w:b/>
          <w:bCs/>
          <w:sz w:val="24"/>
          <w:szCs w:val="24"/>
        </w:rPr>
        <w:t>Agmarknet</w:t>
      </w:r>
      <w:r w:rsidRPr="00F87E4B">
        <w:rPr>
          <w:rFonts w:ascii="Times New Roman" w:hAnsi="Times New Roman" w:cs="Times New Roman"/>
          <w:sz w:val="24"/>
          <w:szCs w:val="24"/>
        </w:rPr>
        <w:t xml:space="preserve"> and other relevant governmental publications, such as the </w:t>
      </w:r>
      <w:r w:rsidRPr="00F87E4B">
        <w:rPr>
          <w:rFonts w:ascii="Times New Roman" w:hAnsi="Times New Roman" w:cs="Times New Roman"/>
          <w:b/>
          <w:bCs/>
          <w:sz w:val="24"/>
          <w:szCs w:val="24"/>
        </w:rPr>
        <w:t>Agricultural Statistics at a Glanc</w:t>
      </w:r>
      <w:r w:rsidRPr="00F87E4B">
        <w:rPr>
          <w:rFonts w:ascii="Times New Roman" w:hAnsi="Times New Roman" w:cs="Times New Roman"/>
          <w:b/>
          <w:bCs/>
          <w:sz w:val="24"/>
          <w:szCs w:val="24"/>
        </w:rPr>
        <w:t>e (2023), Economic Survey (2024-25), and reports from the Ministry of Agriculture and Farmers Welfare</w:t>
      </w:r>
      <w:r w:rsidRPr="00F87E4B">
        <w:rPr>
          <w:rFonts w:ascii="Times New Roman" w:hAnsi="Times New Roman" w:cs="Times New Roman"/>
          <w:sz w:val="24"/>
          <w:szCs w:val="24"/>
        </w:rPr>
        <w:t xml:space="preserve">. The dataset spans a </w:t>
      </w:r>
      <w:r w:rsidRPr="00F87E4B">
        <w:rPr>
          <w:rFonts w:ascii="Times New Roman" w:hAnsi="Times New Roman" w:cs="Times New Roman"/>
          <w:b/>
          <w:bCs/>
          <w:sz w:val="24"/>
          <w:szCs w:val="24"/>
        </w:rPr>
        <w:t>15-year period (2009-10 to 202</w:t>
      </w:r>
      <w:r>
        <w:rPr>
          <w:rFonts w:ascii="Times New Roman" w:hAnsi="Times New Roman" w:cs="Times New Roman"/>
          <w:b/>
          <w:bCs/>
          <w:sz w:val="24"/>
          <w:szCs w:val="24"/>
        </w:rPr>
        <w:t>3</w:t>
      </w:r>
      <w:r w:rsidRPr="00F87E4B">
        <w:rPr>
          <w:rFonts w:ascii="Times New Roman" w:hAnsi="Times New Roman" w:cs="Times New Roman"/>
          <w:b/>
          <w:bCs/>
          <w:sz w:val="24"/>
          <w:szCs w:val="24"/>
        </w:rPr>
        <w:t>-2</w:t>
      </w:r>
      <w:r>
        <w:rPr>
          <w:rFonts w:ascii="Times New Roman" w:hAnsi="Times New Roman" w:cs="Times New Roman"/>
          <w:b/>
          <w:bCs/>
          <w:sz w:val="24"/>
          <w:szCs w:val="24"/>
        </w:rPr>
        <w:t>4</w:t>
      </w:r>
      <w:r w:rsidRPr="00F87E4B">
        <w:rPr>
          <w:rFonts w:ascii="Times New Roman" w:hAnsi="Times New Roman" w:cs="Times New Roman"/>
          <w:b/>
          <w:bCs/>
          <w:sz w:val="24"/>
          <w:szCs w:val="24"/>
        </w:rPr>
        <w:t>),</w:t>
      </w:r>
      <w:r w:rsidRPr="00F87E4B">
        <w:rPr>
          <w:rFonts w:ascii="Times New Roman" w:hAnsi="Times New Roman" w:cs="Times New Roman"/>
          <w:sz w:val="24"/>
          <w:szCs w:val="24"/>
        </w:rPr>
        <w:t xml:space="preserve"> enabling a </w:t>
      </w:r>
      <w:r w:rsidRPr="00F87E4B">
        <w:rPr>
          <w:rFonts w:ascii="Times New Roman" w:hAnsi="Times New Roman" w:cs="Times New Roman"/>
          <w:b/>
          <w:bCs/>
          <w:sz w:val="24"/>
          <w:szCs w:val="24"/>
        </w:rPr>
        <w:t>longitudinal analysis</w:t>
      </w:r>
      <w:r w:rsidRPr="00F87E4B">
        <w:rPr>
          <w:rFonts w:ascii="Times New Roman" w:hAnsi="Times New Roman" w:cs="Times New Roman"/>
          <w:sz w:val="24"/>
          <w:szCs w:val="24"/>
        </w:rPr>
        <w:t xml:space="preserve"> of market integration dynamics. Given the </w:t>
      </w:r>
      <w:r w:rsidRPr="00F87E4B">
        <w:rPr>
          <w:rFonts w:ascii="Times New Roman" w:hAnsi="Times New Roman" w:cs="Times New Roman"/>
          <w:b/>
          <w:bCs/>
          <w:sz w:val="24"/>
          <w:szCs w:val="24"/>
        </w:rPr>
        <w:t xml:space="preserve">potential issues of </w:t>
      </w:r>
      <w:r w:rsidRPr="00F87E4B">
        <w:rPr>
          <w:rFonts w:ascii="Times New Roman" w:hAnsi="Times New Roman" w:cs="Times New Roman"/>
          <w:b/>
          <w:bCs/>
          <w:sz w:val="24"/>
          <w:szCs w:val="24"/>
        </w:rPr>
        <w:t>data inconsistencies</w:t>
      </w:r>
      <w:r w:rsidRPr="00F87E4B">
        <w:rPr>
          <w:rFonts w:ascii="Times New Roman" w:hAnsi="Times New Roman" w:cs="Times New Roman"/>
          <w:sz w:val="24"/>
          <w:szCs w:val="24"/>
        </w:rPr>
        <w:t xml:space="preserve">, rigorous </w:t>
      </w:r>
      <w:r w:rsidRPr="00F87E4B">
        <w:rPr>
          <w:rFonts w:ascii="Times New Roman" w:hAnsi="Times New Roman" w:cs="Times New Roman"/>
          <w:b/>
          <w:bCs/>
          <w:sz w:val="24"/>
          <w:szCs w:val="24"/>
        </w:rPr>
        <w:t>data cleaning and preprocessing</w:t>
      </w:r>
      <w:r w:rsidRPr="00F87E4B">
        <w:rPr>
          <w:rFonts w:ascii="Times New Roman" w:hAnsi="Times New Roman" w:cs="Times New Roman"/>
          <w:sz w:val="24"/>
          <w:szCs w:val="24"/>
        </w:rPr>
        <w:t xml:space="preserve"> procedures were </w:t>
      </w:r>
      <w:r w:rsidRPr="00F87E4B">
        <w:rPr>
          <w:rFonts w:ascii="Times New Roman" w:hAnsi="Times New Roman" w:cs="Times New Roman"/>
          <w:sz w:val="24"/>
          <w:szCs w:val="24"/>
        </w:rPr>
        <w:lastRenderedPageBreak/>
        <w:t xml:space="preserve">undertaken. Missing values were addressed through </w:t>
      </w:r>
      <w:r w:rsidRPr="00F87E4B">
        <w:rPr>
          <w:rFonts w:ascii="Times New Roman" w:hAnsi="Times New Roman" w:cs="Times New Roman"/>
          <w:b/>
          <w:bCs/>
          <w:sz w:val="24"/>
          <w:szCs w:val="24"/>
        </w:rPr>
        <w:t>linear interpolation</w:t>
      </w:r>
      <w:r w:rsidRPr="00F87E4B">
        <w:rPr>
          <w:rFonts w:ascii="Times New Roman" w:hAnsi="Times New Roman" w:cs="Times New Roman"/>
          <w:sz w:val="24"/>
          <w:szCs w:val="24"/>
        </w:rPr>
        <w:t>, a widely accepted method in time-series analysis that maintains the integrity of the dataset while minimi</w:t>
      </w:r>
      <w:r w:rsidRPr="00F87E4B">
        <w:rPr>
          <w:rFonts w:ascii="Times New Roman" w:hAnsi="Times New Roman" w:cs="Times New Roman"/>
          <w:sz w:val="24"/>
          <w:szCs w:val="24"/>
        </w:rPr>
        <w:t xml:space="preserve">zing bias. Outliers were detected using </w:t>
      </w:r>
      <w:r w:rsidRPr="00F87E4B">
        <w:rPr>
          <w:rFonts w:ascii="Times New Roman" w:hAnsi="Times New Roman" w:cs="Times New Roman"/>
          <w:b/>
          <w:bCs/>
          <w:sz w:val="24"/>
          <w:szCs w:val="24"/>
        </w:rPr>
        <w:t>Tukey’s Fences method</w:t>
      </w:r>
      <w:r w:rsidRPr="00F87E4B">
        <w:rPr>
          <w:rFonts w:ascii="Times New Roman" w:hAnsi="Times New Roman" w:cs="Times New Roman"/>
          <w:sz w:val="24"/>
          <w:szCs w:val="24"/>
        </w:rPr>
        <w:t xml:space="preserve">, which identifies extreme price fluctuations that could distort model estimates. Furthermore, the </w:t>
      </w:r>
      <w:r w:rsidRPr="00F87E4B">
        <w:rPr>
          <w:rFonts w:ascii="Times New Roman" w:hAnsi="Times New Roman" w:cs="Times New Roman"/>
          <w:b/>
          <w:bCs/>
          <w:sz w:val="24"/>
          <w:szCs w:val="24"/>
        </w:rPr>
        <w:t>Augmented Dickey-Fuller (ADF) test</w:t>
      </w:r>
      <w:r w:rsidRPr="00F87E4B">
        <w:rPr>
          <w:rFonts w:ascii="Times New Roman" w:hAnsi="Times New Roman" w:cs="Times New Roman"/>
          <w:sz w:val="24"/>
          <w:szCs w:val="24"/>
        </w:rPr>
        <w:t xml:space="preserve"> was conducted at the preliminary stage to confirm the station</w:t>
      </w:r>
      <w:r w:rsidRPr="00F87E4B">
        <w:rPr>
          <w:rFonts w:ascii="Times New Roman" w:hAnsi="Times New Roman" w:cs="Times New Roman"/>
          <w:sz w:val="24"/>
          <w:szCs w:val="24"/>
        </w:rPr>
        <w:t>arity of price series, ensuring that subsequent econometric analysis adhered to fundamental time-series assumptions.</w:t>
      </w:r>
    </w:p>
    <w:p w14:paraId="7D7E1124" w14:textId="77777777" w:rsidR="00F87E4B" w:rsidRPr="00F87E4B" w:rsidRDefault="00481EB1"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To systematically assess the degree of market integration, a combination of </w:t>
      </w:r>
      <w:r w:rsidRPr="00F87E4B">
        <w:rPr>
          <w:rFonts w:ascii="Times New Roman" w:hAnsi="Times New Roman" w:cs="Times New Roman"/>
          <w:b/>
          <w:bCs/>
          <w:sz w:val="24"/>
          <w:szCs w:val="24"/>
        </w:rPr>
        <w:t>advanced econometric models</w:t>
      </w:r>
      <w:r w:rsidRPr="00F87E4B">
        <w:rPr>
          <w:rFonts w:ascii="Times New Roman" w:hAnsi="Times New Roman" w:cs="Times New Roman"/>
          <w:sz w:val="24"/>
          <w:szCs w:val="24"/>
        </w:rPr>
        <w:t xml:space="preserve"> was employed. First, the </w:t>
      </w:r>
      <w:r w:rsidRPr="00F87E4B">
        <w:rPr>
          <w:rFonts w:ascii="Times New Roman" w:hAnsi="Times New Roman" w:cs="Times New Roman"/>
          <w:b/>
          <w:bCs/>
          <w:sz w:val="24"/>
          <w:szCs w:val="24"/>
        </w:rPr>
        <w:t>Bai-Perron</w:t>
      </w:r>
      <w:r w:rsidRPr="00F87E4B">
        <w:rPr>
          <w:rFonts w:ascii="Times New Roman" w:hAnsi="Times New Roman" w:cs="Times New Roman"/>
          <w:b/>
          <w:bCs/>
          <w:sz w:val="24"/>
          <w:szCs w:val="24"/>
        </w:rPr>
        <w:t xml:space="preserve"> structural break test</w:t>
      </w:r>
      <w:r w:rsidRPr="00F87E4B">
        <w:rPr>
          <w:rFonts w:ascii="Times New Roman" w:hAnsi="Times New Roman" w:cs="Times New Roman"/>
          <w:sz w:val="24"/>
          <w:szCs w:val="24"/>
        </w:rPr>
        <w:t xml:space="preserve"> was applied to identify </w:t>
      </w:r>
      <w:r w:rsidRPr="00F87E4B">
        <w:rPr>
          <w:rFonts w:ascii="Times New Roman" w:hAnsi="Times New Roman" w:cs="Times New Roman"/>
          <w:b/>
          <w:bCs/>
          <w:sz w:val="24"/>
          <w:szCs w:val="24"/>
        </w:rPr>
        <w:t>significant changes in the price series over time</w:t>
      </w:r>
      <w:r w:rsidRPr="00F87E4B">
        <w:rPr>
          <w:rFonts w:ascii="Times New Roman" w:hAnsi="Times New Roman" w:cs="Times New Roman"/>
          <w:sz w:val="24"/>
          <w:szCs w:val="24"/>
        </w:rPr>
        <w:t xml:space="preserve">. Structural breaks in agricultural price series often arise due to </w:t>
      </w:r>
      <w:r w:rsidRPr="00F87E4B">
        <w:rPr>
          <w:rFonts w:ascii="Times New Roman" w:hAnsi="Times New Roman" w:cs="Times New Roman"/>
          <w:b/>
          <w:bCs/>
          <w:sz w:val="24"/>
          <w:szCs w:val="24"/>
        </w:rPr>
        <w:t>policy interventions, macroeconomic shocks, or climate-related events</w:t>
      </w:r>
      <w:r w:rsidRPr="00F87E4B">
        <w:rPr>
          <w:rFonts w:ascii="Times New Roman" w:hAnsi="Times New Roman" w:cs="Times New Roman"/>
          <w:sz w:val="24"/>
          <w:szCs w:val="24"/>
        </w:rPr>
        <w:t>, and failing to accoun</w:t>
      </w:r>
      <w:r w:rsidRPr="00F87E4B">
        <w:rPr>
          <w:rFonts w:ascii="Times New Roman" w:hAnsi="Times New Roman" w:cs="Times New Roman"/>
          <w:sz w:val="24"/>
          <w:szCs w:val="24"/>
        </w:rPr>
        <w:t xml:space="preserve">t for these breaks can lead to </w:t>
      </w:r>
      <w:r w:rsidRPr="00F87E4B">
        <w:rPr>
          <w:rFonts w:ascii="Times New Roman" w:hAnsi="Times New Roman" w:cs="Times New Roman"/>
          <w:b/>
          <w:bCs/>
          <w:sz w:val="24"/>
          <w:szCs w:val="24"/>
        </w:rPr>
        <w:t>misleading inferences about market integration</w:t>
      </w:r>
      <w:r w:rsidRPr="00F87E4B">
        <w:rPr>
          <w:rFonts w:ascii="Times New Roman" w:hAnsi="Times New Roman" w:cs="Times New Roman"/>
          <w:sz w:val="24"/>
          <w:szCs w:val="24"/>
        </w:rPr>
        <w:t xml:space="preserve"> (Bai &amp; Perron, 2003). This test was preferred over traditional </w:t>
      </w:r>
      <w:r w:rsidRPr="00F87E4B">
        <w:rPr>
          <w:rFonts w:ascii="Times New Roman" w:hAnsi="Times New Roman" w:cs="Times New Roman"/>
          <w:b/>
          <w:bCs/>
          <w:sz w:val="24"/>
          <w:szCs w:val="24"/>
        </w:rPr>
        <w:t>Chow tests</w:t>
      </w:r>
      <w:r w:rsidRPr="00F87E4B">
        <w:rPr>
          <w:rFonts w:ascii="Times New Roman" w:hAnsi="Times New Roman" w:cs="Times New Roman"/>
          <w:sz w:val="24"/>
          <w:szCs w:val="24"/>
        </w:rPr>
        <w:t xml:space="preserve">, as it allows for the detection of </w:t>
      </w:r>
      <w:r w:rsidRPr="00F87E4B">
        <w:rPr>
          <w:rFonts w:ascii="Times New Roman" w:hAnsi="Times New Roman" w:cs="Times New Roman"/>
          <w:b/>
          <w:bCs/>
          <w:sz w:val="24"/>
          <w:szCs w:val="24"/>
        </w:rPr>
        <w:t>multiple unknown breakpoints</w:t>
      </w:r>
      <w:r w:rsidRPr="00F87E4B">
        <w:rPr>
          <w:rFonts w:ascii="Times New Roman" w:hAnsi="Times New Roman" w:cs="Times New Roman"/>
          <w:sz w:val="24"/>
          <w:szCs w:val="24"/>
        </w:rPr>
        <w:t>, making it more flexible for analyzing s</w:t>
      </w:r>
      <w:r w:rsidRPr="00F87E4B">
        <w:rPr>
          <w:rFonts w:ascii="Times New Roman" w:hAnsi="Times New Roman" w:cs="Times New Roman"/>
          <w:sz w:val="24"/>
          <w:szCs w:val="24"/>
        </w:rPr>
        <w:t>tructural shifts in price data.</w:t>
      </w:r>
    </w:p>
    <w:p w14:paraId="686488D7" w14:textId="77777777" w:rsidR="00F87E4B" w:rsidRPr="00F87E4B" w:rsidRDefault="00481EB1"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To examine long-run price relationships, </w:t>
      </w:r>
      <w:r w:rsidRPr="00F87E4B">
        <w:rPr>
          <w:rFonts w:ascii="Times New Roman" w:hAnsi="Times New Roman" w:cs="Times New Roman"/>
          <w:b/>
          <w:bCs/>
          <w:sz w:val="24"/>
          <w:szCs w:val="24"/>
        </w:rPr>
        <w:t>Johansen’s Co-integration Test</w:t>
      </w:r>
      <w:r w:rsidRPr="00F87E4B">
        <w:rPr>
          <w:rFonts w:ascii="Times New Roman" w:hAnsi="Times New Roman" w:cs="Times New Roman"/>
          <w:sz w:val="24"/>
          <w:szCs w:val="24"/>
        </w:rPr>
        <w:t xml:space="preserve"> was employed, which is more robust than the </w:t>
      </w:r>
      <w:r w:rsidRPr="00F87E4B">
        <w:rPr>
          <w:rFonts w:ascii="Times New Roman" w:hAnsi="Times New Roman" w:cs="Times New Roman"/>
          <w:b/>
          <w:bCs/>
          <w:sz w:val="24"/>
          <w:szCs w:val="24"/>
        </w:rPr>
        <w:t>Engle-Granger two-step method</w:t>
      </w:r>
      <w:r w:rsidRPr="00F87E4B">
        <w:rPr>
          <w:rFonts w:ascii="Times New Roman" w:hAnsi="Times New Roman" w:cs="Times New Roman"/>
          <w:sz w:val="24"/>
          <w:szCs w:val="24"/>
        </w:rPr>
        <w:t xml:space="preserve"> in the presence of multiple cointegration relationships (Johansen, 1988). Give</w:t>
      </w:r>
      <w:r w:rsidRPr="00F87E4B">
        <w:rPr>
          <w:rFonts w:ascii="Times New Roman" w:hAnsi="Times New Roman" w:cs="Times New Roman"/>
          <w:sz w:val="24"/>
          <w:szCs w:val="24"/>
        </w:rPr>
        <w:t xml:space="preserve">n that agricultural markets exhibit </w:t>
      </w:r>
      <w:r w:rsidRPr="00F87E4B">
        <w:rPr>
          <w:rFonts w:ascii="Times New Roman" w:hAnsi="Times New Roman" w:cs="Times New Roman"/>
          <w:b/>
          <w:bCs/>
          <w:sz w:val="24"/>
          <w:szCs w:val="24"/>
        </w:rPr>
        <w:t>complex interdependencies</w:t>
      </w:r>
      <w:r w:rsidRPr="00F87E4B">
        <w:rPr>
          <w:rFonts w:ascii="Times New Roman" w:hAnsi="Times New Roman" w:cs="Times New Roman"/>
          <w:sz w:val="24"/>
          <w:szCs w:val="24"/>
        </w:rPr>
        <w:t xml:space="preserve">, a multivariate cointegration approach is necessary to capture the simultaneous price linkages across markets. The presence of co-integration would indicate that </w:t>
      </w:r>
      <w:r w:rsidRPr="00F87E4B">
        <w:rPr>
          <w:rFonts w:ascii="Times New Roman" w:hAnsi="Times New Roman" w:cs="Times New Roman"/>
          <w:b/>
          <w:bCs/>
          <w:sz w:val="24"/>
          <w:szCs w:val="24"/>
        </w:rPr>
        <w:t>paddy prices in different market</w:t>
      </w:r>
      <w:r w:rsidRPr="00F87E4B">
        <w:rPr>
          <w:rFonts w:ascii="Times New Roman" w:hAnsi="Times New Roman" w:cs="Times New Roman"/>
          <w:b/>
          <w:bCs/>
          <w:sz w:val="24"/>
          <w:szCs w:val="24"/>
        </w:rPr>
        <w:t>s move together over time, despite short-term fluctuations</w:t>
      </w:r>
      <w:r w:rsidRPr="00F87E4B">
        <w:rPr>
          <w:rFonts w:ascii="Times New Roman" w:hAnsi="Times New Roman" w:cs="Times New Roman"/>
          <w:sz w:val="24"/>
          <w:szCs w:val="24"/>
        </w:rPr>
        <w:t>.</w:t>
      </w:r>
    </w:p>
    <w:p w14:paraId="73E28D20" w14:textId="77777777" w:rsidR="00F87E4B" w:rsidRPr="00F87E4B" w:rsidRDefault="00481EB1"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The Vector Error Correction Model (VECM) was used to analyse short-run and long-run price adjustments further. This model extends traditional </w:t>
      </w:r>
      <w:r w:rsidRPr="00F87E4B">
        <w:rPr>
          <w:rFonts w:ascii="Times New Roman" w:hAnsi="Times New Roman" w:cs="Times New Roman"/>
          <w:b/>
          <w:bCs/>
          <w:sz w:val="24"/>
          <w:szCs w:val="24"/>
        </w:rPr>
        <w:t>Vector Autoregression (VAR) models</w:t>
      </w:r>
      <w:r w:rsidRPr="00F87E4B">
        <w:rPr>
          <w:rFonts w:ascii="Times New Roman" w:hAnsi="Times New Roman" w:cs="Times New Roman"/>
          <w:sz w:val="24"/>
          <w:szCs w:val="24"/>
        </w:rPr>
        <w:t xml:space="preserve"> by incorporating </w:t>
      </w:r>
      <w:r w:rsidRPr="00F87E4B">
        <w:rPr>
          <w:rFonts w:ascii="Times New Roman" w:hAnsi="Times New Roman" w:cs="Times New Roman"/>
          <w:b/>
          <w:bCs/>
          <w:sz w:val="24"/>
          <w:szCs w:val="24"/>
        </w:rPr>
        <w:t>er</w:t>
      </w:r>
      <w:r w:rsidRPr="00F87E4B">
        <w:rPr>
          <w:rFonts w:ascii="Times New Roman" w:hAnsi="Times New Roman" w:cs="Times New Roman"/>
          <w:b/>
          <w:bCs/>
          <w:sz w:val="24"/>
          <w:szCs w:val="24"/>
        </w:rPr>
        <w:t>ror correction mechanisms</w:t>
      </w:r>
      <w:r w:rsidRPr="00F87E4B">
        <w:rPr>
          <w:rFonts w:ascii="Times New Roman" w:hAnsi="Times New Roman" w:cs="Times New Roman"/>
          <w:sz w:val="24"/>
          <w:szCs w:val="24"/>
        </w:rPr>
        <w:t xml:space="preserve">, making it particularly well-suited for studying </w:t>
      </w:r>
      <w:r w:rsidRPr="00F87E4B">
        <w:rPr>
          <w:rFonts w:ascii="Times New Roman" w:hAnsi="Times New Roman" w:cs="Times New Roman"/>
          <w:b/>
          <w:bCs/>
          <w:sz w:val="24"/>
          <w:szCs w:val="24"/>
        </w:rPr>
        <w:t>markets that exhibit long-term equilibrium relationships but short-term deviations</w:t>
      </w:r>
      <w:r w:rsidRPr="00F87E4B">
        <w:rPr>
          <w:rFonts w:ascii="Times New Roman" w:hAnsi="Times New Roman" w:cs="Times New Roman"/>
          <w:sz w:val="24"/>
          <w:szCs w:val="24"/>
        </w:rPr>
        <w:t xml:space="preserve"> (Engle &amp; Granger, 1987). In agricultural markets, price transmission is often delayed due to </w:t>
      </w:r>
      <w:r w:rsidRPr="00F87E4B">
        <w:rPr>
          <w:rFonts w:ascii="Times New Roman" w:hAnsi="Times New Roman" w:cs="Times New Roman"/>
          <w:b/>
          <w:bCs/>
          <w:sz w:val="24"/>
          <w:szCs w:val="24"/>
        </w:rPr>
        <w:t>trans</w:t>
      </w:r>
      <w:r w:rsidRPr="00F87E4B">
        <w:rPr>
          <w:rFonts w:ascii="Times New Roman" w:hAnsi="Times New Roman" w:cs="Times New Roman"/>
          <w:b/>
          <w:bCs/>
          <w:sz w:val="24"/>
          <w:szCs w:val="24"/>
        </w:rPr>
        <w:t>portation lags, market frictions, and supply chain inefficiencies</w:t>
      </w:r>
      <w:r w:rsidRPr="00F87E4B">
        <w:rPr>
          <w:rFonts w:ascii="Times New Roman" w:hAnsi="Times New Roman" w:cs="Times New Roman"/>
          <w:sz w:val="24"/>
          <w:szCs w:val="24"/>
        </w:rPr>
        <w:t>, making VECM a more appropriate tool than standard VAR models, which do not account for equilibrium restoration.</w:t>
      </w:r>
    </w:p>
    <w:p w14:paraId="554CE97A" w14:textId="77777777" w:rsidR="00F87E4B" w:rsidRPr="00F87E4B" w:rsidRDefault="00481EB1" w:rsidP="00F87E4B">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The </w:t>
      </w:r>
      <w:r w:rsidRPr="00F87E4B">
        <w:rPr>
          <w:rFonts w:ascii="Times New Roman" w:hAnsi="Times New Roman" w:cs="Times New Roman"/>
          <w:b/>
          <w:bCs/>
          <w:sz w:val="24"/>
          <w:szCs w:val="24"/>
        </w:rPr>
        <w:t>Granger Causality Test</w:t>
      </w:r>
      <w:r w:rsidRPr="00F87E4B">
        <w:rPr>
          <w:rFonts w:ascii="Times New Roman" w:hAnsi="Times New Roman" w:cs="Times New Roman"/>
          <w:sz w:val="24"/>
          <w:szCs w:val="24"/>
        </w:rPr>
        <w:t xml:space="preserve"> was also applied to identify </w:t>
      </w:r>
      <w:r w:rsidRPr="00F87E4B">
        <w:rPr>
          <w:rFonts w:ascii="Times New Roman" w:hAnsi="Times New Roman" w:cs="Times New Roman"/>
          <w:b/>
          <w:bCs/>
          <w:sz w:val="24"/>
          <w:szCs w:val="24"/>
        </w:rPr>
        <w:t>the direction of pric</w:t>
      </w:r>
      <w:r w:rsidRPr="00F87E4B">
        <w:rPr>
          <w:rFonts w:ascii="Times New Roman" w:hAnsi="Times New Roman" w:cs="Times New Roman"/>
          <w:b/>
          <w:bCs/>
          <w:sz w:val="24"/>
          <w:szCs w:val="24"/>
        </w:rPr>
        <w:t>e influence among markets</w:t>
      </w:r>
      <w:r w:rsidRPr="00F87E4B">
        <w:rPr>
          <w:rFonts w:ascii="Times New Roman" w:hAnsi="Times New Roman" w:cs="Times New Roman"/>
          <w:sz w:val="24"/>
          <w:szCs w:val="24"/>
        </w:rPr>
        <w:t xml:space="preserve">. This test evaluates whether past price movements in one market can statistically predict future price changes in another, thereby identifying </w:t>
      </w:r>
      <w:r w:rsidRPr="00F87E4B">
        <w:rPr>
          <w:rFonts w:ascii="Times New Roman" w:hAnsi="Times New Roman" w:cs="Times New Roman"/>
          <w:b/>
          <w:bCs/>
          <w:sz w:val="24"/>
          <w:szCs w:val="24"/>
        </w:rPr>
        <w:t>dominant price-leading markets and dependent follower markets</w:t>
      </w:r>
      <w:r w:rsidRPr="00F87E4B">
        <w:rPr>
          <w:rFonts w:ascii="Times New Roman" w:hAnsi="Times New Roman" w:cs="Times New Roman"/>
          <w:sz w:val="24"/>
          <w:szCs w:val="24"/>
        </w:rPr>
        <w:t xml:space="preserve"> (Granger, 1969). Understa</w:t>
      </w:r>
      <w:r w:rsidRPr="00F87E4B">
        <w:rPr>
          <w:rFonts w:ascii="Times New Roman" w:hAnsi="Times New Roman" w:cs="Times New Roman"/>
          <w:sz w:val="24"/>
          <w:szCs w:val="24"/>
        </w:rPr>
        <w:t xml:space="preserve">nding these </w:t>
      </w:r>
      <w:r w:rsidRPr="00F87E4B">
        <w:rPr>
          <w:rFonts w:ascii="Times New Roman" w:hAnsi="Times New Roman" w:cs="Times New Roman"/>
          <w:sz w:val="24"/>
          <w:szCs w:val="24"/>
        </w:rPr>
        <w:lastRenderedPageBreak/>
        <w:t xml:space="preserve">causal linkages is crucial for policymakers aiming to </w:t>
      </w:r>
      <w:r w:rsidRPr="00F87E4B">
        <w:rPr>
          <w:rFonts w:ascii="Times New Roman" w:hAnsi="Times New Roman" w:cs="Times New Roman"/>
          <w:b/>
          <w:bCs/>
          <w:sz w:val="24"/>
          <w:szCs w:val="24"/>
        </w:rPr>
        <w:t>enhance market efficiency, reduce price volatility, and design targeted interventions</w:t>
      </w:r>
      <w:r w:rsidRPr="00F87E4B">
        <w:rPr>
          <w:rFonts w:ascii="Times New Roman" w:hAnsi="Times New Roman" w:cs="Times New Roman"/>
          <w:sz w:val="24"/>
          <w:szCs w:val="24"/>
        </w:rPr>
        <w:t>.</w:t>
      </w:r>
    </w:p>
    <w:p w14:paraId="02A5DA0C" w14:textId="77777777" w:rsidR="00F87E4B" w:rsidRDefault="00481EB1" w:rsidP="00920711">
      <w:pPr>
        <w:spacing w:line="360" w:lineRule="auto"/>
        <w:jc w:val="both"/>
        <w:rPr>
          <w:rFonts w:ascii="Times New Roman" w:hAnsi="Times New Roman" w:cs="Times New Roman"/>
          <w:sz w:val="24"/>
          <w:szCs w:val="24"/>
        </w:rPr>
      </w:pPr>
      <w:r w:rsidRPr="00F87E4B">
        <w:rPr>
          <w:rFonts w:ascii="Times New Roman" w:hAnsi="Times New Roman" w:cs="Times New Roman"/>
          <w:sz w:val="24"/>
          <w:szCs w:val="24"/>
        </w:rPr>
        <w:t xml:space="preserve">This study ensures high methodological reliability and empirical robustness by integrating a rigorous </w:t>
      </w:r>
      <w:r w:rsidRPr="00F87E4B">
        <w:rPr>
          <w:rFonts w:ascii="Times New Roman" w:hAnsi="Times New Roman" w:cs="Times New Roman"/>
          <w:b/>
          <w:bCs/>
          <w:sz w:val="24"/>
          <w:szCs w:val="24"/>
        </w:rPr>
        <w:t>e</w:t>
      </w:r>
      <w:r w:rsidRPr="00F87E4B">
        <w:rPr>
          <w:rFonts w:ascii="Times New Roman" w:hAnsi="Times New Roman" w:cs="Times New Roman"/>
          <w:b/>
          <w:bCs/>
          <w:sz w:val="24"/>
          <w:szCs w:val="24"/>
        </w:rPr>
        <w:t>conometric framework with robust data preprocessing procedures</w:t>
      </w:r>
      <w:r w:rsidRPr="00F87E4B">
        <w:rPr>
          <w:rFonts w:ascii="Times New Roman" w:hAnsi="Times New Roman" w:cs="Times New Roman"/>
          <w:sz w:val="24"/>
          <w:szCs w:val="24"/>
        </w:rPr>
        <w:t xml:space="preserve">. The findings derived from these models will provide </w:t>
      </w:r>
      <w:r w:rsidRPr="00F87E4B">
        <w:rPr>
          <w:rFonts w:ascii="Times New Roman" w:hAnsi="Times New Roman" w:cs="Times New Roman"/>
          <w:b/>
          <w:bCs/>
          <w:sz w:val="24"/>
          <w:szCs w:val="24"/>
        </w:rPr>
        <w:t>empirical evidence to guide policy recommendations for market stabilization, price forecasting, and improved farmer incomes</w:t>
      </w:r>
      <w:r w:rsidRPr="00F87E4B">
        <w:rPr>
          <w:rFonts w:ascii="Times New Roman" w:hAnsi="Times New Roman" w:cs="Times New Roman"/>
          <w:sz w:val="24"/>
          <w:szCs w:val="24"/>
        </w:rPr>
        <w:t>. This study’s co</w:t>
      </w:r>
      <w:r w:rsidRPr="00F87E4B">
        <w:rPr>
          <w:rFonts w:ascii="Times New Roman" w:hAnsi="Times New Roman" w:cs="Times New Roman"/>
          <w:sz w:val="24"/>
          <w:szCs w:val="24"/>
        </w:rPr>
        <w:t xml:space="preserve">ntribution lies in its </w:t>
      </w:r>
      <w:r w:rsidRPr="00F87E4B">
        <w:rPr>
          <w:rFonts w:ascii="Times New Roman" w:hAnsi="Times New Roman" w:cs="Times New Roman"/>
          <w:b/>
          <w:bCs/>
          <w:sz w:val="24"/>
          <w:szCs w:val="24"/>
        </w:rPr>
        <w:t>comprehensive methodological approach</w:t>
      </w:r>
      <w:r w:rsidRPr="00F87E4B">
        <w:rPr>
          <w:rFonts w:ascii="Times New Roman" w:hAnsi="Times New Roman" w:cs="Times New Roman"/>
          <w:sz w:val="24"/>
          <w:szCs w:val="24"/>
        </w:rPr>
        <w:t xml:space="preserve">, combining structural break analysis, long-run and short-run market integration assessments, and causal inference, thereby enhancing the understanding of </w:t>
      </w:r>
      <w:r w:rsidRPr="00F87E4B">
        <w:rPr>
          <w:rFonts w:ascii="Times New Roman" w:hAnsi="Times New Roman" w:cs="Times New Roman"/>
          <w:b/>
          <w:bCs/>
          <w:sz w:val="24"/>
          <w:szCs w:val="24"/>
        </w:rPr>
        <w:t xml:space="preserve">spatial price transmission mechanisms in </w:t>
      </w:r>
      <w:r w:rsidRPr="00F87E4B">
        <w:rPr>
          <w:rFonts w:ascii="Times New Roman" w:hAnsi="Times New Roman" w:cs="Times New Roman"/>
          <w:b/>
          <w:bCs/>
          <w:sz w:val="24"/>
          <w:szCs w:val="24"/>
        </w:rPr>
        <w:t>India’s paddy markets</w:t>
      </w:r>
      <w:r w:rsidRPr="00F87E4B">
        <w:rPr>
          <w:rFonts w:ascii="Times New Roman" w:hAnsi="Times New Roman" w:cs="Times New Roman"/>
          <w:sz w:val="24"/>
          <w:szCs w:val="24"/>
        </w:rPr>
        <w:t>.</w:t>
      </w:r>
      <w:bookmarkStart w:id="2" w:name="_Hlk190170400"/>
    </w:p>
    <w:p w14:paraId="2FAAA0FA" w14:textId="77777777" w:rsidR="004F3782" w:rsidRDefault="00481EB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14:anchorId="41A4FE17" wp14:editId="71B47F03">
            <wp:extent cx="2614295" cy="267716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2630183" cy="2693296"/>
                    </a:xfrm>
                    <a:prstGeom prst="rect">
                      <a:avLst/>
                    </a:prstGeom>
                    <a:noFill/>
                  </pic:spPr>
                </pic:pic>
              </a:graphicData>
            </a:graphic>
          </wp:inline>
        </w:drawing>
      </w:r>
    </w:p>
    <w:p w14:paraId="3FEE6D84" w14:textId="77777777" w:rsidR="004F3782" w:rsidRDefault="00481EB1">
      <w:pPr>
        <w:spacing w:line="360" w:lineRule="auto"/>
        <w:jc w:val="center"/>
        <w:rPr>
          <w:rFonts w:ascii="Times New Roman" w:hAnsi="Times New Roman" w:cs="Times New Roman"/>
          <w:sz w:val="24"/>
          <w:szCs w:val="24"/>
        </w:rPr>
      </w:pPr>
      <w:r>
        <w:rPr>
          <w:rFonts w:ascii="Times New Roman" w:hAnsi="Times New Roman" w:cs="Times New Roman"/>
          <w:b/>
          <w:bCs/>
          <w:sz w:val="20"/>
          <w:szCs w:val="20"/>
          <w:lang w:val="en-US" w:bidi="hi-IN"/>
        </w:rPr>
        <w:t>Fig 1. Selected major paddy markets in India and their geographical location</w:t>
      </w:r>
    </w:p>
    <w:bookmarkEnd w:id="2"/>
    <w:p w14:paraId="38EC3180" w14:textId="77777777" w:rsidR="00920711" w:rsidRDefault="00920711">
      <w:pPr>
        <w:jc w:val="both"/>
        <w:rPr>
          <w:rFonts w:ascii="Times New Roman" w:hAnsi="Times New Roman" w:cs="Times New Roman"/>
          <w:b/>
          <w:bCs/>
          <w:sz w:val="24"/>
          <w:szCs w:val="24"/>
        </w:rPr>
      </w:pPr>
    </w:p>
    <w:p w14:paraId="5833DF74" w14:textId="77777777" w:rsidR="00920711" w:rsidRDefault="00920711">
      <w:pPr>
        <w:jc w:val="both"/>
        <w:rPr>
          <w:rFonts w:ascii="Times New Roman" w:hAnsi="Times New Roman" w:cs="Times New Roman"/>
          <w:b/>
          <w:bCs/>
          <w:sz w:val="24"/>
          <w:szCs w:val="24"/>
        </w:rPr>
      </w:pPr>
    </w:p>
    <w:p w14:paraId="59104AD1" w14:textId="77777777" w:rsidR="004F3782" w:rsidRDefault="00481EB1">
      <w:pPr>
        <w:jc w:val="both"/>
        <w:rPr>
          <w:rFonts w:ascii="Times New Roman" w:hAnsi="Times New Roman" w:cs="Times New Roman"/>
          <w:b/>
          <w:bCs/>
          <w:sz w:val="24"/>
          <w:szCs w:val="24"/>
        </w:rPr>
      </w:pPr>
      <w:r>
        <w:rPr>
          <w:rFonts w:ascii="Times New Roman" w:hAnsi="Times New Roman" w:cs="Times New Roman"/>
          <w:b/>
          <w:bCs/>
          <w:sz w:val="24"/>
          <w:szCs w:val="24"/>
        </w:rPr>
        <w:t>Results &amp; Discussion:</w:t>
      </w:r>
    </w:p>
    <w:p w14:paraId="6113206C" w14:textId="77777777" w:rsidR="004F3782" w:rsidRDefault="00481EB1">
      <w:pPr>
        <w:jc w:val="both"/>
        <w:rPr>
          <w:rFonts w:ascii="Times New Roman" w:hAnsi="Times New Roman"/>
          <w:b/>
          <w:bCs/>
          <w:sz w:val="24"/>
          <w:szCs w:val="24"/>
        </w:rPr>
      </w:pPr>
      <w:bookmarkStart w:id="3" w:name="_Hlk190170941"/>
      <w:r>
        <w:rPr>
          <w:rFonts w:ascii="Times New Roman" w:hAnsi="Times New Roman"/>
          <w:b/>
          <w:bCs/>
          <w:sz w:val="24"/>
          <w:szCs w:val="24"/>
        </w:rPr>
        <w:t xml:space="preserve">Determination of Structural Break </w:t>
      </w:r>
    </w:p>
    <w:p w14:paraId="35CFA9AC" w14:textId="77777777" w:rsidR="004F3782" w:rsidRDefault="00481EB1">
      <w:pPr>
        <w:jc w:val="both"/>
        <w:rPr>
          <w:rFonts w:ascii="Times New Roman" w:hAnsi="Times New Roman"/>
          <w:sz w:val="24"/>
          <w:szCs w:val="24"/>
          <w:lang w:val="en-US"/>
        </w:rPr>
      </w:pPr>
      <w:r>
        <w:rPr>
          <w:rFonts w:ascii="Times New Roman" w:hAnsi="Times New Roman"/>
          <w:sz w:val="24"/>
          <w:szCs w:val="24"/>
        </w:rPr>
        <w:t>Table</w:t>
      </w:r>
      <w:r>
        <w:rPr>
          <w:rFonts w:ascii="Times New Roman" w:hAnsi="Times New Roman"/>
          <w:sz w:val="24"/>
          <w:szCs w:val="24"/>
          <w:lang w:val="en-US"/>
        </w:rPr>
        <w:t>.</w:t>
      </w:r>
      <w:r>
        <w:rPr>
          <w:rFonts w:ascii="Times New Roman" w:hAnsi="Times New Roman"/>
          <w:sz w:val="24"/>
          <w:szCs w:val="24"/>
        </w:rPr>
        <w:t xml:space="preserve">1 depicts the structural breaks in the series that are found by employing sequentially </w:t>
      </w:r>
      <w:r>
        <w:rPr>
          <w:rFonts w:ascii="Times New Roman" w:hAnsi="Times New Roman"/>
          <w:sz w:val="24"/>
          <w:szCs w:val="24"/>
        </w:rPr>
        <w:t>determined Bai and Perron L+1 test</w:t>
      </w:r>
      <w:r>
        <w:rPr>
          <w:rFonts w:ascii="Times New Roman" w:hAnsi="Times New Roman"/>
          <w:sz w:val="24"/>
          <w:szCs w:val="24"/>
          <w:lang w:val="en-US"/>
        </w:rPr>
        <w:t xml:space="preserve">. </w:t>
      </w:r>
    </w:p>
    <w:p w14:paraId="7AAD0E89" w14:textId="77777777" w:rsidR="004F3782" w:rsidRDefault="00481EB1">
      <w:pPr>
        <w:spacing w:after="0" w:line="240" w:lineRule="auto"/>
        <w:jc w:val="center"/>
        <w:rPr>
          <w:rFonts w:ascii="Times New Roman" w:hAnsi="Times New Roman"/>
          <w:b/>
          <w:bCs/>
          <w:lang w:val="en-US"/>
        </w:rPr>
      </w:pPr>
      <w:r>
        <w:rPr>
          <w:rFonts w:ascii="Times New Roman" w:hAnsi="Times New Roman"/>
          <w:b/>
          <w:bCs/>
          <w:lang w:val="en-US"/>
        </w:rPr>
        <w:t>Table 1. Structural break points of paddy in selected markets</w:t>
      </w:r>
    </w:p>
    <w:tbl>
      <w:tblPr>
        <w:tblStyle w:val="TableGrid"/>
        <w:tblW w:w="0" w:type="auto"/>
        <w:jc w:val="center"/>
        <w:tblLook w:val="04A0" w:firstRow="1" w:lastRow="0" w:firstColumn="1" w:lastColumn="0" w:noHBand="0" w:noVBand="1"/>
      </w:tblPr>
      <w:tblGrid>
        <w:gridCol w:w="2280"/>
        <w:gridCol w:w="2280"/>
      </w:tblGrid>
      <w:tr w:rsidR="00381735" w14:paraId="44CD9708" w14:textId="77777777">
        <w:trPr>
          <w:trHeight w:val="291"/>
          <w:jc w:val="center"/>
        </w:trPr>
        <w:tc>
          <w:tcPr>
            <w:tcW w:w="2280" w:type="dxa"/>
            <w:vAlign w:val="center"/>
          </w:tcPr>
          <w:p w14:paraId="5C13A2EA" w14:textId="77777777" w:rsidR="004F3782" w:rsidRDefault="00481EB1">
            <w:pPr>
              <w:pStyle w:val="NormalWeb"/>
              <w:jc w:val="center"/>
            </w:pPr>
            <w:r>
              <w:rPr>
                <w:b/>
                <w:bCs/>
              </w:rPr>
              <w:t>Market</w:t>
            </w:r>
          </w:p>
        </w:tc>
        <w:tc>
          <w:tcPr>
            <w:tcW w:w="2280" w:type="dxa"/>
            <w:vAlign w:val="center"/>
          </w:tcPr>
          <w:p w14:paraId="785DE2AA" w14:textId="77777777" w:rsidR="004F3782" w:rsidRDefault="00481EB1">
            <w:pPr>
              <w:pStyle w:val="NormalWeb"/>
              <w:jc w:val="center"/>
            </w:pPr>
            <w:r>
              <w:rPr>
                <w:b/>
                <w:bCs/>
              </w:rPr>
              <w:t>Break Point - I</w:t>
            </w:r>
          </w:p>
        </w:tc>
      </w:tr>
      <w:tr w:rsidR="00381735" w14:paraId="4CC427B8" w14:textId="77777777">
        <w:trPr>
          <w:trHeight w:val="291"/>
          <w:jc w:val="center"/>
        </w:trPr>
        <w:tc>
          <w:tcPr>
            <w:tcW w:w="2280" w:type="dxa"/>
            <w:vAlign w:val="center"/>
          </w:tcPr>
          <w:p w14:paraId="1E27F0BD" w14:textId="77777777" w:rsidR="004F3782" w:rsidRDefault="00481EB1">
            <w:pPr>
              <w:pStyle w:val="NormalWeb"/>
              <w:jc w:val="center"/>
            </w:pPr>
            <w:r>
              <w:t>Kota</w:t>
            </w:r>
          </w:p>
        </w:tc>
        <w:tc>
          <w:tcPr>
            <w:tcW w:w="2280" w:type="dxa"/>
            <w:vAlign w:val="center"/>
          </w:tcPr>
          <w:p w14:paraId="7D4B4C89" w14:textId="77777777" w:rsidR="004F3782" w:rsidRDefault="00481EB1">
            <w:pPr>
              <w:pStyle w:val="NormalWeb"/>
              <w:jc w:val="center"/>
            </w:pPr>
            <w:r>
              <w:t>April, 2012</w:t>
            </w:r>
          </w:p>
        </w:tc>
      </w:tr>
      <w:tr w:rsidR="00381735" w14:paraId="77858B7D" w14:textId="77777777">
        <w:trPr>
          <w:trHeight w:val="291"/>
          <w:jc w:val="center"/>
        </w:trPr>
        <w:tc>
          <w:tcPr>
            <w:tcW w:w="2280" w:type="dxa"/>
            <w:vAlign w:val="center"/>
          </w:tcPr>
          <w:p w14:paraId="1C3492BD" w14:textId="77777777" w:rsidR="004F3782" w:rsidRDefault="00481EB1">
            <w:pPr>
              <w:pStyle w:val="NormalWeb"/>
              <w:jc w:val="center"/>
            </w:pPr>
            <w:r>
              <w:t>Attabira</w:t>
            </w:r>
          </w:p>
        </w:tc>
        <w:tc>
          <w:tcPr>
            <w:tcW w:w="2280" w:type="dxa"/>
            <w:vAlign w:val="center"/>
          </w:tcPr>
          <w:p w14:paraId="27EE2EC9" w14:textId="77777777" w:rsidR="004F3782" w:rsidRDefault="00481EB1">
            <w:pPr>
              <w:pStyle w:val="NormalWeb"/>
              <w:jc w:val="center"/>
            </w:pPr>
            <w:r>
              <w:t>October. 2013</w:t>
            </w:r>
          </w:p>
        </w:tc>
      </w:tr>
      <w:tr w:rsidR="00381735" w14:paraId="770B65EE" w14:textId="77777777">
        <w:trPr>
          <w:trHeight w:val="291"/>
          <w:jc w:val="center"/>
        </w:trPr>
        <w:tc>
          <w:tcPr>
            <w:tcW w:w="2280" w:type="dxa"/>
            <w:vAlign w:val="center"/>
          </w:tcPr>
          <w:p w14:paraId="59453CA2" w14:textId="77777777" w:rsidR="004F3782" w:rsidRDefault="00481EB1">
            <w:pPr>
              <w:pStyle w:val="NormalWeb"/>
              <w:jc w:val="center"/>
            </w:pPr>
            <w:r>
              <w:t>Sindhanur</w:t>
            </w:r>
          </w:p>
        </w:tc>
        <w:tc>
          <w:tcPr>
            <w:tcW w:w="2280" w:type="dxa"/>
            <w:vAlign w:val="center"/>
          </w:tcPr>
          <w:p w14:paraId="5034075D" w14:textId="77777777" w:rsidR="004F3782" w:rsidRDefault="00481EB1">
            <w:pPr>
              <w:pStyle w:val="NormalWeb"/>
              <w:jc w:val="center"/>
            </w:pPr>
            <w:r>
              <w:t>February, 2012</w:t>
            </w:r>
          </w:p>
        </w:tc>
      </w:tr>
      <w:tr w:rsidR="00381735" w14:paraId="3D42216F" w14:textId="77777777">
        <w:trPr>
          <w:trHeight w:val="291"/>
          <w:jc w:val="center"/>
        </w:trPr>
        <w:tc>
          <w:tcPr>
            <w:tcW w:w="2280" w:type="dxa"/>
            <w:vAlign w:val="center"/>
          </w:tcPr>
          <w:p w14:paraId="0B5251ED" w14:textId="77777777" w:rsidR="004F3782" w:rsidRDefault="00481EB1">
            <w:pPr>
              <w:pStyle w:val="NormalWeb"/>
              <w:jc w:val="center"/>
            </w:pPr>
            <w:r>
              <w:t>Dahod</w:t>
            </w:r>
          </w:p>
        </w:tc>
        <w:tc>
          <w:tcPr>
            <w:tcW w:w="2280" w:type="dxa"/>
            <w:vAlign w:val="center"/>
          </w:tcPr>
          <w:p w14:paraId="701DAB50" w14:textId="77777777" w:rsidR="004F3782" w:rsidRDefault="00481EB1">
            <w:pPr>
              <w:pStyle w:val="NormalWeb"/>
              <w:jc w:val="center"/>
            </w:pPr>
            <w:r>
              <w:t>November, 2012</w:t>
            </w:r>
          </w:p>
        </w:tc>
      </w:tr>
      <w:tr w:rsidR="00381735" w14:paraId="0E2A86EC" w14:textId="77777777">
        <w:trPr>
          <w:trHeight w:val="311"/>
          <w:jc w:val="center"/>
        </w:trPr>
        <w:tc>
          <w:tcPr>
            <w:tcW w:w="2280" w:type="dxa"/>
            <w:vAlign w:val="center"/>
          </w:tcPr>
          <w:p w14:paraId="2D098574" w14:textId="77777777" w:rsidR="004F3782" w:rsidRDefault="00481EB1">
            <w:pPr>
              <w:pStyle w:val="NormalWeb"/>
              <w:jc w:val="center"/>
            </w:pPr>
            <w:r>
              <w:t>Bhatapara</w:t>
            </w:r>
          </w:p>
        </w:tc>
        <w:tc>
          <w:tcPr>
            <w:tcW w:w="2280" w:type="dxa"/>
            <w:vAlign w:val="center"/>
          </w:tcPr>
          <w:p w14:paraId="61517CB8" w14:textId="77777777" w:rsidR="004F3782" w:rsidRDefault="00481EB1">
            <w:pPr>
              <w:pStyle w:val="NormalWeb"/>
              <w:jc w:val="center"/>
            </w:pPr>
            <w:r>
              <w:t>May, 2012</w:t>
            </w:r>
          </w:p>
        </w:tc>
      </w:tr>
    </w:tbl>
    <w:p w14:paraId="1086CAAD" w14:textId="77777777" w:rsidR="004F3782" w:rsidRDefault="00481EB1">
      <w:pPr>
        <w:spacing w:after="0" w:line="240" w:lineRule="auto"/>
        <w:jc w:val="both"/>
        <w:rPr>
          <w:rFonts w:ascii="Times New Roman" w:hAnsi="Times New Roman"/>
          <w:sz w:val="20"/>
          <w:szCs w:val="20"/>
          <w:lang w:val="en-US"/>
        </w:rPr>
      </w:pPr>
      <w:r>
        <w:rPr>
          <w:rFonts w:ascii="Times New Roman" w:hAnsi="Times New Roman"/>
          <w:sz w:val="20"/>
          <w:szCs w:val="20"/>
          <w:lang w:val="en-US"/>
        </w:rPr>
        <w:t>Source: The authors.</w:t>
      </w:r>
    </w:p>
    <w:p w14:paraId="1E1A1881" w14:textId="77777777" w:rsidR="004F3782" w:rsidRDefault="00481EB1">
      <w:pPr>
        <w:spacing w:line="240" w:lineRule="auto"/>
        <w:jc w:val="both"/>
        <w:rPr>
          <w:rFonts w:ascii="Times New Roman" w:hAnsi="Times New Roman"/>
          <w:sz w:val="20"/>
          <w:szCs w:val="20"/>
          <w:lang w:val="en-US"/>
        </w:rPr>
      </w:pPr>
      <w:r>
        <w:rPr>
          <w:rFonts w:ascii="Times New Roman" w:hAnsi="Times New Roman"/>
          <w:sz w:val="20"/>
          <w:szCs w:val="20"/>
          <w:lang w:val="en-US"/>
        </w:rPr>
        <w:t>Note: Breaks are given in Month, Year</w:t>
      </w:r>
    </w:p>
    <w:p w14:paraId="6A2AD58B" w14:textId="77777777" w:rsidR="004F3782" w:rsidRDefault="00481EB1" w:rsidP="00D36EAE">
      <w:pPr>
        <w:spacing w:beforeLines="50" w:before="120" w:line="36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The Bai and Perron L+1 method insights sequentially determined breaks for paddy price series. One structural break points for all the five markets of paddy are occurring in the year of 2012 except in Attabira market af</w:t>
      </w:r>
      <w:r>
        <w:rPr>
          <w:rFonts w:ascii="Times New Roman" w:hAnsi="Times New Roman"/>
          <w:sz w:val="24"/>
          <w:szCs w:val="24"/>
          <w:lang w:val="en-US"/>
        </w:rPr>
        <w:t xml:space="preserve">ter </w:t>
      </w:r>
      <w:r w:rsidR="00F84EEA">
        <w:rPr>
          <w:rFonts w:ascii="Times New Roman" w:hAnsi="Times New Roman"/>
          <w:sz w:val="24"/>
          <w:szCs w:val="24"/>
          <w:lang w:val="en-US"/>
        </w:rPr>
        <w:t>t</w:t>
      </w:r>
      <w:r>
        <w:rPr>
          <w:rFonts w:ascii="Times New Roman" w:hAnsi="Times New Roman"/>
          <w:sz w:val="24"/>
          <w:szCs w:val="24"/>
          <w:lang w:val="en-US"/>
        </w:rPr>
        <w:t xml:space="preserve">he steep rise in Minimum Support Price (MSP) for paddy from </w:t>
      </w:r>
      <w:r w:rsidR="00BC2EB4">
        <w:rPr>
          <w:rFonts w:ascii="Times New Roman" w:hAnsi="Times New Roman"/>
          <w:sz w:val="24"/>
          <w:szCs w:val="24"/>
          <w:lang w:val="en-US"/>
        </w:rPr>
        <w:t>Rs.</w:t>
      </w:r>
      <w:r>
        <w:rPr>
          <w:rFonts w:ascii="Times New Roman" w:hAnsi="Times New Roman"/>
          <w:sz w:val="24"/>
          <w:szCs w:val="24"/>
          <w:lang w:val="en-US"/>
        </w:rPr>
        <w:t xml:space="preserve">1120 to </w:t>
      </w:r>
      <w:r w:rsidR="00BC2EB4">
        <w:rPr>
          <w:rFonts w:ascii="Times New Roman" w:hAnsi="Times New Roman"/>
          <w:sz w:val="24"/>
          <w:szCs w:val="24"/>
          <w:lang w:val="en-US"/>
        </w:rPr>
        <w:t>Rs.</w:t>
      </w:r>
      <w:r>
        <w:rPr>
          <w:rFonts w:ascii="Times New Roman" w:hAnsi="Times New Roman"/>
          <w:sz w:val="24"/>
          <w:szCs w:val="24"/>
          <w:lang w:val="en-US"/>
        </w:rPr>
        <w:t xml:space="preserve">1250 per quintal for common grade and from </w:t>
      </w:r>
      <w:r w:rsidR="00BC2EB4">
        <w:rPr>
          <w:rFonts w:ascii="Times New Roman" w:hAnsi="Times New Roman"/>
          <w:sz w:val="24"/>
          <w:szCs w:val="24"/>
          <w:lang w:val="en-US"/>
        </w:rPr>
        <w:t>Rs.</w:t>
      </w:r>
      <w:r>
        <w:rPr>
          <w:rFonts w:ascii="Times New Roman" w:hAnsi="Times New Roman"/>
          <w:sz w:val="24"/>
          <w:szCs w:val="24"/>
          <w:lang w:val="en-US"/>
        </w:rPr>
        <w:t xml:space="preserve">1130 to </w:t>
      </w:r>
      <w:r w:rsidR="00BC2EB4">
        <w:rPr>
          <w:rFonts w:ascii="Times New Roman" w:hAnsi="Times New Roman"/>
          <w:sz w:val="24"/>
          <w:szCs w:val="24"/>
          <w:lang w:val="en-US"/>
        </w:rPr>
        <w:t>Rs.</w:t>
      </w:r>
      <w:r>
        <w:rPr>
          <w:rFonts w:ascii="Times New Roman" w:hAnsi="Times New Roman"/>
          <w:sz w:val="24"/>
          <w:szCs w:val="24"/>
          <w:lang w:val="en-US"/>
        </w:rPr>
        <w:t>1280 per quintal for grade A paddy during the 2011-12 and 2012-13 marketing season. This marked an increase in MSP by 13</w:t>
      </w:r>
      <w:r>
        <w:rPr>
          <w:rFonts w:ascii="Times New Roman" w:hAnsi="Times New Roman"/>
          <w:sz w:val="24"/>
          <w:szCs w:val="24"/>
          <w:lang w:val="en-US"/>
        </w:rPr>
        <w:t xml:space="preserve">.64 per cent and 13.27 per cent respectively for common grade and grade A paddy from previous years and aimed to ensure that farmers received a fair price for their produce a midst fluctuating market conditions. </w:t>
      </w:r>
    </w:p>
    <w:p w14:paraId="084F16AF" w14:textId="7466AF79" w:rsidR="004F3782" w:rsidRDefault="00481EB1">
      <w:pPr>
        <w:snapToGrid w:val="0"/>
        <w:spacing w:after="0" w:line="240" w:lineRule="auto"/>
        <w:jc w:val="center"/>
        <w:rPr>
          <w:rFonts w:ascii="Times New Roman" w:hAnsi="Times New Roman"/>
          <w:b/>
          <w:bCs/>
          <w:lang w:val="en-US"/>
        </w:rPr>
      </w:pPr>
      <w:r>
        <w:rPr>
          <w:rFonts w:ascii="Times New Roman" w:hAnsi="Times New Roman" w:cs="Times New Roman"/>
          <w:b/>
          <w:bCs/>
          <w:sz w:val="20"/>
          <w:szCs w:val="20"/>
          <w:lang w:val="en-US" w:bidi="hi-IN"/>
        </w:rPr>
        <w:t>Figure 2.</w:t>
      </w:r>
      <w:r w:rsidR="00113A5D">
        <w:rPr>
          <w:rFonts w:ascii="Times New Roman" w:hAnsi="Times New Roman" w:cs="Times New Roman"/>
          <w:b/>
          <w:bCs/>
          <w:sz w:val="20"/>
          <w:szCs w:val="20"/>
          <w:lang w:val="en-US" w:bidi="hi-IN"/>
        </w:rPr>
        <w:t xml:space="preserve"> Graph </w:t>
      </w:r>
      <w:r w:rsidR="00FC1000">
        <w:rPr>
          <w:rFonts w:ascii="Times New Roman" w:hAnsi="Times New Roman" w:cs="Times New Roman"/>
          <w:b/>
          <w:bCs/>
          <w:sz w:val="20"/>
          <w:szCs w:val="20"/>
          <w:lang w:val="en-US" w:bidi="hi-IN"/>
        </w:rPr>
        <w:t xml:space="preserve">Showing </w:t>
      </w:r>
      <w:r w:rsidR="00FC1000">
        <w:rPr>
          <w:rFonts w:ascii="Times New Roman" w:hAnsi="Times New Roman"/>
          <w:b/>
          <w:bCs/>
          <w:lang w:val="en-US"/>
        </w:rPr>
        <w:t>Structural</w:t>
      </w:r>
      <w:r>
        <w:rPr>
          <w:rFonts w:ascii="Times New Roman" w:hAnsi="Times New Roman"/>
          <w:b/>
          <w:bCs/>
          <w:lang w:val="en-US"/>
        </w:rPr>
        <w:t xml:space="preserve"> Break Points of paddy</w:t>
      </w:r>
      <w:r>
        <w:rPr>
          <w:rFonts w:ascii="Times New Roman" w:hAnsi="Times New Roman"/>
          <w:b/>
          <w:bCs/>
          <w:lang w:val="en-US"/>
        </w:rPr>
        <w:t xml:space="preserve"> in selected markets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24"/>
        <w:gridCol w:w="1581"/>
        <w:gridCol w:w="1392"/>
        <w:gridCol w:w="2823"/>
      </w:tblGrid>
      <w:tr w:rsidR="00381735" w14:paraId="675DE011" w14:textId="77777777" w:rsidTr="001F7660">
        <w:trPr>
          <w:trHeight w:val="320"/>
        </w:trPr>
        <w:tc>
          <w:tcPr>
            <w:tcW w:w="3305" w:type="dxa"/>
            <w:vAlign w:val="center"/>
          </w:tcPr>
          <w:p w14:paraId="5D25DB3D" w14:textId="77777777" w:rsidR="004F3782" w:rsidRDefault="00481EB1">
            <w:pPr>
              <w:snapToGrid w:val="0"/>
              <w:spacing w:after="0" w:line="240" w:lineRule="auto"/>
              <w:jc w:val="center"/>
              <w:rPr>
                <w:rFonts w:ascii="Times New Roman" w:hAnsi="Times New Roman"/>
                <w:lang w:val="en-US"/>
              </w:rPr>
            </w:pPr>
            <w:r>
              <w:rPr>
                <w:rFonts w:ascii="Times New Roman" w:hAnsi="Times New Roman"/>
                <w:lang w:val="en-US"/>
              </w:rPr>
              <w:t>Kota</w:t>
            </w:r>
          </w:p>
        </w:tc>
        <w:tc>
          <w:tcPr>
            <w:tcW w:w="3004" w:type="dxa"/>
            <w:gridSpan w:val="2"/>
            <w:vAlign w:val="center"/>
          </w:tcPr>
          <w:p w14:paraId="10589EAF" w14:textId="77777777" w:rsidR="004F3782" w:rsidRDefault="00481EB1">
            <w:pPr>
              <w:snapToGrid w:val="0"/>
              <w:spacing w:after="0" w:line="240" w:lineRule="auto"/>
              <w:jc w:val="center"/>
              <w:rPr>
                <w:rFonts w:ascii="Times New Roman" w:hAnsi="Times New Roman"/>
                <w:lang w:val="en-US"/>
              </w:rPr>
            </w:pPr>
            <w:r>
              <w:rPr>
                <w:rFonts w:ascii="Times New Roman" w:hAnsi="Times New Roman"/>
                <w:lang w:val="en-US"/>
              </w:rPr>
              <w:t>Attabira</w:t>
            </w:r>
          </w:p>
        </w:tc>
        <w:tc>
          <w:tcPr>
            <w:tcW w:w="2930" w:type="dxa"/>
            <w:vAlign w:val="center"/>
          </w:tcPr>
          <w:p w14:paraId="32CC6C27" w14:textId="77777777" w:rsidR="004F3782" w:rsidRDefault="00481EB1">
            <w:pPr>
              <w:snapToGrid w:val="0"/>
              <w:spacing w:after="0" w:line="240" w:lineRule="auto"/>
              <w:jc w:val="center"/>
              <w:rPr>
                <w:rFonts w:ascii="Times New Roman" w:hAnsi="Times New Roman"/>
                <w:lang w:val="en-US"/>
              </w:rPr>
            </w:pPr>
            <w:r>
              <w:rPr>
                <w:rFonts w:ascii="Times New Roman" w:hAnsi="Times New Roman"/>
                <w:lang w:val="en-US"/>
              </w:rPr>
              <w:t>Sindhanur</w:t>
            </w:r>
          </w:p>
        </w:tc>
      </w:tr>
      <w:tr w:rsidR="00381735" w14:paraId="6F29F1B2" w14:textId="77777777" w:rsidTr="00D5571A">
        <w:trPr>
          <w:trHeight w:val="2533"/>
        </w:trPr>
        <w:tc>
          <w:tcPr>
            <w:tcW w:w="3305" w:type="dxa"/>
            <w:vAlign w:val="center"/>
          </w:tcPr>
          <w:p w14:paraId="1769EC75" w14:textId="77777777" w:rsidR="004F3782" w:rsidRDefault="00481EB1">
            <w:pPr>
              <w:snapToGrid w:val="0"/>
              <w:spacing w:after="0" w:line="240" w:lineRule="auto"/>
              <w:jc w:val="center"/>
              <w:rPr>
                <w:rFonts w:ascii="Times New Roman" w:hAnsi="Times New Roman"/>
                <w:lang w:val="en-US"/>
              </w:rPr>
            </w:pPr>
            <w:r>
              <w:rPr>
                <w:noProof/>
              </w:rPr>
              <w:drawing>
                <wp:inline distT="0" distB="0" distL="114300" distR="114300" wp14:anchorId="34797AF2" wp14:editId="336E5C46">
                  <wp:extent cx="1997075" cy="1652905"/>
                  <wp:effectExtent l="0" t="0" r="3175" b="4445"/>
                  <wp:docPr id="38"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9">
                            <a:lum bright="-12000" contrast="24000"/>
                          </a:blip>
                          <a:stretch>
                            <a:fillRect/>
                          </a:stretch>
                        </pic:blipFill>
                        <pic:spPr>
                          <a:xfrm>
                            <a:off x="0" y="0"/>
                            <a:ext cx="1997075" cy="1652905"/>
                          </a:xfrm>
                          <a:prstGeom prst="rect">
                            <a:avLst/>
                          </a:prstGeom>
                        </pic:spPr>
                      </pic:pic>
                    </a:graphicData>
                  </a:graphic>
                </wp:inline>
              </w:drawing>
            </w:r>
          </w:p>
        </w:tc>
        <w:tc>
          <w:tcPr>
            <w:tcW w:w="3004" w:type="dxa"/>
            <w:gridSpan w:val="2"/>
            <w:vAlign w:val="center"/>
          </w:tcPr>
          <w:p w14:paraId="55A0F6C8" w14:textId="77777777" w:rsidR="004F3782" w:rsidRDefault="00481EB1">
            <w:pPr>
              <w:snapToGrid w:val="0"/>
              <w:spacing w:after="0" w:line="240" w:lineRule="auto"/>
              <w:jc w:val="center"/>
              <w:rPr>
                <w:rFonts w:ascii="Times New Roman" w:hAnsi="Times New Roman"/>
                <w:lang w:val="en-US"/>
              </w:rPr>
            </w:pPr>
            <w:r>
              <w:rPr>
                <w:noProof/>
              </w:rPr>
              <w:drawing>
                <wp:inline distT="0" distB="0" distL="114300" distR="114300" wp14:anchorId="2BD6B269" wp14:editId="66873CD6">
                  <wp:extent cx="1781810" cy="1708785"/>
                  <wp:effectExtent l="0" t="0" r="8890" b="5715"/>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0">
                            <a:lum bright="-6000" contrast="12000"/>
                          </a:blip>
                          <a:stretch>
                            <a:fillRect/>
                          </a:stretch>
                        </pic:blipFill>
                        <pic:spPr>
                          <a:xfrm>
                            <a:off x="0" y="0"/>
                            <a:ext cx="1781810" cy="1708785"/>
                          </a:xfrm>
                          <a:prstGeom prst="rect">
                            <a:avLst/>
                          </a:prstGeom>
                        </pic:spPr>
                      </pic:pic>
                    </a:graphicData>
                  </a:graphic>
                </wp:inline>
              </w:drawing>
            </w:r>
          </w:p>
        </w:tc>
        <w:tc>
          <w:tcPr>
            <w:tcW w:w="2930" w:type="dxa"/>
            <w:vAlign w:val="center"/>
          </w:tcPr>
          <w:p w14:paraId="1B282BED" w14:textId="77777777" w:rsidR="004F3782" w:rsidRDefault="00481EB1">
            <w:pPr>
              <w:snapToGrid w:val="0"/>
              <w:spacing w:after="0" w:line="240" w:lineRule="auto"/>
              <w:jc w:val="center"/>
              <w:rPr>
                <w:rFonts w:ascii="Times New Roman" w:hAnsi="Times New Roman"/>
                <w:lang w:val="en-US"/>
              </w:rPr>
            </w:pPr>
            <w:r>
              <w:rPr>
                <w:noProof/>
              </w:rPr>
              <w:drawing>
                <wp:inline distT="0" distB="0" distL="114300" distR="114300" wp14:anchorId="6D35BDA6" wp14:editId="41B97653">
                  <wp:extent cx="1728470" cy="1612900"/>
                  <wp:effectExtent l="0" t="0" r="5080" b="635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1">
                            <a:lum bright="-6000" contrast="12000"/>
                          </a:blip>
                          <a:stretch>
                            <a:fillRect/>
                          </a:stretch>
                        </pic:blipFill>
                        <pic:spPr>
                          <a:xfrm>
                            <a:off x="0" y="0"/>
                            <a:ext cx="1728470" cy="1612900"/>
                          </a:xfrm>
                          <a:prstGeom prst="rect">
                            <a:avLst/>
                          </a:prstGeom>
                        </pic:spPr>
                      </pic:pic>
                    </a:graphicData>
                  </a:graphic>
                </wp:inline>
              </w:drawing>
            </w:r>
          </w:p>
        </w:tc>
      </w:tr>
      <w:tr w:rsidR="00381735" w14:paraId="1AB3ADE0" w14:textId="77777777" w:rsidTr="001F7660">
        <w:trPr>
          <w:trHeight w:val="320"/>
        </w:trPr>
        <w:tc>
          <w:tcPr>
            <w:tcW w:w="4845" w:type="dxa"/>
            <w:gridSpan w:val="2"/>
            <w:vAlign w:val="center"/>
          </w:tcPr>
          <w:p w14:paraId="372A2842" w14:textId="77777777" w:rsidR="004F3782" w:rsidRDefault="00481EB1">
            <w:pPr>
              <w:snapToGrid w:val="0"/>
              <w:spacing w:after="0" w:line="240" w:lineRule="auto"/>
              <w:jc w:val="center"/>
              <w:rPr>
                <w:rFonts w:ascii="Times New Roman" w:hAnsi="Times New Roman"/>
                <w:lang w:val="en-US"/>
              </w:rPr>
            </w:pPr>
            <w:r>
              <w:rPr>
                <w:rFonts w:ascii="Times New Roman" w:hAnsi="Times New Roman"/>
                <w:lang w:val="en-US"/>
              </w:rPr>
              <w:t>Dahod</w:t>
            </w:r>
          </w:p>
        </w:tc>
        <w:tc>
          <w:tcPr>
            <w:tcW w:w="4394" w:type="dxa"/>
            <w:gridSpan w:val="2"/>
            <w:vAlign w:val="center"/>
          </w:tcPr>
          <w:p w14:paraId="675749B6" w14:textId="77777777" w:rsidR="004F3782" w:rsidRDefault="00481EB1">
            <w:pPr>
              <w:snapToGrid w:val="0"/>
              <w:spacing w:after="0" w:line="240" w:lineRule="auto"/>
              <w:jc w:val="center"/>
              <w:rPr>
                <w:rFonts w:ascii="Times New Roman" w:hAnsi="Times New Roman"/>
                <w:lang w:val="en-US"/>
              </w:rPr>
            </w:pPr>
            <w:r>
              <w:rPr>
                <w:rFonts w:ascii="Times New Roman" w:hAnsi="Times New Roman"/>
                <w:lang w:val="en-US"/>
              </w:rPr>
              <w:t>Bhatapara</w:t>
            </w:r>
          </w:p>
        </w:tc>
      </w:tr>
      <w:tr w:rsidR="00381735" w14:paraId="2EF72484" w14:textId="77777777" w:rsidTr="001F7660">
        <w:trPr>
          <w:trHeight w:val="2749"/>
        </w:trPr>
        <w:tc>
          <w:tcPr>
            <w:tcW w:w="4845" w:type="dxa"/>
            <w:gridSpan w:val="2"/>
            <w:vAlign w:val="center"/>
          </w:tcPr>
          <w:p w14:paraId="7A222D48" w14:textId="77777777" w:rsidR="004F3782" w:rsidRDefault="00481EB1">
            <w:pPr>
              <w:snapToGrid w:val="0"/>
              <w:spacing w:after="0" w:line="240" w:lineRule="auto"/>
              <w:jc w:val="center"/>
              <w:rPr>
                <w:rFonts w:ascii="Times New Roman" w:hAnsi="Times New Roman"/>
                <w:sz w:val="24"/>
                <w:szCs w:val="24"/>
                <w:lang w:val="en-US"/>
              </w:rPr>
            </w:pPr>
            <w:r>
              <w:rPr>
                <w:noProof/>
              </w:rPr>
              <w:drawing>
                <wp:inline distT="0" distB="0" distL="114300" distR="114300" wp14:anchorId="02FD3316" wp14:editId="469D79CE">
                  <wp:extent cx="2771775" cy="1691640"/>
                  <wp:effectExtent l="0" t="0" r="9525" b="381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2">
                            <a:lum bright="-6000" contrast="12000"/>
                          </a:blip>
                          <a:stretch>
                            <a:fillRect/>
                          </a:stretch>
                        </pic:blipFill>
                        <pic:spPr>
                          <a:xfrm>
                            <a:off x="0" y="0"/>
                            <a:ext cx="2771775" cy="1691640"/>
                          </a:xfrm>
                          <a:prstGeom prst="rect">
                            <a:avLst/>
                          </a:prstGeom>
                        </pic:spPr>
                      </pic:pic>
                    </a:graphicData>
                  </a:graphic>
                </wp:inline>
              </w:drawing>
            </w:r>
          </w:p>
        </w:tc>
        <w:tc>
          <w:tcPr>
            <w:tcW w:w="4394" w:type="dxa"/>
            <w:gridSpan w:val="2"/>
            <w:vAlign w:val="center"/>
          </w:tcPr>
          <w:p w14:paraId="0C302B3B" w14:textId="77777777" w:rsidR="004F3782" w:rsidRDefault="00481EB1">
            <w:pPr>
              <w:snapToGrid w:val="0"/>
              <w:spacing w:after="0" w:line="240" w:lineRule="auto"/>
              <w:jc w:val="center"/>
              <w:rPr>
                <w:rFonts w:ascii="Times New Roman" w:hAnsi="Times New Roman"/>
                <w:sz w:val="24"/>
                <w:szCs w:val="24"/>
                <w:lang w:val="en-US"/>
              </w:rPr>
            </w:pPr>
            <w:r>
              <w:rPr>
                <w:noProof/>
              </w:rPr>
              <w:drawing>
                <wp:inline distT="0" distB="0" distL="114300" distR="114300" wp14:anchorId="2256B120" wp14:editId="72D5E892">
                  <wp:extent cx="2653030" cy="165925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3">
                            <a:lum bright="-6000" contrast="12000"/>
                          </a:blip>
                          <a:stretch>
                            <a:fillRect/>
                          </a:stretch>
                        </pic:blipFill>
                        <pic:spPr>
                          <a:xfrm>
                            <a:off x="0" y="0"/>
                            <a:ext cx="2653030" cy="1659255"/>
                          </a:xfrm>
                          <a:prstGeom prst="rect">
                            <a:avLst/>
                          </a:prstGeom>
                        </pic:spPr>
                      </pic:pic>
                    </a:graphicData>
                  </a:graphic>
                </wp:inline>
              </w:drawing>
            </w:r>
          </w:p>
        </w:tc>
      </w:tr>
    </w:tbl>
    <w:p w14:paraId="5A40AAA0" w14:textId="77777777" w:rsidR="004F3782" w:rsidRDefault="00481EB1">
      <w:pPr>
        <w:snapToGrid w:val="0"/>
        <w:spacing w:afterLines="50" w:after="120" w:line="240" w:lineRule="auto"/>
        <w:jc w:val="both"/>
        <w:rPr>
          <w:rFonts w:ascii="Times New Roman" w:hAnsi="Times New Roman"/>
          <w:lang w:val="en-US"/>
        </w:rPr>
      </w:pPr>
      <w:r>
        <w:rPr>
          <w:rFonts w:ascii="Times New Roman" w:hAnsi="Times New Roman"/>
          <w:lang w:val="en-US"/>
        </w:rPr>
        <w:t xml:space="preserve"> Source: </w:t>
      </w:r>
      <w:r w:rsidR="00103078">
        <w:rPr>
          <w:rFonts w:ascii="Times New Roman" w:hAnsi="Times New Roman"/>
          <w:lang w:val="en-US"/>
        </w:rPr>
        <w:t>Authors’ own calculation</w:t>
      </w:r>
    </w:p>
    <w:p w14:paraId="7DDEB1AF" w14:textId="77777777" w:rsidR="004F3782" w:rsidRDefault="00481EB1" w:rsidP="001F7660">
      <w:pPr>
        <w:spacing w:afterLines="50" w:after="12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assessment of the descriptive statistics of paddy prices and arrivals in the major markets (Table 2) demonstrated </w:t>
      </w:r>
      <w:r w:rsidR="00BC2EB4">
        <w:rPr>
          <w:rFonts w:ascii="Times New Roman" w:hAnsi="Times New Roman" w:cs="Times New Roman"/>
          <w:sz w:val="24"/>
          <w:szCs w:val="24"/>
          <w:lang w:val="en-US"/>
        </w:rPr>
        <w:t>noticeable</w:t>
      </w:r>
      <w:r>
        <w:rPr>
          <w:rFonts w:ascii="Times New Roman" w:hAnsi="Times New Roman" w:cs="Times New Roman"/>
          <w:sz w:val="24"/>
          <w:szCs w:val="24"/>
          <w:lang w:val="en-US"/>
        </w:rPr>
        <w:t xml:space="preserve"> differences in market pric</w:t>
      </w:r>
      <w:r w:rsidR="00BC2EB4">
        <w:rPr>
          <w:rFonts w:ascii="Times New Roman" w:hAnsi="Times New Roman" w:cs="Times New Roman"/>
          <w:sz w:val="24"/>
          <w:szCs w:val="24"/>
          <w:lang w:val="en-US"/>
        </w:rPr>
        <w:t>e</w:t>
      </w:r>
      <w:r>
        <w:rPr>
          <w:rFonts w:ascii="Times New Roman" w:hAnsi="Times New Roman" w:cs="Times New Roman"/>
          <w:sz w:val="24"/>
          <w:szCs w:val="24"/>
          <w:lang w:val="en-US"/>
        </w:rPr>
        <w:t xml:space="preserve">. The mean price of paddy in the markets increased by 40-50 per cent from period -I to II. The highest paddy price was recorded in Kota </w:t>
      </w:r>
      <w:r w:rsidR="00BC2EB4">
        <w:rPr>
          <w:rFonts w:ascii="Times New Roman" w:hAnsi="Times New Roman" w:cs="Times New Roman"/>
          <w:sz w:val="24"/>
          <w:szCs w:val="24"/>
          <w:lang w:val="en-US"/>
        </w:rPr>
        <w:t>Rs.</w:t>
      </w:r>
      <w:r>
        <w:rPr>
          <w:rFonts w:ascii="Times New Roman" w:hAnsi="Times New Roman" w:cs="Times New Roman"/>
          <w:sz w:val="24"/>
          <w:szCs w:val="24"/>
          <w:lang w:val="en-US"/>
        </w:rPr>
        <w:t xml:space="preserve">23.10 per kg and </w:t>
      </w:r>
      <w:r w:rsidR="00BC2EB4">
        <w:rPr>
          <w:rFonts w:ascii="Times New Roman" w:hAnsi="Times New Roman" w:cs="Times New Roman"/>
          <w:sz w:val="24"/>
          <w:szCs w:val="24"/>
          <w:lang w:val="en-US"/>
        </w:rPr>
        <w:t>Rs.</w:t>
      </w:r>
      <w:r>
        <w:rPr>
          <w:rFonts w:ascii="Times New Roman" w:hAnsi="Times New Roman" w:cs="Times New Roman"/>
          <w:sz w:val="24"/>
          <w:szCs w:val="24"/>
          <w:lang w:val="en-US"/>
        </w:rPr>
        <w:t xml:space="preserve">38.45 per kg during period I and II respectively, suggesting limited </w:t>
      </w:r>
      <w:r>
        <w:rPr>
          <w:rFonts w:ascii="Times New Roman" w:hAnsi="Times New Roman" w:cs="Times New Roman"/>
          <w:sz w:val="24"/>
          <w:szCs w:val="24"/>
          <w:lang w:val="en-US"/>
        </w:rPr>
        <w:t xml:space="preserve">production and increased import from other </w:t>
      </w:r>
      <w:r w:rsidR="00BC2EB4">
        <w:rPr>
          <w:rFonts w:ascii="Times New Roman" w:hAnsi="Times New Roman" w:cs="Times New Roman"/>
          <w:sz w:val="24"/>
          <w:szCs w:val="24"/>
          <w:lang w:val="en-US"/>
        </w:rPr>
        <w:t>market</w:t>
      </w:r>
      <w:r>
        <w:rPr>
          <w:rFonts w:ascii="Times New Roman" w:hAnsi="Times New Roman" w:cs="Times New Roman"/>
          <w:sz w:val="24"/>
          <w:szCs w:val="24"/>
          <w:lang w:val="en-US"/>
        </w:rPr>
        <w:t xml:space="preserve">, while Attabira and Dahod exhibited the lowest price </w:t>
      </w:r>
      <w:r w:rsidR="00BC2EB4">
        <w:rPr>
          <w:rFonts w:ascii="Times New Roman" w:hAnsi="Times New Roman" w:cs="Times New Roman"/>
          <w:sz w:val="24"/>
          <w:szCs w:val="24"/>
          <w:lang w:val="en-US"/>
        </w:rPr>
        <w:t>i</w:t>
      </w:r>
      <w:r>
        <w:rPr>
          <w:rFonts w:ascii="Times New Roman" w:hAnsi="Times New Roman" w:cs="Times New Roman"/>
          <w:sz w:val="24"/>
          <w:szCs w:val="24"/>
          <w:lang w:val="en-US"/>
        </w:rPr>
        <w:t xml:space="preserve">.e. </w:t>
      </w:r>
      <w:r w:rsidR="00BC2EB4">
        <w:rPr>
          <w:rFonts w:ascii="Times New Roman" w:hAnsi="Times New Roman" w:cs="Times New Roman"/>
          <w:sz w:val="24"/>
          <w:szCs w:val="24"/>
          <w:lang w:val="en-US"/>
        </w:rPr>
        <w:t>Rs.</w:t>
      </w:r>
      <w:r>
        <w:rPr>
          <w:rFonts w:ascii="Times New Roman" w:hAnsi="Times New Roman" w:cs="Times New Roman"/>
          <w:sz w:val="24"/>
          <w:szCs w:val="24"/>
          <w:lang w:val="en-US"/>
        </w:rPr>
        <w:t xml:space="preserve">6.65 per kg in period-I and </w:t>
      </w:r>
      <w:r w:rsidR="00BC2EB4">
        <w:rPr>
          <w:rFonts w:ascii="Times New Roman" w:hAnsi="Times New Roman" w:cs="Times New Roman"/>
          <w:sz w:val="24"/>
          <w:szCs w:val="24"/>
          <w:lang w:val="en-US"/>
        </w:rPr>
        <w:t>Rs.</w:t>
      </w:r>
      <w:r>
        <w:rPr>
          <w:rFonts w:ascii="Times New Roman" w:hAnsi="Times New Roman" w:cs="Times New Roman"/>
          <w:sz w:val="24"/>
          <w:szCs w:val="24"/>
          <w:lang w:val="en-US"/>
        </w:rPr>
        <w:t xml:space="preserve">12,08 per kg in period -II. Highest arrival of paddy found in Kota with </w:t>
      </w:r>
      <w:r>
        <w:rPr>
          <w:rFonts w:ascii="Times New Roman" w:hAnsi="Times New Roman" w:cs="Times New Roman"/>
          <w:sz w:val="24"/>
          <w:szCs w:val="24"/>
          <w:lang w:val="en-US" w:eastAsia="zh-CN"/>
        </w:rPr>
        <w:t xml:space="preserve">2042.59 qtl and 2069.73 qtl in successive </w:t>
      </w:r>
      <w:r>
        <w:rPr>
          <w:rFonts w:ascii="Times New Roman" w:hAnsi="Times New Roman" w:cs="Times New Roman"/>
          <w:sz w:val="24"/>
          <w:szCs w:val="24"/>
          <w:lang w:val="en-US" w:eastAsia="zh-CN"/>
        </w:rPr>
        <w:t>period</w:t>
      </w:r>
      <w:r w:rsidR="00BC2EB4">
        <w:rPr>
          <w:rFonts w:ascii="Times New Roman" w:hAnsi="Times New Roman" w:cs="Times New Roman"/>
          <w:sz w:val="24"/>
          <w:szCs w:val="24"/>
          <w:lang w:val="en-US" w:eastAsia="zh-CN"/>
        </w:rPr>
        <w:t>s</w:t>
      </w:r>
      <w:r>
        <w:rPr>
          <w:rFonts w:ascii="Times New Roman" w:hAnsi="Times New Roman" w:cs="Times New Roman"/>
          <w:sz w:val="24"/>
          <w:szCs w:val="24"/>
          <w:lang w:val="en-US" w:eastAsia="zh-CN"/>
        </w:rPr>
        <w:t xml:space="preserve">, while lowest arrival noted in Attabira as the market is one of the major producer </w:t>
      </w:r>
      <w:r w:rsidR="00F84EEA">
        <w:rPr>
          <w:rFonts w:ascii="Times New Roman" w:hAnsi="Times New Roman" w:cs="Times New Roman"/>
          <w:sz w:val="24"/>
          <w:szCs w:val="24"/>
          <w:lang w:val="en-US" w:eastAsia="zh-CN"/>
        </w:rPr>
        <w:t>markets</w:t>
      </w:r>
      <w:r>
        <w:rPr>
          <w:rFonts w:ascii="Times New Roman" w:hAnsi="Times New Roman" w:cs="Times New Roman"/>
          <w:sz w:val="24"/>
          <w:szCs w:val="24"/>
          <w:lang w:val="en-US" w:eastAsia="zh-CN"/>
        </w:rPr>
        <w:t xml:space="preserve"> of paddy with seasonal arrival.</w:t>
      </w:r>
      <w:r>
        <w:rPr>
          <w:rFonts w:ascii="Times New Roman" w:hAnsi="Times New Roman" w:cs="Times New Roman"/>
          <w:sz w:val="24"/>
          <w:szCs w:val="24"/>
          <w:lang w:val="en-US"/>
        </w:rPr>
        <w:t xml:space="preserve"> The price series across the selected markets show skewness, ranging from -0.85 to 0.28, indicating a longer left tail in the distribution, however, for period -II, skewness, ranging from -0.39 to 0.37 indicating distribution is nearly symmetric </w:t>
      </w:r>
      <w:r>
        <w:rPr>
          <w:rFonts w:ascii="Times New Roman" w:hAnsi="Times New Roman" w:cs="Times New Roman"/>
          <w:sz w:val="24"/>
          <w:szCs w:val="24"/>
          <w:lang w:val="en-US"/>
        </w:rPr>
        <w:lastRenderedPageBreak/>
        <w:t>overall. A</w:t>
      </w:r>
      <w:r>
        <w:rPr>
          <w:rFonts w:ascii="Times New Roman" w:hAnsi="Times New Roman" w:cs="Times New Roman"/>
          <w:sz w:val="24"/>
          <w:szCs w:val="24"/>
          <w:lang w:val="en-US"/>
        </w:rPr>
        <w:t>dditionally, most of the markets displayed negative kurtosis values, indicating a platykurtic distribution.</w:t>
      </w:r>
    </w:p>
    <w:p w14:paraId="6353868D" w14:textId="77777777" w:rsidR="004F3782" w:rsidRDefault="00481EB1" w:rsidP="001F7660">
      <w:pPr>
        <w:spacing w:afterLines="5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lang w:val="en-US"/>
        </w:rPr>
        <w:t xml:space="preserve">month wise </w:t>
      </w:r>
      <w:r>
        <w:rPr>
          <w:rFonts w:ascii="Times New Roman" w:hAnsi="Times New Roman" w:cs="Times New Roman"/>
          <w:sz w:val="24"/>
          <w:szCs w:val="24"/>
        </w:rPr>
        <w:t>CAGR for paddy prices</w:t>
      </w:r>
      <w:r>
        <w:rPr>
          <w:rFonts w:ascii="Times New Roman" w:hAnsi="Times New Roman" w:cs="Times New Roman"/>
          <w:sz w:val="24"/>
          <w:szCs w:val="24"/>
          <w:lang w:val="en-US"/>
        </w:rPr>
        <w:t xml:space="preserve"> and arrival</w:t>
      </w:r>
      <w:r>
        <w:rPr>
          <w:rFonts w:ascii="Times New Roman" w:hAnsi="Times New Roman" w:cs="Times New Roman"/>
          <w:sz w:val="24"/>
          <w:szCs w:val="24"/>
        </w:rPr>
        <w:t xml:space="preserve"> were calculated using an exponential growth function, revealing significant growth in each of the s</w:t>
      </w:r>
      <w:r>
        <w:rPr>
          <w:rFonts w:ascii="Times New Roman" w:hAnsi="Times New Roman" w:cs="Times New Roman"/>
          <w:sz w:val="24"/>
          <w:szCs w:val="24"/>
        </w:rPr>
        <w:t>elected markets</w:t>
      </w:r>
      <w:r>
        <w:rPr>
          <w:rFonts w:ascii="Times New Roman" w:hAnsi="Times New Roman" w:cs="Times New Roman"/>
          <w:sz w:val="24"/>
          <w:szCs w:val="24"/>
          <w:lang w:val="en-US"/>
        </w:rPr>
        <w:t xml:space="preserve"> and are shown in Table 3. </w:t>
      </w:r>
      <w:r>
        <w:rPr>
          <w:rFonts w:ascii="Times New Roman" w:hAnsi="Times New Roman"/>
          <w:sz w:val="24"/>
          <w:szCs w:val="24"/>
        </w:rPr>
        <w:t>In Sindhanur market, most of the months have showed maximum increase in CAGR values for market arrival, while the CAGR has decreased in Bhatapara market from period I to period II. However, a positive change in CAG</w:t>
      </w:r>
      <w:r>
        <w:rPr>
          <w:rFonts w:ascii="Times New Roman" w:hAnsi="Times New Roman"/>
          <w:sz w:val="24"/>
          <w:szCs w:val="24"/>
        </w:rPr>
        <w:t>R of price was observed in Bhatapara market from period I to II</w:t>
      </w:r>
      <w:r w:rsidR="00103078">
        <w:rPr>
          <w:rFonts w:ascii="Times New Roman" w:hAnsi="Times New Roman"/>
          <w:sz w:val="24"/>
          <w:szCs w:val="24"/>
        </w:rPr>
        <w:t xml:space="preserve">. </w:t>
      </w:r>
      <w:r>
        <w:rPr>
          <w:rFonts w:ascii="Times New Roman" w:hAnsi="Times New Roman"/>
          <w:sz w:val="24"/>
          <w:szCs w:val="24"/>
        </w:rPr>
        <w:t xml:space="preserve">Decrease in rate of CAGR can be clearly </w:t>
      </w:r>
      <w:r>
        <w:rPr>
          <w:rFonts w:ascii="Times New Roman" w:hAnsi="Times New Roman"/>
          <w:sz w:val="24"/>
          <w:szCs w:val="24"/>
          <w:lang w:val="en-US"/>
        </w:rPr>
        <w:t>observed</w:t>
      </w:r>
      <w:r>
        <w:rPr>
          <w:rFonts w:ascii="Times New Roman" w:hAnsi="Times New Roman"/>
          <w:sz w:val="24"/>
          <w:szCs w:val="24"/>
        </w:rPr>
        <w:t xml:space="preserve"> for market price in Kota market from period I to Period II. Highest growth in market arrival was observed in Attabira market during November a</w:t>
      </w:r>
      <w:r>
        <w:rPr>
          <w:rFonts w:ascii="Times New Roman" w:hAnsi="Times New Roman"/>
          <w:sz w:val="24"/>
          <w:szCs w:val="24"/>
        </w:rPr>
        <w:t>nd March month for period I &amp; II respectively. On the other side, lowest growth in market arrival was observed in Kota market during August and November during period I and II respectively. In both the period highest growth in market price found in Attabir</w:t>
      </w:r>
      <w:r>
        <w:rPr>
          <w:rFonts w:ascii="Times New Roman" w:hAnsi="Times New Roman"/>
          <w:sz w:val="24"/>
          <w:szCs w:val="24"/>
        </w:rPr>
        <w:t>a market and same as that of lowest in Kota market.</w:t>
      </w:r>
    </w:p>
    <w:p w14:paraId="165DB25B" w14:textId="77777777" w:rsidR="004F3782" w:rsidRDefault="00481EB1" w:rsidP="001F7660">
      <w:pPr>
        <w:spacing w:afterLines="50" w:after="120" w:line="360" w:lineRule="auto"/>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ab/>
      </w:r>
      <w:r w:rsidR="00F95134">
        <w:rPr>
          <w:rFonts w:ascii="Times New Roman" w:hAnsi="Times New Roman"/>
          <w:sz w:val="24"/>
          <w:szCs w:val="24"/>
          <w:lang w:val="en-US"/>
        </w:rPr>
        <w:t>The CDV index is utilized to assess the instability or variability within the data. In this analysis, the instability of both market arrivals and paddy prices in the selected markets has been evaluated using this index</w:t>
      </w:r>
      <w:r w:rsidR="00BC2EB4">
        <w:rPr>
          <w:rFonts w:ascii="Times New Roman" w:hAnsi="Times New Roman"/>
          <w:sz w:val="24"/>
          <w:szCs w:val="24"/>
          <w:lang w:val="en-US"/>
        </w:rPr>
        <w:t xml:space="preserve"> and </w:t>
      </w:r>
      <w:r w:rsidR="00F95134">
        <w:rPr>
          <w:rFonts w:ascii="Times New Roman" w:hAnsi="Times New Roman"/>
          <w:sz w:val="24"/>
          <w:szCs w:val="24"/>
          <w:lang w:val="en-US"/>
        </w:rPr>
        <w:t>shown in Table 4. In period -I, variability in prices is more pronounced than market arrival. Variability in market arrival is found highest in Kota market with a</w:t>
      </w:r>
      <w:r w:rsidR="00F84EEA">
        <w:rPr>
          <w:rFonts w:ascii="Times New Roman" w:hAnsi="Times New Roman"/>
          <w:sz w:val="24"/>
          <w:szCs w:val="24"/>
          <w:lang w:val="en-US"/>
        </w:rPr>
        <w:t>n</w:t>
      </w:r>
      <w:r w:rsidR="00F95134">
        <w:rPr>
          <w:rFonts w:ascii="Times New Roman" w:hAnsi="Times New Roman"/>
          <w:sz w:val="24"/>
          <w:szCs w:val="24"/>
          <w:lang w:val="en-US"/>
        </w:rPr>
        <w:t xml:space="preserve"> index of 12.10</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 while Bhatapara market showed the lowest value with index of 5.95</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 Variability in prices were quite high in all the five markets, however, Attabira market showed the highest variability with a</w:t>
      </w:r>
      <w:r w:rsidR="00F84EEA">
        <w:rPr>
          <w:rFonts w:ascii="Times New Roman" w:hAnsi="Times New Roman"/>
          <w:sz w:val="24"/>
          <w:szCs w:val="24"/>
          <w:lang w:val="en-US"/>
        </w:rPr>
        <w:t>n</w:t>
      </w:r>
      <w:r w:rsidR="00F95134">
        <w:rPr>
          <w:rFonts w:ascii="Times New Roman" w:hAnsi="Times New Roman"/>
          <w:sz w:val="24"/>
          <w:szCs w:val="24"/>
          <w:lang w:val="en-US"/>
        </w:rPr>
        <w:t xml:space="preserve"> index of 15.14</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 In period -II, variability in market arrival is found highest in Attabira market with a</w:t>
      </w:r>
      <w:r w:rsidR="00F84EEA">
        <w:rPr>
          <w:rFonts w:ascii="Times New Roman" w:hAnsi="Times New Roman"/>
          <w:sz w:val="24"/>
          <w:szCs w:val="24"/>
          <w:lang w:val="en-US"/>
        </w:rPr>
        <w:t>n</w:t>
      </w:r>
      <w:r w:rsidR="00F95134">
        <w:rPr>
          <w:rFonts w:ascii="Times New Roman" w:hAnsi="Times New Roman"/>
          <w:sz w:val="24"/>
          <w:szCs w:val="24"/>
          <w:lang w:val="en-US"/>
        </w:rPr>
        <w:t xml:space="preserve"> index of 17.50</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 while Bhatapara market showed the lowest value with index of 4.21</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  Kota market showed the highest variability in price with a</w:t>
      </w:r>
      <w:r w:rsidR="00F84EEA">
        <w:rPr>
          <w:rFonts w:ascii="Times New Roman" w:hAnsi="Times New Roman"/>
          <w:sz w:val="24"/>
          <w:szCs w:val="24"/>
          <w:lang w:val="en-US"/>
        </w:rPr>
        <w:t>n</w:t>
      </w:r>
      <w:r w:rsidR="00F95134">
        <w:rPr>
          <w:rFonts w:ascii="Times New Roman" w:hAnsi="Times New Roman"/>
          <w:sz w:val="24"/>
          <w:szCs w:val="24"/>
          <w:lang w:val="en-US"/>
        </w:rPr>
        <w:t xml:space="preserve"> index of 21.89</w:t>
      </w:r>
      <w:r w:rsidR="00BC2EB4">
        <w:rPr>
          <w:rFonts w:ascii="Times New Roman" w:hAnsi="Times New Roman"/>
          <w:sz w:val="24"/>
          <w:szCs w:val="24"/>
          <w:lang w:val="en-US"/>
        </w:rPr>
        <w:t xml:space="preserve"> per cent</w:t>
      </w:r>
      <w:r w:rsidR="00F95134">
        <w:rPr>
          <w:rFonts w:ascii="Times New Roman" w:hAnsi="Times New Roman"/>
          <w:sz w:val="24"/>
          <w:szCs w:val="24"/>
          <w:lang w:val="en-US"/>
        </w:rPr>
        <w:t>.</w:t>
      </w:r>
    </w:p>
    <w:p w14:paraId="23900C73" w14:textId="77777777" w:rsidR="004F3782" w:rsidRDefault="00481EB1" w:rsidP="001F7660">
      <w:pPr>
        <w:spacing w:afterLines="5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analysis of monthly seasonal indices (Figure </w:t>
      </w:r>
      <w:r>
        <w:rPr>
          <w:rFonts w:ascii="Times New Roman" w:hAnsi="Times New Roman" w:cs="Times New Roman"/>
          <w:sz w:val="24"/>
          <w:szCs w:val="24"/>
          <w:lang w:val="en-US"/>
        </w:rPr>
        <w:t>4</w:t>
      </w:r>
      <w:r>
        <w:rPr>
          <w:rFonts w:ascii="Times New Roman" w:hAnsi="Times New Roman" w:cs="Times New Roman"/>
          <w:sz w:val="24"/>
          <w:szCs w:val="24"/>
        </w:rPr>
        <w:t>) hi</w:t>
      </w:r>
      <w:r>
        <w:rPr>
          <w:rFonts w:ascii="Times New Roman" w:hAnsi="Times New Roman" w:cs="Times New Roman"/>
          <w:sz w:val="24"/>
          <w:szCs w:val="24"/>
        </w:rPr>
        <w:t>ghlighted distinct seasonal price variations across different paddy markets in India. The Bhatapara market exhibited the highest index in September (107.02), while the lowest was in the Kota market in October (89.25). Notably, the indices across markets pe</w:t>
      </w:r>
      <w:r>
        <w:rPr>
          <w:rFonts w:ascii="Times New Roman" w:hAnsi="Times New Roman" w:cs="Times New Roman"/>
          <w:sz w:val="24"/>
          <w:szCs w:val="24"/>
        </w:rPr>
        <w:t>aked during the months leading up to the harvest (primarily November)</w:t>
      </w:r>
      <w:r>
        <w:rPr>
          <w:rFonts w:ascii="Times New Roman" w:hAnsi="Times New Roman" w:cs="Times New Roman"/>
          <w:sz w:val="24"/>
          <w:szCs w:val="24"/>
          <w:lang w:val="en-US"/>
        </w:rPr>
        <w:t xml:space="preserve"> as shown in figure 3</w:t>
      </w:r>
      <w:r>
        <w:rPr>
          <w:rFonts w:ascii="Times New Roman" w:hAnsi="Times New Roman" w:cs="Times New Roman"/>
          <w:sz w:val="24"/>
          <w:szCs w:val="24"/>
        </w:rPr>
        <w:t>, attributed to the scarcity of paddy supply. The majority of the markets experienced the highest variations from October to November, except for Kota and Dahod, wher</w:t>
      </w:r>
      <w:r>
        <w:rPr>
          <w:rFonts w:ascii="Times New Roman" w:hAnsi="Times New Roman" w:cs="Times New Roman"/>
          <w:sz w:val="24"/>
          <w:szCs w:val="24"/>
        </w:rPr>
        <w:t>e September registered the most significant variation. The lowest price indices were typically observed in July, with reduced indices noted in May and June due to increased market arrivals.</w:t>
      </w:r>
    </w:p>
    <w:p w14:paraId="683A64E0" w14:textId="77777777" w:rsidR="003B7924" w:rsidRDefault="003B7924">
      <w:pPr>
        <w:jc w:val="both"/>
        <w:rPr>
          <w:rFonts w:ascii="Times New Roman" w:hAnsi="Times New Roman"/>
          <w:sz w:val="24"/>
          <w:szCs w:val="24"/>
          <w:lang w:val="en-US"/>
        </w:rPr>
        <w:sectPr w:rsidR="003B7924" w:rsidSect="00B9095F">
          <w:headerReference w:type="even" r:id="rId14"/>
          <w:headerReference w:type="default" r:id="rId15"/>
          <w:footerReference w:type="even" r:id="rId16"/>
          <w:footerReference w:type="default" r:id="rId17"/>
          <w:headerReference w:type="first" r:id="rId18"/>
          <w:footerReference w:type="first" r:id="rId19"/>
          <w:pgSz w:w="11906" w:h="16838" w:code="9"/>
          <w:pgMar w:top="1080" w:right="1440" w:bottom="1080" w:left="1440" w:header="706" w:footer="706" w:gutter="0"/>
          <w:paperSrc w:first="258" w:other="258"/>
          <w:cols w:space="708"/>
          <w:docGrid w:linePitch="360"/>
        </w:sectPr>
      </w:pPr>
    </w:p>
    <w:p w14:paraId="233CE20F" w14:textId="77777777" w:rsidR="00D5571A" w:rsidRDefault="00481EB1" w:rsidP="00D5571A">
      <w:pPr>
        <w:spacing w:after="0"/>
        <w:jc w:val="center"/>
        <w:rPr>
          <w:rFonts w:ascii="Times New Roman" w:hAnsi="Times New Roman" w:cs="Times New Roman"/>
          <w:b/>
          <w:bCs/>
          <w:lang w:val="en-US"/>
        </w:rPr>
      </w:pPr>
      <w:r>
        <w:rPr>
          <w:rFonts w:ascii="Times New Roman" w:hAnsi="Times New Roman" w:cs="Times New Roman"/>
          <w:b/>
          <w:bCs/>
          <w:lang w:val="en-US"/>
        </w:rPr>
        <w:lastRenderedPageBreak/>
        <w:t>Table 2. Summary statistics of</w:t>
      </w:r>
      <w:r>
        <w:rPr>
          <w:rFonts w:ascii="Times New Roman" w:hAnsi="Times New Roman" w:cs="Times New Roman"/>
          <w:b/>
          <w:bCs/>
          <w:lang w:val="en-US"/>
        </w:rPr>
        <w:t xml:space="preserve"> market arrival and price of paddy in selected market</w:t>
      </w:r>
    </w:p>
    <w:p w14:paraId="71B91683" w14:textId="77777777" w:rsidR="004F3782" w:rsidRPr="00D5571A" w:rsidRDefault="00481EB1" w:rsidP="00D5571A">
      <w:pPr>
        <w:spacing w:after="0"/>
        <w:jc w:val="right"/>
        <w:rPr>
          <w:rFonts w:ascii="Times New Roman" w:hAnsi="Times New Roman" w:cs="Times New Roman"/>
        </w:rPr>
      </w:pPr>
      <w:r w:rsidRPr="00D5571A">
        <w:rPr>
          <w:rFonts w:ascii="Times New Roman" w:hAnsi="Times New Roman" w:cs="Times New Roman"/>
          <w:lang w:val="en-US"/>
        </w:rPr>
        <w:t xml:space="preserve">Arrival in Qtl &amp; Price </w:t>
      </w:r>
      <w:r w:rsidR="00F95134" w:rsidRPr="00D5571A">
        <w:rPr>
          <w:rFonts w:ascii="Times New Roman" w:hAnsi="Times New Roman" w:cs="Times New Roman"/>
          <w:lang w:val="en-US"/>
        </w:rPr>
        <w:t xml:space="preserve">in Rs./kg </w:t>
      </w:r>
      <w:r w:rsidR="00F95134" w:rsidRPr="00D5571A">
        <w:rPr>
          <w:rFonts w:ascii="Times New Roman" w:hAnsi="Times New Roman" w:cs="Times New Roman"/>
        </w:rPr>
        <w:t>(200</w:t>
      </w:r>
      <w:r w:rsidR="00F95134" w:rsidRPr="00D5571A">
        <w:rPr>
          <w:rFonts w:ascii="Times New Roman" w:hAnsi="Times New Roman" w:cs="Times New Roman"/>
          <w:lang w:val="en-US"/>
        </w:rPr>
        <w:t>9</w:t>
      </w:r>
      <w:r w:rsidR="00F95134" w:rsidRPr="00D5571A">
        <w:rPr>
          <w:rFonts w:ascii="Times New Roman" w:hAnsi="Times New Roman" w:cs="Times New Roman"/>
        </w:rPr>
        <w:t>-</w:t>
      </w:r>
      <w:r w:rsidR="00F95134" w:rsidRPr="00D5571A">
        <w:rPr>
          <w:rFonts w:ascii="Times New Roman" w:hAnsi="Times New Roman" w:cs="Times New Roman"/>
          <w:lang w:val="en-US"/>
        </w:rPr>
        <w:t>10</w:t>
      </w:r>
      <w:r w:rsidR="00F95134" w:rsidRPr="00D5571A">
        <w:rPr>
          <w:rFonts w:ascii="Times New Roman" w:hAnsi="Times New Roman" w:cs="Times New Roman"/>
        </w:rPr>
        <w:t xml:space="preserve"> to 202</w:t>
      </w:r>
      <w:r w:rsidR="00F95134" w:rsidRPr="00D5571A">
        <w:rPr>
          <w:rFonts w:ascii="Times New Roman" w:hAnsi="Times New Roman" w:cs="Times New Roman"/>
          <w:lang w:val="en-US"/>
        </w:rPr>
        <w:t>2</w:t>
      </w:r>
      <w:r w:rsidR="00F95134" w:rsidRPr="00D5571A">
        <w:rPr>
          <w:rFonts w:ascii="Times New Roman" w:hAnsi="Times New Roman" w:cs="Times New Roman"/>
        </w:rPr>
        <w:t>-2</w:t>
      </w:r>
      <w:r w:rsidR="00F95134" w:rsidRPr="00D5571A">
        <w:rPr>
          <w:rFonts w:ascii="Times New Roman" w:hAnsi="Times New Roman" w:cs="Times New Roman"/>
          <w:lang w:val="en-US"/>
        </w:rPr>
        <w:t>3</w:t>
      </w:r>
      <w:r w:rsidR="00F95134" w:rsidRPr="00D5571A">
        <w:rPr>
          <w:rFonts w:ascii="Times New Roman" w:hAnsi="Times New Roman" w:cs="Times New Roman"/>
        </w:rPr>
        <w:t>)</w:t>
      </w:r>
    </w:p>
    <w:tbl>
      <w:tblPr>
        <w:tblW w:w="14338" w:type="dxa"/>
        <w:tblInd w:w="86" w:type="dxa"/>
        <w:tblLayout w:type="fixed"/>
        <w:tblLook w:val="04A0" w:firstRow="1" w:lastRow="0" w:firstColumn="1" w:lastColumn="0" w:noHBand="0" w:noVBand="1"/>
      </w:tblPr>
      <w:tblGrid>
        <w:gridCol w:w="976"/>
        <w:gridCol w:w="886"/>
        <w:gridCol w:w="570"/>
        <w:gridCol w:w="803"/>
        <w:gridCol w:w="588"/>
        <w:gridCol w:w="734"/>
        <w:gridCol w:w="563"/>
        <w:gridCol w:w="617"/>
        <w:gridCol w:w="562"/>
        <w:gridCol w:w="734"/>
        <w:gridCol w:w="570"/>
        <w:gridCol w:w="851"/>
        <w:gridCol w:w="564"/>
        <w:gridCol w:w="968"/>
        <w:gridCol w:w="560"/>
        <w:gridCol w:w="749"/>
        <w:gridCol w:w="564"/>
        <w:gridCol w:w="617"/>
        <w:gridCol w:w="562"/>
        <w:gridCol w:w="734"/>
        <w:gridCol w:w="566"/>
      </w:tblGrid>
      <w:tr w:rsidR="00381735" w14:paraId="65B3BA32" w14:textId="77777777">
        <w:trPr>
          <w:trHeight w:val="246"/>
        </w:trPr>
        <w:tc>
          <w:tcPr>
            <w:tcW w:w="9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4A1A137" w14:textId="77777777" w:rsidR="004F3782" w:rsidRDefault="004F3782">
            <w:pPr>
              <w:spacing w:after="0" w:line="240" w:lineRule="auto"/>
              <w:jc w:val="center"/>
              <w:rPr>
                <w:rFonts w:ascii="Calibri" w:hAnsi="Calibri" w:cs="Calibri"/>
                <w:color w:val="000000"/>
              </w:rPr>
            </w:pPr>
          </w:p>
        </w:tc>
        <w:tc>
          <w:tcPr>
            <w:tcW w:w="662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7B29E1D"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11"/>
                <w:rFonts w:eastAsia="SimSun"/>
                <w:lang w:val="en-US" w:eastAsia="zh-CN" w:bidi="ar"/>
              </w:rPr>
              <w:t>PERIOD - I</w:t>
            </w:r>
          </w:p>
        </w:tc>
        <w:tc>
          <w:tcPr>
            <w:tcW w:w="67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A687DEE"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11"/>
                <w:rFonts w:eastAsia="SimSun"/>
                <w:lang w:val="en-US" w:eastAsia="zh-CN" w:bidi="ar"/>
              </w:rPr>
              <w:t>PERIOD - II</w:t>
            </w:r>
          </w:p>
        </w:tc>
      </w:tr>
      <w:tr w:rsidR="00381735" w14:paraId="3FA67CE5" w14:textId="77777777">
        <w:trPr>
          <w:trHeight w:val="246"/>
        </w:trPr>
        <w:tc>
          <w:tcPr>
            <w:tcW w:w="97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AFB0CD8" w14:textId="77777777" w:rsidR="004F3782" w:rsidRDefault="004F3782">
            <w:pPr>
              <w:spacing w:after="0" w:line="240" w:lineRule="auto"/>
              <w:jc w:val="center"/>
              <w:rPr>
                <w:rFonts w:ascii="Calibri" w:hAnsi="Calibri" w:cs="Calibri"/>
                <w:color w:val="000000"/>
              </w:rPr>
            </w:pPr>
          </w:p>
        </w:tc>
        <w:tc>
          <w:tcPr>
            <w:tcW w:w="1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C289DE6"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Kota</w:t>
            </w: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D3E5BD1"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Attabira</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C5543E7"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Sindhanur</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E1AF319"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Dahod</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AECDB6E"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Bhatapara</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BAABA2B"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Kota</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FB4C7BC"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Attabira</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55F2F0A"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Sindhanur</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F9C983A"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Dahod</w:t>
            </w:r>
          </w:p>
        </w:tc>
        <w:tc>
          <w:tcPr>
            <w:tcW w:w="1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588E42E"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Style w:val="font21"/>
                <w:rFonts w:eastAsia="SimSun"/>
                <w:lang w:val="en-US" w:eastAsia="zh-CN" w:bidi="ar"/>
              </w:rPr>
              <w:t>Bhatapara</w:t>
            </w:r>
          </w:p>
        </w:tc>
      </w:tr>
      <w:tr w:rsidR="00381735" w14:paraId="20E24DC7" w14:textId="77777777">
        <w:trPr>
          <w:trHeight w:val="246"/>
        </w:trPr>
        <w:tc>
          <w:tcPr>
            <w:tcW w:w="976"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1124244" w14:textId="77777777" w:rsidR="004F3782" w:rsidRDefault="004F3782">
            <w:pPr>
              <w:spacing w:after="0" w:line="240" w:lineRule="auto"/>
              <w:jc w:val="center"/>
              <w:rPr>
                <w:rFonts w:ascii="Calibri" w:hAnsi="Calibri" w:cs="Calibri"/>
                <w:color w:val="000000"/>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4852C2D"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3FCB5C1"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0D58D2B"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B95A594"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6FDFB74"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8A45F12"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4DFE56A"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C711655"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9729A6A"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C9A9EB0"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2C69908"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7E9B29A"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B75B0F6"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D12A03D"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E9A19F4"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8E27EA8"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421C4C7"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E86E6A6"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84B5EC6"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E7F9E22"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r>
      <w:tr w:rsidR="00381735" w14:paraId="11312836"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4CE9373"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Mean</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3FB798C"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337.42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172B060"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17.91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7E5156A"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369.33</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A734260"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9.94</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2C62B10"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258.75</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6EE044"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12.68</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39E4B9A"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21.32</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AC6FD95"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9.98</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EFAFE2A"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272.91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DF58492"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EEBC3DC"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207.96</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5C59B46"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25.76</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8E2A9CA"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466.29</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A9890A9"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16.2</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9F27AEA"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236.07</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6621C7B"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21.81</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CEB5A5F"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14.22</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BF6D77D"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14.56</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7B59C5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183.31</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D3ABB53"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19.55</w:t>
            </w:r>
          </w:p>
        </w:tc>
      </w:tr>
      <w:tr w:rsidR="00381735" w14:paraId="1168EB92"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5E056EB"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Standard Deviation</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A732ACC"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517.91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F3D9B25"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2.53</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975956A"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595.41</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EF1B51C"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1.61</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9BDD674"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156.80</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2D8ED77"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1.64</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71AD975"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11.91</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C150E49"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1.17</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ED1C383"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147.59</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0464CE3"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4006133"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369.49</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D9DDF55"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5.67</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C8D98D2"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1473.85</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F2C7B12"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2.31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87A1FA9"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179.00</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01D39C3"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1.99</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C3DBD7E"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13.40</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79B4179"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1.22</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A2B895C"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108.04</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341766C"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2.45</w:t>
            </w:r>
          </w:p>
        </w:tc>
      </w:tr>
      <w:tr w:rsidR="00381735" w14:paraId="64CD456D"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1220DD2"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Kurtosis</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278D33C"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3.26</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04C6324"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-0.64</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D841FDA"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0C6C02A" w14:textId="77777777" w:rsidR="004F3782" w:rsidRDefault="00481EB1">
            <w:pPr>
              <w:spacing w:after="0" w:line="240" w:lineRule="auto"/>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eastAsia="zh-CN" w:bidi="ar"/>
              </w:rPr>
              <w:t>-0.09</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3C70085"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-0.85</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46BD26C"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-0.29</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774467B"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-0.03</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2C0E74D"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0.04</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D76504F"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3.43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EF3D0A6"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A984427"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9.20</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E7B4976"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-0.62</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ABDFDAC"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93.91</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5B98619"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-1.56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95A6C62"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39.79</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CFCDCD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BB02960"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4.33</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0300D7C"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-0.81</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E821E12"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8.99</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0C87214"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-0.47</w:t>
            </w:r>
          </w:p>
        </w:tc>
      </w:tr>
      <w:tr w:rsidR="00381735" w14:paraId="50BCE2EF"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1ED5079"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Skewness</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834FEAE"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1.99</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41B596A"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0.28</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842094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1.26</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869E2F9" w14:textId="77777777" w:rsidR="004F3782" w:rsidRDefault="00481EB1">
            <w:pPr>
              <w:spacing w:after="0" w:line="240" w:lineRule="auto"/>
              <w:jc w:val="center"/>
              <w:textAlignment w:val="center"/>
              <w:rPr>
                <w:rFonts w:ascii="Times New Roman" w:hAnsi="Times New Roman" w:cs="Times New Roman"/>
                <w:color w:val="000000"/>
              </w:rPr>
            </w:pPr>
            <w:r>
              <w:rPr>
                <w:rFonts w:ascii="Times New Roman" w:eastAsia="SimSun" w:hAnsi="Times New Roman" w:cs="Times New Roman"/>
                <w:color w:val="000000"/>
                <w:kern w:val="0"/>
                <w:lang w:val="en-US" w:eastAsia="zh-CN" w:bidi="ar"/>
              </w:rPr>
              <w:t>-0.09</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135349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0.47</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12E4470"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-0.07</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046B83"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0.73</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F9D321F"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0.2</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C988535"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1.50</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23B3A1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52F62BD"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2.89</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5EBA7DB"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0.37</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C93431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9.15</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880BA18"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D6FF92C"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4.86</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BB6C747"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-0.39</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E07D4C5"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1.97</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D7A6BA5"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0.12</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C80903B"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2.26</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B29E18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-0.13</w:t>
            </w:r>
          </w:p>
        </w:tc>
      </w:tr>
      <w:tr w:rsidR="00381735" w14:paraId="0692CAE1"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95AD93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Minimum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D4B1BFF"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1.33</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57DCE65"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13.41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663BA7B"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0.19</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AF5C698"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6.65</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1D07AC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53.61</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602072C"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9.07</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6D9DA48"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1.76</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E97D7F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7.34</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24425F3"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85.90</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B709640"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7.99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940C6DA"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0.01</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5199378"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15.54</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13B3E16"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0.35</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8C97D26"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13.1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4D30C9F"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6.60</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F9811B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14.49</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7EB9CA7"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2.24</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4E5752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12.08</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1CB513F"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38.22</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FF8CB0E"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14.23</w:t>
            </w:r>
          </w:p>
        </w:tc>
      </w:tr>
      <w:tr w:rsidR="00381735" w14:paraId="69C8E114" w14:textId="77777777">
        <w:trPr>
          <w:trHeight w:val="144"/>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87DD7B4"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Style w:val="font31"/>
                <w:rFonts w:eastAsia="SimSun"/>
                <w:lang w:val="en-US" w:eastAsia="zh-CN" w:bidi="ar"/>
              </w:rPr>
              <w:t>Maximum</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EC8F68D" w14:textId="77777777" w:rsidR="004F3782" w:rsidRDefault="00481EB1">
            <w:pPr>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color w:val="000000"/>
                <w:kern w:val="0"/>
                <w:lang w:val="en-US" w:eastAsia="zh-CN" w:bidi="ar"/>
              </w:rPr>
              <w:t>2042.59</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EA730C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23.1</w:t>
            </w:r>
          </w:p>
        </w:tc>
        <w:tc>
          <w:tcPr>
            <w:tcW w:w="80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F061211"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1902.71</w:t>
            </w:r>
          </w:p>
        </w:tc>
        <w:tc>
          <w:tcPr>
            <w:tcW w:w="58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6EFC142"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12.8</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6D5EBD3"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602.05</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7C4D864"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16.32</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5AE4CE5"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49.41</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AC8BB7D"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12.73</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1CDA37E"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786.71</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90606FF"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7471F87"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2069.73</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E917568"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38.45</w:t>
            </w:r>
          </w:p>
        </w:tc>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D51D7D2"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15616.06</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7D1603D"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20.4</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665F2E7"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1788.07</w:t>
            </w:r>
          </w:p>
        </w:tc>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0247396"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26.5</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173425E"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69.29</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DC5FA2B"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17.52</w:t>
            </w:r>
          </w:p>
        </w:tc>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F1B44A6"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lang w:val="en-US" w:eastAsia="zh-CN" w:bidi="ar"/>
              </w:rPr>
              <w:t>746.46</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425660D" w14:textId="77777777" w:rsidR="004F3782" w:rsidRDefault="00481EB1">
            <w:pPr>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25.98</w:t>
            </w:r>
          </w:p>
        </w:tc>
      </w:tr>
    </w:tbl>
    <w:p w14:paraId="5A6FACBB" w14:textId="77777777" w:rsidR="004F3782" w:rsidRDefault="00481EB1">
      <w:pPr>
        <w:jc w:val="both"/>
        <w:rPr>
          <w:rFonts w:ascii="Times New Roman" w:hAnsi="Times New Roman" w:cs="Times New Roman"/>
          <w:i/>
          <w:iCs/>
          <w:sz w:val="20"/>
          <w:szCs w:val="20"/>
          <w:lang w:val="en-US"/>
        </w:rPr>
      </w:pPr>
      <w:r>
        <w:rPr>
          <w:rFonts w:ascii="Times New Roman" w:hAnsi="Times New Roman" w:cs="Times New Roman"/>
          <w:i/>
          <w:iCs/>
          <w:sz w:val="20"/>
          <w:szCs w:val="20"/>
        </w:rPr>
        <w:t>Source: Authors’ own calculation</w:t>
      </w:r>
      <w:r>
        <w:rPr>
          <w:rFonts w:ascii="Times New Roman" w:hAnsi="Times New Roman" w:cs="Times New Roman"/>
          <w:i/>
          <w:iCs/>
          <w:sz w:val="20"/>
          <w:szCs w:val="20"/>
          <w:lang w:val="en-US"/>
        </w:rPr>
        <w:t>, Note: A - Arrival, P- Price</w:t>
      </w:r>
    </w:p>
    <w:p w14:paraId="0942746D" w14:textId="77777777" w:rsidR="004F3782" w:rsidRDefault="00481EB1">
      <w:pPr>
        <w:snapToGrid w:val="0"/>
        <w:spacing w:after="0" w:line="240" w:lineRule="auto"/>
        <w:jc w:val="center"/>
        <w:rPr>
          <w:rFonts w:ascii="Times New Roman" w:hAnsi="Times New Roman" w:cs="Times New Roman"/>
          <w:b/>
          <w:bCs/>
          <w:lang w:val="en-US"/>
        </w:rPr>
      </w:pPr>
      <w:r>
        <w:rPr>
          <w:rFonts w:ascii="Times New Roman" w:hAnsi="Times New Roman"/>
          <w:b/>
          <w:bCs/>
          <w:lang w:val="en-US"/>
        </w:rPr>
        <w:t xml:space="preserve">Table 3. CAGR </w:t>
      </w:r>
      <w:r>
        <w:rPr>
          <w:rFonts w:ascii="Times New Roman" w:hAnsi="Times New Roman" w:cs="Times New Roman"/>
          <w:b/>
          <w:bCs/>
          <w:lang w:val="en-US"/>
        </w:rPr>
        <w:t xml:space="preserve">of market arrival and price of paddy in selected market </w:t>
      </w:r>
      <w:r>
        <w:rPr>
          <w:rFonts w:ascii="Times New Roman" w:hAnsi="Times New Roman" w:cs="Times New Roman"/>
          <w:b/>
          <w:bCs/>
        </w:rPr>
        <w:t>(200</w:t>
      </w:r>
      <w:r>
        <w:rPr>
          <w:rFonts w:ascii="Times New Roman" w:hAnsi="Times New Roman" w:cs="Times New Roman"/>
          <w:b/>
          <w:bCs/>
          <w:lang w:val="en-US"/>
        </w:rPr>
        <w:t>9</w:t>
      </w:r>
      <w:r>
        <w:rPr>
          <w:rFonts w:ascii="Times New Roman" w:hAnsi="Times New Roman" w:cs="Times New Roman"/>
          <w:b/>
          <w:bCs/>
        </w:rPr>
        <w:t>-</w:t>
      </w:r>
      <w:r>
        <w:rPr>
          <w:rFonts w:ascii="Times New Roman" w:hAnsi="Times New Roman" w:cs="Times New Roman"/>
          <w:b/>
          <w:bCs/>
          <w:lang w:val="en-US"/>
        </w:rPr>
        <w:t>10</w:t>
      </w:r>
      <w:r>
        <w:rPr>
          <w:rFonts w:ascii="Times New Roman" w:hAnsi="Times New Roman" w:cs="Times New Roman"/>
          <w:b/>
          <w:bCs/>
        </w:rPr>
        <w:t xml:space="preserve"> to 202</w:t>
      </w:r>
      <w:r>
        <w:rPr>
          <w:rFonts w:ascii="Times New Roman" w:hAnsi="Times New Roman" w:cs="Times New Roman"/>
          <w:b/>
          <w:bCs/>
          <w:lang w:val="en-US"/>
        </w:rPr>
        <w:t>2</w:t>
      </w:r>
      <w:r>
        <w:rPr>
          <w:rFonts w:ascii="Times New Roman" w:hAnsi="Times New Roman" w:cs="Times New Roman"/>
          <w:b/>
          <w:bCs/>
        </w:rPr>
        <w:t>-2</w:t>
      </w:r>
      <w:r>
        <w:rPr>
          <w:rFonts w:ascii="Times New Roman" w:hAnsi="Times New Roman" w:cs="Times New Roman"/>
          <w:b/>
          <w:bCs/>
          <w:lang w:val="en-US"/>
        </w:rPr>
        <w:t>3</w:t>
      </w:r>
      <w:r>
        <w:rPr>
          <w:rFonts w:ascii="Times New Roman" w:hAnsi="Times New Roman" w:cs="Times New Roman"/>
          <w:b/>
          <w:bCs/>
        </w:rPr>
        <w:t>)</w:t>
      </w:r>
      <w:r>
        <w:rPr>
          <w:rFonts w:ascii="Times New Roman" w:hAnsi="Times New Roman" w:cs="Times New Roman"/>
          <w:b/>
          <w:bCs/>
          <w:lang w:val="en-US"/>
        </w:rPr>
        <w:t xml:space="preserve"> </w:t>
      </w:r>
    </w:p>
    <w:p w14:paraId="5579420D" w14:textId="77777777" w:rsidR="004F3782" w:rsidRDefault="00481EB1">
      <w:pPr>
        <w:snapToGrid w:val="0"/>
        <w:spacing w:after="0" w:line="240" w:lineRule="auto"/>
        <w:jc w:val="right"/>
        <w:rPr>
          <w:rFonts w:ascii="Times New Roman" w:hAnsi="Times New Roman" w:cs="Times New Roman"/>
          <w:i/>
          <w:iCs/>
          <w:lang w:val="en-US"/>
        </w:rPr>
      </w:pPr>
      <w:r>
        <w:rPr>
          <w:rFonts w:ascii="Times New Roman" w:hAnsi="Times New Roman" w:cs="Times New Roman"/>
          <w:lang w:val="en-US"/>
        </w:rPr>
        <w:t>(at 5</w:t>
      </w:r>
      <w:r w:rsidR="00BC2EB4">
        <w:rPr>
          <w:rFonts w:ascii="Times New Roman" w:hAnsi="Times New Roman" w:cs="Times New Roman"/>
          <w:lang w:val="en-US"/>
        </w:rPr>
        <w:t xml:space="preserve"> per cent</w:t>
      </w:r>
      <w:r>
        <w:rPr>
          <w:rFonts w:ascii="Times New Roman" w:hAnsi="Times New Roman" w:cs="Times New Roman"/>
          <w:lang w:val="en-US"/>
        </w:rPr>
        <w:t xml:space="preserve"> significance)</w:t>
      </w:r>
    </w:p>
    <w:tbl>
      <w:tblPr>
        <w:tblW w:w="14398" w:type="dxa"/>
        <w:tblLook w:val="04A0" w:firstRow="1" w:lastRow="0" w:firstColumn="1" w:lastColumn="0" w:noHBand="0" w:noVBand="1"/>
      </w:tblPr>
      <w:tblGrid>
        <w:gridCol w:w="1119"/>
        <w:gridCol w:w="685"/>
        <w:gridCol w:w="639"/>
        <w:gridCol w:w="687"/>
        <w:gridCol w:w="640"/>
        <w:gridCol w:w="689"/>
        <w:gridCol w:w="641"/>
        <w:gridCol w:w="686"/>
        <w:gridCol w:w="639"/>
        <w:gridCol w:w="689"/>
        <w:gridCol w:w="644"/>
        <w:gridCol w:w="686"/>
        <w:gridCol w:w="639"/>
        <w:gridCol w:w="687"/>
        <w:gridCol w:w="640"/>
        <w:gridCol w:w="689"/>
        <w:gridCol w:w="641"/>
        <w:gridCol w:w="686"/>
        <w:gridCol w:w="639"/>
        <w:gridCol w:w="689"/>
        <w:gridCol w:w="644"/>
      </w:tblGrid>
      <w:tr w:rsidR="00381735" w14:paraId="5D304F87" w14:textId="77777777">
        <w:trPr>
          <w:trHeight w:val="288"/>
        </w:trPr>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7E7DF5D" w14:textId="77777777" w:rsidR="004F3782" w:rsidRDefault="004F3782">
            <w:pPr>
              <w:spacing w:after="0" w:line="240" w:lineRule="auto"/>
              <w:jc w:val="center"/>
              <w:rPr>
                <w:rFonts w:ascii="Calibri" w:hAnsi="Calibri" w:cs="Calibri"/>
                <w:color w:val="000000"/>
                <w:sz w:val="19"/>
                <w:szCs w:val="19"/>
              </w:rPr>
            </w:pPr>
          </w:p>
        </w:tc>
        <w:tc>
          <w:tcPr>
            <w:tcW w:w="663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570C92E"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PERIOD - I</w:t>
            </w:r>
          </w:p>
        </w:tc>
        <w:tc>
          <w:tcPr>
            <w:tcW w:w="664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2E2ADBF"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PERIOD - II</w:t>
            </w:r>
          </w:p>
        </w:tc>
      </w:tr>
      <w:tr w:rsidR="00381735" w14:paraId="70ABCD50" w14:textId="77777777">
        <w:trPr>
          <w:trHeight w:val="288"/>
        </w:trPr>
        <w:tc>
          <w:tcPr>
            <w:tcW w:w="111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167D166" w14:textId="77777777" w:rsidR="004F3782" w:rsidRDefault="004F3782">
            <w:pPr>
              <w:spacing w:after="0" w:line="240" w:lineRule="auto"/>
              <w:jc w:val="center"/>
              <w:rPr>
                <w:rFonts w:ascii="Calibri" w:hAnsi="Calibri" w:cs="Calibri"/>
                <w:color w:val="000000"/>
                <w:sz w:val="19"/>
                <w:szCs w:val="19"/>
              </w:rPr>
            </w:pP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6D90A5A"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Kota</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F6EDF6E"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Attabira</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B7E7CC5"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Sindhanur</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E854425"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Dahod</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9940A39"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Bhatapara</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F58EAD3"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Kota</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1356A63"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Attabira</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93F013F"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Sindhanur</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11FD151"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Dahod</w:t>
            </w:r>
          </w:p>
        </w:tc>
        <w:tc>
          <w:tcPr>
            <w:tcW w:w="13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CADC001"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Bhatapara</w:t>
            </w:r>
          </w:p>
        </w:tc>
      </w:tr>
      <w:tr w:rsidR="00381735" w14:paraId="397B222D" w14:textId="77777777">
        <w:trPr>
          <w:trHeight w:val="288"/>
        </w:trPr>
        <w:tc>
          <w:tcPr>
            <w:tcW w:w="1119"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9F07166" w14:textId="77777777" w:rsidR="004F3782" w:rsidRDefault="004F3782">
            <w:pPr>
              <w:spacing w:after="0" w:line="240" w:lineRule="auto"/>
              <w:jc w:val="center"/>
              <w:rPr>
                <w:rFonts w:ascii="Calibri" w:hAnsi="Calibri" w:cs="Calibri"/>
                <w:color w:val="000000"/>
                <w:sz w:val="19"/>
                <w:szCs w:val="19"/>
              </w:rPr>
            </w:pP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83B08EE"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BD2791D"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47D2188"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F7C29A3"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95613C6"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64190A8"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C577571"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24145FE"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D27083A"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D736293"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E998282"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2309EA7"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E4335F2"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379777B"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5E9791B"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8D7EF55"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F05405C"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782D0E7"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09512B2"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1FB1C58" w14:textId="77777777" w:rsidR="004F3782" w:rsidRDefault="00481EB1">
            <w:pPr>
              <w:spacing w:after="0" w:line="240" w:lineRule="auto"/>
              <w:jc w:val="center"/>
              <w:textAlignment w:val="center"/>
              <w:rPr>
                <w:rFonts w:ascii="Times New Roman" w:hAnsi="Times New Roman" w:cs="Times New Roman"/>
                <w:b/>
                <w:bCs/>
                <w:color w:val="000000"/>
                <w:sz w:val="19"/>
                <w:szCs w:val="19"/>
              </w:rPr>
            </w:pPr>
            <w:r>
              <w:rPr>
                <w:rFonts w:ascii="Times New Roman" w:eastAsia="SimSun" w:hAnsi="Times New Roman" w:cs="Times New Roman"/>
                <w:b/>
                <w:bCs/>
                <w:color w:val="000000"/>
                <w:kern w:val="0"/>
                <w:sz w:val="19"/>
                <w:szCs w:val="19"/>
                <w:lang w:val="en-US" w:eastAsia="zh-CN" w:bidi="ar"/>
              </w:rPr>
              <w:t>P</w:t>
            </w:r>
          </w:p>
        </w:tc>
      </w:tr>
      <w:tr w:rsidR="00381735" w14:paraId="07F1CA2E"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3DAF9C1"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January</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2AC400C" w14:textId="77777777" w:rsidR="004F3782" w:rsidRDefault="00481EB1">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0.9788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521EB84"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0.9514</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1551B04"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0.7783</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8FA502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5E1D0FE"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1.2383</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31B7E8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1.0499</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0D21493"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1.2420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66C3E3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1.0461</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19AC222"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0.8703</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9164E39"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1.1193</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7C39935"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0.9468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5D93814"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0.9862</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9494F74"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1.1558</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C79D61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1.0798</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9178FC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0.7704</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7F42B66"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0.9979</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D31BAEC"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0.9758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7DCEBE3"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1.0181</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15262E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1.0045</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0A9AA2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1.0082</w:t>
            </w:r>
          </w:p>
        </w:tc>
      </w:tr>
      <w:tr w:rsidR="00381735" w14:paraId="7E0917D6"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1E5EDAC"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February</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CDBD635" w14:textId="77777777" w:rsidR="004F3782" w:rsidRDefault="00481EB1">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1.0489</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8B59502"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0.9636</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9223AD4"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1.0587</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137AD56"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1.1197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0017950"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1.1136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397A6F6"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1.0535</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BED0E5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0.9846</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04C443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1.0387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8E21B05"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0.8186</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5336043"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1.1097</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F00D530"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0.9385</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DFF6D06"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0.9893</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B06702C"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3.4288</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10A1E87"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1.0864</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C41F304"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0.8554</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914AF5B"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0.9954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997F3CD"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0.9570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570CCB9"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1.0137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36AB977"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0.9957</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059BF35"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1.0021</w:t>
            </w:r>
          </w:p>
        </w:tc>
      </w:tr>
      <w:tr w:rsidR="00381735" w14:paraId="3FF18C42"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DE466CD"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March</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E489C43" w14:textId="77777777" w:rsidR="004F3782" w:rsidRDefault="00481EB1">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1.2921</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29FB5B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0.9878</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40B259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1.0000</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AADF237"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E31F216"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1.2745</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D21021F"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1.0407</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65B27B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1.1390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20F8A1F"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1.0505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9329DA7"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0.7940</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5D6FA1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1.1073</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3443552"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0.9529</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ABE47C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1.0011</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0D497F3"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3.6072</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6D62C62"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1.0959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1715CAE"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0.8599</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4FD5813"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1.0019</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628BB14"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1.0198</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39DB08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1.0145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3890E3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0.9457</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BF34D83"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1.0017</w:t>
            </w:r>
          </w:p>
        </w:tc>
      </w:tr>
      <w:tr w:rsidR="00381735" w14:paraId="5B5B7C6C"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09E8895"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April</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CEA9658" w14:textId="77777777" w:rsidR="004F3782" w:rsidRDefault="00481EB1">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0.8694</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E967C1E"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0.9659</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E24760C"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1.0000</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7D17A75"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A53BB02"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1.7147</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93A3A22"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1.0770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9D4EE3D"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1.0984</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8C4635E"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1.0700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124D26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1.0309</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CA7CD25"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1.1104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C75F296"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1.0155</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3E83EC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1.0150</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FBD53C6"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2.4732</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D43B9F4"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1.1026</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A41BC7B"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0.8916</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6E8714F"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1.0071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E4FA722"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0.9387</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0CBAF7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1.0140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11792FF"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0.9954</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06EF28B"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1.0068</w:t>
            </w:r>
          </w:p>
        </w:tc>
      </w:tr>
      <w:tr w:rsidR="00381735" w14:paraId="64417DC5"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FC12D16"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May</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0EB9217" w14:textId="77777777" w:rsidR="004F3782" w:rsidRDefault="00481EB1">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1.5977</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85041D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0.9275</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9F9B102"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1.0771</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B08A1DE"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536C38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1.5649</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0F6D71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1.0201</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8A6AC8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1.1325</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D34A336"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1.0416</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76619FF"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0.9954</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3001B24"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1.0920</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61DDCD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1.0004</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2ADF6C0"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1.0145</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6E00B0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0.4338</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C12E460"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1.1027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BD02DDC"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0.8682</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C7C3BD7"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1.0138</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510AF1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0.8985</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C1A45FF"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1.0083</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6FC216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0.9748</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19A3720"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1.0025</w:t>
            </w:r>
          </w:p>
        </w:tc>
      </w:tr>
      <w:tr w:rsidR="00381735" w14:paraId="036BAA4B"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F82E2C8"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June</w:t>
            </w:r>
          </w:p>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B42E1EF" w14:textId="77777777" w:rsidR="004F3782" w:rsidRDefault="00481EB1">
            <w:pPr>
              <w:spacing w:after="0" w:line="240" w:lineRule="auto"/>
              <w:jc w:val="center"/>
              <w:textAlignment w:val="bottom"/>
              <w:rPr>
                <w:rFonts w:ascii="Times New Roman" w:hAnsi="Times New Roman" w:cs="Times New Roman"/>
                <w:b/>
                <w:bCs/>
                <w:color w:val="000000"/>
                <w:sz w:val="19"/>
                <w:szCs w:val="19"/>
              </w:rPr>
            </w:pPr>
            <w:r>
              <w:rPr>
                <w:rFonts w:ascii="Calibri" w:eastAsia="SimSun" w:hAnsi="Calibri" w:cs="Calibri"/>
                <w:color w:val="000000"/>
                <w:kern w:val="0"/>
                <w:sz w:val="19"/>
                <w:szCs w:val="19"/>
                <w:lang w:val="en-US" w:eastAsia="zh-CN" w:bidi="ar"/>
              </w:rPr>
              <w:t>0.8970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FE2480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0.8740</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6F2AD0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0.9122</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6E3E57E"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1.1159</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FE7DC5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1.1581</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CFD50C5"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1.0104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D107ADE"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1.0886</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C4686A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1.0297</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8A916E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0.8563</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9DF779A"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1.0472</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CFC1BD3"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0.9450</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EC42F11"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1.0199</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4E689C"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0.4657</w:t>
            </w:r>
          </w:p>
        </w:tc>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60FDC73"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1.1040</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988EEF6"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0.8860</w:t>
            </w:r>
          </w:p>
        </w:tc>
        <w:tc>
          <w:tcPr>
            <w:tcW w:w="64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5441C46"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1.0054</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0FD7928"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0.9219</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71DB132"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1.0066</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923B7CF"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1.0334</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A4F6892" w14:textId="77777777" w:rsidR="004F3782" w:rsidRDefault="00481EB1">
            <w:pPr>
              <w:spacing w:after="0" w:line="240" w:lineRule="auto"/>
              <w:jc w:val="center"/>
              <w:textAlignment w:val="bottom"/>
              <w:rPr>
                <w:rFonts w:ascii="Times New Roman" w:hAnsi="Times New Roman" w:cs="Times New Roman"/>
                <w:color w:val="000000"/>
                <w:sz w:val="19"/>
                <w:szCs w:val="19"/>
              </w:rPr>
            </w:pPr>
            <w:r>
              <w:rPr>
                <w:rFonts w:ascii="Calibri" w:eastAsia="SimSun" w:hAnsi="Calibri" w:cs="Calibri"/>
                <w:color w:val="000000"/>
                <w:kern w:val="0"/>
                <w:sz w:val="19"/>
                <w:szCs w:val="19"/>
                <w:lang w:val="en-US" w:eastAsia="zh-CN" w:bidi="ar"/>
              </w:rPr>
              <w:t>1.0116</w:t>
            </w:r>
          </w:p>
        </w:tc>
      </w:tr>
      <w:tr w:rsidR="00381735" w14:paraId="4F38E4F1"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470BF62"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July</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46AFF07"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0.8723</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C65CA7"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0.8933</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FDD337B"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0.9674</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40CD418"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1.0710</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B317177"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1.1148</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2DAA66B"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0.9847</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92F1597"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0.9992</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E5BF69C"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1.0398</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910845A"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0.7938</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9B26E0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1.0296</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D34BE25"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1.0330</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B6F479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1.0142</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71B3863"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2.0184</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A4F0C73"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1.1026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59D737E"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0.8940</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46468D6"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1.0001</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B16BF32"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0.9308</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2B1B8E8"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1.0137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70F6AA8"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1.0388</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57B88B8"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1.0086</w:t>
            </w:r>
          </w:p>
        </w:tc>
      </w:tr>
      <w:tr w:rsidR="00381735" w14:paraId="527C4262"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4B3D32E"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August</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1B97F8E"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0.1663</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45F1705"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0.9608</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F02E9A5"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1.0000</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DCA15B7"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1.0710</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CAFDEDA"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1.5402</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2053513"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0.9684</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CD1F89C"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1.2003</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E3B694B"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1.0502</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8431605"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0.7899</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0B0AB5C"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1.0269</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4AAD7B1"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1.1581</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9217119"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1.0163</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2FCB714"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0.9466</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40862CA"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1.0947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0C2C823"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0.8348</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B8497CB"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1.0083</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8C01F9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0.9288</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D89994F"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1.0136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2CB4C48"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1.0506</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C3A452B"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1.0147</w:t>
            </w:r>
          </w:p>
        </w:tc>
      </w:tr>
      <w:tr w:rsidR="00381735" w14:paraId="40948845"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40B998C"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September</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C0E5192"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0.2210</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C5C3357"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0.9702</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82A809F"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1.0000</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19542CE"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1.0710</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630BA06"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1.6881</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65D1BEC"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0.9906</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D04F8D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0.9128</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2CBFEBE"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1.0597</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6F88B4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0.8770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804DF5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1.0286</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DF9DD2E"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1.3433</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5A72B38"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1.0298</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931C06A"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0.8909</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4AF5769"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1.0884</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5B913C2"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0.8452</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837F7A8"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1.0069</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624BD5F"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0.9082</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A81E171"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1.0159</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3B296AC"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0.9788</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54B309B"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1.0075</w:t>
            </w:r>
          </w:p>
        </w:tc>
      </w:tr>
      <w:tr w:rsidR="00381735" w14:paraId="387B92BD"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D3C905E"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October</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77B1CB2"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0.5418</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908BB80"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0.9170</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F0DC104"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1.0000</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DB2940A"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1.0710</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6E61875"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1.5564</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444E54B"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0.9948</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21D4F35"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0.9795</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9745960"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1.0149</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F95AFC2"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1.0292</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C84974C"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1.0378</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5ACEEB6"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0.9288</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64EAD7B"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1.0184</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3624111"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0.8909</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B670CE8"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1.0847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B66F121"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0.8683</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3D5875"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1.0070</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7772F56"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0.8864</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25FBDE0"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1.0167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E0406BA"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0.9832</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B82EAEF"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1.0025</w:t>
            </w:r>
          </w:p>
        </w:tc>
      </w:tr>
      <w:tr w:rsidR="00381735" w14:paraId="22ED7BCF"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7B9342C"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November</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713822F"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0.7608</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27604D6"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0.8927</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4A475AF"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1.8756</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443A2A7"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1.0878</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1C39F9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1.7986</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8CEED54"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0.9852</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5737833"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1.0343</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9D70E59"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1.0139</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A4E53A8"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0.7210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9EC4074"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1.0463</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771759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0.8948</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6B9C8DA"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1.0060</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05B0B3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0.8605</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FCB1E44"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1.0767</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E550153"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0.8385</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E20B945"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1.0071</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8709064"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0.9055</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1601DC7"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1.0186</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F631FC6"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1.0575</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18C6EFE2"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1.0023</w:t>
            </w:r>
          </w:p>
        </w:tc>
      </w:tr>
      <w:tr w:rsidR="00381735" w14:paraId="115AC99B" w14:textId="77777777">
        <w:trPr>
          <w:trHeight w:val="288"/>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BB36B5A" w14:textId="77777777" w:rsidR="004F3782" w:rsidRDefault="00481EB1">
            <w:pPr>
              <w:spacing w:after="0" w:line="240" w:lineRule="auto"/>
              <w:jc w:val="center"/>
              <w:textAlignment w:val="center"/>
              <w:rPr>
                <w:rFonts w:ascii="Times New Roman" w:hAnsi="Times New Roman" w:cs="Times New Roman"/>
                <w:color w:val="000000"/>
                <w:sz w:val="19"/>
                <w:szCs w:val="19"/>
              </w:rPr>
            </w:pPr>
            <w:r>
              <w:rPr>
                <w:rFonts w:ascii="Times New Roman" w:eastAsia="SimSun" w:hAnsi="Times New Roman" w:cs="Times New Roman"/>
                <w:color w:val="000000"/>
                <w:kern w:val="0"/>
                <w:sz w:val="19"/>
                <w:szCs w:val="19"/>
                <w:lang w:val="en-US" w:eastAsia="zh-CN" w:bidi="ar"/>
              </w:rPr>
              <w:t>December</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D2A032E"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1.0921</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FC8F159"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0.9186</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ADFC410"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0.9083</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57186C3"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1.0878</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F4B9E84"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1.6153</w:t>
            </w:r>
          </w:p>
        </w:tc>
        <w:tc>
          <w:tcPr>
            <w:tcW w:w="64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30CDFDB"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0.9768</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FF4AD58"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0.9415</w:t>
            </w:r>
          </w:p>
        </w:tc>
        <w:tc>
          <w:tcPr>
            <w:tcW w:w="63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8AB1289"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0.9564</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5F2FE7F"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0.7565</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5619F0C1"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1.0439</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C35F2CE"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0.9510</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CB0A8BE"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1.0105</w:t>
            </w:r>
          </w:p>
        </w:tc>
        <w:tc>
          <w:tcPr>
            <w:tcW w:w="6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0466E0C"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0.8545</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48F880E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1.0823</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0076D147"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0.7673</w:t>
            </w:r>
          </w:p>
        </w:tc>
        <w:tc>
          <w:tcPr>
            <w:tcW w:w="6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94747B7"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1.0087</w:t>
            </w:r>
          </w:p>
        </w:tc>
        <w:tc>
          <w:tcPr>
            <w:tcW w:w="6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6E9716CA"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0.8552</w:t>
            </w:r>
          </w:p>
        </w:tc>
        <w:tc>
          <w:tcPr>
            <w:tcW w:w="5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5522A7C"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1.0201</w:t>
            </w:r>
          </w:p>
        </w:tc>
        <w:tc>
          <w:tcPr>
            <w:tcW w:w="6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C34AE7D"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1.0146</w:t>
            </w:r>
          </w:p>
        </w:tc>
        <w:tc>
          <w:tcPr>
            <w:tcW w:w="6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7C16CA46" w14:textId="77777777" w:rsidR="004F3782" w:rsidRDefault="00481EB1">
            <w:pPr>
              <w:spacing w:after="0" w:line="240" w:lineRule="auto"/>
              <w:jc w:val="center"/>
              <w:textAlignment w:val="bottom"/>
              <w:rPr>
                <w:rFonts w:ascii="Calibri" w:hAnsi="Calibri" w:cs="Calibri"/>
                <w:color w:val="000000"/>
                <w:sz w:val="19"/>
                <w:szCs w:val="19"/>
              </w:rPr>
            </w:pPr>
            <w:r>
              <w:rPr>
                <w:rFonts w:ascii="Calibri" w:eastAsia="SimSun" w:hAnsi="Calibri" w:cs="Calibri"/>
                <w:color w:val="000000"/>
                <w:kern w:val="0"/>
                <w:sz w:val="19"/>
                <w:szCs w:val="19"/>
                <w:lang w:val="en-US" w:eastAsia="zh-CN" w:bidi="ar"/>
              </w:rPr>
              <w:t>1.0043</w:t>
            </w:r>
          </w:p>
        </w:tc>
      </w:tr>
    </w:tbl>
    <w:p w14:paraId="62F5019E" w14:textId="77777777" w:rsidR="004F3782" w:rsidRDefault="00481EB1">
      <w:pPr>
        <w:jc w:val="both"/>
        <w:rPr>
          <w:rFonts w:ascii="Times New Roman" w:hAnsi="Times New Roman" w:cs="Times New Roman"/>
          <w:i/>
          <w:iCs/>
          <w:sz w:val="20"/>
          <w:szCs w:val="20"/>
          <w:lang w:val="en-US"/>
        </w:rPr>
      </w:pPr>
      <w:r>
        <w:rPr>
          <w:rFonts w:ascii="Times New Roman" w:hAnsi="Times New Roman" w:cs="Times New Roman"/>
          <w:i/>
          <w:iCs/>
          <w:sz w:val="20"/>
          <w:szCs w:val="20"/>
        </w:rPr>
        <w:t>Source: Authors’ own calculation</w:t>
      </w:r>
      <w:r>
        <w:rPr>
          <w:rFonts w:ascii="Times New Roman" w:hAnsi="Times New Roman" w:cs="Times New Roman"/>
          <w:i/>
          <w:iCs/>
          <w:sz w:val="20"/>
          <w:szCs w:val="20"/>
          <w:lang w:val="en-US"/>
        </w:rPr>
        <w:t>, Note: A - Arrival, P- Price</w:t>
      </w:r>
    </w:p>
    <w:p w14:paraId="6C4C0115" w14:textId="77777777" w:rsidR="004F3782" w:rsidRDefault="004F3782">
      <w:pPr>
        <w:jc w:val="both"/>
        <w:rPr>
          <w:rFonts w:ascii="Times New Roman" w:hAnsi="Times New Roman" w:cs="Times New Roman"/>
          <w:i/>
          <w:iCs/>
          <w:sz w:val="24"/>
          <w:szCs w:val="24"/>
        </w:rPr>
      </w:pPr>
    </w:p>
    <w:p w14:paraId="3AD2780B" w14:textId="77777777" w:rsidR="004F3782" w:rsidRDefault="00481EB1">
      <w:pPr>
        <w:jc w:val="center"/>
        <w:rPr>
          <w:rFonts w:ascii="Times New Roman" w:hAnsi="Times New Roman" w:cs="Times New Roman"/>
          <w:i/>
          <w:iCs/>
          <w:sz w:val="24"/>
          <w:szCs w:val="24"/>
          <w:lang w:val="en-US"/>
        </w:rPr>
      </w:pPr>
      <w:r>
        <w:rPr>
          <w:rFonts w:ascii="Times New Roman" w:hAnsi="Times New Roman"/>
          <w:b/>
          <w:bCs/>
          <w:sz w:val="24"/>
          <w:szCs w:val="24"/>
          <w:lang w:val="en-US"/>
        </w:rPr>
        <w:t>Table 4. Variation in</w:t>
      </w:r>
      <w:r>
        <w:rPr>
          <w:rFonts w:ascii="Times New Roman" w:hAnsi="Times New Roman" w:cs="Times New Roman"/>
          <w:b/>
          <w:bCs/>
          <w:lang w:val="en-US"/>
        </w:rPr>
        <w:t xml:space="preserve"> market arrival and price of paddy in selected market </w:t>
      </w:r>
      <w:r>
        <w:rPr>
          <w:rFonts w:ascii="Times New Roman" w:hAnsi="Times New Roman" w:cs="Times New Roman"/>
          <w:b/>
          <w:bCs/>
        </w:rPr>
        <w:t>(200</w:t>
      </w:r>
      <w:r>
        <w:rPr>
          <w:rFonts w:ascii="Times New Roman" w:hAnsi="Times New Roman" w:cs="Times New Roman"/>
          <w:b/>
          <w:bCs/>
          <w:lang w:val="en-US"/>
        </w:rPr>
        <w:t>9</w:t>
      </w:r>
      <w:r>
        <w:rPr>
          <w:rFonts w:ascii="Times New Roman" w:hAnsi="Times New Roman" w:cs="Times New Roman"/>
          <w:b/>
          <w:bCs/>
        </w:rPr>
        <w:t>-</w:t>
      </w:r>
      <w:r>
        <w:rPr>
          <w:rFonts w:ascii="Times New Roman" w:hAnsi="Times New Roman" w:cs="Times New Roman"/>
          <w:b/>
          <w:bCs/>
          <w:lang w:val="en-US"/>
        </w:rPr>
        <w:t>10</w:t>
      </w:r>
      <w:r>
        <w:rPr>
          <w:rFonts w:ascii="Times New Roman" w:hAnsi="Times New Roman" w:cs="Times New Roman"/>
          <w:b/>
          <w:bCs/>
        </w:rPr>
        <w:t xml:space="preserve"> to 202</w:t>
      </w:r>
      <w:r>
        <w:rPr>
          <w:rFonts w:ascii="Times New Roman" w:hAnsi="Times New Roman" w:cs="Times New Roman"/>
          <w:b/>
          <w:bCs/>
          <w:lang w:val="en-US"/>
        </w:rPr>
        <w:t>2</w:t>
      </w:r>
      <w:r>
        <w:rPr>
          <w:rFonts w:ascii="Times New Roman" w:hAnsi="Times New Roman" w:cs="Times New Roman"/>
          <w:b/>
          <w:bCs/>
        </w:rPr>
        <w:t>-2</w:t>
      </w:r>
      <w:r>
        <w:rPr>
          <w:rFonts w:ascii="Times New Roman" w:hAnsi="Times New Roman" w:cs="Times New Roman"/>
          <w:b/>
          <w:bCs/>
          <w:lang w:val="en-US"/>
        </w:rPr>
        <w:t>3</w:t>
      </w:r>
      <w:r>
        <w:rPr>
          <w:rFonts w:ascii="Times New Roman" w:hAnsi="Times New Roman" w:cs="Times New Roman"/>
          <w:b/>
          <w:bCs/>
        </w:rPr>
        <w:t>)</w:t>
      </w:r>
    </w:p>
    <w:tbl>
      <w:tblPr>
        <w:tblW w:w="14319" w:type="dxa"/>
        <w:tblInd w:w="86" w:type="dxa"/>
        <w:tblLook w:val="04A0" w:firstRow="1" w:lastRow="0" w:firstColumn="1" w:lastColumn="0" w:noHBand="0" w:noVBand="1"/>
      </w:tblPr>
      <w:tblGrid>
        <w:gridCol w:w="1075"/>
        <w:gridCol w:w="727"/>
        <w:gridCol w:w="631"/>
        <w:gridCol w:w="727"/>
        <w:gridCol w:w="631"/>
        <w:gridCol w:w="670"/>
        <w:gridCol w:w="631"/>
        <w:gridCol w:w="670"/>
        <w:gridCol w:w="631"/>
        <w:gridCol w:w="670"/>
        <w:gridCol w:w="634"/>
        <w:gridCol w:w="727"/>
        <w:gridCol w:w="631"/>
        <w:gridCol w:w="727"/>
        <w:gridCol w:w="631"/>
        <w:gridCol w:w="670"/>
        <w:gridCol w:w="631"/>
        <w:gridCol w:w="670"/>
        <w:gridCol w:w="631"/>
        <w:gridCol w:w="670"/>
        <w:gridCol w:w="634"/>
      </w:tblGrid>
      <w:tr w:rsidR="00381735" w14:paraId="5EC7FCA8" w14:textId="77777777">
        <w:trPr>
          <w:trHeight w:val="432"/>
        </w:trPr>
        <w:tc>
          <w:tcPr>
            <w:tcW w:w="107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75409C0" w14:textId="77777777" w:rsidR="004F3782" w:rsidRDefault="004F3782">
            <w:pPr>
              <w:snapToGrid w:val="0"/>
              <w:spacing w:after="0" w:line="240" w:lineRule="auto"/>
              <w:jc w:val="center"/>
              <w:rPr>
                <w:rFonts w:ascii="Calibri" w:hAnsi="Calibri" w:cs="Calibri"/>
                <w:color w:val="000000"/>
              </w:rPr>
            </w:pPr>
          </w:p>
        </w:tc>
        <w:tc>
          <w:tcPr>
            <w:tcW w:w="662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E06D6BB"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PERIOD - I</w:t>
            </w:r>
          </w:p>
        </w:tc>
        <w:tc>
          <w:tcPr>
            <w:tcW w:w="662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7687E74"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PERIOD - II</w:t>
            </w:r>
          </w:p>
        </w:tc>
      </w:tr>
      <w:tr w:rsidR="00381735" w14:paraId="56520911" w14:textId="77777777">
        <w:trPr>
          <w:trHeight w:val="432"/>
        </w:trPr>
        <w:tc>
          <w:tcPr>
            <w:tcW w:w="107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3934B50A" w14:textId="77777777" w:rsidR="004F3782" w:rsidRDefault="004F3782">
            <w:pPr>
              <w:snapToGrid w:val="0"/>
              <w:spacing w:after="0" w:line="240" w:lineRule="auto"/>
              <w:jc w:val="center"/>
              <w:rPr>
                <w:rFonts w:ascii="Calibri" w:hAnsi="Calibri" w:cs="Calibri"/>
                <w:color w:val="000000"/>
              </w:rPr>
            </w:pP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6120BB6"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Kota</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D581F1B"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Attabira</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8AE2E6A"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Sindhanur</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D379004"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Dahod</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79CDECA"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Bhatapara</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81BD69B"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Kota</w:t>
            </w:r>
          </w:p>
        </w:tc>
        <w:tc>
          <w:tcPr>
            <w:tcW w:w="1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F04CF61"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Attabira</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6947244"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Sindhanur</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7F04CC1"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Dahod</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8BD6ED7"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Bhatapara</w:t>
            </w:r>
          </w:p>
        </w:tc>
      </w:tr>
      <w:tr w:rsidR="00381735" w14:paraId="7E31EB36" w14:textId="77777777">
        <w:trPr>
          <w:trHeight w:val="432"/>
        </w:trPr>
        <w:tc>
          <w:tcPr>
            <w:tcW w:w="1075"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43" w:type="dxa"/>
              <w:bottom w:w="0" w:type="dxa"/>
              <w:right w:w="43" w:type="dxa"/>
            </w:tcMar>
            <w:vAlign w:val="center"/>
          </w:tcPr>
          <w:p w14:paraId="2432BEA6" w14:textId="77777777" w:rsidR="004F3782" w:rsidRDefault="004F3782">
            <w:pPr>
              <w:snapToGrid w:val="0"/>
              <w:spacing w:after="0" w:line="240" w:lineRule="auto"/>
              <w:jc w:val="center"/>
              <w:rPr>
                <w:rFonts w:ascii="Calibri" w:hAnsi="Calibri" w:cs="Calibri"/>
                <w:color w:val="000000"/>
              </w:rPr>
            </w:pP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9C8A83E"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1EB265F"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52BC7CE"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B9CF3A5"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F3BB131"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009A41A"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CE96AA9"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1ADC0D7"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1CBE43B"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5FF6308"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186FB34"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25FD6CD"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1C0594D"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B2ECF4B"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DD32E70"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9A94F62"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F57547F"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4514335"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C8C357F"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A</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9ED430B" w14:textId="77777777" w:rsidR="004F3782" w:rsidRDefault="00481EB1">
            <w:pPr>
              <w:snapToGrid w:val="0"/>
              <w:spacing w:after="0" w:line="240" w:lineRule="auto"/>
              <w:jc w:val="center"/>
              <w:textAlignment w:val="center"/>
              <w:rPr>
                <w:rFonts w:ascii="Times New Roman" w:hAnsi="Times New Roman" w:cs="Times New Roman"/>
                <w:b/>
                <w:bCs/>
                <w:color w:val="000000"/>
                <w:sz w:val="20"/>
                <w:szCs w:val="20"/>
              </w:rPr>
            </w:pPr>
            <w:r>
              <w:rPr>
                <w:rFonts w:ascii="Times New Roman" w:eastAsia="SimSun" w:hAnsi="Times New Roman" w:cs="Times New Roman"/>
                <w:b/>
                <w:bCs/>
                <w:color w:val="000000"/>
                <w:kern w:val="0"/>
                <w:sz w:val="20"/>
                <w:szCs w:val="20"/>
                <w:lang w:val="en-US" w:eastAsia="zh-CN" w:bidi="ar"/>
              </w:rPr>
              <w:t>P</w:t>
            </w:r>
          </w:p>
        </w:tc>
      </w:tr>
      <w:tr w:rsidR="00381735" w14:paraId="4D93EA4A" w14:textId="77777777">
        <w:trPr>
          <w:trHeight w:val="432"/>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C197E3C" w14:textId="77777777" w:rsidR="004F3782" w:rsidRDefault="00481EB1">
            <w:pPr>
              <w:snapToGrid w:val="0"/>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CV (</w:t>
            </w:r>
            <w:r w:rsidR="00BC2EB4">
              <w:rPr>
                <w:rFonts w:ascii="Times New Roman" w:eastAsia="SimSun" w:hAnsi="Times New Roman" w:cs="Times New Roman"/>
                <w:color w:val="000000"/>
                <w:kern w:val="0"/>
                <w:sz w:val="20"/>
                <w:szCs w:val="20"/>
                <w:lang w:val="en-US" w:eastAsia="zh-CN" w:bidi="ar"/>
              </w:rPr>
              <w:t xml:space="preserve"> per cent</w:t>
            </w:r>
            <w:r>
              <w:rPr>
                <w:rFonts w:ascii="Times New Roman" w:eastAsia="SimSun" w:hAnsi="Times New Roman" w:cs="Times New Roman"/>
                <w:color w:val="000000"/>
                <w:kern w:val="0"/>
                <w:sz w:val="20"/>
                <w:szCs w:val="20"/>
                <w:lang w:val="en-US" w:eastAsia="zh-CN" w:bidi="ar"/>
              </w:rPr>
              <w:t>)</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90CBB4E" w14:textId="77777777" w:rsidR="004F3782" w:rsidRDefault="00481EB1">
            <w:pPr>
              <w:snapToGrid w:val="0"/>
              <w:spacing w:after="0" w:line="240" w:lineRule="auto"/>
              <w:jc w:val="center"/>
              <w:textAlignment w:val="center"/>
              <w:rPr>
                <w:rFonts w:ascii="Times New Roman" w:hAnsi="Times New Roman" w:cs="Times New Roman"/>
                <w:b/>
                <w:bCs/>
                <w:color w:val="000000"/>
              </w:rPr>
            </w:pPr>
            <w:r>
              <w:rPr>
                <w:rFonts w:ascii="Calibri" w:eastAsia="SimSun" w:hAnsi="Calibri" w:cs="Calibri"/>
                <w:color w:val="000000"/>
                <w:kern w:val="0"/>
                <w:lang w:val="en-US" w:eastAsia="zh-CN" w:bidi="ar"/>
              </w:rPr>
              <w:t>12.52</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87A94AC" w14:textId="77777777" w:rsidR="004F3782" w:rsidRDefault="00481EB1">
            <w:pPr>
              <w:pStyle w:val="NormalWeb"/>
              <w:snapToGrid w:val="0"/>
              <w:spacing w:beforeAutospacing="0" w:afterAutospacing="0"/>
              <w:jc w:val="center"/>
              <w:rPr>
                <w:color w:val="000000"/>
                <w:sz w:val="22"/>
                <w:szCs w:val="22"/>
              </w:rPr>
            </w:pPr>
            <w:r>
              <w:rPr>
                <w:color w:val="000000"/>
                <w:sz w:val="22"/>
                <w:szCs w:val="22"/>
              </w:rPr>
              <w:t>14.15</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1A6758E"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10.75</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9F8B815" w14:textId="77777777" w:rsidR="004F3782" w:rsidRDefault="00481EB1">
            <w:pPr>
              <w:pStyle w:val="NormalWeb"/>
              <w:snapToGrid w:val="0"/>
              <w:spacing w:beforeAutospacing="0" w:afterAutospacing="0"/>
              <w:jc w:val="center"/>
              <w:rPr>
                <w:color w:val="000000"/>
                <w:sz w:val="22"/>
                <w:szCs w:val="22"/>
              </w:rPr>
            </w:pPr>
            <w:r>
              <w:rPr>
                <w:color w:val="000000"/>
                <w:sz w:val="22"/>
                <w:szCs w:val="22"/>
              </w:rPr>
              <w:t>16.15</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5BABBE4"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9.68</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7C717DC" w14:textId="77777777" w:rsidR="004F3782" w:rsidRDefault="00481EB1">
            <w:pPr>
              <w:pStyle w:val="NormalWeb"/>
              <w:snapToGrid w:val="0"/>
              <w:spacing w:beforeAutospacing="0" w:afterAutospacing="0"/>
              <w:jc w:val="center"/>
              <w:rPr>
                <w:color w:val="000000"/>
                <w:sz w:val="22"/>
                <w:szCs w:val="22"/>
              </w:rPr>
            </w:pPr>
            <w:r>
              <w:rPr>
                <w:color w:val="000000"/>
                <w:sz w:val="22"/>
                <w:szCs w:val="22"/>
              </w:rPr>
              <w:t>12.90</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BEB1A7A"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7.14</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563A612" w14:textId="77777777" w:rsidR="004F3782" w:rsidRDefault="00481EB1">
            <w:pPr>
              <w:pStyle w:val="NormalWeb"/>
              <w:snapToGrid w:val="0"/>
              <w:spacing w:beforeAutospacing="0" w:afterAutospacing="0"/>
              <w:jc w:val="center"/>
              <w:rPr>
                <w:color w:val="000000"/>
                <w:sz w:val="22"/>
                <w:szCs w:val="22"/>
              </w:rPr>
            </w:pPr>
            <w:r>
              <w:rPr>
                <w:color w:val="000000"/>
                <w:sz w:val="22"/>
                <w:szCs w:val="22"/>
              </w:rPr>
              <w:t>11.69</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AE6BBA9"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6.78</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0BA01EE" w14:textId="77777777" w:rsidR="004F3782" w:rsidRDefault="00481EB1">
            <w:pPr>
              <w:pStyle w:val="NormalWeb"/>
              <w:snapToGrid w:val="0"/>
              <w:spacing w:beforeAutospacing="0" w:afterAutospacing="0"/>
              <w:jc w:val="center"/>
              <w:rPr>
                <w:color w:val="000000"/>
                <w:sz w:val="22"/>
                <w:szCs w:val="22"/>
              </w:rPr>
            </w:pPr>
            <w:r>
              <w:rPr>
                <w:color w:val="000000"/>
                <w:sz w:val="22"/>
                <w:szCs w:val="22"/>
              </w:rPr>
              <w:t>12.24</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AE908DD"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9.42</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905D46F" w14:textId="77777777" w:rsidR="004F3782" w:rsidRDefault="00481EB1">
            <w:pPr>
              <w:pStyle w:val="NormalWeb"/>
              <w:snapToGrid w:val="0"/>
              <w:spacing w:beforeAutospacing="0" w:afterAutospacing="0"/>
              <w:jc w:val="center"/>
              <w:rPr>
                <w:color w:val="000000"/>
                <w:sz w:val="22"/>
                <w:szCs w:val="22"/>
              </w:rPr>
            </w:pPr>
            <w:r>
              <w:rPr>
                <w:color w:val="000000"/>
                <w:sz w:val="22"/>
                <w:szCs w:val="22"/>
              </w:rPr>
              <w:t>22.03</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FB39178"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17.73</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6E09F0F" w14:textId="77777777" w:rsidR="004F3782" w:rsidRDefault="00481EB1">
            <w:pPr>
              <w:pStyle w:val="NormalWeb"/>
              <w:snapToGrid w:val="0"/>
              <w:spacing w:beforeAutospacing="0" w:afterAutospacing="0"/>
              <w:jc w:val="center"/>
              <w:rPr>
                <w:color w:val="000000"/>
                <w:sz w:val="22"/>
                <w:szCs w:val="22"/>
              </w:rPr>
            </w:pPr>
            <w:r>
              <w:rPr>
                <w:color w:val="000000"/>
                <w:sz w:val="22"/>
                <w:szCs w:val="22"/>
              </w:rPr>
              <w:t>14.27</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242BCAC"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5.35</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54CCB22" w14:textId="77777777" w:rsidR="004F3782" w:rsidRDefault="00481EB1">
            <w:pPr>
              <w:pStyle w:val="NormalWeb"/>
              <w:snapToGrid w:val="0"/>
              <w:spacing w:beforeAutospacing="0" w:afterAutospacing="0"/>
              <w:jc w:val="center"/>
              <w:rPr>
                <w:color w:val="000000"/>
                <w:sz w:val="22"/>
                <w:szCs w:val="22"/>
              </w:rPr>
            </w:pPr>
            <w:r>
              <w:rPr>
                <w:color w:val="000000"/>
                <w:sz w:val="22"/>
                <w:szCs w:val="22"/>
              </w:rPr>
              <w:t>9.13</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E19971E"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7.68</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6C7237B" w14:textId="77777777" w:rsidR="004F3782" w:rsidRDefault="00481EB1">
            <w:pPr>
              <w:pStyle w:val="NormalWeb"/>
              <w:snapToGrid w:val="0"/>
              <w:spacing w:beforeAutospacing="0" w:afterAutospacing="0"/>
              <w:jc w:val="center"/>
              <w:rPr>
                <w:color w:val="000000"/>
                <w:sz w:val="22"/>
                <w:szCs w:val="22"/>
              </w:rPr>
            </w:pPr>
            <w:r>
              <w:rPr>
                <w:color w:val="000000"/>
                <w:sz w:val="22"/>
                <w:szCs w:val="22"/>
              </w:rPr>
              <w:t>8.36</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0A8E766"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4.22</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AC1F2FF" w14:textId="77777777" w:rsidR="004F3782" w:rsidRDefault="00481EB1">
            <w:pPr>
              <w:pStyle w:val="NormalWeb"/>
              <w:snapToGrid w:val="0"/>
              <w:spacing w:beforeAutospacing="0" w:afterAutospacing="0"/>
              <w:jc w:val="center"/>
              <w:rPr>
                <w:color w:val="000000"/>
                <w:sz w:val="22"/>
                <w:szCs w:val="22"/>
              </w:rPr>
            </w:pPr>
            <w:r>
              <w:rPr>
                <w:color w:val="000000"/>
                <w:sz w:val="22"/>
                <w:szCs w:val="22"/>
              </w:rPr>
              <w:t>12.55</w:t>
            </w:r>
          </w:p>
        </w:tc>
      </w:tr>
      <w:tr w:rsidR="00381735" w14:paraId="44104E4F" w14:textId="77777777">
        <w:trPr>
          <w:trHeight w:val="432"/>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E9007ED" w14:textId="77777777" w:rsidR="004F3782" w:rsidRDefault="00481EB1">
            <w:pPr>
              <w:snapToGrid w:val="0"/>
              <w:spacing w:after="0" w:line="240" w:lineRule="auto"/>
              <w:jc w:val="center"/>
              <w:textAlignment w:val="center"/>
              <w:rPr>
                <w:rFonts w:ascii="Times New Roman" w:hAnsi="Times New Roman" w:cs="Times New Roman"/>
                <w:color w:val="000000"/>
                <w:sz w:val="20"/>
                <w:szCs w:val="20"/>
              </w:rPr>
            </w:pPr>
            <w:r>
              <w:rPr>
                <w:rFonts w:ascii="Times New Roman" w:eastAsia="SimSun" w:hAnsi="Times New Roman" w:cs="Times New Roman"/>
                <w:color w:val="000000"/>
                <w:kern w:val="0"/>
                <w:sz w:val="20"/>
                <w:szCs w:val="20"/>
                <w:lang w:val="en-US" w:eastAsia="zh-CN" w:bidi="ar"/>
              </w:rPr>
              <w:t>CDVI</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68CF048" w14:textId="77777777" w:rsidR="004F3782" w:rsidRDefault="00481EB1">
            <w:pPr>
              <w:snapToGrid w:val="0"/>
              <w:spacing w:after="0" w:line="240" w:lineRule="auto"/>
              <w:jc w:val="center"/>
              <w:textAlignment w:val="center"/>
              <w:rPr>
                <w:rFonts w:ascii="Times New Roman" w:hAnsi="Times New Roman" w:cs="Times New Roman"/>
                <w:b/>
                <w:bCs/>
                <w:color w:val="000000"/>
              </w:rPr>
            </w:pPr>
            <w:r>
              <w:rPr>
                <w:rFonts w:ascii="Calibri" w:eastAsia="SimSun" w:hAnsi="Calibri" w:cs="Calibri"/>
                <w:color w:val="000000"/>
                <w:kern w:val="0"/>
                <w:lang w:val="en-US" w:eastAsia="zh-CN" w:bidi="ar"/>
              </w:rPr>
              <w:t>12.10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7EAC42F" w14:textId="77777777" w:rsidR="004F3782" w:rsidRDefault="00481EB1">
            <w:pPr>
              <w:pStyle w:val="NormalWeb"/>
              <w:snapToGrid w:val="0"/>
              <w:spacing w:beforeAutospacing="0" w:afterAutospacing="0"/>
              <w:jc w:val="center"/>
              <w:rPr>
                <w:color w:val="000000"/>
                <w:sz w:val="22"/>
                <w:szCs w:val="22"/>
              </w:rPr>
            </w:pPr>
            <w:r>
              <w:rPr>
                <w:color w:val="000000"/>
                <w:sz w:val="22"/>
                <w:szCs w:val="22"/>
              </w:rPr>
              <w:t>14.07</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4752A98"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10.73</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DEFFC28" w14:textId="77777777" w:rsidR="004F3782" w:rsidRDefault="00481EB1">
            <w:pPr>
              <w:pStyle w:val="NormalWeb"/>
              <w:snapToGrid w:val="0"/>
              <w:spacing w:beforeAutospacing="0" w:afterAutospacing="0"/>
              <w:jc w:val="center"/>
              <w:rPr>
                <w:color w:val="000000"/>
                <w:sz w:val="22"/>
                <w:szCs w:val="22"/>
              </w:rPr>
            </w:pPr>
            <w:r>
              <w:rPr>
                <w:color w:val="000000"/>
                <w:sz w:val="22"/>
                <w:szCs w:val="22"/>
              </w:rPr>
              <w:t>15.14</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AA97CCB"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7.28</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3257819" w14:textId="77777777" w:rsidR="004F3782" w:rsidRDefault="00481EB1">
            <w:pPr>
              <w:pStyle w:val="NormalWeb"/>
              <w:snapToGrid w:val="0"/>
              <w:spacing w:beforeAutospacing="0" w:afterAutospacing="0"/>
              <w:jc w:val="center"/>
              <w:rPr>
                <w:color w:val="000000"/>
                <w:sz w:val="22"/>
                <w:szCs w:val="22"/>
              </w:rPr>
            </w:pPr>
            <w:r>
              <w:rPr>
                <w:color w:val="000000"/>
                <w:sz w:val="22"/>
                <w:szCs w:val="22"/>
              </w:rPr>
              <w:t>12.67</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F7D36C4"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6.56</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1AAD551" w14:textId="77777777" w:rsidR="004F3782" w:rsidRDefault="00481EB1">
            <w:pPr>
              <w:pStyle w:val="NormalWeb"/>
              <w:snapToGrid w:val="0"/>
              <w:spacing w:beforeAutospacing="0" w:afterAutospacing="0"/>
              <w:jc w:val="center"/>
              <w:rPr>
                <w:color w:val="000000"/>
                <w:sz w:val="22"/>
                <w:szCs w:val="22"/>
              </w:rPr>
            </w:pPr>
            <w:r>
              <w:rPr>
                <w:color w:val="000000"/>
                <w:sz w:val="22"/>
                <w:szCs w:val="22"/>
              </w:rPr>
              <w:t>10.39</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1C675A4"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5.95</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59C0006" w14:textId="77777777" w:rsidR="004F3782" w:rsidRDefault="00481EB1">
            <w:pPr>
              <w:pStyle w:val="NormalWeb"/>
              <w:snapToGrid w:val="0"/>
              <w:spacing w:beforeAutospacing="0" w:afterAutospacing="0"/>
              <w:jc w:val="center"/>
              <w:rPr>
                <w:color w:val="000000"/>
                <w:sz w:val="22"/>
                <w:szCs w:val="22"/>
              </w:rPr>
            </w:pPr>
            <w:r>
              <w:rPr>
                <w:color w:val="000000"/>
                <w:sz w:val="22"/>
                <w:szCs w:val="22"/>
              </w:rPr>
              <w:t>12.20</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CB9D24D"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9.38</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FC5B1EE" w14:textId="77777777" w:rsidR="004F3782" w:rsidRDefault="00481EB1">
            <w:pPr>
              <w:pStyle w:val="NormalWeb"/>
              <w:snapToGrid w:val="0"/>
              <w:spacing w:beforeAutospacing="0" w:afterAutospacing="0"/>
              <w:jc w:val="center"/>
              <w:rPr>
                <w:color w:val="000000"/>
                <w:sz w:val="22"/>
                <w:szCs w:val="22"/>
              </w:rPr>
            </w:pPr>
            <w:r>
              <w:rPr>
                <w:color w:val="000000"/>
                <w:sz w:val="22"/>
                <w:szCs w:val="22"/>
              </w:rPr>
              <w:t>21.89</w:t>
            </w:r>
          </w:p>
        </w:tc>
        <w:tc>
          <w:tcPr>
            <w:tcW w:w="727"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E47EF20"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17.50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8AD553F" w14:textId="77777777" w:rsidR="004F3782" w:rsidRDefault="00481EB1">
            <w:pPr>
              <w:pStyle w:val="NormalWeb"/>
              <w:snapToGrid w:val="0"/>
              <w:spacing w:beforeAutospacing="0" w:afterAutospacing="0"/>
              <w:jc w:val="center"/>
              <w:rPr>
                <w:color w:val="000000"/>
                <w:sz w:val="22"/>
                <w:szCs w:val="22"/>
              </w:rPr>
            </w:pPr>
            <w:r>
              <w:rPr>
                <w:color w:val="000000"/>
                <w:sz w:val="22"/>
                <w:szCs w:val="22"/>
              </w:rPr>
              <w:t>2.85</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CAC3BB0"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4.50</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67A94B2" w14:textId="77777777" w:rsidR="004F3782" w:rsidRDefault="00481EB1">
            <w:pPr>
              <w:pStyle w:val="NormalWeb"/>
              <w:snapToGrid w:val="0"/>
              <w:spacing w:beforeAutospacing="0" w:afterAutospacing="0"/>
              <w:jc w:val="center"/>
              <w:rPr>
                <w:color w:val="000000"/>
                <w:sz w:val="22"/>
                <w:szCs w:val="22"/>
              </w:rPr>
            </w:pPr>
            <w:r>
              <w:rPr>
                <w:color w:val="000000"/>
                <w:sz w:val="22"/>
                <w:szCs w:val="22"/>
              </w:rPr>
              <w:t>9.00</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7A74EA1"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6.63</w:t>
            </w:r>
          </w:p>
        </w:tc>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880216C" w14:textId="77777777" w:rsidR="004F3782" w:rsidRDefault="00481EB1">
            <w:pPr>
              <w:pStyle w:val="NormalWeb"/>
              <w:snapToGrid w:val="0"/>
              <w:spacing w:beforeAutospacing="0" w:afterAutospacing="0"/>
              <w:jc w:val="center"/>
              <w:rPr>
                <w:color w:val="000000"/>
                <w:sz w:val="22"/>
                <w:szCs w:val="22"/>
              </w:rPr>
            </w:pPr>
            <w:r>
              <w:rPr>
                <w:color w:val="000000"/>
                <w:sz w:val="22"/>
                <w:szCs w:val="22"/>
              </w:rPr>
              <w:t>7.22</w:t>
            </w:r>
          </w:p>
        </w:tc>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68F0926" w14:textId="77777777" w:rsidR="004F3782" w:rsidRDefault="00481EB1">
            <w:pPr>
              <w:snapToGrid w:val="0"/>
              <w:spacing w:after="0" w:line="240" w:lineRule="auto"/>
              <w:jc w:val="center"/>
              <w:textAlignment w:val="center"/>
              <w:rPr>
                <w:rFonts w:ascii="Times New Roman" w:hAnsi="Times New Roman" w:cs="Times New Roman"/>
                <w:color w:val="000000"/>
              </w:rPr>
            </w:pPr>
            <w:r>
              <w:rPr>
                <w:rFonts w:ascii="Calibri" w:eastAsia="SimSun" w:hAnsi="Calibri" w:cs="Calibri"/>
                <w:color w:val="000000"/>
                <w:kern w:val="0"/>
                <w:lang w:val="en-US" w:eastAsia="zh-CN" w:bidi="ar"/>
              </w:rPr>
              <w:t>4.21</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85EB345" w14:textId="77777777" w:rsidR="004F3782" w:rsidRDefault="00481EB1">
            <w:pPr>
              <w:pStyle w:val="NormalWeb"/>
              <w:snapToGrid w:val="0"/>
              <w:spacing w:beforeAutospacing="0" w:afterAutospacing="0"/>
              <w:jc w:val="center"/>
              <w:rPr>
                <w:color w:val="000000"/>
                <w:sz w:val="22"/>
                <w:szCs w:val="22"/>
              </w:rPr>
            </w:pPr>
            <w:r>
              <w:rPr>
                <w:color w:val="000000"/>
                <w:sz w:val="22"/>
                <w:szCs w:val="22"/>
              </w:rPr>
              <w:t>12.42</w:t>
            </w:r>
          </w:p>
        </w:tc>
      </w:tr>
    </w:tbl>
    <w:p w14:paraId="40990A49" w14:textId="77777777" w:rsidR="004F3782" w:rsidRDefault="00481EB1">
      <w:pPr>
        <w:jc w:val="both"/>
        <w:rPr>
          <w:rFonts w:ascii="Times New Roman" w:hAnsi="Times New Roman" w:cs="Times New Roman"/>
          <w:b/>
          <w:bCs/>
          <w:sz w:val="24"/>
          <w:szCs w:val="24"/>
          <w:lang w:val="en-US"/>
        </w:rPr>
      </w:pPr>
      <w:r>
        <w:rPr>
          <w:rFonts w:ascii="Times New Roman" w:hAnsi="Times New Roman" w:cs="Times New Roman"/>
          <w:i/>
          <w:iCs/>
          <w:sz w:val="20"/>
          <w:szCs w:val="20"/>
        </w:rPr>
        <w:t>Source: Authors’ own calculation</w:t>
      </w:r>
      <w:r>
        <w:rPr>
          <w:rFonts w:ascii="Times New Roman" w:hAnsi="Times New Roman" w:cs="Times New Roman"/>
          <w:i/>
          <w:iCs/>
          <w:sz w:val="20"/>
          <w:szCs w:val="20"/>
          <w:lang w:val="en-US"/>
        </w:rPr>
        <w:t>, Note: A - Arrival, P- Price</w:t>
      </w:r>
    </w:p>
    <w:tbl>
      <w:tblPr>
        <w:tblStyle w:val="TableGrid"/>
        <w:tblW w:w="14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0"/>
        <w:gridCol w:w="7557"/>
      </w:tblGrid>
      <w:tr w:rsidR="00381735" w14:paraId="26EBD670" w14:textId="77777777">
        <w:tc>
          <w:tcPr>
            <w:tcW w:w="6910" w:type="dxa"/>
            <w:vAlign w:val="center"/>
          </w:tcPr>
          <w:p w14:paraId="4A2C6757" w14:textId="77777777" w:rsidR="004F3782" w:rsidRDefault="00481EB1">
            <w:pPr>
              <w:jc w:val="center"/>
              <w:rPr>
                <w:rFonts w:ascii="Times New Roman" w:hAnsi="Times New Roman" w:cs="Times New Roman"/>
                <w:b/>
                <w:bCs/>
                <w:lang w:val="en-US"/>
              </w:rPr>
            </w:pPr>
            <w:r>
              <w:rPr>
                <w:rFonts w:ascii="Times New Roman" w:hAnsi="Times New Roman" w:cs="Times New Roman"/>
                <w:b/>
                <w:bCs/>
                <w:lang w:val="en-US"/>
              </w:rPr>
              <w:t>Fig 3. Seasonal indices of market arrival of paddy in selected markets</w:t>
            </w:r>
          </w:p>
        </w:tc>
        <w:tc>
          <w:tcPr>
            <w:tcW w:w="7557" w:type="dxa"/>
            <w:vAlign w:val="center"/>
          </w:tcPr>
          <w:p w14:paraId="24853FC3" w14:textId="77777777" w:rsidR="004F3782" w:rsidRDefault="00481EB1">
            <w:pPr>
              <w:jc w:val="center"/>
              <w:rPr>
                <w:rFonts w:ascii="Times New Roman" w:hAnsi="Times New Roman" w:cs="Times New Roman"/>
                <w:b/>
                <w:bCs/>
              </w:rPr>
            </w:pPr>
            <w:bookmarkStart w:id="4" w:name="_GoBack"/>
            <w:r>
              <w:rPr>
                <w:rFonts w:ascii="Times New Roman" w:hAnsi="Times New Roman" w:cs="Times New Roman"/>
                <w:b/>
                <w:bCs/>
                <w:lang w:val="en-US"/>
              </w:rPr>
              <w:t>Fig</w:t>
            </w:r>
            <w:bookmarkEnd w:id="4"/>
            <w:r>
              <w:rPr>
                <w:rFonts w:ascii="Times New Roman" w:hAnsi="Times New Roman" w:cs="Times New Roman"/>
                <w:b/>
                <w:bCs/>
                <w:lang w:val="en-US"/>
              </w:rPr>
              <w:t xml:space="preserve"> 4. Seasonal indices of market price of paddy in selected markets</w:t>
            </w:r>
          </w:p>
        </w:tc>
      </w:tr>
      <w:tr w:rsidR="00381735" w14:paraId="37D45372" w14:textId="77777777">
        <w:tc>
          <w:tcPr>
            <w:tcW w:w="6910" w:type="dxa"/>
          </w:tcPr>
          <w:p w14:paraId="408E3BD0" w14:textId="77777777" w:rsidR="004F3782" w:rsidRDefault="00481EB1">
            <w:pPr>
              <w:jc w:val="both"/>
              <w:rPr>
                <w:rFonts w:ascii="Times New Roman" w:hAnsi="Times New Roman" w:cs="Times New Roman"/>
                <w:b/>
                <w:bCs/>
                <w:sz w:val="24"/>
                <w:szCs w:val="24"/>
              </w:rPr>
            </w:pPr>
            <w:r>
              <w:rPr>
                <w:noProof/>
              </w:rPr>
              <w:drawing>
                <wp:inline distT="0" distB="0" distL="114300" distR="114300" wp14:anchorId="134821FA" wp14:editId="514C2DE4">
                  <wp:extent cx="4253230" cy="2662555"/>
                  <wp:effectExtent l="0" t="0" r="13970" b="4445"/>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7557" w:type="dxa"/>
          </w:tcPr>
          <w:p w14:paraId="2B996C16" w14:textId="77777777" w:rsidR="004F3782" w:rsidRDefault="00481EB1">
            <w:pPr>
              <w:jc w:val="both"/>
              <w:rPr>
                <w:rFonts w:ascii="Times New Roman" w:hAnsi="Times New Roman" w:cs="Times New Roman"/>
                <w:b/>
                <w:bCs/>
                <w:sz w:val="24"/>
                <w:szCs w:val="24"/>
              </w:rPr>
            </w:pPr>
            <w:r>
              <w:rPr>
                <w:noProof/>
              </w:rPr>
              <w:drawing>
                <wp:inline distT="0" distB="0" distL="114300" distR="114300" wp14:anchorId="728954E6" wp14:editId="198AE9ED">
                  <wp:extent cx="4619625" cy="267208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679212E1" w14:textId="77777777" w:rsidR="004F3782" w:rsidRDefault="00481EB1">
      <w:pPr>
        <w:jc w:val="both"/>
        <w:rPr>
          <w:rFonts w:ascii="Times New Roman" w:hAnsi="Times New Roman" w:cs="Times New Roman"/>
          <w:i/>
          <w:iCs/>
          <w:sz w:val="20"/>
          <w:szCs w:val="20"/>
        </w:rPr>
      </w:pPr>
      <w:r>
        <w:rPr>
          <w:rFonts w:ascii="Times New Roman" w:hAnsi="Times New Roman" w:cs="Times New Roman"/>
          <w:i/>
          <w:iCs/>
          <w:sz w:val="20"/>
          <w:szCs w:val="20"/>
        </w:rPr>
        <w:t>Source: Authors’ own calculation</w:t>
      </w:r>
    </w:p>
    <w:p w14:paraId="69EB331A" w14:textId="77777777" w:rsidR="004F3782" w:rsidRDefault="004F3782">
      <w:pPr>
        <w:jc w:val="both"/>
        <w:rPr>
          <w:rFonts w:ascii="Times New Roman" w:hAnsi="Times New Roman" w:cs="Times New Roman"/>
          <w:b/>
          <w:bCs/>
          <w:sz w:val="24"/>
          <w:szCs w:val="24"/>
        </w:rPr>
        <w:sectPr w:rsidR="004F3782">
          <w:pgSz w:w="16838" w:h="11906" w:orient="landscape"/>
          <w:pgMar w:top="1440" w:right="1440" w:bottom="1440" w:left="1440" w:header="708" w:footer="706" w:gutter="0"/>
          <w:cols w:space="0"/>
          <w:docGrid w:linePitch="360"/>
        </w:sectPr>
      </w:pPr>
    </w:p>
    <w:p w14:paraId="7F1465D3" w14:textId="77777777" w:rsidR="00D36EAE" w:rsidRDefault="00481EB1" w:rsidP="00D36EA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analysis of average de-seasonalized values for each month indicated that prices were highest in the Kota market and lowest in Dahod, influenced by the volume of paddy arriving in the Kota market and its </w:t>
      </w:r>
      <w:r>
        <w:rPr>
          <w:rFonts w:ascii="Times New Roman" w:hAnsi="Times New Roman" w:cs="Times New Roman"/>
          <w:sz w:val="24"/>
          <w:szCs w:val="24"/>
        </w:rPr>
        <w:t xml:space="preserve">impact on local prices (Table </w:t>
      </w:r>
      <w:r>
        <w:rPr>
          <w:rFonts w:ascii="Times New Roman" w:hAnsi="Times New Roman" w:cs="Times New Roman"/>
          <w:sz w:val="24"/>
          <w:szCs w:val="24"/>
          <w:lang w:val="en-US"/>
        </w:rPr>
        <w:t>5</w:t>
      </w:r>
      <w:r>
        <w:rPr>
          <w:rFonts w:ascii="Times New Roman" w:hAnsi="Times New Roman" w:cs="Times New Roman"/>
          <w:sz w:val="24"/>
          <w:szCs w:val="24"/>
        </w:rPr>
        <w:t>). Moreover, the average de-seasonalized prices across months displayed consistency within the respective markets.</w:t>
      </w:r>
    </w:p>
    <w:p w14:paraId="4C9359BF" w14:textId="77777777" w:rsidR="00D36EAE" w:rsidRDefault="00481EB1" w:rsidP="00D36E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Additionally, the Intra-year Price Rise (IPR) and Average Seasonal Price Variation (ASPV) were most pronounc</w:t>
      </w:r>
      <w:r>
        <w:rPr>
          <w:rFonts w:ascii="Times New Roman" w:hAnsi="Times New Roman" w:cs="Times New Roman"/>
          <w:sz w:val="24"/>
          <w:szCs w:val="24"/>
        </w:rPr>
        <w:t xml:space="preserve">ed in the Kota market and least in the Attabira market (Table </w:t>
      </w:r>
      <w:r>
        <w:rPr>
          <w:rFonts w:ascii="Times New Roman" w:hAnsi="Times New Roman" w:cs="Times New Roman"/>
          <w:sz w:val="24"/>
          <w:szCs w:val="24"/>
          <w:lang w:val="en-US"/>
        </w:rPr>
        <w:t>6</w:t>
      </w:r>
      <w:r>
        <w:rPr>
          <w:rFonts w:ascii="Times New Roman" w:hAnsi="Times New Roman" w:cs="Times New Roman"/>
          <w:sz w:val="24"/>
          <w:szCs w:val="24"/>
        </w:rPr>
        <w:t>). The IPR ranged from 8.86</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to 20.17</w:t>
      </w:r>
      <w:r w:rsidR="00BC2EB4">
        <w:rPr>
          <w:rFonts w:ascii="Times New Roman" w:hAnsi="Times New Roman" w:cs="Times New Roman"/>
          <w:sz w:val="24"/>
          <w:szCs w:val="24"/>
        </w:rPr>
        <w:t xml:space="preserve"> per cent</w:t>
      </w:r>
      <w:r>
        <w:rPr>
          <w:rFonts w:ascii="Times New Roman" w:hAnsi="Times New Roman" w:cs="Times New Roman"/>
          <w:sz w:val="24"/>
          <w:szCs w:val="24"/>
        </w:rPr>
        <w:t>, while the ASPV varied from 8.32</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to 18.32</w:t>
      </w:r>
      <w:r w:rsidR="00BC2EB4">
        <w:rPr>
          <w:rFonts w:ascii="Times New Roman" w:hAnsi="Times New Roman" w:cs="Times New Roman"/>
          <w:sz w:val="24"/>
          <w:szCs w:val="24"/>
        </w:rPr>
        <w:t xml:space="preserve"> per cent</w:t>
      </w:r>
      <w:r>
        <w:rPr>
          <w:rFonts w:ascii="Times New Roman" w:hAnsi="Times New Roman" w:cs="Times New Roman"/>
          <w:sz w:val="24"/>
          <w:szCs w:val="24"/>
        </w:rPr>
        <w:t>.</w:t>
      </w:r>
    </w:p>
    <w:p w14:paraId="4BE6C53C" w14:textId="77777777" w:rsidR="004F3782" w:rsidRDefault="00481EB1">
      <w:pPr>
        <w:spacing w:after="0" w:line="360" w:lineRule="auto"/>
        <w:jc w:val="center"/>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 xml:space="preserve">Table 5. Average de-seasonalized monthly prices in paddy </w:t>
      </w:r>
      <w:r>
        <w:rPr>
          <w:rFonts w:ascii="Times New Roman" w:hAnsi="Times New Roman" w:cs="Times New Roman"/>
          <w:b/>
          <w:bCs/>
          <w:sz w:val="24"/>
          <w:szCs w:val="24"/>
        </w:rPr>
        <w:t>(200</w:t>
      </w:r>
      <w:r>
        <w:rPr>
          <w:rFonts w:ascii="Times New Roman" w:hAnsi="Times New Roman" w:cs="Times New Roman"/>
          <w:b/>
          <w:bCs/>
          <w:sz w:val="24"/>
          <w:szCs w:val="24"/>
          <w:lang w:val="en-US"/>
        </w:rPr>
        <w:t>9</w:t>
      </w:r>
      <w:r>
        <w:rPr>
          <w:rFonts w:ascii="Times New Roman" w:hAnsi="Times New Roman" w:cs="Times New Roman"/>
          <w:b/>
          <w:bCs/>
          <w:sz w:val="24"/>
          <w:szCs w:val="24"/>
        </w:rPr>
        <w:t>-</w:t>
      </w:r>
      <w:r>
        <w:rPr>
          <w:rFonts w:ascii="Times New Roman" w:hAnsi="Times New Roman" w:cs="Times New Roman"/>
          <w:b/>
          <w:bCs/>
          <w:sz w:val="24"/>
          <w:szCs w:val="24"/>
          <w:lang w:val="en-US"/>
        </w:rPr>
        <w:t>10</w:t>
      </w:r>
      <w:r>
        <w:rPr>
          <w:rFonts w:ascii="Times New Roman" w:hAnsi="Times New Roman" w:cs="Times New Roman"/>
          <w:b/>
          <w:bCs/>
          <w:sz w:val="24"/>
          <w:szCs w:val="24"/>
        </w:rPr>
        <w:t xml:space="preserve"> to 202</w:t>
      </w:r>
      <w:r>
        <w:rPr>
          <w:rFonts w:ascii="Times New Roman" w:hAnsi="Times New Roman" w:cs="Times New Roman"/>
          <w:b/>
          <w:bCs/>
          <w:sz w:val="24"/>
          <w:szCs w:val="24"/>
          <w:lang w:val="en-US"/>
        </w:rPr>
        <w:t>2</w:t>
      </w:r>
      <w:r>
        <w:rPr>
          <w:rFonts w:ascii="Times New Roman" w:hAnsi="Times New Roman" w:cs="Times New Roman"/>
          <w:b/>
          <w:bCs/>
          <w:sz w:val="24"/>
          <w:szCs w:val="24"/>
        </w:rPr>
        <w:t>-2</w:t>
      </w:r>
      <w:r>
        <w:rPr>
          <w:rFonts w:ascii="Times New Roman" w:hAnsi="Times New Roman" w:cs="Times New Roman"/>
          <w:b/>
          <w:bCs/>
          <w:sz w:val="24"/>
          <w:szCs w:val="24"/>
          <w:lang w:val="en-US"/>
        </w:rPr>
        <w:t>3</w:t>
      </w:r>
      <w:r>
        <w:rPr>
          <w:rFonts w:ascii="Times New Roman" w:hAnsi="Times New Roman" w:cs="Times New Roman"/>
          <w:b/>
          <w:bCs/>
          <w:sz w:val="24"/>
          <w:szCs w:val="24"/>
        </w:rPr>
        <w:t>)</w:t>
      </w:r>
      <w:r>
        <w:rPr>
          <w:rFonts w:ascii="Times New Roman" w:hAnsi="Times New Roman" w:cs="Times New Roman"/>
          <w:b/>
          <w:bCs/>
          <w:sz w:val="24"/>
          <w:szCs w:val="24"/>
          <w:lang w:val="en-US" w:bidi="hi-IN"/>
        </w:rPr>
        <w:t>.</w:t>
      </w:r>
    </w:p>
    <w:tbl>
      <w:tblPr>
        <w:tblStyle w:val="TableGrid"/>
        <w:tblW w:w="0" w:type="auto"/>
        <w:tblLook w:val="04A0" w:firstRow="1" w:lastRow="0" w:firstColumn="1" w:lastColumn="0" w:noHBand="0" w:noVBand="1"/>
      </w:tblPr>
      <w:tblGrid>
        <w:gridCol w:w="1503"/>
        <w:gridCol w:w="1503"/>
        <w:gridCol w:w="1502"/>
        <w:gridCol w:w="1502"/>
        <w:gridCol w:w="1503"/>
        <w:gridCol w:w="1503"/>
      </w:tblGrid>
      <w:tr w:rsidR="00381735" w14:paraId="0BCAC6C4" w14:textId="77777777">
        <w:tc>
          <w:tcPr>
            <w:tcW w:w="1503" w:type="dxa"/>
            <w:vAlign w:val="center"/>
          </w:tcPr>
          <w:p w14:paraId="6F296842" w14:textId="77777777" w:rsidR="004F3782" w:rsidRDefault="004F3782">
            <w:pPr>
              <w:spacing w:after="0" w:line="360" w:lineRule="auto"/>
              <w:jc w:val="center"/>
              <w:rPr>
                <w:rFonts w:ascii="Times New Roman" w:hAnsi="Times New Roman" w:cs="Times New Roman"/>
                <w:sz w:val="24"/>
                <w:szCs w:val="24"/>
              </w:rPr>
            </w:pPr>
          </w:p>
        </w:tc>
        <w:tc>
          <w:tcPr>
            <w:tcW w:w="1503" w:type="dxa"/>
            <w:vAlign w:val="center"/>
          </w:tcPr>
          <w:p w14:paraId="2291A789" w14:textId="77777777" w:rsidR="004F3782" w:rsidRDefault="00481EB1">
            <w:pPr>
              <w:spacing w:after="0" w:line="240" w:lineRule="auto"/>
              <w:jc w:val="center"/>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Kota</w:t>
            </w:r>
          </w:p>
        </w:tc>
        <w:tc>
          <w:tcPr>
            <w:tcW w:w="1502" w:type="dxa"/>
            <w:vAlign w:val="center"/>
          </w:tcPr>
          <w:p w14:paraId="48D4FA7A" w14:textId="77777777" w:rsidR="004F3782" w:rsidRDefault="00481EB1">
            <w:pPr>
              <w:spacing w:after="0" w:line="240" w:lineRule="auto"/>
              <w:jc w:val="center"/>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Attabira</w:t>
            </w:r>
          </w:p>
        </w:tc>
        <w:tc>
          <w:tcPr>
            <w:tcW w:w="1502" w:type="dxa"/>
            <w:vAlign w:val="center"/>
          </w:tcPr>
          <w:p w14:paraId="2D99EDA4" w14:textId="77777777" w:rsidR="004F3782" w:rsidRDefault="00481EB1">
            <w:pPr>
              <w:spacing w:after="0" w:line="240" w:lineRule="auto"/>
              <w:jc w:val="center"/>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Sindhanur</w:t>
            </w:r>
          </w:p>
        </w:tc>
        <w:tc>
          <w:tcPr>
            <w:tcW w:w="1503" w:type="dxa"/>
            <w:vAlign w:val="center"/>
          </w:tcPr>
          <w:p w14:paraId="053E85D2" w14:textId="77777777" w:rsidR="004F3782" w:rsidRDefault="00481EB1">
            <w:pPr>
              <w:spacing w:after="0" w:line="240" w:lineRule="auto"/>
              <w:jc w:val="center"/>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Dahod</w:t>
            </w:r>
          </w:p>
        </w:tc>
        <w:tc>
          <w:tcPr>
            <w:tcW w:w="1503" w:type="dxa"/>
            <w:vAlign w:val="center"/>
          </w:tcPr>
          <w:p w14:paraId="4AA08994" w14:textId="77777777" w:rsidR="004F3782" w:rsidRDefault="00481EB1">
            <w:pPr>
              <w:spacing w:after="0" w:line="240" w:lineRule="auto"/>
              <w:jc w:val="center"/>
              <w:rPr>
                <w:rFonts w:ascii="Times New Roman" w:eastAsia="Times New Roman" w:hAnsi="Times New Roman" w:cs="Times New Roman"/>
                <w:color w:val="000000"/>
                <w:lang w:val="en-US" w:bidi="hi-IN"/>
              </w:rPr>
            </w:pPr>
            <w:r>
              <w:rPr>
                <w:rFonts w:ascii="Times New Roman" w:eastAsia="Times New Roman" w:hAnsi="Times New Roman" w:cs="Times New Roman"/>
                <w:color w:val="000000"/>
                <w:lang w:val="en-US" w:bidi="hi-IN"/>
              </w:rPr>
              <w:t>Bhatapara</w:t>
            </w:r>
          </w:p>
        </w:tc>
      </w:tr>
      <w:tr w:rsidR="00381735" w14:paraId="2F10F27E" w14:textId="77777777">
        <w:tc>
          <w:tcPr>
            <w:tcW w:w="1503" w:type="dxa"/>
            <w:vAlign w:val="center"/>
          </w:tcPr>
          <w:p w14:paraId="7D37F210"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January</w:t>
            </w:r>
          </w:p>
        </w:tc>
        <w:tc>
          <w:tcPr>
            <w:tcW w:w="1503" w:type="dxa"/>
            <w:vAlign w:val="center"/>
          </w:tcPr>
          <w:p w14:paraId="664E5E19"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23.36</w:t>
            </w:r>
          </w:p>
        </w:tc>
        <w:tc>
          <w:tcPr>
            <w:tcW w:w="1502" w:type="dxa"/>
            <w:vAlign w:val="center"/>
          </w:tcPr>
          <w:p w14:paraId="677CE2E2"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14.55</w:t>
            </w:r>
          </w:p>
        </w:tc>
        <w:tc>
          <w:tcPr>
            <w:tcW w:w="1502" w:type="dxa"/>
            <w:vAlign w:val="center"/>
          </w:tcPr>
          <w:p w14:paraId="3D18F755"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19.22</w:t>
            </w:r>
          </w:p>
        </w:tc>
        <w:tc>
          <w:tcPr>
            <w:tcW w:w="1503" w:type="dxa"/>
            <w:vAlign w:val="center"/>
          </w:tcPr>
          <w:p w14:paraId="01D53BB1"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13.10</w:t>
            </w:r>
          </w:p>
        </w:tc>
        <w:tc>
          <w:tcPr>
            <w:tcW w:w="1503" w:type="dxa"/>
            <w:vAlign w:val="center"/>
          </w:tcPr>
          <w:p w14:paraId="6C5FB789"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17.64</w:t>
            </w:r>
          </w:p>
        </w:tc>
      </w:tr>
      <w:tr w:rsidR="00381735" w14:paraId="6C2A172A" w14:textId="77777777">
        <w:tc>
          <w:tcPr>
            <w:tcW w:w="1503" w:type="dxa"/>
            <w:vAlign w:val="center"/>
          </w:tcPr>
          <w:p w14:paraId="38338F96"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February</w:t>
            </w:r>
          </w:p>
        </w:tc>
        <w:tc>
          <w:tcPr>
            <w:tcW w:w="1503" w:type="dxa"/>
            <w:vAlign w:val="center"/>
          </w:tcPr>
          <w:p w14:paraId="2D182FBB"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23.64</w:t>
            </w:r>
          </w:p>
        </w:tc>
        <w:tc>
          <w:tcPr>
            <w:tcW w:w="1502" w:type="dxa"/>
            <w:vAlign w:val="center"/>
          </w:tcPr>
          <w:p w14:paraId="13EBE24B"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14.65</w:t>
            </w:r>
          </w:p>
        </w:tc>
        <w:tc>
          <w:tcPr>
            <w:tcW w:w="1502" w:type="dxa"/>
            <w:vAlign w:val="center"/>
          </w:tcPr>
          <w:p w14:paraId="5B55040D"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19.23</w:t>
            </w:r>
          </w:p>
        </w:tc>
        <w:tc>
          <w:tcPr>
            <w:tcW w:w="1503" w:type="dxa"/>
            <w:vAlign w:val="center"/>
          </w:tcPr>
          <w:p w14:paraId="67895863"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13.11</w:t>
            </w:r>
          </w:p>
        </w:tc>
        <w:tc>
          <w:tcPr>
            <w:tcW w:w="1503" w:type="dxa"/>
            <w:vAlign w:val="center"/>
          </w:tcPr>
          <w:p w14:paraId="1B10BCDC"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17.63</w:t>
            </w:r>
          </w:p>
        </w:tc>
      </w:tr>
      <w:tr w:rsidR="00381735" w14:paraId="1F158064" w14:textId="77777777">
        <w:tc>
          <w:tcPr>
            <w:tcW w:w="1503" w:type="dxa"/>
            <w:vAlign w:val="center"/>
          </w:tcPr>
          <w:p w14:paraId="25C79EE5"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March</w:t>
            </w:r>
          </w:p>
        </w:tc>
        <w:tc>
          <w:tcPr>
            <w:tcW w:w="1503" w:type="dxa"/>
            <w:vAlign w:val="center"/>
          </w:tcPr>
          <w:p w14:paraId="76277BBF"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23.72</w:t>
            </w:r>
          </w:p>
        </w:tc>
        <w:tc>
          <w:tcPr>
            <w:tcW w:w="1502" w:type="dxa"/>
            <w:vAlign w:val="center"/>
          </w:tcPr>
          <w:p w14:paraId="63C3564E"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14.81</w:t>
            </w:r>
          </w:p>
        </w:tc>
        <w:tc>
          <w:tcPr>
            <w:tcW w:w="1502" w:type="dxa"/>
            <w:vAlign w:val="center"/>
          </w:tcPr>
          <w:p w14:paraId="57D2DB5B"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19.17</w:t>
            </w:r>
          </w:p>
        </w:tc>
        <w:tc>
          <w:tcPr>
            <w:tcW w:w="1503" w:type="dxa"/>
            <w:vAlign w:val="center"/>
          </w:tcPr>
          <w:p w14:paraId="4F3616E9"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13.08</w:t>
            </w:r>
          </w:p>
        </w:tc>
        <w:tc>
          <w:tcPr>
            <w:tcW w:w="1503" w:type="dxa"/>
            <w:vAlign w:val="center"/>
          </w:tcPr>
          <w:p w14:paraId="6919D537"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17.58</w:t>
            </w:r>
          </w:p>
        </w:tc>
      </w:tr>
      <w:tr w:rsidR="00381735" w14:paraId="2F2DFDBD" w14:textId="77777777">
        <w:tc>
          <w:tcPr>
            <w:tcW w:w="1503" w:type="dxa"/>
            <w:vAlign w:val="center"/>
          </w:tcPr>
          <w:p w14:paraId="16EB34E7"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April</w:t>
            </w:r>
          </w:p>
        </w:tc>
        <w:tc>
          <w:tcPr>
            <w:tcW w:w="1503" w:type="dxa"/>
            <w:vAlign w:val="center"/>
          </w:tcPr>
          <w:p w14:paraId="58593AB6"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23.66</w:t>
            </w:r>
          </w:p>
        </w:tc>
        <w:tc>
          <w:tcPr>
            <w:tcW w:w="1502" w:type="dxa"/>
            <w:vAlign w:val="center"/>
          </w:tcPr>
          <w:p w14:paraId="722E4C2E"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14.94</w:t>
            </w:r>
          </w:p>
        </w:tc>
        <w:tc>
          <w:tcPr>
            <w:tcW w:w="1502" w:type="dxa"/>
            <w:vAlign w:val="center"/>
          </w:tcPr>
          <w:p w14:paraId="752D6869"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19.38</w:t>
            </w:r>
          </w:p>
        </w:tc>
        <w:tc>
          <w:tcPr>
            <w:tcW w:w="1503" w:type="dxa"/>
            <w:vAlign w:val="center"/>
          </w:tcPr>
          <w:p w14:paraId="6A0B6CF8"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13.07</w:t>
            </w:r>
          </w:p>
        </w:tc>
        <w:tc>
          <w:tcPr>
            <w:tcW w:w="1503" w:type="dxa"/>
            <w:vAlign w:val="center"/>
          </w:tcPr>
          <w:p w14:paraId="5360446D"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17.57</w:t>
            </w:r>
          </w:p>
        </w:tc>
      </w:tr>
      <w:tr w:rsidR="00381735" w14:paraId="74617D9A" w14:textId="77777777">
        <w:tc>
          <w:tcPr>
            <w:tcW w:w="1503" w:type="dxa"/>
            <w:vAlign w:val="center"/>
          </w:tcPr>
          <w:p w14:paraId="126C03F8"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May</w:t>
            </w:r>
          </w:p>
        </w:tc>
        <w:tc>
          <w:tcPr>
            <w:tcW w:w="1503" w:type="dxa"/>
            <w:vAlign w:val="center"/>
          </w:tcPr>
          <w:p w14:paraId="54E0FF6F"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23.59</w:t>
            </w:r>
          </w:p>
        </w:tc>
        <w:tc>
          <w:tcPr>
            <w:tcW w:w="1502" w:type="dxa"/>
            <w:vAlign w:val="center"/>
          </w:tcPr>
          <w:p w14:paraId="56B423F5"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14.94</w:t>
            </w:r>
          </w:p>
        </w:tc>
        <w:tc>
          <w:tcPr>
            <w:tcW w:w="1502" w:type="dxa"/>
            <w:vAlign w:val="center"/>
          </w:tcPr>
          <w:p w14:paraId="57D457A7"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19.52</w:t>
            </w:r>
          </w:p>
        </w:tc>
        <w:tc>
          <w:tcPr>
            <w:tcW w:w="1503" w:type="dxa"/>
            <w:vAlign w:val="center"/>
          </w:tcPr>
          <w:p w14:paraId="08337FDB"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13.09</w:t>
            </w:r>
          </w:p>
        </w:tc>
        <w:tc>
          <w:tcPr>
            <w:tcW w:w="1503" w:type="dxa"/>
            <w:vAlign w:val="center"/>
          </w:tcPr>
          <w:p w14:paraId="3ABCB466"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17.57</w:t>
            </w:r>
          </w:p>
        </w:tc>
      </w:tr>
      <w:tr w:rsidR="00381735" w14:paraId="5345AC8A" w14:textId="77777777">
        <w:tc>
          <w:tcPr>
            <w:tcW w:w="1503" w:type="dxa"/>
            <w:vAlign w:val="center"/>
          </w:tcPr>
          <w:p w14:paraId="5B1C60E6"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June</w:t>
            </w:r>
          </w:p>
        </w:tc>
        <w:tc>
          <w:tcPr>
            <w:tcW w:w="1503" w:type="dxa"/>
            <w:vAlign w:val="center"/>
          </w:tcPr>
          <w:p w14:paraId="6ABE3D61"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23.60</w:t>
            </w:r>
          </w:p>
        </w:tc>
        <w:tc>
          <w:tcPr>
            <w:tcW w:w="1502" w:type="dxa"/>
            <w:vAlign w:val="center"/>
          </w:tcPr>
          <w:p w14:paraId="1F45ACAC"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14.96</w:t>
            </w:r>
          </w:p>
        </w:tc>
        <w:tc>
          <w:tcPr>
            <w:tcW w:w="1502" w:type="dxa"/>
            <w:vAlign w:val="center"/>
          </w:tcPr>
          <w:p w14:paraId="4EFE14AE"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19.46</w:t>
            </w:r>
          </w:p>
        </w:tc>
        <w:tc>
          <w:tcPr>
            <w:tcW w:w="1503" w:type="dxa"/>
            <w:vAlign w:val="center"/>
          </w:tcPr>
          <w:p w14:paraId="046C3B05"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13.04</w:t>
            </w:r>
          </w:p>
        </w:tc>
        <w:tc>
          <w:tcPr>
            <w:tcW w:w="1503" w:type="dxa"/>
            <w:vAlign w:val="center"/>
          </w:tcPr>
          <w:p w14:paraId="4720E032"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17.53</w:t>
            </w:r>
          </w:p>
        </w:tc>
      </w:tr>
      <w:tr w:rsidR="00381735" w14:paraId="7F923B40" w14:textId="77777777">
        <w:tc>
          <w:tcPr>
            <w:tcW w:w="1503" w:type="dxa"/>
            <w:vAlign w:val="center"/>
          </w:tcPr>
          <w:p w14:paraId="32F903D3"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July</w:t>
            </w:r>
          </w:p>
        </w:tc>
        <w:tc>
          <w:tcPr>
            <w:tcW w:w="1503" w:type="dxa"/>
            <w:vAlign w:val="center"/>
          </w:tcPr>
          <w:p w14:paraId="16147964"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23.56</w:t>
            </w:r>
          </w:p>
        </w:tc>
        <w:tc>
          <w:tcPr>
            <w:tcW w:w="1502" w:type="dxa"/>
            <w:vAlign w:val="center"/>
          </w:tcPr>
          <w:p w14:paraId="2A81AC99"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14.79</w:t>
            </w:r>
          </w:p>
        </w:tc>
        <w:tc>
          <w:tcPr>
            <w:tcW w:w="1502" w:type="dxa"/>
            <w:vAlign w:val="center"/>
          </w:tcPr>
          <w:p w14:paraId="4BC7370F"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19.32</w:t>
            </w:r>
          </w:p>
        </w:tc>
        <w:tc>
          <w:tcPr>
            <w:tcW w:w="1503" w:type="dxa"/>
            <w:vAlign w:val="center"/>
          </w:tcPr>
          <w:p w14:paraId="34980D3F"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13.03</w:t>
            </w:r>
          </w:p>
        </w:tc>
        <w:tc>
          <w:tcPr>
            <w:tcW w:w="1503" w:type="dxa"/>
            <w:vAlign w:val="center"/>
          </w:tcPr>
          <w:p w14:paraId="4840F8B6"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17.47</w:t>
            </w:r>
          </w:p>
        </w:tc>
      </w:tr>
      <w:tr w:rsidR="00381735" w14:paraId="25CA3E57" w14:textId="77777777">
        <w:tc>
          <w:tcPr>
            <w:tcW w:w="1503" w:type="dxa"/>
            <w:vAlign w:val="center"/>
          </w:tcPr>
          <w:p w14:paraId="27F7FDFD"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August</w:t>
            </w:r>
          </w:p>
        </w:tc>
        <w:tc>
          <w:tcPr>
            <w:tcW w:w="1503" w:type="dxa"/>
            <w:vAlign w:val="center"/>
          </w:tcPr>
          <w:p w14:paraId="6FD79093"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23.25</w:t>
            </w:r>
          </w:p>
        </w:tc>
        <w:tc>
          <w:tcPr>
            <w:tcW w:w="1502" w:type="dxa"/>
            <w:vAlign w:val="center"/>
          </w:tcPr>
          <w:p w14:paraId="3BD2440D"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14.64</w:t>
            </w:r>
          </w:p>
        </w:tc>
        <w:tc>
          <w:tcPr>
            <w:tcW w:w="1502" w:type="dxa"/>
            <w:vAlign w:val="center"/>
          </w:tcPr>
          <w:p w14:paraId="0C8968E3"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19.33</w:t>
            </w:r>
          </w:p>
        </w:tc>
        <w:tc>
          <w:tcPr>
            <w:tcW w:w="1503" w:type="dxa"/>
            <w:vAlign w:val="center"/>
          </w:tcPr>
          <w:p w14:paraId="0E898EDB"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13.03</w:t>
            </w:r>
          </w:p>
        </w:tc>
        <w:tc>
          <w:tcPr>
            <w:tcW w:w="1503" w:type="dxa"/>
            <w:vAlign w:val="center"/>
          </w:tcPr>
          <w:p w14:paraId="4E3A187C"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17.46</w:t>
            </w:r>
          </w:p>
        </w:tc>
      </w:tr>
      <w:tr w:rsidR="00381735" w14:paraId="682FE36C" w14:textId="77777777">
        <w:tc>
          <w:tcPr>
            <w:tcW w:w="1503" w:type="dxa"/>
            <w:vAlign w:val="center"/>
          </w:tcPr>
          <w:p w14:paraId="5AC65BA8"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September</w:t>
            </w:r>
          </w:p>
        </w:tc>
        <w:tc>
          <w:tcPr>
            <w:tcW w:w="1503" w:type="dxa"/>
            <w:vAlign w:val="center"/>
          </w:tcPr>
          <w:p w14:paraId="06B723E3"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23.35</w:t>
            </w:r>
          </w:p>
        </w:tc>
        <w:tc>
          <w:tcPr>
            <w:tcW w:w="1502" w:type="dxa"/>
            <w:vAlign w:val="center"/>
          </w:tcPr>
          <w:p w14:paraId="3AE86580"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14.55</w:t>
            </w:r>
          </w:p>
        </w:tc>
        <w:tc>
          <w:tcPr>
            <w:tcW w:w="1502" w:type="dxa"/>
            <w:vAlign w:val="center"/>
          </w:tcPr>
          <w:p w14:paraId="008AB586"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19.32</w:t>
            </w:r>
          </w:p>
        </w:tc>
        <w:tc>
          <w:tcPr>
            <w:tcW w:w="1503" w:type="dxa"/>
            <w:vAlign w:val="center"/>
          </w:tcPr>
          <w:p w14:paraId="646276DF"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13.07</w:t>
            </w:r>
          </w:p>
        </w:tc>
        <w:tc>
          <w:tcPr>
            <w:tcW w:w="1503" w:type="dxa"/>
            <w:vAlign w:val="center"/>
          </w:tcPr>
          <w:p w14:paraId="307734C3"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17.51</w:t>
            </w:r>
          </w:p>
        </w:tc>
      </w:tr>
      <w:tr w:rsidR="00381735" w14:paraId="0EFA4EA8" w14:textId="77777777">
        <w:tc>
          <w:tcPr>
            <w:tcW w:w="1503" w:type="dxa"/>
            <w:vAlign w:val="center"/>
          </w:tcPr>
          <w:p w14:paraId="1034841F"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October</w:t>
            </w:r>
          </w:p>
        </w:tc>
        <w:tc>
          <w:tcPr>
            <w:tcW w:w="1503" w:type="dxa"/>
            <w:vAlign w:val="center"/>
          </w:tcPr>
          <w:p w14:paraId="49BD6397"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23.50</w:t>
            </w:r>
          </w:p>
        </w:tc>
        <w:tc>
          <w:tcPr>
            <w:tcW w:w="1502" w:type="dxa"/>
            <w:vAlign w:val="center"/>
          </w:tcPr>
          <w:p w14:paraId="01A278E4"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14.49</w:t>
            </w:r>
          </w:p>
        </w:tc>
        <w:tc>
          <w:tcPr>
            <w:tcW w:w="1502" w:type="dxa"/>
            <w:vAlign w:val="center"/>
          </w:tcPr>
          <w:p w14:paraId="51047EEB"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19.23</w:t>
            </w:r>
          </w:p>
        </w:tc>
        <w:tc>
          <w:tcPr>
            <w:tcW w:w="1503" w:type="dxa"/>
            <w:vAlign w:val="center"/>
          </w:tcPr>
          <w:p w14:paraId="3485F123"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13.06</w:t>
            </w:r>
          </w:p>
        </w:tc>
        <w:tc>
          <w:tcPr>
            <w:tcW w:w="1503" w:type="dxa"/>
            <w:vAlign w:val="center"/>
          </w:tcPr>
          <w:p w14:paraId="1180A302"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17.49</w:t>
            </w:r>
          </w:p>
        </w:tc>
      </w:tr>
      <w:tr w:rsidR="00381735" w14:paraId="7FAA449A" w14:textId="77777777">
        <w:tc>
          <w:tcPr>
            <w:tcW w:w="1503" w:type="dxa"/>
            <w:vAlign w:val="center"/>
          </w:tcPr>
          <w:p w14:paraId="33A84F16"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November</w:t>
            </w:r>
          </w:p>
        </w:tc>
        <w:tc>
          <w:tcPr>
            <w:tcW w:w="1503" w:type="dxa"/>
            <w:vAlign w:val="center"/>
          </w:tcPr>
          <w:p w14:paraId="5AEEC07A"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23.32</w:t>
            </w:r>
          </w:p>
        </w:tc>
        <w:tc>
          <w:tcPr>
            <w:tcW w:w="1502" w:type="dxa"/>
            <w:vAlign w:val="center"/>
          </w:tcPr>
          <w:p w14:paraId="145AFF16"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14.45</w:t>
            </w:r>
          </w:p>
        </w:tc>
        <w:tc>
          <w:tcPr>
            <w:tcW w:w="1502" w:type="dxa"/>
            <w:vAlign w:val="center"/>
          </w:tcPr>
          <w:p w14:paraId="01F89EA7"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19.14</w:t>
            </w:r>
          </w:p>
        </w:tc>
        <w:tc>
          <w:tcPr>
            <w:tcW w:w="1503" w:type="dxa"/>
            <w:vAlign w:val="center"/>
          </w:tcPr>
          <w:p w14:paraId="39EB0DDD"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12.99</w:t>
            </w:r>
          </w:p>
        </w:tc>
        <w:tc>
          <w:tcPr>
            <w:tcW w:w="1503" w:type="dxa"/>
            <w:vAlign w:val="center"/>
          </w:tcPr>
          <w:p w14:paraId="097F9CAD"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17.48</w:t>
            </w:r>
          </w:p>
        </w:tc>
      </w:tr>
      <w:tr w:rsidR="00381735" w14:paraId="70A65D85" w14:textId="77777777">
        <w:tc>
          <w:tcPr>
            <w:tcW w:w="1503" w:type="dxa"/>
            <w:vAlign w:val="center"/>
          </w:tcPr>
          <w:p w14:paraId="4216CB25"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December</w:t>
            </w:r>
          </w:p>
        </w:tc>
        <w:tc>
          <w:tcPr>
            <w:tcW w:w="1503" w:type="dxa"/>
            <w:vAlign w:val="center"/>
          </w:tcPr>
          <w:p w14:paraId="7F7C2660"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23.30</w:t>
            </w:r>
          </w:p>
        </w:tc>
        <w:tc>
          <w:tcPr>
            <w:tcW w:w="1502" w:type="dxa"/>
            <w:vAlign w:val="center"/>
          </w:tcPr>
          <w:p w14:paraId="58D92C35"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14.56</w:t>
            </w:r>
          </w:p>
        </w:tc>
        <w:tc>
          <w:tcPr>
            <w:tcW w:w="1502" w:type="dxa"/>
            <w:vAlign w:val="center"/>
          </w:tcPr>
          <w:p w14:paraId="1E81C67F"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19.03</w:t>
            </w:r>
          </w:p>
        </w:tc>
        <w:tc>
          <w:tcPr>
            <w:tcW w:w="1503" w:type="dxa"/>
            <w:vAlign w:val="center"/>
          </w:tcPr>
          <w:p w14:paraId="73A8B66C"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13.00</w:t>
            </w:r>
          </w:p>
        </w:tc>
        <w:tc>
          <w:tcPr>
            <w:tcW w:w="1503" w:type="dxa"/>
            <w:vAlign w:val="center"/>
          </w:tcPr>
          <w:p w14:paraId="2A6B4798" w14:textId="77777777" w:rsidR="004F3782" w:rsidRDefault="00481EB1">
            <w:pPr>
              <w:spacing w:after="0" w:line="240" w:lineRule="auto"/>
              <w:jc w:val="center"/>
              <w:rPr>
                <w:rFonts w:ascii="Times New Roman" w:hAnsi="Times New Roman" w:cs="Times New Roman"/>
              </w:rPr>
            </w:pPr>
            <w:r>
              <w:rPr>
                <w:rFonts w:ascii="Times New Roman" w:hAnsi="Times New Roman" w:cs="Times New Roman"/>
              </w:rPr>
              <w:t>17.44</w:t>
            </w:r>
          </w:p>
        </w:tc>
      </w:tr>
    </w:tbl>
    <w:p w14:paraId="395EA636" w14:textId="77777777" w:rsidR="004F3782" w:rsidRDefault="00481EB1" w:rsidP="001F7660">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Source: </w:t>
      </w:r>
      <w:r>
        <w:rPr>
          <w:rFonts w:ascii="Times New Roman" w:hAnsi="Times New Roman" w:cs="Times New Roman"/>
          <w:i/>
          <w:iCs/>
          <w:sz w:val="24"/>
          <w:szCs w:val="24"/>
        </w:rPr>
        <w:t>Authors’ own calculation</w:t>
      </w:r>
    </w:p>
    <w:p w14:paraId="7F1B38DC" w14:textId="77777777" w:rsidR="004F3782" w:rsidRDefault="00481EB1" w:rsidP="001F7660">
      <w:pPr>
        <w:spacing w:after="0" w:line="360" w:lineRule="auto"/>
        <w:jc w:val="center"/>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Table 6. Growth and variation in seasonal price index</w:t>
      </w:r>
    </w:p>
    <w:tbl>
      <w:tblPr>
        <w:tblStyle w:val="TableGrid"/>
        <w:tblW w:w="0" w:type="auto"/>
        <w:jc w:val="center"/>
        <w:tblLook w:val="04A0" w:firstRow="1" w:lastRow="0" w:firstColumn="1" w:lastColumn="0" w:noHBand="0" w:noVBand="1"/>
      </w:tblPr>
      <w:tblGrid>
        <w:gridCol w:w="2279"/>
        <w:gridCol w:w="2279"/>
        <w:gridCol w:w="2280"/>
      </w:tblGrid>
      <w:tr w:rsidR="00381735" w14:paraId="127DFBAE" w14:textId="77777777">
        <w:trPr>
          <w:trHeight w:val="323"/>
          <w:jc w:val="center"/>
        </w:trPr>
        <w:tc>
          <w:tcPr>
            <w:tcW w:w="2279" w:type="dxa"/>
            <w:vAlign w:val="center"/>
          </w:tcPr>
          <w:p w14:paraId="5261488E"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MARKET</w:t>
            </w:r>
          </w:p>
        </w:tc>
        <w:tc>
          <w:tcPr>
            <w:tcW w:w="2279" w:type="dxa"/>
            <w:vAlign w:val="center"/>
          </w:tcPr>
          <w:p w14:paraId="79295A81"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IPR (</w:t>
            </w:r>
            <w:r w:rsidR="00BC2EB4">
              <w:rPr>
                <w:rFonts w:ascii="Times New Roman" w:hAnsi="Times New Roman" w:cs="Times New Roman"/>
                <w:sz w:val="24"/>
                <w:szCs w:val="24"/>
              </w:rPr>
              <w:t>per cent</w:t>
            </w:r>
            <w:r>
              <w:rPr>
                <w:rFonts w:ascii="Times New Roman" w:hAnsi="Times New Roman" w:cs="Times New Roman"/>
                <w:sz w:val="24"/>
                <w:szCs w:val="24"/>
              </w:rPr>
              <w:t>)</w:t>
            </w:r>
          </w:p>
        </w:tc>
        <w:tc>
          <w:tcPr>
            <w:tcW w:w="2280" w:type="dxa"/>
            <w:vAlign w:val="center"/>
          </w:tcPr>
          <w:p w14:paraId="42820EC9"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ASPV (</w:t>
            </w:r>
            <w:r w:rsidR="00BC2EB4">
              <w:rPr>
                <w:rFonts w:ascii="Times New Roman" w:hAnsi="Times New Roman" w:cs="Times New Roman"/>
                <w:sz w:val="24"/>
                <w:szCs w:val="24"/>
              </w:rPr>
              <w:t>per cent</w:t>
            </w:r>
            <w:r>
              <w:rPr>
                <w:rFonts w:ascii="Times New Roman" w:hAnsi="Times New Roman" w:cs="Times New Roman"/>
                <w:sz w:val="24"/>
                <w:szCs w:val="24"/>
              </w:rPr>
              <w:t>)</w:t>
            </w:r>
          </w:p>
        </w:tc>
      </w:tr>
      <w:tr w:rsidR="00381735" w14:paraId="39E195D8" w14:textId="77777777">
        <w:trPr>
          <w:trHeight w:val="297"/>
          <w:jc w:val="center"/>
        </w:trPr>
        <w:tc>
          <w:tcPr>
            <w:tcW w:w="2279" w:type="dxa"/>
            <w:vAlign w:val="center"/>
          </w:tcPr>
          <w:p w14:paraId="062D00B4" w14:textId="77777777" w:rsidR="004F3782" w:rsidRPr="00D5571A" w:rsidRDefault="00481EB1">
            <w:pPr>
              <w:spacing w:after="0" w:line="240" w:lineRule="auto"/>
              <w:ind w:left="60"/>
              <w:jc w:val="center"/>
              <w:rPr>
                <w:rFonts w:ascii="Times New Roman" w:hAnsi="Times New Roman" w:cs="Times New Roman"/>
              </w:rPr>
            </w:pPr>
            <w:r w:rsidRPr="00D5571A">
              <w:rPr>
                <w:rFonts w:ascii="Times New Roman" w:hAnsi="Times New Roman" w:cs="Times New Roman"/>
              </w:rPr>
              <w:t>Kota</w:t>
            </w:r>
          </w:p>
        </w:tc>
        <w:tc>
          <w:tcPr>
            <w:tcW w:w="2279" w:type="dxa"/>
            <w:vAlign w:val="center"/>
          </w:tcPr>
          <w:p w14:paraId="0780BF9A" w14:textId="77777777" w:rsidR="004F3782" w:rsidRDefault="00481EB1">
            <w:pPr>
              <w:spacing w:after="0" w:line="240" w:lineRule="auto"/>
              <w:jc w:val="center"/>
              <w:rPr>
                <w:rFonts w:ascii="Times New Roman" w:hAnsi="Times New Roman" w:cs="Times New Roman"/>
                <w:color w:val="000000"/>
              </w:rPr>
            </w:pPr>
            <w:r>
              <w:rPr>
                <w:rFonts w:ascii="Times New Roman" w:hAnsi="Times New Roman" w:cs="Times New Roman"/>
                <w:color w:val="000000"/>
              </w:rPr>
              <w:t>20.17</w:t>
            </w:r>
          </w:p>
        </w:tc>
        <w:tc>
          <w:tcPr>
            <w:tcW w:w="2280" w:type="dxa"/>
            <w:vAlign w:val="center"/>
          </w:tcPr>
          <w:p w14:paraId="714331FC" w14:textId="77777777" w:rsidR="004F3782" w:rsidRDefault="00481EB1">
            <w:pPr>
              <w:spacing w:after="0" w:line="240" w:lineRule="auto"/>
              <w:jc w:val="center"/>
              <w:rPr>
                <w:rFonts w:ascii="Times New Roman" w:hAnsi="Times New Roman" w:cs="Times New Roman"/>
                <w:color w:val="000000"/>
              </w:rPr>
            </w:pPr>
            <w:r>
              <w:rPr>
                <w:rFonts w:ascii="Times New Roman" w:hAnsi="Times New Roman" w:cs="Times New Roman"/>
                <w:color w:val="000000"/>
              </w:rPr>
              <w:t>18.32</w:t>
            </w:r>
          </w:p>
        </w:tc>
      </w:tr>
      <w:tr w:rsidR="00381735" w14:paraId="60BE40BE" w14:textId="77777777">
        <w:trPr>
          <w:trHeight w:val="297"/>
          <w:jc w:val="center"/>
        </w:trPr>
        <w:tc>
          <w:tcPr>
            <w:tcW w:w="2279" w:type="dxa"/>
            <w:vAlign w:val="center"/>
          </w:tcPr>
          <w:p w14:paraId="1E3E5EB4" w14:textId="77777777" w:rsidR="004F3782" w:rsidRPr="00D5571A" w:rsidRDefault="00481EB1">
            <w:pPr>
              <w:spacing w:after="0" w:line="240" w:lineRule="auto"/>
              <w:ind w:left="60"/>
              <w:jc w:val="center"/>
              <w:rPr>
                <w:rFonts w:ascii="Times New Roman" w:hAnsi="Times New Roman" w:cs="Times New Roman"/>
              </w:rPr>
            </w:pPr>
            <w:r w:rsidRPr="00D5571A">
              <w:rPr>
                <w:rFonts w:ascii="Times New Roman" w:hAnsi="Times New Roman" w:cs="Times New Roman"/>
              </w:rPr>
              <w:t>Attabira</w:t>
            </w:r>
          </w:p>
        </w:tc>
        <w:tc>
          <w:tcPr>
            <w:tcW w:w="2279" w:type="dxa"/>
            <w:vAlign w:val="center"/>
          </w:tcPr>
          <w:p w14:paraId="59C3F40F" w14:textId="77777777" w:rsidR="004F3782" w:rsidRDefault="00481EB1">
            <w:pPr>
              <w:spacing w:after="0" w:line="240" w:lineRule="auto"/>
              <w:jc w:val="center"/>
              <w:rPr>
                <w:rFonts w:ascii="Times New Roman" w:hAnsi="Times New Roman" w:cs="Times New Roman"/>
                <w:color w:val="000000"/>
              </w:rPr>
            </w:pPr>
            <w:r>
              <w:rPr>
                <w:rFonts w:ascii="Times New Roman" w:hAnsi="Times New Roman" w:cs="Times New Roman"/>
                <w:color w:val="000000"/>
              </w:rPr>
              <w:t>8.68</w:t>
            </w:r>
          </w:p>
        </w:tc>
        <w:tc>
          <w:tcPr>
            <w:tcW w:w="2280" w:type="dxa"/>
            <w:vAlign w:val="center"/>
          </w:tcPr>
          <w:p w14:paraId="4D76C707" w14:textId="77777777" w:rsidR="004F3782" w:rsidRDefault="00481EB1">
            <w:pPr>
              <w:spacing w:after="0" w:line="240" w:lineRule="auto"/>
              <w:jc w:val="center"/>
              <w:rPr>
                <w:rFonts w:ascii="Times New Roman" w:hAnsi="Times New Roman" w:cs="Times New Roman"/>
                <w:color w:val="000000"/>
              </w:rPr>
            </w:pPr>
            <w:r>
              <w:rPr>
                <w:rFonts w:ascii="Times New Roman" w:hAnsi="Times New Roman" w:cs="Times New Roman"/>
                <w:color w:val="000000"/>
              </w:rPr>
              <w:t>8.32</w:t>
            </w:r>
          </w:p>
        </w:tc>
      </w:tr>
      <w:tr w:rsidR="00381735" w14:paraId="7D8B4416" w14:textId="77777777">
        <w:trPr>
          <w:trHeight w:val="297"/>
          <w:jc w:val="center"/>
        </w:trPr>
        <w:tc>
          <w:tcPr>
            <w:tcW w:w="2279" w:type="dxa"/>
            <w:vAlign w:val="center"/>
          </w:tcPr>
          <w:p w14:paraId="7DC693C2" w14:textId="77777777" w:rsidR="004F3782" w:rsidRPr="00D5571A" w:rsidRDefault="00481EB1">
            <w:pPr>
              <w:spacing w:after="0" w:line="240" w:lineRule="auto"/>
              <w:ind w:left="60"/>
              <w:jc w:val="center"/>
              <w:rPr>
                <w:rFonts w:ascii="Times New Roman" w:hAnsi="Times New Roman" w:cs="Times New Roman"/>
              </w:rPr>
            </w:pPr>
            <w:r w:rsidRPr="00D5571A">
              <w:rPr>
                <w:rFonts w:ascii="Times New Roman" w:hAnsi="Times New Roman" w:cs="Times New Roman"/>
              </w:rPr>
              <w:t>Sindhanur</w:t>
            </w:r>
          </w:p>
        </w:tc>
        <w:tc>
          <w:tcPr>
            <w:tcW w:w="2279" w:type="dxa"/>
            <w:vAlign w:val="center"/>
          </w:tcPr>
          <w:p w14:paraId="461F7868" w14:textId="77777777" w:rsidR="004F3782" w:rsidRDefault="00481EB1">
            <w:pPr>
              <w:spacing w:after="0" w:line="240" w:lineRule="auto"/>
              <w:jc w:val="center"/>
              <w:rPr>
                <w:rFonts w:ascii="Times New Roman" w:hAnsi="Times New Roman" w:cs="Times New Roman"/>
                <w:color w:val="000000"/>
              </w:rPr>
            </w:pPr>
            <w:r>
              <w:rPr>
                <w:rFonts w:ascii="Times New Roman" w:hAnsi="Times New Roman" w:cs="Times New Roman"/>
                <w:color w:val="000000"/>
              </w:rPr>
              <w:t>13.00</w:t>
            </w:r>
          </w:p>
        </w:tc>
        <w:tc>
          <w:tcPr>
            <w:tcW w:w="2280" w:type="dxa"/>
            <w:vAlign w:val="center"/>
          </w:tcPr>
          <w:p w14:paraId="405AFC3B" w14:textId="77777777" w:rsidR="004F3782" w:rsidRDefault="00481EB1">
            <w:pPr>
              <w:spacing w:after="0" w:line="240" w:lineRule="auto"/>
              <w:jc w:val="center"/>
              <w:rPr>
                <w:rFonts w:ascii="Times New Roman" w:hAnsi="Times New Roman" w:cs="Times New Roman"/>
                <w:color w:val="000000"/>
              </w:rPr>
            </w:pPr>
            <w:r>
              <w:rPr>
                <w:rFonts w:ascii="Times New Roman" w:hAnsi="Times New Roman" w:cs="Times New Roman"/>
                <w:color w:val="000000"/>
              </w:rPr>
              <w:t>12.20</w:t>
            </w:r>
          </w:p>
        </w:tc>
      </w:tr>
      <w:tr w:rsidR="00381735" w14:paraId="49DB7751" w14:textId="77777777">
        <w:trPr>
          <w:trHeight w:val="297"/>
          <w:jc w:val="center"/>
        </w:trPr>
        <w:tc>
          <w:tcPr>
            <w:tcW w:w="2279" w:type="dxa"/>
            <w:vAlign w:val="center"/>
          </w:tcPr>
          <w:p w14:paraId="62C00C55" w14:textId="77777777" w:rsidR="004F3782" w:rsidRPr="00D5571A" w:rsidRDefault="00481EB1">
            <w:pPr>
              <w:spacing w:after="0" w:line="240" w:lineRule="auto"/>
              <w:ind w:left="60"/>
              <w:jc w:val="center"/>
              <w:rPr>
                <w:rFonts w:ascii="Times New Roman" w:hAnsi="Times New Roman" w:cs="Times New Roman"/>
              </w:rPr>
            </w:pPr>
            <w:r w:rsidRPr="00D5571A">
              <w:rPr>
                <w:rFonts w:ascii="Times New Roman" w:hAnsi="Times New Roman" w:cs="Times New Roman"/>
              </w:rPr>
              <w:t>Dahod</w:t>
            </w:r>
          </w:p>
        </w:tc>
        <w:tc>
          <w:tcPr>
            <w:tcW w:w="2279" w:type="dxa"/>
            <w:vAlign w:val="center"/>
          </w:tcPr>
          <w:p w14:paraId="7CA5FAF5" w14:textId="77777777" w:rsidR="004F3782" w:rsidRDefault="00481EB1">
            <w:pPr>
              <w:spacing w:after="0" w:line="240" w:lineRule="auto"/>
              <w:jc w:val="center"/>
              <w:rPr>
                <w:rFonts w:ascii="Times New Roman" w:hAnsi="Times New Roman" w:cs="Times New Roman"/>
                <w:color w:val="000000"/>
              </w:rPr>
            </w:pPr>
            <w:r>
              <w:rPr>
                <w:rFonts w:ascii="Times New Roman" w:hAnsi="Times New Roman" w:cs="Times New Roman"/>
                <w:color w:val="000000"/>
              </w:rPr>
              <w:t>9.94</w:t>
            </w:r>
          </w:p>
        </w:tc>
        <w:tc>
          <w:tcPr>
            <w:tcW w:w="2280" w:type="dxa"/>
            <w:vAlign w:val="center"/>
          </w:tcPr>
          <w:p w14:paraId="0699804B" w14:textId="77777777" w:rsidR="004F3782" w:rsidRDefault="00481EB1">
            <w:pPr>
              <w:spacing w:after="0" w:line="240" w:lineRule="auto"/>
              <w:jc w:val="center"/>
              <w:rPr>
                <w:rFonts w:ascii="Times New Roman" w:hAnsi="Times New Roman" w:cs="Times New Roman"/>
                <w:color w:val="000000"/>
              </w:rPr>
            </w:pPr>
            <w:r>
              <w:rPr>
                <w:rFonts w:ascii="Times New Roman" w:hAnsi="Times New Roman" w:cs="Times New Roman"/>
                <w:color w:val="000000"/>
              </w:rPr>
              <w:t>9.47</w:t>
            </w:r>
          </w:p>
        </w:tc>
      </w:tr>
      <w:tr w:rsidR="00381735" w14:paraId="49BFCD34" w14:textId="77777777" w:rsidTr="00D5571A">
        <w:trPr>
          <w:trHeight w:val="188"/>
          <w:jc w:val="center"/>
        </w:trPr>
        <w:tc>
          <w:tcPr>
            <w:tcW w:w="2279" w:type="dxa"/>
            <w:vAlign w:val="center"/>
          </w:tcPr>
          <w:p w14:paraId="037D2F81" w14:textId="77777777" w:rsidR="004F3782" w:rsidRPr="00D5571A" w:rsidRDefault="00481EB1">
            <w:pPr>
              <w:spacing w:after="0" w:line="240" w:lineRule="auto"/>
              <w:ind w:left="60"/>
              <w:jc w:val="center"/>
              <w:rPr>
                <w:rFonts w:ascii="Times New Roman" w:hAnsi="Times New Roman" w:cs="Times New Roman"/>
              </w:rPr>
            </w:pPr>
            <w:r w:rsidRPr="00D5571A">
              <w:rPr>
                <w:rFonts w:ascii="Times New Roman" w:hAnsi="Times New Roman" w:cs="Times New Roman"/>
              </w:rPr>
              <w:t>Bhatapara</w:t>
            </w:r>
          </w:p>
        </w:tc>
        <w:tc>
          <w:tcPr>
            <w:tcW w:w="2279" w:type="dxa"/>
            <w:vAlign w:val="center"/>
          </w:tcPr>
          <w:p w14:paraId="74940981" w14:textId="77777777" w:rsidR="004F3782" w:rsidRDefault="00481EB1">
            <w:pPr>
              <w:spacing w:after="0" w:line="240" w:lineRule="auto"/>
              <w:jc w:val="center"/>
              <w:rPr>
                <w:rFonts w:ascii="Times New Roman" w:hAnsi="Times New Roman" w:cs="Times New Roman"/>
                <w:color w:val="000000"/>
              </w:rPr>
            </w:pPr>
            <w:r>
              <w:rPr>
                <w:rFonts w:ascii="Times New Roman" w:hAnsi="Times New Roman" w:cs="Times New Roman"/>
                <w:color w:val="000000"/>
              </w:rPr>
              <w:t>13.92</w:t>
            </w:r>
          </w:p>
        </w:tc>
        <w:tc>
          <w:tcPr>
            <w:tcW w:w="2280" w:type="dxa"/>
            <w:vAlign w:val="center"/>
          </w:tcPr>
          <w:p w14:paraId="6E3D890E" w14:textId="77777777" w:rsidR="004F3782" w:rsidRDefault="00481EB1">
            <w:pPr>
              <w:spacing w:after="0" w:line="240" w:lineRule="auto"/>
              <w:jc w:val="center"/>
              <w:rPr>
                <w:rFonts w:ascii="Times New Roman" w:hAnsi="Times New Roman" w:cs="Times New Roman"/>
                <w:color w:val="000000"/>
              </w:rPr>
            </w:pPr>
            <w:r>
              <w:rPr>
                <w:rFonts w:ascii="Times New Roman" w:hAnsi="Times New Roman" w:cs="Times New Roman"/>
                <w:color w:val="000000"/>
              </w:rPr>
              <w:t>13.01</w:t>
            </w:r>
          </w:p>
        </w:tc>
      </w:tr>
    </w:tbl>
    <w:p w14:paraId="5E302C1D" w14:textId="77777777" w:rsidR="004F3782" w:rsidRDefault="00481EB1">
      <w:pPr>
        <w:spacing w:after="0"/>
        <w:jc w:val="both"/>
        <w:rPr>
          <w:rFonts w:ascii="Times New Roman" w:hAnsi="Times New Roman" w:cs="Times New Roman"/>
          <w:i/>
          <w:iCs/>
          <w:sz w:val="24"/>
          <w:szCs w:val="24"/>
        </w:rPr>
      </w:pPr>
      <w:r>
        <w:rPr>
          <w:rFonts w:ascii="Times New Roman" w:hAnsi="Times New Roman" w:cs="Times New Roman"/>
          <w:i/>
          <w:iCs/>
          <w:sz w:val="24"/>
          <w:szCs w:val="24"/>
        </w:rPr>
        <w:t>Source: Authors’ own calculation</w:t>
      </w:r>
    </w:p>
    <w:p w14:paraId="791947C6" w14:textId="77777777" w:rsidR="004F3782" w:rsidRDefault="00481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N.B.</w:t>
      </w:r>
      <w:r>
        <w:rPr>
          <w:rFonts w:ascii="Times New Roman" w:hAnsi="Times New Roman" w:cs="Times New Roman"/>
          <w:sz w:val="24"/>
          <w:szCs w:val="24"/>
        </w:rPr>
        <w:t xml:space="preserve"> * for 10</w:t>
      </w:r>
      <w:r w:rsidR="00BC2EB4">
        <w:rPr>
          <w:rFonts w:ascii="Times New Roman" w:hAnsi="Times New Roman" w:cs="Times New Roman"/>
          <w:sz w:val="24"/>
          <w:szCs w:val="24"/>
        </w:rPr>
        <w:t xml:space="preserve"> per cent</w:t>
      </w:r>
      <w:r>
        <w:rPr>
          <w:rFonts w:ascii="Times New Roman" w:hAnsi="Times New Roman" w:cs="Times New Roman"/>
          <w:sz w:val="24"/>
          <w:szCs w:val="24"/>
        </w:rPr>
        <w:t>, ** for 5</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and *** for 1</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level of significance</w:t>
      </w:r>
    </w:p>
    <w:p w14:paraId="59E35EB4" w14:textId="77777777" w:rsidR="004F3782" w:rsidRDefault="00481EB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Stationarity Check:</w:t>
      </w:r>
    </w:p>
    <w:p w14:paraId="02B50F43" w14:textId="77777777" w:rsidR="004F3782" w:rsidRDefault="00481EB1" w:rsidP="001F766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Prior to undertaking the co-integration analyses, a thorough evaluation of the univariate time-series properties of the dataset was conducted. This preliminary analysis was essential to ascertain whether all the price series exhibit non-stationarity and ar</w:t>
      </w:r>
      <w:r>
        <w:rPr>
          <w:rFonts w:ascii="Times New Roman" w:hAnsi="Times New Roman" w:cs="Times New Roman"/>
          <w:sz w:val="24"/>
          <w:szCs w:val="24"/>
        </w:rPr>
        <w:t xml:space="preserve">e integrated of the same order. To this end, the Augmented Dickey-Fuller (ADF) test, as formulated by Dickey and Fuller (1979), was applied to the price series of major paddy markets. </w:t>
      </w:r>
    </w:p>
    <w:p w14:paraId="77173815" w14:textId="77777777" w:rsidR="004F3782" w:rsidRDefault="00481EB1" w:rsidP="001F766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of the ADF test</w:t>
      </w:r>
      <w:r w:rsidR="00BC2EB4">
        <w:rPr>
          <w:rFonts w:ascii="Times New Roman" w:hAnsi="Times New Roman" w:cs="Times New Roman"/>
          <w:sz w:val="24"/>
          <w:szCs w:val="24"/>
        </w:rPr>
        <w:t xml:space="preserve"> </w:t>
      </w:r>
      <w:r>
        <w:rPr>
          <w:rFonts w:ascii="Times New Roman" w:hAnsi="Times New Roman" w:cs="Times New Roman"/>
          <w:sz w:val="24"/>
          <w:szCs w:val="24"/>
        </w:rPr>
        <w:t>for the price series at levels and their fi</w:t>
      </w:r>
      <w:r>
        <w:rPr>
          <w:rFonts w:ascii="Times New Roman" w:hAnsi="Times New Roman" w:cs="Times New Roman"/>
          <w:sz w:val="24"/>
          <w:szCs w:val="24"/>
        </w:rPr>
        <w:t xml:space="preserve">rst differences are systematically presented in Table </w:t>
      </w:r>
      <w:r>
        <w:rPr>
          <w:rFonts w:ascii="Times New Roman" w:hAnsi="Times New Roman" w:cs="Times New Roman"/>
          <w:sz w:val="24"/>
          <w:szCs w:val="24"/>
          <w:lang w:val="en-US"/>
        </w:rPr>
        <w:t>7</w:t>
      </w:r>
      <w:r>
        <w:rPr>
          <w:rFonts w:ascii="Times New Roman" w:hAnsi="Times New Roman" w:cs="Times New Roman"/>
          <w:sz w:val="24"/>
          <w:szCs w:val="24"/>
        </w:rPr>
        <w:t xml:space="preserve">. In preparation for this analysis, all price series were </w:t>
      </w:r>
      <w:r>
        <w:rPr>
          <w:rFonts w:ascii="Times New Roman" w:hAnsi="Times New Roman" w:cs="Times New Roman"/>
          <w:sz w:val="24"/>
          <w:szCs w:val="24"/>
        </w:rPr>
        <w:lastRenderedPageBreak/>
        <w:t>converted into natural logarithms to ensure uniformity and comparability. The selection of the appropriate lag length for the ADF test was guid</w:t>
      </w:r>
      <w:r>
        <w:rPr>
          <w:rFonts w:ascii="Times New Roman" w:hAnsi="Times New Roman" w:cs="Times New Roman"/>
          <w:sz w:val="24"/>
          <w:szCs w:val="24"/>
        </w:rPr>
        <w:t>ed by the Akaike Information Criterion (AIC), ensuring methodological rigour. The findings indicate that while the price series are non-stationary at their levels, they achieve stationarity when subjected to first-differencing. This observation suggests th</w:t>
      </w:r>
      <w:r>
        <w:rPr>
          <w:rFonts w:ascii="Times New Roman" w:hAnsi="Times New Roman" w:cs="Times New Roman"/>
          <w:sz w:val="24"/>
          <w:szCs w:val="24"/>
        </w:rPr>
        <w:t>at each series of paddy prices encompasses a single unit root and conforms to an integration of order one. This characteristic is a critical aspect in the context of time-series analysis, laying the groundwork for subsequent co-integration tests</w:t>
      </w:r>
      <w:r w:rsidR="00BC2EB4">
        <w:rPr>
          <w:rFonts w:ascii="Times New Roman" w:hAnsi="Times New Roman" w:cs="Times New Roman"/>
          <w:sz w:val="24"/>
          <w:szCs w:val="24"/>
        </w:rPr>
        <w:t>,</w:t>
      </w:r>
      <w:r>
        <w:rPr>
          <w:rFonts w:ascii="Times New Roman" w:hAnsi="Times New Roman" w:cs="Times New Roman"/>
          <w:sz w:val="24"/>
          <w:szCs w:val="24"/>
        </w:rPr>
        <w:t xml:space="preserve"> ensuring </w:t>
      </w:r>
      <w:r>
        <w:rPr>
          <w:rFonts w:ascii="Times New Roman" w:hAnsi="Times New Roman" w:cs="Times New Roman"/>
          <w:sz w:val="24"/>
          <w:szCs w:val="24"/>
        </w:rPr>
        <w:t>the robustness and validity of the inferences drawn from the study.</w:t>
      </w:r>
    </w:p>
    <w:p w14:paraId="50CF670E" w14:textId="77777777" w:rsidR="004F3782" w:rsidRDefault="00481EB1" w:rsidP="00BC2EB4">
      <w:pPr>
        <w:spacing w:after="0" w:line="36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t>Table 7: ADF Test for Unit Root in the Prices of Paddy</w:t>
      </w:r>
    </w:p>
    <w:tbl>
      <w:tblPr>
        <w:tblStyle w:val="TableGrid"/>
        <w:tblW w:w="0" w:type="auto"/>
        <w:tblLook w:val="04A0" w:firstRow="1" w:lastRow="0" w:firstColumn="1" w:lastColumn="0" w:noHBand="0" w:noVBand="1"/>
      </w:tblPr>
      <w:tblGrid>
        <w:gridCol w:w="3005"/>
        <w:gridCol w:w="3005"/>
        <w:gridCol w:w="3006"/>
      </w:tblGrid>
      <w:tr w:rsidR="00381735" w14:paraId="47FF2AAB" w14:textId="77777777">
        <w:trPr>
          <w:trHeight w:val="20"/>
        </w:trPr>
        <w:tc>
          <w:tcPr>
            <w:tcW w:w="3005" w:type="dxa"/>
            <w:vAlign w:val="center"/>
          </w:tcPr>
          <w:p w14:paraId="3FB1645E" w14:textId="77777777" w:rsidR="004F3782" w:rsidRDefault="00481EB1" w:rsidP="001F76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Market </w:t>
            </w:r>
            <w:r w:rsidR="00D5571A">
              <w:rPr>
                <w:rFonts w:ascii="Times New Roman" w:hAnsi="Times New Roman" w:cs="Times New Roman"/>
                <w:b/>
                <w:bCs/>
                <w:sz w:val="24"/>
                <w:szCs w:val="24"/>
              </w:rPr>
              <w:t>C</w:t>
            </w:r>
            <w:r>
              <w:rPr>
                <w:rFonts w:ascii="Times New Roman" w:hAnsi="Times New Roman" w:cs="Times New Roman"/>
                <w:b/>
                <w:bCs/>
                <w:sz w:val="24"/>
                <w:szCs w:val="24"/>
              </w:rPr>
              <w:t>enter</w:t>
            </w:r>
          </w:p>
        </w:tc>
        <w:tc>
          <w:tcPr>
            <w:tcW w:w="3005" w:type="dxa"/>
            <w:vAlign w:val="center"/>
          </w:tcPr>
          <w:p w14:paraId="136453A7" w14:textId="77777777" w:rsidR="004F3782" w:rsidRDefault="00481EB1" w:rsidP="001F76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Level</w:t>
            </w:r>
          </w:p>
        </w:tc>
        <w:tc>
          <w:tcPr>
            <w:tcW w:w="3006" w:type="dxa"/>
            <w:vAlign w:val="center"/>
          </w:tcPr>
          <w:p w14:paraId="0AE9D78E" w14:textId="77777777" w:rsidR="004F3782" w:rsidRDefault="00481EB1" w:rsidP="001F76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First-difference</w:t>
            </w:r>
          </w:p>
        </w:tc>
      </w:tr>
      <w:tr w:rsidR="00381735" w14:paraId="723D1C4E" w14:textId="77777777">
        <w:trPr>
          <w:trHeight w:val="20"/>
        </w:trPr>
        <w:tc>
          <w:tcPr>
            <w:tcW w:w="3005" w:type="dxa"/>
            <w:vAlign w:val="center"/>
          </w:tcPr>
          <w:p w14:paraId="2314B1EC"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Kota</w:t>
            </w:r>
          </w:p>
        </w:tc>
        <w:tc>
          <w:tcPr>
            <w:tcW w:w="3005" w:type="dxa"/>
            <w:vAlign w:val="center"/>
          </w:tcPr>
          <w:p w14:paraId="6BFA6F5E"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-2.3343</w:t>
            </w:r>
          </w:p>
        </w:tc>
        <w:tc>
          <w:tcPr>
            <w:tcW w:w="3006" w:type="dxa"/>
            <w:vAlign w:val="center"/>
          </w:tcPr>
          <w:p w14:paraId="018F51AD"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-6.0228</w:t>
            </w:r>
            <w:r w:rsidR="00BC2EB4">
              <w:rPr>
                <w:rFonts w:ascii="Times New Roman" w:hAnsi="Times New Roman" w:cs="Times New Roman"/>
                <w:sz w:val="24"/>
                <w:szCs w:val="24"/>
                <w:lang w:val="en-US"/>
              </w:rPr>
              <w:t>**</w:t>
            </w:r>
          </w:p>
        </w:tc>
      </w:tr>
      <w:tr w:rsidR="00381735" w14:paraId="146C896C" w14:textId="77777777">
        <w:trPr>
          <w:trHeight w:val="20"/>
        </w:trPr>
        <w:tc>
          <w:tcPr>
            <w:tcW w:w="3005" w:type="dxa"/>
            <w:vAlign w:val="center"/>
          </w:tcPr>
          <w:p w14:paraId="2D73E0F6"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Attabira</w:t>
            </w:r>
          </w:p>
        </w:tc>
        <w:tc>
          <w:tcPr>
            <w:tcW w:w="3005" w:type="dxa"/>
            <w:vAlign w:val="center"/>
          </w:tcPr>
          <w:p w14:paraId="518A0FB6"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-1.0176</w:t>
            </w:r>
          </w:p>
        </w:tc>
        <w:tc>
          <w:tcPr>
            <w:tcW w:w="3006" w:type="dxa"/>
            <w:vAlign w:val="center"/>
          </w:tcPr>
          <w:p w14:paraId="3889AADC"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-7.0736</w:t>
            </w:r>
            <w:r w:rsidR="00BC2EB4">
              <w:rPr>
                <w:rFonts w:ascii="Times New Roman" w:hAnsi="Times New Roman" w:cs="Times New Roman"/>
                <w:sz w:val="24"/>
                <w:szCs w:val="24"/>
                <w:lang w:val="en-US"/>
              </w:rPr>
              <w:t>**</w:t>
            </w:r>
          </w:p>
        </w:tc>
      </w:tr>
      <w:tr w:rsidR="00381735" w14:paraId="0B984CFB" w14:textId="77777777">
        <w:trPr>
          <w:trHeight w:val="20"/>
        </w:trPr>
        <w:tc>
          <w:tcPr>
            <w:tcW w:w="3005" w:type="dxa"/>
            <w:vAlign w:val="center"/>
          </w:tcPr>
          <w:p w14:paraId="22E0C35C"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Sindhanur</w:t>
            </w:r>
          </w:p>
        </w:tc>
        <w:tc>
          <w:tcPr>
            <w:tcW w:w="3005" w:type="dxa"/>
            <w:vAlign w:val="center"/>
          </w:tcPr>
          <w:p w14:paraId="23B37312"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-2.2831</w:t>
            </w:r>
          </w:p>
        </w:tc>
        <w:tc>
          <w:tcPr>
            <w:tcW w:w="3006" w:type="dxa"/>
            <w:vAlign w:val="center"/>
          </w:tcPr>
          <w:p w14:paraId="36523A6E"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-5.2704</w:t>
            </w:r>
            <w:r w:rsidR="00BC2EB4">
              <w:rPr>
                <w:rFonts w:ascii="Times New Roman" w:hAnsi="Times New Roman" w:cs="Times New Roman"/>
                <w:sz w:val="24"/>
                <w:szCs w:val="24"/>
                <w:lang w:val="en-US"/>
              </w:rPr>
              <w:t>**</w:t>
            </w:r>
          </w:p>
        </w:tc>
      </w:tr>
      <w:tr w:rsidR="00381735" w14:paraId="3CBA39D5" w14:textId="77777777">
        <w:trPr>
          <w:trHeight w:val="20"/>
        </w:trPr>
        <w:tc>
          <w:tcPr>
            <w:tcW w:w="3005" w:type="dxa"/>
            <w:vAlign w:val="center"/>
          </w:tcPr>
          <w:p w14:paraId="6CCDE371"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Dahod</w:t>
            </w:r>
          </w:p>
        </w:tc>
        <w:tc>
          <w:tcPr>
            <w:tcW w:w="3005" w:type="dxa"/>
            <w:vAlign w:val="center"/>
          </w:tcPr>
          <w:p w14:paraId="319B50FA"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-2.6864</w:t>
            </w:r>
          </w:p>
        </w:tc>
        <w:tc>
          <w:tcPr>
            <w:tcW w:w="3006" w:type="dxa"/>
            <w:vAlign w:val="center"/>
          </w:tcPr>
          <w:p w14:paraId="2E7E4217"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-7.0356</w:t>
            </w:r>
            <w:r w:rsidR="00BC2EB4">
              <w:rPr>
                <w:rFonts w:ascii="Times New Roman" w:hAnsi="Times New Roman" w:cs="Times New Roman"/>
                <w:sz w:val="24"/>
                <w:szCs w:val="24"/>
                <w:lang w:val="en-US"/>
              </w:rPr>
              <w:t>**</w:t>
            </w:r>
          </w:p>
        </w:tc>
      </w:tr>
      <w:tr w:rsidR="00381735" w14:paraId="703AEBA2" w14:textId="77777777">
        <w:trPr>
          <w:trHeight w:val="20"/>
        </w:trPr>
        <w:tc>
          <w:tcPr>
            <w:tcW w:w="3005" w:type="dxa"/>
            <w:vAlign w:val="center"/>
          </w:tcPr>
          <w:p w14:paraId="4F49732D"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Bhatapara</w:t>
            </w:r>
          </w:p>
        </w:tc>
        <w:tc>
          <w:tcPr>
            <w:tcW w:w="3005" w:type="dxa"/>
            <w:vAlign w:val="center"/>
          </w:tcPr>
          <w:p w14:paraId="4FD4542C"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-2.1274</w:t>
            </w:r>
          </w:p>
        </w:tc>
        <w:tc>
          <w:tcPr>
            <w:tcW w:w="3006" w:type="dxa"/>
            <w:vAlign w:val="center"/>
          </w:tcPr>
          <w:p w14:paraId="1FADF91F" w14:textId="77777777" w:rsidR="004F3782" w:rsidRDefault="00481EB1" w:rsidP="001F766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-6.1947</w:t>
            </w:r>
            <w:r w:rsidR="00BC2EB4">
              <w:rPr>
                <w:rFonts w:ascii="Times New Roman" w:hAnsi="Times New Roman" w:cs="Times New Roman"/>
                <w:sz w:val="24"/>
                <w:szCs w:val="24"/>
                <w:lang w:val="en-US"/>
              </w:rPr>
              <w:t>**</w:t>
            </w:r>
          </w:p>
        </w:tc>
      </w:tr>
    </w:tbl>
    <w:p w14:paraId="1F6E89BC" w14:textId="77777777" w:rsidR="004F3782" w:rsidRDefault="00481EB1" w:rsidP="00BC2EB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Source: Authors’ own calculation</w:t>
      </w:r>
    </w:p>
    <w:p w14:paraId="6EA6A9B7" w14:textId="77777777" w:rsidR="00BC2EB4" w:rsidRDefault="00481EB1" w:rsidP="00BC2E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N.B. * for 10 per cent, ** for 5 per cent and *** for 1 per cent level of significance</w:t>
      </w:r>
    </w:p>
    <w:p w14:paraId="0AC9C912" w14:textId="77777777" w:rsidR="004F3782" w:rsidRDefault="00481EB1">
      <w:pPr>
        <w:spacing w:after="0" w:line="360" w:lineRule="auto"/>
        <w:jc w:val="both"/>
        <w:rPr>
          <w:rFonts w:ascii="Times New Roman" w:hAnsi="Times New Roman" w:cs="Times New Roman"/>
          <w:b/>
          <w:bCs/>
          <w:sz w:val="24"/>
          <w:szCs w:val="24"/>
          <w:lang w:val="en-US" w:bidi="hi-IN"/>
        </w:rPr>
      </w:pPr>
      <w:r>
        <w:rPr>
          <w:rFonts w:ascii="Times New Roman" w:hAnsi="Times New Roman" w:cs="Times New Roman"/>
          <w:b/>
          <w:bCs/>
          <w:sz w:val="24"/>
          <w:szCs w:val="24"/>
          <w:lang w:val="en-US" w:bidi="hi-IN"/>
        </w:rPr>
        <w:t>Johansen co-integration:</w:t>
      </w:r>
    </w:p>
    <w:p w14:paraId="7A33671E" w14:textId="77777777" w:rsidR="004F3782" w:rsidRDefault="00481EB1" w:rsidP="001F766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 meticulously explores the inter-state spatial integration</w:t>
      </w:r>
      <w:r>
        <w:rPr>
          <w:rFonts w:ascii="Times New Roman" w:hAnsi="Times New Roman" w:cs="Times New Roman"/>
          <w:sz w:val="24"/>
          <w:szCs w:val="24"/>
        </w:rPr>
        <w:t xml:space="preserve"> of paddy markets through a comprehensive analysis of the enduring linear relationships among paddy prices in five distinct markets: Kota (Rajasthan), Attabira (Odisha), Sindhanur (Karnataka), Dahod (Gujarat), and Bhatapara (Chhattisgarh). The core objecti</w:t>
      </w:r>
      <w:r>
        <w:rPr>
          <w:rFonts w:ascii="Times New Roman" w:hAnsi="Times New Roman" w:cs="Times New Roman"/>
          <w:sz w:val="24"/>
          <w:szCs w:val="24"/>
        </w:rPr>
        <w:t xml:space="preserve">ve of this study was to quantify and </w:t>
      </w:r>
      <w:r w:rsidR="00072D15">
        <w:rPr>
          <w:rFonts w:ascii="Times New Roman" w:hAnsi="Times New Roman" w:cs="Times New Roman"/>
          <w:sz w:val="24"/>
          <w:szCs w:val="24"/>
        </w:rPr>
        <w:t>explain</w:t>
      </w:r>
      <w:r>
        <w:rPr>
          <w:rFonts w:ascii="Times New Roman" w:hAnsi="Times New Roman" w:cs="Times New Roman"/>
          <w:sz w:val="24"/>
          <w:szCs w:val="24"/>
        </w:rPr>
        <w:t xml:space="preserve"> the long-term integration dynamics among the</w:t>
      </w:r>
      <w:r w:rsidR="00BC2EB4">
        <w:rPr>
          <w:rFonts w:ascii="Times New Roman" w:hAnsi="Times New Roman" w:cs="Times New Roman"/>
          <w:sz w:val="24"/>
          <w:szCs w:val="24"/>
        </w:rPr>
        <w:t xml:space="preserve"> selected</w:t>
      </w:r>
      <w:r>
        <w:rPr>
          <w:rFonts w:ascii="Times New Roman" w:hAnsi="Times New Roman" w:cs="Times New Roman"/>
          <w:sz w:val="24"/>
          <w:szCs w:val="24"/>
        </w:rPr>
        <w:t xml:space="preserve"> markets. </w:t>
      </w:r>
      <w:r w:rsidR="00BC2EB4">
        <w:rPr>
          <w:rFonts w:ascii="Times New Roman" w:hAnsi="Times New Roman" w:cs="Times New Roman"/>
          <w:sz w:val="24"/>
          <w:szCs w:val="24"/>
        </w:rPr>
        <w:t>T</w:t>
      </w:r>
      <w:r>
        <w:rPr>
          <w:rFonts w:ascii="Times New Roman" w:hAnsi="Times New Roman" w:cs="Times New Roman"/>
          <w:sz w:val="24"/>
          <w:szCs w:val="24"/>
        </w:rPr>
        <w:t xml:space="preserve">he results pertaining to a specific combination of the aforementioned paddy markets have been systematically compiled and are presented in Table </w:t>
      </w:r>
      <w:r>
        <w:rPr>
          <w:rFonts w:ascii="Times New Roman" w:hAnsi="Times New Roman" w:cs="Times New Roman"/>
          <w:sz w:val="24"/>
          <w:szCs w:val="24"/>
          <w:lang w:val="en-US"/>
        </w:rPr>
        <w:t>8</w:t>
      </w:r>
      <w:r>
        <w:rPr>
          <w:rFonts w:ascii="Times New Roman" w:hAnsi="Times New Roman" w:cs="Times New Roman"/>
          <w:sz w:val="24"/>
          <w:szCs w:val="24"/>
        </w:rPr>
        <w:t>.</w:t>
      </w:r>
    </w:p>
    <w:p w14:paraId="2107D0DA" w14:textId="77777777" w:rsidR="004F3782" w:rsidRDefault="00481EB1" w:rsidP="001F766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empirical findings derived from this analysis </w:t>
      </w:r>
      <w:r w:rsidR="00BC2EB4">
        <w:rPr>
          <w:rFonts w:ascii="Times New Roman" w:hAnsi="Times New Roman" w:cs="Times New Roman"/>
          <w:sz w:val="24"/>
          <w:szCs w:val="24"/>
        </w:rPr>
        <w:t>indicates</w:t>
      </w:r>
      <w:r>
        <w:rPr>
          <w:rFonts w:ascii="Times New Roman" w:hAnsi="Times New Roman" w:cs="Times New Roman"/>
          <w:sz w:val="24"/>
          <w:szCs w:val="24"/>
        </w:rPr>
        <w:t xml:space="preserve"> that the prices in the selected paddy markets are </w:t>
      </w:r>
      <w:r w:rsidR="00BC2EB4">
        <w:rPr>
          <w:rFonts w:ascii="Times New Roman" w:hAnsi="Times New Roman" w:cs="Times New Roman"/>
          <w:sz w:val="24"/>
          <w:szCs w:val="24"/>
        </w:rPr>
        <w:t>integrated</w:t>
      </w:r>
      <w:r>
        <w:rPr>
          <w:rFonts w:ascii="Times New Roman" w:hAnsi="Times New Roman" w:cs="Times New Roman"/>
          <w:sz w:val="24"/>
          <w:szCs w:val="24"/>
        </w:rPr>
        <w:t xml:space="preserve"> in the long-term perspective. This revelation not only underscores the interconnected nature of these markets but also provides insigh</w:t>
      </w:r>
      <w:r>
        <w:rPr>
          <w:rFonts w:ascii="Times New Roman" w:hAnsi="Times New Roman" w:cs="Times New Roman"/>
          <w:sz w:val="24"/>
          <w:szCs w:val="24"/>
        </w:rPr>
        <w:t>tful implications for the broader understanding of paddy market dynamics within an inter-state framework in India.</w:t>
      </w:r>
    </w:p>
    <w:p w14:paraId="43E404DA" w14:textId="77777777" w:rsidR="004F3782" w:rsidRPr="00BC2EB4" w:rsidRDefault="00481EB1" w:rsidP="00BC2EB4">
      <w:pPr>
        <w:spacing w:after="0" w:line="240" w:lineRule="auto"/>
        <w:jc w:val="center"/>
        <w:rPr>
          <w:rFonts w:ascii="Times New Roman" w:hAnsi="Times New Roman" w:cs="Times New Roman"/>
          <w:b/>
          <w:bCs/>
          <w:lang w:val="en-US" w:bidi="hi-IN"/>
        </w:rPr>
      </w:pPr>
      <w:r>
        <w:rPr>
          <w:rFonts w:ascii="Times New Roman" w:hAnsi="Times New Roman" w:cs="Times New Roman"/>
          <w:b/>
          <w:bCs/>
          <w:lang w:val="en-US" w:bidi="hi-IN"/>
        </w:rPr>
        <w:t>Table 8: Co-integration Results for Inter-State Spatial Integration of Paddy Markets</w:t>
      </w:r>
    </w:p>
    <w:tbl>
      <w:tblPr>
        <w:tblStyle w:val="TableGrid"/>
        <w:tblW w:w="0" w:type="auto"/>
        <w:jc w:val="center"/>
        <w:tblLook w:val="04A0" w:firstRow="1" w:lastRow="0" w:firstColumn="1" w:lastColumn="0" w:noHBand="0" w:noVBand="1"/>
      </w:tblPr>
      <w:tblGrid>
        <w:gridCol w:w="1312"/>
        <w:gridCol w:w="1256"/>
        <w:gridCol w:w="1297"/>
        <w:gridCol w:w="1222"/>
        <w:gridCol w:w="1256"/>
        <w:gridCol w:w="1241"/>
        <w:gridCol w:w="1432"/>
      </w:tblGrid>
      <w:tr w:rsidR="00381735" w14:paraId="35CB968C" w14:textId="77777777">
        <w:trPr>
          <w:trHeight w:val="20"/>
          <w:jc w:val="center"/>
        </w:trPr>
        <w:tc>
          <w:tcPr>
            <w:tcW w:w="1312" w:type="dxa"/>
            <w:vMerge w:val="restart"/>
            <w:vAlign w:val="center"/>
          </w:tcPr>
          <w:p w14:paraId="1D9AE7E1" w14:textId="77777777" w:rsidR="004F3782" w:rsidRPr="00D5571A" w:rsidRDefault="00481EB1">
            <w:pPr>
              <w:autoSpaceDE w:val="0"/>
              <w:autoSpaceDN w:val="0"/>
              <w:adjustRightInd w:val="0"/>
              <w:spacing w:after="0" w:line="276" w:lineRule="auto"/>
              <w:jc w:val="center"/>
              <w:rPr>
                <w:rFonts w:ascii="Times New Roman" w:hAnsi="Times New Roman" w:cs="Times New Roman"/>
                <w:b/>
                <w:bCs/>
                <w:lang w:val="en-US" w:bidi="hi-IN"/>
              </w:rPr>
            </w:pPr>
            <w:r w:rsidRPr="00D5571A">
              <w:rPr>
                <w:rFonts w:ascii="Times New Roman" w:hAnsi="Times New Roman" w:cs="Times New Roman"/>
                <w:b/>
                <w:bCs/>
                <w:lang w:val="en-US" w:bidi="hi-IN"/>
              </w:rPr>
              <w:t>Eigen</w:t>
            </w:r>
          </w:p>
          <w:p w14:paraId="5ABE5D8E" w14:textId="77777777" w:rsidR="004F3782" w:rsidRPr="00D5571A" w:rsidRDefault="00481EB1" w:rsidP="001F7660">
            <w:pPr>
              <w:spacing w:after="0" w:line="276" w:lineRule="auto"/>
              <w:jc w:val="center"/>
              <w:rPr>
                <w:rFonts w:ascii="Times New Roman" w:hAnsi="Times New Roman" w:cs="Times New Roman"/>
                <w:b/>
                <w:bCs/>
              </w:rPr>
            </w:pPr>
            <w:r w:rsidRPr="00D5571A">
              <w:rPr>
                <w:rFonts w:ascii="Times New Roman" w:hAnsi="Times New Roman" w:cs="Times New Roman"/>
                <w:b/>
                <w:bCs/>
                <w:lang w:val="en-US" w:bidi="hi-IN"/>
              </w:rPr>
              <w:t>Value</w:t>
            </w:r>
            <w:r w:rsidR="001F7660" w:rsidRPr="00D5571A">
              <w:rPr>
                <w:rFonts w:ascii="Times New Roman" w:hAnsi="Times New Roman" w:cs="Times New Roman"/>
                <w:b/>
                <w:bCs/>
                <w:lang w:val="en-US" w:bidi="hi-IN"/>
              </w:rPr>
              <w:t xml:space="preserve"> </w:t>
            </w:r>
            <w:r w:rsidRPr="00D5571A">
              <w:rPr>
                <w:rFonts w:ascii="Times New Roman" w:hAnsi="Times New Roman" w:cs="Times New Roman"/>
                <w:b/>
                <w:bCs/>
                <w:lang w:val="en-US" w:bidi="hi-IN"/>
              </w:rPr>
              <w:t>(</w:t>
            </w:r>
            <w:r w:rsidRPr="00D5571A">
              <w:rPr>
                <w:rFonts w:ascii="Times New Roman" w:hAnsi="Times New Roman" w:cs="Times New Roman"/>
                <w:b/>
                <w:bCs/>
                <w:i/>
                <w:iCs/>
                <w:lang w:val="en-US" w:bidi="hi-IN"/>
              </w:rPr>
              <w:t>λi</w:t>
            </w:r>
            <w:r w:rsidRPr="00D5571A">
              <w:rPr>
                <w:rFonts w:ascii="Times New Roman" w:hAnsi="Times New Roman" w:cs="Times New Roman"/>
                <w:b/>
                <w:bCs/>
                <w:lang w:val="en-US" w:bidi="hi-IN"/>
              </w:rPr>
              <w:t>)</w:t>
            </w:r>
          </w:p>
        </w:tc>
        <w:tc>
          <w:tcPr>
            <w:tcW w:w="3775" w:type="dxa"/>
            <w:gridSpan w:val="3"/>
            <w:vAlign w:val="center"/>
          </w:tcPr>
          <w:p w14:paraId="541800FA" w14:textId="77777777" w:rsidR="004F3782" w:rsidRPr="00D5571A" w:rsidRDefault="00481EB1">
            <w:pPr>
              <w:spacing w:after="0" w:line="276" w:lineRule="auto"/>
              <w:jc w:val="center"/>
              <w:rPr>
                <w:rFonts w:ascii="Times New Roman" w:hAnsi="Times New Roman" w:cs="Times New Roman"/>
                <w:b/>
                <w:bCs/>
              </w:rPr>
            </w:pPr>
            <w:r w:rsidRPr="00D5571A">
              <w:rPr>
                <w:rFonts w:ascii="Times New Roman" w:hAnsi="Times New Roman" w:cs="Times New Roman"/>
                <w:b/>
                <w:bCs/>
                <w:lang w:val="en-US" w:bidi="hi-IN"/>
              </w:rPr>
              <w:t>Trace test</w:t>
            </w:r>
          </w:p>
        </w:tc>
        <w:tc>
          <w:tcPr>
            <w:tcW w:w="3929" w:type="dxa"/>
            <w:gridSpan w:val="3"/>
            <w:vAlign w:val="center"/>
          </w:tcPr>
          <w:p w14:paraId="37EA6258" w14:textId="77777777" w:rsidR="004F3782" w:rsidRPr="00D5571A" w:rsidRDefault="00481EB1">
            <w:pPr>
              <w:autoSpaceDE w:val="0"/>
              <w:autoSpaceDN w:val="0"/>
              <w:adjustRightInd w:val="0"/>
              <w:spacing w:after="0" w:line="276" w:lineRule="auto"/>
              <w:jc w:val="center"/>
              <w:rPr>
                <w:rFonts w:ascii="Times New Roman" w:hAnsi="Times New Roman" w:cs="Times New Roman"/>
                <w:b/>
                <w:bCs/>
                <w:lang w:val="en-US" w:bidi="hi-IN"/>
              </w:rPr>
            </w:pPr>
            <w:r w:rsidRPr="00D5571A">
              <w:rPr>
                <w:rFonts w:ascii="Times New Roman" w:hAnsi="Times New Roman" w:cs="Times New Roman"/>
                <w:b/>
                <w:bCs/>
                <w:lang w:val="en-US" w:bidi="hi-IN"/>
              </w:rPr>
              <w:t>Maximum eigen value test</w:t>
            </w:r>
          </w:p>
        </w:tc>
      </w:tr>
      <w:tr w:rsidR="00381735" w14:paraId="4AFCB6F7" w14:textId="77777777" w:rsidTr="001F7660">
        <w:trPr>
          <w:trHeight w:val="287"/>
          <w:jc w:val="center"/>
        </w:trPr>
        <w:tc>
          <w:tcPr>
            <w:tcW w:w="1312" w:type="dxa"/>
            <w:vMerge/>
            <w:vAlign w:val="center"/>
          </w:tcPr>
          <w:p w14:paraId="5E5B44C3" w14:textId="77777777" w:rsidR="004F3782" w:rsidRPr="00D5571A" w:rsidRDefault="004F3782">
            <w:pPr>
              <w:spacing w:after="0" w:line="276" w:lineRule="auto"/>
              <w:jc w:val="center"/>
              <w:rPr>
                <w:rFonts w:ascii="Times New Roman" w:hAnsi="Times New Roman" w:cs="Times New Roman"/>
                <w:b/>
                <w:bCs/>
              </w:rPr>
            </w:pPr>
          </w:p>
        </w:tc>
        <w:tc>
          <w:tcPr>
            <w:tcW w:w="1256" w:type="dxa"/>
            <w:vAlign w:val="center"/>
          </w:tcPr>
          <w:p w14:paraId="6E69C6C0" w14:textId="77777777" w:rsidR="004F3782" w:rsidRPr="00D5571A" w:rsidRDefault="00481EB1">
            <w:pPr>
              <w:spacing w:after="0" w:line="276" w:lineRule="auto"/>
              <w:jc w:val="center"/>
              <w:rPr>
                <w:rFonts w:ascii="Times New Roman" w:hAnsi="Times New Roman" w:cs="Times New Roman"/>
                <w:b/>
                <w:bCs/>
              </w:rPr>
            </w:pPr>
            <w:r w:rsidRPr="00D5571A">
              <w:rPr>
                <w:rFonts w:ascii="Times New Roman" w:hAnsi="Times New Roman" w:cs="Times New Roman"/>
                <w:b/>
                <w:bCs/>
                <w:lang w:val="en-US" w:bidi="hi-IN"/>
              </w:rPr>
              <w:t>Null</w:t>
            </w:r>
          </w:p>
        </w:tc>
        <w:tc>
          <w:tcPr>
            <w:tcW w:w="1297" w:type="dxa"/>
            <w:vAlign w:val="center"/>
          </w:tcPr>
          <w:p w14:paraId="6AFAB2C0" w14:textId="77777777" w:rsidR="004F3782" w:rsidRPr="00D5571A" w:rsidRDefault="00481EB1">
            <w:pPr>
              <w:spacing w:after="0" w:line="276" w:lineRule="auto"/>
              <w:jc w:val="center"/>
              <w:rPr>
                <w:rFonts w:ascii="Times New Roman" w:hAnsi="Times New Roman" w:cs="Times New Roman"/>
                <w:b/>
                <w:bCs/>
                <w:i/>
                <w:iCs/>
                <w:lang w:val="en-US" w:bidi="hi-IN"/>
              </w:rPr>
            </w:pPr>
            <w:r w:rsidRPr="00D5571A">
              <w:rPr>
                <w:rFonts w:ascii="Times New Roman" w:hAnsi="Times New Roman" w:cs="Times New Roman"/>
                <w:b/>
                <w:bCs/>
                <w:lang w:val="en-US" w:bidi="hi-IN"/>
              </w:rPr>
              <w:t>Test value</w:t>
            </w:r>
          </w:p>
        </w:tc>
        <w:tc>
          <w:tcPr>
            <w:tcW w:w="1222" w:type="dxa"/>
            <w:vAlign w:val="center"/>
          </w:tcPr>
          <w:p w14:paraId="2EA86B75" w14:textId="77777777" w:rsidR="004F3782" w:rsidRPr="00D5571A" w:rsidRDefault="00481EB1">
            <w:pPr>
              <w:spacing w:after="0" w:line="276" w:lineRule="auto"/>
              <w:jc w:val="center"/>
              <w:rPr>
                <w:rFonts w:ascii="Times New Roman" w:hAnsi="Times New Roman" w:cs="Times New Roman"/>
                <w:b/>
                <w:bCs/>
              </w:rPr>
            </w:pPr>
            <w:r w:rsidRPr="00D5571A">
              <w:rPr>
                <w:rFonts w:ascii="Times New Roman" w:hAnsi="Times New Roman" w:cs="Times New Roman"/>
                <w:b/>
                <w:bCs/>
                <w:i/>
                <w:iCs/>
                <w:lang w:val="en-US" w:bidi="hi-IN"/>
              </w:rPr>
              <w:t>λ</w:t>
            </w:r>
            <w:r w:rsidRPr="00D5571A">
              <w:rPr>
                <w:rFonts w:ascii="Times New Roman" w:hAnsi="Times New Roman" w:cs="Times New Roman"/>
                <w:b/>
                <w:bCs/>
                <w:lang w:val="en-US" w:bidi="hi-IN"/>
              </w:rPr>
              <w:t>-trace</w:t>
            </w:r>
          </w:p>
        </w:tc>
        <w:tc>
          <w:tcPr>
            <w:tcW w:w="1256" w:type="dxa"/>
            <w:vAlign w:val="center"/>
          </w:tcPr>
          <w:p w14:paraId="0E2F3D26" w14:textId="77777777" w:rsidR="004F3782" w:rsidRPr="00D5571A" w:rsidRDefault="00481EB1">
            <w:pPr>
              <w:spacing w:after="0" w:line="276" w:lineRule="auto"/>
              <w:jc w:val="center"/>
              <w:rPr>
                <w:rFonts w:ascii="Times New Roman" w:hAnsi="Times New Roman" w:cs="Times New Roman"/>
                <w:b/>
                <w:bCs/>
              </w:rPr>
            </w:pPr>
            <w:r w:rsidRPr="00D5571A">
              <w:rPr>
                <w:rFonts w:ascii="Times New Roman" w:hAnsi="Times New Roman" w:cs="Times New Roman"/>
                <w:b/>
                <w:bCs/>
                <w:lang w:val="en-US" w:bidi="hi-IN"/>
              </w:rPr>
              <w:t>Null</w:t>
            </w:r>
          </w:p>
        </w:tc>
        <w:tc>
          <w:tcPr>
            <w:tcW w:w="1241" w:type="dxa"/>
            <w:vAlign w:val="center"/>
          </w:tcPr>
          <w:p w14:paraId="4549A5E2" w14:textId="77777777" w:rsidR="004F3782" w:rsidRPr="00D5571A" w:rsidRDefault="00481EB1">
            <w:pPr>
              <w:spacing w:after="0" w:line="276" w:lineRule="auto"/>
              <w:jc w:val="center"/>
              <w:rPr>
                <w:rFonts w:ascii="Times New Roman" w:hAnsi="Times New Roman" w:cs="Times New Roman"/>
                <w:b/>
                <w:bCs/>
                <w:i/>
                <w:iCs/>
                <w:lang w:val="en-US" w:bidi="hi-IN"/>
              </w:rPr>
            </w:pPr>
            <w:r w:rsidRPr="00D5571A">
              <w:rPr>
                <w:rFonts w:ascii="Times New Roman" w:hAnsi="Times New Roman" w:cs="Times New Roman"/>
                <w:b/>
                <w:bCs/>
                <w:lang w:val="en-US" w:bidi="hi-IN"/>
              </w:rPr>
              <w:t>Test value</w:t>
            </w:r>
          </w:p>
        </w:tc>
        <w:tc>
          <w:tcPr>
            <w:tcW w:w="1432" w:type="dxa"/>
            <w:vAlign w:val="center"/>
          </w:tcPr>
          <w:p w14:paraId="356DA917" w14:textId="77777777" w:rsidR="004F3782" w:rsidRPr="00D5571A" w:rsidRDefault="00481EB1">
            <w:pPr>
              <w:spacing w:after="0" w:line="276" w:lineRule="auto"/>
              <w:jc w:val="center"/>
              <w:rPr>
                <w:rFonts w:ascii="Times New Roman" w:hAnsi="Times New Roman" w:cs="Times New Roman"/>
                <w:b/>
                <w:bCs/>
              </w:rPr>
            </w:pPr>
            <w:r w:rsidRPr="00D5571A">
              <w:rPr>
                <w:rFonts w:ascii="Times New Roman" w:hAnsi="Times New Roman" w:cs="Times New Roman"/>
                <w:b/>
                <w:bCs/>
                <w:i/>
                <w:iCs/>
                <w:lang w:val="en-US" w:bidi="hi-IN"/>
              </w:rPr>
              <w:t>λ</w:t>
            </w:r>
            <w:r w:rsidRPr="00D5571A">
              <w:rPr>
                <w:rFonts w:ascii="Times New Roman" w:hAnsi="Times New Roman" w:cs="Times New Roman"/>
                <w:b/>
                <w:bCs/>
                <w:lang w:val="en-US" w:bidi="hi-IN"/>
              </w:rPr>
              <w:t>-max</w:t>
            </w:r>
          </w:p>
        </w:tc>
      </w:tr>
      <w:tr w:rsidR="00381735" w14:paraId="3711ED32" w14:textId="77777777" w:rsidTr="001F7660">
        <w:trPr>
          <w:trHeight w:val="313"/>
          <w:jc w:val="center"/>
        </w:trPr>
        <w:tc>
          <w:tcPr>
            <w:tcW w:w="1312" w:type="dxa"/>
            <w:vAlign w:val="center"/>
          </w:tcPr>
          <w:p w14:paraId="5C03F2E0" w14:textId="77777777" w:rsidR="004F3782" w:rsidRDefault="00481EB1">
            <w:pPr>
              <w:spacing w:after="0" w:line="276" w:lineRule="auto"/>
              <w:jc w:val="center"/>
              <w:rPr>
                <w:rFonts w:ascii="Times New Roman" w:hAnsi="Times New Roman" w:cs="Times New Roman"/>
                <w:color w:val="000000"/>
              </w:rPr>
            </w:pPr>
            <w:r>
              <w:rPr>
                <w:rFonts w:ascii="Times New Roman" w:hAnsi="Times New Roman" w:cs="Times New Roman"/>
                <w:color w:val="000000"/>
              </w:rPr>
              <w:t>0.50</w:t>
            </w:r>
          </w:p>
        </w:tc>
        <w:tc>
          <w:tcPr>
            <w:tcW w:w="1256" w:type="dxa"/>
            <w:vAlign w:val="center"/>
          </w:tcPr>
          <w:p w14:paraId="1E8970B7"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r=0</w:t>
            </w:r>
          </w:p>
        </w:tc>
        <w:tc>
          <w:tcPr>
            <w:tcW w:w="1297" w:type="dxa"/>
            <w:vAlign w:val="center"/>
          </w:tcPr>
          <w:p w14:paraId="19B5E131"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420.89</w:t>
            </w:r>
          </w:p>
        </w:tc>
        <w:tc>
          <w:tcPr>
            <w:tcW w:w="1222" w:type="dxa"/>
            <w:vAlign w:val="center"/>
          </w:tcPr>
          <w:p w14:paraId="718CDDEE"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76.07**</w:t>
            </w:r>
          </w:p>
        </w:tc>
        <w:tc>
          <w:tcPr>
            <w:tcW w:w="1256" w:type="dxa"/>
            <w:vAlign w:val="center"/>
          </w:tcPr>
          <w:p w14:paraId="442AD817"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r=0</w:t>
            </w:r>
          </w:p>
        </w:tc>
        <w:tc>
          <w:tcPr>
            <w:tcW w:w="1241" w:type="dxa"/>
            <w:vAlign w:val="center"/>
          </w:tcPr>
          <w:p w14:paraId="3AB0C219"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123.25</w:t>
            </w:r>
          </w:p>
        </w:tc>
        <w:tc>
          <w:tcPr>
            <w:tcW w:w="1432" w:type="dxa"/>
            <w:vAlign w:val="center"/>
          </w:tcPr>
          <w:p w14:paraId="2A130775"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34.40**</w:t>
            </w:r>
          </w:p>
        </w:tc>
      </w:tr>
      <w:tr w:rsidR="00381735" w14:paraId="2B717D2D" w14:textId="77777777" w:rsidTr="001F7660">
        <w:trPr>
          <w:trHeight w:val="304"/>
          <w:jc w:val="center"/>
        </w:trPr>
        <w:tc>
          <w:tcPr>
            <w:tcW w:w="1312" w:type="dxa"/>
            <w:vAlign w:val="center"/>
          </w:tcPr>
          <w:p w14:paraId="45C55AE6" w14:textId="77777777" w:rsidR="004F3782" w:rsidRDefault="00481EB1">
            <w:pPr>
              <w:spacing w:after="0" w:line="276" w:lineRule="auto"/>
              <w:jc w:val="center"/>
              <w:rPr>
                <w:rFonts w:ascii="Times New Roman" w:hAnsi="Times New Roman" w:cs="Times New Roman"/>
                <w:color w:val="000000"/>
              </w:rPr>
            </w:pPr>
            <w:r>
              <w:rPr>
                <w:rFonts w:ascii="Times New Roman" w:hAnsi="Times New Roman" w:cs="Times New Roman"/>
                <w:color w:val="000000"/>
              </w:rPr>
              <w:t>0.41</w:t>
            </w:r>
          </w:p>
        </w:tc>
        <w:tc>
          <w:tcPr>
            <w:tcW w:w="1256" w:type="dxa"/>
            <w:vAlign w:val="center"/>
          </w:tcPr>
          <w:p w14:paraId="3F3D0B30"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r &lt;=1</w:t>
            </w:r>
          </w:p>
        </w:tc>
        <w:tc>
          <w:tcPr>
            <w:tcW w:w="1297" w:type="dxa"/>
            <w:vAlign w:val="center"/>
          </w:tcPr>
          <w:p w14:paraId="23E2FDEA"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297.64</w:t>
            </w:r>
          </w:p>
        </w:tc>
        <w:tc>
          <w:tcPr>
            <w:tcW w:w="1222" w:type="dxa"/>
            <w:vAlign w:val="center"/>
          </w:tcPr>
          <w:p w14:paraId="5633CCCD"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53.12**</w:t>
            </w:r>
          </w:p>
        </w:tc>
        <w:tc>
          <w:tcPr>
            <w:tcW w:w="1256" w:type="dxa"/>
            <w:vAlign w:val="center"/>
          </w:tcPr>
          <w:p w14:paraId="1C44C9AA"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r &lt;=1</w:t>
            </w:r>
          </w:p>
        </w:tc>
        <w:tc>
          <w:tcPr>
            <w:tcW w:w="1241" w:type="dxa"/>
            <w:vAlign w:val="center"/>
          </w:tcPr>
          <w:p w14:paraId="15F93589"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94.69</w:t>
            </w:r>
          </w:p>
        </w:tc>
        <w:tc>
          <w:tcPr>
            <w:tcW w:w="1432" w:type="dxa"/>
            <w:vAlign w:val="center"/>
          </w:tcPr>
          <w:p w14:paraId="148773C8"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28.14**</w:t>
            </w:r>
          </w:p>
        </w:tc>
      </w:tr>
      <w:tr w:rsidR="00381735" w14:paraId="6C3CD474" w14:textId="77777777" w:rsidTr="001F7660">
        <w:trPr>
          <w:trHeight w:val="313"/>
          <w:jc w:val="center"/>
        </w:trPr>
        <w:tc>
          <w:tcPr>
            <w:tcW w:w="1312" w:type="dxa"/>
            <w:vAlign w:val="center"/>
          </w:tcPr>
          <w:p w14:paraId="3BDBDFB2" w14:textId="77777777" w:rsidR="004F3782" w:rsidRDefault="00481EB1">
            <w:pPr>
              <w:spacing w:after="0" w:line="276" w:lineRule="auto"/>
              <w:jc w:val="center"/>
              <w:rPr>
                <w:rFonts w:ascii="Times New Roman" w:hAnsi="Times New Roman" w:cs="Times New Roman"/>
                <w:color w:val="000000"/>
              </w:rPr>
            </w:pPr>
            <w:r>
              <w:rPr>
                <w:rFonts w:ascii="Times New Roman" w:hAnsi="Times New Roman" w:cs="Times New Roman"/>
                <w:color w:val="000000"/>
              </w:rPr>
              <w:t>0.37</w:t>
            </w:r>
          </w:p>
        </w:tc>
        <w:tc>
          <w:tcPr>
            <w:tcW w:w="1256" w:type="dxa"/>
            <w:vAlign w:val="center"/>
          </w:tcPr>
          <w:p w14:paraId="7D2179EA"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r &lt;=2</w:t>
            </w:r>
          </w:p>
        </w:tc>
        <w:tc>
          <w:tcPr>
            <w:tcW w:w="1297" w:type="dxa"/>
            <w:vAlign w:val="center"/>
          </w:tcPr>
          <w:p w14:paraId="084F0670"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202.95</w:t>
            </w:r>
          </w:p>
        </w:tc>
        <w:tc>
          <w:tcPr>
            <w:tcW w:w="1222" w:type="dxa"/>
            <w:vAlign w:val="center"/>
          </w:tcPr>
          <w:p w14:paraId="5AB6B70D"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34.91**</w:t>
            </w:r>
          </w:p>
        </w:tc>
        <w:tc>
          <w:tcPr>
            <w:tcW w:w="1256" w:type="dxa"/>
            <w:vAlign w:val="center"/>
          </w:tcPr>
          <w:p w14:paraId="2E9948B0"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r &lt;=2</w:t>
            </w:r>
          </w:p>
        </w:tc>
        <w:tc>
          <w:tcPr>
            <w:tcW w:w="1241" w:type="dxa"/>
            <w:vAlign w:val="center"/>
          </w:tcPr>
          <w:p w14:paraId="49864F0B"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82.10</w:t>
            </w:r>
          </w:p>
        </w:tc>
        <w:tc>
          <w:tcPr>
            <w:tcW w:w="1432" w:type="dxa"/>
            <w:vAlign w:val="center"/>
          </w:tcPr>
          <w:p w14:paraId="4093414C"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22.00**</w:t>
            </w:r>
          </w:p>
        </w:tc>
      </w:tr>
      <w:tr w:rsidR="00381735" w14:paraId="59242236" w14:textId="77777777" w:rsidTr="001F7660">
        <w:trPr>
          <w:trHeight w:val="257"/>
          <w:jc w:val="center"/>
        </w:trPr>
        <w:tc>
          <w:tcPr>
            <w:tcW w:w="1312" w:type="dxa"/>
            <w:vAlign w:val="center"/>
          </w:tcPr>
          <w:p w14:paraId="74AF49CB" w14:textId="77777777" w:rsidR="004F3782" w:rsidRDefault="00481EB1">
            <w:pPr>
              <w:spacing w:after="0" w:line="276" w:lineRule="auto"/>
              <w:jc w:val="center"/>
              <w:rPr>
                <w:rFonts w:ascii="Times New Roman" w:hAnsi="Times New Roman" w:cs="Times New Roman"/>
                <w:color w:val="000000"/>
              </w:rPr>
            </w:pPr>
            <w:r>
              <w:rPr>
                <w:rFonts w:ascii="Times New Roman" w:hAnsi="Times New Roman" w:cs="Times New Roman"/>
                <w:color w:val="000000"/>
              </w:rPr>
              <w:t>0.30</w:t>
            </w:r>
          </w:p>
        </w:tc>
        <w:tc>
          <w:tcPr>
            <w:tcW w:w="1256" w:type="dxa"/>
            <w:vAlign w:val="center"/>
          </w:tcPr>
          <w:p w14:paraId="03AEE111"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r &lt;=3</w:t>
            </w:r>
          </w:p>
        </w:tc>
        <w:tc>
          <w:tcPr>
            <w:tcW w:w="1297" w:type="dxa"/>
            <w:vAlign w:val="center"/>
          </w:tcPr>
          <w:p w14:paraId="66FD0770"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120.85</w:t>
            </w:r>
          </w:p>
        </w:tc>
        <w:tc>
          <w:tcPr>
            <w:tcW w:w="1222" w:type="dxa"/>
            <w:vAlign w:val="center"/>
          </w:tcPr>
          <w:p w14:paraId="141351B8"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19.96**</w:t>
            </w:r>
          </w:p>
        </w:tc>
        <w:tc>
          <w:tcPr>
            <w:tcW w:w="1256" w:type="dxa"/>
            <w:vAlign w:val="center"/>
          </w:tcPr>
          <w:p w14:paraId="4432C740"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r &lt;=3</w:t>
            </w:r>
          </w:p>
        </w:tc>
        <w:tc>
          <w:tcPr>
            <w:tcW w:w="1241" w:type="dxa"/>
            <w:vAlign w:val="center"/>
          </w:tcPr>
          <w:p w14:paraId="6B12C00F"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62.67</w:t>
            </w:r>
          </w:p>
        </w:tc>
        <w:tc>
          <w:tcPr>
            <w:tcW w:w="1432" w:type="dxa"/>
            <w:vAlign w:val="center"/>
          </w:tcPr>
          <w:p w14:paraId="495EE92C"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15.67**</w:t>
            </w:r>
          </w:p>
        </w:tc>
      </w:tr>
      <w:tr w:rsidR="00381735" w14:paraId="67D4A856" w14:textId="77777777" w:rsidTr="001F7660">
        <w:trPr>
          <w:trHeight w:val="313"/>
          <w:jc w:val="center"/>
        </w:trPr>
        <w:tc>
          <w:tcPr>
            <w:tcW w:w="1312" w:type="dxa"/>
            <w:vAlign w:val="center"/>
          </w:tcPr>
          <w:p w14:paraId="5A415AAA" w14:textId="77777777" w:rsidR="004F3782" w:rsidRDefault="00481EB1">
            <w:pPr>
              <w:spacing w:after="0" w:line="276" w:lineRule="auto"/>
              <w:jc w:val="center"/>
              <w:rPr>
                <w:rFonts w:ascii="Times New Roman" w:hAnsi="Times New Roman" w:cs="Times New Roman"/>
                <w:color w:val="000000"/>
              </w:rPr>
            </w:pPr>
            <w:r>
              <w:rPr>
                <w:rFonts w:ascii="Times New Roman" w:hAnsi="Times New Roman" w:cs="Times New Roman"/>
                <w:color w:val="000000"/>
              </w:rPr>
              <w:t>0.28</w:t>
            </w:r>
          </w:p>
        </w:tc>
        <w:tc>
          <w:tcPr>
            <w:tcW w:w="1256" w:type="dxa"/>
            <w:vAlign w:val="center"/>
          </w:tcPr>
          <w:p w14:paraId="18401EED"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r &lt;=4</w:t>
            </w:r>
          </w:p>
        </w:tc>
        <w:tc>
          <w:tcPr>
            <w:tcW w:w="1297" w:type="dxa"/>
            <w:vAlign w:val="center"/>
          </w:tcPr>
          <w:p w14:paraId="6EEF248A"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58.18</w:t>
            </w:r>
          </w:p>
        </w:tc>
        <w:tc>
          <w:tcPr>
            <w:tcW w:w="1222" w:type="dxa"/>
            <w:vAlign w:val="center"/>
          </w:tcPr>
          <w:p w14:paraId="6759B60B"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9.24**</w:t>
            </w:r>
          </w:p>
        </w:tc>
        <w:tc>
          <w:tcPr>
            <w:tcW w:w="1256" w:type="dxa"/>
            <w:vAlign w:val="center"/>
          </w:tcPr>
          <w:p w14:paraId="77A9C432"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r &lt;=4</w:t>
            </w:r>
          </w:p>
        </w:tc>
        <w:tc>
          <w:tcPr>
            <w:tcW w:w="1241" w:type="dxa"/>
            <w:vAlign w:val="center"/>
          </w:tcPr>
          <w:p w14:paraId="46D8AA33"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58.18</w:t>
            </w:r>
          </w:p>
        </w:tc>
        <w:tc>
          <w:tcPr>
            <w:tcW w:w="1432" w:type="dxa"/>
            <w:vAlign w:val="center"/>
          </w:tcPr>
          <w:p w14:paraId="01064012" w14:textId="77777777" w:rsidR="004F3782" w:rsidRDefault="00481EB1">
            <w:pPr>
              <w:spacing w:after="0" w:line="276" w:lineRule="auto"/>
              <w:jc w:val="center"/>
              <w:rPr>
                <w:rFonts w:ascii="Times New Roman" w:hAnsi="Times New Roman" w:cs="Times New Roman"/>
              </w:rPr>
            </w:pPr>
            <w:r>
              <w:rPr>
                <w:rFonts w:ascii="Times New Roman" w:hAnsi="Times New Roman" w:cs="Times New Roman"/>
              </w:rPr>
              <w:t>9.24**</w:t>
            </w:r>
          </w:p>
        </w:tc>
      </w:tr>
    </w:tbl>
    <w:p w14:paraId="644AD51D" w14:textId="77777777" w:rsidR="004F3782" w:rsidRDefault="00481EB1">
      <w:pPr>
        <w:spacing w:after="0" w:line="360" w:lineRule="auto"/>
        <w:jc w:val="both"/>
        <w:rPr>
          <w:rFonts w:ascii="Times New Roman" w:hAnsi="Times New Roman" w:cs="Times New Roman"/>
        </w:rPr>
      </w:pPr>
      <w:r>
        <w:rPr>
          <w:rFonts w:ascii="Times New Roman" w:hAnsi="Times New Roman" w:cs="Times New Roman"/>
        </w:rPr>
        <w:lastRenderedPageBreak/>
        <w:t>N.B. * for 10</w:t>
      </w:r>
      <w:r w:rsidR="00BC2EB4">
        <w:rPr>
          <w:rFonts w:ascii="Times New Roman" w:hAnsi="Times New Roman" w:cs="Times New Roman"/>
        </w:rPr>
        <w:t xml:space="preserve"> per cent</w:t>
      </w:r>
      <w:r>
        <w:rPr>
          <w:rFonts w:ascii="Times New Roman" w:hAnsi="Times New Roman" w:cs="Times New Roman"/>
        </w:rPr>
        <w:t>, ** for 5</w:t>
      </w:r>
      <w:r w:rsidR="00BC2EB4">
        <w:rPr>
          <w:rFonts w:ascii="Times New Roman" w:hAnsi="Times New Roman" w:cs="Times New Roman"/>
        </w:rPr>
        <w:t xml:space="preserve"> per cent</w:t>
      </w:r>
      <w:r>
        <w:rPr>
          <w:rFonts w:ascii="Times New Roman" w:hAnsi="Times New Roman" w:cs="Times New Roman"/>
        </w:rPr>
        <w:t xml:space="preserve"> and *** for 1</w:t>
      </w:r>
      <w:r w:rsidR="00BC2EB4">
        <w:rPr>
          <w:rFonts w:ascii="Times New Roman" w:hAnsi="Times New Roman" w:cs="Times New Roman"/>
        </w:rPr>
        <w:t xml:space="preserve"> per cent</w:t>
      </w:r>
      <w:r>
        <w:rPr>
          <w:rFonts w:ascii="Times New Roman" w:hAnsi="Times New Roman" w:cs="Times New Roman"/>
        </w:rPr>
        <w:t xml:space="preserve"> level of significance. k= Optimal lag selected by the AIC. k=2 for the pre- and post-reform periods. The estimated VAR includes a constant and a trend. The market centres considered are:</w:t>
      </w:r>
      <w:r>
        <w:t xml:space="preserve"> </w:t>
      </w:r>
      <w:r>
        <w:rPr>
          <w:rFonts w:ascii="Times New Roman" w:hAnsi="Times New Roman" w:cs="Times New Roman"/>
        </w:rPr>
        <w:t>Kota (Rajasthan), Attabira, (Odisha), Sindhanur (Karnataka), Dahod (</w:t>
      </w:r>
      <w:r>
        <w:rPr>
          <w:rFonts w:ascii="Times New Roman" w:hAnsi="Times New Roman" w:cs="Times New Roman"/>
        </w:rPr>
        <w:t>Gujurat) and Bhatapara (Chattisgarh).</w:t>
      </w:r>
    </w:p>
    <w:p w14:paraId="25DEB817" w14:textId="77777777" w:rsidR="004F3782" w:rsidRDefault="00481EB1">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Price Transmission</w:t>
      </w:r>
    </w:p>
    <w:p w14:paraId="6C491C2D" w14:textId="77777777" w:rsidR="004F3782" w:rsidRDefault="00481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results obtained from the pairwise Granger causality test and the Vector Error Correction Model (VECM) offer a detailed and nuanced understanding of the dynamics within India's major paddy market</w:t>
      </w:r>
      <w:r>
        <w:rPr>
          <w:rFonts w:ascii="Times New Roman" w:hAnsi="Times New Roman" w:cs="Times New Roman"/>
          <w:sz w:val="24"/>
          <w:szCs w:val="24"/>
        </w:rPr>
        <w:t xml:space="preserve">s. </w:t>
      </w:r>
    </w:p>
    <w:p w14:paraId="4BCAD1AC" w14:textId="77777777" w:rsidR="004F3782" w:rsidRDefault="00481EB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Granger Causality Test</w:t>
      </w:r>
    </w:p>
    <w:p w14:paraId="3EDA9FE8" w14:textId="77777777" w:rsidR="004F3782" w:rsidRDefault="00481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test results reveal specific directional influences among the paddy markets. For instance, the markets of Kota and Sindhanur are influenced by Dahod and Bhatapara, respectively. This unidirectional causality suggests that price changes in the Dahod </w:t>
      </w:r>
      <w:r>
        <w:rPr>
          <w:rFonts w:ascii="Times New Roman" w:hAnsi="Times New Roman" w:cs="Times New Roman"/>
          <w:sz w:val="24"/>
          <w:szCs w:val="24"/>
        </w:rPr>
        <w:t xml:space="preserve">and Bhatapara markets could predict subsequent price changes in Kota and Sindhanur. Notably, several markets, such as Kota, Attabira, and Sindhanur, do not significantly influence other markets. This lack of causality could indicate that these markets are </w:t>
      </w:r>
      <w:r>
        <w:rPr>
          <w:rFonts w:ascii="Times New Roman" w:hAnsi="Times New Roman" w:cs="Times New Roman"/>
          <w:sz w:val="24"/>
          <w:szCs w:val="24"/>
        </w:rPr>
        <w:t xml:space="preserve">more self-contained or influenced by factors not shared with other markets in the study (Table </w:t>
      </w:r>
      <w:r>
        <w:rPr>
          <w:rFonts w:ascii="Times New Roman" w:hAnsi="Times New Roman" w:cs="Times New Roman"/>
          <w:sz w:val="24"/>
          <w:szCs w:val="24"/>
          <w:lang w:val="en-US"/>
        </w:rPr>
        <w:t>9</w:t>
      </w:r>
      <w:r>
        <w:rPr>
          <w:rFonts w:ascii="Times New Roman" w:hAnsi="Times New Roman" w:cs="Times New Roman"/>
          <w:sz w:val="24"/>
          <w:szCs w:val="24"/>
        </w:rPr>
        <w:t>).</w:t>
      </w:r>
    </w:p>
    <w:p w14:paraId="64355AC0" w14:textId="77777777" w:rsidR="004F3782" w:rsidRDefault="00481EB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Pr>
          <w:rFonts w:ascii="Times New Roman" w:hAnsi="Times New Roman" w:cs="Times New Roman"/>
          <w:b/>
          <w:bCs/>
          <w:sz w:val="24"/>
          <w:szCs w:val="24"/>
          <w:lang w:val="en-US"/>
        </w:rPr>
        <w:t>9</w:t>
      </w:r>
      <w:r>
        <w:rPr>
          <w:rFonts w:ascii="Times New Roman" w:hAnsi="Times New Roman" w:cs="Times New Roman"/>
          <w:b/>
          <w:bCs/>
          <w:sz w:val="24"/>
          <w:szCs w:val="24"/>
        </w:rPr>
        <w:t>: Granger Causality Test Results for major Paddy Markets of India</w:t>
      </w:r>
    </w:p>
    <w:tbl>
      <w:tblPr>
        <w:tblStyle w:val="TableGrid"/>
        <w:tblW w:w="5000" w:type="pct"/>
        <w:tblCellMar>
          <w:left w:w="43" w:type="dxa"/>
          <w:right w:w="43" w:type="dxa"/>
        </w:tblCellMar>
        <w:tblLook w:val="04A0" w:firstRow="1" w:lastRow="0" w:firstColumn="1" w:lastColumn="0" w:noHBand="0" w:noVBand="1"/>
      </w:tblPr>
      <w:tblGrid>
        <w:gridCol w:w="1073"/>
        <w:gridCol w:w="1039"/>
        <w:gridCol w:w="637"/>
        <w:gridCol w:w="913"/>
        <w:gridCol w:w="633"/>
        <w:gridCol w:w="913"/>
        <w:gridCol w:w="633"/>
        <w:gridCol w:w="996"/>
        <w:gridCol w:w="633"/>
        <w:gridCol w:w="913"/>
        <w:gridCol w:w="633"/>
      </w:tblGrid>
      <w:tr w:rsidR="00381735" w14:paraId="7D31D789" w14:textId="77777777">
        <w:trPr>
          <w:trHeight w:val="710"/>
        </w:trPr>
        <w:tc>
          <w:tcPr>
            <w:tcW w:w="586" w:type="pct"/>
            <w:vMerge w:val="restart"/>
            <w:vAlign w:val="center"/>
          </w:tcPr>
          <w:p w14:paraId="6DE75EEC" w14:textId="77777777" w:rsidR="004F3782" w:rsidRDefault="00481EB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Market</w:t>
            </w:r>
          </w:p>
        </w:tc>
        <w:tc>
          <w:tcPr>
            <w:tcW w:w="977" w:type="pct"/>
            <w:gridSpan w:val="2"/>
            <w:vAlign w:val="center"/>
          </w:tcPr>
          <w:p w14:paraId="60318881"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Kota</w:t>
            </w:r>
          </w:p>
          <w:p w14:paraId="674EB7F8"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(Independent)</w:t>
            </w:r>
          </w:p>
        </w:tc>
        <w:tc>
          <w:tcPr>
            <w:tcW w:w="810" w:type="pct"/>
            <w:gridSpan w:val="2"/>
            <w:vAlign w:val="center"/>
          </w:tcPr>
          <w:p w14:paraId="51F48FA4"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Attabira</w:t>
            </w:r>
          </w:p>
          <w:p w14:paraId="2E376BA8"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(Independent)</w:t>
            </w:r>
          </w:p>
        </w:tc>
        <w:tc>
          <w:tcPr>
            <w:tcW w:w="847" w:type="pct"/>
            <w:gridSpan w:val="2"/>
            <w:vAlign w:val="center"/>
          </w:tcPr>
          <w:p w14:paraId="1F29E725"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Sindhanur</w:t>
            </w:r>
          </w:p>
          <w:p w14:paraId="25954B7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(Independent)</w:t>
            </w:r>
          </w:p>
        </w:tc>
        <w:tc>
          <w:tcPr>
            <w:tcW w:w="932" w:type="pct"/>
            <w:gridSpan w:val="2"/>
            <w:vAlign w:val="center"/>
          </w:tcPr>
          <w:p w14:paraId="6B7DB41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Dahod</w:t>
            </w:r>
          </w:p>
          <w:p w14:paraId="50734467"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(Independent)</w:t>
            </w:r>
          </w:p>
        </w:tc>
        <w:tc>
          <w:tcPr>
            <w:tcW w:w="847" w:type="pct"/>
            <w:gridSpan w:val="2"/>
            <w:vAlign w:val="center"/>
          </w:tcPr>
          <w:p w14:paraId="7114001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Bhatapara</w:t>
            </w:r>
          </w:p>
          <w:p w14:paraId="2754D9BC"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(Independent)</w:t>
            </w:r>
          </w:p>
        </w:tc>
      </w:tr>
      <w:tr w:rsidR="00381735" w14:paraId="53984B3A" w14:textId="77777777">
        <w:trPr>
          <w:trHeight w:val="530"/>
        </w:trPr>
        <w:tc>
          <w:tcPr>
            <w:tcW w:w="586" w:type="pct"/>
            <w:vMerge/>
            <w:vAlign w:val="center"/>
          </w:tcPr>
          <w:p w14:paraId="7C26A597" w14:textId="77777777" w:rsidR="004F3782" w:rsidRDefault="004F3782">
            <w:pPr>
              <w:spacing w:after="0" w:line="360" w:lineRule="auto"/>
              <w:jc w:val="center"/>
              <w:rPr>
                <w:rFonts w:ascii="Times New Roman" w:hAnsi="Times New Roman" w:cs="Times New Roman"/>
                <w:sz w:val="24"/>
                <w:szCs w:val="24"/>
              </w:rPr>
            </w:pPr>
          </w:p>
        </w:tc>
        <w:tc>
          <w:tcPr>
            <w:tcW w:w="600" w:type="pct"/>
            <w:vAlign w:val="center"/>
          </w:tcPr>
          <w:p w14:paraId="71AB97C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p w14:paraId="5EE9915E"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statistics</w:t>
            </w:r>
          </w:p>
        </w:tc>
        <w:tc>
          <w:tcPr>
            <w:tcW w:w="377" w:type="pct"/>
            <w:vAlign w:val="center"/>
          </w:tcPr>
          <w:p w14:paraId="417A9D4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Value</w:t>
            </w:r>
          </w:p>
        </w:tc>
        <w:tc>
          <w:tcPr>
            <w:tcW w:w="471" w:type="pct"/>
            <w:vAlign w:val="center"/>
          </w:tcPr>
          <w:p w14:paraId="17F0E711"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p w14:paraId="0FDD4016"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statistics</w:t>
            </w:r>
          </w:p>
        </w:tc>
        <w:tc>
          <w:tcPr>
            <w:tcW w:w="339" w:type="pct"/>
            <w:vAlign w:val="center"/>
          </w:tcPr>
          <w:p w14:paraId="35F0355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Value</w:t>
            </w:r>
          </w:p>
        </w:tc>
        <w:tc>
          <w:tcPr>
            <w:tcW w:w="508" w:type="pct"/>
            <w:vAlign w:val="center"/>
          </w:tcPr>
          <w:p w14:paraId="5B3BA1B9"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p w14:paraId="19B822D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statistics</w:t>
            </w:r>
          </w:p>
        </w:tc>
        <w:tc>
          <w:tcPr>
            <w:tcW w:w="339" w:type="pct"/>
            <w:vAlign w:val="center"/>
          </w:tcPr>
          <w:p w14:paraId="481DED92"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Value</w:t>
            </w:r>
          </w:p>
        </w:tc>
        <w:tc>
          <w:tcPr>
            <w:tcW w:w="593" w:type="pct"/>
            <w:vAlign w:val="center"/>
          </w:tcPr>
          <w:p w14:paraId="3F2FD4D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p w14:paraId="29058EB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statistics</w:t>
            </w:r>
          </w:p>
        </w:tc>
        <w:tc>
          <w:tcPr>
            <w:tcW w:w="339" w:type="pct"/>
            <w:vAlign w:val="center"/>
          </w:tcPr>
          <w:p w14:paraId="5541661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Value</w:t>
            </w:r>
          </w:p>
        </w:tc>
        <w:tc>
          <w:tcPr>
            <w:tcW w:w="508" w:type="pct"/>
            <w:vAlign w:val="center"/>
          </w:tcPr>
          <w:p w14:paraId="48F739A1"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w:t>
            </w:r>
          </w:p>
          <w:p w14:paraId="4F6AC03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statistics</w:t>
            </w:r>
          </w:p>
        </w:tc>
        <w:tc>
          <w:tcPr>
            <w:tcW w:w="339" w:type="pct"/>
            <w:vAlign w:val="center"/>
          </w:tcPr>
          <w:p w14:paraId="4D5BBE17"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 Value</w:t>
            </w:r>
          </w:p>
        </w:tc>
      </w:tr>
      <w:tr w:rsidR="00381735" w14:paraId="41CDED43" w14:textId="77777777">
        <w:trPr>
          <w:trHeight w:val="20"/>
        </w:trPr>
        <w:tc>
          <w:tcPr>
            <w:tcW w:w="586" w:type="pct"/>
            <w:vAlign w:val="center"/>
          </w:tcPr>
          <w:p w14:paraId="148AC5DE" w14:textId="77777777" w:rsidR="004F3782" w:rsidRDefault="00481EB1" w:rsidP="003D23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Kota</w:t>
            </w:r>
          </w:p>
        </w:tc>
        <w:tc>
          <w:tcPr>
            <w:tcW w:w="600" w:type="pct"/>
            <w:vAlign w:val="center"/>
          </w:tcPr>
          <w:p w14:paraId="2AD5884D"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77" w:type="pct"/>
            <w:vAlign w:val="center"/>
          </w:tcPr>
          <w:p w14:paraId="5CDAC3B8"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471" w:type="pct"/>
            <w:vAlign w:val="center"/>
          </w:tcPr>
          <w:p w14:paraId="4F934A33"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1.6665</w:t>
            </w:r>
          </w:p>
        </w:tc>
        <w:tc>
          <w:tcPr>
            <w:tcW w:w="339" w:type="pct"/>
            <w:vAlign w:val="center"/>
          </w:tcPr>
          <w:p w14:paraId="609276FE"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0.191</w:t>
            </w:r>
          </w:p>
        </w:tc>
        <w:tc>
          <w:tcPr>
            <w:tcW w:w="508" w:type="pct"/>
            <w:vAlign w:val="center"/>
          </w:tcPr>
          <w:p w14:paraId="6DEBE0C3"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0.2856</w:t>
            </w:r>
          </w:p>
        </w:tc>
        <w:tc>
          <w:tcPr>
            <w:tcW w:w="339" w:type="pct"/>
            <w:vAlign w:val="center"/>
          </w:tcPr>
          <w:p w14:paraId="0D1A87AA"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0.751</w:t>
            </w:r>
          </w:p>
        </w:tc>
        <w:tc>
          <w:tcPr>
            <w:tcW w:w="593" w:type="pct"/>
            <w:vAlign w:val="center"/>
          </w:tcPr>
          <w:p w14:paraId="4DD32ABF"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2.4158*</w:t>
            </w:r>
          </w:p>
        </w:tc>
        <w:tc>
          <w:tcPr>
            <w:tcW w:w="339" w:type="pct"/>
            <w:vAlign w:val="center"/>
          </w:tcPr>
          <w:p w14:paraId="391BBEC0"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0.092</w:t>
            </w:r>
          </w:p>
        </w:tc>
        <w:tc>
          <w:tcPr>
            <w:tcW w:w="508" w:type="pct"/>
            <w:vAlign w:val="center"/>
          </w:tcPr>
          <w:p w14:paraId="78718BA9"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0.8391</w:t>
            </w:r>
          </w:p>
        </w:tc>
        <w:tc>
          <w:tcPr>
            <w:tcW w:w="339" w:type="pct"/>
            <w:vAlign w:val="center"/>
          </w:tcPr>
          <w:p w14:paraId="3707D046"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0.434</w:t>
            </w:r>
          </w:p>
        </w:tc>
      </w:tr>
      <w:tr w:rsidR="00381735" w14:paraId="24B1CBEB" w14:textId="77777777">
        <w:trPr>
          <w:trHeight w:val="20"/>
        </w:trPr>
        <w:tc>
          <w:tcPr>
            <w:tcW w:w="586" w:type="pct"/>
            <w:vAlign w:val="center"/>
          </w:tcPr>
          <w:p w14:paraId="14140965" w14:textId="77777777" w:rsidR="004F3782" w:rsidRDefault="00481EB1" w:rsidP="003D23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Attabira</w:t>
            </w:r>
          </w:p>
        </w:tc>
        <w:tc>
          <w:tcPr>
            <w:tcW w:w="600" w:type="pct"/>
            <w:vAlign w:val="center"/>
          </w:tcPr>
          <w:p w14:paraId="5FB92A4D"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0.7057</w:t>
            </w:r>
          </w:p>
        </w:tc>
        <w:tc>
          <w:tcPr>
            <w:tcW w:w="377" w:type="pct"/>
            <w:vAlign w:val="center"/>
          </w:tcPr>
          <w:p w14:paraId="5D98B82B"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0.495</w:t>
            </w:r>
          </w:p>
        </w:tc>
        <w:tc>
          <w:tcPr>
            <w:tcW w:w="471" w:type="pct"/>
            <w:vAlign w:val="center"/>
          </w:tcPr>
          <w:p w14:paraId="46DE2E8D"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9" w:type="pct"/>
            <w:vAlign w:val="center"/>
          </w:tcPr>
          <w:p w14:paraId="54ACA466"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8" w:type="pct"/>
            <w:vAlign w:val="center"/>
          </w:tcPr>
          <w:p w14:paraId="7E2BBA56"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0.3755</w:t>
            </w:r>
          </w:p>
        </w:tc>
        <w:tc>
          <w:tcPr>
            <w:tcW w:w="339" w:type="pct"/>
            <w:vAlign w:val="center"/>
          </w:tcPr>
          <w:p w14:paraId="6E987AE9"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0.687</w:t>
            </w:r>
          </w:p>
        </w:tc>
        <w:tc>
          <w:tcPr>
            <w:tcW w:w="593" w:type="pct"/>
            <w:vAlign w:val="center"/>
          </w:tcPr>
          <w:p w14:paraId="6AB03EA5"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0.7453</w:t>
            </w:r>
          </w:p>
        </w:tc>
        <w:tc>
          <w:tcPr>
            <w:tcW w:w="339" w:type="pct"/>
            <w:vAlign w:val="center"/>
          </w:tcPr>
          <w:p w14:paraId="06601F7B"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0.476</w:t>
            </w:r>
          </w:p>
        </w:tc>
        <w:tc>
          <w:tcPr>
            <w:tcW w:w="508" w:type="pct"/>
            <w:vAlign w:val="center"/>
          </w:tcPr>
          <w:p w14:paraId="30A45580"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0.1995</w:t>
            </w:r>
          </w:p>
        </w:tc>
        <w:tc>
          <w:tcPr>
            <w:tcW w:w="339" w:type="pct"/>
            <w:vAlign w:val="center"/>
          </w:tcPr>
          <w:p w14:paraId="2B70E299"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0.819</w:t>
            </w:r>
          </w:p>
        </w:tc>
      </w:tr>
      <w:tr w:rsidR="00381735" w14:paraId="6337027F" w14:textId="77777777">
        <w:trPr>
          <w:trHeight w:val="20"/>
        </w:trPr>
        <w:tc>
          <w:tcPr>
            <w:tcW w:w="586" w:type="pct"/>
            <w:vAlign w:val="center"/>
          </w:tcPr>
          <w:p w14:paraId="53E8C306" w14:textId="77777777" w:rsidR="004F3782" w:rsidRDefault="00481EB1" w:rsidP="003D23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Sindhanur</w:t>
            </w:r>
          </w:p>
        </w:tc>
        <w:tc>
          <w:tcPr>
            <w:tcW w:w="600" w:type="pct"/>
            <w:vAlign w:val="center"/>
          </w:tcPr>
          <w:p w14:paraId="238E900D"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0.8031</w:t>
            </w:r>
          </w:p>
        </w:tc>
        <w:tc>
          <w:tcPr>
            <w:tcW w:w="377" w:type="pct"/>
            <w:vAlign w:val="center"/>
          </w:tcPr>
          <w:p w14:paraId="2F391884"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0.449</w:t>
            </w:r>
          </w:p>
        </w:tc>
        <w:tc>
          <w:tcPr>
            <w:tcW w:w="471" w:type="pct"/>
            <w:vAlign w:val="center"/>
          </w:tcPr>
          <w:p w14:paraId="3C6E58F8"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0.1054</w:t>
            </w:r>
          </w:p>
        </w:tc>
        <w:tc>
          <w:tcPr>
            <w:tcW w:w="339" w:type="pct"/>
            <w:vAlign w:val="center"/>
          </w:tcPr>
          <w:p w14:paraId="7057F3D7"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w:t>
            </w:r>
          </w:p>
        </w:tc>
        <w:tc>
          <w:tcPr>
            <w:tcW w:w="508" w:type="pct"/>
            <w:vAlign w:val="center"/>
          </w:tcPr>
          <w:p w14:paraId="79325F76"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9" w:type="pct"/>
            <w:vAlign w:val="center"/>
          </w:tcPr>
          <w:p w14:paraId="1C85227D"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93" w:type="pct"/>
            <w:vAlign w:val="center"/>
          </w:tcPr>
          <w:p w14:paraId="3A88C930"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4.2015**</w:t>
            </w:r>
          </w:p>
        </w:tc>
        <w:tc>
          <w:tcPr>
            <w:tcW w:w="339" w:type="pct"/>
            <w:vAlign w:val="center"/>
          </w:tcPr>
          <w:p w14:paraId="2C9AFD9F"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0.016</w:t>
            </w:r>
          </w:p>
        </w:tc>
        <w:tc>
          <w:tcPr>
            <w:tcW w:w="508" w:type="pct"/>
            <w:vAlign w:val="center"/>
          </w:tcPr>
          <w:p w14:paraId="510085AB"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2.3947*</w:t>
            </w:r>
          </w:p>
        </w:tc>
        <w:tc>
          <w:tcPr>
            <w:tcW w:w="339" w:type="pct"/>
            <w:vAlign w:val="center"/>
          </w:tcPr>
          <w:p w14:paraId="1C14C0D9"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0.094</w:t>
            </w:r>
          </w:p>
        </w:tc>
      </w:tr>
      <w:tr w:rsidR="00381735" w14:paraId="7259C71D" w14:textId="77777777">
        <w:trPr>
          <w:trHeight w:val="20"/>
        </w:trPr>
        <w:tc>
          <w:tcPr>
            <w:tcW w:w="586" w:type="pct"/>
            <w:vAlign w:val="center"/>
          </w:tcPr>
          <w:p w14:paraId="5067AEC8" w14:textId="77777777" w:rsidR="004F3782" w:rsidRDefault="00481EB1" w:rsidP="003D23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Dahod</w:t>
            </w:r>
          </w:p>
        </w:tc>
        <w:tc>
          <w:tcPr>
            <w:tcW w:w="600" w:type="pct"/>
            <w:vAlign w:val="center"/>
          </w:tcPr>
          <w:p w14:paraId="34A91708"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0.9714</w:t>
            </w:r>
          </w:p>
        </w:tc>
        <w:tc>
          <w:tcPr>
            <w:tcW w:w="377" w:type="pct"/>
            <w:vAlign w:val="center"/>
          </w:tcPr>
          <w:p w14:paraId="55E568B8"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0.380</w:t>
            </w:r>
          </w:p>
        </w:tc>
        <w:tc>
          <w:tcPr>
            <w:tcW w:w="471" w:type="pct"/>
            <w:vAlign w:val="center"/>
          </w:tcPr>
          <w:p w14:paraId="5CEF3A60"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0.8046</w:t>
            </w:r>
          </w:p>
        </w:tc>
        <w:tc>
          <w:tcPr>
            <w:tcW w:w="339" w:type="pct"/>
            <w:vAlign w:val="center"/>
          </w:tcPr>
          <w:p w14:paraId="609F656A"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0.449</w:t>
            </w:r>
          </w:p>
        </w:tc>
        <w:tc>
          <w:tcPr>
            <w:tcW w:w="508" w:type="pct"/>
            <w:vAlign w:val="center"/>
          </w:tcPr>
          <w:p w14:paraId="5E028CF7"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1.2021</w:t>
            </w:r>
          </w:p>
        </w:tc>
        <w:tc>
          <w:tcPr>
            <w:tcW w:w="339" w:type="pct"/>
            <w:vAlign w:val="center"/>
          </w:tcPr>
          <w:p w14:paraId="22E6CA6E"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0.303</w:t>
            </w:r>
          </w:p>
        </w:tc>
        <w:tc>
          <w:tcPr>
            <w:tcW w:w="593" w:type="pct"/>
            <w:vAlign w:val="center"/>
          </w:tcPr>
          <w:p w14:paraId="0AF0AA9E"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9" w:type="pct"/>
            <w:vAlign w:val="center"/>
          </w:tcPr>
          <w:p w14:paraId="4DCE1BE8"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8" w:type="pct"/>
            <w:vAlign w:val="center"/>
          </w:tcPr>
          <w:p w14:paraId="77116912"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0.9216</w:t>
            </w:r>
          </w:p>
        </w:tc>
        <w:tc>
          <w:tcPr>
            <w:tcW w:w="339" w:type="pct"/>
            <w:vAlign w:val="center"/>
          </w:tcPr>
          <w:p w14:paraId="71F8D6EA"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0.399</w:t>
            </w:r>
          </w:p>
        </w:tc>
      </w:tr>
      <w:tr w:rsidR="00381735" w14:paraId="7B7F37F5" w14:textId="77777777">
        <w:trPr>
          <w:trHeight w:val="20"/>
        </w:trPr>
        <w:tc>
          <w:tcPr>
            <w:tcW w:w="586" w:type="pct"/>
            <w:vAlign w:val="center"/>
          </w:tcPr>
          <w:p w14:paraId="7938AA54" w14:textId="77777777" w:rsidR="004F3782" w:rsidRDefault="00481EB1" w:rsidP="003D23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Bhatapara</w:t>
            </w:r>
          </w:p>
        </w:tc>
        <w:tc>
          <w:tcPr>
            <w:tcW w:w="600" w:type="pct"/>
            <w:vAlign w:val="center"/>
          </w:tcPr>
          <w:p w14:paraId="0DEB5008"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0.999</w:t>
            </w:r>
          </w:p>
        </w:tc>
        <w:tc>
          <w:tcPr>
            <w:tcW w:w="377" w:type="pct"/>
            <w:vAlign w:val="center"/>
          </w:tcPr>
          <w:p w14:paraId="1769EB98"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0.370</w:t>
            </w:r>
          </w:p>
        </w:tc>
        <w:tc>
          <w:tcPr>
            <w:tcW w:w="471" w:type="pct"/>
            <w:vAlign w:val="center"/>
          </w:tcPr>
          <w:p w14:paraId="557FF1E5"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0.3235</w:t>
            </w:r>
          </w:p>
        </w:tc>
        <w:tc>
          <w:tcPr>
            <w:tcW w:w="339" w:type="pct"/>
            <w:vAlign w:val="center"/>
          </w:tcPr>
          <w:p w14:paraId="286FC991"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0.724</w:t>
            </w:r>
          </w:p>
        </w:tc>
        <w:tc>
          <w:tcPr>
            <w:tcW w:w="508" w:type="pct"/>
            <w:vAlign w:val="center"/>
          </w:tcPr>
          <w:p w14:paraId="63947E50"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0.3896</w:t>
            </w:r>
          </w:p>
        </w:tc>
        <w:tc>
          <w:tcPr>
            <w:tcW w:w="339" w:type="pct"/>
            <w:vAlign w:val="center"/>
          </w:tcPr>
          <w:p w14:paraId="52BEBD92"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0.677</w:t>
            </w:r>
          </w:p>
        </w:tc>
        <w:tc>
          <w:tcPr>
            <w:tcW w:w="593" w:type="pct"/>
            <w:vAlign w:val="center"/>
          </w:tcPr>
          <w:p w14:paraId="7A7B6333"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0.3896</w:t>
            </w:r>
          </w:p>
        </w:tc>
        <w:tc>
          <w:tcPr>
            <w:tcW w:w="339" w:type="pct"/>
            <w:vAlign w:val="center"/>
          </w:tcPr>
          <w:p w14:paraId="6A99A192"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0.677</w:t>
            </w:r>
          </w:p>
        </w:tc>
        <w:tc>
          <w:tcPr>
            <w:tcW w:w="508" w:type="pct"/>
            <w:vAlign w:val="center"/>
          </w:tcPr>
          <w:p w14:paraId="22D85C98"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39" w:type="pct"/>
            <w:vAlign w:val="center"/>
          </w:tcPr>
          <w:p w14:paraId="6165050A" w14:textId="77777777" w:rsidR="004F3782" w:rsidRDefault="00481EB1" w:rsidP="003D233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5A929E59" w14:textId="77777777" w:rsidR="004F3782" w:rsidRDefault="00481EB1" w:rsidP="00D5571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Source: Authors’ Own Calculations</w:t>
      </w:r>
    </w:p>
    <w:p w14:paraId="45D1AF59" w14:textId="77777777" w:rsidR="004F3782" w:rsidRDefault="00481E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N.B. </w:t>
      </w:r>
      <w:r>
        <w:rPr>
          <w:rFonts w:ascii="Times New Roman" w:hAnsi="Times New Roman" w:cs="Times New Roman"/>
          <w:sz w:val="24"/>
          <w:szCs w:val="24"/>
        </w:rPr>
        <w:t>* for 10</w:t>
      </w:r>
      <w:r w:rsidR="00BC2EB4">
        <w:rPr>
          <w:rFonts w:ascii="Times New Roman" w:hAnsi="Times New Roman" w:cs="Times New Roman"/>
          <w:sz w:val="24"/>
          <w:szCs w:val="24"/>
        </w:rPr>
        <w:t xml:space="preserve"> per cent</w:t>
      </w:r>
      <w:r>
        <w:rPr>
          <w:rFonts w:ascii="Times New Roman" w:hAnsi="Times New Roman" w:cs="Times New Roman"/>
          <w:sz w:val="24"/>
          <w:szCs w:val="24"/>
        </w:rPr>
        <w:t>, ** for 5</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and *** for 1</w:t>
      </w:r>
      <w:r w:rsidR="00BC2EB4">
        <w:rPr>
          <w:rFonts w:ascii="Times New Roman" w:hAnsi="Times New Roman" w:cs="Times New Roman"/>
          <w:sz w:val="24"/>
          <w:szCs w:val="24"/>
        </w:rPr>
        <w:t xml:space="preserve"> per cent</w:t>
      </w:r>
      <w:r>
        <w:rPr>
          <w:rFonts w:ascii="Times New Roman" w:hAnsi="Times New Roman" w:cs="Times New Roman"/>
          <w:sz w:val="24"/>
          <w:szCs w:val="24"/>
        </w:rPr>
        <w:t xml:space="preserve"> level of significance </w:t>
      </w:r>
    </w:p>
    <w:p w14:paraId="1840BC35" w14:textId="77777777" w:rsidR="004F3782" w:rsidRDefault="00481EB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Vector Error Correction Model (VECM)</w:t>
      </w:r>
      <w:r>
        <w:rPr>
          <w:rFonts w:ascii="Times New Roman" w:hAnsi="Times New Roman" w:cs="Times New Roman"/>
          <w:sz w:val="24"/>
          <w:szCs w:val="24"/>
        </w:rPr>
        <w:t xml:space="preserve"> </w:t>
      </w:r>
    </w:p>
    <w:p w14:paraId="0680ECB0" w14:textId="77777777" w:rsidR="003B7924" w:rsidRDefault="00481EB1" w:rsidP="003B79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From the table 10, The disequilibrium in the Kota, Sindhanur, and Dahod markets adjusts to equilibrium at rates of 32.5 per cent, 35.4 per cent, and 19.56 per cent, respectively. The VECM results also highlight short-term associations among certain markets</w:t>
      </w:r>
      <w:r>
        <w:rPr>
          <w:rFonts w:ascii="Times New Roman" w:hAnsi="Times New Roman" w:cs="Times New Roman"/>
          <w:sz w:val="24"/>
          <w:szCs w:val="24"/>
        </w:rPr>
        <w:t xml:space="preserve">. </w:t>
      </w:r>
    </w:p>
    <w:p w14:paraId="1B04CE97" w14:textId="77777777" w:rsidR="003B7924" w:rsidRDefault="00481EB1" w:rsidP="003B79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2A3451">
        <w:rPr>
          <w:rFonts w:ascii="Times New Roman" w:hAnsi="Times New Roman" w:cs="Times New Roman"/>
          <w:sz w:val="24"/>
          <w:szCs w:val="24"/>
        </w:rPr>
        <w:t>urrent prices of</w:t>
      </w:r>
      <w:r>
        <w:rPr>
          <w:rFonts w:ascii="Times New Roman" w:hAnsi="Times New Roman" w:cs="Times New Roman"/>
          <w:sz w:val="24"/>
          <w:szCs w:val="24"/>
        </w:rPr>
        <w:t xml:space="preserve"> Kota were affected negatively by its own and positively by Sindhanur and Dahod market </w:t>
      </w:r>
      <w:r w:rsidRPr="002A3451">
        <w:rPr>
          <w:rFonts w:ascii="Times New Roman" w:hAnsi="Times New Roman" w:cs="Times New Roman"/>
          <w:sz w:val="24"/>
          <w:szCs w:val="24"/>
        </w:rPr>
        <w:t>one month lag price</w:t>
      </w:r>
      <w:r>
        <w:rPr>
          <w:rFonts w:ascii="Times New Roman" w:hAnsi="Times New Roman" w:cs="Times New Roman"/>
          <w:sz w:val="24"/>
          <w:szCs w:val="24"/>
        </w:rPr>
        <w:t xml:space="preserve"> with </w:t>
      </w:r>
      <w:r w:rsidRPr="002A3451">
        <w:rPr>
          <w:rFonts w:ascii="Times New Roman" w:hAnsi="Times New Roman" w:cs="Times New Roman"/>
          <w:sz w:val="24"/>
          <w:szCs w:val="24"/>
        </w:rPr>
        <w:t xml:space="preserve">speed of convergence at </w:t>
      </w:r>
      <w:r>
        <w:rPr>
          <w:rFonts w:ascii="Times New Roman" w:hAnsi="Times New Roman" w:cs="Times New Roman"/>
          <w:sz w:val="24"/>
          <w:szCs w:val="24"/>
        </w:rPr>
        <w:t>42.60</w:t>
      </w:r>
      <w:r w:rsidRPr="002A3451">
        <w:rPr>
          <w:rFonts w:ascii="Times New Roman" w:hAnsi="Times New Roman" w:cs="Times New Roman"/>
          <w:sz w:val="24"/>
          <w:szCs w:val="24"/>
        </w:rPr>
        <w:t xml:space="preserve"> per cent</w:t>
      </w:r>
      <w:r>
        <w:rPr>
          <w:rFonts w:ascii="Times New Roman" w:hAnsi="Times New Roman" w:cs="Times New Roman"/>
          <w:sz w:val="24"/>
          <w:szCs w:val="24"/>
        </w:rPr>
        <w:t>, 17.36 per cent and 22.82 per cent respectively. Also affected by negatively by its o</w:t>
      </w:r>
      <w:r>
        <w:rPr>
          <w:rFonts w:ascii="Times New Roman" w:hAnsi="Times New Roman" w:cs="Times New Roman"/>
          <w:sz w:val="24"/>
          <w:szCs w:val="24"/>
        </w:rPr>
        <w:t xml:space="preserve">wn and positively by Sindhanur market two months lag price with </w:t>
      </w:r>
      <w:r w:rsidRPr="002A3451">
        <w:rPr>
          <w:rFonts w:ascii="Times New Roman" w:hAnsi="Times New Roman" w:cs="Times New Roman"/>
          <w:sz w:val="24"/>
          <w:szCs w:val="24"/>
        </w:rPr>
        <w:t xml:space="preserve">speed of convergence at </w:t>
      </w:r>
      <w:r>
        <w:rPr>
          <w:rFonts w:ascii="Times New Roman" w:hAnsi="Times New Roman" w:cs="Times New Roman"/>
          <w:sz w:val="24"/>
          <w:szCs w:val="24"/>
        </w:rPr>
        <w:t>19.65</w:t>
      </w:r>
      <w:r w:rsidRPr="002A3451">
        <w:rPr>
          <w:rFonts w:ascii="Times New Roman" w:hAnsi="Times New Roman" w:cs="Times New Roman"/>
          <w:sz w:val="24"/>
          <w:szCs w:val="24"/>
        </w:rPr>
        <w:t xml:space="preserve"> per cent</w:t>
      </w:r>
      <w:r>
        <w:rPr>
          <w:rFonts w:ascii="Times New Roman" w:hAnsi="Times New Roman" w:cs="Times New Roman"/>
          <w:sz w:val="24"/>
          <w:szCs w:val="24"/>
        </w:rPr>
        <w:t xml:space="preserve"> and 17.09 per cent respectively. The equation for Kota is mentioned below:</w:t>
      </w:r>
    </w:p>
    <w:p w14:paraId="2276489B" w14:textId="77777777" w:rsidR="003B7924" w:rsidRPr="00201D5B" w:rsidRDefault="00481EB1" w:rsidP="003B7924">
      <w:pPr>
        <w:spacing w:after="0" w:line="360" w:lineRule="auto"/>
        <w:jc w:val="both"/>
        <w:rPr>
          <w:rFonts w:ascii="Times New Roman" w:hAnsi="Times New Roman" w:cs="Times New Roman"/>
          <w:b/>
          <w:bCs/>
          <w:sz w:val="24"/>
          <w:szCs w:val="24"/>
        </w:rPr>
      </w:pPr>
      <w:r w:rsidRPr="00201D5B">
        <w:rPr>
          <w:rFonts w:ascii="Times New Roman" w:hAnsi="Times New Roman" w:cs="Times New Roman"/>
          <w:b/>
          <w:bCs/>
          <w:sz w:val="24"/>
          <w:szCs w:val="24"/>
        </w:rPr>
        <w:lastRenderedPageBreak/>
        <w:t>Kota = -0.3256*ECT - 0.4260*Kota</w:t>
      </w:r>
      <w:r w:rsidRPr="00201D5B">
        <w:rPr>
          <w:rFonts w:ascii="Times New Roman" w:hAnsi="Times New Roman" w:cs="Times New Roman"/>
          <w:b/>
          <w:bCs/>
          <w:sz w:val="24"/>
          <w:szCs w:val="24"/>
          <w:vertAlign w:val="subscript"/>
        </w:rPr>
        <w:t>(t-1)</w:t>
      </w:r>
      <w:r w:rsidRPr="00201D5B">
        <w:rPr>
          <w:rFonts w:ascii="Times New Roman" w:hAnsi="Times New Roman" w:cs="Times New Roman"/>
          <w:b/>
          <w:bCs/>
          <w:sz w:val="24"/>
          <w:szCs w:val="24"/>
        </w:rPr>
        <w:t xml:space="preserve"> + 0.2282*Sindhanur</w:t>
      </w:r>
      <w:r w:rsidRPr="00201D5B">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+ 0.1736*Dahod</w:t>
      </w:r>
      <w:r>
        <w:rPr>
          <w:rFonts w:ascii="Times New Roman" w:hAnsi="Times New Roman" w:cs="Times New Roman"/>
          <w:b/>
          <w:bCs/>
          <w:sz w:val="24"/>
          <w:szCs w:val="24"/>
          <w:vertAlign w:val="subscript"/>
        </w:rPr>
        <w:t>(t</w:t>
      </w:r>
      <w:r>
        <w:rPr>
          <w:rFonts w:ascii="Times New Roman" w:hAnsi="Times New Roman" w:cs="Times New Roman"/>
          <w:b/>
          <w:bCs/>
          <w:sz w:val="24"/>
          <w:szCs w:val="24"/>
          <w:vertAlign w:val="subscript"/>
        </w:rPr>
        <w:t>-1)</w:t>
      </w:r>
      <w:r w:rsidRPr="00201D5B">
        <w:rPr>
          <w:rFonts w:ascii="Times New Roman" w:hAnsi="Times New Roman" w:cs="Times New Roman"/>
          <w:b/>
          <w:bCs/>
          <w:sz w:val="24"/>
          <w:szCs w:val="24"/>
        </w:rPr>
        <w:t xml:space="preserve"> - 0.1965*Kota</w:t>
      </w:r>
      <w:r w:rsidRPr="00201D5B">
        <w:rPr>
          <w:rFonts w:ascii="Times New Roman" w:hAnsi="Times New Roman" w:cs="Times New Roman"/>
          <w:b/>
          <w:bCs/>
          <w:sz w:val="24"/>
          <w:szCs w:val="24"/>
          <w:vertAlign w:val="subscript"/>
        </w:rPr>
        <w:t xml:space="preserve">(t-2) </w:t>
      </w:r>
      <w:r w:rsidRPr="00201D5B">
        <w:rPr>
          <w:rFonts w:ascii="Times New Roman" w:hAnsi="Times New Roman" w:cs="Times New Roman"/>
          <w:b/>
          <w:bCs/>
          <w:sz w:val="24"/>
          <w:szCs w:val="24"/>
        </w:rPr>
        <w:t>+ 0.1709* Sindhanur</w:t>
      </w:r>
      <w:r w:rsidRPr="00201D5B">
        <w:rPr>
          <w:rFonts w:ascii="Times New Roman" w:hAnsi="Times New Roman" w:cs="Times New Roman"/>
          <w:b/>
          <w:bCs/>
          <w:sz w:val="24"/>
          <w:szCs w:val="24"/>
          <w:vertAlign w:val="subscript"/>
        </w:rPr>
        <w:t>(t-2)</w:t>
      </w:r>
    </w:p>
    <w:p w14:paraId="2ECC1C4E" w14:textId="77777777" w:rsidR="003B7924" w:rsidRDefault="00481EB1" w:rsidP="003B792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2A3451">
        <w:rPr>
          <w:rFonts w:ascii="Times New Roman" w:hAnsi="Times New Roman" w:cs="Times New Roman"/>
          <w:sz w:val="24"/>
          <w:szCs w:val="24"/>
        </w:rPr>
        <w:t>urrent prices of</w:t>
      </w:r>
      <w:r>
        <w:rPr>
          <w:rFonts w:ascii="Times New Roman" w:hAnsi="Times New Roman" w:cs="Times New Roman"/>
          <w:sz w:val="24"/>
          <w:szCs w:val="24"/>
        </w:rPr>
        <w:t xml:space="preserve"> Attabira were affected negatively by its own, Sindhanur and Dahod market </w:t>
      </w:r>
      <w:r w:rsidRPr="002A3451">
        <w:rPr>
          <w:rFonts w:ascii="Times New Roman" w:hAnsi="Times New Roman" w:cs="Times New Roman"/>
          <w:sz w:val="24"/>
          <w:szCs w:val="24"/>
        </w:rPr>
        <w:t>one month lag price</w:t>
      </w:r>
      <w:r>
        <w:rPr>
          <w:rFonts w:ascii="Times New Roman" w:hAnsi="Times New Roman" w:cs="Times New Roman"/>
          <w:sz w:val="24"/>
          <w:szCs w:val="24"/>
        </w:rPr>
        <w:t xml:space="preserve"> with </w:t>
      </w:r>
      <w:r w:rsidRPr="002A3451">
        <w:rPr>
          <w:rFonts w:ascii="Times New Roman" w:hAnsi="Times New Roman" w:cs="Times New Roman"/>
          <w:sz w:val="24"/>
          <w:szCs w:val="24"/>
        </w:rPr>
        <w:t xml:space="preserve">speed of convergence at </w:t>
      </w:r>
      <w:r>
        <w:rPr>
          <w:rFonts w:ascii="Times New Roman" w:hAnsi="Times New Roman" w:cs="Times New Roman"/>
          <w:sz w:val="24"/>
          <w:szCs w:val="24"/>
        </w:rPr>
        <w:t>63.67</w:t>
      </w:r>
      <w:r w:rsidRPr="002A3451">
        <w:rPr>
          <w:rFonts w:ascii="Times New Roman" w:hAnsi="Times New Roman" w:cs="Times New Roman"/>
          <w:sz w:val="24"/>
          <w:szCs w:val="24"/>
        </w:rPr>
        <w:t xml:space="preserve"> per cent</w:t>
      </w:r>
      <w:r>
        <w:rPr>
          <w:rFonts w:ascii="Times New Roman" w:hAnsi="Times New Roman" w:cs="Times New Roman"/>
          <w:sz w:val="24"/>
          <w:szCs w:val="24"/>
        </w:rPr>
        <w:t>, 22.40 per cent and 24.52 per cent respectively. Also</w:t>
      </w:r>
      <w:r>
        <w:rPr>
          <w:rFonts w:ascii="Times New Roman" w:hAnsi="Times New Roman" w:cs="Times New Roman"/>
          <w:sz w:val="24"/>
          <w:szCs w:val="24"/>
        </w:rPr>
        <w:t xml:space="preserve"> affected by negatively by its own Sindhanur and Dahod market two months lag price with </w:t>
      </w:r>
      <w:r w:rsidRPr="002A3451">
        <w:rPr>
          <w:rFonts w:ascii="Times New Roman" w:hAnsi="Times New Roman" w:cs="Times New Roman"/>
          <w:sz w:val="24"/>
          <w:szCs w:val="24"/>
        </w:rPr>
        <w:t xml:space="preserve">speed of convergence at </w:t>
      </w:r>
      <w:r>
        <w:rPr>
          <w:rFonts w:ascii="Times New Roman" w:hAnsi="Times New Roman" w:cs="Times New Roman"/>
          <w:sz w:val="24"/>
          <w:szCs w:val="24"/>
        </w:rPr>
        <w:t>32.97</w:t>
      </w:r>
      <w:r w:rsidRPr="002A3451">
        <w:rPr>
          <w:rFonts w:ascii="Times New Roman" w:hAnsi="Times New Roman" w:cs="Times New Roman"/>
          <w:sz w:val="24"/>
          <w:szCs w:val="24"/>
        </w:rPr>
        <w:t xml:space="preserve"> per cent</w:t>
      </w:r>
      <w:r>
        <w:rPr>
          <w:rFonts w:ascii="Times New Roman" w:hAnsi="Times New Roman" w:cs="Times New Roman"/>
          <w:sz w:val="24"/>
          <w:szCs w:val="24"/>
        </w:rPr>
        <w:t>, 20.06 per cent and 14.42 per cent respectively. The equation for Attabira is mentioned below:</w:t>
      </w:r>
    </w:p>
    <w:p w14:paraId="6766A670" w14:textId="77777777" w:rsidR="003B7924" w:rsidRPr="00201D5B" w:rsidRDefault="00481EB1" w:rsidP="003B7924">
      <w:pPr>
        <w:spacing w:after="0" w:line="360" w:lineRule="auto"/>
        <w:jc w:val="both"/>
        <w:rPr>
          <w:rFonts w:ascii="Times New Roman" w:hAnsi="Times New Roman" w:cs="Times New Roman"/>
          <w:b/>
          <w:bCs/>
          <w:sz w:val="24"/>
          <w:szCs w:val="24"/>
        </w:rPr>
      </w:pPr>
      <w:r w:rsidRPr="00201D5B">
        <w:rPr>
          <w:rFonts w:ascii="Times New Roman" w:hAnsi="Times New Roman" w:cs="Times New Roman"/>
          <w:b/>
          <w:bCs/>
          <w:sz w:val="24"/>
          <w:szCs w:val="24"/>
        </w:rPr>
        <w:t>Attabira = - 0.6376*Attabira</w:t>
      </w:r>
      <w:r w:rsidRPr="00201D5B">
        <w:rPr>
          <w:rFonts w:ascii="Times New Roman" w:hAnsi="Times New Roman" w:cs="Times New Roman"/>
          <w:b/>
          <w:bCs/>
          <w:sz w:val="24"/>
          <w:szCs w:val="24"/>
          <w:vertAlign w:val="subscript"/>
        </w:rPr>
        <w:t xml:space="preserve">(t-1) </w:t>
      </w:r>
      <w:r w:rsidRPr="00201D5B">
        <w:rPr>
          <w:rFonts w:ascii="Times New Roman" w:hAnsi="Times New Roman" w:cs="Times New Roman"/>
          <w:b/>
          <w:bCs/>
          <w:sz w:val="24"/>
          <w:szCs w:val="24"/>
        </w:rPr>
        <w:t>- 0.2240*Sindhanur</w:t>
      </w:r>
      <w:r w:rsidRPr="00201D5B">
        <w:rPr>
          <w:rFonts w:ascii="Times New Roman" w:hAnsi="Times New Roman" w:cs="Times New Roman"/>
          <w:b/>
          <w:bCs/>
          <w:sz w:val="24"/>
          <w:szCs w:val="24"/>
          <w:vertAlign w:val="subscript"/>
        </w:rPr>
        <w:t xml:space="preserve">(t-1) </w:t>
      </w:r>
      <w:r w:rsidRPr="00201D5B">
        <w:rPr>
          <w:rFonts w:ascii="Times New Roman" w:hAnsi="Times New Roman" w:cs="Times New Roman"/>
          <w:b/>
          <w:bCs/>
          <w:sz w:val="24"/>
          <w:szCs w:val="24"/>
        </w:rPr>
        <w:t>- 0.2451*Dahod</w:t>
      </w:r>
      <w:r w:rsidRPr="00201D5B">
        <w:rPr>
          <w:rFonts w:ascii="Times New Roman" w:hAnsi="Times New Roman" w:cs="Times New Roman"/>
          <w:b/>
          <w:bCs/>
          <w:sz w:val="24"/>
          <w:szCs w:val="24"/>
          <w:vertAlign w:val="subscript"/>
        </w:rPr>
        <w:t xml:space="preserve">(t-1) </w:t>
      </w:r>
      <w:r w:rsidRPr="00201D5B">
        <w:rPr>
          <w:rFonts w:ascii="Times New Roman" w:hAnsi="Times New Roman" w:cs="Times New Roman"/>
          <w:b/>
          <w:bCs/>
          <w:sz w:val="24"/>
          <w:szCs w:val="24"/>
        </w:rPr>
        <w:t>-0.32978*Attabira</w:t>
      </w:r>
      <w:r w:rsidRPr="00201D5B">
        <w:rPr>
          <w:rFonts w:ascii="Times New Roman" w:hAnsi="Times New Roman" w:cs="Times New Roman"/>
          <w:b/>
          <w:bCs/>
          <w:sz w:val="24"/>
          <w:szCs w:val="24"/>
          <w:vertAlign w:val="subscript"/>
        </w:rPr>
        <w:t xml:space="preserve">(t-2) </w:t>
      </w:r>
      <w:r w:rsidRPr="00201D5B">
        <w:rPr>
          <w:rFonts w:ascii="Times New Roman" w:hAnsi="Times New Roman" w:cs="Times New Roman"/>
          <w:b/>
          <w:bCs/>
          <w:sz w:val="24"/>
          <w:szCs w:val="24"/>
        </w:rPr>
        <w:t>- 0.2006*Sindhanur</w:t>
      </w:r>
      <w:r w:rsidRPr="00201D5B">
        <w:rPr>
          <w:rFonts w:ascii="Times New Roman" w:hAnsi="Times New Roman" w:cs="Times New Roman"/>
          <w:b/>
          <w:bCs/>
          <w:sz w:val="24"/>
          <w:szCs w:val="24"/>
          <w:vertAlign w:val="subscript"/>
        </w:rPr>
        <w:t xml:space="preserve">(t-2) </w:t>
      </w:r>
      <w:r w:rsidRPr="00201D5B">
        <w:rPr>
          <w:rFonts w:ascii="Times New Roman" w:hAnsi="Times New Roman" w:cs="Times New Roman"/>
          <w:b/>
          <w:bCs/>
          <w:sz w:val="24"/>
          <w:szCs w:val="24"/>
        </w:rPr>
        <w:t>- 0.1442*Dahod</w:t>
      </w:r>
      <w:r w:rsidRPr="00201D5B">
        <w:rPr>
          <w:rFonts w:ascii="Times New Roman" w:hAnsi="Times New Roman" w:cs="Times New Roman"/>
          <w:b/>
          <w:bCs/>
          <w:sz w:val="24"/>
          <w:szCs w:val="24"/>
          <w:vertAlign w:val="subscript"/>
        </w:rPr>
        <w:t>(t-2)</w:t>
      </w:r>
    </w:p>
    <w:p w14:paraId="680C092D" w14:textId="77777777" w:rsidR="003B7924" w:rsidRPr="0013510B" w:rsidRDefault="00481EB1" w:rsidP="003B79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3510B">
        <w:rPr>
          <w:rFonts w:ascii="Times New Roman" w:hAnsi="Times New Roman" w:cs="Times New Roman"/>
          <w:sz w:val="24"/>
          <w:szCs w:val="24"/>
        </w:rPr>
        <w:t xml:space="preserve">Current prices of Sindhanur were affected </w:t>
      </w:r>
      <w:r>
        <w:rPr>
          <w:rFonts w:ascii="Times New Roman" w:hAnsi="Times New Roman" w:cs="Times New Roman"/>
          <w:sz w:val="24"/>
          <w:szCs w:val="24"/>
        </w:rPr>
        <w:t>posi</w:t>
      </w:r>
      <w:r w:rsidRPr="0013510B">
        <w:rPr>
          <w:rFonts w:ascii="Times New Roman" w:hAnsi="Times New Roman" w:cs="Times New Roman"/>
          <w:sz w:val="24"/>
          <w:szCs w:val="24"/>
        </w:rPr>
        <w:t xml:space="preserve">tively by Kota and Dahod market one month lag price with speed of convergence at </w:t>
      </w:r>
      <w:r>
        <w:rPr>
          <w:rFonts w:ascii="Times New Roman" w:hAnsi="Times New Roman" w:cs="Times New Roman"/>
          <w:sz w:val="24"/>
          <w:szCs w:val="24"/>
        </w:rPr>
        <w:t>56.24</w:t>
      </w:r>
      <w:r w:rsidRPr="0013510B">
        <w:rPr>
          <w:rFonts w:ascii="Times New Roman" w:hAnsi="Times New Roman" w:cs="Times New Roman"/>
          <w:sz w:val="24"/>
          <w:szCs w:val="24"/>
        </w:rPr>
        <w:t xml:space="preserve"> per cent and </w:t>
      </w:r>
      <w:r>
        <w:rPr>
          <w:rFonts w:ascii="Times New Roman" w:hAnsi="Times New Roman" w:cs="Times New Roman"/>
          <w:sz w:val="24"/>
          <w:szCs w:val="24"/>
        </w:rPr>
        <w:t>33.05</w:t>
      </w:r>
      <w:r w:rsidRPr="0013510B">
        <w:rPr>
          <w:rFonts w:ascii="Times New Roman" w:hAnsi="Times New Roman" w:cs="Times New Roman"/>
          <w:sz w:val="24"/>
          <w:szCs w:val="24"/>
        </w:rPr>
        <w:t xml:space="preserve"> per cent respectively. Also affected by </w:t>
      </w:r>
      <w:r>
        <w:rPr>
          <w:rFonts w:ascii="Times New Roman" w:hAnsi="Times New Roman" w:cs="Times New Roman"/>
          <w:sz w:val="24"/>
          <w:szCs w:val="24"/>
        </w:rPr>
        <w:t>posi</w:t>
      </w:r>
      <w:r w:rsidRPr="0013510B">
        <w:rPr>
          <w:rFonts w:ascii="Times New Roman" w:hAnsi="Times New Roman" w:cs="Times New Roman"/>
          <w:sz w:val="24"/>
          <w:szCs w:val="24"/>
        </w:rPr>
        <w:t xml:space="preserve">tively by </w:t>
      </w:r>
      <w:r>
        <w:rPr>
          <w:rFonts w:ascii="Times New Roman" w:hAnsi="Times New Roman" w:cs="Times New Roman"/>
          <w:sz w:val="24"/>
          <w:szCs w:val="24"/>
        </w:rPr>
        <w:t>Kota</w:t>
      </w:r>
      <w:r w:rsidRPr="0013510B">
        <w:rPr>
          <w:rFonts w:ascii="Times New Roman" w:hAnsi="Times New Roman" w:cs="Times New Roman"/>
          <w:sz w:val="24"/>
          <w:szCs w:val="24"/>
        </w:rPr>
        <w:t xml:space="preserve"> and Dahod market two months lag price with speed of convergence at </w:t>
      </w:r>
      <w:r>
        <w:rPr>
          <w:rFonts w:ascii="Times New Roman" w:hAnsi="Times New Roman" w:cs="Times New Roman"/>
          <w:sz w:val="24"/>
          <w:szCs w:val="24"/>
        </w:rPr>
        <w:t>40.30</w:t>
      </w:r>
      <w:r w:rsidRPr="0013510B">
        <w:rPr>
          <w:rFonts w:ascii="Times New Roman" w:hAnsi="Times New Roman" w:cs="Times New Roman"/>
          <w:sz w:val="24"/>
          <w:szCs w:val="24"/>
        </w:rPr>
        <w:t xml:space="preserve"> per cent, and 14.</w:t>
      </w:r>
      <w:r>
        <w:rPr>
          <w:rFonts w:ascii="Times New Roman" w:hAnsi="Times New Roman" w:cs="Times New Roman"/>
          <w:sz w:val="24"/>
          <w:szCs w:val="24"/>
        </w:rPr>
        <w:t>56</w:t>
      </w:r>
      <w:r w:rsidRPr="0013510B">
        <w:rPr>
          <w:rFonts w:ascii="Times New Roman" w:hAnsi="Times New Roman" w:cs="Times New Roman"/>
          <w:sz w:val="24"/>
          <w:szCs w:val="24"/>
        </w:rPr>
        <w:t xml:space="preserve"> per cent respectively. The equation for </w:t>
      </w:r>
      <w:r w:rsidRPr="00D60340">
        <w:rPr>
          <w:rFonts w:ascii="Times New Roman" w:hAnsi="Times New Roman" w:cs="Times New Roman"/>
          <w:sz w:val="24"/>
          <w:szCs w:val="24"/>
        </w:rPr>
        <w:t>Sindhanur</w:t>
      </w:r>
      <w:r w:rsidRPr="0013510B">
        <w:rPr>
          <w:rFonts w:ascii="Times New Roman" w:hAnsi="Times New Roman" w:cs="Times New Roman"/>
          <w:sz w:val="24"/>
          <w:szCs w:val="24"/>
        </w:rPr>
        <w:t xml:space="preserve"> is mentioned below:</w:t>
      </w:r>
    </w:p>
    <w:p w14:paraId="30C8F22B" w14:textId="77777777" w:rsidR="003B7924" w:rsidRDefault="00481EB1" w:rsidP="003B7924">
      <w:pPr>
        <w:spacing w:after="0" w:line="360" w:lineRule="auto"/>
        <w:jc w:val="both"/>
        <w:rPr>
          <w:rFonts w:ascii="Times New Roman" w:hAnsi="Times New Roman" w:cs="Times New Roman"/>
          <w:b/>
          <w:bCs/>
          <w:sz w:val="24"/>
          <w:szCs w:val="24"/>
          <w:vertAlign w:val="subscript"/>
        </w:rPr>
      </w:pPr>
      <w:r w:rsidRPr="00D60340">
        <w:rPr>
          <w:rFonts w:ascii="Times New Roman" w:hAnsi="Times New Roman" w:cs="Times New Roman"/>
          <w:b/>
          <w:bCs/>
          <w:sz w:val="24"/>
          <w:szCs w:val="24"/>
        </w:rPr>
        <w:t>Sindhanur = -0</w:t>
      </w:r>
      <w:r w:rsidRPr="00D60340">
        <w:rPr>
          <w:rFonts w:ascii="Times New Roman" w:hAnsi="Times New Roman" w:cs="Times New Roman"/>
          <w:b/>
          <w:bCs/>
          <w:sz w:val="24"/>
          <w:szCs w:val="24"/>
        </w:rPr>
        <w:t>.3541*ECT</w:t>
      </w:r>
      <w:r>
        <w:rPr>
          <w:rFonts w:ascii="Times New Roman" w:hAnsi="Times New Roman" w:cs="Times New Roman"/>
          <w:b/>
          <w:bCs/>
          <w:sz w:val="24"/>
          <w:szCs w:val="24"/>
        </w:rPr>
        <w:t xml:space="preserve"> + </w:t>
      </w:r>
      <w:r w:rsidRPr="00D60340">
        <w:rPr>
          <w:rFonts w:ascii="Times New Roman" w:hAnsi="Times New Roman" w:cs="Times New Roman"/>
          <w:b/>
          <w:bCs/>
          <w:sz w:val="24"/>
          <w:szCs w:val="24"/>
        </w:rPr>
        <w:t>0.5624</w:t>
      </w:r>
      <w:r>
        <w:rPr>
          <w:rFonts w:ascii="Times New Roman" w:hAnsi="Times New Roman" w:cs="Times New Roman"/>
          <w:b/>
          <w:bCs/>
          <w:sz w:val="24"/>
          <w:szCs w:val="24"/>
        </w:rPr>
        <w:t>*Kota</w:t>
      </w:r>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w:t>
      </w:r>
      <w:r w:rsidRPr="00D0217E">
        <w:rPr>
          <w:rFonts w:ascii="Times New Roman" w:hAnsi="Times New Roman" w:cs="Times New Roman"/>
          <w:b/>
          <w:bCs/>
          <w:sz w:val="24"/>
          <w:szCs w:val="24"/>
        </w:rPr>
        <w:t>0.3305</w:t>
      </w:r>
      <w:r>
        <w:rPr>
          <w:rFonts w:ascii="Times New Roman" w:hAnsi="Times New Roman" w:cs="Times New Roman"/>
          <w:b/>
          <w:bCs/>
          <w:sz w:val="24"/>
          <w:szCs w:val="24"/>
        </w:rPr>
        <w:t>*Dahod</w:t>
      </w:r>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w:t>
      </w:r>
      <w:r w:rsidRPr="00D0217E">
        <w:rPr>
          <w:rFonts w:ascii="Times New Roman" w:hAnsi="Times New Roman" w:cs="Times New Roman"/>
          <w:b/>
          <w:bCs/>
          <w:sz w:val="24"/>
          <w:szCs w:val="24"/>
        </w:rPr>
        <w:t>0.4030</w:t>
      </w:r>
      <w:r>
        <w:rPr>
          <w:rFonts w:ascii="Times New Roman" w:hAnsi="Times New Roman" w:cs="Times New Roman"/>
          <w:b/>
          <w:bCs/>
          <w:sz w:val="24"/>
          <w:szCs w:val="24"/>
        </w:rPr>
        <w:t>*Kota</w:t>
      </w:r>
      <w:r>
        <w:rPr>
          <w:rFonts w:ascii="Times New Roman" w:hAnsi="Times New Roman" w:cs="Times New Roman"/>
          <w:b/>
          <w:bCs/>
          <w:sz w:val="24"/>
          <w:szCs w:val="24"/>
          <w:vertAlign w:val="subscript"/>
        </w:rPr>
        <w:t>(t-2)</w:t>
      </w:r>
      <w:r>
        <w:rPr>
          <w:rFonts w:ascii="Times New Roman" w:hAnsi="Times New Roman" w:cs="Times New Roman"/>
          <w:b/>
          <w:bCs/>
          <w:sz w:val="24"/>
          <w:szCs w:val="24"/>
        </w:rPr>
        <w:t xml:space="preserve"> + </w:t>
      </w:r>
      <w:r w:rsidRPr="00D0217E">
        <w:rPr>
          <w:rFonts w:ascii="Times New Roman" w:hAnsi="Times New Roman" w:cs="Times New Roman"/>
          <w:b/>
          <w:bCs/>
          <w:sz w:val="24"/>
          <w:szCs w:val="24"/>
        </w:rPr>
        <w:t>0.1456</w:t>
      </w:r>
      <w:r>
        <w:rPr>
          <w:rFonts w:ascii="Times New Roman" w:hAnsi="Times New Roman" w:cs="Times New Roman"/>
          <w:b/>
          <w:bCs/>
          <w:sz w:val="24"/>
          <w:szCs w:val="24"/>
        </w:rPr>
        <w:t>*Dahod</w:t>
      </w:r>
      <w:r>
        <w:rPr>
          <w:rFonts w:ascii="Times New Roman" w:hAnsi="Times New Roman" w:cs="Times New Roman"/>
          <w:b/>
          <w:bCs/>
          <w:sz w:val="24"/>
          <w:szCs w:val="24"/>
          <w:vertAlign w:val="subscript"/>
        </w:rPr>
        <w:t>(t-2)</w:t>
      </w:r>
    </w:p>
    <w:p w14:paraId="27FF27E6" w14:textId="77777777" w:rsidR="003B7924" w:rsidRDefault="00481EB1" w:rsidP="003B7924">
      <w:pPr>
        <w:spacing w:after="0" w:line="360" w:lineRule="auto"/>
        <w:jc w:val="both"/>
        <w:rPr>
          <w:rFonts w:ascii="Times New Roman" w:hAnsi="Times New Roman" w:cs="Times New Roman"/>
          <w:sz w:val="24"/>
          <w:szCs w:val="24"/>
        </w:rPr>
      </w:pPr>
      <w:r w:rsidRPr="00D0217E">
        <w:rPr>
          <w:rFonts w:ascii="Times New Roman" w:hAnsi="Times New Roman" w:cs="Times New Roman"/>
          <w:sz w:val="24"/>
          <w:szCs w:val="24"/>
        </w:rPr>
        <w:tab/>
        <w:t xml:space="preserve">Current prices of Dahod were affected </w:t>
      </w:r>
      <w:r>
        <w:rPr>
          <w:rFonts w:ascii="Times New Roman" w:hAnsi="Times New Roman" w:cs="Times New Roman"/>
          <w:sz w:val="24"/>
          <w:szCs w:val="24"/>
        </w:rPr>
        <w:t>nega</w:t>
      </w:r>
      <w:r w:rsidRPr="00D0217E">
        <w:rPr>
          <w:rFonts w:ascii="Times New Roman" w:hAnsi="Times New Roman" w:cs="Times New Roman"/>
          <w:sz w:val="24"/>
          <w:szCs w:val="24"/>
        </w:rPr>
        <w:t xml:space="preserve">tively by </w:t>
      </w:r>
      <w:r>
        <w:rPr>
          <w:rFonts w:ascii="Times New Roman" w:hAnsi="Times New Roman" w:cs="Times New Roman"/>
          <w:sz w:val="24"/>
          <w:szCs w:val="24"/>
        </w:rPr>
        <w:t xml:space="preserve">its own and positively by </w:t>
      </w:r>
      <w:r w:rsidRPr="00D0217E">
        <w:rPr>
          <w:rFonts w:ascii="Times New Roman" w:hAnsi="Times New Roman" w:cs="Times New Roman"/>
          <w:sz w:val="24"/>
          <w:szCs w:val="24"/>
        </w:rPr>
        <w:t>Kota and Sindhanur</w:t>
      </w:r>
      <w:r w:rsidRPr="002E13A2">
        <w:rPr>
          <w:rFonts w:ascii="Times New Roman" w:hAnsi="Times New Roman" w:cs="Times New Roman"/>
          <w:sz w:val="24"/>
          <w:szCs w:val="24"/>
        </w:rPr>
        <w:t xml:space="preserve"> </w:t>
      </w:r>
      <w:r w:rsidRPr="00D0217E">
        <w:rPr>
          <w:rFonts w:ascii="Times New Roman" w:hAnsi="Times New Roman" w:cs="Times New Roman"/>
          <w:sz w:val="24"/>
          <w:szCs w:val="24"/>
        </w:rPr>
        <w:t>market one month lag price with speed of convergence at 5</w:t>
      </w:r>
      <w:r>
        <w:rPr>
          <w:rFonts w:ascii="Times New Roman" w:hAnsi="Times New Roman" w:cs="Times New Roman"/>
          <w:sz w:val="24"/>
          <w:szCs w:val="24"/>
        </w:rPr>
        <w:t>2.83</w:t>
      </w:r>
      <w:r w:rsidRPr="00D0217E">
        <w:rPr>
          <w:rFonts w:ascii="Times New Roman" w:hAnsi="Times New Roman" w:cs="Times New Roman"/>
          <w:sz w:val="24"/>
          <w:szCs w:val="24"/>
        </w:rPr>
        <w:t xml:space="preserve"> per cent</w:t>
      </w:r>
      <w:r>
        <w:rPr>
          <w:rFonts w:ascii="Times New Roman" w:hAnsi="Times New Roman" w:cs="Times New Roman"/>
          <w:sz w:val="24"/>
          <w:szCs w:val="24"/>
        </w:rPr>
        <w:t>, 44.56 per cent</w:t>
      </w:r>
      <w:r w:rsidRPr="00D0217E">
        <w:rPr>
          <w:rFonts w:ascii="Times New Roman" w:hAnsi="Times New Roman" w:cs="Times New Roman"/>
          <w:sz w:val="24"/>
          <w:szCs w:val="24"/>
        </w:rPr>
        <w:t xml:space="preserve"> and </w:t>
      </w:r>
      <w:r>
        <w:rPr>
          <w:rFonts w:ascii="Times New Roman" w:hAnsi="Times New Roman" w:cs="Times New Roman"/>
          <w:sz w:val="24"/>
          <w:szCs w:val="24"/>
        </w:rPr>
        <w:t>24</w:t>
      </w:r>
      <w:r w:rsidRPr="00D0217E">
        <w:rPr>
          <w:rFonts w:ascii="Times New Roman" w:hAnsi="Times New Roman" w:cs="Times New Roman"/>
          <w:sz w:val="24"/>
          <w:szCs w:val="24"/>
        </w:rPr>
        <w:t>.0</w:t>
      </w:r>
      <w:r>
        <w:rPr>
          <w:rFonts w:ascii="Times New Roman" w:hAnsi="Times New Roman" w:cs="Times New Roman"/>
          <w:sz w:val="24"/>
          <w:szCs w:val="24"/>
        </w:rPr>
        <w:t>8</w:t>
      </w:r>
      <w:r w:rsidRPr="00D0217E">
        <w:rPr>
          <w:rFonts w:ascii="Times New Roman" w:hAnsi="Times New Roman" w:cs="Times New Roman"/>
          <w:sz w:val="24"/>
          <w:szCs w:val="24"/>
        </w:rPr>
        <w:t xml:space="preserve"> per cent respectively. Also affected by </w:t>
      </w:r>
      <w:r>
        <w:rPr>
          <w:rFonts w:ascii="Times New Roman" w:hAnsi="Times New Roman" w:cs="Times New Roman"/>
          <w:sz w:val="24"/>
          <w:szCs w:val="24"/>
        </w:rPr>
        <w:t>nega</w:t>
      </w:r>
      <w:r w:rsidRPr="00D0217E">
        <w:rPr>
          <w:rFonts w:ascii="Times New Roman" w:hAnsi="Times New Roman" w:cs="Times New Roman"/>
          <w:sz w:val="24"/>
          <w:szCs w:val="24"/>
        </w:rPr>
        <w:t xml:space="preserve">tively by </w:t>
      </w:r>
      <w:r>
        <w:rPr>
          <w:rFonts w:ascii="Times New Roman" w:hAnsi="Times New Roman" w:cs="Times New Roman"/>
          <w:sz w:val="24"/>
          <w:szCs w:val="24"/>
        </w:rPr>
        <w:t xml:space="preserve">its own </w:t>
      </w:r>
      <w:r w:rsidRPr="00D0217E">
        <w:rPr>
          <w:rFonts w:ascii="Times New Roman" w:hAnsi="Times New Roman" w:cs="Times New Roman"/>
          <w:sz w:val="24"/>
          <w:szCs w:val="24"/>
        </w:rPr>
        <w:t xml:space="preserve">and </w:t>
      </w:r>
      <w:r>
        <w:rPr>
          <w:rFonts w:ascii="Times New Roman" w:hAnsi="Times New Roman" w:cs="Times New Roman"/>
          <w:sz w:val="24"/>
          <w:szCs w:val="24"/>
        </w:rPr>
        <w:t xml:space="preserve">positively by </w:t>
      </w:r>
      <w:r w:rsidRPr="002E13A2">
        <w:rPr>
          <w:rFonts w:ascii="Times New Roman" w:hAnsi="Times New Roman" w:cs="Times New Roman"/>
          <w:sz w:val="24"/>
          <w:szCs w:val="24"/>
        </w:rPr>
        <w:t>Sindhanur</w:t>
      </w:r>
      <w:r w:rsidRPr="00D0217E">
        <w:rPr>
          <w:rFonts w:ascii="Times New Roman" w:hAnsi="Times New Roman" w:cs="Times New Roman"/>
          <w:sz w:val="24"/>
          <w:szCs w:val="24"/>
        </w:rPr>
        <w:t xml:space="preserve"> </w:t>
      </w:r>
      <w:r>
        <w:rPr>
          <w:rFonts w:ascii="Times New Roman" w:hAnsi="Times New Roman" w:cs="Times New Roman"/>
          <w:sz w:val="24"/>
          <w:szCs w:val="24"/>
        </w:rPr>
        <w:t>respectively</w:t>
      </w:r>
      <w:r w:rsidRPr="00D0217E">
        <w:rPr>
          <w:rFonts w:ascii="Times New Roman" w:hAnsi="Times New Roman" w:cs="Times New Roman"/>
          <w:sz w:val="24"/>
          <w:szCs w:val="24"/>
        </w:rPr>
        <w:t xml:space="preserve">. The equation for </w:t>
      </w:r>
      <w:r w:rsidRPr="002E13A2">
        <w:rPr>
          <w:rFonts w:ascii="Times New Roman" w:hAnsi="Times New Roman" w:cs="Times New Roman"/>
          <w:sz w:val="24"/>
          <w:szCs w:val="24"/>
        </w:rPr>
        <w:t>Dahod</w:t>
      </w:r>
      <w:r w:rsidRPr="00D0217E">
        <w:rPr>
          <w:rFonts w:ascii="Times New Roman" w:hAnsi="Times New Roman" w:cs="Times New Roman"/>
          <w:sz w:val="24"/>
          <w:szCs w:val="24"/>
        </w:rPr>
        <w:t xml:space="preserve"> is mentioned below:</w:t>
      </w:r>
    </w:p>
    <w:p w14:paraId="02AA78F3" w14:textId="77777777" w:rsidR="003B7924" w:rsidRDefault="00481EB1" w:rsidP="003D2333">
      <w:pPr>
        <w:spacing w:line="240" w:lineRule="auto"/>
        <w:jc w:val="both"/>
        <w:rPr>
          <w:rFonts w:ascii="Times New Roman" w:hAnsi="Times New Roman" w:cs="Times New Roman"/>
          <w:b/>
          <w:bCs/>
          <w:sz w:val="24"/>
          <w:szCs w:val="24"/>
          <w:vertAlign w:val="subscript"/>
        </w:rPr>
      </w:pPr>
      <w:r w:rsidRPr="002E13A2">
        <w:rPr>
          <w:rFonts w:ascii="Times New Roman" w:hAnsi="Times New Roman" w:cs="Times New Roman"/>
          <w:b/>
          <w:bCs/>
          <w:sz w:val="24"/>
          <w:szCs w:val="24"/>
        </w:rPr>
        <w:t>Dahod</w:t>
      </w:r>
      <w:r>
        <w:rPr>
          <w:rFonts w:ascii="Times New Roman" w:hAnsi="Times New Roman" w:cs="Times New Roman"/>
          <w:b/>
          <w:bCs/>
          <w:sz w:val="24"/>
          <w:szCs w:val="24"/>
        </w:rPr>
        <w:t xml:space="preserve"> = </w:t>
      </w:r>
      <w:r w:rsidRPr="002E13A2">
        <w:rPr>
          <w:rFonts w:ascii="Times New Roman" w:hAnsi="Times New Roman" w:cs="Times New Roman"/>
          <w:b/>
          <w:bCs/>
          <w:sz w:val="24"/>
          <w:szCs w:val="24"/>
        </w:rPr>
        <w:t>-</w:t>
      </w:r>
      <w:r>
        <w:rPr>
          <w:rFonts w:ascii="Times New Roman" w:hAnsi="Times New Roman" w:cs="Times New Roman"/>
          <w:b/>
          <w:bCs/>
          <w:sz w:val="24"/>
          <w:szCs w:val="24"/>
        </w:rPr>
        <w:t xml:space="preserve"> </w:t>
      </w:r>
      <w:r w:rsidRPr="002E13A2">
        <w:rPr>
          <w:rFonts w:ascii="Times New Roman" w:hAnsi="Times New Roman" w:cs="Times New Roman"/>
          <w:b/>
          <w:bCs/>
          <w:sz w:val="24"/>
          <w:szCs w:val="24"/>
        </w:rPr>
        <w:t>0.1956</w:t>
      </w:r>
      <w:r>
        <w:rPr>
          <w:rFonts w:ascii="Times New Roman" w:hAnsi="Times New Roman" w:cs="Times New Roman"/>
          <w:b/>
          <w:bCs/>
          <w:sz w:val="24"/>
          <w:szCs w:val="24"/>
        </w:rPr>
        <w:t>*ECT – 0.5283*Dahod</w:t>
      </w:r>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+ 0.4456*Kota</w:t>
      </w:r>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+ 0.2408* Sindhanur</w:t>
      </w:r>
      <w:r>
        <w:rPr>
          <w:rFonts w:ascii="Times New Roman" w:hAnsi="Times New Roman" w:cs="Times New Roman"/>
          <w:b/>
          <w:bCs/>
          <w:sz w:val="24"/>
          <w:szCs w:val="24"/>
          <w:vertAlign w:val="subscript"/>
        </w:rPr>
        <w:t>(t-</w:t>
      </w:r>
      <w:r>
        <w:rPr>
          <w:rFonts w:ascii="Times New Roman" w:hAnsi="Times New Roman" w:cs="Times New Roman"/>
          <w:b/>
          <w:bCs/>
          <w:sz w:val="24"/>
          <w:szCs w:val="24"/>
          <w:vertAlign w:val="subscript"/>
        </w:rPr>
        <w:t>1)</w:t>
      </w:r>
      <w:r>
        <w:rPr>
          <w:rFonts w:ascii="Times New Roman" w:hAnsi="Times New Roman" w:cs="Times New Roman"/>
          <w:b/>
          <w:bCs/>
          <w:sz w:val="24"/>
          <w:szCs w:val="24"/>
        </w:rPr>
        <w:t xml:space="preserve"> – 0.2777*Dahod</w:t>
      </w:r>
      <w:r>
        <w:rPr>
          <w:rFonts w:ascii="Times New Roman" w:hAnsi="Times New Roman" w:cs="Times New Roman"/>
          <w:b/>
          <w:bCs/>
          <w:sz w:val="24"/>
          <w:szCs w:val="24"/>
          <w:vertAlign w:val="subscript"/>
        </w:rPr>
        <w:t>(t-2)</w:t>
      </w:r>
      <w:r>
        <w:rPr>
          <w:rFonts w:ascii="Times New Roman" w:hAnsi="Times New Roman" w:cs="Times New Roman"/>
          <w:b/>
          <w:bCs/>
          <w:sz w:val="24"/>
          <w:szCs w:val="24"/>
        </w:rPr>
        <w:t xml:space="preserve"> + 0.2465*</w:t>
      </w:r>
      <w:r w:rsidRPr="005A6A17">
        <w:t xml:space="preserve"> </w:t>
      </w:r>
      <w:r w:rsidRPr="005A6A17">
        <w:rPr>
          <w:rFonts w:ascii="Times New Roman" w:hAnsi="Times New Roman" w:cs="Times New Roman"/>
          <w:b/>
          <w:bCs/>
          <w:sz w:val="24"/>
          <w:szCs w:val="24"/>
        </w:rPr>
        <w:t>Sindhanur</w:t>
      </w:r>
      <w:r>
        <w:rPr>
          <w:rFonts w:ascii="Times New Roman" w:hAnsi="Times New Roman" w:cs="Times New Roman"/>
          <w:b/>
          <w:bCs/>
          <w:sz w:val="24"/>
          <w:szCs w:val="24"/>
          <w:vertAlign w:val="subscript"/>
        </w:rPr>
        <w:t>(t-2)</w:t>
      </w:r>
    </w:p>
    <w:p w14:paraId="60EEC650" w14:textId="77777777" w:rsidR="003B7924" w:rsidRDefault="00481EB1" w:rsidP="003B792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vertAlign w:val="subscript"/>
        </w:rPr>
        <w:tab/>
      </w:r>
      <w:r w:rsidRPr="005A6A17">
        <w:rPr>
          <w:rFonts w:ascii="Times New Roman" w:hAnsi="Times New Roman" w:cs="Times New Roman"/>
          <w:sz w:val="24"/>
          <w:szCs w:val="24"/>
        </w:rPr>
        <w:t>Current prices of Bhatapara were affected</w:t>
      </w:r>
      <w:r>
        <w:rPr>
          <w:rFonts w:ascii="Times New Roman" w:hAnsi="Times New Roman" w:cs="Times New Roman"/>
          <w:sz w:val="24"/>
          <w:szCs w:val="24"/>
        </w:rPr>
        <w:t xml:space="preserve"> negatively by its own, Kota, Sindhanur</w:t>
      </w:r>
      <w:r w:rsidRPr="005A6A17">
        <w:rPr>
          <w:rFonts w:ascii="Times New Roman" w:hAnsi="Times New Roman" w:cs="Times New Roman"/>
          <w:sz w:val="24"/>
          <w:szCs w:val="24"/>
        </w:rPr>
        <w:t xml:space="preserve"> and Dahod market one month lag price with speed of convergence at </w:t>
      </w:r>
      <w:r>
        <w:rPr>
          <w:rFonts w:ascii="Times New Roman" w:hAnsi="Times New Roman" w:cs="Times New Roman"/>
          <w:sz w:val="24"/>
          <w:szCs w:val="24"/>
        </w:rPr>
        <w:t>68.12</w:t>
      </w:r>
      <w:r w:rsidRPr="005A6A17">
        <w:rPr>
          <w:rFonts w:ascii="Times New Roman" w:hAnsi="Times New Roman" w:cs="Times New Roman"/>
          <w:sz w:val="24"/>
          <w:szCs w:val="24"/>
        </w:rPr>
        <w:t xml:space="preserve"> per cent</w:t>
      </w:r>
      <w:r>
        <w:rPr>
          <w:rFonts w:ascii="Times New Roman" w:hAnsi="Times New Roman" w:cs="Times New Roman"/>
          <w:sz w:val="24"/>
          <w:szCs w:val="24"/>
        </w:rPr>
        <w:t>, 50.84 per cent, 62.57 per cent</w:t>
      </w:r>
      <w:r w:rsidRPr="005A6A17">
        <w:rPr>
          <w:rFonts w:ascii="Times New Roman" w:hAnsi="Times New Roman" w:cs="Times New Roman"/>
          <w:sz w:val="24"/>
          <w:szCs w:val="24"/>
        </w:rPr>
        <w:t xml:space="preserve"> and </w:t>
      </w:r>
      <w:r>
        <w:rPr>
          <w:rFonts w:ascii="Times New Roman" w:hAnsi="Times New Roman" w:cs="Times New Roman"/>
          <w:sz w:val="24"/>
          <w:szCs w:val="24"/>
        </w:rPr>
        <w:t>28.90</w:t>
      </w:r>
      <w:r w:rsidRPr="005A6A17">
        <w:rPr>
          <w:rFonts w:ascii="Times New Roman" w:hAnsi="Times New Roman" w:cs="Times New Roman"/>
          <w:sz w:val="24"/>
          <w:szCs w:val="24"/>
        </w:rPr>
        <w:t xml:space="preserve"> per cent respectively. Also affected by </w:t>
      </w:r>
      <w:r>
        <w:rPr>
          <w:rFonts w:ascii="Times New Roman" w:hAnsi="Times New Roman" w:cs="Times New Roman"/>
          <w:sz w:val="24"/>
          <w:szCs w:val="24"/>
        </w:rPr>
        <w:t>nega</w:t>
      </w:r>
      <w:r w:rsidRPr="005A6A17">
        <w:rPr>
          <w:rFonts w:ascii="Times New Roman" w:hAnsi="Times New Roman" w:cs="Times New Roman"/>
          <w:sz w:val="24"/>
          <w:szCs w:val="24"/>
        </w:rPr>
        <w:t>tively by</w:t>
      </w:r>
      <w:r>
        <w:rPr>
          <w:rFonts w:ascii="Times New Roman" w:hAnsi="Times New Roman" w:cs="Times New Roman"/>
          <w:sz w:val="24"/>
          <w:szCs w:val="24"/>
        </w:rPr>
        <w:t xml:space="preserve"> its own, Sindhanur</w:t>
      </w:r>
      <w:r w:rsidRPr="005A6A17">
        <w:rPr>
          <w:rFonts w:ascii="Times New Roman" w:hAnsi="Times New Roman" w:cs="Times New Roman"/>
          <w:sz w:val="24"/>
          <w:szCs w:val="24"/>
        </w:rPr>
        <w:t xml:space="preserve"> and Dahod market two months lag price with speed of convergence at </w:t>
      </w:r>
      <w:r>
        <w:rPr>
          <w:rFonts w:ascii="Times New Roman" w:hAnsi="Times New Roman" w:cs="Times New Roman"/>
          <w:sz w:val="24"/>
          <w:szCs w:val="24"/>
        </w:rPr>
        <w:t>39.78</w:t>
      </w:r>
      <w:r w:rsidRPr="005A6A17">
        <w:rPr>
          <w:rFonts w:ascii="Times New Roman" w:hAnsi="Times New Roman" w:cs="Times New Roman"/>
          <w:sz w:val="24"/>
          <w:szCs w:val="24"/>
        </w:rPr>
        <w:t xml:space="preserve"> per cent,</w:t>
      </w:r>
      <w:r>
        <w:rPr>
          <w:rFonts w:ascii="Times New Roman" w:hAnsi="Times New Roman" w:cs="Times New Roman"/>
          <w:sz w:val="24"/>
          <w:szCs w:val="24"/>
        </w:rPr>
        <w:t xml:space="preserve"> 26.26 per cent</w:t>
      </w:r>
      <w:r w:rsidRPr="005A6A17">
        <w:rPr>
          <w:rFonts w:ascii="Times New Roman" w:hAnsi="Times New Roman" w:cs="Times New Roman"/>
          <w:sz w:val="24"/>
          <w:szCs w:val="24"/>
        </w:rPr>
        <w:t xml:space="preserve"> and </w:t>
      </w:r>
      <w:r>
        <w:rPr>
          <w:rFonts w:ascii="Times New Roman" w:hAnsi="Times New Roman" w:cs="Times New Roman"/>
          <w:sz w:val="24"/>
          <w:szCs w:val="24"/>
        </w:rPr>
        <w:t>24.06</w:t>
      </w:r>
      <w:r w:rsidRPr="005A6A17">
        <w:rPr>
          <w:rFonts w:ascii="Times New Roman" w:hAnsi="Times New Roman" w:cs="Times New Roman"/>
          <w:sz w:val="24"/>
          <w:szCs w:val="24"/>
        </w:rPr>
        <w:t xml:space="preserve"> per cent respectively. The equation for Bhatapara is mentioned below:</w:t>
      </w:r>
    </w:p>
    <w:p w14:paraId="433AC235" w14:textId="77777777" w:rsidR="003B7924" w:rsidRPr="00395BEB" w:rsidRDefault="00481EB1" w:rsidP="003B7924">
      <w:pPr>
        <w:spacing w:line="240" w:lineRule="auto"/>
        <w:jc w:val="both"/>
        <w:rPr>
          <w:rFonts w:ascii="Times New Roman" w:hAnsi="Times New Roman" w:cs="Times New Roman"/>
          <w:b/>
          <w:bCs/>
          <w:sz w:val="24"/>
          <w:szCs w:val="24"/>
          <w:vertAlign w:val="subscript"/>
        </w:rPr>
      </w:pPr>
      <w:r w:rsidRPr="00FE762B">
        <w:rPr>
          <w:rFonts w:ascii="Times New Roman" w:hAnsi="Times New Roman" w:cs="Times New Roman"/>
          <w:b/>
          <w:bCs/>
          <w:sz w:val="24"/>
          <w:szCs w:val="24"/>
        </w:rPr>
        <w:t>Bhat</w:t>
      </w:r>
      <w:r w:rsidRPr="00FE762B">
        <w:rPr>
          <w:rFonts w:ascii="Times New Roman" w:hAnsi="Times New Roman" w:cs="Times New Roman"/>
          <w:b/>
          <w:bCs/>
          <w:sz w:val="24"/>
          <w:szCs w:val="24"/>
        </w:rPr>
        <w:t>apara</w:t>
      </w:r>
      <w:r>
        <w:rPr>
          <w:rFonts w:ascii="Times New Roman" w:hAnsi="Times New Roman" w:cs="Times New Roman"/>
          <w:b/>
          <w:bCs/>
          <w:sz w:val="24"/>
          <w:szCs w:val="24"/>
        </w:rPr>
        <w:t xml:space="preserve"> = -0.6812*</w:t>
      </w:r>
      <w:r w:rsidRPr="00FE762B">
        <w:rPr>
          <w:rFonts w:ascii="Times New Roman" w:hAnsi="Times New Roman" w:cs="Times New Roman"/>
          <w:b/>
          <w:bCs/>
          <w:sz w:val="24"/>
          <w:szCs w:val="24"/>
        </w:rPr>
        <w:t>Bhatapara</w:t>
      </w:r>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0.5084</w:t>
      </w:r>
      <w:r>
        <w:t>*</w:t>
      </w:r>
      <w:r w:rsidRPr="00FE762B">
        <w:rPr>
          <w:rFonts w:ascii="Times New Roman" w:hAnsi="Times New Roman" w:cs="Times New Roman"/>
          <w:b/>
          <w:bCs/>
          <w:sz w:val="24"/>
          <w:szCs w:val="24"/>
        </w:rPr>
        <w:t>Kota</w:t>
      </w:r>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0.6257*</w:t>
      </w:r>
      <w:r w:rsidRPr="00395BEB">
        <w:t xml:space="preserve"> </w:t>
      </w:r>
      <w:r w:rsidRPr="00395BEB">
        <w:rPr>
          <w:rFonts w:ascii="Times New Roman" w:hAnsi="Times New Roman" w:cs="Times New Roman"/>
          <w:b/>
          <w:bCs/>
          <w:sz w:val="24"/>
          <w:szCs w:val="24"/>
        </w:rPr>
        <w:t>Sindhanur</w:t>
      </w:r>
      <w:r>
        <w:rPr>
          <w:rFonts w:ascii="Times New Roman" w:hAnsi="Times New Roman" w:cs="Times New Roman"/>
          <w:b/>
          <w:bCs/>
          <w:sz w:val="24"/>
          <w:szCs w:val="24"/>
          <w:vertAlign w:val="subscript"/>
        </w:rPr>
        <w:t>(t-1)</w:t>
      </w:r>
      <w:r>
        <w:rPr>
          <w:rFonts w:ascii="Times New Roman" w:hAnsi="Times New Roman" w:cs="Times New Roman"/>
          <w:b/>
          <w:bCs/>
          <w:sz w:val="24"/>
          <w:szCs w:val="24"/>
        </w:rPr>
        <w:t xml:space="preserve"> – 0.3978*</w:t>
      </w:r>
      <w:r w:rsidRPr="00395BEB">
        <w:rPr>
          <w:rFonts w:ascii="Times New Roman" w:hAnsi="Times New Roman" w:cs="Times New Roman"/>
          <w:b/>
          <w:bCs/>
          <w:sz w:val="24"/>
          <w:szCs w:val="24"/>
        </w:rPr>
        <w:t>Bhatapara</w:t>
      </w:r>
      <w:r>
        <w:rPr>
          <w:rFonts w:ascii="Times New Roman" w:hAnsi="Times New Roman" w:cs="Times New Roman"/>
          <w:b/>
          <w:bCs/>
          <w:sz w:val="24"/>
          <w:szCs w:val="24"/>
          <w:vertAlign w:val="subscript"/>
        </w:rPr>
        <w:t>(t-2)</w:t>
      </w:r>
      <w:r>
        <w:rPr>
          <w:rFonts w:ascii="Times New Roman" w:hAnsi="Times New Roman" w:cs="Times New Roman"/>
          <w:b/>
          <w:bCs/>
          <w:sz w:val="24"/>
          <w:szCs w:val="24"/>
        </w:rPr>
        <w:t xml:space="preserve"> – 0.2626*</w:t>
      </w:r>
      <w:r w:rsidRPr="00395BEB">
        <w:rPr>
          <w:rFonts w:ascii="Times New Roman" w:hAnsi="Times New Roman" w:cs="Times New Roman"/>
          <w:b/>
          <w:bCs/>
          <w:sz w:val="24"/>
          <w:szCs w:val="24"/>
        </w:rPr>
        <w:t>Sindhanur</w:t>
      </w:r>
      <w:r>
        <w:rPr>
          <w:rFonts w:ascii="Times New Roman" w:hAnsi="Times New Roman" w:cs="Times New Roman"/>
          <w:b/>
          <w:bCs/>
          <w:sz w:val="24"/>
          <w:szCs w:val="24"/>
          <w:vertAlign w:val="subscript"/>
        </w:rPr>
        <w:t>(t-2)</w:t>
      </w:r>
      <w:r>
        <w:rPr>
          <w:rFonts w:ascii="Times New Roman" w:hAnsi="Times New Roman" w:cs="Times New Roman"/>
          <w:b/>
          <w:bCs/>
          <w:sz w:val="24"/>
          <w:szCs w:val="24"/>
        </w:rPr>
        <w:t xml:space="preserve"> – 0.2406*</w:t>
      </w:r>
      <w:r w:rsidRPr="00395BEB">
        <w:rPr>
          <w:rFonts w:ascii="Times New Roman" w:hAnsi="Times New Roman" w:cs="Times New Roman"/>
          <w:b/>
          <w:bCs/>
          <w:sz w:val="24"/>
          <w:szCs w:val="24"/>
        </w:rPr>
        <w:t>Dahod</w:t>
      </w:r>
      <w:r>
        <w:rPr>
          <w:rFonts w:ascii="Times New Roman" w:hAnsi="Times New Roman" w:cs="Times New Roman"/>
          <w:b/>
          <w:bCs/>
          <w:sz w:val="24"/>
          <w:szCs w:val="24"/>
          <w:vertAlign w:val="subscript"/>
        </w:rPr>
        <w:t>(t-2)</w:t>
      </w:r>
    </w:p>
    <w:p w14:paraId="40393F40" w14:textId="77777777" w:rsidR="004F3782" w:rsidRDefault="00481EB1" w:rsidP="00D5571A">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Table 10: VECM coefficient value of Paddy Market Integration</w:t>
      </w:r>
    </w:p>
    <w:tbl>
      <w:tblPr>
        <w:tblStyle w:val="TableGrid"/>
        <w:tblW w:w="5000" w:type="pct"/>
        <w:tblCellMar>
          <w:left w:w="29" w:type="dxa"/>
          <w:right w:w="29" w:type="dxa"/>
        </w:tblCellMar>
        <w:tblLook w:val="04A0" w:firstRow="1" w:lastRow="0" w:firstColumn="1" w:lastColumn="0" w:noHBand="0" w:noVBand="1"/>
      </w:tblPr>
      <w:tblGrid>
        <w:gridCol w:w="1503"/>
        <w:gridCol w:w="1503"/>
        <w:gridCol w:w="1503"/>
        <w:gridCol w:w="1503"/>
        <w:gridCol w:w="1502"/>
        <w:gridCol w:w="1502"/>
      </w:tblGrid>
      <w:tr w:rsidR="00381735" w14:paraId="5A1BB7F1" w14:textId="77777777">
        <w:trPr>
          <w:trHeight w:val="372"/>
        </w:trPr>
        <w:tc>
          <w:tcPr>
            <w:tcW w:w="833" w:type="pct"/>
            <w:vAlign w:val="center"/>
          </w:tcPr>
          <w:p w14:paraId="6F3C457A" w14:textId="77777777" w:rsidR="004F3782" w:rsidRDefault="004F3782">
            <w:pPr>
              <w:spacing w:after="0" w:line="240" w:lineRule="auto"/>
              <w:jc w:val="center"/>
              <w:rPr>
                <w:rFonts w:ascii="Times New Roman" w:hAnsi="Times New Roman" w:cs="Times New Roman"/>
                <w:sz w:val="24"/>
                <w:szCs w:val="24"/>
              </w:rPr>
            </w:pPr>
          </w:p>
        </w:tc>
        <w:tc>
          <w:tcPr>
            <w:tcW w:w="833" w:type="pct"/>
            <w:vAlign w:val="center"/>
          </w:tcPr>
          <w:p w14:paraId="7642413E"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D(Kota)</w:t>
            </w:r>
          </w:p>
        </w:tc>
        <w:tc>
          <w:tcPr>
            <w:tcW w:w="833" w:type="pct"/>
            <w:vAlign w:val="center"/>
          </w:tcPr>
          <w:p w14:paraId="66CDE553"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D(Attabira)</w:t>
            </w:r>
          </w:p>
        </w:tc>
        <w:tc>
          <w:tcPr>
            <w:tcW w:w="833" w:type="pct"/>
            <w:vAlign w:val="center"/>
          </w:tcPr>
          <w:p w14:paraId="03E3A076"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lang w:val="en-US"/>
              </w:rPr>
              <w:t>Sindhanur)</w:t>
            </w:r>
          </w:p>
        </w:tc>
        <w:tc>
          <w:tcPr>
            <w:tcW w:w="833" w:type="pct"/>
            <w:vAlign w:val="center"/>
          </w:tcPr>
          <w:p w14:paraId="4E8F7348"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D(Dahod)</w:t>
            </w:r>
          </w:p>
        </w:tc>
        <w:tc>
          <w:tcPr>
            <w:tcW w:w="833" w:type="pct"/>
            <w:vAlign w:val="center"/>
          </w:tcPr>
          <w:p w14:paraId="704675A2"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D(Bhatapara)</w:t>
            </w:r>
          </w:p>
        </w:tc>
      </w:tr>
      <w:tr w:rsidR="00381735" w14:paraId="272B900D" w14:textId="77777777">
        <w:trPr>
          <w:trHeight w:val="488"/>
        </w:trPr>
        <w:tc>
          <w:tcPr>
            <w:tcW w:w="833" w:type="pct"/>
            <w:vAlign w:val="center"/>
          </w:tcPr>
          <w:p w14:paraId="746C8E8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ECT</w:t>
            </w:r>
          </w:p>
        </w:tc>
        <w:tc>
          <w:tcPr>
            <w:tcW w:w="833" w:type="pct"/>
            <w:vAlign w:val="center"/>
          </w:tcPr>
          <w:p w14:paraId="03A60761" w14:textId="77777777" w:rsidR="004F3782" w:rsidRDefault="00481EB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-0.3256***</w:t>
            </w:r>
          </w:p>
          <w:p w14:paraId="1375B86F" w14:textId="77777777" w:rsidR="004F3782" w:rsidRDefault="00481EB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(0.0775)</w:t>
            </w:r>
          </w:p>
        </w:tc>
        <w:tc>
          <w:tcPr>
            <w:tcW w:w="833" w:type="pct"/>
            <w:vAlign w:val="center"/>
          </w:tcPr>
          <w:p w14:paraId="26312389" w14:textId="77777777" w:rsidR="004F3782" w:rsidRDefault="00481EB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-0.0402</w:t>
            </w:r>
          </w:p>
          <w:p w14:paraId="462D14DD" w14:textId="77777777" w:rsidR="004F3782" w:rsidRDefault="00481EB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(0.0472)</w:t>
            </w:r>
          </w:p>
        </w:tc>
        <w:tc>
          <w:tcPr>
            <w:tcW w:w="833" w:type="pct"/>
            <w:vAlign w:val="center"/>
          </w:tcPr>
          <w:p w14:paraId="4A8630C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-0.3541***</w:t>
            </w:r>
          </w:p>
          <w:p w14:paraId="190B5CD4"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(0.0534)</w:t>
            </w:r>
          </w:p>
        </w:tc>
        <w:tc>
          <w:tcPr>
            <w:tcW w:w="833" w:type="pct"/>
            <w:vAlign w:val="center"/>
          </w:tcPr>
          <w:p w14:paraId="63F4EC82"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-0.1956***</w:t>
            </w:r>
          </w:p>
          <w:p w14:paraId="4622199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(0.0391)</w:t>
            </w:r>
          </w:p>
        </w:tc>
        <w:tc>
          <w:tcPr>
            <w:tcW w:w="833" w:type="pct"/>
            <w:vAlign w:val="center"/>
          </w:tcPr>
          <w:p w14:paraId="253D3C1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0.0269</w:t>
            </w:r>
          </w:p>
          <w:p w14:paraId="3937A7C2"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(0.0416)</w:t>
            </w:r>
          </w:p>
        </w:tc>
      </w:tr>
      <w:tr w:rsidR="00381735" w14:paraId="073D258C" w14:textId="77777777">
        <w:trPr>
          <w:trHeight w:val="372"/>
        </w:trPr>
        <w:tc>
          <w:tcPr>
            <w:tcW w:w="833" w:type="pct"/>
            <w:vAlign w:val="center"/>
          </w:tcPr>
          <w:p w14:paraId="4D41FCA4"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D(Kota)-1</w:t>
            </w:r>
          </w:p>
        </w:tc>
        <w:tc>
          <w:tcPr>
            <w:tcW w:w="833" w:type="pct"/>
            <w:vAlign w:val="center"/>
          </w:tcPr>
          <w:p w14:paraId="77860913"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-0.4260***</w:t>
            </w:r>
          </w:p>
          <w:p w14:paraId="6C171483"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(0.0891)</w:t>
            </w:r>
          </w:p>
        </w:tc>
        <w:tc>
          <w:tcPr>
            <w:tcW w:w="833" w:type="pct"/>
            <w:vAlign w:val="center"/>
          </w:tcPr>
          <w:p w14:paraId="4C7AD41C"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-0.1790</w:t>
            </w:r>
          </w:p>
          <w:p w14:paraId="1F280D04"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(0.1320)</w:t>
            </w:r>
          </w:p>
        </w:tc>
        <w:tc>
          <w:tcPr>
            <w:tcW w:w="833" w:type="pct"/>
            <w:vAlign w:val="center"/>
          </w:tcPr>
          <w:p w14:paraId="5E8819E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0.5624***</w:t>
            </w:r>
          </w:p>
          <w:p w14:paraId="2657CA9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(0.1676)</w:t>
            </w:r>
          </w:p>
        </w:tc>
        <w:tc>
          <w:tcPr>
            <w:tcW w:w="833" w:type="pct"/>
            <w:vAlign w:val="center"/>
          </w:tcPr>
          <w:p w14:paraId="11045B8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0.4456**</w:t>
            </w:r>
          </w:p>
          <w:p w14:paraId="6F38EF62"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(0.1489)</w:t>
            </w:r>
          </w:p>
        </w:tc>
        <w:tc>
          <w:tcPr>
            <w:tcW w:w="833" w:type="pct"/>
            <w:vAlign w:val="center"/>
          </w:tcPr>
          <w:p w14:paraId="76448785"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-0.5084**</w:t>
            </w:r>
          </w:p>
          <w:p w14:paraId="3E100283"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(0.1943)</w:t>
            </w:r>
          </w:p>
        </w:tc>
      </w:tr>
      <w:tr w:rsidR="00381735" w14:paraId="6170D26B" w14:textId="77777777">
        <w:trPr>
          <w:trHeight w:val="360"/>
        </w:trPr>
        <w:tc>
          <w:tcPr>
            <w:tcW w:w="833" w:type="pct"/>
            <w:vAlign w:val="center"/>
          </w:tcPr>
          <w:p w14:paraId="4FD62A0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D(Attabira)-1</w:t>
            </w:r>
          </w:p>
        </w:tc>
        <w:tc>
          <w:tcPr>
            <w:tcW w:w="833" w:type="pct"/>
            <w:vAlign w:val="center"/>
          </w:tcPr>
          <w:p w14:paraId="6618056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0.0172</w:t>
            </w:r>
          </w:p>
          <w:p w14:paraId="4294CBC3"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(0.0543)</w:t>
            </w:r>
          </w:p>
        </w:tc>
        <w:tc>
          <w:tcPr>
            <w:tcW w:w="833" w:type="pct"/>
            <w:vAlign w:val="center"/>
          </w:tcPr>
          <w:p w14:paraId="6159D546"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-0.6376***</w:t>
            </w:r>
          </w:p>
          <w:p w14:paraId="4E57CBA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(0.0804)</w:t>
            </w:r>
          </w:p>
        </w:tc>
        <w:tc>
          <w:tcPr>
            <w:tcW w:w="833" w:type="pct"/>
            <w:vAlign w:val="center"/>
          </w:tcPr>
          <w:p w14:paraId="192D7F3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0.1173</w:t>
            </w:r>
          </w:p>
          <w:p w14:paraId="01774DBC"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(0.1020)</w:t>
            </w:r>
          </w:p>
        </w:tc>
        <w:tc>
          <w:tcPr>
            <w:tcW w:w="833" w:type="pct"/>
            <w:vAlign w:val="center"/>
          </w:tcPr>
          <w:p w14:paraId="58EDE177"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-0.0022</w:t>
            </w:r>
          </w:p>
          <w:p w14:paraId="38EF669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(0.0906)</w:t>
            </w:r>
          </w:p>
        </w:tc>
        <w:tc>
          <w:tcPr>
            <w:tcW w:w="833" w:type="pct"/>
            <w:vAlign w:val="center"/>
          </w:tcPr>
          <w:p w14:paraId="533FF51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-0.0771</w:t>
            </w:r>
          </w:p>
          <w:p w14:paraId="57AB4B33"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(0.1183)</w:t>
            </w:r>
          </w:p>
        </w:tc>
      </w:tr>
      <w:tr w:rsidR="00381735" w14:paraId="7D99DA54" w14:textId="77777777">
        <w:trPr>
          <w:trHeight w:val="372"/>
        </w:trPr>
        <w:tc>
          <w:tcPr>
            <w:tcW w:w="833" w:type="pct"/>
            <w:vAlign w:val="center"/>
          </w:tcPr>
          <w:p w14:paraId="40454C7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lang w:val="en-US"/>
              </w:rPr>
              <w:t>Sindhanur)-1</w:t>
            </w:r>
          </w:p>
        </w:tc>
        <w:tc>
          <w:tcPr>
            <w:tcW w:w="833" w:type="pct"/>
            <w:vAlign w:val="center"/>
          </w:tcPr>
          <w:p w14:paraId="3D93DCF5"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0.2282***</w:t>
            </w:r>
          </w:p>
          <w:p w14:paraId="6C906769"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(0.0614)</w:t>
            </w:r>
          </w:p>
        </w:tc>
        <w:tc>
          <w:tcPr>
            <w:tcW w:w="833" w:type="pct"/>
            <w:vAlign w:val="center"/>
          </w:tcPr>
          <w:p w14:paraId="7ADC212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-0.2240*</w:t>
            </w:r>
          </w:p>
          <w:p w14:paraId="69EFBDBC"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(0.0909)</w:t>
            </w:r>
          </w:p>
        </w:tc>
        <w:tc>
          <w:tcPr>
            <w:tcW w:w="833" w:type="pct"/>
            <w:vAlign w:val="center"/>
          </w:tcPr>
          <w:p w14:paraId="2D4ED1E7"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0.0826</w:t>
            </w:r>
          </w:p>
          <w:p w14:paraId="43D76761"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(0.1154)</w:t>
            </w:r>
          </w:p>
        </w:tc>
        <w:tc>
          <w:tcPr>
            <w:tcW w:w="833" w:type="pct"/>
            <w:vAlign w:val="center"/>
          </w:tcPr>
          <w:p w14:paraId="39A5D39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0.2408*</w:t>
            </w:r>
          </w:p>
          <w:p w14:paraId="29B45D5E"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(0.1025)</w:t>
            </w:r>
          </w:p>
        </w:tc>
        <w:tc>
          <w:tcPr>
            <w:tcW w:w="833" w:type="pct"/>
            <w:vAlign w:val="center"/>
          </w:tcPr>
          <w:p w14:paraId="076EBA7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-0.6257***</w:t>
            </w:r>
          </w:p>
          <w:p w14:paraId="3DF510F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(0.1338)</w:t>
            </w:r>
          </w:p>
        </w:tc>
      </w:tr>
      <w:tr w:rsidR="00381735" w14:paraId="13070BC8" w14:textId="77777777">
        <w:trPr>
          <w:trHeight w:val="372"/>
        </w:trPr>
        <w:tc>
          <w:tcPr>
            <w:tcW w:w="833" w:type="pct"/>
            <w:vAlign w:val="center"/>
          </w:tcPr>
          <w:p w14:paraId="1259C49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D(Dahod)-1</w:t>
            </w:r>
          </w:p>
        </w:tc>
        <w:tc>
          <w:tcPr>
            <w:tcW w:w="833" w:type="pct"/>
            <w:vAlign w:val="center"/>
          </w:tcPr>
          <w:p w14:paraId="18D7F3A2"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0.1736***</w:t>
            </w:r>
          </w:p>
          <w:p w14:paraId="2FAA3D5C"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(0.0450)</w:t>
            </w:r>
          </w:p>
        </w:tc>
        <w:tc>
          <w:tcPr>
            <w:tcW w:w="833" w:type="pct"/>
            <w:vAlign w:val="center"/>
          </w:tcPr>
          <w:p w14:paraId="3100AC0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-0.2451***</w:t>
            </w:r>
          </w:p>
          <w:p w14:paraId="01D4EFA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(0.0666)</w:t>
            </w:r>
          </w:p>
        </w:tc>
        <w:tc>
          <w:tcPr>
            <w:tcW w:w="833" w:type="pct"/>
            <w:vAlign w:val="center"/>
          </w:tcPr>
          <w:p w14:paraId="60F9877E"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0.3305***</w:t>
            </w:r>
          </w:p>
          <w:p w14:paraId="5FCFD9B8"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(0.0845)</w:t>
            </w:r>
          </w:p>
        </w:tc>
        <w:tc>
          <w:tcPr>
            <w:tcW w:w="833" w:type="pct"/>
            <w:vAlign w:val="center"/>
          </w:tcPr>
          <w:p w14:paraId="43E05CB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-0.5283***</w:t>
            </w:r>
          </w:p>
          <w:p w14:paraId="1152599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(0.0751)</w:t>
            </w:r>
          </w:p>
        </w:tc>
        <w:tc>
          <w:tcPr>
            <w:tcW w:w="833" w:type="pct"/>
            <w:vAlign w:val="center"/>
          </w:tcPr>
          <w:p w14:paraId="1F42A4C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-0.2890**</w:t>
            </w:r>
          </w:p>
          <w:p w14:paraId="5AB95537"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(0.0980)</w:t>
            </w:r>
          </w:p>
        </w:tc>
      </w:tr>
      <w:tr w:rsidR="00381735" w14:paraId="1DC1DEC2" w14:textId="77777777">
        <w:trPr>
          <w:trHeight w:val="360"/>
        </w:trPr>
        <w:tc>
          <w:tcPr>
            <w:tcW w:w="833" w:type="pct"/>
            <w:vAlign w:val="center"/>
          </w:tcPr>
          <w:p w14:paraId="105BA13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D(Bhatapara)-1</w:t>
            </w:r>
          </w:p>
        </w:tc>
        <w:tc>
          <w:tcPr>
            <w:tcW w:w="833" w:type="pct"/>
            <w:vAlign w:val="center"/>
          </w:tcPr>
          <w:p w14:paraId="26459A19"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0.0197</w:t>
            </w:r>
          </w:p>
          <w:p w14:paraId="57356B0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(0.0478)</w:t>
            </w:r>
          </w:p>
        </w:tc>
        <w:tc>
          <w:tcPr>
            <w:tcW w:w="833" w:type="pct"/>
            <w:vAlign w:val="center"/>
          </w:tcPr>
          <w:p w14:paraId="3756C88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-0.0992</w:t>
            </w:r>
          </w:p>
          <w:p w14:paraId="1756A6C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(0.0709)</w:t>
            </w:r>
          </w:p>
        </w:tc>
        <w:tc>
          <w:tcPr>
            <w:tcW w:w="833" w:type="pct"/>
            <w:vAlign w:val="center"/>
          </w:tcPr>
          <w:p w14:paraId="7247DBD4"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-0.0066</w:t>
            </w:r>
          </w:p>
          <w:p w14:paraId="49C94A2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(0.0899)</w:t>
            </w:r>
          </w:p>
        </w:tc>
        <w:tc>
          <w:tcPr>
            <w:tcW w:w="833" w:type="pct"/>
            <w:vAlign w:val="center"/>
          </w:tcPr>
          <w:p w14:paraId="4A2F8B6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0.0926</w:t>
            </w:r>
          </w:p>
          <w:p w14:paraId="1D04775E"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(0.0799)</w:t>
            </w:r>
          </w:p>
        </w:tc>
        <w:tc>
          <w:tcPr>
            <w:tcW w:w="833" w:type="pct"/>
            <w:vAlign w:val="center"/>
          </w:tcPr>
          <w:p w14:paraId="4F640F6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-0.6812***</w:t>
            </w:r>
          </w:p>
          <w:p w14:paraId="4CB02D2C"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(0.1043)</w:t>
            </w:r>
          </w:p>
        </w:tc>
      </w:tr>
      <w:tr w:rsidR="00381735" w14:paraId="59AE0E2B" w14:textId="77777777">
        <w:trPr>
          <w:trHeight w:val="372"/>
        </w:trPr>
        <w:tc>
          <w:tcPr>
            <w:tcW w:w="833" w:type="pct"/>
            <w:vAlign w:val="center"/>
          </w:tcPr>
          <w:p w14:paraId="318B6FE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D(Kota)-2</w:t>
            </w:r>
          </w:p>
        </w:tc>
        <w:tc>
          <w:tcPr>
            <w:tcW w:w="833" w:type="pct"/>
            <w:vAlign w:val="center"/>
          </w:tcPr>
          <w:p w14:paraId="4D519A75"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-0.1965*</w:t>
            </w:r>
          </w:p>
          <w:p w14:paraId="4E9F5FA8"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(0.0764)</w:t>
            </w:r>
          </w:p>
        </w:tc>
        <w:tc>
          <w:tcPr>
            <w:tcW w:w="833" w:type="pct"/>
            <w:vAlign w:val="center"/>
          </w:tcPr>
          <w:p w14:paraId="5325921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0.0434</w:t>
            </w:r>
          </w:p>
          <w:p w14:paraId="63633375"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(0.1305)</w:t>
            </w:r>
          </w:p>
        </w:tc>
        <w:tc>
          <w:tcPr>
            <w:tcW w:w="833" w:type="pct"/>
            <w:vAlign w:val="center"/>
          </w:tcPr>
          <w:p w14:paraId="6FB9EFE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0.4030**</w:t>
            </w:r>
          </w:p>
          <w:p w14:paraId="4B369B42"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(0.1257)</w:t>
            </w:r>
          </w:p>
        </w:tc>
        <w:tc>
          <w:tcPr>
            <w:tcW w:w="833" w:type="pct"/>
            <w:vAlign w:val="center"/>
          </w:tcPr>
          <w:p w14:paraId="08EF218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0.1386</w:t>
            </w:r>
          </w:p>
          <w:p w14:paraId="58E4DBE7"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(0.1489)</w:t>
            </w:r>
          </w:p>
        </w:tc>
        <w:tc>
          <w:tcPr>
            <w:tcW w:w="833" w:type="pct"/>
            <w:vAlign w:val="center"/>
          </w:tcPr>
          <w:p w14:paraId="5ED513C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-0.2833</w:t>
            </w:r>
          </w:p>
          <w:p w14:paraId="2F653BA6"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(0.1577).</w:t>
            </w:r>
          </w:p>
        </w:tc>
      </w:tr>
      <w:tr w:rsidR="00381735" w14:paraId="599586CF" w14:textId="77777777">
        <w:trPr>
          <w:trHeight w:val="372"/>
        </w:trPr>
        <w:tc>
          <w:tcPr>
            <w:tcW w:w="833" w:type="pct"/>
            <w:vAlign w:val="center"/>
          </w:tcPr>
          <w:p w14:paraId="056270A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D(Attabira)-2</w:t>
            </w:r>
          </w:p>
        </w:tc>
        <w:tc>
          <w:tcPr>
            <w:tcW w:w="833" w:type="pct"/>
            <w:vAlign w:val="center"/>
          </w:tcPr>
          <w:p w14:paraId="2C89434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-0.0398</w:t>
            </w:r>
          </w:p>
          <w:p w14:paraId="28E72854"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(0.0465)</w:t>
            </w:r>
          </w:p>
        </w:tc>
        <w:tc>
          <w:tcPr>
            <w:tcW w:w="833" w:type="pct"/>
            <w:vAlign w:val="center"/>
          </w:tcPr>
          <w:p w14:paraId="4702EC11"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-0.3297***</w:t>
            </w:r>
          </w:p>
          <w:p w14:paraId="562721F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(0.0794)</w:t>
            </w:r>
          </w:p>
        </w:tc>
        <w:tc>
          <w:tcPr>
            <w:tcW w:w="833" w:type="pct"/>
            <w:vAlign w:val="center"/>
          </w:tcPr>
          <w:p w14:paraId="364DE541"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0.0239</w:t>
            </w:r>
          </w:p>
          <w:p w14:paraId="6560CC1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(0.0765)</w:t>
            </w:r>
          </w:p>
        </w:tc>
        <w:tc>
          <w:tcPr>
            <w:tcW w:w="833" w:type="pct"/>
            <w:vAlign w:val="center"/>
          </w:tcPr>
          <w:p w14:paraId="4D83B57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0.1379</w:t>
            </w:r>
          </w:p>
          <w:p w14:paraId="50D5D898"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(0.0906)</w:t>
            </w:r>
          </w:p>
        </w:tc>
        <w:tc>
          <w:tcPr>
            <w:tcW w:w="833" w:type="pct"/>
            <w:vAlign w:val="center"/>
          </w:tcPr>
          <w:p w14:paraId="36E31FC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0.0207</w:t>
            </w:r>
          </w:p>
          <w:p w14:paraId="4247DA7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(0.0960)</w:t>
            </w:r>
          </w:p>
        </w:tc>
      </w:tr>
      <w:tr w:rsidR="00381735" w14:paraId="7A81C863" w14:textId="77777777">
        <w:trPr>
          <w:trHeight w:val="360"/>
        </w:trPr>
        <w:tc>
          <w:tcPr>
            <w:tcW w:w="833" w:type="pct"/>
            <w:vAlign w:val="center"/>
          </w:tcPr>
          <w:p w14:paraId="5861A324"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lang w:val="en-US"/>
              </w:rPr>
              <w:t>Sindhanur)-2</w:t>
            </w:r>
          </w:p>
        </w:tc>
        <w:tc>
          <w:tcPr>
            <w:tcW w:w="833" w:type="pct"/>
            <w:vAlign w:val="center"/>
          </w:tcPr>
          <w:p w14:paraId="34BC8428"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0.1709**</w:t>
            </w:r>
          </w:p>
          <w:p w14:paraId="3F26B179"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(0.0526)</w:t>
            </w:r>
          </w:p>
        </w:tc>
        <w:tc>
          <w:tcPr>
            <w:tcW w:w="833" w:type="pct"/>
            <w:vAlign w:val="center"/>
          </w:tcPr>
          <w:p w14:paraId="4A73389C"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-0.2006*</w:t>
            </w:r>
          </w:p>
          <w:p w14:paraId="414FA7B7"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(0.0898)</w:t>
            </w:r>
          </w:p>
        </w:tc>
        <w:tc>
          <w:tcPr>
            <w:tcW w:w="833" w:type="pct"/>
            <w:vAlign w:val="center"/>
          </w:tcPr>
          <w:p w14:paraId="27E1F8A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-0.1180</w:t>
            </w:r>
          </w:p>
          <w:p w14:paraId="230D5BC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(0.0866)</w:t>
            </w:r>
          </w:p>
        </w:tc>
        <w:tc>
          <w:tcPr>
            <w:tcW w:w="833" w:type="pct"/>
            <w:vAlign w:val="center"/>
          </w:tcPr>
          <w:p w14:paraId="5287198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0.2465*</w:t>
            </w:r>
          </w:p>
          <w:p w14:paraId="23EBB613"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(0.1025)</w:t>
            </w:r>
          </w:p>
        </w:tc>
        <w:tc>
          <w:tcPr>
            <w:tcW w:w="833" w:type="pct"/>
            <w:vAlign w:val="center"/>
          </w:tcPr>
          <w:p w14:paraId="24B4C2C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-0.2626*</w:t>
            </w:r>
          </w:p>
          <w:p w14:paraId="45A232C0"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(0.1086)</w:t>
            </w:r>
          </w:p>
        </w:tc>
      </w:tr>
      <w:tr w:rsidR="00381735" w14:paraId="78481361" w14:textId="77777777">
        <w:trPr>
          <w:trHeight w:val="372"/>
        </w:trPr>
        <w:tc>
          <w:tcPr>
            <w:tcW w:w="833" w:type="pct"/>
            <w:vAlign w:val="center"/>
          </w:tcPr>
          <w:p w14:paraId="5FF17998"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D(Dahod)-2</w:t>
            </w:r>
          </w:p>
        </w:tc>
        <w:tc>
          <w:tcPr>
            <w:tcW w:w="833" w:type="pct"/>
            <w:vAlign w:val="center"/>
          </w:tcPr>
          <w:p w14:paraId="4DD2B155"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0.0605</w:t>
            </w:r>
          </w:p>
          <w:p w14:paraId="26E9E00C"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(0.0385)</w:t>
            </w:r>
          </w:p>
        </w:tc>
        <w:tc>
          <w:tcPr>
            <w:tcW w:w="833" w:type="pct"/>
            <w:vAlign w:val="center"/>
          </w:tcPr>
          <w:p w14:paraId="754501D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-0.1442*</w:t>
            </w:r>
          </w:p>
          <w:p w14:paraId="7364EBB3"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(0.0658)</w:t>
            </w:r>
          </w:p>
        </w:tc>
        <w:tc>
          <w:tcPr>
            <w:tcW w:w="833" w:type="pct"/>
            <w:vAlign w:val="center"/>
          </w:tcPr>
          <w:p w14:paraId="01B31443"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0.1456</w:t>
            </w:r>
          </w:p>
          <w:p w14:paraId="4E1D06E9"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(0.0634)*</w:t>
            </w:r>
          </w:p>
        </w:tc>
        <w:tc>
          <w:tcPr>
            <w:tcW w:w="833" w:type="pct"/>
            <w:vAlign w:val="center"/>
          </w:tcPr>
          <w:p w14:paraId="4A9EF7CE" w14:textId="77777777" w:rsidR="004F3782" w:rsidRDefault="00481EB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-0.2777**</w:t>
            </w:r>
            <w:r>
              <w:rPr>
                <w:rFonts w:ascii="Times New Roman" w:hAnsi="Times New Roman" w:cs="Times New Roman"/>
                <w:sz w:val="24"/>
                <w:szCs w:val="24"/>
                <w:lang w:val="en-US"/>
              </w:rPr>
              <w:t>*</w:t>
            </w:r>
          </w:p>
          <w:p w14:paraId="4F957E8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(0.0751)</w:t>
            </w:r>
          </w:p>
        </w:tc>
        <w:tc>
          <w:tcPr>
            <w:tcW w:w="833" w:type="pct"/>
            <w:vAlign w:val="center"/>
          </w:tcPr>
          <w:p w14:paraId="352452C5"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-0.2406**</w:t>
            </w:r>
          </w:p>
          <w:p w14:paraId="4D8812DA"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(0.0795)</w:t>
            </w:r>
          </w:p>
        </w:tc>
      </w:tr>
      <w:tr w:rsidR="00381735" w14:paraId="72D2C6C5" w14:textId="77777777">
        <w:trPr>
          <w:trHeight w:val="360"/>
        </w:trPr>
        <w:tc>
          <w:tcPr>
            <w:tcW w:w="833" w:type="pct"/>
            <w:vAlign w:val="center"/>
          </w:tcPr>
          <w:p w14:paraId="001C5672"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D(Bhatapara)-2</w:t>
            </w:r>
          </w:p>
        </w:tc>
        <w:tc>
          <w:tcPr>
            <w:tcW w:w="833" w:type="pct"/>
            <w:vAlign w:val="center"/>
          </w:tcPr>
          <w:p w14:paraId="5A2CFD99"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0.0128</w:t>
            </w:r>
          </w:p>
          <w:p w14:paraId="0B09BA8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(0.0410)</w:t>
            </w:r>
          </w:p>
        </w:tc>
        <w:tc>
          <w:tcPr>
            <w:tcW w:w="833" w:type="pct"/>
            <w:vAlign w:val="center"/>
          </w:tcPr>
          <w:p w14:paraId="0F460DD6"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-0.0863</w:t>
            </w:r>
          </w:p>
          <w:p w14:paraId="0D8D8C15"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(0.0700)</w:t>
            </w:r>
          </w:p>
        </w:tc>
        <w:tc>
          <w:tcPr>
            <w:tcW w:w="833" w:type="pct"/>
            <w:vAlign w:val="center"/>
          </w:tcPr>
          <w:p w14:paraId="0A43C418"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0.0267</w:t>
            </w:r>
          </w:p>
          <w:p w14:paraId="64C6849D"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(0.0675)</w:t>
            </w:r>
          </w:p>
        </w:tc>
        <w:tc>
          <w:tcPr>
            <w:tcW w:w="833" w:type="pct"/>
            <w:vAlign w:val="center"/>
          </w:tcPr>
          <w:p w14:paraId="2EDA6835"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0.0655</w:t>
            </w:r>
          </w:p>
          <w:p w14:paraId="0BDC85AF"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(0.0799)</w:t>
            </w:r>
          </w:p>
        </w:tc>
        <w:tc>
          <w:tcPr>
            <w:tcW w:w="833" w:type="pct"/>
            <w:vAlign w:val="center"/>
          </w:tcPr>
          <w:p w14:paraId="2601488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-0.3978***</w:t>
            </w:r>
          </w:p>
          <w:p w14:paraId="1A48B84B" w14:textId="77777777" w:rsidR="004F3782" w:rsidRDefault="00481E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(0.0846)</w:t>
            </w:r>
          </w:p>
        </w:tc>
      </w:tr>
    </w:tbl>
    <w:p w14:paraId="1B20763E" w14:textId="77777777" w:rsidR="004F3782" w:rsidRPr="003D2333" w:rsidRDefault="00481EB1">
      <w:pPr>
        <w:spacing w:after="0" w:line="240" w:lineRule="auto"/>
        <w:jc w:val="both"/>
        <w:rPr>
          <w:rFonts w:ascii="Times New Roman" w:hAnsi="Times New Roman" w:cs="Times New Roman"/>
          <w:i/>
          <w:iCs/>
          <w:lang w:val="en-US"/>
        </w:rPr>
      </w:pPr>
      <w:r w:rsidRPr="003D2333">
        <w:rPr>
          <w:rFonts w:ascii="Times New Roman" w:hAnsi="Times New Roman" w:cs="Times New Roman"/>
          <w:i/>
          <w:iCs/>
          <w:lang w:val="en-US"/>
        </w:rPr>
        <w:t>Source: Authors’ Own Calculation</w:t>
      </w:r>
    </w:p>
    <w:p w14:paraId="4764F9F8" w14:textId="77777777" w:rsidR="004F3782" w:rsidRPr="003D2333" w:rsidRDefault="00481EB1">
      <w:pPr>
        <w:spacing w:after="0" w:line="240" w:lineRule="auto"/>
        <w:jc w:val="both"/>
        <w:rPr>
          <w:rFonts w:ascii="Times New Roman" w:hAnsi="Times New Roman" w:cs="Times New Roman"/>
          <w:lang w:val="en-US"/>
        </w:rPr>
      </w:pPr>
      <w:r w:rsidRPr="003D2333">
        <w:rPr>
          <w:rFonts w:ascii="Times New Roman" w:hAnsi="Times New Roman" w:cs="Times New Roman"/>
          <w:lang w:val="en-US"/>
        </w:rPr>
        <w:t>Notes: ECT=</w:t>
      </w:r>
      <w:r w:rsidRPr="003D2333">
        <w:rPr>
          <w:rFonts w:ascii="Times New Roman" w:hAnsi="Times New Roman" w:cs="Times New Roman"/>
          <w:i/>
          <w:iCs/>
          <w:lang w:val="en-US"/>
        </w:rPr>
        <w:t>Error Correction Term</w:t>
      </w:r>
      <w:r w:rsidRPr="003D2333">
        <w:rPr>
          <w:rFonts w:ascii="Times New Roman" w:hAnsi="Times New Roman" w:cs="Times New Roman"/>
          <w:lang w:val="en-US"/>
        </w:rPr>
        <w:t>; D= first difference operator; [ ] t-statistic</w:t>
      </w:r>
    </w:p>
    <w:p w14:paraId="07D689F2" w14:textId="77777777" w:rsidR="004F3782" w:rsidRPr="003D2333" w:rsidRDefault="00481EB1">
      <w:pPr>
        <w:spacing w:after="0" w:line="240" w:lineRule="auto"/>
        <w:jc w:val="both"/>
        <w:rPr>
          <w:rFonts w:ascii="Times New Roman" w:hAnsi="Times New Roman" w:cs="Times New Roman"/>
          <w:lang w:val="en-US"/>
        </w:rPr>
      </w:pPr>
      <w:r w:rsidRPr="003D2333">
        <w:rPr>
          <w:rFonts w:ascii="Times New Roman" w:hAnsi="Times New Roman" w:cs="Times New Roman"/>
          <w:lang w:val="en-US"/>
        </w:rPr>
        <w:t xml:space="preserve">** Significant at </w:t>
      </w:r>
      <w:r w:rsidRPr="003D2333">
        <w:rPr>
          <w:rFonts w:ascii="Times New Roman" w:hAnsi="Times New Roman" w:cs="Times New Roman"/>
          <w:lang w:val="en-US"/>
        </w:rPr>
        <w:t>level 5</w:t>
      </w:r>
      <w:r w:rsidR="00BC2EB4">
        <w:rPr>
          <w:rFonts w:ascii="Times New Roman" w:hAnsi="Times New Roman" w:cs="Times New Roman"/>
          <w:lang w:val="en-US"/>
        </w:rPr>
        <w:t xml:space="preserve"> per cent</w:t>
      </w:r>
      <w:r w:rsidRPr="003D2333">
        <w:rPr>
          <w:rFonts w:ascii="Times New Roman" w:hAnsi="Times New Roman" w:cs="Times New Roman"/>
          <w:lang w:val="en-US"/>
        </w:rPr>
        <w:t>; * significant at level 10</w:t>
      </w:r>
      <w:r w:rsidR="00BC2EB4">
        <w:rPr>
          <w:rFonts w:ascii="Times New Roman" w:hAnsi="Times New Roman" w:cs="Times New Roman"/>
          <w:lang w:val="en-US"/>
        </w:rPr>
        <w:t xml:space="preserve"> per cent</w:t>
      </w:r>
    </w:p>
    <w:bookmarkEnd w:id="3"/>
    <w:p w14:paraId="4C76BD23" w14:textId="77777777" w:rsidR="003B7924" w:rsidRDefault="003B7924">
      <w:pPr>
        <w:spacing w:after="0" w:line="240" w:lineRule="auto"/>
        <w:rPr>
          <w:rFonts w:ascii="Times New Roman" w:hAnsi="Times New Roman" w:cs="Times New Roman"/>
          <w:b/>
          <w:bCs/>
          <w:sz w:val="24"/>
          <w:szCs w:val="24"/>
        </w:rPr>
      </w:pPr>
    </w:p>
    <w:p w14:paraId="0242D8B6" w14:textId="77777777" w:rsidR="004F3782" w:rsidRDefault="00481EB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Conclusions:</w:t>
      </w:r>
    </w:p>
    <w:p w14:paraId="59806E4B" w14:textId="77777777" w:rsidR="00CC6F96" w:rsidRPr="00CC6F96" w:rsidRDefault="00481EB1" w:rsidP="00CC6F96">
      <w:pPr>
        <w:spacing w:after="0" w:line="360" w:lineRule="auto"/>
        <w:jc w:val="both"/>
        <w:rPr>
          <w:rFonts w:ascii="Times New Roman" w:hAnsi="Times New Roman" w:cs="Times New Roman"/>
          <w:sz w:val="24"/>
          <w:szCs w:val="24"/>
        </w:rPr>
      </w:pPr>
      <w:r w:rsidRPr="00CC6F96">
        <w:rPr>
          <w:rFonts w:ascii="Times New Roman" w:hAnsi="Times New Roman" w:cs="Times New Roman"/>
          <w:sz w:val="24"/>
          <w:szCs w:val="24"/>
        </w:rPr>
        <w:t>This study thoroughly assesses market integration in India's paddy sector by analyzing five major wholesale markets—Kota, Attabira, Sindhanur, Dahod, and Bhatapara—over a 15-year period (20</w:t>
      </w:r>
      <w:r w:rsidRPr="00CC6F96">
        <w:rPr>
          <w:rFonts w:ascii="Times New Roman" w:hAnsi="Times New Roman" w:cs="Times New Roman"/>
          <w:sz w:val="24"/>
          <w:szCs w:val="24"/>
        </w:rPr>
        <w:t>09–2023). The findings reveal that while long-term price integration exists, inefficiencies in short-run adjustments persist due to structural breaks, policy distortions, and supply chain frictions. Some markets, such as Kota and Sindhanur, exhibit stronge</w:t>
      </w:r>
      <w:r w:rsidRPr="00CC6F96">
        <w:rPr>
          <w:rFonts w:ascii="Times New Roman" w:hAnsi="Times New Roman" w:cs="Times New Roman"/>
          <w:sz w:val="24"/>
          <w:szCs w:val="24"/>
        </w:rPr>
        <w:t>r long-term price relationships, whereas others, particularly Attabira and Bhatapara, show weaker linkages, suggesting localized barriers to price transmission. The presence of unidirectional causality in price movements highlights that certain markets inf</w:t>
      </w:r>
      <w:r w:rsidRPr="00CC6F96">
        <w:rPr>
          <w:rFonts w:ascii="Times New Roman" w:hAnsi="Times New Roman" w:cs="Times New Roman"/>
          <w:sz w:val="24"/>
          <w:szCs w:val="24"/>
        </w:rPr>
        <w:t>luence national price formation more significantly than others, underscoring the need for targeted policy interventions to improve market efficiency.</w:t>
      </w:r>
    </w:p>
    <w:p w14:paraId="2F142B96" w14:textId="77777777" w:rsidR="00CC6F96" w:rsidRPr="00CC6F96" w:rsidRDefault="00481EB1" w:rsidP="00CC6F96">
      <w:pPr>
        <w:spacing w:after="0" w:line="360" w:lineRule="auto"/>
        <w:jc w:val="both"/>
        <w:rPr>
          <w:rFonts w:ascii="Times New Roman" w:hAnsi="Times New Roman" w:cs="Times New Roman"/>
          <w:sz w:val="24"/>
          <w:szCs w:val="24"/>
        </w:rPr>
      </w:pPr>
      <w:r w:rsidRPr="00CC6F96">
        <w:rPr>
          <w:rFonts w:ascii="Times New Roman" w:hAnsi="Times New Roman" w:cs="Times New Roman"/>
          <w:sz w:val="24"/>
          <w:szCs w:val="24"/>
        </w:rPr>
        <w:t>Strengthening market information systems is critical to addressing price asymmetry. Real-time price dissem</w:t>
      </w:r>
      <w:r w:rsidRPr="00CC6F96">
        <w:rPr>
          <w:rFonts w:ascii="Times New Roman" w:hAnsi="Times New Roman" w:cs="Times New Roman"/>
          <w:sz w:val="24"/>
          <w:szCs w:val="24"/>
        </w:rPr>
        <w:t>ination through digital platforms, mobile applications, and SMS alerts can empower farmers with better market intelligence. Expanding Agmarknet to provide predictive analytics on expected arrivals and demand trends can help reduce price distortions. Invest</w:t>
      </w:r>
      <w:r w:rsidRPr="00CC6F96">
        <w:rPr>
          <w:rFonts w:ascii="Times New Roman" w:hAnsi="Times New Roman" w:cs="Times New Roman"/>
          <w:sz w:val="24"/>
          <w:szCs w:val="24"/>
        </w:rPr>
        <w:t>ment in rural transport networks, storage facilities, and warehouse receipt systems is equally important to minimize supply chain disruptions. Enhancing the interoperability of e-NAM across states can further improve price discovery and facilitate seamless</w:t>
      </w:r>
      <w:r w:rsidRPr="00CC6F96">
        <w:rPr>
          <w:rFonts w:ascii="Times New Roman" w:hAnsi="Times New Roman" w:cs="Times New Roman"/>
          <w:sz w:val="24"/>
          <w:szCs w:val="24"/>
        </w:rPr>
        <w:t xml:space="preserve"> trade between regions. Addressing inefficiencies in procurement policies is another priority. Decentralized MSP </w:t>
      </w:r>
      <w:r w:rsidRPr="00CC6F96">
        <w:rPr>
          <w:rFonts w:ascii="Times New Roman" w:hAnsi="Times New Roman" w:cs="Times New Roman"/>
          <w:sz w:val="24"/>
          <w:szCs w:val="24"/>
        </w:rPr>
        <w:lastRenderedPageBreak/>
        <w:t>procurement, adjusted to regional surplus and deficit conditions, can improve price stabilization. A state-level buffer stock approach, where s</w:t>
      </w:r>
      <w:r w:rsidRPr="00CC6F96">
        <w:rPr>
          <w:rFonts w:ascii="Times New Roman" w:hAnsi="Times New Roman" w:cs="Times New Roman"/>
          <w:sz w:val="24"/>
          <w:szCs w:val="24"/>
        </w:rPr>
        <w:t>tocks are procured at competitive prices and released strategically, could offer more flexibility than a centralized procurement system. Encouraging direct market linkages through farmer producer organizations (FPOs), contract farming, and cooperatives can</w:t>
      </w:r>
      <w:r w:rsidRPr="00CC6F96">
        <w:rPr>
          <w:rFonts w:ascii="Times New Roman" w:hAnsi="Times New Roman" w:cs="Times New Roman"/>
          <w:sz w:val="24"/>
          <w:szCs w:val="24"/>
        </w:rPr>
        <w:t xml:space="preserve"> reduce intermediary influence, increase farm-gate prices, and ensure a fairer distribution of market benefits.</w:t>
      </w:r>
    </w:p>
    <w:p w14:paraId="33D8D908" w14:textId="77777777" w:rsidR="00CC6F96" w:rsidRPr="00CC6F96" w:rsidRDefault="00481EB1" w:rsidP="00CC6F96">
      <w:pPr>
        <w:spacing w:after="0" w:line="360" w:lineRule="auto"/>
        <w:jc w:val="both"/>
        <w:rPr>
          <w:rFonts w:ascii="Times New Roman" w:hAnsi="Times New Roman" w:cs="Times New Roman"/>
          <w:sz w:val="24"/>
          <w:szCs w:val="24"/>
        </w:rPr>
      </w:pPr>
      <w:r w:rsidRPr="00CC6F96">
        <w:rPr>
          <w:rFonts w:ascii="Times New Roman" w:hAnsi="Times New Roman" w:cs="Times New Roman"/>
          <w:sz w:val="24"/>
          <w:szCs w:val="24"/>
        </w:rPr>
        <w:t>Market-based risk management tools such as price insurance schemes and futures trading can provide financial protection against sudden price sho</w:t>
      </w:r>
      <w:r w:rsidRPr="00CC6F96">
        <w:rPr>
          <w:rFonts w:ascii="Times New Roman" w:hAnsi="Times New Roman" w:cs="Times New Roman"/>
          <w:sz w:val="24"/>
          <w:szCs w:val="24"/>
        </w:rPr>
        <w:t>cks. Expanding these mechanisms, along with climate adaptation strategies such as crop diversification and improved irrigation practices, can enhance market stability and reduce long-term volatility. Beyond immediate interventions, broader reforms in India</w:t>
      </w:r>
      <w:r w:rsidRPr="00CC6F96">
        <w:rPr>
          <w:rFonts w:ascii="Times New Roman" w:hAnsi="Times New Roman" w:cs="Times New Roman"/>
          <w:sz w:val="24"/>
          <w:szCs w:val="24"/>
        </w:rPr>
        <w:t>’s agricultural marketing policies are necessary. Market integration is not solely a function of supply and demand but is shaped by regulatory structures, infrastructure quality, and behavioral dynamics. Strengthening digital connectivity, reducing trade r</w:t>
      </w:r>
      <w:r w:rsidRPr="00CC6F96">
        <w:rPr>
          <w:rFonts w:ascii="Times New Roman" w:hAnsi="Times New Roman" w:cs="Times New Roman"/>
          <w:sz w:val="24"/>
          <w:szCs w:val="24"/>
        </w:rPr>
        <w:t>estrictions, and improving logistics can create a more resilient market system. A regionally tailored approach, where states with weak price transmission receive targeted interventions such as better storage and transport infrastructure, can further enhanc</w:t>
      </w:r>
      <w:r w:rsidRPr="00CC6F96">
        <w:rPr>
          <w:rFonts w:ascii="Times New Roman" w:hAnsi="Times New Roman" w:cs="Times New Roman"/>
          <w:sz w:val="24"/>
          <w:szCs w:val="24"/>
        </w:rPr>
        <w:t>e integration.</w:t>
      </w:r>
    </w:p>
    <w:p w14:paraId="210AE2F2" w14:textId="77777777" w:rsidR="00CC6F96" w:rsidRDefault="00481EB1" w:rsidP="00CC6F96">
      <w:pPr>
        <w:spacing w:after="0" w:line="360" w:lineRule="auto"/>
        <w:jc w:val="both"/>
        <w:rPr>
          <w:rFonts w:ascii="Times New Roman" w:hAnsi="Times New Roman" w:cs="Times New Roman"/>
          <w:sz w:val="24"/>
          <w:szCs w:val="24"/>
        </w:rPr>
      </w:pPr>
      <w:r w:rsidRPr="00CC6F96">
        <w:rPr>
          <w:rFonts w:ascii="Times New Roman" w:hAnsi="Times New Roman" w:cs="Times New Roman"/>
          <w:sz w:val="24"/>
          <w:szCs w:val="24"/>
        </w:rPr>
        <w:t>While this study provides valuable insights, certain limitations should be acknowledged. The reliance on secondary data, though comprehensive, introduces potential inconsistencies in reporting. Future research could incorporate primary surve</w:t>
      </w:r>
      <w:r w:rsidRPr="00CC6F96">
        <w:rPr>
          <w:rFonts w:ascii="Times New Roman" w:hAnsi="Times New Roman" w:cs="Times New Roman"/>
          <w:sz w:val="24"/>
          <w:szCs w:val="24"/>
        </w:rPr>
        <w:t>y data to validate findings. Additionally, the econometric models used assume linear price relationships, whereas real-world markets often exhibit non-linear adjustments. Exploring threshold co-integration models and regime-switching approaches could yield</w:t>
      </w:r>
      <w:r w:rsidRPr="00CC6F96">
        <w:rPr>
          <w:rFonts w:ascii="Times New Roman" w:hAnsi="Times New Roman" w:cs="Times New Roman"/>
          <w:sz w:val="24"/>
          <w:szCs w:val="24"/>
        </w:rPr>
        <w:t xml:space="preserve"> deeper insights. Expanding the study to include more regional trading centers would further enhance understanding of national price linkages and allow for more granular policy recommendations. Addressing these gaps can refine future research and improve m</w:t>
      </w:r>
      <w:r w:rsidRPr="00CC6F96">
        <w:rPr>
          <w:rFonts w:ascii="Times New Roman" w:hAnsi="Times New Roman" w:cs="Times New Roman"/>
          <w:sz w:val="24"/>
          <w:szCs w:val="24"/>
        </w:rPr>
        <w:t>arket integration strategies.</w:t>
      </w:r>
    </w:p>
    <w:p w14:paraId="39B12BFD" w14:textId="77777777" w:rsidR="00A87FD5" w:rsidRDefault="00A87FD5" w:rsidP="00CC6F96">
      <w:pPr>
        <w:spacing w:after="0" w:line="360" w:lineRule="auto"/>
        <w:jc w:val="both"/>
        <w:rPr>
          <w:rFonts w:ascii="Times New Roman" w:hAnsi="Times New Roman" w:cs="Times New Roman"/>
          <w:sz w:val="24"/>
          <w:szCs w:val="24"/>
        </w:rPr>
      </w:pPr>
    </w:p>
    <w:p w14:paraId="5CF16D16" w14:textId="77777777" w:rsidR="00A87FD5" w:rsidRDefault="00A87FD5" w:rsidP="00CC6F96">
      <w:pPr>
        <w:spacing w:after="0" w:line="360" w:lineRule="auto"/>
        <w:jc w:val="both"/>
        <w:rPr>
          <w:rFonts w:ascii="Times New Roman" w:hAnsi="Times New Roman" w:cs="Times New Roman"/>
          <w:sz w:val="24"/>
          <w:szCs w:val="24"/>
        </w:rPr>
      </w:pPr>
    </w:p>
    <w:p w14:paraId="34F2DF93" w14:textId="77777777" w:rsidR="00A87FD5" w:rsidRDefault="00A87FD5" w:rsidP="00CC6F96">
      <w:pPr>
        <w:spacing w:after="0" w:line="360" w:lineRule="auto"/>
        <w:jc w:val="both"/>
        <w:rPr>
          <w:rFonts w:ascii="Times New Roman" w:hAnsi="Times New Roman" w:cs="Times New Roman"/>
          <w:sz w:val="24"/>
          <w:szCs w:val="24"/>
        </w:rPr>
      </w:pPr>
    </w:p>
    <w:p w14:paraId="6477EA89" w14:textId="77777777" w:rsidR="00A87FD5" w:rsidRDefault="00A87FD5" w:rsidP="00CC6F96">
      <w:pPr>
        <w:spacing w:after="0" w:line="360" w:lineRule="auto"/>
        <w:jc w:val="both"/>
        <w:rPr>
          <w:rFonts w:ascii="Times New Roman" w:hAnsi="Times New Roman" w:cs="Times New Roman"/>
          <w:sz w:val="24"/>
          <w:szCs w:val="24"/>
        </w:rPr>
      </w:pPr>
    </w:p>
    <w:p w14:paraId="676D6554" w14:textId="77777777" w:rsidR="00A87FD5" w:rsidRDefault="00A87FD5" w:rsidP="00CC6F96">
      <w:pPr>
        <w:spacing w:after="0" w:line="360" w:lineRule="auto"/>
        <w:jc w:val="both"/>
        <w:rPr>
          <w:rFonts w:ascii="Times New Roman" w:hAnsi="Times New Roman" w:cs="Times New Roman"/>
          <w:sz w:val="24"/>
          <w:szCs w:val="24"/>
        </w:rPr>
      </w:pPr>
    </w:p>
    <w:p w14:paraId="6AD5465E" w14:textId="77777777" w:rsidR="00A87FD5" w:rsidRDefault="00A87FD5" w:rsidP="00CC6F96">
      <w:pPr>
        <w:spacing w:after="0" w:line="360" w:lineRule="auto"/>
        <w:jc w:val="both"/>
        <w:rPr>
          <w:rFonts w:ascii="Times New Roman" w:hAnsi="Times New Roman" w:cs="Times New Roman"/>
          <w:sz w:val="24"/>
          <w:szCs w:val="24"/>
        </w:rPr>
      </w:pPr>
    </w:p>
    <w:p w14:paraId="12F971D9" w14:textId="77777777" w:rsidR="00A87FD5" w:rsidRDefault="00A87FD5" w:rsidP="00CC6F96">
      <w:pPr>
        <w:spacing w:after="0" w:line="360" w:lineRule="auto"/>
        <w:jc w:val="both"/>
        <w:rPr>
          <w:rFonts w:ascii="Times New Roman" w:hAnsi="Times New Roman" w:cs="Times New Roman"/>
          <w:sz w:val="24"/>
          <w:szCs w:val="24"/>
        </w:rPr>
      </w:pPr>
    </w:p>
    <w:p w14:paraId="06914251" w14:textId="77777777" w:rsidR="00A87FD5" w:rsidRDefault="00A87FD5" w:rsidP="00CC6F96">
      <w:pPr>
        <w:spacing w:after="0" w:line="360" w:lineRule="auto"/>
        <w:jc w:val="both"/>
        <w:rPr>
          <w:rFonts w:ascii="Times New Roman" w:hAnsi="Times New Roman" w:cs="Times New Roman"/>
          <w:sz w:val="24"/>
          <w:szCs w:val="24"/>
        </w:rPr>
      </w:pPr>
    </w:p>
    <w:p w14:paraId="0DA9BE8C" w14:textId="77777777" w:rsidR="003A7BAD" w:rsidRPr="00FC1000" w:rsidRDefault="00481EB1" w:rsidP="003A7BAD">
      <w:pPr>
        <w:rPr>
          <w:rFonts w:ascii="Calibri" w:eastAsia="Calibri" w:hAnsi="Calibri" w:cs="Times New Roman"/>
          <w:b/>
          <w:highlight w:val="yellow"/>
          <w:lang w:val="en-US"/>
        </w:rPr>
      </w:pPr>
      <w:bookmarkStart w:id="5" w:name="_Hlk180402183"/>
      <w:bookmarkStart w:id="6" w:name="_Hlk183680988"/>
      <w:r w:rsidRPr="00FC1000">
        <w:rPr>
          <w:rFonts w:ascii="Calibri" w:eastAsia="Calibri" w:hAnsi="Calibri" w:cs="Times New Roman"/>
          <w:b/>
          <w:highlight w:val="yellow"/>
          <w:lang w:val="en-US"/>
        </w:rPr>
        <w:lastRenderedPageBreak/>
        <w:t>Disclaimer (Artificial intelligence)</w:t>
      </w:r>
    </w:p>
    <w:p w14:paraId="43FFBF46" w14:textId="77777777" w:rsidR="003A7BAD" w:rsidRPr="009C5487" w:rsidRDefault="00481EB1" w:rsidP="003A7BAD">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559C608" w14:textId="77777777" w:rsidR="003A7BAD" w:rsidRPr="009C5487" w:rsidRDefault="00481EB1" w:rsidP="003A7BAD">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5"/>
    <w:bookmarkEnd w:id="6"/>
    <w:p w14:paraId="553CC751" w14:textId="77777777" w:rsidR="00CC6F96" w:rsidRPr="007E1607" w:rsidRDefault="00CC6F96">
      <w:pPr>
        <w:spacing w:after="0" w:line="360" w:lineRule="auto"/>
        <w:jc w:val="both"/>
        <w:rPr>
          <w:rFonts w:ascii="Times New Roman" w:hAnsi="Times New Roman" w:cs="Times New Roman"/>
          <w:b/>
          <w:bCs/>
          <w:sz w:val="24"/>
          <w:szCs w:val="24"/>
          <w:lang w:val="en-US"/>
        </w:rPr>
      </w:pPr>
    </w:p>
    <w:p w14:paraId="17B753F5" w14:textId="77777777" w:rsidR="004F3782" w:rsidRDefault="00481EB1">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REFERENCE </w:t>
      </w:r>
    </w:p>
    <w:p w14:paraId="6F1C9633"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Akbari, A., &amp; Ng, L. (2020). Inter</w:t>
      </w:r>
      <w:r w:rsidRPr="009078D3">
        <w:rPr>
          <w:rFonts w:ascii="Times New Roman" w:hAnsi="Times New Roman" w:cs="Times New Roman"/>
          <w:sz w:val="24"/>
          <w:szCs w:val="24"/>
          <w:lang w:val="en-US"/>
        </w:rPr>
        <w:t xml:space="preserve">national market integration: A survey. </w:t>
      </w:r>
      <w:r w:rsidRPr="009078D3">
        <w:rPr>
          <w:rFonts w:ascii="Times New Roman" w:hAnsi="Times New Roman" w:cs="Times New Roman"/>
          <w:i/>
          <w:iCs/>
          <w:sz w:val="24"/>
          <w:szCs w:val="24"/>
          <w:lang w:val="en-US"/>
        </w:rPr>
        <w:t>Asia-Pacific Journal of Financial Studies, 49</w:t>
      </w:r>
      <w:r w:rsidRPr="009078D3">
        <w:rPr>
          <w:rFonts w:ascii="Times New Roman" w:hAnsi="Times New Roman" w:cs="Times New Roman"/>
          <w:sz w:val="24"/>
          <w:szCs w:val="24"/>
          <w:lang w:val="en-US"/>
        </w:rPr>
        <w:t xml:space="preserve">(2), 161. Wiley. </w:t>
      </w:r>
      <w:hyperlink r:id="rId22" w:tgtFrame="_new" w:history="1">
        <w:r w:rsidR="009078D3" w:rsidRPr="009078D3">
          <w:rPr>
            <w:rStyle w:val="Hyperlink"/>
            <w:rFonts w:ascii="Times New Roman" w:hAnsi="Times New Roman" w:cs="Times New Roman"/>
            <w:sz w:val="24"/>
            <w:szCs w:val="24"/>
            <w:lang w:val="en-US"/>
          </w:rPr>
          <w:t>https://doi.org/10.1111/ajfs.12297</w:t>
        </w:r>
      </w:hyperlink>
    </w:p>
    <w:p w14:paraId="36BB0535"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Andrle, M., &amp; Blagrave, P. (2020). Agricultural market inte</w:t>
      </w:r>
      <w:r w:rsidRPr="009078D3">
        <w:rPr>
          <w:rFonts w:ascii="Times New Roman" w:hAnsi="Times New Roman" w:cs="Times New Roman"/>
          <w:sz w:val="24"/>
          <w:szCs w:val="24"/>
          <w:lang w:val="en-US"/>
        </w:rPr>
        <w:t xml:space="preserve">gration in India. </w:t>
      </w:r>
      <w:r w:rsidRPr="009078D3">
        <w:rPr>
          <w:rFonts w:ascii="Times New Roman" w:hAnsi="Times New Roman" w:cs="Times New Roman"/>
          <w:i/>
          <w:iCs/>
          <w:sz w:val="24"/>
          <w:szCs w:val="24"/>
          <w:lang w:val="en-US"/>
        </w:rPr>
        <w:t>IMF Working Paper, 20</w:t>
      </w:r>
      <w:r w:rsidRPr="009078D3">
        <w:rPr>
          <w:rFonts w:ascii="Times New Roman" w:hAnsi="Times New Roman" w:cs="Times New Roman"/>
          <w:sz w:val="24"/>
          <w:szCs w:val="24"/>
          <w:lang w:val="en-US"/>
        </w:rPr>
        <w:t xml:space="preserve">(115). International Monetary Fund. </w:t>
      </w:r>
      <w:hyperlink r:id="rId23" w:tgtFrame="_new" w:history="1">
        <w:r w:rsidR="009078D3" w:rsidRPr="009078D3">
          <w:rPr>
            <w:rStyle w:val="Hyperlink"/>
            <w:rFonts w:ascii="Times New Roman" w:hAnsi="Times New Roman" w:cs="Times New Roman"/>
            <w:sz w:val="24"/>
            <w:szCs w:val="24"/>
            <w:lang w:val="en-US"/>
          </w:rPr>
          <w:t>https://doi.org/10.5089/9781513549163.001</w:t>
        </w:r>
      </w:hyperlink>
    </w:p>
    <w:p w14:paraId="3FC3A4A3"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Bai, J., &amp; Perron, P. (2003). Computation and analysis of multiple stru</w:t>
      </w:r>
      <w:r w:rsidRPr="009078D3">
        <w:rPr>
          <w:rFonts w:ascii="Times New Roman" w:hAnsi="Times New Roman" w:cs="Times New Roman"/>
          <w:sz w:val="24"/>
          <w:szCs w:val="24"/>
          <w:lang w:val="en-US"/>
        </w:rPr>
        <w:t xml:space="preserve">ctural change models. </w:t>
      </w:r>
      <w:r w:rsidRPr="009078D3">
        <w:rPr>
          <w:rFonts w:ascii="Times New Roman" w:hAnsi="Times New Roman" w:cs="Times New Roman"/>
          <w:i/>
          <w:iCs/>
          <w:sz w:val="24"/>
          <w:szCs w:val="24"/>
          <w:lang w:val="en-US"/>
        </w:rPr>
        <w:t>Journal of Applied Econometrics, 18</w:t>
      </w:r>
      <w:r w:rsidRPr="009078D3">
        <w:rPr>
          <w:rFonts w:ascii="Times New Roman" w:hAnsi="Times New Roman" w:cs="Times New Roman"/>
          <w:sz w:val="24"/>
          <w:szCs w:val="24"/>
          <w:lang w:val="en-US"/>
        </w:rPr>
        <w:t>(1), 1–22.</w:t>
      </w:r>
    </w:p>
    <w:p w14:paraId="4F8FC7A6"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Department of Agriculture and Farmers Welfare. (2023). </w:t>
      </w:r>
      <w:r w:rsidRPr="009078D3">
        <w:rPr>
          <w:rFonts w:ascii="Times New Roman" w:hAnsi="Times New Roman" w:cs="Times New Roman"/>
          <w:i/>
          <w:iCs/>
          <w:sz w:val="24"/>
          <w:szCs w:val="24"/>
          <w:lang w:val="en-US"/>
        </w:rPr>
        <w:t>Agricultural statistics at a glance, 2023</w:t>
      </w:r>
      <w:r w:rsidRPr="009078D3">
        <w:rPr>
          <w:rFonts w:ascii="Times New Roman" w:hAnsi="Times New Roman" w:cs="Times New Roman"/>
          <w:sz w:val="24"/>
          <w:szCs w:val="24"/>
          <w:lang w:val="en-US"/>
        </w:rPr>
        <w:t xml:space="preserve">. Ministry of Agriculture and Farmers Welfare, Government of India. </w:t>
      </w:r>
      <w:hyperlink r:id="rId24" w:tgtFrame="_new" w:history="1">
        <w:r w:rsidR="009078D3" w:rsidRPr="009078D3">
          <w:rPr>
            <w:rStyle w:val="Hyperlink"/>
            <w:rFonts w:ascii="Times New Roman" w:hAnsi="Times New Roman" w:cs="Times New Roman"/>
            <w:sz w:val="24"/>
            <w:szCs w:val="24"/>
            <w:lang w:val="en-US"/>
          </w:rPr>
          <w:t>https://desagri.gov.in/wp-content/uploads/2024/09/Agricultural-Statistics-at-a-Glance-2023.pdf</w:t>
        </w:r>
      </w:hyperlink>
    </w:p>
    <w:p w14:paraId="59EAFB40"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Dhende, A., Suryawanshi, R., Patil, R., &amp; </w:t>
      </w:r>
      <w:r w:rsidRPr="009078D3">
        <w:rPr>
          <w:rFonts w:ascii="Times New Roman" w:hAnsi="Times New Roman" w:cs="Times New Roman"/>
          <w:sz w:val="24"/>
          <w:szCs w:val="24"/>
          <w:lang w:val="en-US"/>
        </w:rPr>
        <w:t xml:space="preserve">Shinde, H. (2020). Trends in arrivals and prices of selected agricultural commodities in APMC, Sangli. </w:t>
      </w:r>
      <w:r w:rsidRPr="009078D3">
        <w:rPr>
          <w:rFonts w:ascii="Times New Roman" w:hAnsi="Times New Roman" w:cs="Times New Roman"/>
          <w:i/>
          <w:iCs/>
          <w:sz w:val="24"/>
          <w:szCs w:val="24"/>
          <w:lang w:val="en-US"/>
        </w:rPr>
        <w:t>International Journal of Chemical Studies, 8</w:t>
      </w:r>
      <w:r w:rsidRPr="009078D3">
        <w:rPr>
          <w:rFonts w:ascii="Times New Roman" w:hAnsi="Times New Roman" w:cs="Times New Roman"/>
          <w:sz w:val="24"/>
          <w:szCs w:val="24"/>
          <w:lang w:val="en-US"/>
        </w:rPr>
        <w:t>(6), 2676–2678.</w:t>
      </w:r>
    </w:p>
    <w:p w14:paraId="26B5BF30"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Dickey, D. A., &amp; Fuller, W. A. (1979). Distribution of the estimators for autoregressive time</w:t>
      </w:r>
      <w:r w:rsidRPr="009078D3">
        <w:rPr>
          <w:rFonts w:ascii="Times New Roman" w:hAnsi="Times New Roman" w:cs="Times New Roman"/>
          <w:sz w:val="24"/>
          <w:szCs w:val="24"/>
          <w:lang w:val="en-US"/>
        </w:rPr>
        <w:t xml:space="preserve"> series with unit roots. </w:t>
      </w:r>
      <w:r w:rsidRPr="009078D3">
        <w:rPr>
          <w:rFonts w:ascii="Times New Roman" w:hAnsi="Times New Roman" w:cs="Times New Roman"/>
          <w:i/>
          <w:iCs/>
          <w:sz w:val="24"/>
          <w:szCs w:val="24"/>
          <w:lang w:val="en-US"/>
        </w:rPr>
        <w:t>Journal of the American Statistical Association, 74</w:t>
      </w:r>
      <w:r w:rsidRPr="009078D3">
        <w:rPr>
          <w:rFonts w:ascii="Times New Roman" w:hAnsi="Times New Roman" w:cs="Times New Roman"/>
          <w:sz w:val="24"/>
          <w:szCs w:val="24"/>
          <w:lang w:val="en-US"/>
        </w:rPr>
        <w:t>(366), 427–431.</w:t>
      </w:r>
    </w:p>
    <w:p w14:paraId="25744E5C"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Hamulczuk, M. (2020). Spatial integration of agricultural commodity markets – Methodological problems. </w:t>
      </w:r>
      <w:r w:rsidRPr="009078D3">
        <w:rPr>
          <w:rFonts w:ascii="Times New Roman" w:hAnsi="Times New Roman" w:cs="Times New Roman"/>
          <w:i/>
          <w:iCs/>
          <w:sz w:val="24"/>
          <w:szCs w:val="24"/>
          <w:lang w:val="en-US"/>
        </w:rPr>
        <w:t>Zagadnienia Ekonomiki Rolnej / Problems of Agricultural Econo</w:t>
      </w:r>
      <w:r w:rsidRPr="009078D3">
        <w:rPr>
          <w:rFonts w:ascii="Times New Roman" w:hAnsi="Times New Roman" w:cs="Times New Roman"/>
          <w:i/>
          <w:iCs/>
          <w:sz w:val="24"/>
          <w:szCs w:val="24"/>
          <w:lang w:val="en-US"/>
        </w:rPr>
        <w:t>mics, 263</w:t>
      </w:r>
      <w:r w:rsidRPr="009078D3">
        <w:rPr>
          <w:rFonts w:ascii="Times New Roman" w:hAnsi="Times New Roman" w:cs="Times New Roman"/>
          <w:sz w:val="24"/>
          <w:szCs w:val="24"/>
          <w:lang w:val="en-US"/>
        </w:rPr>
        <w:t xml:space="preserve">(2), 32. </w:t>
      </w:r>
      <w:hyperlink r:id="rId25" w:tgtFrame="_new" w:history="1">
        <w:r w:rsidR="009078D3" w:rsidRPr="009078D3">
          <w:rPr>
            <w:rStyle w:val="Hyperlink"/>
            <w:rFonts w:ascii="Times New Roman" w:hAnsi="Times New Roman" w:cs="Times New Roman"/>
            <w:sz w:val="24"/>
            <w:szCs w:val="24"/>
            <w:lang w:val="en-US"/>
          </w:rPr>
          <w:t>https://doi.org/10.30858/zer/120038</w:t>
        </w:r>
      </w:hyperlink>
    </w:p>
    <w:p w14:paraId="79EEE28E"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Kumar, P., &amp; Sonnad, J. (2023). Study on the market integration between the major markets of pearl millet in Karnataka. </w:t>
      </w:r>
      <w:r w:rsidRPr="009078D3">
        <w:rPr>
          <w:rFonts w:ascii="Times New Roman" w:hAnsi="Times New Roman" w:cs="Times New Roman"/>
          <w:i/>
          <w:iCs/>
          <w:sz w:val="24"/>
          <w:szCs w:val="24"/>
          <w:lang w:val="en-US"/>
        </w:rPr>
        <w:t>International Journa</w:t>
      </w:r>
      <w:r w:rsidRPr="009078D3">
        <w:rPr>
          <w:rFonts w:ascii="Times New Roman" w:hAnsi="Times New Roman" w:cs="Times New Roman"/>
          <w:i/>
          <w:iCs/>
          <w:sz w:val="24"/>
          <w:szCs w:val="24"/>
          <w:lang w:val="en-US"/>
        </w:rPr>
        <w:t>l of Statistics and Applied Mathematics, 8</w:t>
      </w:r>
      <w:r w:rsidRPr="009078D3">
        <w:rPr>
          <w:rFonts w:ascii="Times New Roman" w:hAnsi="Times New Roman" w:cs="Times New Roman"/>
          <w:sz w:val="24"/>
          <w:szCs w:val="24"/>
          <w:lang w:val="en-US"/>
        </w:rPr>
        <w:t>(6S), 658–661.</w:t>
      </w:r>
    </w:p>
    <w:p w14:paraId="5C765832"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Ministry of Finance. (2025). </w:t>
      </w:r>
      <w:r w:rsidRPr="009078D3">
        <w:rPr>
          <w:rFonts w:ascii="Times New Roman" w:hAnsi="Times New Roman" w:cs="Times New Roman"/>
          <w:i/>
          <w:iCs/>
          <w:sz w:val="24"/>
          <w:szCs w:val="24"/>
          <w:lang w:val="en-US"/>
        </w:rPr>
        <w:t>Economic survey, 2024-25</w:t>
      </w:r>
      <w:r w:rsidRPr="009078D3">
        <w:rPr>
          <w:rFonts w:ascii="Times New Roman" w:hAnsi="Times New Roman" w:cs="Times New Roman"/>
          <w:sz w:val="24"/>
          <w:szCs w:val="24"/>
          <w:lang w:val="en-US"/>
        </w:rPr>
        <w:t xml:space="preserve">. Department of Economic Affairs, Government of India. </w:t>
      </w:r>
      <w:hyperlink r:id="rId26" w:tgtFrame="_new" w:history="1">
        <w:r w:rsidR="009078D3" w:rsidRPr="009078D3">
          <w:rPr>
            <w:rStyle w:val="Hyperlink"/>
            <w:rFonts w:ascii="Times New Roman" w:hAnsi="Times New Roman" w:cs="Times New Roman"/>
            <w:sz w:val="24"/>
            <w:szCs w:val="24"/>
            <w:lang w:val="en-US"/>
          </w:rPr>
          <w:t>https://www.indiabudget.gov.in/economicsurvey/</w:t>
        </w:r>
      </w:hyperlink>
    </w:p>
    <w:p w14:paraId="432264AF"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National Sample Survey Office. (2024). </w:t>
      </w:r>
      <w:r w:rsidRPr="009078D3">
        <w:rPr>
          <w:rFonts w:ascii="Times New Roman" w:hAnsi="Times New Roman" w:cs="Times New Roman"/>
          <w:i/>
          <w:iCs/>
          <w:sz w:val="24"/>
          <w:szCs w:val="24"/>
          <w:lang w:val="en-US"/>
        </w:rPr>
        <w:t>Periodic Labour Force Survey: Annual report, 2023-24</w:t>
      </w:r>
      <w:r w:rsidRPr="009078D3">
        <w:rPr>
          <w:rFonts w:ascii="Times New Roman" w:hAnsi="Times New Roman" w:cs="Times New Roman"/>
          <w:sz w:val="24"/>
          <w:szCs w:val="24"/>
          <w:lang w:val="en-US"/>
        </w:rPr>
        <w:t xml:space="preserve">. Ministry of Statistics and Programme Implementation, Government of India. </w:t>
      </w:r>
      <w:hyperlink r:id="rId27" w:tgtFrame="_new" w:history="1">
        <w:r w:rsidR="009078D3" w:rsidRPr="009078D3">
          <w:rPr>
            <w:rStyle w:val="Hyperlink"/>
            <w:rFonts w:ascii="Times New Roman" w:hAnsi="Times New Roman" w:cs="Times New Roman"/>
            <w:sz w:val="24"/>
            <w:szCs w:val="24"/>
            <w:lang w:val="en-US"/>
          </w:rPr>
          <w:t>https://www.mospi.gov.in/sites/default/files/publication_reports/AnnualReport_PLFS2023-24L2.pdf</w:t>
        </w:r>
      </w:hyperlink>
    </w:p>
    <w:p w14:paraId="197D6458"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Neerugatti, M. P., Chavan, R. V., &amp; Bharati, S. V. (2023). Trends and seasonality in arrivals and </w:t>
      </w:r>
      <w:r w:rsidRPr="009078D3">
        <w:rPr>
          <w:rFonts w:ascii="Times New Roman" w:hAnsi="Times New Roman" w:cs="Times New Roman"/>
          <w:sz w:val="24"/>
          <w:szCs w:val="24"/>
          <w:lang w:val="en-US"/>
        </w:rPr>
        <w:t xml:space="preserve">prices of soybean in APMC, Parbhani. </w:t>
      </w:r>
      <w:r w:rsidRPr="009078D3">
        <w:rPr>
          <w:rFonts w:ascii="Times New Roman" w:hAnsi="Times New Roman" w:cs="Times New Roman"/>
          <w:i/>
          <w:iCs/>
          <w:sz w:val="24"/>
          <w:szCs w:val="24"/>
          <w:lang w:val="en-US"/>
        </w:rPr>
        <w:t>Environment and Ecology, 41</w:t>
      </w:r>
      <w:r w:rsidRPr="009078D3">
        <w:rPr>
          <w:rFonts w:ascii="Times New Roman" w:hAnsi="Times New Roman" w:cs="Times New Roman"/>
          <w:sz w:val="24"/>
          <w:szCs w:val="24"/>
          <w:lang w:val="en-US"/>
        </w:rPr>
        <w:t>(4C), 2827–2831.</w:t>
      </w:r>
    </w:p>
    <w:p w14:paraId="7A7F447B"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Paul, R. K., &amp; Karak, T. (2022). Asymmetric price transmission: A case of wheat in India. </w:t>
      </w:r>
      <w:r w:rsidRPr="009078D3">
        <w:rPr>
          <w:rFonts w:ascii="Times New Roman" w:hAnsi="Times New Roman" w:cs="Times New Roman"/>
          <w:i/>
          <w:iCs/>
          <w:sz w:val="24"/>
          <w:szCs w:val="24"/>
          <w:lang w:val="en-US"/>
        </w:rPr>
        <w:t>Agriculture, 12</w:t>
      </w:r>
      <w:r w:rsidRPr="009078D3">
        <w:rPr>
          <w:rFonts w:ascii="Times New Roman" w:hAnsi="Times New Roman" w:cs="Times New Roman"/>
          <w:sz w:val="24"/>
          <w:szCs w:val="24"/>
          <w:lang w:val="en-US"/>
        </w:rPr>
        <w:t xml:space="preserve">(3), 410. Multidisciplinary Digital Publishing Institute. </w:t>
      </w:r>
      <w:hyperlink r:id="rId28" w:tgtFrame="_new" w:history="1">
        <w:r w:rsidR="009078D3" w:rsidRPr="009078D3">
          <w:rPr>
            <w:rStyle w:val="Hyperlink"/>
            <w:rFonts w:ascii="Times New Roman" w:hAnsi="Times New Roman" w:cs="Times New Roman"/>
            <w:sz w:val="24"/>
            <w:szCs w:val="24"/>
            <w:lang w:val="en-US"/>
          </w:rPr>
          <w:t>https://doi.org/10.3390/agriculture12030410</w:t>
        </w:r>
      </w:hyperlink>
    </w:p>
    <w:p w14:paraId="7F730B94"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Pokharkar, J. S. A. V. G., &amp; Yadav, D. B. (2021). Export competitiveness of Indian paddy in international market. </w:t>
      </w:r>
      <w:r w:rsidRPr="009078D3">
        <w:rPr>
          <w:rFonts w:ascii="Times New Roman" w:hAnsi="Times New Roman" w:cs="Times New Roman"/>
          <w:i/>
          <w:iCs/>
          <w:sz w:val="24"/>
          <w:szCs w:val="24"/>
          <w:lang w:val="en-US"/>
        </w:rPr>
        <w:t>International Journal of Curre</w:t>
      </w:r>
      <w:r w:rsidRPr="009078D3">
        <w:rPr>
          <w:rFonts w:ascii="Times New Roman" w:hAnsi="Times New Roman" w:cs="Times New Roman"/>
          <w:i/>
          <w:iCs/>
          <w:sz w:val="24"/>
          <w:szCs w:val="24"/>
          <w:lang w:val="en-US"/>
        </w:rPr>
        <w:t>nt Microbiology and Applied Sciences, 10</w:t>
      </w:r>
      <w:r w:rsidRPr="009078D3">
        <w:rPr>
          <w:rFonts w:ascii="Times New Roman" w:hAnsi="Times New Roman" w:cs="Times New Roman"/>
          <w:sz w:val="24"/>
          <w:szCs w:val="24"/>
          <w:lang w:val="en-US"/>
        </w:rPr>
        <w:t xml:space="preserve">(2), 1829. Excellent Publishers. </w:t>
      </w:r>
      <w:hyperlink r:id="rId29" w:tgtFrame="_new" w:history="1">
        <w:r w:rsidR="009078D3" w:rsidRPr="009078D3">
          <w:rPr>
            <w:rStyle w:val="Hyperlink"/>
            <w:rFonts w:ascii="Times New Roman" w:hAnsi="Times New Roman" w:cs="Times New Roman"/>
            <w:sz w:val="24"/>
            <w:szCs w:val="24"/>
            <w:lang w:val="en-US"/>
          </w:rPr>
          <w:t>https://doi.org/10.20546/ijcmas.2021.1002.216</w:t>
        </w:r>
      </w:hyperlink>
    </w:p>
    <w:p w14:paraId="7B90385B"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Pumihic, M. B. (2023). Profitability of actors in the value chain</w:t>
      </w:r>
      <w:r w:rsidRPr="009078D3">
        <w:rPr>
          <w:rFonts w:ascii="Times New Roman" w:hAnsi="Times New Roman" w:cs="Times New Roman"/>
          <w:sz w:val="24"/>
          <w:szCs w:val="24"/>
          <w:lang w:val="en-US"/>
        </w:rPr>
        <w:t xml:space="preserve"> of commercial rice. </w:t>
      </w:r>
      <w:r w:rsidRPr="009078D3">
        <w:rPr>
          <w:rFonts w:ascii="Times New Roman" w:hAnsi="Times New Roman" w:cs="Times New Roman"/>
          <w:i/>
          <w:iCs/>
          <w:sz w:val="24"/>
          <w:szCs w:val="24"/>
          <w:lang w:val="en-US"/>
        </w:rPr>
        <w:t>International Journal of Engineering Business and Management, 7</w:t>
      </w:r>
      <w:r w:rsidRPr="009078D3">
        <w:rPr>
          <w:rFonts w:ascii="Times New Roman" w:hAnsi="Times New Roman" w:cs="Times New Roman"/>
          <w:sz w:val="24"/>
          <w:szCs w:val="24"/>
          <w:lang w:val="en-US"/>
        </w:rPr>
        <w:t xml:space="preserve">(3), 58. </w:t>
      </w:r>
      <w:hyperlink r:id="rId30" w:tgtFrame="_new" w:history="1">
        <w:r w:rsidR="009078D3" w:rsidRPr="009078D3">
          <w:rPr>
            <w:rStyle w:val="Hyperlink"/>
            <w:rFonts w:ascii="Times New Roman" w:hAnsi="Times New Roman" w:cs="Times New Roman"/>
            <w:sz w:val="24"/>
            <w:szCs w:val="24"/>
            <w:lang w:val="en-US"/>
          </w:rPr>
          <w:t>https://doi.org/10.22161/ijebm.7.3.10</w:t>
        </w:r>
      </w:hyperlink>
    </w:p>
    <w:p w14:paraId="66CEE42E"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Sekhara, K., &amp; Devarajulu, M. (2019). Trends in area, production and productivity of paddy crop: An overview. </w:t>
      </w:r>
      <w:r w:rsidRPr="009078D3">
        <w:rPr>
          <w:rFonts w:ascii="Times New Roman" w:hAnsi="Times New Roman" w:cs="Times New Roman"/>
          <w:i/>
          <w:iCs/>
          <w:sz w:val="24"/>
          <w:szCs w:val="24"/>
          <w:lang w:val="en-US"/>
        </w:rPr>
        <w:t>International Journal of Humanities and Social Science Invention, 8</w:t>
      </w:r>
      <w:r w:rsidRPr="009078D3">
        <w:rPr>
          <w:rFonts w:ascii="Times New Roman" w:hAnsi="Times New Roman" w:cs="Times New Roman"/>
          <w:sz w:val="24"/>
          <w:szCs w:val="24"/>
          <w:lang w:val="en-US"/>
        </w:rPr>
        <w:t>(1), 50–58.</w:t>
      </w:r>
    </w:p>
    <w:p w14:paraId="2A14B2EC"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Sendhil, R., Arti, T., Lal, P., Gururaj, B. M., Jamaludheen, A., Ch</w:t>
      </w:r>
      <w:r w:rsidRPr="009078D3">
        <w:rPr>
          <w:rFonts w:ascii="Times New Roman" w:hAnsi="Times New Roman" w:cs="Times New Roman"/>
          <w:sz w:val="24"/>
          <w:szCs w:val="24"/>
          <w:lang w:val="en-US"/>
        </w:rPr>
        <w:t xml:space="preserve">audhary, U., &amp; Rathore, R. (2019). Price dynamics and extent of integration in Indian wholesale and retail wheat markets. </w:t>
      </w:r>
      <w:r w:rsidRPr="009078D3">
        <w:rPr>
          <w:rFonts w:ascii="Times New Roman" w:hAnsi="Times New Roman" w:cs="Times New Roman"/>
          <w:i/>
          <w:iCs/>
          <w:sz w:val="24"/>
          <w:szCs w:val="24"/>
          <w:lang w:val="en-US"/>
        </w:rPr>
        <w:t>Journal of Agricultural Science and Technology, 21</w:t>
      </w:r>
      <w:r w:rsidRPr="009078D3">
        <w:rPr>
          <w:rFonts w:ascii="Times New Roman" w:hAnsi="Times New Roman" w:cs="Times New Roman"/>
          <w:sz w:val="24"/>
          <w:szCs w:val="24"/>
          <w:lang w:val="en-US"/>
        </w:rPr>
        <w:t>(3), 517–530.</w:t>
      </w:r>
    </w:p>
    <w:p w14:paraId="7720C506"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Udhayan, N., Naik, A. D., &amp; Hiremath, G. M. (2023). Market integration</w:t>
      </w:r>
      <w:r w:rsidRPr="009078D3">
        <w:rPr>
          <w:rFonts w:ascii="Times New Roman" w:hAnsi="Times New Roman" w:cs="Times New Roman"/>
          <w:sz w:val="24"/>
          <w:szCs w:val="24"/>
          <w:lang w:val="en-US"/>
        </w:rPr>
        <w:t xml:space="preserve"> among major wheat markets in India. </w:t>
      </w:r>
      <w:r w:rsidRPr="009078D3">
        <w:rPr>
          <w:rFonts w:ascii="Times New Roman" w:hAnsi="Times New Roman" w:cs="Times New Roman"/>
          <w:i/>
          <w:iCs/>
          <w:sz w:val="24"/>
          <w:szCs w:val="24"/>
          <w:lang w:val="en-US"/>
        </w:rPr>
        <w:t>Asian Journal of Agricultural Extension, Economics &amp; Sociology, 41</w:t>
      </w:r>
      <w:r w:rsidRPr="009078D3">
        <w:rPr>
          <w:rFonts w:ascii="Times New Roman" w:hAnsi="Times New Roman" w:cs="Times New Roman"/>
          <w:sz w:val="24"/>
          <w:szCs w:val="24"/>
          <w:lang w:val="en-US"/>
        </w:rPr>
        <w:t>(10), 317–324.</w:t>
      </w:r>
    </w:p>
    <w:p w14:paraId="3F336759" w14:textId="77777777" w:rsidR="009078D3" w:rsidRPr="009078D3" w:rsidRDefault="00481EB1" w:rsidP="009078D3">
      <w:pPr>
        <w:spacing w:after="0" w:line="360" w:lineRule="auto"/>
        <w:ind w:left="567" w:hanging="567"/>
        <w:jc w:val="both"/>
        <w:rPr>
          <w:rFonts w:ascii="Times New Roman" w:hAnsi="Times New Roman" w:cs="Times New Roman"/>
          <w:sz w:val="24"/>
          <w:szCs w:val="24"/>
          <w:lang w:val="en-US"/>
        </w:rPr>
      </w:pPr>
      <w:r w:rsidRPr="009078D3">
        <w:rPr>
          <w:rFonts w:ascii="Times New Roman" w:hAnsi="Times New Roman" w:cs="Times New Roman"/>
          <w:sz w:val="24"/>
          <w:szCs w:val="24"/>
          <w:lang w:val="en-US"/>
        </w:rPr>
        <w:t xml:space="preserve">Zalkuwi, J. W., &amp; Joshua, T. (2024). Analysis of integration in the wholesale maize and rice markets in Northeast Nigeria. </w:t>
      </w:r>
      <w:r w:rsidRPr="009078D3">
        <w:rPr>
          <w:rFonts w:ascii="Times New Roman" w:hAnsi="Times New Roman" w:cs="Times New Roman"/>
          <w:i/>
          <w:iCs/>
          <w:sz w:val="24"/>
          <w:szCs w:val="24"/>
          <w:lang w:val="en-US"/>
        </w:rPr>
        <w:t>Dutse Journal o</w:t>
      </w:r>
      <w:r w:rsidRPr="009078D3">
        <w:rPr>
          <w:rFonts w:ascii="Times New Roman" w:hAnsi="Times New Roman" w:cs="Times New Roman"/>
          <w:i/>
          <w:iCs/>
          <w:sz w:val="24"/>
          <w:szCs w:val="24"/>
          <w:lang w:val="en-US"/>
        </w:rPr>
        <w:t>f Pure and Applied Sciences, 10</w:t>
      </w:r>
      <w:r w:rsidRPr="009078D3">
        <w:rPr>
          <w:rFonts w:ascii="Times New Roman" w:hAnsi="Times New Roman" w:cs="Times New Roman"/>
          <w:sz w:val="24"/>
          <w:szCs w:val="24"/>
          <w:lang w:val="en-US"/>
        </w:rPr>
        <w:t>(3b), 243–253.</w:t>
      </w:r>
    </w:p>
    <w:p w14:paraId="32109806" w14:textId="77777777" w:rsidR="00FF5473" w:rsidRPr="00FF5473" w:rsidRDefault="00FF5473">
      <w:pPr>
        <w:spacing w:after="0" w:line="360" w:lineRule="auto"/>
        <w:ind w:left="567" w:hanging="567"/>
        <w:jc w:val="both"/>
        <w:rPr>
          <w:rFonts w:ascii="Times New Roman" w:hAnsi="Times New Roman" w:cs="Times New Roman"/>
          <w:sz w:val="24"/>
          <w:szCs w:val="24"/>
          <w:lang w:val="en-US"/>
        </w:rPr>
      </w:pPr>
    </w:p>
    <w:sectPr w:rsidR="00FF5473" w:rsidRPr="00FF5473" w:rsidSect="003B7924">
      <w:pgSz w:w="11906" w:h="16838"/>
      <w:pgMar w:top="1440" w:right="1440" w:bottom="1260" w:left="1440" w:header="708" w:footer="70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A36CD" w14:textId="77777777" w:rsidR="00481EB1" w:rsidRDefault="00481EB1">
      <w:pPr>
        <w:spacing w:after="0" w:line="240" w:lineRule="auto"/>
      </w:pPr>
      <w:r>
        <w:separator/>
      </w:r>
    </w:p>
  </w:endnote>
  <w:endnote w:type="continuationSeparator" w:id="0">
    <w:p w14:paraId="25F56E71" w14:textId="77777777" w:rsidR="00481EB1" w:rsidRDefault="0048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swiss"/>
    <w:pitch w:val="variable"/>
    <w:sig w:usb0="20000287" w:usb1="00000003" w:usb2="00000000" w:usb3="00000000" w:csb0="0000019F" w:csb1="00000000"/>
  </w:font>
  <w:font w:name="Kalinga">
    <w:charset w:val="00"/>
    <w:family w:val="swiss"/>
    <w:pitch w:val="variable"/>
    <w:sig w:usb0="0008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B98B5" w14:textId="77777777" w:rsidR="009B3F32" w:rsidRDefault="009B3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0CB0" w14:textId="77777777" w:rsidR="00624648" w:rsidRPr="00624648" w:rsidRDefault="00624648">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16CB" w14:textId="77777777" w:rsidR="009B3F32" w:rsidRDefault="009B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D2ACB" w14:textId="77777777" w:rsidR="00481EB1" w:rsidRDefault="00481EB1">
      <w:pPr>
        <w:spacing w:after="0" w:line="240" w:lineRule="auto"/>
      </w:pPr>
      <w:r>
        <w:separator/>
      </w:r>
    </w:p>
  </w:footnote>
  <w:footnote w:type="continuationSeparator" w:id="0">
    <w:p w14:paraId="686C13CD" w14:textId="77777777" w:rsidR="00481EB1" w:rsidRDefault="00481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8A55" w14:textId="77777777" w:rsidR="009B3F32" w:rsidRDefault="00481EB1">
    <w:pPr>
      <w:pStyle w:val="Header"/>
    </w:pPr>
    <w:r>
      <w:rPr>
        <w:noProof/>
      </w:rPr>
      <w:pict w14:anchorId="455AE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45829" o:spid="_x0000_s3073"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B8C8" w14:textId="77777777" w:rsidR="009B3F32" w:rsidRDefault="00481EB1">
    <w:pPr>
      <w:pStyle w:val="Header"/>
    </w:pPr>
    <w:r>
      <w:rPr>
        <w:noProof/>
      </w:rPr>
      <w:pict w14:anchorId="4BC32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45830" o:spid="_x0000_s3074" type="#_x0000_t136" style="position:absolute;margin-left:0;margin-top:0;width:572.65pt;height:63.6pt;rotation:315;z-index:-25165619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F6BD" w14:textId="77777777" w:rsidR="009B3F32" w:rsidRDefault="00481EB1">
    <w:pPr>
      <w:pStyle w:val="Header"/>
    </w:pPr>
    <w:r>
      <w:rPr>
        <w:noProof/>
      </w:rPr>
      <w:pict w14:anchorId="19AC9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345828" o:spid="_x0000_s3075" type="#_x0000_t136" style="position:absolute;margin-left:0;margin-top:0;width:572.65pt;height:63.6pt;rotation:315;z-index:-25165824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18051C"/>
    <w:multiLevelType w:val="singleLevel"/>
    <w:tmpl w:val="8618051C"/>
    <w:lvl w:ilvl="0">
      <w:start w:val="1"/>
      <w:numFmt w:val="upperLetter"/>
      <w:suff w:val="space"/>
      <w:lvlText w:val="%1)"/>
      <w:lvlJc w:val="left"/>
    </w:lvl>
  </w:abstractNum>
  <w:abstractNum w:abstractNumId="1" w15:restartNumberingAfterBreak="0">
    <w:nsid w:val="445E0343"/>
    <w:multiLevelType w:val="hybridMultilevel"/>
    <w:tmpl w:val="ACA26DA2"/>
    <w:lvl w:ilvl="0" w:tplc="8E805168">
      <w:start w:val="1"/>
      <w:numFmt w:val="decimal"/>
      <w:lvlText w:val="%1."/>
      <w:lvlJc w:val="left"/>
      <w:pPr>
        <w:ind w:left="720" w:hanging="360"/>
      </w:pPr>
      <w:rPr>
        <w:rFonts w:hint="default"/>
      </w:rPr>
    </w:lvl>
    <w:lvl w:ilvl="1" w:tplc="5220F2EC" w:tentative="1">
      <w:start w:val="1"/>
      <w:numFmt w:val="lowerLetter"/>
      <w:lvlText w:val="%2."/>
      <w:lvlJc w:val="left"/>
      <w:pPr>
        <w:ind w:left="1440" w:hanging="360"/>
      </w:pPr>
    </w:lvl>
    <w:lvl w:ilvl="2" w:tplc="FD94A6AC" w:tentative="1">
      <w:start w:val="1"/>
      <w:numFmt w:val="lowerRoman"/>
      <w:lvlText w:val="%3."/>
      <w:lvlJc w:val="right"/>
      <w:pPr>
        <w:ind w:left="2160" w:hanging="180"/>
      </w:pPr>
    </w:lvl>
    <w:lvl w:ilvl="3" w:tplc="A80AF306" w:tentative="1">
      <w:start w:val="1"/>
      <w:numFmt w:val="decimal"/>
      <w:lvlText w:val="%4."/>
      <w:lvlJc w:val="left"/>
      <w:pPr>
        <w:ind w:left="2880" w:hanging="360"/>
      </w:pPr>
    </w:lvl>
    <w:lvl w:ilvl="4" w:tplc="B4721AC2" w:tentative="1">
      <w:start w:val="1"/>
      <w:numFmt w:val="lowerLetter"/>
      <w:lvlText w:val="%5."/>
      <w:lvlJc w:val="left"/>
      <w:pPr>
        <w:ind w:left="3600" w:hanging="360"/>
      </w:pPr>
    </w:lvl>
    <w:lvl w:ilvl="5" w:tplc="E77ABEF6" w:tentative="1">
      <w:start w:val="1"/>
      <w:numFmt w:val="lowerRoman"/>
      <w:lvlText w:val="%6."/>
      <w:lvlJc w:val="right"/>
      <w:pPr>
        <w:ind w:left="4320" w:hanging="180"/>
      </w:pPr>
    </w:lvl>
    <w:lvl w:ilvl="6" w:tplc="7AC8A736" w:tentative="1">
      <w:start w:val="1"/>
      <w:numFmt w:val="decimal"/>
      <w:lvlText w:val="%7."/>
      <w:lvlJc w:val="left"/>
      <w:pPr>
        <w:ind w:left="5040" w:hanging="360"/>
      </w:pPr>
    </w:lvl>
    <w:lvl w:ilvl="7" w:tplc="589E39FA" w:tentative="1">
      <w:start w:val="1"/>
      <w:numFmt w:val="lowerLetter"/>
      <w:lvlText w:val="%8."/>
      <w:lvlJc w:val="left"/>
      <w:pPr>
        <w:ind w:left="5760" w:hanging="360"/>
      </w:pPr>
    </w:lvl>
    <w:lvl w:ilvl="8" w:tplc="B9C2CE2A" w:tentative="1">
      <w:start w:val="1"/>
      <w:numFmt w:val="lowerRoman"/>
      <w:lvlText w:val="%9."/>
      <w:lvlJc w:val="right"/>
      <w:pPr>
        <w:ind w:left="6480" w:hanging="180"/>
      </w:pPr>
    </w:lvl>
  </w:abstractNum>
  <w:abstractNum w:abstractNumId="2" w15:restartNumberingAfterBreak="0">
    <w:nsid w:val="7762348C"/>
    <w:multiLevelType w:val="multilevel"/>
    <w:tmpl w:val="1926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B0"/>
    <w:rsid w:val="000103FC"/>
    <w:rsid w:val="0002126E"/>
    <w:rsid w:val="000378B0"/>
    <w:rsid w:val="00072D15"/>
    <w:rsid w:val="00095269"/>
    <w:rsid w:val="000B0218"/>
    <w:rsid w:val="000B624B"/>
    <w:rsid w:val="00103078"/>
    <w:rsid w:val="00113A5D"/>
    <w:rsid w:val="0013510B"/>
    <w:rsid w:val="001504AF"/>
    <w:rsid w:val="00157E7A"/>
    <w:rsid w:val="001839C7"/>
    <w:rsid w:val="001845F7"/>
    <w:rsid w:val="001A4B6A"/>
    <w:rsid w:val="001A5814"/>
    <w:rsid w:val="001B25AF"/>
    <w:rsid w:val="001C74C5"/>
    <w:rsid w:val="001F7660"/>
    <w:rsid w:val="00201D5B"/>
    <w:rsid w:val="00241521"/>
    <w:rsid w:val="00280CA9"/>
    <w:rsid w:val="00286B39"/>
    <w:rsid w:val="002A155F"/>
    <w:rsid w:val="002A3451"/>
    <w:rsid w:val="002B21EA"/>
    <w:rsid w:val="002C6AFC"/>
    <w:rsid w:val="002E13A2"/>
    <w:rsid w:val="0030495C"/>
    <w:rsid w:val="003154F0"/>
    <w:rsid w:val="00330CBF"/>
    <w:rsid w:val="003335BA"/>
    <w:rsid w:val="00355EEA"/>
    <w:rsid w:val="00357EE7"/>
    <w:rsid w:val="00381735"/>
    <w:rsid w:val="0038532F"/>
    <w:rsid w:val="00395BEB"/>
    <w:rsid w:val="003A7BAD"/>
    <w:rsid w:val="003B4CEE"/>
    <w:rsid w:val="003B7924"/>
    <w:rsid w:val="003C3807"/>
    <w:rsid w:val="003D2333"/>
    <w:rsid w:val="004004FB"/>
    <w:rsid w:val="0040083D"/>
    <w:rsid w:val="00441E48"/>
    <w:rsid w:val="00474D01"/>
    <w:rsid w:val="0047780F"/>
    <w:rsid w:val="00481EB1"/>
    <w:rsid w:val="004A1182"/>
    <w:rsid w:val="004F3782"/>
    <w:rsid w:val="00503FFD"/>
    <w:rsid w:val="00571461"/>
    <w:rsid w:val="00586AF1"/>
    <w:rsid w:val="005A6A17"/>
    <w:rsid w:val="005B5500"/>
    <w:rsid w:val="005B5AB3"/>
    <w:rsid w:val="005E1C82"/>
    <w:rsid w:val="005E6F75"/>
    <w:rsid w:val="005F66C7"/>
    <w:rsid w:val="0062245D"/>
    <w:rsid w:val="00624648"/>
    <w:rsid w:val="00667043"/>
    <w:rsid w:val="006C2F70"/>
    <w:rsid w:val="006E2527"/>
    <w:rsid w:val="006E5FB5"/>
    <w:rsid w:val="006E72E4"/>
    <w:rsid w:val="006F107D"/>
    <w:rsid w:val="00751D0E"/>
    <w:rsid w:val="007657C2"/>
    <w:rsid w:val="007B2818"/>
    <w:rsid w:val="007C615C"/>
    <w:rsid w:val="007E1607"/>
    <w:rsid w:val="007F20D6"/>
    <w:rsid w:val="008132F2"/>
    <w:rsid w:val="00814D5A"/>
    <w:rsid w:val="0082545E"/>
    <w:rsid w:val="008342DD"/>
    <w:rsid w:val="0084482F"/>
    <w:rsid w:val="00852FF1"/>
    <w:rsid w:val="00865186"/>
    <w:rsid w:val="00881A0F"/>
    <w:rsid w:val="00885B39"/>
    <w:rsid w:val="008A2125"/>
    <w:rsid w:val="009078D3"/>
    <w:rsid w:val="00910DA0"/>
    <w:rsid w:val="00911C8C"/>
    <w:rsid w:val="00920217"/>
    <w:rsid w:val="00920711"/>
    <w:rsid w:val="00943CDF"/>
    <w:rsid w:val="00974E3C"/>
    <w:rsid w:val="00984E11"/>
    <w:rsid w:val="0098674E"/>
    <w:rsid w:val="009867C3"/>
    <w:rsid w:val="00987450"/>
    <w:rsid w:val="009B3F32"/>
    <w:rsid w:val="009C5487"/>
    <w:rsid w:val="009D0E84"/>
    <w:rsid w:val="00A52CB3"/>
    <w:rsid w:val="00A62DFA"/>
    <w:rsid w:val="00A7321F"/>
    <w:rsid w:val="00A87FD5"/>
    <w:rsid w:val="00AB4257"/>
    <w:rsid w:val="00AC4CE9"/>
    <w:rsid w:val="00AE04E0"/>
    <w:rsid w:val="00B003D3"/>
    <w:rsid w:val="00B718E9"/>
    <w:rsid w:val="00B9095F"/>
    <w:rsid w:val="00BB3103"/>
    <w:rsid w:val="00BC2816"/>
    <w:rsid w:val="00BC2EB4"/>
    <w:rsid w:val="00BD46A3"/>
    <w:rsid w:val="00BD7693"/>
    <w:rsid w:val="00C06E66"/>
    <w:rsid w:val="00C435ED"/>
    <w:rsid w:val="00C747EB"/>
    <w:rsid w:val="00C81DF6"/>
    <w:rsid w:val="00C93D2E"/>
    <w:rsid w:val="00CC6F96"/>
    <w:rsid w:val="00CE2027"/>
    <w:rsid w:val="00D0217E"/>
    <w:rsid w:val="00D22965"/>
    <w:rsid w:val="00D36EAE"/>
    <w:rsid w:val="00D5571A"/>
    <w:rsid w:val="00D60340"/>
    <w:rsid w:val="00DC4643"/>
    <w:rsid w:val="00DE198D"/>
    <w:rsid w:val="00DE411F"/>
    <w:rsid w:val="00E1057F"/>
    <w:rsid w:val="00E260FF"/>
    <w:rsid w:val="00E55EE1"/>
    <w:rsid w:val="00E6627C"/>
    <w:rsid w:val="00E87D97"/>
    <w:rsid w:val="00E90364"/>
    <w:rsid w:val="00F055E0"/>
    <w:rsid w:val="00F46E31"/>
    <w:rsid w:val="00F84EEA"/>
    <w:rsid w:val="00F87E4B"/>
    <w:rsid w:val="00F95134"/>
    <w:rsid w:val="00FB3AB6"/>
    <w:rsid w:val="00FC1000"/>
    <w:rsid w:val="00FC603C"/>
    <w:rsid w:val="00FD339D"/>
    <w:rsid w:val="00FE762B"/>
    <w:rsid w:val="00FF5473"/>
    <w:rsid w:val="0599193D"/>
    <w:rsid w:val="0F0528B4"/>
    <w:rsid w:val="12720454"/>
    <w:rsid w:val="1A6D2E09"/>
    <w:rsid w:val="1DEA18CD"/>
    <w:rsid w:val="1F271CAA"/>
    <w:rsid w:val="20E02300"/>
    <w:rsid w:val="22343FDF"/>
    <w:rsid w:val="234B5748"/>
    <w:rsid w:val="26D364C3"/>
    <w:rsid w:val="2B1803C1"/>
    <w:rsid w:val="30F523E0"/>
    <w:rsid w:val="33A930DF"/>
    <w:rsid w:val="344175CA"/>
    <w:rsid w:val="37047086"/>
    <w:rsid w:val="443622CB"/>
    <w:rsid w:val="46E12B6B"/>
    <w:rsid w:val="4BD80CFF"/>
    <w:rsid w:val="4D903179"/>
    <w:rsid w:val="4EB32846"/>
    <w:rsid w:val="536E54A7"/>
    <w:rsid w:val="5A7A778C"/>
    <w:rsid w:val="5AC73323"/>
    <w:rsid w:val="5AEA3E7E"/>
    <w:rsid w:val="615528CF"/>
    <w:rsid w:val="629777EC"/>
    <w:rsid w:val="63FF3BE1"/>
    <w:rsid w:val="67B2192C"/>
    <w:rsid w:val="6D28735C"/>
    <w:rsid w:val="71123D4D"/>
    <w:rsid w:val="71536794"/>
    <w:rsid w:val="737641F5"/>
    <w:rsid w:val="75AA6994"/>
    <w:rsid w:val="79BD2E64"/>
    <w:rsid w:val="7F2B767B"/>
  </w:rsids>
  <m:mathPr>
    <m:mathFont m:val="Cambria Math"/>
    <m:brkBin m:val="before"/>
    <m:brkBinSub m:val="--"/>
    <m:smallFrac m:val="0"/>
    <m:dispDef/>
    <m:lMargin m:val="0"/>
    <m:rMargin m:val="0"/>
    <m:defJc m:val="centerGroup"/>
    <m:wrapIndent m:val="1440"/>
    <m:intLim m:val="subSup"/>
    <m:naryLim m:val="undOvr"/>
  </m:mathPr>
  <w:themeFontLang w:val="en-IN" w:eastAsia="zh-CN" w:bidi="or-I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931A5E6"/>
  <w15:docId w15:val="{3C0EE746-5164-44D8-95C2-1FBE02C2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semiHidden/>
    <w:unhideWhenUsed/>
    <w:qFormat/>
    <w:pPr>
      <w:spacing w:beforeAutospacing="1" w:afterAutospacing="1"/>
    </w:pPr>
    <w:rPr>
      <w:sz w:val="24"/>
      <w:szCs w:val="24"/>
      <w:lang w:eastAsia="zh-C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font11">
    <w:name w:val="font11"/>
    <w:rPr>
      <w:rFonts w:ascii="Times New Roman" w:hAnsi="Times New Roman" w:cs="Times New Roman" w:hint="default"/>
      <w:b/>
      <w:bCs/>
      <w:color w:val="000000"/>
      <w:sz w:val="20"/>
      <w:szCs w:val="20"/>
      <w:u w:val="none"/>
    </w:rPr>
  </w:style>
  <w:style w:type="character" w:customStyle="1" w:styleId="font21">
    <w:name w:val="font21"/>
    <w:rPr>
      <w:rFonts w:ascii="Times New Roman" w:hAnsi="Times New Roman" w:cs="Times New Roman" w:hint="default"/>
      <w:b/>
      <w:bCs/>
      <w:color w:val="000000"/>
      <w:sz w:val="20"/>
      <w:szCs w:val="20"/>
      <w:u w:val="none"/>
    </w:rPr>
  </w:style>
  <w:style w:type="character" w:customStyle="1" w:styleId="font31">
    <w:name w:val="font31"/>
    <w:qFormat/>
    <w:rPr>
      <w:rFonts w:ascii="Times New Roman" w:hAnsi="Times New Roman" w:cs="Times New Roman" w:hint="default"/>
      <w:color w:val="000000"/>
      <w:sz w:val="20"/>
      <w:szCs w:val="20"/>
      <w:u w:val="none"/>
    </w:rPr>
  </w:style>
  <w:style w:type="character" w:styleId="Hyperlink">
    <w:name w:val="Hyperlink"/>
    <w:basedOn w:val="DefaultParagraphFont"/>
    <w:uiPriority w:val="99"/>
    <w:unhideWhenUsed/>
    <w:rsid w:val="002A155F"/>
    <w:rPr>
      <w:color w:val="467886" w:themeColor="hyperlink"/>
      <w:u w:val="single"/>
    </w:rPr>
  </w:style>
  <w:style w:type="character" w:styleId="UnresolvedMention">
    <w:name w:val="Unresolved Mention"/>
    <w:basedOn w:val="DefaultParagraphFont"/>
    <w:uiPriority w:val="99"/>
    <w:semiHidden/>
    <w:unhideWhenUsed/>
    <w:rsid w:val="002A155F"/>
    <w:rPr>
      <w:color w:val="605E5C"/>
      <w:shd w:val="clear" w:color="auto" w:fill="E1DFDD"/>
    </w:rPr>
  </w:style>
  <w:style w:type="paragraph" w:styleId="Header">
    <w:name w:val="header"/>
    <w:basedOn w:val="Normal"/>
    <w:link w:val="HeaderChar"/>
    <w:uiPriority w:val="99"/>
    <w:unhideWhenUsed/>
    <w:rsid w:val="00624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648"/>
    <w:rPr>
      <w:rFonts w:asciiTheme="minorHAnsi" w:eastAsiaTheme="minorHAnsi" w:hAnsiTheme="minorHAnsi" w:cstheme="minorBidi"/>
      <w:kern w:val="2"/>
      <w:sz w:val="22"/>
      <w:szCs w:val="22"/>
      <w:lang w:val="en-IN"/>
      <w14:ligatures w14:val="standardContextual"/>
    </w:rPr>
  </w:style>
  <w:style w:type="paragraph" w:styleId="Footer">
    <w:name w:val="footer"/>
    <w:basedOn w:val="Normal"/>
    <w:link w:val="FooterChar"/>
    <w:uiPriority w:val="99"/>
    <w:unhideWhenUsed/>
    <w:rsid w:val="00624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648"/>
    <w:rPr>
      <w:rFonts w:asciiTheme="minorHAnsi" w:eastAsiaTheme="minorHAnsi" w:hAnsiTheme="minorHAnsi" w:cstheme="minorBidi"/>
      <w:kern w:val="2"/>
      <w:sz w:val="22"/>
      <w:szCs w:val="22"/>
      <w:lang w:val="en-IN"/>
      <w14:ligatures w14:val="standardContextual"/>
    </w:rPr>
  </w:style>
  <w:style w:type="paragraph" w:styleId="FootnoteText">
    <w:name w:val="footnote text"/>
    <w:basedOn w:val="Normal"/>
    <w:link w:val="FootnoteTextChar"/>
    <w:uiPriority w:val="99"/>
    <w:semiHidden/>
    <w:unhideWhenUsed/>
    <w:rsid w:val="006246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648"/>
    <w:rPr>
      <w:rFonts w:asciiTheme="minorHAnsi" w:eastAsiaTheme="minorHAnsi" w:hAnsiTheme="minorHAnsi" w:cstheme="minorBidi"/>
      <w:kern w:val="2"/>
      <w:lang w:val="en-IN"/>
      <w14:ligatures w14:val="standardContextual"/>
    </w:rPr>
  </w:style>
  <w:style w:type="character" w:styleId="FootnoteReference">
    <w:name w:val="footnote reference"/>
    <w:basedOn w:val="DefaultParagraphFont"/>
    <w:uiPriority w:val="99"/>
    <w:semiHidden/>
    <w:unhideWhenUsed/>
    <w:rsid w:val="00624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yperlink" Target="https://www.indiabudget.gov.in/economicsurvey/"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s://doi.org/10.30858/zer/120038"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hyperlink" Target="https://doi.org/10.20546/ijcmas.2021.1002.2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esagri.gov.in/wp-content/uploads/2024/09/Agricultural-Statistics-at-a-Glance-202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doi.org/10.5089/9781513549163.001" TargetMode="External"/><Relationship Id="rId28" Type="http://schemas.openxmlformats.org/officeDocument/2006/relationships/hyperlink" Target="https://doi.org/10.3390/agriculture12030410" TargetMode="Externa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doi.org/10.1111/ajfs.12297" TargetMode="External"/><Relationship Id="rId27" Type="http://schemas.openxmlformats.org/officeDocument/2006/relationships/hyperlink" Target="https://www.mospi.gov.in/sites/default/files/publication_reports/AnnualReport_PLFS2023-24L2.pdf" TargetMode="External"/><Relationship Id="rId30" Type="http://schemas.openxmlformats.org/officeDocument/2006/relationships/hyperlink" Target="https://doi.org/10.22161/ijebm.7.3.1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bhr\OneDrive\Desktop\RACM\MONTHLY%20ARRIVAL\MONTHLY%20ARRIVALS%20-CAGR%20-%20N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wnloads\DESEASONALIS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9140898279E-2"/>
          <c:y val="5.22565320665083E-2"/>
          <c:w val="0.91302644466209604"/>
          <c:h val="0.72574821852731597"/>
        </c:manualLayout>
      </c:layout>
      <c:lineChart>
        <c:grouping val="standard"/>
        <c:varyColors val="0"/>
        <c:ser>
          <c:idx val="0"/>
          <c:order val="0"/>
          <c:tx>
            <c:strRef>
              <c:f>'[MONTHLY ARRIVALS -CAGR - NEW.xlsx]DESEASONALISED ARRIVAL'!$BK$1</c:f>
              <c:strCache>
                <c:ptCount val="1"/>
                <c:pt idx="0">
                  <c:v>KOTA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'[MONTHLY ARRIVALS -CAGR - NEW.xlsx]DESEASONALISED ARRIVAL'!$BJ$2:$BJ$13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ARRIVALS -CAGR - NEW.xlsx]DESEASONALISED ARRIVAL'!$BK$2:$BK$13</c:f>
              <c:numCache>
                <c:formatCode>General</c:formatCode>
                <c:ptCount val="12"/>
                <c:pt idx="0">
                  <c:v>174.55713425256801</c:v>
                </c:pt>
                <c:pt idx="1">
                  <c:v>90.463805235417198</c:v>
                </c:pt>
                <c:pt idx="2">
                  <c:v>60.454437374560001</c:v>
                </c:pt>
                <c:pt idx="3">
                  <c:v>27.887156244442501</c:v>
                </c:pt>
                <c:pt idx="4">
                  <c:v>19.486512465288101</c:v>
                </c:pt>
                <c:pt idx="5">
                  <c:v>13.2253647490934</c:v>
                </c:pt>
                <c:pt idx="6">
                  <c:v>5.8534797159787804</c:v>
                </c:pt>
                <c:pt idx="7">
                  <c:v>9.0395165371020099</c:v>
                </c:pt>
                <c:pt idx="8">
                  <c:v>2.2288700936586001</c:v>
                </c:pt>
                <c:pt idx="9">
                  <c:v>49.8573683433399</c:v>
                </c:pt>
                <c:pt idx="10">
                  <c:v>354.41775161065698</c:v>
                </c:pt>
                <c:pt idx="11">
                  <c:v>392.52860337789502</c:v>
                </c:pt>
              </c:numCache>
            </c:numRef>
          </c:val>
          <c:smooth val="0"/>
          <c:extLst>
            <c:ext xmlns:c16="http://schemas.microsoft.com/office/drawing/2014/chart" uri="{C3380CC4-5D6E-409C-BE32-E72D297353CC}">
              <c16:uniqueId val="{00000000-CEF9-422B-BF6E-808B2B98E37B}"/>
            </c:ext>
          </c:extLst>
        </c:ser>
        <c:ser>
          <c:idx val="1"/>
          <c:order val="1"/>
          <c:tx>
            <c:strRef>
              <c:f>'[MONTHLY ARRIVALS -CAGR - NEW.xlsx]DESEASONALISED ARRIVAL'!$BL$1</c:f>
              <c:strCache>
                <c:ptCount val="1"/>
                <c:pt idx="0">
                  <c:v>ATTABIRA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'[MONTHLY ARRIVALS -CAGR - NEW.xlsx]DESEASONALISED ARRIVAL'!$BJ$2:$BJ$13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ARRIVALS -CAGR - NEW.xlsx]DESEASONALISED ARRIVAL'!$BL$2:$BL$13</c:f>
              <c:numCache>
                <c:formatCode>General</c:formatCode>
                <c:ptCount val="12"/>
                <c:pt idx="0">
                  <c:v>51.398561919096203</c:v>
                </c:pt>
                <c:pt idx="1">
                  <c:v>5.5118306531796399</c:v>
                </c:pt>
                <c:pt idx="2">
                  <c:v>21.430693767768201</c:v>
                </c:pt>
                <c:pt idx="3">
                  <c:v>25.258828198014399</c:v>
                </c:pt>
                <c:pt idx="4">
                  <c:v>334.92724257671898</c:v>
                </c:pt>
                <c:pt idx="5">
                  <c:v>238.53807408050201</c:v>
                </c:pt>
                <c:pt idx="6">
                  <c:v>7.0200305653241699</c:v>
                </c:pt>
                <c:pt idx="7">
                  <c:v>1.16799311619899E-2</c:v>
                </c:pt>
                <c:pt idx="8">
                  <c:v>4.4682768557576004E-3</c:v>
                </c:pt>
                <c:pt idx="9">
                  <c:v>4.4682768557576004E-3</c:v>
                </c:pt>
                <c:pt idx="10">
                  <c:v>96.259586772427795</c:v>
                </c:pt>
                <c:pt idx="11">
                  <c:v>419.63453498209498</c:v>
                </c:pt>
              </c:numCache>
            </c:numRef>
          </c:val>
          <c:smooth val="0"/>
          <c:extLst>
            <c:ext xmlns:c16="http://schemas.microsoft.com/office/drawing/2014/chart" uri="{C3380CC4-5D6E-409C-BE32-E72D297353CC}">
              <c16:uniqueId val="{00000001-CEF9-422B-BF6E-808B2B98E37B}"/>
            </c:ext>
          </c:extLst>
        </c:ser>
        <c:ser>
          <c:idx val="2"/>
          <c:order val="2"/>
          <c:tx>
            <c:strRef>
              <c:f>'[MONTHLY ARRIVALS -CAGR - NEW.xlsx]DESEASONALISED ARRIVAL'!$BM$1</c:f>
              <c:strCache>
                <c:ptCount val="1"/>
                <c:pt idx="0">
                  <c:v>SINDHANUR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'[MONTHLY ARRIVALS -CAGR - NEW.xlsx]DESEASONALISED ARRIVAL'!$BJ$2:$BJ$13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ARRIVALS -CAGR - NEW.xlsx]DESEASONALISED ARRIVAL'!$BM$2:$BM$13</c:f>
              <c:numCache>
                <c:formatCode>General</c:formatCode>
                <c:ptCount val="12"/>
                <c:pt idx="0">
                  <c:v>130.504309748065</c:v>
                </c:pt>
                <c:pt idx="1">
                  <c:v>89.305552505626693</c:v>
                </c:pt>
                <c:pt idx="2">
                  <c:v>90.984632215072594</c:v>
                </c:pt>
                <c:pt idx="3">
                  <c:v>100.72279500612299</c:v>
                </c:pt>
                <c:pt idx="4">
                  <c:v>116.948497799988</c:v>
                </c:pt>
                <c:pt idx="5">
                  <c:v>106.27040289864701</c:v>
                </c:pt>
                <c:pt idx="6">
                  <c:v>106.03533147932301</c:v>
                </c:pt>
                <c:pt idx="7">
                  <c:v>87.793249003706904</c:v>
                </c:pt>
                <c:pt idx="8">
                  <c:v>81.891429888641596</c:v>
                </c:pt>
                <c:pt idx="9">
                  <c:v>82.996104279227893</c:v>
                </c:pt>
                <c:pt idx="10">
                  <c:v>88.027085765109902</c:v>
                </c:pt>
                <c:pt idx="11">
                  <c:v>118.520609410467</c:v>
                </c:pt>
              </c:numCache>
            </c:numRef>
          </c:val>
          <c:smooth val="0"/>
          <c:extLst>
            <c:ext xmlns:c16="http://schemas.microsoft.com/office/drawing/2014/chart" uri="{C3380CC4-5D6E-409C-BE32-E72D297353CC}">
              <c16:uniqueId val="{00000002-CEF9-422B-BF6E-808B2B98E37B}"/>
            </c:ext>
          </c:extLst>
        </c:ser>
        <c:ser>
          <c:idx val="3"/>
          <c:order val="3"/>
          <c:tx>
            <c:strRef>
              <c:f>'[MONTHLY ARRIVALS -CAGR - NEW.xlsx]DESEASONALISED ARRIVAL'!$BN$1</c:f>
              <c:strCache>
                <c:ptCount val="1"/>
                <c:pt idx="0">
                  <c:v>DAHOD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'[MONTHLY ARRIVALS -CAGR - NEW.xlsx]DESEASONALISED ARRIVAL'!$BJ$2:$BJ$13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ARRIVALS -CAGR - NEW.xlsx]DESEASONALISED ARRIVAL'!$BN$2:$BN$13</c:f>
              <c:numCache>
                <c:formatCode>General</c:formatCode>
                <c:ptCount val="12"/>
                <c:pt idx="0">
                  <c:v>110.92120999370501</c:v>
                </c:pt>
                <c:pt idx="1">
                  <c:v>81.131006193290006</c:v>
                </c:pt>
                <c:pt idx="2">
                  <c:v>79.280264439815596</c:v>
                </c:pt>
                <c:pt idx="3">
                  <c:v>62.348422948443996</c:v>
                </c:pt>
                <c:pt idx="4">
                  <c:v>59.016373531237001</c:v>
                </c:pt>
                <c:pt idx="5">
                  <c:v>72.689027935270502</c:v>
                </c:pt>
                <c:pt idx="6">
                  <c:v>83.898782046831101</c:v>
                </c:pt>
                <c:pt idx="7">
                  <c:v>66.083457719720997</c:v>
                </c:pt>
                <c:pt idx="8">
                  <c:v>66.559370730728403</c:v>
                </c:pt>
                <c:pt idx="9">
                  <c:v>93.112383607998694</c:v>
                </c:pt>
                <c:pt idx="10">
                  <c:v>225.92467182832601</c:v>
                </c:pt>
                <c:pt idx="11">
                  <c:v>199.03502902463299</c:v>
                </c:pt>
              </c:numCache>
            </c:numRef>
          </c:val>
          <c:smooth val="0"/>
          <c:extLst>
            <c:ext xmlns:c16="http://schemas.microsoft.com/office/drawing/2014/chart" uri="{C3380CC4-5D6E-409C-BE32-E72D297353CC}">
              <c16:uniqueId val="{00000003-CEF9-422B-BF6E-808B2B98E37B}"/>
            </c:ext>
          </c:extLst>
        </c:ser>
        <c:ser>
          <c:idx val="4"/>
          <c:order val="4"/>
          <c:tx>
            <c:strRef>
              <c:f>'[MONTHLY ARRIVALS -CAGR - NEW.xlsx]DESEASONALISED ARRIVAL'!$BO$1</c:f>
              <c:strCache>
                <c:ptCount val="1"/>
                <c:pt idx="0">
                  <c:v>BHATAPARA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'[MONTHLY ARRIVALS -CAGR - NEW.xlsx]DESEASONALISED ARRIVAL'!$BJ$2:$BJ$13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 ARRIVALS -CAGR - NEW.xlsx]DESEASONALISED ARRIVAL'!$BO$2:$BO$13</c:f>
              <c:numCache>
                <c:formatCode>General</c:formatCode>
                <c:ptCount val="12"/>
                <c:pt idx="0">
                  <c:v>109.94497857033799</c:v>
                </c:pt>
                <c:pt idx="1">
                  <c:v>89.080442959034698</c:v>
                </c:pt>
                <c:pt idx="2">
                  <c:v>63.852226471279401</c:v>
                </c:pt>
                <c:pt idx="3">
                  <c:v>56.425086922937098</c:v>
                </c:pt>
                <c:pt idx="4">
                  <c:v>130.85415460922599</c:v>
                </c:pt>
                <c:pt idx="5">
                  <c:v>137.143885066726</c:v>
                </c:pt>
                <c:pt idx="6">
                  <c:v>98.300185867594294</c:v>
                </c:pt>
                <c:pt idx="7">
                  <c:v>81.4667905310789</c:v>
                </c:pt>
                <c:pt idx="8">
                  <c:v>86.081035923073998</c:v>
                </c:pt>
                <c:pt idx="9">
                  <c:v>93.556897323667499</c:v>
                </c:pt>
                <c:pt idx="10">
                  <c:v>115.29263520356599</c:v>
                </c:pt>
                <c:pt idx="11">
                  <c:v>138.00168055147699</c:v>
                </c:pt>
              </c:numCache>
            </c:numRef>
          </c:val>
          <c:smooth val="0"/>
          <c:extLst>
            <c:ext xmlns:c16="http://schemas.microsoft.com/office/drawing/2014/chart" uri="{C3380CC4-5D6E-409C-BE32-E72D297353CC}">
              <c16:uniqueId val="{00000004-CEF9-422B-BF6E-808B2B98E37B}"/>
            </c:ext>
          </c:extLst>
        </c:ser>
        <c:dLbls>
          <c:showLegendKey val="0"/>
          <c:showVal val="0"/>
          <c:showCatName val="0"/>
          <c:showSerName val="0"/>
          <c:showPercent val="0"/>
          <c:showBubbleSize val="0"/>
        </c:dLbls>
        <c:marker val="1"/>
        <c:smooth val="0"/>
        <c:axId val="1658223775"/>
        <c:axId val="1658206015"/>
      </c:lineChart>
      <c:catAx>
        <c:axId val="165822377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658206015"/>
        <c:crosses val="autoZero"/>
        <c:auto val="1"/>
        <c:lblAlgn val="ctr"/>
        <c:lblOffset val="100"/>
        <c:noMultiLvlLbl val="0"/>
      </c:catAx>
      <c:valAx>
        <c:axId val="1658206015"/>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1658223775"/>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Entry>
      <c:legendEntry>
        <c:idx val="1"/>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Entry>
      <c:legendEntry>
        <c:idx val="2"/>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Entry>
      <c:legendEntry>
        <c:idx val="3"/>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Entry>
      <c:legendEntry>
        <c:idx val="4"/>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lang="en-US">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[DESEASONALISED.xlsx]Sheet1!$H$1</c:f>
              <c:strCache>
                <c:ptCount val="1"/>
                <c:pt idx="0">
                  <c:v>KOTA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1.9243986254295534E-2"/>
                  <c:y val="-1.42585551330798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5E-4244-A21F-E469E793CD59}"/>
                </c:ext>
              </c:extLst>
            </c:dLbl>
            <c:dLbl>
              <c:idx val="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5E-4244-A21F-E469E793CD59}"/>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[DESEASONALISED.xlsx]Sheet1!$G$2:$G$13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[DESEASONALISED.xlsx]Sheet1!$H$2:$H$13</c:f>
              <c:numCache>
                <c:formatCode>0.00</c:formatCode>
                <c:ptCount val="12"/>
                <c:pt idx="0">
                  <c:v>101.72735553814699</c:v>
                </c:pt>
                <c:pt idx="1">
                  <c:v>101.27009798386</c:v>
                </c:pt>
                <c:pt idx="2">
                  <c:v>100.826222840409</c:v>
                </c:pt>
                <c:pt idx="3">
                  <c:v>107.25380282623</c:v>
                </c:pt>
                <c:pt idx="4">
                  <c:v>106.30003229850399</c:v>
                </c:pt>
                <c:pt idx="5">
                  <c:v>104.167552179407</c:v>
                </c:pt>
                <c:pt idx="6">
                  <c:v>103.085546877965</c:v>
                </c:pt>
                <c:pt idx="7">
                  <c:v>96.792030227047206</c:v>
                </c:pt>
                <c:pt idx="8">
                  <c:v>89.860157539169705</c:v>
                </c:pt>
                <c:pt idx="9">
                  <c:v>89.252731000454403</c:v>
                </c:pt>
                <c:pt idx="10">
                  <c:v>98.468095065870997</c:v>
                </c:pt>
                <c:pt idx="11">
                  <c:v>100.996375622936</c:v>
                </c:pt>
              </c:numCache>
            </c:numRef>
          </c:val>
          <c:smooth val="0"/>
          <c:extLst>
            <c:ext xmlns:c16="http://schemas.microsoft.com/office/drawing/2014/chart" uri="{C3380CC4-5D6E-409C-BE32-E72D297353CC}">
              <c16:uniqueId val="{00000000-EDF5-4320-AD82-63B42F1476D5}"/>
            </c:ext>
          </c:extLst>
        </c:ser>
        <c:ser>
          <c:idx val="1"/>
          <c:order val="1"/>
          <c:tx>
            <c:strRef>
              <c:f>[DESEASONALISED.xlsx]Sheet1!$I$1</c:f>
              <c:strCache>
                <c:ptCount val="1"/>
                <c:pt idx="0">
                  <c:v>ATTABIRA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[DESEASONALISED.xlsx]Sheet1!$G$2:$G$13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[DESEASONALISED.xlsx]Sheet1!$I$2:$I$13</c:f>
              <c:numCache>
                <c:formatCode>0.00</c:formatCode>
                <c:ptCount val="12"/>
                <c:pt idx="0">
                  <c:v>96.732939292822806</c:v>
                </c:pt>
                <c:pt idx="1">
                  <c:v>97.416858991087807</c:v>
                </c:pt>
                <c:pt idx="2">
                  <c:v>98.090490922581495</c:v>
                </c:pt>
                <c:pt idx="3">
                  <c:v>98.753342378167403</c:v>
                </c:pt>
                <c:pt idx="4">
                  <c:v>98.7613045578141</c:v>
                </c:pt>
                <c:pt idx="5">
                  <c:v>98.898652156719294</c:v>
                </c:pt>
                <c:pt idx="6">
                  <c:v>100.945396958258</c:v>
                </c:pt>
                <c:pt idx="7">
                  <c:v>100.177046622354</c:v>
                </c:pt>
                <c:pt idx="8">
                  <c:v>100.442445770216</c:v>
                </c:pt>
                <c:pt idx="9">
                  <c:v>100.127939674172</c:v>
                </c:pt>
                <c:pt idx="10">
                  <c:v>104.526219056241</c:v>
                </c:pt>
                <c:pt idx="11">
                  <c:v>105.127363619565</c:v>
                </c:pt>
              </c:numCache>
            </c:numRef>
          </c:val>
          <c:smooth val="0"/>
          <c:extLst>
            <c:ext xmlns:c16="http://schemas.microsoft.com/office/drawing/2014/chart" uri="{C3380CC4-5D6E-409C-BE32-E72D297353CC}">
              <c16:uniqueId val="{00000001-EDF5-4320-AD82-63B42F1476D5}"/>
            </c:ext>
          </c:extLst>
        </c:ser>
        <c:ser>
          <c:idx val="2"/>
          <c:order val="2"/>
          <c:tx>
            <c:strRef>
              <c:f>[DESEASONALISED.xlsx]Sheet1!$J$1</c:f>
              <c:strCache>
                <c:ptCount val="1"/>
                <c:pt idx="0">
                  <c:v>SINDHANUR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[DESEASONALISED.xlsx]Sheet1!$G$2:$G$13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[DESEASONALISED.xlsx]Sheet1!$J$2:$J$13</c:f>
              <c:numCache>
                <c:formatCode>0.00</c:formatCode>
                <c:ptCount val="12"/>
                <c:pt idx="0">
                  <c:v>98.959813935826404</c:v>
                </c:pt>
                <c:pt idx="1">
                  <c:v>101.776063011022</c:v>
                </c:pt>
                <c:pt idx="2">
                  <c:v>104.50432450343</c:v>
                </c:pt>
                <c:pt idx="3">
                  <c:v>97.042798460279201</c:v>
                </c:pt>
                <c:pt idx="4">
                  <c:v>92.494761263077805</c:v>
                </c:pt>
                <c:pt idx="5">
                  <c:v>96.355168428367406</c:v>
                </c:pt>
                <c:pt idx="6">
                  <c:v>98.149529874548406</c:v>
                </c:pt>
                <c:pt idx="7">
                  <c:v>100.03935668747</c:v>
                </c:pt>
                <c:pt idx="8">
                  <c:v>102.75571912950601</c:v>
                </c:pt>
                <c:pt idx="9">
                  <c:v>104.51535758012901</c:v>
                </c:pt>
                <c:pt idx="10">
                  <c:v>102.107367588884</c:v>
                </c:pt>
                <c:pt idx="11">
                  <c:v>101.299739537459</c:v>
                </c:pt>
              </c:numCache>
            </c:numRef>
          </c:val>
          <c:smooth val="0"/>
          <c:extLst>
            <c:ext xmlns:c16="http://schemas.microsoft.com/office/drawing/2014/chart" uri="{C3380CC4-5D6E-409C-BE32-E72D297353CC}">
              <c16:uniqueId val="{00000002-EDF5-4320-AD82-63B42F1476D5}"/>
            </c:ext>
          </c:extLst>
        </c:ser>
        <c:ser>
          <c:idx val="3"/>
          <c:order val="3"/>
          <c:tx>
            <c:strRef>
              <c:f>[DESEASONALISED.xlsx]Sheet1!$K$1</c:f>
              <c:strCache>
                <c:ptCount val="1"/>
                <c:pt idx="0">
                  <c:v>DAHOD</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[DESEASONALISED.xlsx]Sheet1!$G$2:$G$13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[DESEASONALISED.xlsx]Sheet1!$K$2:$K$13</c:f>
              <c:numCache>
                <c:formatCode>0.00</c:formatCode>
                <c:ptCount val="12"/>
                <c:pt idx="0">
                  <c:v>97.820360645261502</c:v>
                </c:pt>
                <c:pt idx="1">
                  <c:v>98.775140513667907</c:v>
                </c:pt>
                <c:pt idx="2">
                  <c:v>98.408288217273096</c:v>
                </c:pt>
                <c:pt idx="3">
                  <c:v>100.18108015895299</c:v>
                </c:pt>
                <c:pt idx="4">
                  <c:v>99.578195049276601</c:v>
                </c:pt>
                <c:pt idx="5">
                  <c:v>100.970665971485</c:v>
                </c:pt>
                <c:pt idx="6">
                  <c:v>104.609512018057</c:v>
                </c:pt>
                <c:pt idx="7">
                  <c:v>104.68554889593599</c:v>
                </c:pt>
                <c:pt idx="8">
                  <c:v>102.58936276155301</c:v>
                </c:pt>
                <c:pt idx="9">
                  <c:v>95.217036723549</c:v>
                </c:pt>
                <c:pt idx="10">
                  <c:v>97.883798472345902</c:v>
                </c:pt>
                <c:pt idx="11">
                  <c:v>99.281010572642799</c:v>
                </c:pt>
              </c:numCache>
            </c:numRef>
          </c:val>
          <c:smooth val="0"/>
          <c:extLst>
            <c:ext xmlns:c16="http://schemas.microsoft.com/office/drawing/2014/chart" uri="{C3380CC4-5D6E-409C-BE32-E72D297353CC}">
              <c16:uniqueId val="{00000003-EDF5-4320-AD82-63B42F1476D5}"/>
            </c:ext>
          </c:extLst>
        </c:ser>
        <c:ser>
          <c:idx val="4"/>
          <c:order val="4"/>
          <c:tx>
            <c:strRef>
              <c:f>[DESEASONALISED.xlsx]Sheet1!$L$1</c:f>
              <c:strCache>
                <c:ptCount val="1"/>
                <c:pt idx="0">
                  <c:v>BHATAPARA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[DESEASONALISED.xlsx]Sheet1!$G$2:$G$13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[DESEASONALISED.xlsx]Sheet1!$L$2:$L$13</c:f>
              <c:numCache>
                <c:formatCode>0.00</c:formatCode>
                <c:ptCount val="12"/>
                <c:pt idx="0">
                  <c:v>94.026582498934999</c:v>
                </c:pt>
                <c:pt idx="1">
                  <c:v>96.968911578844597</c:v>
                </c:pt>
                <c:pt idx="2">
                  <c:v>96.562228237824598</c:v>
                </c:pt>
                <c:pt idx="3">
                  <c:v>97.214299917925302</c:v>
                </c:pt>
                <c:pt idx="4">
                  <c:v>97.364050625594203</c:v>
                </c:pt>
                <c:pt idx="5">
                  <c:v>98.963154920132794</c:v>
                </c:pt>
                <c:pt idx="6">
                  <c:v>100.678257218363</c:v>
                </c:pt>
                <c:pt idx="7">
                  <c:v>103.221207495489</c:v>
                </c:pt>
                <c:pt idx="8">
                  <c:v>107.115399155685</c:v>
                </c:pt>
                <c:pt idx="9">
                  <c:v>105.383950620386</c:v>
                </c:pt>
                <c:pt idx="10">
                  <c:v>103.105042973978</c:v>
                </c:pt>
                <c:pt idx="11">
                  <c:v>99.396914756843103</c:v>
                </c:pt>
              </c:numCache>
            </c:numRef>
          </c:val>
          <c:smooth val="0"/>
          <c:extLst>
            <c:ext xmlns:c16="http://schemas.microsoft.com/office/drawing/2014/chart" uri="{C3380CC4-5D6E-409C-BE32-E72D297353CC}">
              <c16:uniqueId val="{00000004-EDF5-4320-AD82-63B42F1476D5}"/>
            </c:ext>
          </c:extLst>
        </c:ser>
        <c:dLbls>
          <c:showLegendKey val="0"/>
          <c:showVal val="0"/>
          <c:showCatName val="0"/>
          <c:showSerName val="0"/>
          <c:showPercent val="0"/>
          <c:showBubbleSize val="0"/>
        </c:dLbls>
        <c:marker val="1"/>
        <c:smooth val="0"/>
        <c:axId val="1763265935"/>
        <c:axId val="1763255951"/>
      </c:lineChart>
      <c:catAx>
        <c:axId val="176326593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0" spcFirstLastPara="1" vertOverflow="ellipsis" wrap="square" anchor="ctr" anchorCtr="1"/>
          <a:lstStyle/>
          <a:p>
            <a:pPr>
              <a:defRPr lang="en-US" sz="800" b="0" i="0" u="none" strike="noStrike" kern="1200" baseline="0">
                <a:solidFill>
                  <a:sysClr val="windowText" lastClr="000000"/>
                </a:solidFill>
                <a:latin typeface="+mn-lt"/>
                <a:ea typeface="+mn-ea"/>
                <a:cs typeface="+mn-cs"/>
              </a:defRPr>
            </a:pPr>
            <a:endParaRPr lang="en-US"/>
          </a:p>
        </c:txPr>
        <c:crossAx val="1763255951"/>
        <c:crosses val="autoZero"/>
        <c:auto val="1"/>
        <c:lblAlgn val="ctr"/>
        <c:lblOffset val="100"/>
        <c:tickLblSkip val="1"/>
        <c:noMultiLvlLbl val="0"/>
      </c:catAx>
      <c:valAx>
        <c:axId val="1763255951"/>
        <c:scaling>
          <c:orientation val="minMax"/>
          <c:min val="85"/>
        </c:scaling>
        <c:delete val="0"/>
        <c:axPos val="l"/>
        <c:majorGridlines>
          <c:spPr>
            <a:ln w="9525">
              <a:solidFill>
                <a:schemeClr val="tx1">
                  <a:lumMod val="15000"/>
                  <a:lumOff val="85000"/>
                </a:schemeClr>
              </a:solidFill>
              <a:round/>
            </a:ln>
            <a:effectLst/>
          </c:spPr>
        </c:majorGridlines>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crossAx val="176326593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Entry>
      <c:legendEntry>
        <c:idx val="2"/>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Entry>
      <c:legendEntry>
        <c:idx val="3"/>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Entry>
      <c:legendEntry>
        <c:idx val="4"/>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Entry>
      <c:overlay val="0"/>
      <c:spPr>
        <a:noFill/>
        <a:ln>
          <a:noFill/>
        </a:ln>
        <a:effectLst/>
      </c:spPr>
      <c:txPr>
        <a:bodyPr rot="0" spcFirstLastPara="0" vertOverflow="ellipsis" vert="horz" wrap="square" anchor="ctr" anchorCtr="1"/>
        <a:lstStyle/>
        <a:p>
          <a:pPr>
            <a:defRPr lang="en-US" sz="8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a:noFill/>
      <a:round/>
    </a:ln>
    <a:effectLst/>
  </c:spPr>
  <c:txPr>
    <a:bodyPr/>
    <a:lstStyle/>
    <a:p>
      <a:pPr>
        <a:defRPr lang="en-US" sz="8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67376-21AE-4042-967C-FBE047B7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17</Pages>
  <Words>6138</Words>
  <Characters>34993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3606</dc:creator>
  <cp:lastModifiedBy>SDI 1183</cp:lastModifiedBy>
  <cp:revision>69</cp:revision>
  <cp:lastPrinted>2025-02-11T06:52:00Z</cp:lastPrinted>
  <dcterms:created xsi:type="dcterms:W3CDTF">2024-01-15T14:01:00Z</dcterms:created>
  <dcterms:modified xsi:type="dcterms:W3CDTF">2025-03-13T06:43:00Z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9C0EC99F9A3D48CD9C627F264899F6D4_12</vt:lpwstr>
  </property>
  <property fmtid="{D5CDD505-2E9C-101B-9397-08002B2CF9AE}" pid="3" name="KSOProductBuildVer">
    <vt:lpwstr>1033-12.2.0.13472</vt:lpwstr>
  </property>
</Properties>
</file>