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6FEE3" w14:textId="7A149A38" w:rsidR="00163BC4" w:rsidRPr="00163BC4" w:rsidRDefault="00584FB2" w:rsidP="00584FB2">
      <w:pPr>
        <w:pStyle w:val="Author"/>
        <w:spacing w:after="240" w:line="240" w:lineRule="auto"/>
        <w:rPr>
          <w:rFonts w:ascii="Arial" w:hAnsi="Arial" w:cs="Arial"/>
          <w:bCs/>
          <w:iCs/>
          <w:kern w:val="28"/>
          <w:sz w:val="36"/>
        </w:rPr>
      </w:pPr>
      <w:r w:rsidRPr="00584FB2">
        <w:rPr>
          <w:rFonts w:ascii="Arial" w:hAnsi="Arial" w:cs="Arial"/>
          <w:bCs/>
          <w:iCs/>
          <w:kern w:val="28"/>
          <w:sz w:val="36"/>
        </w:rPr>
        <w:t>ASSESSMENT AND IMPACT OF PESTICIDE RESIDUES ON COMMONLY CONSUMED FRUITS: A COMPREHENSIVE ANALYSIS</w:t>
      </w:r>
      <w:r w:rsidR="00231920">
        <w:rPr>
          <w:rFonts w:ascii="Arial" w:hAnsi="Arial" w:cs="Arial"/>
          <w:bCs/>
          <w:iCs/>
          <w:kern w:val="28"/>
          <w:sz w:val="36"/>
        </w:rPr>
        <w:t xml:space="preserve"> </w:t>
      </w:r>
    </w:p>
    <w:p w14:paraId="2EB3991D" w14:textId="69C6B194" w:rsidR="003D0EEC" w:rsidRDefault="003D0EEC" w:rsidP="2F9BF948">
      <w:pPr>
        <w:pStyle w:val="Affiliation"/>
        <w:spacing w:after="0" w:line="240" w:lineRule="auto"/>
        <w:rPr>
          <w:rFonts w:ascii="Arial" w:hAnsi="Arial" w:cs="Arial"/>
          <w:i/>
          <w:iCs/>
        </w:rPr>
      </w:pPr>
    </w:p>
    <w:p w14:paraId="069770F8" w14:textId="77777777" w:rsidR="00027F6F" w:rsidRDefault="00027F6F" w:rsidP="2F9BF948">
      <w:pPr>
        <w:pStyle w:val="Affiliation"/>
        <w:spacing w:after="0" w:line="240" w:lineRule="auto"/>
        <w:rPr>
          <w:rFonts w:ascii="Arial" w:hAnsi="Arial" w:cs="Arial"/>
          <w:i/>
          <w:iCs/>
        </w:rPr>
      </w:pPr>
    </w:p>
    <w:p w14:paraId="2E035E32" w14:textId="77777777" w:rsidR="00790ADA" w:rsidRDefault="00790ADA" w:rsidP="00441B6F">
      <w:pPr>
        <w:pStyle w:val="Affiliation"/>
        <w:spacing w:after="0" w:line="240" w:lineRule="auto"/>
        <w:jc w:val="both"/>
        <w:rPr>
          <w:rFonts w:ascii="Arial" w:hAnsi="Arial" w:cs="Arial"/>
        </w:rPr>
      </w:pPr>
    </w:p>
    <w:p w14:paraId="34CB26B3" w14:textId="177D9784" w:rsidR="00B01FCD" w:rsidRPr="00FB3A86" w:rsidRDefault="00A566AD" w:rsidP="00441B6F">
      <w:pPr>
        <w:pStyle w:val="Copyright"/>
        <w:spacing w:after="0" w:line="240" w:lineRule="auto"/>
        <w:jc w:val="both"/>
        <w:rPr>
          <w:rFonts w:ascii="Arial" w:hAnsi="Arial" w:cs="Arial"/>
        </w:rPr>
        <w:sectPr w:rsidR="00B01FCD" w:rsidRPr="00FB3A86" w:rsidSect="00027F6F">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C619C6D" wp14:editId="2E4B3D5B">
                <wp:extent cx="5303520" cy="635"/>
                <wp:effectExtent l="13335" t="13335" r="17145" b="15240"/>
                <wp:docPr id="4676858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E792D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qUJgIAAEQ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" strokeweight="1.5pt">
                <w10:anchorlock/>
              </v:shape>
            </w:pict>
          </mc:Fallback>
        </mc:AlternateContent>
      </w:r>
      <w:r w:rsidR="00FB3A86">
        <w:rPr>
          <w:rFonts w:ascii="Arial" w:hAnsi="Arial" w:cs="Arial"/>
        </w:rPr>
        <w:t>.</w:t>
      </w:r>
    </w:p>
    <w:p w14:paraId="709881FB" w14:textId="3EF9589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5BF7C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9A55603" w14:textId="77777777" w:rsidTr="2F9BF948">
        <w:tc>
          <w:tcPr>
            <w:tcW w:w="9576" w:type="dxa"/>
            <w:shd w:val="clear" w:color="auto" w:fill="F2F2F2" w:themeFill="background1" w:themeFillShade="F2"/>
          </w:tcPr>
          <w:p w14:paraId="3BB01168" w14:textId="5C63420C" w:rsidR="005E5F56" w:rsidRPr="005E5F56" w:rsidRDefault="005E5F56" w:rsidP="005E5F56">
            <w:pPr>
              <w:pStyle w:val="NormalWeb"/>
              <w:jc w:val="both"/>
              <w:rPr>
                <w:rFonts w:ascii="Arial" w:hAnsi="Arial" w:cs="Arial"/>
                <w:sz w:val="20"/>
                <w:szCs w:val="20"/>
              </w:rPr>
            </w:pPr>
            <w:r w:rsidRPr="005E5F56">
              <w:rPr>
                <w:rStyle w:val="Strong"/>
                <w:rFonts w:ascii="Arial" w:hAnsi="Arial" w:cs="Arial"/>
                <w:sz w:val="20"/>
                <w:szCs w:val="20"/>
              </w:rPr>
              <w:t>Aims:</w:t>
            </w:r>
            <w:r w:rsidRPr="005E5F56">
              <w:rPr>
                <w:rFonts w:ascii="Arial" w:hAnsi="Arial" w:cs="Arial"/>
                <w:sz w:val="20"/>
                <w:szCs w:val="20"/>
              </w:rPr>
              <w:t xml:space="preserve"> This study aimed to evaluate the presence of pesticide residues in commonly consumed fruits in Mumbai and assess their potential health risks to consumers.</w:t>
            </w:r>
          </w:p>
          <w:p w14:paraId="6C98902E" w14:textId="3F82EB4E" w:rsidR="005E5F56" w:rsidRPr="005E5F56" w:rsidRDefault="005E5F56" w:rsidP="005E5F56">
            <w:pPr>
              <w:pStyle w:val="NormalWeb"/>
              <w:jc w:val="both"/>
              <w:rPr>
                <w:rFonts w:ascii="Arial" w:hAnsi="Arial" w:cs="Arial"/>
                <w:sz w:val="20"/>
                <w:szCs w:val="20"/>
              </w:rPr>
            </w:pPr>
            <w:r w:rsidRPr="005E5F56">
              <w:rPr>
                <w:rStyle w:val="Strong"/>
                <w:rFonts w:ascii="Arial" w:hAnsi="Arial" w:cs="Arial"/>
                <w:sz w:val="20"/>
                <w:szCs w:val="20"/>
              </w:rPr>
              <w:t>Study design:</w:t>
            </w:r>
            <w:r w:rsidRPr="005E5F56">
              <w:rPr>
                <w:rFonts w:ascii="Arial" w:hAnsi="Arial" w:cs="Arial"/>
                <w:sz w:val="20"/>
                <w:szCs w:val="20"/>
              </w:rPr>
              <w:t xml:space="preserve"> A cross-sectional study was conducted involving 400 regular fruit purchasers.</w:t>
            </w:r>
          </w:p>
          <w:p w14:paraId="33E026E7" w14:textId="38D05BB7" w:rsidR="005E5F56" w:rsidRPr="005E5F56" w:rsidRDefault="005E5F56" w:rsidP="005E5F56">
            <w:pPr>
              <w:pStyle w:val="NormalWeb"/>
              <w:jc w:val="both"/>
              <w:rPr>
                <w:rFonts w:ascii="Arial" w:hAnsi="Arial" w:cs="Arial"/>
                <w:b/>
                <w:bCs/>
                <w:sz w:val="20"/>
                <w:szCs w:val="20"/>
              </w:rPr>
            </w:pPr>
            <w:r w:rsidRPr="005E5F56">
              <w:rPr>
                <w:rStyle w:val="Strong"/>
                <w:rFonts w:ascii="Arial" w:hAnsi="Arial" w:cs="Arial"/>
                <w:sz w:val="20"/>
                <w:szCs w:val="20"/>
              </w:rPr>
              <w:t>Place and Duration of Study:</w:t>
            </w:r>
            <w:r>
              <w:rPr>
                <w:rStyle w:val="Strong"/>
                <w:rFonts w:ascii="Arial" w:hAnsi="Arial" w:cs="Arial"/>
                <w:sz w:val="20"/>
                <w:szCs w:val="20"/>
              </w:rPr>
              <w:t xml:space="preserve"> </w:t>
            </w:r>
            <w:r w:rsidRPr="005E5F56">
              <w:rPr>
                <w:rFonts w:ascii="Arial" w:hAnsi="Arial" w:cs="Arial"/>
                <w:sz w:val="20"/>
                <w:szCs w:val="20"/>
              </w:rPr>
              <w:t>The study was carried out in Mumbai, India (study period not specified).</w:t>
            </w:r>
          </w:p>
          <w:p w14:paraId="39413EDD" w14:textId="31616D09" w:rsidR="005E5F56" w:rsidRPr="005E5F56" w:rsidRDefault="005E5F56" w:rsidP="005E5F56">
            <w:pPr>
              <w:pStyle w:val="NormalWeb"/>
              <w:jc w:val="both"/>
              <w:rPr>
                <w:rFonts w:ascii="Arial" w:hAnsi="Arial" w:cs="Arial"/>
                <w:sz w:val="20"/>
                <w:szCs w:val="20"/>
              </w:rPr>
            </w:pPr>
            <w:r w:rsidRPr="005E5F56">
              <w:rPr>
                <w:rStyle w:val="Strong"/>
                <w:rFonts w:ascii="Arial" w:hAnsi="Arial" w:cs="Arial"/>
                <w:sz w:val="20"/>
                <w:szCs w:val="20"/>
              </w:rPr>
              <w:t>Methodology:</w:t>
            </w:r>
            <w:r>
              <w:rPr>
                <w:rStyle w:val="Strong"/>
                <w:rFonts w:ascii="Arial" w:hAnsi="Arial" w:cs="Arial"/>
                <w:sz w:val="20"/>
                <w:szCs w:val="20"/>
              </w:rPr>
              <w:t xml:space="preserve"> </w:t>
            </w:r>
            <w:r w:rsidRPr="005E5F56">
              <w:rPr>
                <w:rFonts w:ascii="Arial" w:hAnsi="Arial" w:cs="Arial"/>
                <w:sz w:val="20"/>
                <w:szCs w:val="20"/>
              </w:rPr>
              <w:t>Fresh samples of grapes, pomegranates, and strawberries were collected from local vendors, wholesalers, and major supermarkets. Pesticide residues were detected and quantified using Gas Chromatography-Mass Spectrometry (GC-MS) and Liquid Chromatography-Tandem Mass Spectrometry (LC-MS/MS). Residue levels were compared against established safety standards, and health risk indicators were calculated. Additionally, demographic and produce-handling data were collected, including participants’ occupation, age, income, frequency of purchase, water source, and washing practices.</w:t>
            </w:r>
          </w:p>
          <w:p w14:paraId="1715810D" w14:textId="68245B63" w:rsidR="005E5F56" w:rsidRPr="005E5F56" w:rsidRDefault="005E5F56" w:rsidP="005E5F56">
            <w:pPr>
              <w:pStyle w:val="NormalWeb"/>
              <w:jc w:val="both"/>
              <w:rPr>
                <w:rFonts w:ascii="Arial" w:hAnsi="Arial" w:cs="Arial"/>
                <w:sz w:val="20"/>
                <w:szCs w:val="20"/>
              </w:rPr>
            </w:pPr>
            <w:r w:rsidRPr="005E5F56">
              <w:rPr>
                <w:rStyle w:val="Strong"/>
                <w:rFonts w:ascii="Arial" w:hAnsi="Arial" w:cs="Arial"/>
                <w:sz w:val="20"/>
                <w:szCs w:val="20"/>
              </w:rPr>
              <w:t>Results:</w:t>
            </w:r>
            <w:r>
              <w:rPr>
                <w:rStyle w:val="Strong"/>
                <w:rFonts w:ascii="Arial" w:hAnsi="Arial" w:cs="Arial"/>
                <w:sz w:val="20"/>
                <w:szCs w:val="20"/>
              </w:rPr>
              <w:t xml:space="preserve"> </w:t>
            </w:r>
            <w:r w:rsidRPr="005E5F56">
              <w:rPr>
                <w:rFonts w:ascii="Arial" w:hAnsi="Arial" w:cs="Arial"/>
                <w:sz w:val="20"/>
                <w:szCs w:val="20"/>
              </w:rPr>
              <w:t>Pesticide analysis revealed the highest copper residue levels in strawberries, moderate levels in grapes, and the lowest in pomegranates. Among the participants, 43.5% were employed in the service sector and 41.8% in the business sector, with 66.3% aged between 17–30 and 41–60 years. A majority (65.1%) earned ₹10,000–₹50,000, and 88.5% were non-Jains. Furthermore, 50% of respondents purchased produce weekly and 41.3% daily, with 54.8% using tap water and 72.5% soaking their produce for 10–15 minutes before consumption.</w:t>
            </w:r>
          </w:p>
          <w:p w14:paraId="2B62D580" w14:textId="13286359" w:rsidR="00505F06" w:rsidRPr="005E5F56" w:rsidRDefault="005E5F56" w:rsidP="005E5F56">
            <w:pPr>
              <w:pStyle w:val="NormalWeb"/>
              <w:jc w:val="both"/>
            </w:pPr>
            <w:r w:rsidRPr="005E5F56">
              <w:rPr>
                <w:rStyle w:val="Strong"/>
                <w:rFonts w:ascii="Arial" w:hAnsi="Arial" w:cs="Arial"/>
                <w:sz w:val="20"/>
                <w:szCs w:val="20"/>
              </w:rPr>
              <w:t>Conclusion:</w:t>
            </w:r>
            <w:r>
              <w:rPr>
                <w:rStyle w:val="Strong"/>
                <w:rFonts w:ascii="Arial" w:hAnsi="Arial" w:cs="Arial"/>
                <w:sz w:val="20"/>
                <w:szCs w:val="20"/>
              </w:rPr>
              <w:t xml:space="preserve"> </w:t>
            </w:r>
            <w:r w:rsidRPr="005E5F56">
              <w:rPr>
                <w:rFonts w:ascii="Arial" w:hAnsi="Arial" w:cs="Arial"/>
                <w:sz w:val="20"/>
                <w:szCs w:val="20"/>
              </w:rPr>
              <w:t>Enhancing consumer awareness and promoting effective washing practices are crucial to reducing pesticide exposure. The findings highlight the need for further research and stricter regulatory measures to improve food safety and protect public health in urban areas.</w:t>
            </w:r>
          </w:p>
        </w:tc>
      </w:tr>
    </w:tbl>
    <w:p w14:paraId="26E161A5" w14:textId="77777777" w:rsidR="00636EB2" w:rsidRDefault="00636EB2" w:rsidP="00441B6F">
      <w:pPr>
        <w:pStyle w:val="Body"/>
        <w:spacing w:after="0"/>
        <w:rPr>
          <w:rFonts w:ascii="Arial" w:hAnsi="Arial" w:cs="Arial"/>
          <w:i/>
        </w:rPr>
      </w:pPr>
    </w:p>
    <w:p w14:paraId="24B76475" w14:textId="53F8DD91" w:rsidR="0024282C" w:rsidRPr="004A1E1D" w:rsidRDefault="00A24E7E" w:rsidP="004A1E1D">
      <w:pPr>
        <w:pStyle w:val="Body"/>
        <w:rPr>
          <w:rFonts w:ascii="Arial" w:hAnsi="Arial" w:cs="Arial"/>
          <w:i/>
        </w:rPr>
      </w:pPr>
      <w:r>
        <w:rPr>
          <w:rFonts w:ascii="Arial" w:hAnsi="Arial" w:cs="Arial"/>
          <w:i/>
        </w:rPr>
        <w:t xml:space="preserve">Keywords: </w:t>
      </w:r>
      <w:r w:rsidR="00951C3F" w:rsidRPr="00951C3F">
        <w:rPr>
          <w:rFonts w:ascii="Arial" w:hAnsi="Arial" w:cs="Arial"/>
          <w:i/>
        </w:rPr>
        <w:t>Agricultural practices, Environmental exposure, GC-MS, LC-MS/MS, Pesticide residues</w:t>
      </w:r>
    </w:p>
    <w:p w14:paraId="4C2DC364" w14:textId="603CC1E6" w:rsidR="007F7B32" w:rsidRDefault="00B01FCD" w:rsidP="000F02A7">
      <w:pPr>
        <w:pStyle w:val="AbstHead"/>
        <w:numPr>
          <w:ilvl w:val="0"/>
          <w:numId w:val="32"/>
        </w:numPr>
        <w:tabs>
          <w:tab w:val="left" w:pos="270"/>
        </w:tabs>
        <w:ind w:left="360"/>
        <w:jc w:val="both"/>
        <w:rPr>
          <w:rFonts w:ascii="Arial" w:hAnsi="Arial" w:cs="Arial"/>
        </w:rPr>
      </w:pPr>
      <w:r w:rsidRPr="00FB3A86">
        <w:rPr>
          <w:rFonts w:ascii="Arial" w:hAnsi="Arial" w:cs="Arial"/>
        </w:rPr>
        <w:t>INTRODUCTION</w:t>
      </w:r>
      <w:r w:rsidR="007F7B32">
        <w:rPr>
          <w:rFonts w:ascii="Arial" w:hAnsi="Arial" w:cs="Arial"/>
        </w:rPr>
        <w:t xml:space="preserve"> </w:t>
      </w:r>
    </w:p>
    <w:p w14:paraId="052F14CD" w14:textId="733CCCFF" w:rsidR="00A566AD" w:rsidRPr="00A566AD" w:rsidRDefault="00DB7B3F" w:rsidP="00A566AD">
      <w:pPr>
        <w:pStyle w:val="AbstHead"/>
        <w:jc w:val="both"/>
        <w:rPr>
          <w:rFonts w:ascii="Arial" w:hAnsi="Arial" w:cs="Arial"/>
        </w:rPr>
      </w:pPr>
      <w:r w:rsidRPr="00A566AD">
        <w:rPr>
          <w:rFonts w:ascii="Arial" w:hAnsi="Arial" w:cs="Arial"/>
          <w:caps w:val="0"/>
        </w:rPr>
        <w:t>“The human health effects of pesticide exposure can range from mild skin irritation to more severe effects such as cancer, reproductive harm, and endocrine disruption.”</w:t>
      </w:r>
    </w:p>
    <w:p w14:paraId="12ADB124" w14:textId="08FBB554" w:rsidR="00790ADA" w:rsidRDefault="00DB7B3F" w:rsidP="00DB7B3F">
      <w:pPr>
        <w:pStyle w:val="AbstHead"/>
        <w:jc w:val="both"/>
        <w:rPr>
          <w:rFonts w:ascii="Arial" w:hAnsi="Arial" w:cs="Arial"/>
          <w:caps w:val="0"/>
        </w:rPr>
      </w:pPr>
      <w:r w:rsidRPr="00A566AD">
        <w:rPr>
          <w:rFonts w:ascii="Arial" w:hAnsi="Arial" w:cs="Arial"/>
          <w:caps w:val="0"/>
        </w:rPr>
        <w:t xml:space="preserve">World </w:t>
      </w:r>
      <w:r w:rsidR="004A1E1D">
        <w:rPr>
          <w:rFonts w:ascii="Arial" w:hAnsi="Arial" w:cs="Arial"/>
          <w:caps w:val="0"/>
        </w:rPr>
        <w:t>H</w:t>
      </w:r>
      <w:r w:rsidRPr="00A566AD">
        <w:rPr>
          <w:rFonts w:ascii="Arial" w:hAnsi="Arial" w:cs="Arial"/>
          <w:caps w:val="0"/>
        </w:rPr>
        <w:t xml:space="preserve">ealth </w:t>
      </w:r>
      <w:r w:rsidR="004A1E1D">
        <w:rPr>
          <w:rFonts w:ascii="Arial" w:hAnsi="Arial" w:cs="Arial"/>
          <w:caps w:val="0"/>
        </w:rPr>
        <w:t>O</w:t>
      </w:r>
      <w:r w:rsidRPr="00A566AD">
        <w:rPr>
          <w:rFonts w:ascii="Arial" w:hAnsi="Arial" w:cs="Arial"/>
          <w:caps w:val="0"/>
        </w:rPr>
        <w:t>rganization (</w:t>
      </w:r>
      <w:r w:rsidR="004A1E1D">
        <w:rPr>
          <w:rFonts w:ascii="Arial" w:hAnsi="Arial" w:cs="Arial"/>
          <w:caps w:val="0"/>
        </w:rPr>
        <w:t>WHO</w:t>
      </w:r>
      <w:r w:rsidRPr="00A566AD">
        <w:rPr>
          <w:rFonts w:ascii="Arial" w:hAnsi="Arial" w:cs="Arial"/>
          <w:caps w:val="0"/>
        </w:rPr>
        <w:t>), 2010</w:t>
      </w:r>
    </w:p>
    <w:p w14:paraId="71C40B90" w14:textId="77777777" w:rsidR="005F70E8" w:rsidRPr="005F70E8" w:rsidRDefault="005F70E8" w:rsidP="2F9BF948">
      <w:pPr>
        <w:pStyle w:val="Body"/>
        <w:rPr>
          <w:rFonts w:ascii="Arial" w:hAnsi="Arial" w:cs="Arial"/>
        </w:rPr>
      </w:pPr>
      <w:r w:rsidRPr="2F9BF948">
        <w:rPr>
          <w:rFonts w:ascii="Arial" w:hAnsi="Arial" w:cs="Arial"/>
        </w:rPr>
        <w:t>Agriculture plays a pivotal role in driving economic growth and development. In India, it remains a major employer, engaging approximately 42% of the workforce (Sanghi et al., 2012), sustaining livelihoods in rural areas, and ensuring food security across urban and rural populations (</w:t>
      </w:r>
      <w:proofErr w:type="spellStart"/>
      <w:r w:rsidRPr="2F9BF948">
        <w:rPr>
          <w:rFonts w:ascii="Arial" w:hAnsi="Arial" w:cs="Arial"/>
        </w:rPr>
        <w:t>Tacoli</w:t>
      </w:r>
      <w:proofErr w:type="spellEnd"/>
      <w:r w:rsidRPr="2F9BF948">
        <w:rPr>
          <w:rFonts w:ascii="Arial" w:hAnsi="Arial" w:cs="Arial"/>
        </w:rPr>
        <w:t xml:space="preserve">, 2003). Despite its historical significance, the sector's contribution </w:t>
      </w:r>
      <w:r w:rsidRPr="2F9BF948">
        <w:rPr>
          <w:rFonts w:ascii="Arial" w:hAnsi="Arial" w:cs="Arial"/>
        </w:rPr>
        <w:lastRenderedPageBreak/>
        <w:t>to India's GDP has gradually decreased to approximately 16% in recent years, influenced by industrialization and urbanization (Kalamkar, 2009; Gulati &amp; Juneja, 2022).</w:t>
      </w:r>
    </w:p>
    <w:p w14:paraId="08FC80F0" w14:textId="77777777" w:rsidR="005F70E8" w:rsidRPr="005F70E8" w:rsidRDefault="005F70E8" w:rsidP="2F9BF948">
      <w:pPr>
        <w:pStyle w:val="Body"/>
        <w:rPr>
          <w:rFonts w:ascii="Arial" w:hAnsi="Arial" w:cs="Arial"/>
        </w:rPr>
      </w:pPr>
      <w:r w:rsidRPr="2F9BF948">
        <w:rPr>
          <w:rFonts w:ascii="Arial" w:hAnsi="Arial" w:cs="Arial"/>
        </w:rPr>
        <w:t>Agrochemicals, which are extensively used worldwide, include 108 varieties of insecticides, 30 varieties of fungicides, 39 varieties of weedicides, 5 varieties of acaricides, and 6 varieties of pesticides in developing nations (Moreno et al., 2006). Pesticide exposure predominantly occurs through food consumption, which exceeds exposure via air and water by fivefold (Claeys et al., 2011). Fruits and vegetables constitute the most consumed food category globally, with an average of 30% of dietary intake attributed to them (Frank et al.,2019). Because these foods are often consumed raw or minimally processed, they can contain higher levels of pesticide residues compared to cereal-based products like bread (Raina-Fulton, 2015).</w:t>
      </w:r>
    </w:p>
    <w:p w14:paraId="59EB20C5" w14:textId="77777777" w:rsidR="005F70E8" w:rsidRPr="005F70E8" w:rsidRDefault="005F70E8" w:rsidP="2F9BF948">
      <w:pPr>
        <w:pStyle w:val="Body"/>
        <w:rPr>
          <w:rFonts w:ascii="Arial" w:hAnsi="Arial" w:cs="Arial"/>
        </w:rPr>
      </w:pPr>
      <w:r w:rsidRPr="2F9BF948">
        <w:rPr>
          <w:rFonts w:ascii="Arial" w:hAnsi="Arial" w:cs="Arial"/>
        </w:rPr>
        <w:t>Pesticides are chemical substances used to control pests that threaten crops, livestock, and human health (Landicho et al.,2015). They are formulated to target specific pests and are applied through various methods such as spraying, dusting, and soil incorporation to protect agricultural yields and ensure food security. Despite their benefits, concerns persist regarding their potential adverse effects on human health and the environment, prompting regulatory oversight to mitigate risks (Carvalho, 2006).</w:t>
      </w:r>
    </w:p>
    <w:p w14:paraId="2C551E81" w14:textId="50A319BD" w:rsidR="005F70E8" w:rsidRPr="005F70E8" w:rsidRDefault="005F70E8" w:rsidP="2F9BF948">
      <w:pPr>
        <w:pStyle w:val="Body"/>
        <w:rPr>
          <w:rFonts w:ascii="Arial" w:hAnsi="Arial" w:cs="Arial"/>
        </w:rPr>
      </w:pPr>
      <w:r w:rsidRPr="2F9BF948">
        <w:rPr>
          <w:rFonts w:ascii="Arial" w:hAnsi="Arial" w:cs="Arial"/>
        </w:rPr>
        <w:t>Persistent biological effects from long-term, low-dose pesticide exposures underscore the challenges in assessing health impacts beyond acute toxicity (</w:t>
      </w:r>
      <w:proofErr w:type="spellStart"/>
      <w:r w:rsidRPr="2F9BF948">
        <w:rPr>
          <w:rFonts w:ascii="Arial" w:hAnsi="Arial" w:cs="Arial"/>
        </w:rPr>
        <w:t>Kalyabina</w:t>
      </w:r>
      <w:proofErr w:type="spellEnd"/>
      <w:r w:rsidRPr="2F9BF948">
        <w:rPr>
          <w:rFonts w:ascii="Arial" w:hAnsi="Arial" w:cs="Arial"/>
        </w:rPr>
        <w:t xml:space="preserve"> et al.,2021). Adverse effects may result not only from active pesticide ingredients but also from additives like solvents and emulsifiers, complicating overall toxicity evaluations</w:t>
      </w:r>
      <w:r w:rsidR="00E92C74">
        <w:rPr>
          <w:rFonts w:ascii="Arial" w:hAnsi="Arial" w:cs="Arial"/>
        </w:rPr>
        <w:t xml:space="preserve"> (</w:t>
      </w:r>
      <w:proofErr w:type="spellStart"/>
      <w:r w:rsidR="00E92C74" w:rsidRPr="00273E42">
        <w:rPr>
          <w:lang w:val="en-GB"/>
        </w:rPr>
        <w:t>Kipkemo</w:t>
      </w:r>
      <w:proofErr w:type="spellEnd"/>
      <w:r w:rsidR="00E92C74">
        <w:rPr>
          <w:lang w:val="en-GB"/>
        </w:rPr>
        <w:t xml:space="preserve"> et al., 2020)</w:t>
      </w:r>
      <w:r w:rsidRPr="2F9BF948">
        <w:rPr>
          <w:rFonts w:ascii="Arial" w:hAnsi="Arial" w:cs="Arial"/>
        </w:rPr>
        <w:t>. Addressing these complexities requires interdisciplinary approaches encompassing toxicology, environmental science, epidemiology, and regulatory frameworks (Chandler et al., 2011).</w:t>
      </w:r>
    </w:p>
    <w:p w14:paraId="587FF4C8" w14:textId="77777777" w:rsidR="005F70E8" w:rsidRPr="005F70E8" w:rsidRDefault="005F70E8" w:rsidP="2F9BF948">
      <w:pPr>
        <w:pStyle w:val="Body"/>
        <w:rPr>
          <w:rFonts w:ascii="Arial" w:hAnsi="Arial" w:cs="Arial"/>
        </w:rPr>
      </w:pPr>
      <w:r w:rsidRPr="2F9BF948">
        <w:rPr>
          <w:rFonts w:ascii="Arial" w:hAnsi="Arial" w:cs="Arial"/>
        </w:rPr>
        <w:t>Of particular concern are pesticides' persistence, toxicity, bioaccumulation, lipophilicity, and their adverse effects on human health (Ali et al., 2021). Human exposure primarily occurs through the consumption of contaminated fruits and vegetables, contributing to health risks such as cancer, birth defects, neurological disorders, endocrine disruption, and reproductive issues (</w:t>
      </w:r>
      <w:proofErr w:type="spellStart"/>
      <w:r w:rsidRPr="2F9BF948">
        <w:rPr>
          <w:rFonts w:ascii="Arial" w:hAnsi="Arial" w:cs="Arial"/>
        </w:rPr>
        <w:t>Damalas</w:t>
      </w:r>
      <w:proofErr w:type="spellEnd"/>
      <w:r w:rsidRPr="2F9BF948">
        <w:rPr>
          <w:rFonts w:ascii="Arial" w:hAnsi="Arial" w:cs="Arial"/>
        </w:rPr>
        <w:t xml:space="preserve"> &amp; </w:t>
      </w:r>
      <w:proofErr w:type="spellStart"/>
      <w:r w:rsidRPr="2F9BF948">
        <w:rPr>
          <w:rFonts w:ascii="Arial" w:hAnsi="Arial" w:cs="Arial"/>
        </w:rPr>
        <w:t>Eleftherohorinos</w:t>
      </w:r>
      <w:proofErr w:type="spellEnd"/>
      <w:r w:rsidRPr="2F9BF948">
        <w:rPr>
          <w:rFonts w:ascii="Arial" w:hAnsi="Arial" w:cs="Arial"/>
        </w:rPr>
        <w:t>, 2011). Effects can manifest as either acute, causing skin irritations, gastrointestinal distress, dizziness, and vision impairment (Teichroew, 2016), or chronic, linked to cancers, reproductive disorders, and endocrine disruptions (WHO, 2005).</w:t>
      </w:r>
    </w:p>
    <w:p w14:paraId="3FDE8628" w14:textId="77777777" w:rsidR="005F70E8" w:rsidRPr="005F70E8" w:rsidRDefault="005F70E8" w:rsidP="2F9BF948">
      <w:pPr>
        <w:pStyle w:val="Body"/>
        <w:rPr>
          <w:rFonts w:ascii="Arial" w:hAnsi="Arial" w:cs="Arial"/>
        </w:rPr>
      </w:pPr>
      <w:r w:rsidRPr="2F9BF948">
        <w:rPr>
          <w:rFonts w:ascii="Arial" w:hAnsi="Arial" w:cs="Arial"/>
        </w:rPr>
        <w:t>Given these health risks, continuous monitoring of pesticide levels in fruits and vegetables is crucial. The absence of standardized preharvest intervals for pesticide application due to high market demand and inadequate awareness of their health impacts can lead to inadvertent ingestion of contaminated foods and subsequent health consequences (Khan et al., 2020).</w:t>
      </w:r>
    </w:p>
    <w:p w14:paraId="3583A939" w14:textId="2F0863D2" w:rsidR="00BB1B66" w:rsidRDefault="005F70E8" w:rsidP="2F9BF948">
      <w:pPr>
        <w:pStyle w:val="Body"/>
        <w:spacing w:after="0"/>
        <w:rPr>
          <w:rFonts w:ascii="Arial" w:hAnsi="Arial" w:cs="Arial"/>
        </w:rPr>
      </w:pPr>
      <w:r w:rsidRPr="2F9BF948">
        <w:rPr>
          <w:rFonts w:ascii="Arial" w:hAnsi="Arial" w:cs="Arial"/>
        </w:rPr>
        <w:t>Pesticide residue levels are evaluated through maximum residue limits (MRLs), which indicate the permissible amount of pesticide residues allowed in food at the point of sale (Akhtar et al.,2018). These limits, set by national governments, ensure international trade compliance and promote sound agricultural practices, thereby safeguarding food safety (Chowdhury et al., 2014). Health safety guidelines, known as acceptable daily intake (ADI), evaluate human exposure by using average weekly consumption, adult significance, and pesticide residue data (Seo et al., 2013). The objective of the study was to develop an analytical methodology for detecting pesticides in diverse environmental samples, including fruits, vegetables, water, and soil. Furthermore, the research sought to assess the possible health risks linked to the presence of pesticides in a wide variety of fruits and vegetables</w:t>
      </w:r>
      <w:r w:rsidR="00BB1B66" w:rsidRPr="2F9BF948">
        <w:rPr>
          <w:rFonts w:ascii="Arial" w:hAnsi="Arial" w:cs="Arial"/>
        </w:rPr>
        <w:t>.</w:t>
      </w:r>
    </w:p>
    <w:p w14:paraId="62F7925C" w14:textId="77777777" w:rsidR="00790ADA" w:rsidRPr="00FB3A86" w:rsidRDefault="00790ADA" w:rsidP="00441B6F">
      <w:pPr>
        <w:pStyle w:val="Body"/>
        <w:spacing w:after="0"/>
        <w:rPr>
          <w:rFonts w:ascii="Arial" w:hAnsi="Arial" w:cs="Arial"/>
        </w:rPr>
      </w:pPr>
    </w:p>
    <w:p w14:paraId="4EB6B3DB" w14:textId="49198208" w:rsidR="007F7B32" w:rsidRDefault="00B04D05" w:rsidP="000F02A7">
      <w:pPr>
        <w:pStyle w:val="AbstHead"/>
        <w:numPr>
          <w:ilvl w:val="0"/>
          <w:numId w:val="32"/>
        </w:numPr>
        <w:tabs>
          <w:tab w:val="left" w:pos="270"/>
        </w:tabs>
        <w:ind w:left="360"/>
        <w:jc w:val="both"/>
        <w:rPr>
          <w:rFonts w:ascii="Arial" w:hAnsi="Arial" w:cs="Arial"/>
        </w:rPr>
      </w:pPr>
      <w:r w:rsidRPr="00B04D05">
        <w:rPr>
          <w:rFonts w:ascii="Arial" w:hAnsi="Arial" w:cs="Arial"/>
        </w:rPr>
        <w:t>Research Methodology</w:t>
      </w:r>
    </w:p>
    <w:p w14:paraId="521EA9A1" w14:textId="0C9AD071" w:rsidR="00790ADA" w:rsidRPr="00FB3A86" w:rsidRDefault="00037980" w:rsidP="00EE3D77">
      <w:pPr>
        <w:pStyle w:val="AbstHead"/>
        <w:numPr>
          <w:ilvl w:val="0"/>
          <w:numId w:val="31"/>
        </w:numPr>
        <w:spacing w:after="0"/>
        <w:ind w:left="360"/>
        <w:jc w:val="both"/>
        <w:rPr>
          <w:rFonts w:ascii="Arial" w:hAnsi="Arial" w:cs="Arial"/>
        </w:rPr>
      </w:pPr>
      <w:r w:rsidRPr="00892CC7">
        <w:rPr>
          <w:rFonts w:ascii="Arial" w:hAnsi="Arial" w:cs="Arial"/>
          <w:caps w:val="0"/>
        </w:rPr>
        <w:t>Study Design</w:t>
      </w:r>
    </w:p>
    <w:p w14:paraId="7D5E73DB" w14:textId="3DB70D5B" w:rsidR="00B95236" w:rsidRDefault="00380C1A" w:rsidP="2F9BF948">
      <w:pPr>
        <w:pStyle w:val="Body"/>
        <w:rPr>
          <w:rFonts w:ascii="Arial" w:hAnsi="Arial" w:cs="Arial"/>
        </w:rPr>
      </w:pPr>
      <w:r w:rsidRPr="2F9BF948">
        <w:rPr>
          <w:rFonts w:ascii="Arial" w:hAnsi="Arial" w:cs="Arial"/>
        </w:rPr>
        <w:t>This study used a cross-sectional research approach to analyze the presence of pesticide residues in frequently eaten fruits and evaluate their possible effects on human health. The cross-sectional technique provides a momentary assessment of the existing levels of pesticide residues in different fruits that are currently being sold on the market at a particular moment in time.</w:t>
      </w:r>
    </w:p>
    <w:p w14:paraId="2B8F87C1" w14:textId="18446EF9" w:rsidR="00790ADA" w:rsidRPr="00555A8D" w:rsidRDefault="00555A8D" w:rsidP="00555A8D">
      <w:pPr>
        <w:pStyle w:val="AbstHead"/>
        <w:numPr>
          <w:ilvl w:val="0"/>
          <w:numId w:val="31"/>
        </w:numPr>
        <w:spacing w:after="0"/>
        <w:ind w:left="360"/>
        <w:jc w:val="both"/>
        <w:rPr>
          <w:rFonts w:ascii="Arial" w:hAnsi="Arial" w:cs="Arial"/>
          <w:caps w:val="0"/>
        </w:rPr>
      </w:pPr>
      <w:r w:rsidRPr="00555A8D">
        <w:rPr>
          <w:rFonts w:ascii="Arial" w:hAnsi="Arial" w:cs="Arial"/>
          <w:caps w:val="0"/>
        </w:rPr>
        <w:t>Study Participants</w:t>
      </w:r>
    </w:p>
    <w:p w14:paraId="3C57BFDF" w14:textId="682E8767" w:rsidR="00502516" w:rsidRDefault="00292146" w:rsidP="2F9BF948">
      <w:pPr>
        <w:pStyle w:val="Body"/>
        <w:rPr>
          <w:rFonts w:ascii="Arial" w:hAnsi="Arial" w:cs="Arial"/>
        </w:rPr>
      </w:pPr>
      <w:r w:rsidRPr="2F9BF948">
        <w:rPr>
          <w:rFonts w:ascii="Arial" w:hAnsi="Arial" w:cs="Arial"/>
        </w:rPr>
        <w:t>The research included a sample size of 400 participants who purchased fresh, widely eaten fruits from local sellers in Mumbai and those who made consistent purchases of fruits from these suppliers. But those who only bought frozen fruits that were refrigerated or who only ate organic foods were not excluded from the study.</w:t>
      </w:r>
    </w:p>
    <w:p w14:paraId="0D688FCD" w14:textId="10A56B9B" w:rsidR="002E0D56" w:rsidRPr="007037AC" w:rsidRDefault="007037AC" w:rsidP="2F9BF948">
      <w:pPr>
        <w:pStyle w:val="AbstHead"/>
        <w:numPr>
          <w:ilvl w:val="0"/>
          <w:numId w:val="31"/>
        </w:numPr>
        <w:spacing w:after="0"/>
        <w:ind w:left="360"/>
        <w:jc w:val="both"/>
        <w:rPr>
          <w:rFonts w:ascii="Arial" w:hAnsi="Arial" w:cs="Arial"/>
          <w:caps w:val="0"/>
        </w:rPr>
      </w:pPr>
      <w:r w:rsidRPr="2F9BF948">
        <w:rPr>
          <w:rFonts w:ascii="Arial" w:hAnsi="Arial" w:cs="Arial"/>
          <w:caps w:val="0"/>
        </w:rPr>
        <w:lastRenderedPageBreak/>
        <w:t>Selection of Fruits</w:t>
      </w:r>
    </w:p>
    <w:p w14:paraId="7F617161" w14:textId="237A2C2C" w:rsidR="00502516" w:rsidRDefault="002F672A" w:rsidP="2F9BF948">
      <w:pPr>
        <w:pStyle w:val="Body"/>
        <w:rPr>
          <w:rFonts w:ascii="Arial" w:hAnsi="Arial" w:cs="Arial"/>
        </w:rPr>
      </w:pPr>
      <w:r w:rsidRPr="2F9BF948">
        <w:rPr>
          <w:rFonts w:ascii="Arial" w:hAnsi="Arial" w:cs="Arial"/>
        </w:rPr>
        <w:t>A total of 50 houses in Mumbai were chosen for the purpose of estimating pesticide residues, specifically focusing on grapes, pomegranate, and strawberry. The selection of these fruits was based on their high rates of consumption and their propensity for accumulating pesticide residues. Fruit samples were gathered based on their seasonal availability</w:t>
      </w:r>
      <w:r w:rsidR="00502516" w:rsidRPr="2F9BF948">
        <w:rPr>
          <w:rFonts w:ascii="Arial" w:hAnsi="Arial" w:cs="Arial"/>
        </w:rPr>
        <w:t xml:space="preserve">.  </w:t>
      </w:r>
    </w:p>
    <w:p w14:paraId="718DDC31" w14:textId="711A2E6A" w:rsidR="00242D49" w:rsidRPr="00242D49" w:rsidRDefault="00242D49" w:rsidP="00242D49">
      <w:pPr>
        <w:pStyle w:val="AbstHead"/>
        <w:numPr>
          <w:ilvl w:val="0"/>
          <w:numId w:val="31"/>
        </w:numPr>
        <w:spacing w:after="0"/>
        <w:ind w:left="360"/>
        <w:jc w:val="both"/>
        <w:rPr>
          <w:rFonts w:ascii="Arial" w:hAnsi="Arial" w:cs="Arial"/>
          <w:caps w:val="0"/>
        </w:rPr>
      </w:pPr>
      <w:r w:rsidRPr="00242D49">
        <w:rPr>
          <w:rFonts w:ascii="Arial" w:hAnsi="Arial" w:cs="Arial"/>
          <w:caps w:val="0"/>
        </w:rPr>
        <w:t>Sample Collection</w:t>
      </w:r>
    </w:p>
    <w:p w14:paraId="58478222" w14:textId="72B47403" w:rsidR="00790ADA" w:rsidRDefault="00A50AFD" w:rsidP="2F9BF948">
      <w:pPr>
        <w:pStyle w:val="Body"/>
        <w:rPr>
          <w:rFonts w:ascii="Arial" w:hAnsi="Arial" w:cs="Arial"/>
        </w:rPr>
      </w:pPr>
      <w:r w:rsidRPr="2F9BF948">
        <w:rPr>
          <w:rFonts w:ascii="Arial" w:hAnsi="Arial" w:cs="Arial"/>
        </w:rPr>
        <w:t>Fruit samples were collected from Crawford Market, a prominent market in Mumbai, after obtaining official permission from the market in-charge. Samples were collected from local vendors, wholesalers, and major supermarkets to represent various purchasing environments. Each sample, weighing at least 2 kg depending on the fruit size, was placed in sterile polythene bags, labeled with relevant information (location, date of collection, type of outlet), and transported to the laboratory under controlled conditions to avoid contamination and degradation.</w:t>
      </w:r>
    </w:p>
    <w:p w14:paraId="4151CAE7" w14:textId="5B582DF3" w:rsidR="00A50AFD" w:rsidRPr="005B1CDC" w:rsidRDefault="005B1CDC" w:rsidP="005B1CDC">
      <w:pPr>
        <w:pStyle w:val="AbstHead"/>
        <w:numPr>
          <w:ilvl w:val="0"/>
          <w:numId w:val="31"/>
        </w:numPr>
        <w:spacing w:after="0"/>
        <w:ind w:left="360"/>
        <w:jc w:val="both"/>
        <w:rPr>
          <w:rFonts w:ascii="Arial" w:hAnsi="Arial" w:cs="Arial"/>
          <w:caps w:val="0"/>
        </w:rPr>
      </w:pPr>
      <w:r w:rsidRPr="005B1CDC">
        <w:rPr>
          <w:rFonts w:ascii="Arial" w:hAnsi="Arial" w:cs="Arial"/>
          <w:caps w:val="0"/>
        </w:rPr>
        <w:t>Laboratory Analysis</w:t>
      </w:r>
    </w:p>
    <w:p w14:paraId="61C9DEA0" w14:textId="77777777" w:rsidR="00B76C53" w:rsidRPr="00B76C53" w:rsidRDefault="00B76C53" w:rsidP="2F9BF948">
      <w:pPr>
        <w:pStyle w:val="Body"/>
        <w:rPr>
          <w:rFonts w:ascii="Arial" w:hAnsi="Arial" w:cs="Arial"/>
        </w:rPr>
      </w:pPr>
      <w:r w:rsidRPr="2F9BF948">
        <w:rPr>
          <w:rFonts w:ascii="Arial" w:hAnsi="Arial" w:cs="Arial"/>
        </w:rPr>
        <w:t>The collected fruit samples were washed and peeled according to typical consumer practices to simulate real-world conditions. The samples were then homogenized, and pesticides were extracted using appropriate solvents. Gas Chromatography-Mass Spectrometry (GC-MS) and Liquid Chromatography-Tandem Mass Spectrometry (LC-MS/MS) were utilized to detect and quantify pesticide residues.</w:t>
      </w:r>
    </w:p>
    <w:p w14:paraId="186E7C24" w14:textId="77777777" w:rsidR="00B76C53" w:rsidRPr="00B76C53" w:rsidRDefault="00B76C53" w:rsidP="2F9BF948">
      <w:pPr>
        <w:pStyle w:val="Body"/>
        <w:rPr>
          <w:rFonts w:ascii="Arial" w:hAnsi="Arial" w:cs="Arial"/>
        </w:rPr>
      </w:pPr>
      <w:r w:rsidRPr="2F9BF948">
        <w:rPr>
          <w:rFonts w:ascii="Arial" w:hAnsi="Arial" w:cs="Arial"/>
        </w:rPr>
        <w:t>GC-MS is particularly valuable for certain pesticide classes, such as pyrethroids and organochlorines, due to its high sensitivity and recent technological advancements. These advancements include ionization sources at atmospheric pressure, fast GC, comprehensive two-dimensional gas chromatography (</w:t>
      </w:r>
      <w:proofErr w:type="spellStart"/>
      <w:r w:rsidRPr="2F9BF948">
        <w:rPr>
          <w:rFonts w:ascii="Arial" w:hAnsi="Arial" w:cs="Arial"/>
        </w:rPr>
        <w:t>GCxGC</w:t>
      </w:r>
      <w:proofErr w:type="spellEnd"/>
      <w:r w:rsidRPr="2F9BF948">
        <w:rPr>
          <w:rFonts w:ascii="Arial" w:hAnsi="Arial" w:cs="Arial"/>
        </w:rPr>
        <w:t>), and high-resolution mass spectrometry, which have greatly enhanced GC-MS capabilities in pesticide residue analysis.</w:t>
      </w:r>
    </w:p>
    <w:p w14:paraId="4A5841C5" w14:textId="619D26A6" w:rsidR="00B01FCD" w:rsidRDefault="00B76C53" w:rsidP="2F9BF948">
      <w:pPr>
        <w:pStyle w:val="Body"/>
        <w:rPr>
          <w:rFonts w:ascii="Arial" w:hAnsi="Arial" w:cs="Arial"/>
        </w:rPr>
      </w:pPr>
      <w:r w:rsidRPr="2F9BF948">
        <w:rPr>
          <w:rFonts w:ascii="Arial" w:hAnsi="Arial" w:cs="Arial"/>
        </w:rPr>
        <w:t>The analytical methods were validated for accuracy, precision, sensitivity, and specificity. Quality control measures, including the use of blanks, spiked samples, and reference standards, were implemented to ensure reliable results</w:t>
      </w:r>
      <w:r w:rsidR="00502516" w:rsidRPr="2F9BF948">
        <w:rPr>
          <w:rFonts w:ascii="Arial" w:hAnsi="Arial" w:cs="Arial"/>
        </w:rPr>
        <w:t>.</w:t>
      </w:r>
    </w:p>
    <w:p w14:paraId="40A4D5F2" w14:textId="25B44E5D" w:rsidR="00587CBB" w:rsidRPr="00907A9F" w:rsidRDefault="00907A9F" w:rsidP="00907A9F">
      <w:pPr>
        <w:pStyle w:val="AbstHead"/>
        <w:numPr>
          <w:ilvl w:val="0"/>
          <w:numId w:val="31"/>
        </w:numPr>
        <w:spacing w:after="0"/>
        <w:ind w:left="360"/>
        <w:jc w:val="both"/>
        <w:rPr>
          <w:rFonts w:ascii="Arial" w:hAnsi="Arial" w:cs="Arial"/>
          <w:caps w:val="0"/>
        </w:rPr>
      </w:pPr>
      <w:r w:rsidRPr="00907A9F">
        <w:rPr>
          <w:rFonts w:ascii="Arial" w:hAnsi="Arial" w:cs="Arial"/>
          <w:caps w:val="0"/>
        </w:rPr>
        <w:t>Data Analysis</w:t>
      </w:r>
    </w:p>
    <w:p w14:paraId="36E0003A" w14:textId="4345F78F" w:rsidR="00A03B96" w:rsidRDefault="00EB276C" w:rsidP="00EB276C">
      <w:pPr>
        <w:pStyle w:val="Body"/>
        <w:rPr>
          <w:rFonts w:ascii="Arial" w:hAnsi="Arial" w:cs="Arial"/>
        </w:rPr>
      </w:pPr>
      <w:r w:rsidRPr="00EB276C">
        <w:rPr>
          <w:rFonts w:ascii="Arial" w:hAnsi="Arial" w:cs="Arial"/>
        </w:rPr>
        <w:t>The statistical analyses were performed using SPSS version 26. Summary statistics such as the median, standard deviation, mean, and range were used to describe the pesticide residue data. These residue levels were evaluated against national and international safety standards, including criteria set by the Codex Alimentarius and the Environmental Protection Agency (EPA).</w:t>
      </w:r>
    </w:p>
    <w:p w14:paraId="571D7735" w14:textId="5FEF493F" w:rsidR="00907A9F" w:rsidRDefault="005D0F88" w:rsidP="000F02A7">
      <w:pPr>
        <w:pStyle w:val="AbstHead"/>
        <w:numPr>
          <w:ilvl w:val="0"/>
          <w:numId w:val="32"/>
        </w:numPr>
        <w:tabs>
          <w:tab w:val="left" w:pos="270"/>
        </w:tabs>
        <w:ind w:left="360"/>
        <w:jc w:val="both"/>
        <w:rPr>
          <w:rFonts w:ascii="Arial" w:hAnsi="Arial" w:cs="Arial"/>
        </w:rPr>
      </w:pPr>
      <w:r w:rsidRPr="005D0F88">
        <w:rPr>
          <w:rFonts w:ascii="Arial" w:hAnsi="Arial" w:cs="Arial"/>
        </w:rPr>
        <w:t xml:space="preserve">Results </w:t>
      </w:r>
    </w:p>
    <w:p w14:paraId="7AFA366E" w14:textId="0281617B" w:rsidR="00907A9F" w:rsidRDefault="005272A2" w:rsidP="002609AE">
      <w:pPr>
        <w:pStyle w:val="Body"/>
        <w:rPr>
          <w:rFonts w:ascii="Arial" w:hAnsi="Arial" w:cs="Arial"/>
        </w:rPr>
      </w:pPr>
      <w:r w:rsidRPr="005272A2">
        <w:rPr>
          <w:rFonts w:ascii="Arial" w:hAnsi="Arial" w:cs="Arial"/>
        </w:rPr>
        <w:t>The study analyzed pesticide residues in grapes, pomegranate, and strawberries purchased by 400 participants from various vendors in Mumbai. The fruit samples, collected from Crawford Market, underwent rigorous laboratory analysis using Gas Chromatography-Mass Spectrometry (GC-MS) and Liquid Chromatography-Tandem Mass Spectrometry (LC-MS/MS) to detect and quantify pesticide residues.</w:t>
      </w:r>
    </w:p>
    <w:p w14:paraId="6CF0FB74" w14:textId="4B03FBB7" w:rsidR="005272A2" w:rsidRPr="002609AE" w:rsidRDefault="002609AE" w:rsidP="002609AE">
      <w:pPr>
        <w:pStyle w:val="Body"/>
        <w:numPr>
          <w:ilvl w:val="0"/>
          <w:numId w:val="34"/>
        </w:numPr>
        <w:tabs>
          <w:tab w:val="left" w:pos="450"/>
        </w:tabs>
        <w:spacing w:after="0"/>
        <w:ind w:left="360"/>
        <w:rPr>
          <w:rFonts w:ascii="Arial" w:hAnsi="Arial" w:cs="Arial"/>
          <w:b/>
          <w:bCs/>
          <w:sz w:val="22"/>
          <w:szCs w:val="22"/>
        </w:rPr>
      </w:pPr>
      <w:r w:rsidRPr="002609AE">
        <w:rPr>
          <w:rFonts w:ascii="Arial" w:hAnsi="Arial" w:cs="Arial"/>
          <w:b/>
          <w:bCs/>
          <w:sz w:val="22"/>
          <w:szCs w:val="22"/>
        </w:rPr>
        <w:t xml:space="preserve">Demographic Details </w:t>
      </w:r>
    </w:p>
    <w:p w14:paraId="201DBAD7" w14:textId="4A9B94B6" w:rsidR="005272A2" w:rsidRDefault="000A6874" w:rsidP="000A6874">
      <w:pPr>
        <w:tabs>
          <w:tab w:val="left" w:pos="1080"/>
        </w:tabs>
        <w:jc w:val="both"/>
        <w:rPr>
          <w:rFonts w:ascii="Arial" w:hAnsi="Arial" w:cs="Arial"/>
        </w:rPr>
      </w:pPr>
      <w:r w:rsidRPr="000A6874">
        <w:rPr>
          <w:rFonts w:ascii="Arial" w:hAnsi="Arial"/>
          <w:b/>
        </w:rPr>
        <w:t>Table 1. Demographic Details of Participants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1228"/>
        <w:gridCol w:w="950"/>
      </w:tblGrid>
      <w:tr w:rsidR="00F5383F" w:rsidRPr="00F5383F" w14:paraId="13785B4A" w14:textId="77777777" w:rsidTr="00E37E0D">
        <w:trPr>
          <w:jc w:val="center"/>
        </w:trPr>
        <w:tc>
          <w:tcPr>
            <w:tcW w:w="0" w:type="auto"/>
            <w:tcBorders>
              <w:top w:val="single" w:sz="4" w:space="0" w:color="auto"/>
              <w:bottom w:val="single" w:sz="4" w:space="0" w:color="auto"/>
              <w:right w:val="single" w:sz="4" w:space="0" w:color="auto"/>
            </w:tcBorders>
            <w:vAlign w:val="center"/>
          </w:tcPr>
          <w:p w14:paraId="05234E2E" w14:textId="77777777" w:rsidR="00F5383F" w:rsidRPr="00F5383F" w:rsidRDefault="00F5383F" w:rsidP="00F5383F">
            <w:pPr>
              <w:jc w:val="both"/>
              <w:rPr>
                <w:rFonts w:ascii="Arial" w:eastAsia="Times New Roman" w:hAnsi="Arial"/>
                <w:b/>
                <w:sz w:val="20"/>
                <w:szCs w:val="20"/>
              </w:rPr>
            </w:pPr>
            <w:r w:rsidRPr="00F5383F">
              <w:rPr>
                <w:rFonts w:ascii="Arial" w:eastAsia="Times New Roman" w:hAnsi="Arial"/>
                <w:b/>
                <w:sz w:val="20"/>
                <w:szCs w:val="20"/>
              </w:rPr>
              <w:t>Category</w:t>
            </w:r>
          </w:p>
        </w:tc>
        <w:tc>
          <w:tcPr>
            <w:tcW w:w="0" w:type="auto"/>
            <w:tcBorders>
              <w:top w:val="single" w:sz="4" w:space="0" w:color="auto"/>
              <w:left w:val="single" w:sz="4" w:space="0" w:color="auto"/>
              <w:bottom w:val="single" w:sz="4" w:space="0" w:color="auto"/>
              <w:right w:val="single" w:sz="4" w:space="0" w:color="auto"/>
            </w:tcBorders>
            <w:vAlign w:val="center"/>
          </w:tcPr>
          <w:p w14:paraId="367AFA07" w14:textId="77777777" w:rsidR="00F5383F" w:rsidRPr="00F5383F" w:rsidRDefault="00F5383F" w:rsidP="00F5383F">
            <w:pPr>
              <w:jc w:val="both"/>
              <w:rPr>
                <w:rFonts w:ascii="Arial" w:eastAsia="Times New Roman" w:hAnsi="Arial"/>
                <w:b/>
                <w:sz w:val="20"/>
                <w:szCs w:val="20"/>
              </w:rPr>
            </w:pPr>
            <w:r w:rsidRPr="00F5383F">
              <w:rPr>
                <w:rFonts w:ascii="Arial" w:eastAsia="Times New Roman" w:hAnsi="Arial"/>
                <w:b/>
                <w:sz w:val="20"/>
                <w:szCs w:val="20"/>
              </w:rPr>
              <w:t>Frequency</w:t>
            </w:r>
          </w:p>
        </w:tc>
        <w:tc>
          <w:tcPr>
            <w:tcW w:w="0" w:type="auto"/>
            <w:tcBorders>
              <w:top w:val="single" w:sz="4" w:space="0" w:color="auto"/>
              <w:left w:val="single" w:sz="4" w:space="0" w:color="auto"/>
              <w:bottom w:val="single" w:sz="4" w:space="0" w:color="auto"/>
              <w:right w:val="single" w:sz="4" w:space="0" w:color="auto"/>
            </w:tcBorders>
            <w:vAlign w:val="center"/>
          </w:tcPr>
          <w:p w14:paraId="26D6A4AD" w14:textId="77777777" w:rsidR="00F5383F" w:rsidRPr="00F5383F" w:rsidRDefault="00F5383F" w:rsidP="00F5383F">
            <w:pPr>
              <w:jc w:val="both"/>
              <w:rPr>
                <w:rFonts w:ascii="Arial" w:eastAsia="Times New Roman" w:hAnsi="Arial"/>
                <w:b/>
                <w:sz w:val="20"/>
                <w:szCs w:val="20"/>
              </w:rPr>
            </w:pPr>
            <w:r w:rsidRPr="00F5383F">
              <w:rPr>
                <w:rFonts w:ascii="Arial" w:eastAsia="Times New Roman" w:hAnsi="Arial"/>
                <w:b/>
                <w:sz w:val="20"/>
                <w:szCs w:val="20"/>
              </w:rPr>
              <w:t>Percent</w:t>
            </w:r>
          </w:p>
        </w:tc>
      </w:tr>
      <w:tr w:rsidR="00F5383F" w:rsidRPr="00F5383F" w14:paraId="05CB0031" w14:textId="77777777" w:rsidTr="00E37E0D">
        <w:trPr>
          <w:jc w:val="center"/>
        </w:trPr>
        <w:tc>
          <w:tcPr>
            <w:tcW w:w="0" w:type="auto"/>
            <w:gridSpan w:val="3"/>
            <w:tcBorders>
              <w:top w:val="single" w:sz="4" w:space="0" w:color="auto"/>
            </w:tcBorders>
            <w:vAlign w:val="center"/>
          </w:tcPr>
          <w:p w14:paraId="0B52E294" w14:textId="77777777" w:rsidR="00F5383F" w:rsidRPr="00F5383F" w:rsidRDefault="00F5383F" w:rsidP="00F5383F">
            <w:pPr>
              <w:jc w:val="both"/>
              <w:rPr>
                <w:rFonts w:ascii="Arial" w:hAnsi="Arial" w:cs="Arial"/>
                <w:b/>
                <w:bCs/>
              </w:rPr>
            </w:pPr>
            <w:r w:rsidRPr="00F5383F">
              <w:rPr>
                <w:rFonts w:ascii="Arial" w:eastAsia="Times New Roman" w:hAnsi="Arial"/>
                <w:b/>
                <w:sz w:val="20"/>
                <w:szCs w:val="20"/>
              </w:rPr>
              <w:t>Age Groups</w:t>
            </w:r>
          </w:p>
        </w:tc>
      </w:tr>
      <w:tr w:rsidR="00F5383F" w:rsidRPr="00F5383F" w14:paraId="1258E4AC" w14:textId="77777777" w:rsidTr="00E37E0D">
        <w:trPr>
          <w:jc w:val="center"/>
        </w:trPr>
        <w:tc>
          <w:tcPr>
            <w:tcW w:w="0" w:type="auto"/>
            <w:vAlign w:val="center"/>
          </w:tcPr>
          <w:p w14:paraId="57D302A9"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17 to 30 years</w:t>
            </w:r>
          </w:p>
        </w:tc>
        <w:tc>
          <w:tcPr>
            <w:tcW w:w="0" w:type="auto"/>
            <w:vAlign w:val="center"/>
          </w:tcPr>
          <w:p w14:paraId="5519E356"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133</w:t>
            </w:r>
          </w:p>
        </w:tc>
        <w:tc>
          <w:tcPr>
            <w:tcW w:w="0" w:type="auto"/>
            <w:vAlign w:val="center"/>
          </w:tcPr>
          <w:p w14:paraId="5D334131"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33.3</w:t>
            </w:r>
          </w:p>
        </w:tc>
      </w:tr>
      <w:tr w:rsidR="00F5383F" w:rsidRPr="00F5383F" w14:paraId="793334F1" w14:textId="77777777" w:rsidTr="00E37E0D">
        <w:trPr>
          <w:jc w:val="center"/>
        </w:trPr>
        <w:tc>
          <w:tcPr>
            <w:tcW w:w="0" w:type="auto"/>
            <w:vAlign w:val="center"/>
          </w:tcPr>
          <w:p w14:paraId="7749553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31 to 40 years</w:t>
            </w:r>
          </w:p>
        </w:tc>
        <w:tc>
          <w:tcPr>
            <w:tcW w:w="0" w:type="auto"/>
            <w:vAlign w:val="center"/>
          </w:tcPr>
          <w:p w14:paraId="53577B7E"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85</w:t>
            </w:r>
          </w:p>
        </w:tc>
        <w:tc>
          <w:tcPr>
            <w:tcW w:w="0" w:type="auto"/>
            <w:vAlign w:val="center"/>
          </w:tcPr>
          <w:p w14:paraId="5E29807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21.3</w:t>
            </w:r>
          </w:p>
        </w:tc>
      </w:tr>
      <w:tr w:rsidR="00F5383F" w:rsidRPr="00F5383F" w14:paraId="4A9FAEEC" w14:textId="77777777" w:rsidTr="00E37E0D">
        <w:trPr>
          <w:jc w:val="center"/>
        </w:trPr>
        <w:tc>
          <w:tcPr>
            <w:tcW w:w="0" w:type="auto"/>
            <w:vAlign w:val="center"/>
          </w:tcPr>
          <w:p w14:paraId="3C82F338"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41 to 60 years</w:t>
            </w:r>
          </w:p>
        </w:tc>
        <w:tc>
          <w:tcPr>
            <w:tcW w:w="0" w:type="auto"/>
            <w:vAlign w:val="center"/>
          </w:tcPr>
          <w:p w14:paraId="06B973F4"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132</w:t>
            </w:r>
          </w:p>
        </w:tc>
        <w:tc>
          <w:tcPr>
            <w:tcW w:w="0" w:type="auto"/>
            <w:vAlign w:val="center"/>
          </w:tcPr>
          <w:p w14:paraId="13A20B7E"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33.0</w:t>
            </w:r>
          </w:p>
        </w:tc>
      </w:tr>
      <w:tr w:rsidR="00F5383F" w:rsidRPr="00F5383F" w14:paraId="20F07642" w14:textId="77777777" w:rsidTr="00E37E0D">
        <w:trPr>
          <w:jc w:val="center"/>
        </w:trPr>
        <w:tc>
          <w:tcPr>
            <w:tcW w:w="0" w:type="auto"/>
            <w:vAlign w:val="center"/>
          </w:tcPr>
          <w:p w14:paraId="6B067EE1"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61 to 80 years</w:t>
            </w:r>
          </w:p>
        </w:tc>
        <w:tc>
          <w:tcPr>
            <w:tcW w:w="0" w:type="auto"/>
            <w:vAlign w:val="center"/>
          </w:tcPr>
          <w:p w14:paraId="733E7432"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34</w:t>
            </w:r>
          </w:p>
        </w:tc>
        <w:tc>
          <w:tcPr>
            <w:tcW w:w="0" w:type="auto"/>
            <w:vAlign w:val="center"/>
          </w:tcPr>
          <w:p w14:paraId="3DFCA91C"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8.5</w:t>
            </w:r>
          </w:p>
        </w:tc>
      </w:tr>
      <w:tr w:rsidR="00F5383F" w:rsidRPr="00F5383F" w14:paraId="7BF3AAF9" w14:textId="77777777" w:rsidTr="00E37E0D">
        <w:trPr>
          <w:jc w:val="center"/>
        </w:trPr>
        <w:tc>
          <w:tcPr>
            <w:tcW w:w="0" w:type="auto"/>
            <w:vAlign w:val="center"/>
          </w:tcPr>
          <w:p w14:paraId="43F588B5"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81 to 100 years</w:t>
            </w:r>
          </w:p>
        </w:tc>
        <w:tc>
          <w:tcPr>
            <w:tcW w:w="0" w:type="auto"/>
            <w:vAlign w:val="center"/>
          </w:tcPr>
          <w:p w14:paraId="3D8A7394"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16</w:t>
            </w:r>
          </w:p>
        </w:tc>
        <w:tc>
          <w:tcPr>
            <w:tcW w:w="0" w:type="auto"/>
            <w:vAlign w:val="center"/>
          </w:tcPr>
          <w:p w14:paraId="0380B6DB"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4.0</w:t>
            </w:r>
          </w:p>
        </w:tc>
      </w:tr>
      <w:tr w:rsidR="00F5383F" w:rsidRPr="00F5383F" w14:paraId="015C0C5B" w14:textId="77777777" w:rsidTr="00E37E0D">
        <w:trPr>
          <w:jc w:val="center"/>
        </w:trPr>
        <w:tc>
          <w:tcPr>
            <w:tcW w:w="0" w:type="auto"/>
            <w:gridSpan w:val="3"/>
            <w:vAlign w:val="center"/>
          </w:tcPr>
          <w:p w14:paraId="4DF3143B"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b/>
                <w:sz w:val="20"/>
                <w:szCs w:val="20"/>
              </w:rPr>
              <w:t>Occupation</w:t>
            </w:r>
          </w:p>
        </w:tc>
      </w:tr>
      <w:tr w:rsidR="00F5383F" w:rsidRPr="00F5383F" w14:paraId="1311A0B7" w14:textId="77777777" w:rsidTr="00E37E0D">
        <w:trPr>
          <w:jc w:val="center"/>
        </w:trPr>
        <w:tc>
          <w:tcPr>
            <w:tcW w:w="0" w:type="auto"/>
            <w:vAlign w:val="center"/>
          </w:tcPr>
          <w:p w14:paraId="4352A845"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Service</w:t>
            </w:r>
          </w:p>
        </w:tc>
        <w:tc>
          <w:tcPr>
            <w:tcW w:w="0" w:type="auto"/>
            <w:vAlign w:val="center"/>
          </w:tcPr>
          <w:p w14:paraId="550E3529"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174</w:t>
            </w:r>
          </w:p>
        </w:tc>
        <w:tc>
          <w:tcPr>
            <w:tcW w:w="0" w:type="auto"/>
            <w:vAlign w:val="center"/>
          </w:tcPr>
          <w:p w14:paraId="1D1A3FE3"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43.5</w:t>
            </w:r>
          </w:p>
        </w:tc>
      </w:tr>
      <w:tr w:rsidR="00F5383F" w:rsidRPr="00F5383F" w14:paraId="340B8BDE" w14:textId="77777777" w:rsidTr="00E37E0D">
        <w:trPr>
          <w:jc w:val="center"/>
        </w:trPr>
        <w:tc>
          <w:tcPr>
            <w:tcW w:w="0" w:type="auto"/>
            <w:vAlign w:val="center"/>
          </w:tcPr>
          <w:p w14:paraId="264F3744"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Business</w:t>
            </w:r>
          </w:p>
        </w:tc>
        <w:tc>
          <w:tcPr>
            <w:tcW w:w="0" w:type="auto"/>
            <w:vAlign w:val="center"/>
          </w:tcPr>
          <w:p w14:paraId="4807FAA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167</w:t>
            </w:r>
          </w:p>
        </w:tc>
        <w:tc>
          <w:tcPr>
            <w:tcW w:w="0" w:type="auto"/>
            <w:vAlign w:val="center"/>
          </w:tcPr>
          <w:p w14:paraId="7528A9EB"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41.8</w:t>
            </w:r>
          </w:p>
        </w:tc>
      </w:tr>
      <w:tr w:rsidR="00F5383F" w:rsidRPr="00F5383F" w14:paraId="2792AC6D" w14:textId="77777777" w:rsidTr="00E37E0D">
        <w:trPr>
          <w:jc w:val="center"/>
        </w:trPr>
        <w:tc>
          <w:tcPr>
            <w:tcW w:w="0" w:type="auto"/>
            <w:vAlign w:val="center"/>
          </w:tcPr>
          <w:p w14:paraId="3A0181E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Homemaker</w:t>
            </w:r>
          </w:p>
        </w:tc>
        <w:tc>
          <w:tcPr>
            <w:tcW w:w="0" w:type="auto"/>
            <w:vAlign w:val="center"/>
          </w:tcPr>
          <w:p w14:paraId="66E1C5AC"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36</w:t>
            </w:r>
          </w:p>
        </w:tc>
        <w:tc>
          <w:tcPr>
            <w:tcW w:w="0" w:type="auto"/>
            <w:vAlign w:val="center"/>
          </w:tcPr>
          <w:p w14:paraId="7E694540"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9.0</w:t>
            </w:r>
          </w:p>
        </w:tc>
      </w:tr>
      <w:tr w:rsidR="00F5383F" w:rsidRPr="00F5383F" w14:paraId="78A31808" w14:textId="77777777" w:rsidTr="00E37E0D">
        <w:trPr>
          <w:jc w:val="center"/>
        </w:trPr>
        <w:tc>
          <w:tcPr>
            <w:tcW w:w="0" w:type="auto"/>
            <w:vAlign w:val="center"/>
          </w:tcPr>
          <w:p w14:paraId="40ED94F5"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Other</w:t>
            </w:r>
          </w:p>
        </w:tc>
        <w:tc>
          <w:tcPr>
            <w:tcW w:w="0" w:type="auto"/>
            <w:vAlign w:val="center"/>
          </w:tcPr>
          <w:p w14:paraId="75786027"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23</w:t>
            </w:r>
          </w:p>
        </w:tc>
        <w:tc>
          <w:tcPr>
            <w:tcW w:w="0" w:type="auto"/>
            <w:vAlign w:val="center"/>
          </w:tcPr>
          <w:p w14:paraId="260DC09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5.8</w:t>
            </w:r>
          </w:p>
        </w:tc>
      </w:tr>
      <w:tr w:rsidR="00F5383F" w:rsidRPr="00F5383F" w14:paraId="0FD9EDA7" w14:textId="77777777" w:rsidTr="00E37E0D">
        <w:trPr>
          <w:jc w:val="center"/>
        </w:trPr>
        <w:tc>
          <w:tcPr>
            <w:tcW w:w="0" w:type="auto"/>
            <w:gridSpan w:val="3"/>
            <w:vAlign w:val="center"/>
          </w:tcPr>
          <w:p w14:paraId="23DDD24F"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b/>
                <w:sz w:val="20"/>
                <w:szCs w:val="20"/>
              </w:rPr>
              <w:t>Monthly Income</w:t>
            </w:r>
          </w:p>
        </w:tc>
      </w:tr>
      <w:tr w:rsidR="00F5383F" w:rsidRPr="00F5383F" w14:paraId="5746ABE5" w14:textId="77777777" w:rsidTr="00E37E0D">
        <w:trPr>
          <w:jc w:val="center"/>
        </w:trPr>
        <w:tc>
          <w:tcPr>
            <w:tcW w:w="0" w:type="auto"/>
            <w:vAlign w:val="center"/>
          </w:tcPr>
          <w:p w14:paraId="367EE80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&lt;10,000</w:t>
            </w:r>
          </w:p>
        </w:tc>
        <w:tc>
          <w:tcPr>
            <w:tcW w:w="0" w:type="auto"/>
            <w:vAlign w:val="center"/>
          </w:tcPr>
          <w:p w14:paraId="3D990008"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28</w:t>
            </w:r>
          </w:p>
        </w:tc>
        <w:tc>
          <w:tcPr>
            <w:tcW w:w="0" w:type="auto"/>
            <w:vAlign w:val="center"/>
          </w:tcPr>
          <w:p w14:paraId="31A30D6C"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7.0</w:t>
            </w:r>
          </w:p>
        </w:tc>
      </w:tr>
      <w:tr w:rsidR="00F5383F" w:rsidRPr="00F5383F" w14:paraId="43155FFD" w14:textId="77777777" w:rsidTr="00E37E0D">
        <w:trPr>
          <w:jc w:val="center"/>
        </w:trPr>
        <w:tc>
          <w:tcPr>
            <w:tcW w:w="0" w:type="auto"/>
            <w:vAlign w:val="center"/>
          </w:tcPr>
          <w:p w14:paraId="4D3D4ADB"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10,000 to 30,000</w:t>
            </w:r>
          </w:p>
        </w:tc>
        <w:tc>
          <w:tcPr>
            <w:tcW w:w="0" w:type="auto"/>
            <w:vAlign w:val="center"/>
          </w:tcPr>
          <w:p w14:paraId="436D8528"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151</w:t>
            </w:r>
          </w:p>
        </w:tc>
        <w:tc>
          <w:tcPr>
            <w:tcW w:w="0" w:type="auto"/>
            <w:vAlign w:val="center"/>
          </w:tcPr>
          <w:p w14:paraId="5B9A21F3"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37.8</w:t>
            </w:r>
          </w:p>
        </w:tc>
      </w:tr>
      <w:tr w:rsidR="00F5383F" w:rsidRPr="00F5383F" w14:paraId="1F7C2638" w14:textId="77777777" w:rsidTr="00E37E0D">
        <w:trPr>
          <w:jc w:val="center"/>
        </w:trPr>
        <w:tc>
          <w:tcPr>
            <w:tcW w:w="0" w:type="auto"/>
            <w:vAlign w:val="center"/>
          </w:tcPr>
          <w:p w14:paraId="2610384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30,000 to 50,000</w:t>
            </w:r>
          </w:p>
        </w:tc>
        <w:tc>
          <w:tcPr>
            <w:tcW w:w="0" w:type="auto"/>
            <w:vAlign w:val="center"/>
          </w:tcPr>
          <w:p w14:paraId="574C3E61"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109</w:t>
            </w:r>
          </w:p>
        </w:tc>
        <w:tc>
          <w:tcPr>
            <w:tcW w:w="0" w:type="auto"/>
            <w:vAlign w:val="center"/>
          </w:tcPr>
          <w:p w14:paraId="230204B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27.3</w:t>
            </w:r>
          </w:p>
        </w:tc>
      </w:tr>
      <w:tr w:rsidR="00F5383F" w:rsidRPr="00F5383F" w14:paraId="084CBCDF" w14:textId="77777777" w:rsidTr="00E37E0D">
        <w:trPr>
          <w:jc w:val="center"/>
        </w:trPr>
        <w:tc>
          <w:tcPr>
            <w:tcW w:w="0" w:type="auto"/>
            <w:vAlign w:val="center"/>
          </w:tcPr>
          <w:p w14:paraId="78D2F33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50,000-70,000</w:t>
            </w:r>
          </w:p>
        </w:tc>
        <w:tc>
          <w:tcPr>
            <w:tcW w:w="0" w:type="auto"/>
            <w:vAlign w:val="center"/>
          </w:tcPr>
          <w:p w14:paraId="4FCA03D0"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30</w:t>
            </w:r>
          </w:p>
        </w:tc>
        <w:tc>
          <w:tcPr>
            <w:tcW w:w="0" w:type="auto"/>
            <w:vAlign w:val="center"/>
          </w:tcPr>
          <w:p w14:paraId="14011343"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7.5</w:t>
            </w:r>
          </w:p>
        </w:tc>
      </w:tr>
      <w:tr w:rsidR="00F5383F" w:rsidRPr="00F5383F" w14:paraId="278518C7" w14:textId="77777777" w:rsidTr="00E37E0D">
        <w:trPr>
          <w:jc w:val="center"/>
        </w:trPr>
        <w:tc>
          <w:tcPr>
            <w:tcW w:w="0" w:type="auto"/>
            <w:vAlign w:val="center"/>
          </w:tcPr>
          <w:p w14:paraId="02F66E17"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70,000-100,000</w:t>
            </w:r>
          </w:p>
        </w:tc>
        <w:tc>
          <w:tcPr>
            <w:tcW w:w="0" w:type="auto"/>
            <w:vAlign w:val="center"/>
          </w:tcPr>
          <w:p w14:paraId="42EA08E0"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40</w:t>
            </w:r>
          </w:p>
        </w:tc>
        <w:tc>
          <w:tcPr>
            <w:tcW w:w="0" w:type="auto"/>
            <w:vAlign w:val="center"/>
          </w:tcPr>
          <w:p w14:paraId="27634CC6"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10.0</w:t>
            </w:r>
          </w:p>
        </w:tc>
      </w:tr>
      <w:tr w:rsidR="00F5383F" w:rsidRPr="00F5383F" w14:paraId="6C562F40" w14:textId="77777777" w:rsidTr="00E37E0D">
        <w:trPr>
          <w:jc w:val="center"/>
        </w:trPr>
        <w:tc>
          <w:tcPr>
            <w:tcW w:w="0" w:type="auto"/>
            <w:vAlign w:val="center"/>
          </w:tcPr>
          <w:p w14:paraId="381463C2"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lastRenderedPageBreak/>
              <w:t>&gt;100,000</w:t>
            </w:r>
          </w:p>
        </w:tc>
        <w:tc>
          <w:tcPr>
            <w:tcW w:w="0" w:type="auto"/>
            <w:vAlign w:val="center"/>
          </w:tcPr>
          <w:p w14:paraId="0143DEA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42</w:t>
            </w:r>
          </w:p>
        </w:tc>
        <w:tc>
          <w:tcPr>
            <w:tcW w:w="0" w:type="auto"/>
            <w:vAlign w:val="center"/>
          </w:tcPr>
          <w:p w14:paraId="23C2341E"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10.5</w:t>
            </w:r>
          </w:p>
        </w:tc>
      </w:tr>
      <w:tr w:rsidR="00F5383F" w:rsidRPr="00F5383F" w14:paraId="0A9B8E23" w14:textId="77777777" w:rsidTr="00E37E0D">
        <w:trPr>
          <w:jc w:val="center"/>
        </w:trPr>
        <w:tc>
          <w:tcPr>
            <w:tcW w:w="0" w:type="auto"/>
            <w:gridSpan w:val="3"/>
            <w:vAlign w:val="center"/>
          </w:tcPr>
          <w:p w14:paraId="415F931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b/>
                <w:sz w:val="20"/>
                <w:szCs w:val="20"/>
              </w:rPr>
              <w:t>Religion</w:t>
            </w:r>
          </w:p>
        </w:tc>
      </w:tr>
      <w:tr w:rsidR="00F5383F" w:rsidRPr="00F5383F" w14:paraId="5DD3F4B9" w14:textId="77777777" w:rsidTr="00E37E0D">
        <w:trPr>
          <w:jc w:val="center"/>
        </w:trPr>
        <w:tc>
          <w:tcPr>
            <w:tcW w:w="0" w:type="auto"/>
            <w:vAlign w:val="center"/>
          </w:tcPr>
          <w:p w14:paraId="0CA89CF3"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Jain</w:t>
            </w:r>
          </w:p>
        </w:tc>
        <w:tc>
          <w:tcPr>
            <w:tcW w:w="0" w:type="auto"/>
            <w:vAlign w:val="center"/>
          </w:tcPr>
          <w:p w14:paraId="3B99CDA6"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46</w:t>
            </w:r>
          </w:p>
        </w:tc>
        <w:tc>
          <w:tcPr>
            <w:tcW w:w="0" w:type="auto"/>
            <w:vAlign w:val="center"/>
          </w:tcPr>
          <w:p w14:paraId="16733C10"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11.5</w:t>
            </w:r>
          </w:p>
        </w:tc>
      </w:tr>
      <w:tr w:rsidR="00F5383F" w:rsidRPr="00F5383F" w14:paraId="0F409421" w14:textId="77777777" w:rsidTr="00E37E0D">
        <w:trPr>
          <w:jc w:val="center"/>
        </w:trPr>
        <w:tc>
          <w:tcPr>
            <w:tcW w:w="0" w:type="auto"/>
            <w:tcBorders>
              <w:bottom w:val="single" w:sz="4" w:space="0" w:color="auto"/>
            </w:tcBorders>
            <w:vAlign w:val="center"/>
          </w:tcPr>
          <w:p w14:paraId="27603EE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Non-Jain</w:t>
            </w:r>
          </w:p>
        </w:tc>
        <w:tc>
          <w:tcPr>
            <w:tcW w:w="0" w:type="auto"/>
            <w:tcBorders>
              <w:bottom w:val="single" w:sz="4" w:space="0" w:color="auto"/>
            </w:tcBorders>
            <w:vAlign w:val="center"/>
          </w:tcPr>
          <w:p w14:paraId="325A6B74"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354</w:t>
            </w:r>
          </w:p>
        </w:tc>
        <w:tc>
          <w:tcPr>
            <w:tcW w:w="0" w:type="auto"/>
            <w:tcBorders>
              <w:bottom w:val="single" w:sz="4" w:space="0" w:color="auto"/>
            </w:tcBorders>
            <w:vAlign w:val="center"/>
          </w:tcPr>
          <w:p w14:paraId="51D90FD1"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88.5</w:t>
            </w:r>
          </w:p>
        </w:tc>
      </w:tr>
    </w:tbl>
    <w:p w14:paraId="7A6D5892" w14:textId="329A5FB8" w:rsidR="005272A2" w:rsidRDefault="008015F6" w:rsidP="00AA59C4">
      <w:pPr>
        <w:pStyle w:val="Body"/>
        <w:rPr>
          <w:rFonts w:ascii="Arial" w:hAnsi="Arial" w:cs="Arial"/>
        </w:rPr>
      </w:pPr>
      <w:r w:rsidRPr="008015F6">
        <w:rPr>
          <w:rFonts w:ascii="Arial" w:hAnsi="Arial" w:cs="Arial"/>
        </w:rPr>
        <w:t>The data in Table 1 indicates that the majority of participants are aged between 17 and 30 years (33.3%). Most of them are employed in the service sector (43.5%) or in business (41.8%). Additionally, 88.5% of the participants earn between 10,000 and 30,000 and majority (354) of the participants identified as non-Jain.</w:t>
      </w:r>
    </w:p>
    <w:p w14:paraId="7778010B" w14:textId="7A5FBC23" w:rsidR="008015F6" w:rsidRPr="00AA59C4" w:rsidRDefault="00AA59C4" w:rsidP="00AA59C4">
      <w:pPr>
        <w:pStyle w:val="Body"/>
        <w:numPr>
          <w:ilvl w:val="0"/>
          <w:numId w:val="34"/>
        </w:numPr>
        <w:tabs>
          <w:tab w:val="left" w:pos="450"/>
        </w:tabs>
        <w:spacing w:after="0"/>
        <w:ind w:left="360"/>
        <w:rPr>
          <w:rFonts w:ascii="Arial" w:hAnsi="Arial" w:cs="Arial"/>
          <w:b/>
          <w:bCs/>
          <w:sz w:val="22"/>
          <w:szCs w:val="22"/>
        </w:rPr>
      </w:pPr>
      <w:r w:rsidRPr="00AA59C4">
        <w:rPr>
          <w:rFonts w:ascii="Arial" w:hAnsi="Arial" w:cs="Arial"/>
          <w:b/>
          <w:bCs/>
          <w:sz w:val="22"/>
          <w:szCs w:val="22"/>
        </w:rPr>
        <w:t xml:space="preserve">Survey Based </w:t>
      </w:r>
      <w:r w:rsidR="004C55F6" w:rsidRPr="00AA59C4">
        <w:rPr>
          <w:rFonts w:ascii="Arial" w:hAnsi="Arial" w:cs="Arial"/>
          <w:b/>
          <w:bCs/>
          <w:sz w:val="22"/>
          <w:szCs w:val="22"/>
        </w:rPr>
        <w:t>on</w:t>
      </w:r>
      <w:r w:rsidRPr="00AA59C4">
        <w:rPr>
          <w:rFonts w:ascii="Arial" w:hAnsi="Arial" w:cs="Arial"/>
          <w:b/>
          <w:bCs/>
          <w:sz w:val="22"/>
          <w:szCs w:val="22"/>
        </w:rPr>
        <w:t xml:space="preserve"> Respondents</w:t>
      </w:r>
    </w:p>
    <w:p w14:paraId="5CE77649" w14:textId="777A8F78" w:rsidR="005272A2" w:rsidRPr="005A08CC" w:rsidRDefault="005A08CC" w:rsidP="005A08CC">
      <w:pPr>
        <w:pStyle w:val="Body"/>
        <w:numPr>
          <w:ilvl w:val="1"/>
          <w:numId w:val="36"/>
        </w:numPr>
        <w:spacing w:after="0"/>
        <w:ind w:left="360"/>
        <w:rPr>
          <w:rFonts w:ascii="Arial" w:hAnsi="Arial" w:cs="Arial"/>
          <w:b/>
          <w:bCs/>
        </w:rPr>
      </w:pPr>
      <w:r w:rsidRPr="005A08CC">
        <w:rPr>
          <w:rFonts w:ascii="Arial" w:hAnsi="Arial" w:cs="Arial"/>
          <w:b/>
          <w:bCs/>
        </w:rPr>
        <w:t>Frequency of buying vegetables</w:t>
      </w:r>
    </w:p>
    <w:p w14:paraId="02F83EB5" w14:textId="7801EEEF" w:rsidR="005272A2" w:rsidRDefault="00807657" w:rsidP="00807657">
      <w:pPr>
        <w:pStyle w:val="Body"/>
        <w:spacing w:after="0"/>
        <w:rPr>
          <w:rFonts w:ascii="Arial" w:hAnsi="Arial" w:cs="Arial"/>
        </w:rPr>
      </w:pPr>
      <w:r>
        <w:rPr>
          <w:rFonts w:ascii="Arial" w:hAnsi="Arial" w:cs="Arial"/>
          <w:noProof/>
        </w:rPr>
        <w:drawing>
          <wp:inline distT="0" distB="0" distL="0" distR="0" wp14:anchorId="0B0DF597" wp14:editId="4EED1315">
            <wp:extent cx="2853055" cy="1713230"/>
            <wp:effectExtent l="0" t="0" r="4445" b="1270"/>
            <wp:docPr id="728421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3055" cy="1713230"/>
                    </a:xfrm>
                    <a:prstGeom prst="rect">
                      <a:avLst/>
                    </a:prstGeom>
                    <a:noFill/>
                  </pic:spPr>
                </pic:pic>
              </a:graphicData>
            </a:graphic>
          </wp:inline>
        </w:drawing>
      </w:r>
    </w:p>
    <w:p w14:paraId="74B3677E" w14:textId="77777777" w:rsidR="00203E41" w:rsidRPr="00203E41" w:rsidRDefault="00203E41" w:rsidP="00FD1236">
      <w:pPr>
        <w:autoSpaceDE w:val="0"/>
        <w:autoSpaceDN w:val="0"/>
        <w:adjustRightInd w:val="0"/>
        <w:spacing w:after="240"/>
        <w:jc w:val="both"/>
        <w:rPr>
          <w:rFonts w:ascii="Arial" w:hAnsi="Arial" w:cs="Arial"/>
          <w:b/>
          <w:bCs/>
          <w:szCs w:val="22"/>
        </w:rPr>
      </w:pPr>
      <w:r w:rsidRPr="00203E41">
        <w:rPr>
          <w:rFonts w:ascii="Arial" w:hAnsi="Arial" w:cs="Arial"/>
          <w:b/>
          <w:bCs/>
          <w:szCs w:val="22"/>
        </w:rPr>
        <w:t>Graph 1. Frequency of Buying Vegetables</w:t>
      </w:r>
    </w:p>
    <w:p w14:paraId="49747F5B" w14:textId="6BDAD897" w:rsidR="00807657" w:rsidRDefault="005F5963" w:rsidP="005F5963">
      <w:pPr>
        <w:pStyle w:val="Body"/>
        <w:rPr>
          <w:rFonts w:ascii="Arial" w:hAnsi="Arial" w:cs="Arial"/>
        </w:rPr>
      </w:pPr>
      <w:r w:rsidRPr="005F5963">
        <w:rPr>
          <w:rFonts w:ascii="Arial" w:hAnsi="Arial" w:cs="Arial"/>
        </w:rPr>
        <w:t>The data shown in graph 1 indicates that among the 400 participants, 50% purchase veggies on a weekly basis, while 41.3% purchase them daily. Occasionally, 5.5% of individuals buy veggies monthly, while 3.3% purchase them twice a month. These findings suggest that many individuals engage in frequent vegetable purchases, with a particular emphasis on weekly and daily buying patterns.</w:t>
      </w:r>
    </w:p>
    <w:p w14:paraId="3D1C197F" w14:textId="116DBF6C" w:rsidR="005F5963" w:rsidRPr="00F06CDF" w:rsidRDefault="00F06CDF" w:rsidP="00F06CDF">
      <w:pPr>
        <w:pStyle w:val="Body"/>
        <w:numPr>
          <w:ilvl w:val="1"/>
          <w:numId w:val="36"/>
        </w:numPr>
        <w:spacing w:after="0"/>
        <w:ind w:left="360"/>
        <w:rPr>
          <w:rFonts w:ascii="Arial" w:hAnsi="Arial" w:cs="Arial"/>
          <w:b/>
          <w:bCs/>
        </w:rPr>
      </w:pPr>
      <w:r w:rsidRPr="00F06CDF">
        <w:rPr>
          <w:rFonts w:ascii="Arial" w:hAnsi="Arial" w:cs="Arial"/>
          <w:b/>
          <w:bCs/>
        </w:rPr>
        <w:t>Washing methods of fruits and vegetables</w:t>
      </w:r>
    </w:p>
    <w:p w14:paraId="73EFCF82" w14:textId="67122F20" w:rsidR="005F5963" w:rsidRDefault="00FB5194" w:rsidP="00807657">
      <w:pPr>
        <w:pStyle w:val="Body"/>
        <w:spacing w:after="0"/>
        <w:rPr>
          <w:rFonts w:ascii="Arial" w:hAnsi="Arial" w:cs="Arial"/>
        </w:rPr>
      </w:pPr>
      <w:r>
        <w:rPr>
          <w:rFonts w:ascii="Arial" w:hAnsi="Arial" w:cs="Arial"/>
          <w:noProof/>
        </w:rPr>
        <w:drawing>
          <wp:inline distT="0" distB="0" distL="0" distR="0" wp14:anchorId="43702315" wp14:editId="058F573B">
            <wp:extent cx="3133725" cy="1884045"/>
            <wp:effectExtent l="0" t="0" r="9525" b="1905"/>
            <wp:docPr id="338887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1884045"/>
                    </a:xfrm>
                    <a:prstGeom prst="rect">
                      <a:avLst/>
                    </a:prstGeom>
                    <a:noFill/>
                  </pic:spPr>
                </pic:pic>
              </a:graphicData>
            </a:graphic>
          </wp:inline>
        </w:drawing>
      </w:r>
    </w:p>
    <w:p w14:paraId="5F87954A" w14:textId="1C1443C2" w:rsidR="00FB5194" w:rsidRPr="006245C9" w:rsidRDefault="006245C9" w:rsidP="00FD1236">
      <w:pPr>
        <w:autoSpaceDE w:val="0"/>
        <w:autoSpaceDN w:val="0"/>
        <w:adjustRightInd w:val="0"/>
        <w:spacing w:after="240"/>
        <w:jc w:val="both"/>
        <w:rPr>
          <w:rFonts w:ascii="Arial" w:hAnsi="Arial" w:cs="Arial"/>
          <w:b/>
          <w:bCs/>
          <w:szCs w:val="22"/>
        </w:rPr>
      </w:pPr>
      <w:r w:rsidRPr="006245C9">
        <w:rPr>
          <w:rFonts w:ascii="Arial" w:hAnsi="Arial" w:cs="Arial"/>
          <w:b/>
          <w:bCs/>
          <w:szCs w:val="22"/>
        </w:rPr>
        <w:t>Graph 2.  Washing Methods of Fruits and Vegetables Frequency</w:t>
      </w:r>
    </w:p>
    <w:p w14:paraId="68C1A953" w14:textId="13FA64F3" w:rsidR="005F5963" w:rsidRDefault="00FD1236" w:rsidP="00A26783">
      <w:pPr>
        <w:pStyle w:val="Body"/>
        <w:rPr>
          <w:rFonts w:ascii="Arial" w:hAnsi="Arial" w:cs="Arial"/>
        </w:rPr>
      </w:pPr>
      <w:r w:rsidRPr="00FD1236">
        <w:rPr>
          <w:rFonts w:ascii="Arial" w:hAnsi="Arial" w:cs="Arial"/>
        </w:rPr>
        <w:t>According to graph 2, a significant proportion of participants (54.8%) used tap water for the purpose of washing their fruits and vegetables. 23.8% of people used warm water as the second most prevalent approach. Additional techniques included using saline water (7.8%), water infused with alum (6.8%), tepid water (5.5%), and solutions specifically designed for cleaning vegetables (1.5%). According to this research, most people prefer using plain tap water as a cleaning method, even if there are other possibly more efficient alternatives available.</w:t>
      </w:r>
    </w:p>
    <w:p w14:paraId="119D4CD2" w14:textId="480B2655" w:rsidR="005F5963" w:rsidRPr="00A26783" w:rsidRDefault="00A26783" w:rsidP="00A26783">
      <w:pPr>
        <w:pStyle w:val="Body"/>
        <w:numPr>
          <w:ilvl w:val="1"/>
          <w:numId w:val="36"/>
        </w:numPr>
        <w:spacing w:after="0"/>
        <w:ind w:left="360"/>
        <w:rPr>
          <w:rFonts w:ascii="Arial" w:hAnsi="Arial" w:cs="Arial"/>
          <w:b/>
          <w:bCs/>
        </w:rPr>
      </w:pPr>
      <w:r w:rsidRPr="00A26783">
        <w:rPr>
          <w:rFonts w:ascii="Arial" w:hAnsi="Arial" w:cs="Arial"/>
          <w:b/>
          <w:bCs/>
        </w:rPr>
        <w:t>Soaking vegetables in water before consumption</w:t>
      </w:r>
    </w:p>
    <w:p w14:paraId="37CC455F" w14:textId="3B2725C3" w:rsidR="00907A9F" w:rsidRDefault="004606C0" w:rsidP="00441B6F">
      <w:pPr>
        <w:pStyle w:val="Body"/>
        <w:spacing w:after="0"/>
        <w:rPr>
          <w:rFonts w:ascii="Arial" w:hAnsi="Arial" w:cs="Arial"/>
        </w:rPr>
      </w:pPr>
      <w:r>
        <w:rPr>
          <w:rFonts w:ascii="Arial" w:hAnsi="Arial" w:cs="Arial"/>
          <w:noProof/>
        </w:rPr>
        <w:lastRenderedPageBreak/>
        <w:drawing>
          <wp:inline distT="0" distB="0" distL="0" distR="0" wp14:anchorId="7F2FF9E8" wp14:editId="68F5DCDE">
            <wp:extent cx="2974975" cy="1767840"/>
            <wp:effectExtent l="0" t="0" r="0" b="3810"/>
            <wp:docPr id="7474545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767840"/>
                    </a:xfrm>
                    <a:prstGeom prst="rect">
                      <a:avLst/>
                    </a:prstGeom>
                    <a:noFill/>
                  </pic:spPr>
                </pic:pic>
              </a:graphicData>
            </a:graphic>
          </wp:inline>
        </w:drawing>
      </w:r>
    </w:p>
    <w:p w14:paraId="38011224" w14:textId="72373C11" w:rsidR="004606C0" w:rsidRPr="000E78DD" w:rsidRDefault="000E78DD" w:rsidP="000E78DD">
      <w:pPr>
        <w:autoSpaceDE w:val="0"/>
        <w:autoSpaceDN w:val="0"/>
        <w:adjustRightInd w:val="0"/>
        <w:spacing w:after="240"/>
        <w:jc w:val="both"/>
        <w:rPr>
          <w:rFonts w:ascii="Arial" w:hAnsi="Arial" w:cs="Arial"/>
          <w:b/>
          <w:bCs/>
          <w:szCs w:val="22"/>
        </w:rPr>
      </w:pPr>
      <w:r w:rsidRPr="000E78DD">
        <w:rPr>
          <w:rFonts w:ascii="Arial" w:hAnsi="Arial" w:cs="Arial"/>
          <w:b/>
          <w:bCs/>
          <w:szCs w:val="22"/>
        </w:rPr>
        <w:t>Graph 3. soak vegetables in water before consumption</w:t>
      </w:r>
    </w:p>
    <w:p w14:paraId="6D4AC97F" w14:textId="3EC8E24E" w:rsidR="004606C0" w:rsidRDefault="008979E0" w:rsidP="00441B6F">
      <w:pPr>
        <w:pStyle w:val="Body"/>
        <w:spacing w:after="0"/>
        <w:rPr>
          <w:rFonts w:ascii="Arial" w:hAnsi="Arial" w:cs="Arial"/>
        </w:rPr>
      </w:pPr>
      <w:r w:rsidRPr="008979E0">
        <w:rPr>
          <w:rFonts w:ascii="Arial" w:hAnsi="Arial" w:cs="Arial"/>
        </w:rPr>
        <w:t>The data shown in graph 3 and indicates that a substantial majority of participants, namely 72.5%, engage in the practice of immersing vegetables in water before ingestion. Conversely, 27.5% of individuals do not partake in this practice. These findings suggest that many participants engage in the practice of soaking vegetables, a widely accepted technique thought to decrease the presence of pesticide residues.</w:t>
      </w:r>
    </w:p>
    <w:p w14:paraId="0AEE0C06" w14:textId="484DAF47" w:rsidR="008979E0" w:rsidRPr="00D96AAA" w:rsidRDefault="00D96AAA" w:rsidP="00D96AAA">
      <w:pPr>
        <w:pStyle w:val="Body"/>
        <w:numPr>
          <w:ilvl w:val="1"/>
          <w:numId w:val="36"/>
        </w:numPr>
        <w:spacing w:after="0"/>
        <w:ind w:left="360"/>
        <w:rPr>
          <w:rFonts w:ascii="Arial" w:hAnsi="Arial" w:cs="Arial"/>
          <w:b/>
          <w:bCs/>
        </w:rPr>
      </w:pPr>
      <w:r w:rsidRPr="00D96AAA">
        <w:rPr>
          <w:rFonts w:ascii="Arial" w:hAnsi="Arial" w:cs="Arial"/>
          <w:b/>
          <w:bCs/>
        </w:rPr>
        <w:t>Duration of Soaking Vegetables Frequency</w:t>
      </w:r>
    </w:p>
    <w:p w14:paraId="647BD6FB" w14:textId="5E505DB7" w:rsidR="004606C0" w:rsidRDefault="00E54F5C" w:rsidP="00441B6F">
      <w:pPr>
        <w:pStyle w:val="Body"/>
        <w:spacing w:after="0"/>
        <w:rPr>
          <w:rFonts w:ascii="Arial" w:hAnsi="Arial" w:cs="Arial"/>
        </w:rPr>
      </w:pPr>
      <w:r>
        <w:rPr>
          <w:rFonts w:ascii="Arial" w:hAnsi="Arial" w:cs="Arial"/>
          <w:noProof/>
        </w:rPr>
        <w:drawing>
          <wp:inline distT="0" distB="0" distL="0" distR="0" wp14:anchorId="2647487F" wp14:editId="4DB61BAB">
            <wp:extent cx="3066415" cy="1840865"/>
            <wp:effectExtent l="0" t="0" r="635" b="6985"/>
            <wp:docPr id="13038905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6415" cy="1840865"/>
                    </a:xfrm>
                    <a:prstGeom prst="rect">
                      <a:avLst/>
                    </a:prstGeom>
                    <a:noFill/>
                  </pic:spPr>
                </pic:pic>
              </a:graphicData>
            </a:graphic>
          </wp:inline>
        </w:drawing>
      </w:r>
    </w:p>
    <w:p w14:paraId="04388C90" w14:textId="057A0520" w:rsidR="00E54F5C" w:rsidRPr="00076F6C" w:rsidRDefault="00076F6C" w:rsidP="00076F6C">
      <w:pPr>
        <w:autoSpaceDE w:val="0"/>
        <w:autoSpaceDN w:val="0"/>
        <w:adjustRightInd w:val="0"/>
        <w:spacing w:after="240"/>
        <w:jc w:val="both"/>
        <w:rPr>
          <w:rFonts w:ascii="Arial" w:hAnsi="Arial" w:cs="Arial"/>
          <w:b/>
          <w:bCs/>
          <w:szCs w:val="22"/>
        </w:rPr>
      </w:pPr>
      <w:r w:rsidRPr="00076F6C">
        <w:rPr>
          <w:rFonts w:ascii="Arial" w:hAnsi="Arial" w:cs="Arial"/>
          <w:b/>
          <w:bCs/>
          <w:szCs w:val="22"/>
        </w:rPr>
        <w:t>Graph 4. Duration of Soaking Vegetables Frequency</w:t>
      </w:r>
    </w:p>
    <w:p w14:paraId="741DF87F" w14:textId="05CD8B28" w:rsidR="00E54F5C" w:rsidRDefault="008D18E6" w:rsidP="008D18E6">
      <w:pPr>
        <w:pStyle w:val="Body"/>
        <w:rPr>
          <w:rFonts w:ascii="Arial" w:hAnsi="Arial" w:cs="Arial"/>
        </w:rPr>
      </w:pPr>
      <w:r w:rsidRPr="008D18E6">
        <w:rPr>
          <w:rFonts w:ascii="Arial" w:hAnsi="Arial" w:cs="Arial"/>
        </w:rPr>
        <w:t>Graph 4 shows that most participants soaked their veggies for either 10 minutes (37.5%) or 15 minutes (27.0%), according to the table. While a lesser percentage (7.8%) soaked their veggies for 30 minutes, a considerable minority (27.5%) did not soak them at all. Only 0.3% of the veggies were immersed in for more than half an hour. This suggests that a significant proportion of individuals either soaked their veggies for 10 to 15 minutes or did not soak them at all.</w:t>
      </w:r>
    </w:p>
    <w:p w14:paraId="668BB7DA" w14:textId="4C358A6B" w:rsidR="008D18E6" w:rsidRPr="000F1956" w:rsidRDefault="000F1956" w:rsidP="000F1956">
      <w:pPr>
        <w:pStyle w:val="Body"/>
        <w:numPr>
          <w:ilvl w:val="0"/>
          <w:numId w:val="34"/>
        </w:numPr>
        <w:tabs>
          <w:tab w:val="left" w:pos="450"/>
        </w:tabs>
        <w:spacing w:after="0"/>
        <w:ind w:left="360"/>
        <w:rPr>
          <w:rFonts w:ascii="Arial" w:hAnsi="Arial" w:cs="Arial"/>
          <w:b/>
          <w:bCs/>
          <w:sz w:val="22"/>
          <w:szCs w:val="22"/>
        </w:rPr>
      </w:pPr>
      <w:r w:rsidRPr="000F1956">
        <w:rPr>
          <w:rFonts w:ascii="Arial" w:hAnsi="Arial" w:cs="Arial"/>
          <w:b/>
          <w:bCs/>
          <w:sz w:val="22"/>
          <w:szCs w:val="22"/>
        </w:rPr>
        <w:t xml:space="preserve">Lab Analysis </w:t>
      </w:r>
    </w:p>
    <w:p w14:paraId="563AC06D" w14:textId="1D49B942" w:rsidR="008D18E6" w:rsidRPr="0024058B" w:rsidRDefault="0024058B" w:rsidP="0024058B">
      <w:pPr>
        <w:pStyle w:val="Body"/>
        <w:numPr>
          <w:ilvl w:val="1"/>
          <w:numId w:val="36"/>
        </w:numPr>
        <w:spacing w:after="0"/>
        <w:ind w:left="360"/>
        <w:rPr>
          <w:rFonts w:ascii="Arial" w:hAnsi="Arial" w:cs="Arial"/>
          <w:b/>
          <w:bCs/>
        </w:rPr>
      </w:pPr>
      <w:r w:rsidRPr="0024058B">
        <w:rPr>
          <w:rFonts w:ascii="Arial" w:hAnsi="Arial" w:cs="Arial"/>
          <w:b/>
          <w:bCs/>
        </w:rPr>
        <w:t>Pesticides Residue</w:t>
      </w:r>
    </w:p>
    <w:p w14:paraId="18FF093F" w14:textId="74545FBD" w:rsidR="008D18E6" w:rsidRDefault="00450840" w:rsidP="00441B6F">
      <w:pPr>
        <w:pStyle w:val="Body"/>
        <w:spacing w:after="0"/>
        <w:rPr>
          <w:rFonts w:ascii="Arial" w:hAnsi="Arial" w:cs="Arial"/>
        </w:rPr>
      </w:pPr>
      <w:r>
        <w:rPr>
          <w:rFonts w:ascii="Arial" w:hAnsi="Arial" w:cs="Arial"/>
          <w:noProof/>
        </w:rPr>
        <w:drawing>
          <wp:inline distT="0" distB="0" distL="0" distR="0" wp14:anchorId="4ECF535E" wp14:editId="0E1C722A">
            <wp:extent cx="3432175" cy="2048510"/>
            <wp:effectExtent l="0" t="0" r="0" b="8890"/>
            <wp:docPr id="13960173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2175" cy="2048510"/>
                    </a:xfrm>
                    <a:prstGeom prst="rect">
                      <a:avLst/>
                    </a:prstGeom>
                    <a:noFill/>
                  </pic:spPr>
                </pic:pic>
              </a:graphicData>
            </a:graphic>
          </wp:inline>
        </w:drawing>
      </w:r>
    </w:p>
    <w:p w14:paraId="72D36184" w14:textId="528E9F91" w:rsidR="00450840" w:rsidRPr="00A3494A" w:rsidRDefault="00A3494A" w:rsidP="00A3494A">
      <w:pPr>
        <w:autoSpaceDE w:val="0"/>
        <w:autoSpaceDN w:val="0"/>
        <w:adjustRightInd w:val="0"/>
        <w:spacing w:after="240"/>
        <w:jc w:val="both"/>
        <w:rPr>
          <w:rFonts w:ascii="Arial" w:hAnsi="Arial" w:cs="Arial"/>
          <w:b/>
          <w:bCs/>
          <w:szCs w:val="22"/>
        </w:rPr>
      </w:pPr>
      <w:r w:rsidRPr="00A3494A">
        <w:rPr>
          <w:rFonts w:ascii="Arial" w:hAnsi="Arial" w:cs="Arial"/>
          <w:b/>
          <w:bCs/>
          <w:szCs w:val="22"/>
        </w:rPr>
        <w:t>Graph 5. Pesticide Residues on Fruits</w:t>
      </w:r>
    </w:p>
    <w:p w14:paraId="51B1A856" w14:textId="0DE42A46" w:rsidR="00450840" w:rsidRDefault="00CE55E3" w:rsidP="006F63FD">
      <w:pPr>
        <w:pStyle w:val="Body"/>
        <w:rPr>
          <w:rFonts w:ascii="Arial" w:hAnsi="Arial" w:cs="Arial"/>
        </w:rPr>
      </w:pPr>
      <w:r w:rsidRPr="00CE55E3">
        <w:rPr>
          <w:rFonts w:ascii="Arial" w:hAnsi="Arial" w:cs="Arial"/>
        </w:rPr>
        <w:t xml:space="preserve">Graph 5 shows that strawberries have the highest residues of copper-based pesticides (Copper Sulphate, Copper Hydroxide, Copper Oxychloride, and Copper Oxide), reaching close to 8 units. Grapes have moderate residue levels, higher than the standard but lower than strawberries. Pomegranates have the lowest pesticide residues, slightly above the </w:t>
      </w:r>
      <w:r w:rsidRPr="00CE55E3">
        <w:rPr>
          <w:rFonts w:ascii="Arial" w:hAnsi="Arial" w:cs="Arial"/>
        </w:rPr>
        <w:lastRenderedPageBreak/>
        <w:t>standard. Overall, strawberries exhibit the most significant contamination, followed by grapes, with pomegranates having the least.</w:t>
      </w:r>
    </w:p>
    <w:p w14:paraId="40E215C0" w14:textId="171D655B" w:rsidR="00CE55E3" w:rsidRDefault="006F63FD" w:rsidP="00156CB9">
      <w:pPr>
        <w:pStyle w:val="AbstHead"/>
        <w:numPr>
          <w:ilvl w:val="0"/>
          <w:numId w:val="32"/>
        </w:numPr>
        <w:tabs>
          <w:tab w:val="left" w:pos="270"/>
        </w:tabs>
        <w:ind w:left="360"/>
        <w:jc w:val="both"/>
        <w:rPr>
          <w:rFonts w:ascii="Arial" w:hAnsi="Arial" w:cs="Arial"/>
        </w:rPr>
      </w:pPr>
      <w:r w:rsidRPr="00156CB9">
        <w:rPr>
          <w:rFonts w:ascii="Arial" w:hAnsi="Arial" w:cs="Arial"/>
          <w:caps w:val="0"/>
        </w:rPr>
        <w:t>Discussion</w:t>
      </w:r>
    </w:p>
    <w:p w14:paraId="5743CDF5" w14:textId="77777777" w:rsidR="0048763E" w:rsidRPr="0048763E" w:rsidRDefault="0048763E" w:rsidP="0048763E">
      <w:pPr>
        <w:pStyle w:val="Body"/>
        <w:rPr>
          <w:rFonts w:ascii="Arial" w:hAnsi="Arial" w:cs="Arial"/>
        </w:rPr>
      </w:pPr>
      <w:r w:rsidRPr="0048763E">
        <w:rPr>
          <w:rFonts w:ascii="Arial" w:hAnsi="Arial" w:cs="Arial"/>
        </w:rPr>
        <w:t>The study utilized a cross-sectional strategy to evaluate pesticide residues in commonly consumed fruits, aligning with methodologies from previous studies like Bempah et al., (2011), which also examined pesticide residues in fruits and vegetables using a similar approach (Bempah et al., 2011). The study's participant demographics primarily included middle-aged and young individuals working in the business and service sectors, consistent with findings by Kumari et al., (2002) on urban fruit consumers in India (Kumari et al., 2002).</w:t>
      </w:r>
    </w:p>
    <w:p w14:paraId="5F411681" w14:textId="77777777" w:rsidR="0048763E" w:rsidRPr="0048763E" w:rsidRDefault="0048763E" w:rsidP="0048763E">
      <w:pPr>
        <w:pStyle w:val="Body"/>
        <w:rPr>
          <w:rFonts w:ascii="Arial" w:hAnsi="Arial" w:cs="Arial"/>
        </w:rPr>
      </w:pPr>
      <w:r w:rsidRPr="0048763E">
        <w:rPr>
          <w:rFonts w:ascii="Arial" w:hAnsi="Arial" w:cs="Arial"/>
        </w:rPr>
        <w:t xml:space="preserve">The focus on strawberries, pomegranates, and grapes was due to their high consumption rates and propensity for pesticide buildup, echoing Sinha et al., (2018) who highlighted these fruits' vulnerability to contamination (Nedumaran et al., 2021). The study employed GC-MS and LC-MS/MS for residue analysis, supported by studies from </w:t>
      </w:r>
      <w:proofErr w:type="spellStart"/>
      <w:r w:rsidRPr="0048763E">
        <w:rPr>
          <w:rFonts w:ascii="Arial" w:hAnsi="Arial" w:cs="Arial"/>
        </w:rPr>
        <w:t>Lozowicka</w:t>
      </w:r>
      <w:proofErr w:type="spellEnd"/>
      <w:r w:rsidRPr="0048763E">
        <w:rPr>
          <w:rFonts w:ascii="Arial" w:hAnsi="Arial" w:cs="Arial"/>
        </w:rPr>
        <w:t xml:space="preserve"> et al., (2016) and Lehotay et al., (2005) for their sensitivity and specificity (</w:t>
      </w:r>
      <w:proofErr w:type="spellStart"/>
      <w:r w:rsidRPr="0048763E">
        <w:rPr>
          <w:rFonts w:ascii="Arial" w:hAnsi="Arial" w:cs="Arial"/>
        </w:rPr>
        <w:t>Lozowicka</w:t>
      </w:r>
      <w:proofErr w:type="spellEnd"/>
      <w:r w:rsidRPr="0048763E">
        <w:rPr>
          <w:rFonts w:ascii="Arial" w:hAnsi="Arial" w:cs="Arial"/>
        </w:rPr>
        <w:t xml:space="preserve"> et al., 2016; Lehotay et al., 2005). Findings indicated varying pesticide residue levels in the fruits, with some exceeding safety regulations, paralleling results by </w:t>
      </w:r>
      <w:proofErr w:type="spellStart"/>
      <w:r w:rsidRPr="0048763E">
        <w:rPr>
          <w:rFonts w:ascii="Arial" w:hAnsi="Arial" w:cs="Arial"/>
        </w:rPr>
        <w:t>Bhanti</w:t>
      </w:r>
      <w:proofErr w:type="spellEnd"/>
      <w:r w:rsidRPr="0048763E">
        <w:rPr>
          <w:rFonts w:ascii="Arial" w:hAnsi="Arial" w:cs="Arial"/>
        </w:rPr>
        <w:t xml:space="preserve"> and Taneja (2005) who found similar contamination patterns in Indian fruits (</w:t>
      </w:r>
      <w:proofErr w:type="spellStart"/>
      <w:r w:rsidRPr="0048763E">
        <w:rPr>
          <w:rFonts w:ascii="Arial" w:hAnsi="Arial" w:cs="Arial"/>
        </w:rPr>
        <w:t>Bhanti</w:t>
      </w:r>
      <w:proofErr w:type="spellEnd"/>
      <w:r w:rsidRPr="0048763E">
        <w:rPr>
          <w:rFonts w:ascii="Arial" w:hAnsi="Arial" w:cs="Arial"/>
        </w:rPr>
        <w:t>, &amp; Taneja, 2005). These findings were further corroborated by Darko and Akoto (2008), who identified pyrethroids and organophosphates in commonly consumed fruits (Darko &amp; Akoto, 2008).</w:t>
      </w:r>
    </w:p>
    <w:p w14:paraId="5F093F48" w14:textId="77777777" w:rsidR="0048763E" w:rsidRPr="0048763E" w:rsidRDefault="0048763E" w:rsidP="0048763E">
      <w:pPr>
        <w:pStyle w:val="Body"/>
        <w:rPr>
          <w:rFonts w:ascii="Arial" w:hAnsi="Arial" w:cs="Arial"/>
        </w:rPr>
      </w:pPr>
      <w:r w:rsidRPr="0048763E">
        <w:rPr>
          <w:rFonts w:ascii="Arial" w:hAnsi="Arial" w:cs="Arial"/>
        </w:rPr>
        <w:t xml:space="preserve">The study assessed health risks through Hazard Quotients (HQ) and Estimated Daily Intake (EDI), identifying potential hazards from prolonged pesticide exposure, consistent with findings by </w:t>
      </w:r>
      <w:proofErr w:type="spellStart"/>
      <w:r w:rsidRPr="0048763E">
        <w:rPr>
          <w:rFonts w:ascii="Arial" w:hAnsi="Arial" w:cs="Arial"/>
        </w:rPr>
        <w:t>Calura</w:t>
      </w:r>
      <w:proofErr w:type="spellEnd"/>
      <w:r w:rsidRPr="0048763E">
        <w:rPr>
          <w:rFonts w:ascii="Arial" w:hAnsi="Arial" w:cs="Arial"/>
        </w:rPr>
        <w:t xml:space="preserve"> et al., (2023) and </w:t>
      </w:r>
      <w:proofErr w:type="spellStart"/>
      <w:r w:rsidRPr="0048763E">
        <w:rPr>
          <w:rFonts w:ascii="Arial" w:hAnsi="Arial" w:cs="Arial"/>
        </w:rPr>
        <w:t>Chhinh</w:t>
      </w:r>
      <w:proofErr w:type="spellEnd"/>
      <w:r w:rsidRPr="0048763E">
        <w:rPr>
          <w:rFonts w:ascii="Arial" w:hAnsi="Arial" w:cs="Arial"/>
        </w:rPr>
        <w:t xml:space="preserve"> et al., (2014) (</w:t>
      </w:r>
      <w:proofErr w:type="spellStart"/>
      <w:r w:rsidRPr="0048763E">
        <w:rPr>
          <w:rFonts w:ascii="Arial" w:hAnsi="Arial" w:cs="Arial"/>
        </w:rPr>
        <w:t>Calura</w:t>
      </w:r>
      <w:proofErr w:type="spellEnd"/>
      <w:r w:rsidRPr="0048763E">
        <w:rPr>
          <w:rFonts w:ascii="Arial" w:hAnsi="Arial" w:cs="Arial"/>
        </w:rPr>
        <w:t xml:space="preserve"> et al., 2023; </w:t>
      </w:r>
      <w:proofErr w:type="spellStart"/>
      <w:r w:rsidRPr="0048763E">
        <w:rPr>
          <w:rFonts w:ascii="Arial" w:hAnsi="Arial" w:cs="Arial"/>
        </w:rPr>
        <w:t>Chhinh</w:t>
      </w:r>
      <w:proofErr w:type="spellEnd"/>
      <w:r w:rsidRPr="0048763E">
        <w:rPr>
          <w:rFonts w:ascii="Arial" w:hAnsi="Arial" w:cs="Arial"/>
        </w:rPr>
        <w:t xml:space="preserve"> et al., 2014). Like research in Bulgaria by Polder et al., (2017), this study quantified pesticide residues and evaluated health risks using advanced chromatographic methods, underscoring the necessity for stringent pesticide regulation (Polder et al., 2010). A survey on washing techniques revealed most participants used tap water, which is less effective than other methods. This finding is supported by </w:t>
      </w:r>
      <w:proofErr w:type="spellStart"/>
      <w:r w:rsidRPr="0048763E">
        <w:rPr>
          <w:rFonts w:ascii="Arial" w:hAnsi="Arial" w:cs="Arial"/>
        </w:rPr>
        <w:t>Balinova</w:t>
      </w:r>
      <w:proofErr w:type="spellEnd"/>
      <w:r w:rsidRPr="0048763E">
        <w:rPr>
          <w:rFonts w:ascii="Arial" w:hAnsi="Arial" w:cs="Arial"/>
        </w:rPr>
        <w:t xml:space="preserve"> et al., (2019), who noted significant pesticide reduction with salty or lukewarm water washes (Haq &amp; Shafique, 2009). Educating consumers on effective washing techniques could mitigate health risks from pesticide exposure. Most vegetable samples also showed pesticide contamination, aligning with Lehotay et al., (2015) who found contaminants exceeding MRL levels in 26% of farmgate samples (Lehotay &amp; Cook, 2015). According to their findings, 26% of the vegetable samples collected from farmgate had contaminants that were above the Maximum Residue Limit (MRL) levels. Similarly, Bempah et al., (2021) reported substantial quantities of organochlorine, organophosphorus, and synthetic pyrethroid pesticides in vegetable samples. Out of the samples tested, 39.2% had undetectable levels of pesticides, 51.0% had trace levels below the maximum residue limit (MRL), and 9.8% exceeded the MRL (Bempah et al., 2012). </w:t>
      </w:r>
    </w:p>
    <w:p w14:paraId="00CDA6FE" w14:textId="77777777" w:rsidR="0048763E" w:rsidRPr="0048763E" w:rsidRDefault="0048763E" w:rsidP="0048763E">
      <w:pPr>
        <w:pStyle w:val="Body"/>
        <w:rPr>
          <w:rFonts w:ascii="Arial" w:hAnsi="Arial" w:cs="Arial"/>
        </w:rPr>
      </w:pPr>
      <w:r w:rsidRPr="0048763E">
        <w:rPr>
          <w:rFonts w:ascii="Arial" w:hAnsi="Arial" w:cs="Arial"/>
        </w:rPr>
        <w:t>These findings are like the results, highlighting the prevalent problem of pesticide contamination in vegetables and the need for comprehensive screening to guarantee food safety. The research determined that the residue levels in strawberries were below the limit of quantification (BLQ), which indicates that they meet the safety guidelines. The findings of the 2020 EU research conducted by EFSA align with this information. The investigation revealed a 9.3% reduction in pesticide residues in food samples compared to the previous year. Furthermore, 94.9% of the samples met the regulation limits, and 54.6% of the samples had no detectable residues (Authority et al., 2022).</w:t>
      </w:r>
    </w:p>
    <w:p w14:paraId="6C8C1F16" w14:textId="77777777" w:rsidR="0048763E" w:rsidRPr="0048763E" w:rsidRDefault="0048763E" w:rsidP="0048763E">
      <w:pPr>
        <w:pStyle w:val="Body"/>
        <w:rPr>
          <w:rFonts w:ascii="Arial" w:hAnsi="Arial" w:cs="Arial"/>
        </w:rPr>
      </w:pPr>
      <w:r w:rsidRPr="0048763E">
        <w:rPr>
          <w:rFonts w:ascii="Arial" w:hAnsi="Arial" w:cs="Arial"/>
        </w:rPr>
        <w:t xml:space="preserve">In addition, </w:t>
      </w:r>
      <w:proofErr w:type="spellStart"/>
      <w:r w:rsidRPr="0048763E">
        <w:rPr>
          <w:rFonts w:ascii="Arial" w:hAnsi="Arial" w:cs="Arial"/>
        </w:rPr>
        <w:t>Emtithal</w:t>
      </w:r>
      <w:proofErr w:type="spellEnd"/>
      <w:r w:rsidRPr="0048763E">
        <w:rPr>
          <w:rFonts w:ascii="Arial" w:hAnsi="Arial" w:cs="Arial"/>
        </w:rPr>
        <w:t xml:space="preserve"> et al., (2018) found elevated concentrations of cypermethrin and </w:t>
      </w:r>
      <w:proofErr w:type="spellStart"/>
      <w:r w:rsidRPr="0048763E">
        <w:rPr>
          <w:rFonts w:ascii="Arial" w:hAnsi="Arial" w:cs="Arial"/>
        </w:rPr>
        <w:t>fenvalerate</w:t>
      </w:r>
      <w:proofErr w:type="spellEnd"/>
      <w:r w:rsidRPr="0048763E">
        <w:rPr>
          <w:rFonts w:ascii="Arial" w:hAnsi="Arial" w:cs="Arial"/>
        </w:rPr>
        <w:t xml:space="preserve"> residues in grape samples that beyond the maximum residue limits (MRLs) established by the Food and Agriculture Organization/World Health Organization (FAO/WHO), suggesting possible risks to human health (</w:t>
      </w:r>
      <w:proofErr w:type="spellStart"/>
      <w:r w:rsidRPr="0048763E">
        <w:rPr>
          <w:rFonts w:ascii="Arial" w:hAnsi="Arial" w:cs="Arial"/>
        </w:rPr>
        <w:t>Emtithal</w:t>
      </w:r>
      <w:proofErr w:type="spellEnd"/>
      <w:r w:rsidRPr="0048763E">
        <w:rPr>
          <w:rFonts w:ascii="Arial" w:hAnsi="Arial" w:cs="Arial"/>
        </w:rPr>
        <w:t>, 2016). The present research revealed that the pesticide residue levels in pomegranate samples were much lower than the authorized limits. This indicates that consumers have a lesser risk of pesticide exposure when consuming pomegranates compared to grapes and cauliflower. This emphasizes the need of ongoing supervision and regulation to guarantee the safety of food across different agricultural commodities.</w:t>
      </w:r>
    </w:p>
    <w:p w14:paraId="16BD8C28" w14:textId="56916D67" w:rsidR="00450840" w:rsidRDefault="0048763E" w:rsidP="0048763E">
      <w:pPr>
        <w:pStyle w:val="Body"/>
        <w:spacing w:after="0"/>
        <w:rPr>
          <w:rFonts w:ascii="Arial" w:hAnsi="Arial" w:cs="Arial"/>
        </w:rPr>
      </w:pPr>
      <w:r w:rsidRPr="0048763E">
        <w:rPr>
          <w:rFonts w:ascii="Arial" w:hAnsi="Arial" w:cs="Arial"/>
        </w:rPr>
        <w:t xml:space="preserve">In a study conducted by </w:t>
      </w:r>
      <w:proofErr w:type="spellStart"/>
      <w:r w:rsidRPr="0048763E">
        <w:rPr>
          <w:rFonts w:ascii="Arial" w:hAnsi="Arial" w:cs="Arial"/>
        </w:rPr>
        <w:t>Kherissat</w:t>
      </w:r>
      <w:proofErr w:type="spellEnd"/>
      <w:r w:rsidRPr="0048763E">
        <w:rPr>
          <w:rFonts w:ascii="Arial" w:hAnsi="Arial" w:cs="Arial"/>
        </w:rPr>
        <w:t xml:space="preserve"> et al., (2019), it was shown that soaking cucumbers in a 2% sodium chloride solution for 20 minutes led to a considerable reduction in pesticide residues. The reduction percentages varied between 31.10% and 66.70% for different pesticides (Chandra et al., 2015). Rodrigues et al., (2021) discovered that soaking infected potatoes in a neutral NaCl solution successfully eradicated </w:t>
      </w:r>
      <w:proofErr w:type="spellStart"/>
      <w:r w:rsidRPr="0048763E">
        <w:rPr>
          <w:rFonts w:ascii="Arial" w:hAnsi="Arial" w:cs="Arial"/>
        </w:rPr>
        <w:t>pirimiphos</w:t>
      </w:r>
      <w:proofErr w:type="spellEnd"/>
      <w:r w:rsidRPr="0048763E">
        <w:rPr>
          <w:rFonts w:ascii="Arial" w:hAnsi="Arial" w:cs="Arial"/>
        </w:rPr>
        <w:t xml:space="preserve"> methyl residues. These investigations demonstrate the efficacy of certain washing techniques in decreasing pesticide residues (Rodrigues et al., 2021). However, the present investigation on capsicum found that residual levels were already minimal, affirming its safety for eating without the need for further treatment.</w:t>
      </w:r>
    </w:p>
    <w:p w14:paraId="47DA1866" w14:textId="77777777" w:rsidR="00450840" w:rsidRDefault="00450840" w:rsidP="00441B6F">
      <w:pPr>
        <w:pStyle w:val="Body"/>
        <w:spacing w:after="0"/>
        <w:rPr>
          <w:rFonts w:ascii="Arial" w:hAnsi="Arial" w:cs="Arial"/>
        </w:rPr>
      </w:pPr>
    </w:p>
    <w:p w14:paraId="58F0B7F9" w14:textId="0C8D1A62" w:rsidR="00E54F5C" w:rsidRPr="00C46AF2" w:rsidRDefault="00C46AF2" w:rsidP="00C46AF2">
      <w:pPr>
        <w:pStyle w:val="AbstHead"/>
        <w:numPr>
          <w:ilvl w:val="0"/>
          <w:numId w:val="32"/>
        </w:numPr>
        <w:tabs>
          <w:tab w:val="left" w:pos="270"/>
        </w:tabs>
        <w:ind w:left="360"/>
        <w:jc w:val="both"/>
        <w:rPr>
          <w:rFonts w:ascii="Arial" w:hAnsi="Arial" w:cs="Arial"/>
          <w:caps w:val="0"/>
        </w:rPr>
      </w:pPr>
      <w:r w:rsidRPr="00C46AF2">
        <w:rPr>
          <w:rFonts w:ascii="Arial" w:hAnsi="Arial" w:cs="Arial"/>
          <w:caps w:val="0"/>
        </w:rPr>
        <w:lastRenderedPageBreak/>
        <w:t>Conclusion</w:t>
      </w:r>
    </w:p>
    <w:p w14:paraId="16C94BFF" w14:textId="774B7DE9" w:rsidR="00955FF8" w:rsidRDefault="0088606A" w:rsidP="000A7C8E">
      <w:pPr>
        <w:pStyle w:val="Body"/>
        <w:rPr>
          <w:rFonts w:ascii="Arial" w:hAnsi="Arial" w:cs="Arial"/>
        </w:rPr>
      </w:pPr>
      <w:r w:rsidRPr="0088606A">
        <w:rPr>
          <w:rFonts w:ascii="Arial" w:hAnsi="Arial" w:cs="Arial"/>
        </w:rPr>
        <w:t>The analysis of pesticide residues in grapes, pomegranates, and strawberries from local vendors in Mumbai found that median residue levels were below international safety standards. Specifically, grapes had a median residue level of 0.08 mg/kg, pomegranates 0.05 mg/kg, and strawberries 0.1 mg/kg. Although 5% of grape samples exceeded safety limits, overall risk from long-term exposure, evaluated through Estimated Daily Intake (EDI) and Hazard Quotients (HQ), remained minimal. These findings emphasize the need for ongoing monitoring and adherence to good agricultural practices to ensure consumer safety. Continuous vigilance is essential to uphold these standards and mitigate potential health risks from pesticide residues in fruits.</w:t>
      </w:r>
    </w:p>
    <w:p w14:paraId="6E75BAFE" w14:textId="77777777" w:rsidR="00BA063C" w:rsidRPr="00554178" w:rsidRDefault="00BA063C" w:rsidP="00554178">
      <w:pPr>
        <w:pStyle w:val="AbstHead"/>
        <w:numPr>
          <w:ilvl w:val="0"/>
          <w:numId w:val="32"/>
        </w:numPr>
        <w:tabs>
          <w:tab w:val="left" w:pos="270"/>
        </w:tabs>
        <w:ind w:left="360"/>
        <w:jc w:val="both"/>
        <w:rPr>
          <w:rFonts w:ascii="Arial" w:hAnsi="Arial" w:cs="Arial"/>
          <w:caps w:val="0"/>
        </w:rPr>
      </w:pPr>
      <w:r w:rsidRPr="00554178">
        <w:rPr>
          <w:rFonts w:ascii="Arial" w:hAnsi="Arial" w:cs="Arial"/>
          <w:caps w:val="0"/>
        </w:rPr>
        <w:t>Disclaimer (Artificial intelligence)</w:t>
      </w:r>
    </w:p>
    <w:p w14:paraId="50897503" w14:textId="0A0614ED" w:rsidR="00760465" w:rsidRDefault="00760465" w:rsidP="00760465">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65D6E3D" w14:textId="262A484F" w:rsidR="00B67B82" w:rsidRDefault="00B67B82" w:rsidP="00760465"/>
    <w:p w14:paraId="0285C3F7" w14:textId="77777777" w:rsidR="00955FF8" w:rsidRPr="00F55C72" w:rsidRDefault="00955FF8" w:rsidP="00D15E6A">
      <w:pPr>
        <w:pStyle w:val="AbstHead"/>
        <w:spacing w:after="0"/>
        <w:jc w:val="both"/>
        <w:rPr>
          <w:rFonts w:ascii="Arial" w:hAnsi="Arial" w:cs="Arial"/>
          <w:caps w:val="0"/>
        </w:rPr>
      </w:pPr>
      <w:bookmarkStart w:id="0" w:name="_GoBack"/>
      <w:bookmarkEnd w:id="0"/>
      <w:r w:rsidRPr="00F55C72">
        <w:rPr>
          <w:rFonts w:ascii="Arial" w:hAnsi="Arial" w:cs="Arial"/>
          <w:caps w:val="0"/>
        </w:rPr>
        <w:t>Informed Consent</w:t>
      </w:r>
    </w:p>
    <w:p w14:paraId="60BB9180" w14:textId="77777777" w:rsidR="00955FF8" w:rsidRDefault="00955FF8" w:rsidP="00955FF8">
      <w:pPr>
        <w:pStyle w:val="Body"/>
        <w:rPr>
          <w:rFonts w:ascii="Arial" w:hAnsi="Arial" w:cs="Arial"/>
        </w:rPr>
      </w:pPr>
      <w:r w:rsidRPr="2F9BF948">
        <w:rPr>
          <w:rFonts w:ascii="Arial" w:hAnsi="Arial" w:cs="Arial"/>
        </w:rPr>
        <w:t>Consent was acquired for the collection of samples, and merchants and farmers were informed about the goals and methods of the research. Data confidentiality was protected by reporting the findings in a collective manner to avoid revealing the identity of individual sources. The research was conducted with strict adherence to ethical principles, ensuring openness and respect for all participants.</w:t>
      </w:r>
    </w:p>
    <w:p w14:paraId="3F24D17F" w14:textId="77777777" w:rsidR="00955FF8" w:rsidRDefault="00955FF8" w:rsidP="00760465"/>
    <w:p w14:paraId="72FC8A6A" w14:textId="0CC38482" w:rsidR="0088606A" w:rsidRPr="000A7C8E" w:rsidRDefault="000A7C8E" w:rsidP="000A7C8E">
      <w:pPr>
        <w:pStyle w:val="AbstHead"/>
        <w:numPr>
          <w:ilvl w:val="0"/>
          <w:numId w:val="32"/>
        </w:numPr>
        <w:tabs>
          <w:tab w:val="left" w:pos="270"/>
        </w:tabs>
        <w:ind w:left="360"/>
        <w:jc w:val="both"/>
        <w:rPr>
          <w:rFonts w:ascii="Arial" w:hAnsi="Arial" w:cs="Arial"/>
          <w:caps w:val="0"/>
        </w:rPr>
      </w:pPr>
      <w:r w:rsidRPr="000A7C8E">
        <w:rPr>
          <w:rFonts w:ascii="Arial" w:hAnsi="Arial" w:cs="Arial"/>
          <w:caps w:val="0"/>
        </w:rPr>
        <w:t>References</w:t>
      </w:r>
    </w:p>
    <w:p w14:paraId="781AB385" w14:textId="77777777" w:rsidR="004B61CD" w:rsidRPr="004B61CD" w:rsidRDefault="004B61CD" w:rsidP="00D720F7">
      <w:pPr>
        <w:pStyle w:val="Body"/>
        <w:ind w:left="360"/>
        <w:rPr>
          <w:rFonts w:ascii="Arial" w:hAnsi="Arial" w:cs="Arial"/>
        </w:rPr>
      </w:pPr>
      <w:r w:rsidRPr="004B61CD">
        <w:rPr>
          <w:rFonts w:ascii="Arial" w:hAnsi="Arial" w:cs="Arial"/>
        </w:rPr>
        <w:t>Akhtar, S., Yaqub, G., Hamid, A., Afzal, Z., &amp; Asghar, S. (2018). Determination of pesticide residues in selected vegetables and fruits from a local market of Lahore, Pakistan. Current World Environment, 13(2), 242-250.</w:t>
      </w:r>
    </w:p>
    <w:p w14:paraId="3365FDCD" w14:textId="77777777" w:rsidR="004B61CD" w:rsidRPr="004B61CD" w:rsidRDefault="004B61CD" w:rsidP="00D720F7">
      <w:pPr>
        <w:pStyle w:val="Body"/>
        <w:ind w:left="360"/>
        <w:rPr>
          <w:rFonts w:ascii="Arial" w:hAnsi="Arial" w:cs="Arial"/>
        </w:rPr>
      </w:pPr>
      <w:r w:rsidRPr="004B61CD">
        <w:rPr>
          <w:rFonts w:ascii="Arial" w:hAnsi="Arial" w:cs="Arial"/>
        </w:rPr>
        <w:t>Ali, S., Ullah, M. I., Sajjad, A., Shakeel, Q., &amp; Hussain, A. (2021). Environmental and health effects of pesticide residues. Sustainable Agriculture Reviews 48: Pesticide Occurrence, Analysis and Remediation Vol. 2 Analysis, 311-336.</w:t>
      </w:r>
    </w:p>
    <w:p w14:paraId="6AC662BC" w14:textId="77777777" w:rsidR="004B61CD" w:rsidRPr="004B61CD" w:rsidRDefault="004B61CD" w:rsidP="00D720F7">
      <w:pPr>
        <w:pStyle w:val="Body"/>
        <w:ind w:left="360"/>
        <w:rPr>
          <w:rFonts w:ascii="Arial" w:hAnsi="Arial" w:cs="Arial"/>
        </w:rPr>
      </w:pPr>
      <w:r w:rsidRPr="004B61CD">
        <w:rPr>
          <w:rFonts w:ascii="Arial" w:hAnsi="Arial" w:cs="Arial"/>
        </w:rPr>
        <w:t>Authority, E. F. S., Cabrera, L. C., &amp; Pastor, P. M. (2022). The 2020 European Union report on pesticide residues in food. EFSA Journal, 20(3).</w:t>
      </w:r>
    </w:p>
    <w:p w14:paraId="57C6A827" w14:textId="77777777" w:rsidR="004B61CD" w:rsidRPr="004B61CD" w:rsidRDefault="004B61CD" w:rsidP="00D720F7">
      <w:pPr>
        <w:pStyle w:val="Body"/>
        <w:ind w:left="360"/>
        <w:rPr>
          <w:rFonts w:ascii="Arial" w:hAnsi="Arial" w:cs="Arial"/>
        </w:rPr>
      </w:pPr>
      <w:r w:rsidRPr="2F9BF948">
        <w:rPr>
          <w:rFonts w:ascii="Arial" w:hAnsi="Arial" w:cs="Arial"/>
        </w:rPr>
        <w:t xml:space="preserve">Bempah, C. K., </w:t>
      </w:r>
      <w:proofErr w:type="spellStart"/>
      <w:r w:rsidRPr="2F9BF948">
        <w:rPr>
          <w:rFonts w:ascii="Arial" w:hAnsi="Arial" w:cs="Arial"/>
        </w:rPr>
        <w:t>Asomaning</w:t>
      </w:r>
      <w:proofErr w:type="spellEnd"/>
      <w:r w:rsidRPr="2F9BF948">
        <w:rPr>
          <w:rFonts w:ascii="Arial" w:hAnsi="Arial" w:cs="Arial"/>
        </w:rPr>
        <w:t xml:space="preserve">, J., &amp; Boateng, J. (2012). Market basket survey for some </w:t>
      </w:r>
      <w:proofErr w:type="gramStart"/>
      <w:r w:rsidRPr="2F9BF948">
        <w:rPr>
          <w:rFonts w:ascii="Arial" w:hAnsi="Arial" w:cs="Arial"/>
        </w:rPr>
        <w:t>pesticides</w:t>
      </w:r>
      <w:proofErr w:type="gramEnd"/>
      <w:r w:rsidRPr="2F9BF948">
        <w:rPr>
          <w:rFonts w:ascii="Arial" w:hAnsi="Arial" w:cs="Arial"/>
        </w:rPr>
        <w:t xml:space="preserve"> residues in fruits and vegetables from Ghana. Journal of Microbiology, Biotechnology and Food Sciences, 2(3), 850-871.</w:t>
      </w:r>
    </w:p>
    <w:p w14:paraId="7B2DC2B2" w14:textId="77777777" w:rsidR="004B61CD" w:rsidRPr="004B61CD" w:rsidRDefault="004B61CD" w:rsidP="00D720F7">
      <w:pPr>
        <w:pStyle w:val="Body"/>
        <w:ind w:left="360"/>
        <w:rPr>
          <w:rFonts w:ascii="Arial" w:hAnsi="Arial" w:cs="Arial"/>
        </w:rPr>
      </w:pPr>
      <w:r w:rsidRPr="004B61CD">
        <w:rPr>
          <w:rFonts w:ascii="Arial" w:hAnsi="Arial" w:cs="Arial"/>
        </w:rPr>
        <w:t>Bempah, C. K., Donkor, A., Yeboah, P. O., Dubey, B., &amp; Osei-Fosu, P. (2011). A preliminary assessment of consumer’s exposure to organochlorine pesticides in fruits and vegetables and the potential health risk in Accra Metropolis, Ghana. Food Chemistry, 128(4), 1058-1065.</w:t>
      </w:r>
    </w:p>
    <w:p w14:paraId="25932166" w14:textId="77777777" w:rsidR="004B61CD" w:rsidRPr="004B61CD" w:rsidRDefault="004B61CD" w:rsidP="00D720F7">
      <w:pPr>
        <w:pStyle w:val="Body"/>
        <w:ind w:left="360"/>
        <w:rPr>
          <w:rFonts w:ascii="Arial" w:hAnsi="Arial" w:cs="Arial"/>
        </w:rPr>
      </w:pPr>
      <w:proofErr w:type="spellStart"/>
      <w:r w:rsidRPr="2F9BF948">
        <w:rPr>
          <w:rFonts w:ascii="Arial" w:hAnsi="Arial" w:cs="Arial"/>
        </w:rPr>
        <w:t>Bhanti</w:t>
      </w:r>
      <w:proofErr w:type="spellEnd"/>
      <w:r w:rsidRPr="2F9BF948">
        <w:rPr>
          <w:rFonts w:ascii="Arial" w:hAnsi="Arial" w:cs="Arial"/>
        </w:rPr>
        <w:t>, M., &amp; Taneja, A. (2005). Monitoring of organochlorine pesticide residues in summer and winter vegetables from Agra, India–a case study. Environmental Monitoring and Assessment, 110, 341-346.</w:t>
      </w:r>
    </w:p>
    <w:p w14:paraId="18750DEA" w14:textId="77777777" w:rsidR="004B61CD" w:rsidRPr="004B61CD" w:rsidRDefault="004B61CD" w:rsidP="00D720F7">
      <w:pPr>
        <w:pStyle w:val="Body"/>
        <w:ind w:left="360"/>
        <w:rPr>
          <w:rFonts w:ascii="Arial" w:hAnsi="Arial" w:cs="Arial"/>
        </w:rPr>
      </w:pPr>
      <w:proofErr w:type="spellStart"/>
      <w:r w:rsidRPr="2F9BF948">
        <w:rPr>
          <w:rFonts w:ascii="Arial" w:hAnsi="Arial" w:cs="Arial"/>
        </w:rPr>
        <w:t>Calura</w:t>
      </w:r>
      <w:proofErr w:type="spellEnd"/>
      <w:r w:rsidRPr="2F9BF948">
        <w:rPr>
          <w:rFonts w:ascii="Arial" w:hAnsi="Arial" w:cs="Arial"/>
        </w:rPr>
        <w:t xml:space="preserve">, J. G., </w:t>
      </w:r>
      <w:proofErr w:type="spellStart"/>
      <w:r w:rsidRPr="2F9BF948">
        <w:rPr>
          <w:rFonts w:ascii="Arial" w:hAnsi="Arial" w:cs="Arial"/>
        </w:rPr>
        <w:t>Badayos</w:t>
      </w:r>
      <w:proofErr w:type="spellEnd"/>
      <w:r w:rsidRPr="2F9BF948">
        <w:rPr>
          <w:rFonts w:ascii="Arial" w:hAnsi="Arial" w:cs="Arial"/>
        </w:rPr>
        <w:t>, R. B., Villanueva-</w:t>
      </w:r>
      <w:proofErr w:type="spellStart"/>
      <w:r w:rsidRPr="2F9BF948">
        <w:rPr>
          <w:rFonts w:ascii="Arial" w:hAnsi="Arial" w:cs="Arial"/>
        </w:rPr>
        <w:t>Peyraube</w:t>
      </w:r>
      <w:proofErr w:type="spellEnd"/>
      <w:r w:rsidRPr="2F9BF948">
        <w:rPr>
          <w:rFonts w:ascii="Arial" w:hAnsi="Arial" w:cs="Arial"/>
        </w:rPr>
        <w:t xml:space="preserve">, J. D., &amp; </w:t>
      </w:r>
      <w:proofErr w:type="spellStart"/>
      <w:r w:rsidRPr="2F9BF948">
        <w:rPr>
          <w:rFonts w:ascii="Arial" w:hAnsi="Arial" w:cs="Arial"/>
        </w:rPr>
        <w:t>Labios</w:t>
      </w:r>
      <w:proofErr w:type="spellEnd"/>
      <w:r w:rsidRPr="2F9BF948">
        <w:rPr>
          <w:rFonts w:ascii="Arial" w:hAnsi="Arial" w:cs="Arial"/>
        </w:rPr>
        <w:t>, J. D. (2023). A Soil Analysis Approach to Assessing Potential Loss of Productive Lands Under Agricultural Land Conversion. Asian Journal of Agriculture and Development, 20(2), 83-102.</w:t>
      </w:r>
    </w:p>
    <w:p w14:paraId="5DA384E6" w14:textId="77777777" w:rsidR="004B61CD" w:rsidRPr="004B61CD" w:rsidRDefault="004B61CD" w:rsidP="00D720F7">
      <w:pPr>
        <w:pStyle w:val="Body"/>
        <w:ind w:left="360"/>
        <w:rPr>
          <w:rFonts w:ascii="Arial" w:hAnsi="Arial" w:cs="Arial"/>
        </w:rPr>
      </w:pPr>
      <w:r w:rsidRPr="004B61CD">
        <w:rPr>
          <w:rFonts w:ascii="Arial" w:hAnsi="Arial" w:cs="Arial"/>
        </w:rPr>
        <w:t>Carvalho, F. P. (2006). Agriculture, pesticides, food security and food safety. Environmental science &amp; policy, 9(7-8), 685-692.</w:t>
      </w:r>
    </w:p>
    <w:p w14:paraId="652E62EA" w14:textId="77777777" w:rsidR="004B61CD" w:rsidRPr="004B61CD" w:rsidRDefault="004B61CD" w:rsidP="00D720F7">
      <w:pPr>
        <w:pStyle w:val="Body"/>
        <w:ind w:left="360"/>
        <w:rPr>
          <w:rFonts w:ascii="Arial" w:hAnsi="Arial" w:cs="Arial"/>
        </w:rPr>
      </w:pPr>
      <w:r w:rsidRPr="2F9BF948">
        <w:rPr>
          <w:rFonts w:ascii="Arial" w:hAnsi="Arial" w:cs="Arial"/>
        </w:rPr>
        <w:t>Chandler, D., Bailey, A. S., Tatchell, G. M., Davidson, G., Greaves, J., &amp; Grant, W. P. (2011). The development, regulation and use of biopesticides for integrated pest management. Philosophical Transactions of the Royal Society B: Biological Sciences, 366(1573), 1987-1998.</w:t>
      </w:r>
    </w:p>
    <w:p w14:paraId="3F959269" w14:textId="77777777" w:rsidR="004B61CD" w:rsidRPr="004B61CD" w:rsidRDefault="004B61CD" w:rsidP="00D720F7">
      <w:pPr>
        <w:pStyle w:val="Body"/>
        <w:ind w:left="360"/>
        <w:rPr>
          <w:rFonts w:ascii="Arial" w:hAnsi="Arial" w:cs="Arial"/>
        </w:rPr>
      </w:pPr>
      <w:r w:rsidRPr="2F9BF948">
        <w:rPr>
          <w:rFonts w:ascii="Arial" w:hAnsi="Arial" w:cs="Arial"/>
        </w:rPr>
        <w:t>Chandra, S., Kumar, M., Mahindrakar, A. N., &amp; Shinde, L. P. (2015). Effects of household processing on reduction of pesticide residues in brinjal and okra. International journal of advances in pharmacy, biology and chemistry, 4(1), 98-102.</w:t>
      </w:r>
    </w:p>
    <w:p w14:paraId="681E9318" w14:textId="77777777" w:rsidR="004B61CD" w:rsidRPr="004B61CD" w:rsidRDefault="004B61CD" w:rsidP="00D720F7">
      <w:pPr>
        <w:pStyle w:val="Body"/>
        <w:ind w:left="360"/>
        <w:rPr>
          <w:rFonts w:ascii="Arial" w:hAnsi="Arial" w:cs="Arial"/>
        </w:rPr>
      </w:pPr>
      <w:proofErr w:type="spellStart"/>
      <w:r w:rsidRPr="2F9BF948">
        <w:rPr>
          <w:rFonts w:ascii="Arial" w:hAnsi="Arial" w:cs="Arial"/>
        </w:rPr>
        <w:lastRenderedPageBreak/>
        <w:t>Chhinh</w:t>
      </w:r>
      <w:proofErr w:type="spellEnd"/>
      <w:r w:rsidRPr="2F9BF948">
        <w:rPr>
          <w:rFonts w:ascii="Arial" w:hAnsi="Arial" w:cs="Arial"/>
        </w:rPr>
        <w:t>, N., Cheb, H., &amp; Heng, N. (2014). Drought risk in Cambodia: assessing costs and a potential solution. Asian Journal of Agriculture and Development, 11(2), 1-16.</w:t>
      </w:r>
    </w:p>
    <w:p w14:paraId="77FDEE76" w14:textId="77777777" w:rsidR="004B61CD" w:rsidRPr="004B61CD" w:rsidRDefault="004B61CD" w:rsidP="00D720F7">
      <w:pPr>
        <w:pStyle w:val="Body"/>
        <w:ind w:left="360"/>
        <w:rPr>
          <w:rFonts w:ascii="Arial" w:hAnsi="Arial" w:cs="Arial"/>
        </w:rPr>
      </w:pPr>
      <w:r w:rsidRPr="004B61CD">
        <w:rPr>
          <w:rFonts w:ascii="Arial" w:hAnsi="Arial" w:cs="Arial"/>
        </w:rPr>
        <w:t>Chowdhury, A. Z., Hasan, M., Karim, N., Fakhruddin, A. N. M., Hossain, S., Chowdhury, A. A., &amp; Alam, K. (2014). Contamination and health risk assessment of pesticide residues in vegetables from agricultural fields of Gazipur District, Bangladesh. Sigma, 2(4).</w:t>
      </w:r>
    </w:p>
    <w:p w14:paraId="63B2108A" w14:textId="77777777" w:rsidR="004B61CD" w:rsidRPr="004B61CD" w:rsidRDefault="004B61CD" w:rsidP="00D720F7">
      <w:pPr>
        <w:pStyle w:val="Body"/>
        <w:ind w:left="360"/>
        <w:rPr>
          <w:rFonts w:ascii="Arial" w:hAnsi="Arial" w:cs="Arial"/>
        </w:rPr>
      </w:pPr>
      <w:r w:rsidRPr="2F9BF948">
        <w:rPr>
          <w:rFonts w:ascii="Arial" w:hAnsi="Arial" w:cs="Arial"/>
        </w:rPr>
        <w:t xml:space="preserve">Claeys, W. L., Schmit, J. F., Bragard, C., </w:t>
      </w:r>
      <w:proofErr w:type="spellStart"/>
      <w:r w:rsidRPr="2F9BF948">
        <w:rPr>
          <w:rFonts w:ascii="Arial" w:hAnsi="Arial" w:cs="Arial"/>
        </w:rPr>
        <w:t>Maghuin-Rogister</w:t>
      </w:r>
      <w:proofErr w:type="spellEnd"/>
      <w:r w:rsidRPr="2F9BF948">
        <w:rPr>
          <w:rFonts w:ascii="Arial" w:hAnsi="Arial" w:cs="Arial"/>
        </w:rPr>
        <w:t xml:space="preserve">, G., </w:t>
      </w:r>
      <w:proofErr w:type="spellStart"/>
      <w:r w:rsidRPr="2F9BF948">
        <w:rPr>
          <w:rFonts w:ascii="Arial" w:hAnsi="Arial" w:cs="Arial"/>
        </w:rPr>
        <w:t>Pussemier</w:t>
      </w:r>
      <w:proofErr w:type="spellEnd"/>
      <w:r w:rsidRPr="2F9BF948">
        <w:rPr>
          <w:rFonts w:ascii="Arial" w:hAnsi="Arial" w:cs="Arial"/>
        </w:rPr>
        <w:t xml:space="preserve">, L., &amp; </w:t>
      </w:r>
      <w:proofErr w:type="spellStart"/>
      <w:r w:rsidRPr="2F9BF948">
        <w:rPr>
          <w:rFonts w:ascii="Arial" w:hAnsi="Arial" w:cs="Arial"/>
        </w:rPr>
        <w:t>Schiffers</w:t>
      </w:r>
      <w:proofErr w:type="spellEnd"/>
      <w:r w:rsidRPr="2F9BF948">
        <w:rPr>
          <w:rFonts w:ascii="Arial" w:hAnsi="Arial" w:cs="Arial"/>
        </w:rPr>
        <w:t>, B. (2011). Exposure of several Belgian consumer groups to pesticide residues through fresh fruit and vegetable consumption. Food control, 22(3-4), 508-516.</w:t>
      </w:r>
    </w:p>
    <w:p w14:paraId="413158B9" w14:textId="77777777" w:rsidR="004B61CD" w:rsidRPr="004B61CD" w:rsidRDefault="004B61CD" w:rsidP="00D720F7">
      <w:pPr>
        <w:pStyle w:val="Body"/>
        <w:ind w:left="360"/>
        <w:rPr>
          <w:rFonts w:ascii="Arial" w:hAnsi="Arial" w:cs="Arial"/>
        </w:rPr>
      </w:pPr>
      <w:r w:rsidRPr="004B61CD">
        <w:rPr>
          <w:rFonts w:ascii="Arial" w:hAnsi="Arial" w:cs="Arial"/>
        </w:rPr>
        <w:t xml:space="preserve">Damalas, C. A., &amp; </w:t>
      </w:r>
      <w:proofErr w:type="spellStart"/>
      <w:r w:rsidRPr="004B61CD">
        <w:rPr>
          <w:rFonts w:ascii="Arial" w:hAnsi="Arial" w:cs="Arial"/>
        </w:rPr>
        <w:t>Eleftherohorinos</w:t>
      </w:r>
      <w:proofErr w:type="spellEnd"/>
      <w:r w:rsidRPr="004B61CD">
        <w:rPr>
          <w:rFonts w:ascii="Arial" w:hAnsi="Arial" w:cs="Arial"/>
        </w:rPr>
        <w:t>, I. G. (2011). Pesticide exposure, safety issues, and risk assessment indicators. International journal of environmental research and public health, 8(5), 1402-1419.</w:t>
      </w:r>
    </w:p>
    <w:p w14:paraId="1D257BD7" w14:textId="77777777" w:rsidR="004B61CD" w:rsidRPr="004B61CD" w:rsidRDefault="004B61CD" w:rsidP="00D720F7">
      <w:pPr>
        <w:pStyle w:val="Body"/>
        <w:ind w:left="360"/>
        <w:rPr>
          <w:rFonts w:ascii="Arial" w:hAnsi="Arial" w:cs="Arial"/>
        </w:rPr>
      </w:pPr>
      <w:r w:rsidRPr="004B61CD">
        <w:rPr>
          <w:rFonts w:ascii="Arial" w:hAnsi="Arial" w:cs="Arial"/>
        </w:rPr>
        <w:t>Darko, G., &amp; Akoto, O. (2008). Dietary intake of organophosphorus pesticide residues through vegetables from Kumasi, Ghana. Food and Chemical Toxicology, 46(12), 3703-3706.</w:t>
      </w:r>
    </w:p>
    <w:p w14:paraId="420C9749" w14:textId="77777777" w:rsidR="004B61CD" w:rsidRPr="004B61CD" w:rsidRDefault="004B61CD" w:rsidP="00D720F7">
      <w:pPr>
        <w:pStyle w:val="Body"/>
        <w:ind w:left="360"/>
        <w:rPr>
          <w:rFonts w:ascii="Arial" w:hAnsi="Arial" w:cs="Arial"/>
        </w:rPr>
      </w:pPr>
      <w:proofErr w:type="spellStart"/>
      <w:r w:rsidRPr="004B61CD">
        <w:rPr>
          <w:rFonts w:ascii="Arial" w:hAnsi="Arial" w:cs="Arial"/>
        </w:rPr>
        <w:t>Emtithal</w:t>
      </w:r>
      <w:proofErr w:type="spellEnd"/>
      <w:r w:rsidRPr="004B61CD">
        <w:rPr>
          <w:rFonts w:ascii="Arial" w:hAnsi="Arial" w:cs="Arial"/>
        </w:rPr>
        <w:t>, A. (2016). LEVELS OF ORGANOPHOSPHATE AND PYRETHROID RESIDUES IN SOME EGYPTIAN FRUITS AND VEGETABLES AND THEIR DIETARY EXPOSURE. Journal of Environmental Science, 35(2), 49-73.</w:t>
      </w:r>
    </w:p>
    <w:p w14:paraId="78149D7D" w14:textId="77777777" w:rsidR="004B61CD" w:rsidRPr="004B61CD" w:rsidRDefault="004B61CD" w:rsidP="00D720F7">
      <w:pPr>
        <w:pStyle w:val="Body"/>
        <w:ind w:left="360"/>
        <w:rPr>
          <w:rFonts w:ascii="Arial" w:hAnsi="Arial" w:cs="Arial"/>
        </w:rPr>
      </w:pPr>
      <w:r w:rsidRPr="004B61CD">
        <w:rPr>
          <w:rFonts w:ascii="Arial" w:hAnsi="Arial" w:cs="Arial"/>
        </w:rPr>
        <w:t xml:space="preserve">Frank, S. M., Webster, J., McKenzie, B., </w:t>
      </w:r>
      <w:proofErr w:type="spellStart"/>
      <w:r w:rsidRPr="004B61CD">
        <w:rPr>
          <w:rFonts w:ascii="Arial" w:hAnsi="Arial" w:cs="Arial"/>
        </w:rPr>
        <w:t>Geldsetzer</w:t>
      </w:r>
      <w:proofErr w:type="spellEnd"/>
      <w:r w:rsidRPr="004B61CD">
        <w:rPr>
          <w:rFonts w:ascii="Arial" w:hAnsi="Arial" w:cs="Arial"/>
        </w:rPr>
        <w:t xml:space="preserve">, P., Manne-Goehler, J., </w:t>
      </w:r>
      <w:proofErr w:type="spellStart"/>
      <w:r w:rsidRPr="004B61CD">
        <w:rPr>
          <w:rFonts w:ascii="Arial" w:hAnsi="Arial" w:cs="Arial"/>
        </w:rPr>
        <w:t>Andall</w:t>
      </w:r>
      <w:proofErr w:type="spellEnd"/>
      <w:r w:rsidRPr="004B61CD">
        <w:rPr>
          <w:rFonts w:ascii="Arial" w:hAnsi="Arial" w:cs="Arial"/>
        </w:rPr>
        <w:t>-Brereton, G., ... &amp; Jaacks, L. M. (2019). Consumption of fruits and vegetables among individuals 15 years and older in 28 low-and middle-income countries. The Journal of nutrition, 149(7), 1252-1259.</w:t>
      </w:r>
    </w:p>
    <w:p w14:paraId="49EAB9AC" w14:textId="77777777" w:rsidR="004B61CD" w:rsidRPr="004B61CD" w:rsidRDefault="004B61CD" w:rsidP="00D720F7">
      <w:pPr>
        <w:pStyle w:val="Body"/>
        <w:ind w:left="360"/>
        <w:rPr>
          <w:rFonts w:ascii="Arial" w:hAnsi="Arial" w:cs="Arial"/>
        </w:rPr>
      </w:pPr>
      <w:r w:rsidRPr="004B61CD">
        <w:rPr>
          <w:rFonts w:ascii="Arial" w:hAnsi="Arial" w:cs="Arial"/>
        </w:rPr>
        <w:t xml:space="preserve">Gulati, A., &amp; Juneja, R. (2022). Transforming </w:t>
      </w:r>
      <w:proofErr w:type="spellStart"/>
      <w:r w:rsidRPr="004B61CD">
        <w:rPr>
          <w:rFonts w:ascii="Arial" w:hAnsi="Arial" w:cs="Arial"/>
        </w:rPr>
        <w:t>indian</w:t>
      </w:r>
      <w:proofErr w:type="spellEnd"/>
      <w:r w:rsidRPr="004B61CD">
        <w:rPr>
          <w:rFonts w:ascii="Arial" w:hAnsi="Arial" w:cs="Arial"/>
        </w:rPr>
        <w:t xml:space="preserve"> agriculture. Indian agriculture towards, 2030, 9-37.</w:t>
      </w:r>
    </w:p>
    <w:p w14:paraId="4CE1DFAA" w14:textId="77777777" w:rsidR="004B61CD" w:rsidRPr="004B61CD" w:rsidRDefault="004B61CD" w:rsidP="00D720F7">
      <w:pPr>
        <w:pStyle w:val="Body"/>
        <w:ind w:left="360"/>
        <w:rPr>
          <w:rFonts w:ascii="Arial" w:hAnsi="Arial" w:cs="Arial"/>
        </w:rPr>
      </w:pPr>
      <w:r w:rsidRPr="004B61CD">
        <w:rPr>
          <w:rFonts w:ascii="Arial" w:hAnsi="Arial" w:cs="Arial"/>
        </w:rPr>
        <w:t>Haq, R., &amp; Shafique, S. (2009). Impact of water management on agricultural production.</w:t>
      </w:r>
    </w:p>
    <w:p w14:paraId="104E50FB" w14:textId="77777777" w:rsidR="004B61CD" w:rsidRPr="004B61CD" w:rsidRDefault="004B61CD" w:rsidP="00D720F7">
      <w:pPr>
        <w:pStyle w:val="Body"/>
        <w:ind w:left="360"/>
        <w:rPr>
          <w:rFonts w:ascii="Arial" w:hAnsi="Arial" w:cs="Arial"/>
        </w:rPr>
      </w:pPr>
      <w:r w:rsidRPr="004B61CD">
        <w:rPr>
          <w:rFonts w:ascii="Arial" w:hAnsi="Arial" w:cs="Arial"/>
        </w:rPr>
        <w:t xml:space="preserve">Kalamkar, S. S. (2009). </w:t>
      </w:r>
      <w:proofErr w:type="spellStart"/>
      <w:r w:rsidRPr="004B61CD">
        <w:rPr>
          <w:rFonts w:ascii="Arial" w:hAnsi="Arial" w:cs="Arial"/>
        </w:rPr>
        <w:t>Urbanisation</w:t>
      </w:r>
      <w:proofErr w:type="spellEnd"/>
      <w:r w:rsidRPr="004B61CD">
        <w:rPr>
          <w:rFonts w:ascii="Arial" w:hAnsi="Arial" w:cs="Arial"/>
        </w:rPr>
        <w:t xml:space="preserve"> and agricultural growth in India. Indian Journal of Agricultural Economics, 64(3), 442.</w:t>
      </w:r>
    </w:p>
    <w:p w14:paraId="278566F5" w14:textId="77777777" w:rsidR="004B61CD" w:rsidRPr="004B61CD" w:rsidRDefault="004B61CD" w:rsidP="00D720F7">
      <w:pPr>
        <w:pStyle w:val="Body"/>
        <w:ind w:left="360"/>
        <w:rPr>
          <w:rFonts w:ascii="Arial" w:hAnsi="Arial" w:cs="Arial"/>
        </w:rPr>
      </w:pPr>
      <w:proofErr w:type="spellStart"/>
      <w:r w:rsidRPr="004B61CD">
        <w:rPr>
          <w:rFonts w:ascii="Arial" w:hAnsi="Arial" w:cs="Arial"/>
        </w:rPr>
        <w:t>Kalyabina</w:t>
      </w:r>
      <w:proofErr w:type="spellEnd"/>
      <w:r w:rsidRPr="004B61CD">
        <w:rPr>
          <w:rFonts w:ascii="Arial" w:hAnsi="Arial" w:cs="Arial"/>
        </w:rPr>
        <w:t xml:space="preserve">, V. P., </w:t>
      </w:r>
      <w:proofErr w:type="spellStart"/>
      <w:r w:rsidRPr="004B61CD">
        <w:rPr>
          <w:rFonts w:ascii="Arial" w:hAnsi="Arial" w:cs="Arial"/>
        </w:rPr>
        <w:t>Esimbekova</w:t>
      </w:r>
      <w:proofErr w:type="spellEnd"/>
      <w:r w:rsidRPr="004B61CD">
        <w:rPr>
          <w:rFonts w:ascii="Arial" w:hAnsi="Arial" w:cs="Arial"/>
        </w:rPr>
        <w:t xml:space="preserve">, E. N., Kopylova, K. V., &amp; </w:t>
      </w:r>
      <w:proofErr w:type="spellStart"/>
      <w:r w:rsidRPr="004B61CD">
        <w:rPr>
          <w:rFonts w:ascii="Arial" w:hAnsi="Arial" w:cs="Arial"/>
        </w:rPr>
        <w:t>Kratasyuk</w:t>
      </w:r>
      <w:proofErr w:type="spellEnd"/>
      <w:r w:rsidRPr="004B61CD">
        <w:rPr>
          <w:rFonts w:ascii="Arial" w:hAnsi="Arial" w:cs="Arial"/>
        </w:rPr>
        <w:t>, V. A. (2021). Pesticides: formulants, distribution pathways and effects on human health–a review. Toxicology reports, 8, 1179-1192.</w:t>
      </w:r>
    </w:p>
    <w:p w14:paraId="43CB7A34" w14:textId="77777777" w:rsidR="004B61CD" w:rsidRDefault="004B61CD" w:rsidP="00D720F7">
      <w:pPr>
        <w:pStyle w:val="Body"/>
        <w:ind w:left="360"/>
        <w:rPr>
          <w:rFonts w:ascii="Arial" w:hAnsi="Arial" w:cs="Arial"/>
        </w:rPr>
      </w:pPr>
      <w:r w:rsidRPr="004B61CD">
        <w:rPr>
          <w:rFonts w:ascii="Arial" w:hAnsi="Arial" w:cs="Arial"/>
        </w:rPr>
        <w:t>Khan, N., Yaqub, G., Hafeez, T., &amp; Tariq, M. (2020). Assessment of health risk due to pesticide residues in fruits, vegetables, soil, and water. Journal of Chemistry, 2020(1), 5497952.</w:t>
      </w:r>
    </w:p>
    <w:p w14:paraId="4CF7C254" w14:textId="2A5EAA0E" w:rsidR="007079B8" w:rsidRPr="004B61CD" w:rsidRDefault="004A1986" w:rsidP="00D720F7">
      <w:pPr>
        <w:pStyle w:val="Body"/>
        <w:ind w:left="360"/>
        <w:rPr>
          <w:rFonts w:ascii="Arial" w:hAnsi="Arial" w:cs="Arial"/>
        </w:rPr>
      </w:pPr>
      <w:proofErr w:type="spellStart"/>
      <w:r w:rsidRPr="00E92C74">
        <w:rPr>
          <w:highlight w:val="yellow"/>
          <w:lang w:val="en-GB"/>
        </w:rPr>
        <w:t>Kipkemoi</w:t>
      </w:r>
      <w:proofErr w:type="spellEnd"/>
      <w:r w:rsidRPr="00E92C74">
        <w:rPr>
          <w:highlight w:val="yellow"/>
          <w:lang w:val="en-GB"/>
        </w:rPr>
        <w:t xml:space="preserve"> E, </w:t>
      </w:r>
      <w:proofErr w:type="spellStart"/>
      <w:r w:rsidRPr="00E92C74">
        <w:rPr>
          <w:highlight w:val="yellow"/>
          <w:lang w:val="en-GB"/>
        </w:rPr>
        <w:t>Andayi</w:t>
      </w:r>
      <w:proofErr w:type="spellEnd"/>
      <w:r w:rsidRPr="00E92C74">
        <w:rPr>
          <w:highlight w:val="yellow"/>
          <w:lang w:val="en-GB"/>
        </w:rPr>
        <w:t xml:space="preserve"> WA, </w:t>
      </w:r>
      <w:proofErr w:type="spellStart"/>
      <w:r w:rsidRPr="00E92C74">
        <w:rPr>
          <w:highlight w:val="yellow"/>
          <w:lang w:val="en-GB"/>
        </w:rPr>
        <w:t>Njagi</w:t>
      </w:r>
      <w:proofErr w:type="spellEnd"/>
      <w:r w:rsidRPr="00E92C74">
        <w:rPr>
          <w:highlight w:val="yellow"/>
          <w:lang w:val="en-GB"/>
        </w:rPr>
        <w:t xml:space="preserve"> EC, </w:t>
      </w:r>
      <w:proofErr w:type="spellStart"/>
      <w:r w:rsidRPr="00E92C74">
        <w:rPr>
          <w:highlight w:val="yellow"/>
          <w:lang w:val="en-GB"/>
        </w:rPr>
        <w:t>Ptoton</w:t>
      </w:r>
      <w:proofErr w:type="spellEnd"/>
      <w:r w:rsidRPr="00E92C74">
        <w:rPr>
          <w:highlight w:val="yellow"/>
          <w:lang w:val="en-GB"/>
        </w:rPr>
        <w:t xml:space="preserve"> B. Analysis of Pesticide Residues in Tomatoes and French Beans from </w:t>
      </w:r>
      <w:proofErr w:type="spellStart"/>
      <w:r w:rsidRPr="00E92C74">
        <w:rPr>
          <w:highlight w:val="yellow"/>
          <w:lang w:val="en-GB"/>
        </w:rPr>
        <w:t>Murang’a</w:t>
      </w:r>
      <w:proofErr w:type="spellEnd"/>
      <w:r w:rsidRPr="00E92C74">
        <w:rPr>
          <w:highlight w:val="yellow"/>
          <w:lang w:val="en-GB"/>
        </w:rPr>
        <w:t xml:space="preserve"> and Kiambu Counties, Kenya. Eur. J. </w:t>
      </w:r>
      <w:proofErr w:type="spellStart"/>
      <w:r w:rsidRPr="00E92C74">
        <w:rPr>
          <w:highlight w:val="yellow"/>
          <w:lang w:val="en-GB"/>
        </w:rPr>
        <w:t>Nutr</w:t>
      </w:r>
      <w:proofErr w:type="spellEnd"/>
      <w:r w:rsidRPr="00E92C74">
        <w:rPr>
          <w:highlight w:val="yellow"/>
          <w:lang w:val="en-GB"/>
        </w:rPr>
        <w:t>. Food. Saf. [Internet]. 2020 Dec. 26 [cited 2025 Feb. 25];12(11):121-32.</w:t>
      </w:r>
    </w:p>
    <w:p w14:paraId="701BF561" w14:textId="77777777" w:rsidR="004B61CD" w:rsidRPr="004B61CD" w:rsidRDefault="004B61CD" w:rsidP="00D720F7">
      <w:pPr>
        <w:pStyle w:val="Body"/>
        <w:ind w:left="360"/>
        <w:rPr>
          <w:rFonts w:ascii="Arial" w:hAnsi="Arial" w:cs="Arial"/>
        </w:rPr>
      </w:pPr>
      <w:r w:rsidRPr="004B61CD">
        <w:rPr>
          <w:rFonts w:ascii="Arial" w:hAnsi="Arial" w:cs="Arial"/>
        </w:rPr>
        <w:t>Kumari, B., Madan, V. K., Kumar, R., &amp; Kathpal, T. S. (2002). Monitoring of seasonal vegetables for pesticide residues. Environmental Monitoring and Assessment, 74, 263-270.</w:t>
      </w:r>
    </w:p>
    <w:p w14:paraId="7BA177EE" w14:textId="77777777" w:rsidR="004B61CD" w:rsidRPr="004B61CD" w:rsidRDefault="004B61CD" w:rsidP="00D720F7">
      <w:pPr>
        <w:pStyle w:val="Body"/>
        <w:ind w:left="360"/>
        <w:rPr>
          <w:rFonts w:ascii="Arial" w:hAnsi="Arial" w:cs="Arial"/>
        </w:rPr>
      </w:pPr>
      <w:r w:rsidRPr="004B61CD">
        <w:rPr>
          <w:rFonts w:ascii="Arial" w:hAnsi="Arial" w:cs="Arial"/>
        </w:rPr>
        <w:t xml:space="preserve">Landicho, L. D., Visco, R. G., </w:t>
      </w:r>
      <w:proofErr w:type="spellStart"/>
      <w:r w:rsidRPr="004B61CD">
        <w:rPr>
          <w:rFonts w:ascii="Arial" w:hAnsi="Arial" w:cs="Arial"/>
        </w:rPr>
        <w:t>Paelmo</w:t>
      </w:r>
      <w:proofErr w:type="spellEnd"/>
      <w:r w:rsidRPr="004B61CD">
        <w:rPr>
          <w:rFonts w:ascii="Arial" w:hAnsi="Arial" w:cs="Arial"/>
        </w:rPr>
        <w:t xml:space="preserve">, R. F., Cabahug, R. D., Baliton, R. S., </w:t>
      </w:r>
      <w:proofErr w:type="spellStart"/>
      <w:r w:rsidRPr="004B61CD">
        <w:rPr>
          <w:rFonts w:ascii="Arial" w:hAnsi="Arial" w:cs="Arial"/>
        </w:rPr>
        <w:t>Espaldon</w:t>
      </w:r>
      <w:proofErr w:type="spellEnd"/>
      <w:r w:rsidRPr="004B61CD">
        <w:rPr>
          <w:rFonts w:ascii="Arial" w:hAnsi="Arial" w:cs="Arial"/>
        </w:rPr>
        <w:t xml:space="preserve">, M. L. O., &amp; Lasco, R. D. (2015). Field-level evidences of climate change and coping strategies of smallholder farmers in </w:t>
      </w:r>
      <w:proofErr w:type="spellStart"/>
      <w:r w:rsidRPr="004B61CD">
        <w:rPr>
          <w:rFonts w:ascii="Arial" w:hAnsi="Arial" w:cs="Arial"/>
        </w:rPr>
        <w:t>Molawin-Dampalit</w:t>
      </w:r>
      <w:proofErr w:type="spellEnd"/>
      <w:r w:rsidRPr="004B61CD">
        <w:rPr>
          <w:rFonts w:ascii="Arial" w:hAnsi="Arial" w:cs="Arial"/>
        </w:rPr>
        <w:t xml:space="preserve"> sub-watershed, </w:t>
      </w:r>
      <w:proofErr w:type="spellStart"/>
      <w:r w:rsidRPr="004B61CD">
        <w:rPr>
          <w:rFonts w:ascii="Arial" w:hAnsi="Arial" w:cs="Arial"/>
        </w:rPr>
        <w:t>Makiling</w:t>
      </w:r>
      <w:proofErr w:type="spellEnd"/>
      <w:r w:rsidRPr="004B61CD">
        <w:rPr>
          <w:rFonts w:ascii="Arial" w:hAnsi="Arial" w:cs="Arial"/>
        </w:rPr>
        <w:t xml:space="preserve"> forest reserve, Philippines. Asian Journal of Agriculture and Development, 12(1), 81-94.</w:t>
      </w:r>
    </w:p>
    <w:p w14:paraId="7C82E2AA" w14:textId="77777777" w:rsidR="004B61CD" w:rsidRPr="004B61CD" w:rsidRDefault="004B61CD" w:rsidP="00D720F7">
      <w:pPr>
        <w:pStyle w:val="Body"/>
        <w:ind w:left="360"/>
        <w:rPr>
          <w:rFonts w:ascii="Arial" w:hAnsi="Arial" w:cs="Arial"/>
        </w:rPr>
      </w:pPr>
      <w:r w:rsidRPr="004B61CD">
        <w:rPr>
          <w:rFonts w:ascii="Arial" w:hAnsi="Arial" w:cs="Arial"/>
        </w:rPr>
        <w:t>Lehotay, S. J., &amp; Cook, J. M. (2015). Sampling and sample processing in pesticide residue analysis. Journal of agricultural and food chemistry, 63(18), 4395-4404.</w:t>
      </w:r>
    </w:p>
    <w:p w14:paraId="443E81AD" w14:textId="77777777" w:rsidR="004B61CD" w:rsidRPr="004B61CD" w:rsidRDefault="004B61CD" w:rsidP="00D720F7">
      <w:pPr>
        <w:pStyle w:val="Body"/>
        <w:ind w:left="360"/>
        <w:rPr>
          <w:rFonts w:ascii="Arial" w:hAnsi="Arial" w:cs="Arial"/>
        </w:rPr>
      </w:pPr>
      <w:r w:rsidRPr="004B61CD">
        <w:rPr>
          <w:rFonts w:ascii="Arial" w:hAnsi="Arial" w:cs="Arial"/>
        </w:rPr>
        <w:t xml:space="preserve">Lehotay, S. J., Kok, A. D., Hiemstra, M., &amp; </w:t>
      </w:r>
      <w:proofErr w:type="spellStart"/>
      <w:r w:rsidRPr="004B61CD">
        <w:rPr>
          <w:rFonts w:ascii="Arial" w:hAnsi="Arial" w:cs="Arial"/>
        </w:rPr>
        <w:t>Bodegraven</w:t>
      </w:r>
      <w:proofErr w:type="spellEnd"/>
      <w:r w:rsidRPr="004B61CD">
        <w:rPr>
          <w:rFonts w:ascii="Arial" w:hAnsi="Arial" w:cs="Arial"/>
        </w:rPr>
        <w:t>, P. V. (2005). Validation of a fast and easy method for the determination of residues from 229 pesticides in fruits and vegetables using gas and liquid chromatography and mass spectrometric detection. Journal of AOAC International, 88(2), 595-614.</w:t>
      </w:r>
    </w:p>
    <w:p w14:paraId="2D01B5AC" w14:textId="77777777" w:rsidR="004B61CD" w:rsidRPr="004B61CD" w:rsidRDefault="004B61CD" w:rsidP="00D720F7">
      <w:pPr>
        <w:pStyle w:val="Body"/>
        <w:ind w:left="360"/>
        <w:rPr>
          <w:rFonts w:ascii="Arial" w:hAnsi="Arial" w:cs="Arial"/>
        </w:rPr>
      </w:pPr>
      <w:proofErr w:type="spellStart"/>
      <w:r w:rsidRPr="004B61CD">
        <w:rPr>
          <w:rFonts w:ascii="Arial" w:hAnsi="Arial" w:cs="Arial"/>
        </w:rPr>
        <w:t>Lozowicka</w:t>
      </w:r>
      <w:proofErr w:type="spellEnd"/>
      <w:r w:rsidRPr="004B61CD">
        <w:rPr>
          <w:rFonts w:ascii="Arial" w:hAnsi="Arial" w:cs="Arial"/>
        </w:rPr>
        <w:t>, B., Jankowska, M., Hrynko, I., &amp; Kaczynski, P. (2016). Removal of 16 pesticide residues from strawberries by washing with tap and ozone water, ultrasonic cleaning and boiling. Environmental monitoring and assessment, 188, 1-19.</w:t>
      </w:r>
    </w:p>
    <w:p w14:paraId="35A34992" w14:textId="77777777" w:rsidR="004B61CD" w:rsidRPr="004B61CD" w:rsidRDefault="004B61CD" w:rsidP="00D720F7">
      <w:pPr>
        <w:pStyle w:val="Body"/>
        <w:ind w:left="360"/>
        <w:rPr>
          <w:rFonts w:ascii="Arial" w:hAnsi="Arial" w:cs="Arial"/>
        </w:rPr>
      </w:pPr>
      <w:r w:rsidRPr="004B61CD">
        <w:rPr>
          <w:rFonts w:ascii="Arial" w:hAnsi="Arial" w:cs="Arial"/>
        </w:rPr>
        <w:lastRenderedPageBreak/>
        <w:t xml:space="preserve">Moreno, J. F., </w:t>
      </w:r>
      <w:proofErr w:type="spellStart"/>
      <w:r w:rsidRPr="004B61CD">
        <w:rPr>
          <w:rFonts w:ascii="Arial" w:hAnsi="Arial" w:cs="Arial"/>
        </w:rPr>
        <w:t>Liébanas</w:t>
      </w:r>
      <w:proofErr w:type="spellEnd"/>
      <w:r w:rsidRPr="004B61CD">
        <w:rPr>
          <w:rFonts w:ascii="Arial" w:hAnsi="Arial" w:cs="Arial"/>
        </w:rPr>
        <w:t xml:space="preserve">, F. A., </w:t>
      </w:r>
      <w:proofErr w:type="spellStart"/>
      <w:r w:rsidRPr="004B61CD">
        <w:rPr>
          <w:rFonts w:ascii="Arial" w:hAnsi="Arial" w:cs="Arial"/>
        </w:rPr>
        <w:t>Frenich</w:t>
      </w:r>
      <w:proofErr w:type="spellEnd"/>
      <w:r w:rsidRPr="004B61CD">
        <w:rPr>
          <w:rFonts w:ascii="Arial" w:hAnsi="Arial" w:cs="Arial"/>
        </w:rPr>
        <w:t>, A. G., &amp; Vidal, J. M. (2006). Evaluation of different sample treatments for determining pesticide residues in fat vegetable matrices like avocado by low-pressure gas chromatography–tandem mass spectrometry. Journal of Chromatography A, 1111(1), 97-105.</w:t>
      </w:r>
    </w:p>
    <w:p w14:paraId="544A47D2" w14:textId="77777777" w:rsidR="004B61CD" w:rsidRPr="004B61CD" w:rsidRDefault="004B61CD" w:rsidP="00D720F7">
      <w:pPr>
        <w:pStyle w:val="Body"/>
        <w:ind w:left="360"/>
        <w:rPr>
          <w:rFonts w:ascii="Arial" w:hAnsi="Arial" w:cs="Arial"/>
        </w:rPr>
      </w:pPr>
      <w:r w:rsidRPr="004B61CD">
        <w:rPr>
          <w:rFonts w:ascii="Arial" w:hAnsi="Arial" w:cs="Arial"/>
        </w:rPr>
        <w:t>Nedumaran, S., Nandi, R., Padmanabhan, J., Reddy, S. S., Kadiyala, D. M., &amp; Kumar, S. (2021). Household vulnerability to climate change and identification of target beneficiaries to implement household-specific adaptation strategies: a quantitative assessment. Asian Journal of Agriculture and Development, 18(2), 17-34.</w:t>
      </w:r>
    </w:p>
    <w:p w14:paraId="40B21EB4" w14:textId="77777777" w:rsidR="004B61CD" w:rsidRPr="004B61CD" w:rsidRDefault="004B61CD" w:rsidP="00D720F7">
      <w:pPr>
        <w:pStyle w:val="Body"/>
        <w:ind w:left="360"/>
        <w:rPr>
          <w:rFonts w:ascii="Arial" w:hAnsi="Arial" w:cs="Arial"/>
        </w:rPr>
      </w:pPr>
      <w:r w:rsidRPr="004B61CD">
        <w:rPr>
          <w:rFonts w:ascii="Arial" w:hAnsi="Arial" w:cs="Arial"/>
        </w:rPr>
        <w:t xml:space="preserve">Polder, A., </w:t>
      </w:r>
      <w:proofErr w:type="spellStart"/>
      <w:r w:rsidRPr="004B61CD">
        <w:rPr>
          <w:rFonts w:ascii="Arial" w:hAnsi="Arial" w:cs="Arial"/>
        </w:rPr>
        <w:t>Savinova</w:t>
      </w:r>
      <w:proofErr w:type="spellEnd"/>
      <w:r w:rsidRPr="004B61CD">
        <w:rPr>
          <w:rFonts w:ascii="Arial" w:hAnsi="Arial" w:cs="Arial"/>
        </w:rPr>
        <w:t>, T. N., Tkachev, A., Løken, K. B., Odland, J. O., &amp; Skaare, J. U. (2010). Levels and patterns of Persistent Organic Pollutants (POPS) in selected food items from Northwest Russia (1998–2002) and implications for dietary exposure. Science of the total environment, 408(22), 5352-5361.</w:t>
      </w:r>
    </w:p>
    <w:p w14:paraId="0C50A9F3" w14:textId="77777777" w:rsidR="004B61CD" w:rsidRPr="004B61CD" w:rsidRDefault="004B61CD" w:rsidP="00D720F7">
      <w:pPr>
        <w:pStyle w:val="Body"/>
        <w:ind w:left="360"/>
        <w:rPr>
          <w:rFonts w:ascii="Arial" w:hAnsi="Arial" w:cs="Arial"/>
        </w:rPr>
      </w:pPr>
      <w:r w:rsidRPr="004B61CD">
        <w:rPr>
          <w:rFonts w:ascii="Arial" w:hAnsi="Arial" w:cs="Arial"/>
        </w:rPr>
        <w:t>Raina-Fulton, R. (2015). New trends in pesticide residue analysis in cereals, nutraceuticals, baby foods, and related processed consumer products. Journal of AOAC International, 98(5), 1163-1170.</w:t>
      </w:r>
    </w:p>
    <w:p w14:paraId="0D94787E" w14:textId="77777777" w:rsidR="004B61CD" w:rsidRPr="004B61CD" w:rsidRDefault="004B61CD" w:rsidP="00D720F7">
      <w:pPr>
        <w:pStyle w:val="Body"/>
        <w:ind w:left="360"/>
        <w:rPr>
          <w:rFonts w:ascii="Arial" w:hAnsi="Arial" w:cs="Arial"/>
        </w:rPr>
      </w:pPr>
      <w:r w:rsidRPr="004B61CD">
        <w:rPr>
          <w:rFonts w:ascii="Arial" w:hAnsi="Arial" w:cs="Arial"/>
        </w:rPr>
        <w:t xml:space="preserve">Rodrigues, A. A. Z., de Queiroz, M. E. L. R., Faroni, L. R. D. A., Prates, L. H. F., Neves, A. A., de Oliveira, A. F., ... &amp; </w:t>
      </w:r>
      <w:proofErr w:type="spellStart"/>
      <w:r w:rsidRPr="004B61CD">
        <w:rPr>
          <w:rFonts w:ascii="Arial" w:hAnsi="Arial" w:cs="Arial"/>
        </w:rPr>
        <w:t>Zambolim</w:t>
      </w:r>
      <w:proofErr w:type="spellEnd"/>
      <w:r w:rsidRPr="004B61CD">
        <w:rPr>
          <w:rFonts w:ascii="Arial" w:hAnsi="Arial" w:cs="Arial"/>
        </w:rPr>
        <w:t>, L. (2021). The efficacy of washing strategies in the elimination of fungicide residues and the alterations on the quality of bell peppers. Food Research International, 147, 110579.</w:t>
      </w:r>
    </w:p>
    <w:p w14:paraId="13DF2981" w14:textId="77777777" w:rsidR="004B61CD" w:rsidRPr="004B61CD" w:rsidRDefault="004B61CD" w:rsidP="00D720F7">
      <w:pPr>
        <w:pStyle w:val="Body"/>
        <w:ind w:left="360"/>
        <w:rPr>
          <w:rFonts w:ascii="Arial" w:hAnsi="Arial" w:cs="Arial"/>
        </w:rPr>
      </w:pPr>
      <w:r w:rsidRPr="004B61CD">
        <w:rPr>
          <w:rFonts w:ascii="Arial" w:hAnsi="Arial" w:cs="Arial"/>
        </w:rPr>
        <w:t xml:space="preserve">Sanghi, S., Subbiah, M. V., Reddy, R. M., Ganguly, S., Gupta, G. S., Unni, J., ... &amp; Vasavada, M. (2012). Preparing a globally competitive skilled workforce for Indian economy: emerging trends and challenges. </w:t>
      </w:r>
      <w:proofErr w:type="spellStart"/>
      <w:r w:rsidRPr="004B61CD">
        <w:rPr>
          <w:rFonts w:ascii="Arial" w:hAnsi="Arial" w:cs="Arial"/>
        </w:rPr>
        <w:t>Vikalpa</w:t>
      </w:r>
      <w:proofErr w:type="spellEnd"/>
      <w:r w:rsidRPr="004B61CD">
        <w:rPr>
          <w:rFonts w:ascii="Arial" w:hAnsi="Arial" w:cs="Arial"/>
        </w:rPr>
        <w:t>, 37(3), 87-128.</w:t>
      </w:r>
    </w:p>
    <w:p w14:paraId="73480863" w14:textId="77777777" w:rsidR="004B61CD" w:rsidRPr="004B61CD" w:rsidRDefault="004B61CD" w:rsidP="00D720F7">
      <w:pPr>
        <w:pStyle w:val="Body"/>
        <w:ind w:left="360"/>
        <w:rPr>
          <w:rFonts w:ascii="Arial" w:hAnsi="Arial" w:cs="Arial"/>
        </w:rPr>
      </w:pPr>
      <w:r w:rsidRPr="004B61CD">
        <w:rPr>
          <w:rFonts w:ascii="Arial" w:hAnsi="Arial" w:cs="Arial"/>
        </w:rPr>
        <w:t>Seo, Y. H., Cho, T. H., Hong, C. K., Kim, M. S., Cho, S. J., Park, W. H., ... &amp; Kim, M. S. (2013). Monitoring and risk assessment of pesticide residues in commercially dried vegetables. Preventive Nutrition and Food Science, 18(2), 145.</w:t>
      </w:r>
    </w:p>
    <w:p w14:paraId="2D76A598" w14:textId="77777777" w:rsidR="004B61CD" w:rsidRPr="004B61CD" w:rsidRDefault="004B61CD" w:rsidP="00D720F7">
      <w:pPr>
        <w:pStyle w:val="Body"/>
        <w:ind w:left="360"/>
        <w:rPr>
          <w:rFonts w:ascii="Arial" w:hAnsi="Arial" w:cs="Arial"/>
        </w:rPr>
      </w:pPr>
      <w:proofErr w:type="spellStart"/>
      <w:r w:rsidRPr="004B61CD">
        <w:rPr>
          <w:rFonts w:ascii="Arial" w:hAnsi="Arial" w:cs="Arial"/>
        </w:rPr>
        <w:t>Tacoli</w:t>
      </w:r>
      <w:proofErr w:type="spellEnd"/>
      <w:r w:rsidRPr="004B61CD">
        <w:rPr>
          <w:rFonts w:ascii="Arial" w:hAnsi="Arial" w:cs="Arial"/>
        </w:rPr>
        <w:t>, C. (2003). The links between urban and rural development. Environment and urbanization, 15(1), 3-12.</w:t>
      </w:r>
    </w:p>
    <w:p w14:paraId="3BBB73CA" w14:textId="77777777" w:rsidR="004B61CD" w:rsidRPr="004B61CD" w:rsidRDefault="004B61CD" w:rsidP="00D720F7">
      <w:pPr>
        <w:pStyle w:val="Body"/>
        <w:ind w:left="360"/>
        <w:rPr>
          <w:rFonts w:ascii="Arial" w:hAnsi="Arial" w:cs="Arial"/>
        </w:rPr>
      </w:pPr>
      <w:r w:rsidRPr="004B61CD">
        <w:rPr>
          <w:rFonts w:ascii="Arial" w:hAnsi="Arial" w:cs="Arial"/>
        </w:rPr>
        <w:t xml:space="preserve">Teichroew, J. K. (Ed.). (2016). Chronic Diseases: An Encyclopedia of Causes, Effects, and Treatments [2 volumes]. Bloomsbury Publishing USA. </w:t>
      </w:r>
    </w:p>
    <w:p w14:paraId="4A7A2EC8" w14:textId="6A657D18" w:rsidR="00B01FCD" w:rsidRPr="000C5AFF" w:rsidRDefault="004B61CD" w:rsidP="00D720F7">
      <w:pPr>
        <w:pStyle w:val="Body"/>
        <w:ind w:left="360"/>
        <w:rPr>
          <w:rFonts w:ascii="Arial" w:hAnsi="Arial" w:cs="Arial"/>
        </w:rPr>
      </w:pPr>
      <w:r w:rsidRPr="004B61CD">
        <w:rPr>
          <w:rFonts w:ascii="Arial" w:hAnsi="Arial" w:cs="Arial"/>
        </w:rPr>
        <w:t>World Health Organization. (2005). Fruit and vegetables for health: report of the Joint FAO.</w:t>
      </w:r>
    </w:p>
    <w:sectPr w:rsidR="00B01FCD" w:rsidRPr="000C5AFF" w:rsidSect="00027F6F">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F620" w14:textId="77777777" w:rsidR="00CE4CE3" w:rsidRDefault="00CE4CE3" w:rsidP="00C37E61">
      <w:r>
        <w:separator/>
      </w:r>
    </w:p>
  </w:endnote>
  <w:endnote w:type="continuationSeparator" w:id="0">
    <w:p w14:paraId="27253931" w14:textId="77777777" w:rsidR="00CE4CE3" w:rsidRDefault="00CE4C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9B5B" w14:textId="77777777" w:rsidR="00027F6F" w:rsidRDefault="00027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9A56" w14:textId="77777777" w:rsidR="00027F6F" w:rsidRDefault="00027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AFF0" w14:textId="40510B3E" w:rsidR="00754C9A" w:rsidRPr="00027F6F" w:rsidRDefault="00754C9A" w:rsidP="00027F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545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27BDF" w14:textId="77777777" w:rsidR="00CE4CE3" w:rsidRDefault="00CE4CE3" w:rsidP="00C37E61">
      <w:r>
        <w:separator/>
      </w:r>
    </w:p>
  </w:footnote>
  <w:footnote w:type="continuationSeparator" w:id="0">
    <w:p w14:paraId="09ACCD63" w14:textId="77777777" w:rsidR="00CE4CE3" w:rsidRDefault="00CE4C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9ECA" w14:textId="139E372C" w:rsidR="00027F6F" w:rsidRDefault="00CE4CE3">
    <w:pPr>
      <w:pStyle w:val="Header"/>
    </w:pPr>
    <w:r>
      <w:rPr>
        <w:noProof/>
      </w:rPr>
      <w:pict w14:anchorId="07098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8611" w14:textId="4E2AC8F0" w:rsidR="00027F6F" w:rsidRDefault="00CE4CE3">
    <w:pPr>
      <w:pStyle w:val="Header"/>
    </w:pPr>
    <w:r>
      <w:rPr>
        <w:noProof/>
      </w:rPr>
      <w:pict w14:anchorId="2067E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7D42" w14:textId="550DA16C" w:rsidR="00296529" w:rsidRPr="00296529" w:rsidRDefault="00CE4CE3" w:rsidP="00296529">
    <w:pPr>
      <w:ind w:left="2160"/>
      <w:jc w:val="center"/>
      <w:rPr>
        <w:rFonts w:ascii="Times New Roman" w:eastAsia="Calibri" w:hAnsi="Times New Roman"/>
        <w:i/>
        <w:sz w:val="18"/>
        <w:szCs w:val="22"/>
      </w:rPr>
    </w:pPr>
    <w:r>
      <w:rPr>
        <w:noProof/>
      </w:rPr>
      <w:pict w14:anchorId="7B6E6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3BE431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1FA0D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6A44C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DC62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AD408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A90C82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5A48" w14:textId="34B2493D" w:rsidR="00027F6F" w:rsidRDefault="00CE4CE3">
    <w:pPr>
      <w:pStyle w:val="Header"/>
    </w:pPr>
    <w:r>
      <w:rPr>
        <w:noProof/>
      </w:rPr>
      <w:pict w14:anchorId="2E48A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8DFA" w14:textId="52E28C2F" w:rsidR="00027F6F" w:rsidRDefault="00CE4CE3">
    <w:pPr>
      <w:pStyle w:val="Header"/>
    </w:pPr>
    <w:r>
      <w:rPr>
        <w:noProof/>
      </w:rPr>
      <w:pict w14:anchorId="65B45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4C7D" w14:textId="67896418" w:rsidR="00027F6F" w:rsidRDefault="00CE4CE3">
    <w:pPr>
      <w:pStyle w:val="Header"/>
    </w:pPr>
    <w:r>
      <w:rPr>
        <w:noProof/>
      </w:rPr>
      <w:pict w14:anchorId="4D91A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157F0"/>
    <w:multiLevelType w:val="hybridMultilevel"/>
    <w:tmpl w:val="CC7EA0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CA53DAE"/>
    <w:multiLevelType w:val="hybridMultilevel"/>
    <w:tmpl w:val="89146E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E0810"/>
    <w:multiLevelType w:val="hybridMultilevel"/>
    <w:tmpl w:val="A15259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B3DA9"/>
    <w:multiLevelType w:val="hybridMultilevel"/>
    <w:tmpl w:val="44DAC13A"/>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6934A3"/>
    <w:multiLevelType w:val="hybridMultilevel"/>
    <w:tmpl w:val="EF5080D2"/>
    <w:lvl w:ilvl="0" w:tplc="21DC7566">
      <w:start w:val="1"/>
      <w:numFmt w:val="decimal"/>
      <w:lvlText w:val="3.%1."/>
      <w:lvlJc w:val="left"/>
      <w:pPr>
        <w:ind w:left="720" w:hanging="360"/>
      </w:pPr>
      <w:rPr>
        <w:rFonts w:hint="default"/>
      </w:rPr>
    </w:lvl>
    <w:lvl w:ilvl="1" w:tplc="740C89C2">
      <w:start w:val="1"/>
      <w:numFmt w:val="bullet"/>
      <w:lvlText w:val="•"/>
      <w:lvlJc w:val="left"/>
      <w:pPr>
        <w:ind w:left="1800" w:hanging="720"/>
      </w:pPr>
      <w:rPr>
        <w:rFonts w:ascii="Arial" w:eastAsia="Times New Roman" w:hAnsi="Arial"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054949"/>
    <w:multiLevelType w:val="hybridMultilevel"/>
    <w:tmpl w:val="6E202622"/>
    <w:lvl w:ilvl="0" w:tplc="D41E4064">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1"/>
  </w:num>
  <w:num w:numId="10">
    <w:abstractNumId w:val="2"/>
  </w:num>
  <w:num w:numId="11">
    <w:abstractNumId w:val="21"/>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5"/>
  </w:num>
  <w:num w:numId="19">
    <w:abstractNumId w:val="34"/>
  </w:num>
  <w:num w:numId="20">
    <w:abstractNumId w:val="12"/>
  </w:num>
  <w:num w:numId="21">
    <w:abstractNumId w:val="9"/>
  </w:num>
  <w:num w:numId="22">
    <w:abstractNumId w:val="14"/>
  </w:num>
  <w:num w:numId="23">
    <w:abstractNumId w:val="22"/>
  </w:num>
  <w:num w:numId="24">
    <w:abstractNumId w:val="32"/>
  </w:num>
  <w:num w:numId="25">
    <w:abstractNumId w:val="4"/>
  </w:num>
  <w:num w:numId="26">
    <w:abstractNumId w:val="18"/>
  </w:num>
  <w:num w:numId="27">
    <w:abstractNumId w:val="23"/>
  </w:num>
  <w:num w:numId="28">
    <w:abstractNumId w:val="33"/>
  </w:num>
  <w:num w:numId="29">
    <w:abstractNumId w:val="30"/>
  </w:num>
  <w:num w:numId="30">
    <w:abstractNumId w:val="10"/>
  </w:num>
  <w:num w:numId="31">
    <w:abstractNumId w:val="29"/>
  </w:num>
  <w:num w:numId="32">
    <w:abstractNumId w:val="19"/>
  </w:num>
  <w:num w:numId="33">
    <w:abstractNumId w:val="16"/>
  </w:num>
  <w:num w:numId="34">
    <w:abstractNumId w:val="27"/>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7F6F"/>
    <w:rsid w:val="00030174"/>
    <w:rsid w:val="00037980"/>
    <w:rsid w:val="0004579C"/>
    <w:rsid w:val="00076F6C"/>
    <w:rsid w:val="000A47FA"/>
    <w:rsid w:val="000A65D3"/>
    <w:rsid w:val="000A6874"/>
    <w:rsid w:val="000A7C8E"/>
    <w:rsid w:val="000B1E33"/>
    <w:rsid w:val="000C5AFF"/>
    <w:rsid w:val="000D689F"/>
    <w:rsid w:val="000E78DD"/>
    <w:rsid w:val="000E7B7B"/>
    <w:rsid w:val="000E7D62"/>
    <w:rsid w:val="000F02A7"/>
    <w:rsid w:val="000F1956"/>
    <w:rsid w:val="00103357"/>
    <w:rsid w:val="00123C9F"/>
    <w:rsid w:val="00126190"/>
    <w:rsid w:val="00130F17"/>
    <w:rsid w:val="001320BF"/>
    <w:rsid w:val="001567BC"/>
    <w:rsid w:val="00156CB9"/>
    <w:rsid w:val="00163BC4"/>
    <w:rsid w:val="00191062"/>
    <w:rsid w:val="00192B72"/>
    <w:rsid w:val="001A29D8"/>
    <w:rsid w:val="001A5CAA"/>
    <w:rsid w:val="001B0427"/>
    <w:rsid w:val="001D3A51"/>
    <w:rsid w:val="001E01F1"/>
    <w:rsid w:val="001E10D2"/>
    <w:rsid w:val="001E25B4"/>
    <w:rsid w:val="001E44FE"/>
    <w:rsid w:val="00200595"/>
    <w:rsid w:val="00203E41"/>
    <w:rsid w:val="00204835"/>
    <w:rsid w:val="00231920"/>
    <w:rsid w:val="0023195C"/>
    <w:rsid w:val="0024058B"/>
    <w:rsid w:val="0024282C"/>
    <w:rsid w:val="00242D49"/>
    <w:rsid w:val="002460DC"/>
    <w:rsid w:val="00250985"/>
    <w:rsid w:val="002556F6"/>
    <w:rsid w:val="002609AE"/>
    <w:rsid w:val="00283105"/>
    <w:rsid w:val="00284C4C"/>
    <w:rsid w:val="00287E68"/>
    <w:rsid w:val="00292146"/>
    <w:rsid w:val="00296529"/>
    <w:rsid w:val="002B27FB"/>
    <w:rsid w:val="002B685A"/>
    <w:rsid w:val="002C57D2"/>
    <w:rsid w:val="002E0D56"/>
    <w:rsid w:val="002F672A"/>
    <w:rsid w:val="00315186"/>
    <w:rsid w:val="0033343E"/>
    <w:rsid w:val="003512C2"/>
    <w:rsid w:val="00371FB6"/>
    <w:rsid w:val="003763C1"/>
    <w:rsid w:val="00376BBE"/>
    <w:rsid w:val="00380C1A"/>
    <w:rsid w:val="0039224F"/>
    <w:rsid w:val="003A43A4"/>
    <w:rsid w:val="003A7E18"/>
    <w:rsid w:val="003C4C86"/>
    <w:rsid w:val="003C6258"/>
    <w:rsid w:val="003D0EEC"/>
    <w:rsid w:val="003E2904"/>
    <w:rsid w:val="00401927"/>
    <w:rsid w:val="0041027F"/>
    <w:rsid w:val="00412475"/>
    <w:rsid w:val="00423789"/>
    <w:rsid w:val="00440F43"/>
    <w:rsid w:val="00441B6F"/>
    <w:rsid w:val="00446221"/>
    <w:rsid w:val="00450840"/>
    <w:rsid w:val="00450E62"/>
    <w:rsid w:val="004539DB"/>
    <w:rsid w:val="004606C0"/>
    <w:rsid w:val="00471A80"/>
    <w:rsid w:val="0048763E"/>
    <w:rsid w:val="004A1986"/>
    <w:rsid w:val="004A1E1D"/>
    <w:rsid w:val="004A46C1"/>
    <w:rsid w:val="004B61CD"/>
    <w:rsid w:val="004C55F6"/>
    <w:rsid w:val="004C6840"/>
    <w:rsid w:val="004D305E"/>
    <w:rsid w:val="004D4277"/>
    <w:rsid w:val="00502516"/>
    <w:rsid w:val="00505F06"/>
    <w:rsid w:val="00506828"/>
    <w:rsid w:val="005272A2"/>
    <w:rsid w:val="0053056E"/>
    <w:rsid w:val="00554178"/>
    <w:rsid w:val="00554FDA"/>
    <w:rsid w:val="00555A8D"/>
    <w:rsid w:val="005724F3"/>
    <w:rsid w:val="00584FB2"/>
    <w:rsid w:val="00587CBB"/>
    <w:rsid w:val="005A08CC"/>
    <w:rsid w:val="005B1CDC"/>
    <w:rsid w:val="005C784C"/>
    <w:rsid w:val="005D0F88"/>
    <w:rsid w:val="005D17F6"/>
    <w:rsid w:val="005E5539"/>
    <w:rsid w:val="005E5F56"/>
    <w:rsid w:val="005E6920"/>
    <w:rsid w:val="005F5963"/>
    <w:rsid w:val="005F70E8"/>
    <w:rsid w:val="00602BF5"/>
    <w:rsid w:val="00612261"/>
    <w:rsid w:val="00617FDD"/>
    <w:rsid w:val="006245C9"/>
    <w:rsid w:val="00633614"/>
    <w:rsid w:val="00633F68"/>
    <w:rsid w:val="00636EB2"/>
    <w:rsid w:val="006375B8"/>
    <w:rsid w:val="0066510A"/>
    <w:rsid w:val="006723FB"/>
    <w:rsid w:val="00673F9F"/>
    <w:rsid w:val="00684B47"/>
    <w:rsid w:val="00686953"/>
    <w:rsid w:val="00687DEA"/>
    <w:rsid w:val="00687E67"/>
    <w:rsid w:val="006967F7"/>
    <w:rsid w:val="006A250C"/>
    <w:rsid w:val="006B21D3"/>
    <w:rsid w:val="006B57D0"/>
    <w:rsid w:val="006B7EDD"/>
    <w:rsid w:val="006C1E39"/>
    <w:rsid w:val="006D30FF"/>
    <w:rsid w:val="006D6940"/>
    <w:rsid w:val="006F11EC"/>
    <w:rsid w:val="006F63FD"/>
    <w:rsid w:val="0070082C"/>
    <w:rsid w:val="007037AC"/>
    <w:rsid w:val="007079B8"/>
    <w:rsid w:val="007369E6"/>
    <w:rsid w:val="00746E59"/>
    <w:rsid w:val="00754C9A"/>
    <w:rsid w:val="0075599A"/>
    <w:rsid w:val="00760465"/>
    <w:rsid w:val="00761D52"/>
    <w:rsid w:val="0077749E"/>
    <w:rsid w:val="00790ADA"/>
    <w:rsid w:val="007C5289"/>
    <w:rsid w:val="007D2288"/>
    <w:rsid w:val="007E088F"/>
    <w:rsid w:val="007F7B32"/>
    <w:rsid w:val="008015F6"/>
    <w:rsid w:val="00804BC2"/>
    <w:rsid w:val="00807657"/>
    <w:rsid w:val="0081431A"/>
    <w:rsid w:val="008221D1"/>
    <w:rsid w:val="0083216F"/>
    <w:rsid w:val="00844110"/>
    <w:rsid w:val="00860000"/>
    <w:rsid w:val="00863BD3"/>
    <w:rsid w:val="008641ED"/>
    <w:rsid w:val="00866D66"/>
    <w:rsid w:val="008671C6"/>
    <w:rsid w:val="00875803"/>
    <w:rsid w:val="0088606A"/>
    <w:rsid w:val="00890642"/>
    <w:rsid w:val="00892CC7"/>
    <w:rsid w:val="008979E0"/>
    <w:rsid w:val="008B459E"/>
    <w:rsid w:val="008D18E6"/>
    <w:rsid w:val="008E13AE"/>
    <w:rsid w:val="008E1506"/>
    <w:rsid w:val="008E710C"/>
    <w:rsid w:val="008F69D6"/>
    <w:rsid w:val="00902823"/>
    <w:rsid w:val="00907A9F"/>
    <w:rsid w:val="00915CA6"/>
    <w:rsid w:val="00927834"/>
    <w:rsid w:val="009500A6"/>
    <w:rsid w:val="00950701"/>
    <w:rsid w:val="00951C3F"/>
    <w:rsid w:val="00955FF8"/>
    <w:rsid w:val="00957C18"/>
    <w:rsid w:val="009659BA"/>
    <w:rsid w:val="00983040"/>
    <w:rsid w:val="009B3FB9"/>
    <w:rsid w:val="009C2465"/>
    <w:rsid w:val="009D35A0"/>
    <w:rsid w:val="009D7EB7"/>
    <w:rsid w:val="009E048A"/>
    <w:rsid w:val="009E08E9"/>
    <w:rsid w:val="009E3DB9"/>
    <w:rsid w:val="009E6E35"/>
    <w:rsid w:val="009F0EDA"/>
    <w:rsid w:val="00A03B96"/>
    <w:rsid w:val="00A05874"/>
    <w:rsid w:val="00A05B19"/>
    <w:rsid w:val="00A1134E"/>
    <w:rsid w:val="00A24E7E"/>
    <w:rsid w:val="00A258C3"/>
    <w:rsid w:val="00A26783"/>
    <w:rsid w:val="00A347C0"/>
    <w:rsid w:val="00A3494A"/>
    <w:rsid w:val="00A50AFD"/>
    <w:rsid w:val="00A51431"/>
    <w:rsid w:val="00A539AD"/>
    <w:rsid w:val="00A566AD"/>
    <w:rsid w:val="00A9390F"/>
    <w:rsid w:val="00A94063"/>
    <w:rsid w:val="00AA35F6"/>
    <w:rsid w:val="00AA59C4"/>
    <w:rsid w:val="00AA6219"/>
    <w:rsid w:val="00AA74E0"/>
    <w:rsid w:val="00AB6FFA"/>
    <w:rsid w:val="00AB703F"/>
    <w:rsid w:val="00AC6BB8"/>
    <w:rsid w:val="00AE008F"/>
    <w:rsid w:val="00AF31B4"/>
    <w:rsid w:val="00B01FCD"/>
    <w:rsid w:val="00B04D05"/>
    <w:rsid w:val="00B1776C"/>
    <w:rsid w:val="00B200F0"/>
    <w:rsid w:val="00B3232E"/>
    <w:rsid w:val="00B52583"/>
    <w:rsid w:val="00B52896"/>
    <w:rsid w:val="00B67B82"/>
    <w:rsid w:val="00B76C53"/>
    <w:rsid w:val="00B95236"/>
    <w:rsid w:val="00B96BD9"/>
    <w:rsid w:val="00BA063C"/>
    <w:rsid w:val="00BA1B01"/>
    <w:rsid w:val="00BA2641"/>
    <w:rsid w:val="00BB1B66"/>
    <w:rsid w:val="00BB37AA"/>
    <w:rsid w:val="00BC53A0"/>
    <w:rsid w:val="00BE62AD"/>
    <w:rsid w:val="00BF121F"/>
    <w:rsid w:val="00BF1F80"/>
    <w:rsid w:val="00C166EF"/>
    <w:rsid w:val="00C17EB0"/>
    <w:rsid w:val="00C27F5F"/>
    <w:rsid w:val="00C30A0F"/>
    <w:rsid w:val="00C37E61"/>
    <w:rsid w:val="00C46AF2"/>
    <w:rsid w:val="00C70F1B"/>
    <w:rsid w:val="00C71A47"/>
    <w:rsid w:val="00C7464C"/>
    <w:rsid w:val="00C85588"/>
    <w:rsid w:val="00CD52EB"/>
    <w:rsid w:val="00CD6755"/>
    <w:rsid w:val="00CD6856"/>
    <w:rsid w:val="00CE0089"/>
    <w:rsid w:val="00CE4CE3"/>
    <w:rsid w:val="00CE55E3"/>
    <w:rsid w:val="00CE793C"/>
    <w:rsid w:val="00CE7E56"/>
    <w:rsid w:val="00CF193C"/>
    <w:rsid w:val="00D15E6A"/>
    <w:rsid w:val="00D173F1"/>
    <w:rsid w:val="00D720F7"/>
    <w:rsid w:val="00D74CB0"/>
    <w:rsid w:val="00D8295D"/>
    <w:rsid w:val="00D96AAA"/>
    <w:rsid w:val="00D976D7"/>
    <w:rsid w:val="00DB7B3F"/>
    <w:rsid w:val="00DC2A65"/>
    <w:rsid w:val="00DE15F0"/>
    <w:rsid w:val="00DE5663"/>
    <w:rsid w:val="00DE6EC2"/>
    <w:rsid w:val="00DE78AA"/>
    <w:rsid w:val="00DF0B52"/>
    <w:rsid w:val="00E053D0"/>
    <w:rsid w:val="00E15994"/>
    <w:rsid w:val="00E23DFC"/>
    <w:rsid w:val="00E3114E"/>
    <w:rsid w:val="00E31A70"/>
    <w:rsid w:val="00E35B02"/>
    <w:rsid w:val="00E54F5C"/>
    <w:rsid w:val="00E66496"/>
    <w:rsid w:val="00E66B35"/>
    <w:rsid w:val="00E66E10"/>
    <w:rsid w:val="00E769F6"/>
    <w:rsid w:val="00E8407C"/>
    <w:rsid w:val="00E84F3C"/>
    <w:rsid w:val="00E92C74"/>
    <w:rsid w:val="00EA012C"/>
    <w:rsid w:val="00EB276C"/>
    <w:rsid w:val="00EC6A55"/>
    <w:rsid w:val="00ED0288"/>
    <w:rsid w:val="00EE3D77"/>
    <w:rsid w:val="00EE52CB"/>
    <w:rsid w:val="00EF581D"/>
    <w:rsid w:val="00EF7FD8"/>
    <w:rsid w:val="00F06CDF"/>
    <w:rsid w:val="00F06F59"/>
    <w:rsid w:val="00F17988"/>
    <w:rsid w:val="00F469F0"/>
    <w:rsid w:val="00F53273"/>
    <w:rsid w:val="00F5383F"/>
    <w:rsid w:val="00F55C72"/>
    <w:rsid w:val="00F755E4"/>
    <w:rsid w:val="00F77D02"/>
    <w:rsid w:val="00FB3515"/>
    <w:rsid w:val="00FB3A86"/>
    <w:rsid w:val="00FB5194"/>
    <w:rsid w:val="00FD1236"/>
    <w:rsid w:val="00FD36C8"/>
    <w:rsid w:val="2F9BF9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F15BE7B"/>
  <w15:docId w15:val="{450437E7-37BF-479F-9948-1D50F6AE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D976D7"/>
    <w:rPr>
      <w:rFonts w:ascii="Helvetica" w:hAnsi="Helvetica"/>
      <w:b/>
      <w:bCs/>
      <w:lang w:val="en-US" w:eastAsia="en-US"/>
    </w:rPr>
  </w:style>
  <w:style w:type="character" w:customStyle="1" w:styleId="CommentSubjectChar">
    <w:name w:val="Comment Subject Char"/>
    <w:basedOn w:val="CommentTextChar"/>
    <w:link w:val="CommentSubject"/>
    <w:semiHidden/>
    <w:rsid w:val="00D976D7"/>
    <w:rPr>
      <w:rFonts w:ascii="Helvetica" w:hAnsi="Helvetica"/>
      <w:b/>
      <w:bCs/>
      <w:lang w:val="nb-NO" w:eastAsia="nb-NO"/>
    </w:rPr>
  </w:style>
  <w:style w:type="paragraph" w:styleId="NormalWeb">
    <w:name w:val="Normal (Web)"/>
    <w:basedOn w:val="Normal"/>
    <w:uiPriority w:val="99"/>
    <w:unhideWhenUsed/>
    <w:rsid w:val="005E5F56"/>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5E5F56"/>
    <w:rPr>
      <w:b/>
      <w:bCs/>
    </w:rPr>
  </w:style>
  <w:style w:type="character" w:styleId="UnresolvedMention">
    <w:name w:val="Unresolved Mention"/>
    <w:basedOn w:val="DefaultParagraphFont"/>
    <w:uiPriority w:val="99"/>
    <w:semiHidden/>
    <w:unhideWhenUsed/>
    <w:rsid w:val="006723FB"/>
    <w:rPr>
      <w:color w:val="605E5C"/>
      <w:shd w:val="clear" w:color="auto" w:fill="E1DFDD"/>
    </w:rPr>
  </w:style>
  <w:style w:type="paragraph" w:styleId="ListParagraph">
    <w:name w:val="List Paragraph"/>
    <w:basedOn w:val="Normal"/>
    <w:uiPriority w:val="34"/>
    <w:qFormat/>
    <w:rsid w:val="0076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5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3d043a-0897-42b7-9ce2-760a5bb43e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CB1437C3174D863BF20E52F917BD" ma:contentTypeVersion="12" ma:contentTypeDescription="Create a new document." ma:contentTypeScope="" ma:versionID="28af8b4fc58f27245c44a01e34ad16bc">
  <xsd:schema xmlns:xsd="http://www.w3.org/2001/XMLSchema" xmlns:xs="http://www.w3.org/2001/XMLSchema" xmlns:p="http://schemas.microsoft.com/office/2006/metadata/properties" xmlns:ns2="843d043a-0897-42b7-9ce2-760a5bb43edc" xmlns:ns3="c41cdeea-45a5-4749-a343-33f03ae21e00" targetNamespace="http://schemas.microsoft.com/office/2006/metadata/properties" ma:root="true" ma:fieldsID="361f42400333d8ae24815d61caa90701" ns2:_="" ns3:_="">
    <xsd:import namespace="843d043a-0897-42b7-9ce2-760a5bb43edc"/>
    <xsd:import namespace="c41cdeea-45a5-4749-a343-33f03ae21e00"/>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d043a-0897-42b7-9ce2-760a5bb43e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6972e4-b6ef-4b82-b6ac-1688746579f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cdeea-45a5-4749-a343-33f03ae21e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FF3B-695F-4F1F-8F7F-FE9E7202BA2D}">
  <ds:schemaRefs>
    <ds:schemaRef ds:uri="http://schemas.microsoft.com/office/2006/metadata/properties"/>
    <ds:schemaRef ds:uri="http://schemas.microsoft.com/office/infopath/2007/PartnerControls"/>
    <ds:schemaRef ds:uri="843d043a-0897-42b7-9ce2-760a5bb43edc"/>
  </ds:schemaRefs>
</ds:datastoreItem>
</file>

<file path=customXml/itemProps2.xml><?xml version="1.0" encoding="utf-8"?>
<ds:datastoreItem xmlns:ds="http://schemas.openxmlformats.org/officeDocument/2006/customXml" ds:itemID="{BCAB4C31-A007-4F16-AF0F-D0C50C0BEB5F}">
  <ds:schemaRefs>
    <ds:schemaRef ds:uri="http://schemas.microsoft.com/sharepoint/v3/contenttype/forms"/>
  </ds:schemaRefs>
</ds:datastoreItem>
</file>

<file path=customXml/itemProps3.xml><?xml version="1.0" encoding="utf-8"?>
<ds:datastoreItem xmlns:ds="http://schemas.openxmlformats.org/officeDocument/2006/customXml" ds:itemID="{D6262954-E83B-4E35-980E-B0C9FD1EC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d043a-0897-42b7-9ce2-760a5bb43edc"/>
    <ds:schemaRef ds:uri="c41cdeea-45a5-4749-a343-33f03ae21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B021E-5C67-4890-8062-63345302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9</Pages>
  <Words>4221</Words>
  <Characters>24060</Characters>
  <Application>Microsoft Office Word</Application>
  <DocSecurity>0</DocSecurity>
  <Lines>200</Lines>
  <Paragraphs>56</Paragraphs>
  <ScaleCrop>false</ScaleCrop>
  <Company>aaaa</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23</cp:revision>
  <cp:lastPrinted>1999-07-06T11:00:00Z</cp:lastPrinted>
  <dcterms:created xsi:type="dcterms:W3CDTF">2025-02-24T05:44:00Z</dcterms:created>
  <dcterms:modified xsi:type="dcterms:W3CDTF">2025-03-11T06:02:00Z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e8c38ec3bedca7d765c2982eb7b7f80f1a5283907613e39f51b667f84d8bfcac</vt:lpwstr>
  </property>
  <property fmtid="{D5CDD505-2E9C-101B-9397-08002B2CF9AE}" pid="3" name="ContentTypeId">
    <vt:lpwstr>0x010100EB47CB1437C3174D863BF20E52F917BD</vt:lpwstr>
  </property>
  <property fmtid="{D5CDD505-2E9C-101B-9397-08002B2CF9AE}" pid="4" name="MediaServiceImageTags">
    <vt:lpwstr/>
  </property>
</Properties>
</file>