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4E9B" w14:textId="77777777" w:rsidR="00754C9A" w:rsidRPr="001772DB" w:rsidRDefault="00754C9A" w:rsidP="00441B6F">
      <w:pPr>
        <w:pStyle w:val="Title"/>
        <w:spacing w:after="0"/>
        <w:jc w:val="both"/>
        <w:rPr>
          <w:rFonts w:ascii="Arial" w:hAnsi="Arial" w:cs="Arial"/>
          <w:lang w:val="en-GB"/>
        </w:rPr>
      </w:pPr>
    </w:p>
    <w:p w14:paraId="344F2A6A" w14:textId="48C3C878" w:rsidR="00C06B9D" w:rsidRPr="00C06B9D" w:rsidRDefault="00C06B9D" w:rsidP="00C06B9D">
      <w:pPr>
        <w:pStyle w:val="Author"/>
        <w:spacing w:line="240" w:lineRule="auto"/>
        <w:rPr>
          <w:rFonts w:ascii="Arial" w:hAnsi="Arial" w:cs="Arial"/>
          <w:bCs/>
          <w:iCs/>
          <w:kern w:val="28"/>
          <w:sz w:val="36"/>
          <w:lang w:val="en-GB"/>
        </w:rPr>
      </w:pPr>
      <w:bookmarkStart w:id="0" w:name="_Hlk183422952"/>
      <w:bookmarkStart w:id="1" w:name="_Hlk192712563"/>
      <w:bookmarkEnd w:id="0"/>
      <w:r w:rsidRPr="00C06B9D">
        <w:rPr>
          <w:rFonts w:ascii="Arial" w:hAnsi="Arial" w:cs="Arial"/>
          <w:bCs/>
          <w:iCs/>
          <w:kern w:val="28"/>
          <w:sz w:val="36"/>
          <w:lang w:val="en-GB"/>
        </w:rPr>
        <w:t xml:space="preserve">Anticonvulsant and </w:t>
      </w:r>
      <w:r w:rsidR="002E1B63">
        <w:rPr>
          <w:rFonts w:ascii="Arial" w:hAnsi="Arial" w:cs="Arial"/>
          <w:bCs/>
          <w:iCs/>
          <w:kern w:val="28"/>
          <w:sz w:val="36"/>
          <w:lang w:val="en-GB"/>
        </w:rPr>
        <w:t>A</w:t>
      </w:r>
      <w:r w:rsidRPr="00C06B9D">
        <w:rPr>
          <w:rFonts w:ascii="Arial" w:hAnsi="Arial" w:cs="Arial"/>
          <w:bCs/>
          <w:iCs/>
          <w:kern w:val="28"/>
          <w:sz w:val="36"/>
          <w:lang w:val="en-GB"/>
        </w:rPr>
        <w:t>nti</w:t>
      </w:r>
      <w:r w:rsidRPr="001772DB">
        <w:rPr>
          <w:rFonts w:ascii="Arial" w:hAnsi="Arial" w:cs="Arial"/>
          <w:bCs/>
          <w:iCs/>
          <w:kern w:val="28"/>
          <w:sz w:val="36"/>
          <w:lang w:val="en-GB"/>
        </w:rPr>
        <w:t>-</w:t>
      </w:r>
      <w:r w:rsidRPr="00C06B9D">
        <w:rPr>
          <w:rFonts w:ascii="Arial" w:hAnsi="Arial" w:cs="Arial"/>
          <w:bCs/>
          <w:iCs/>
          <w:kern w:val="28"/>
          <w:sz w:val="36"/>
          <w:lang w:val="en-GB"/>
        </w:rPr>
        <w:t xml:space="preserve">amnesic </w:t>
      </w:r>
      <w:r w:rsidR="002E1B63">
        <w:rPr>
          <w:rFonts w:ascii="Arial" w:hAnsi="Arial" w:cs="Arial"/>
          <w:bCs/>
          <w:iCs/>
          <w:kern w:val="28"/>
          <w:sz w:val="36"/>
          <w:lang w:val="en-GB"/>
        </w:rPr>
        <w:t>E</w:t>
      </w:r>
      <w:r w:rsidRPr="00C06B9D">
        <w:rPr>
          <w:rFonts w:ascii="Arial" w:hAnsi="Arial" w:cs="Arial"/>
          <w:bCs/>
          <w:iCs/>
          <w:kern w:val="28"/>
          <w:sz w:val="36"/>
          <w:lang w:val="en-GB"/>
        </w:rPr>
        <w:t>ffects of</w:t>
      </w:r>
      <w:r w:rsidRPr="001772DB">
        <w:rPr>
          <w:rFonts w:ascii="Arial" w:hAnsi="Arial" w:cs="Arial"/>
          <w:bCs/>
          <w:iCs/>
          <w:kern w:val="28"/>
          <w:sz w:val="36"/>
          <w:lang w:val="en-GB"/>
        </w:rPr>
        <w:t xml:space="preserve"> an </w:t>
      </w:r>
      <w:r w:rsidR="002E1B63">
        <w:rPr>
          <w:rFonts w:ascii="Arial" w:hAnsi="Arial" w:cs="Arial"/>
          <w:bCs/>
          <w:iCs/>
          <w:kern w:val="28"/>
          <w:sz w:val="36"/>
          <w:lang w:val="en-GB"/>
        </w:rPr>
        <w:t>A</w:t>
      </w:r>
      <w:r w:rsidRPr="001772DB">
        <w:rPr>
          <w:rFonts w:ascii="Arial" w:hAnsi="Arial" w:cs="Arial"/>
          <w:bCs/>
          <w:iCs/>
          <w:kern w:val="28"/>
          <w:sz w:val="36"/>
          <w:lang w:val="en-GB"/>
        </w:rPr>
        <w:t xml:space="preserve">queous </w:t>
      </w:r>
      <w:r w:rsidR="002E1B63">
        <w:rPr>
          <w:rFonts w:ascii="Arial" w:hAnsi="Arial" w:cs="Arial"/>
          <w:bCs/>
          <w:iCs/>
          <w:kern w:val="28"/>
          <w:sz w:val="36"/>
          <w:lang w:val="en-GB"/>
        </w:rPr>
        <w:t>E</w:t>
      </w:r>
      <w:r w:rsidRPr="001772DB">
        <w:rPr>
          <w:rFonts w:ascii="Arial" w:hAnsi="Arial" w:cs="Arial"/>
          <w:bCs/>
          <w:iCs/>
          <w:kern w:val="28"/>
          <w:sz w:val="36"/>
          <w:lang w:val="en-GB"/>
        </w:rPr>
        <w:t>xtract of</w:t>
      </w:r>
      <w:r w:rsidRPr="00C06B9D">
        <w:rPr>
          <w:rFonts w:ascii="Arial" w:hAnsi="Arial" w:cs="Arial"/>
          <w:bCs/>
          <w:iCs/>
          <w:kern w:val="28"/>
          <w:sz w:val="36"/>
          <w:lang w:val="en-GB"/>
        </w:rPr>
        <w:t xml:space="preserve"> </w:t>
      </w:r>
      <w:proofErr w:type="spellStart"/>
      <w:r w:rsidRPr="00C06B9D">
        <w:rPr>
          <w:rFonts w:ascii="Arial" w:hAnsi="Arial" w:cs="Arial"/>
          <w:bCs/>
          <w:i/>
          <w:kern w:val="28"/>
          <w:sz w:val="36"/>
          <w:lang w:val="en-GB"/>
        </w:rPr>
        <w:t>Crassoceph</w:t>
      </w:r>
      <w:r w:rsidR="00CC55DB">
        <w:rPr>
          <w:rFonts w:ascii="Arial" w:hAnsi="Arial" w:cs="Arial"/>
          <w:bCs/>
          <w:i/>
          <w:kern w:val="28"/>
          <w:sz w:val="36"/>
          <w:lang w:val="en-GB"/>
        </w:rPr>
        <w:t>al</w:t>
      </w:r>
      <w:r w:rsidRPr="00C06B9D">
        <w:rPr>
          <w:rFonts w:ascii="Arial" w:hAnsi="Arial" w:cs="Arial"/>
          <w:bCs/>
          <w:i/>
          <w:kern w:val="28"/>
          <w:sz w:val="36"/>
          <w:lang w:val="en-GB"/>
        </w:rPr>
        <w:t>um</w:t>
      </w:r>
      <w:proofErr w:type="spellEnd"/>
      <w:r w:rsidRPr="00C06B9D">
        <w:rPr>
          <w:rFonts w:ascii="Arial" w:hAnsi="Arial" w:cs="Arial"/>
          <w:bCs/>
          <w:i/>
          <w:kern w:val="28"/>
          <w:sz w:val="36"/>
          <w:lang w:val="en-GB"/>
        </w:rPr>
        <w:t xml:space="preserve"> </w:t>
      </w:r>
      <w:proofErr w:type="spellStart"/>
      <w:r w:rsidRPr="00C06B9D">
        <w:rPr>
          <w:rFonts w:ascii="Arial" w:hAnsi="Arial" w:cs="Arial"/>
          <w:bCs/>
          <w:i/>
          <w:kern w:val="28"/>
          <w:sz w:val="36"/>
          <w:lang w:val="en-GB"/>
        </w:rPr>
        <w:t>bauchiense</w:t>
      </w:r>
      <w:proofErr w:type="spellEnd"/>
      <w:r w:rsidRPr="001772DB">
        <w:rPr>
          <w:rFonts w:ascii="Arial" w:hAnsi="Arial" w:cs="Arial"/>
          <w:bCs/>
          <w:iCs/>
          <w:kern w:val="28"/>
          <w:sz w:val="36"/>
          <w:lang w:val="en-GB"/>
        </w:rPr>
        <w:t xml:space="preserve"> (Hutch.) Milne-</w:t>
      </w:r>
      <w:proofErr w:type="spellStart"/>
      <w:r w:rsidRPr="001772DB">
        <w:rPr>
          <w:rFonts w:ascii="Arial" w:hAnsi="Arial" w:cs="Arial"/>
          <w:bCs/>
          <w:iCs/>
          <w:kern w:val="28"/>
          <w:sz w:val="36"/>
          <w:lang w:val="en-GB"/>
        </w:rPr>
        <w:t>Redh</w:t>
      </w:r>
      <w:proofErr w:type="spellEnd"/>
      <w:r w:rsidRPr="001772DB">
        <w:rPr>
          <w:rFonts w:ascii="Arial" w:hAnsi="Arial" w:cs="Arial"/>
          <w:bCs/>
          <w:iCs/>
          <w:kern w:val="28"/>
          <w:sz w:val="36"/>
          <w:lang w:val="en-GB"/>
        </w:rPr>
        <w:t>.</w:t>
      </w:r>
      <w:r w:rsidRPr="00C06B9D">
        <w:rPr>
          <w:rFonts w:ascii="Arial" w:hAnsi="Arial" w:cs="Arial"/>
          <w:bCs/>
          <w:iCs/>
          <w:kern w:val="28"/>
          <w:sz w:val="36"/>
          <w:lang w:val="en-GB"/>
        </w:rPr>
        <w:t xml:space="preserve"> </w:t>
      </w:r>
      <w:r w:rsidRPr="001772DB">
        <w:rPr>
          <w:rFonts w:ascii="Arial" w:hAnsi="Arial" w:cs="Arial"/>
          <w:bCs/>
          <w:iCs/>
          <w:kern w:val="28"/>
          <w:sz w:val="36"/>
          <w:lang w:val="en-GB"/>
        </w:rPr>
        <w:t>(Asteraceae)</w:t>
      </w:r>
      <w:r w:rsidRPr="00C06B9D">
        <w:rPr>
          <w:rFonts w:ascii="Arial" w:hAnsi="Arial" w:cs="Arial"/>
          <w:bCs/>
          <w:iCs/>
          <w:kern w:val="28"/>
          <w:sz w:val="36"/>
          <w:lang w:val="en-GB"/>
        </w:rPr>
        <w:t xml:space="preserve"> in </w:t>
      </w:r>
      <w:r w:rsidR="002E1B63">
        <w:rPr>
          <w:rFonts w:ascii="Arial" w:hAnsi="Arial" w:cs="Arial"/>
          <w:bCs/>
          <w:iCs/>
          <w:kern w:val="28"/>
          <w:sz w:val="36"/>
          <w:lang w:val="en-GB"/>
        </w:rPr>
        <w:t>M</w:t>
      </w:r>
      <w:r w:rsidRPr="001772DB">
        <w:rPr>
          <w:rFonts w:ascii="Arial" w:hAnsi="Arial" w:cs="Arial"/>
          <w:bCs/>
          <w:iCs/>
          <w:kern w:val="28"/>
          <w:sz w:val="36"/>
          <w:lang w:val="en-GB"/>
        </w:rPr>
        <w:t>ice</w:t>
      </w:r>
      <w:r w:rsidRPr="00C06B9D">
        <w:rPr>
          <w:rFonts w:ascii="Arial" w:hAnsi="Arial" w:cs="Arial"/>
          <w:bCs/>
          <w:iCs/>
          <w:kern w:val="28"/>
          <w:sz w:val="36"/>
          <w:lang w:val="en-GB"/>
        </w:rPr>
        <w:t xml:space="preserve"> </w:t>
      </w:r>
      <w:r w:rsidR="002E1B63">
        <w:rPr>
          <w:rFonts w:ascii="Arial" w:hAnsi="Arial" w:cs="Arial"/>
          <w:bCs/>
          <w:iCs/>
          <w:kern w:val="28"/>
          <w:sz w:val="36"/>
          <w:lang w:val="en-GB"/>
        </w:rPr>
        <w:t>Pilocarpine M</w:t>
      </w:r>
      <w:r w:rsidRPr="00C06B9D">
        <w:rPr>
          <w:rFonts w:ascii="Arial" w:hAnsi="Arial" w:cs="Arial"/>
          <w:bCs/>
          <w:iCs/>
          <w:kern w:val="28"/>
          <w:sz w:val="36"/>
          <w:lang w:val="en-GB"/>
        </w:rPr>
        <w:t xml:space="preserve">odel of </w:t>
      </w:r>
      <w:r w:rsidR="002E1B63">
        <w:rPr>
          <w:rFonts w:ascii="Arial" w:hAnsi="Arial" w:cs="Arial"/>
          <w:bCs/>
          <w:iCs/>
          <w:kern w:val="28"/>
          <w:sz w:val="36"/>
          <w:lang w:val="en-GB"/>
        </w:rPr>
        <w:t>T</w:t>
      </w:r>
      <w:r w:rsidRPr="00C06B9D">
        <w:rPr>
          <w:rFonts w:ascii="Arial" w:hAnsi="Arial" w:cs="Arial"/>
          <w:bCs/>
          <w:iCs/>
          <w:kern w:val="28"/>
          <w:sz w:val="36"/>
          <w:lang w:val="en-GB"/>
        </w:rPr>
        <w:t>empor</w:t>
      </w:r>
      <w:r w:rsidR="00CC55DB">
        <w:rPr>
          <w:rFonts w:ascii="Arial" w:hAnsi="Arial" w:cs="Arial"/>
          <w:bCs/>
          <w:iCs/>
          <w:kern w:val="28"/>
          <w:sz w:val="36"/>
          <w:lang w:val="en-GB"/>
        </w:rPr>
        <w:t>al</w:t>
      </w:r>
      <w:r w:rsidRPr="00C06B9D">
        <w:rPr>
          <w:rFonts w:ascii="Arial" w:hAnsi="Arial" w:cs="Arial"/>
          <w:bCs/>
          <w:iCs/>
          <w:kern w:val="28"/>
          <w:sz w:val="36"/>
          <w:lang w:val="en-GB"/>
        </w:rPr>
        <w:t xml:space="preserve"> </w:t>
      </w:r>
      <w:r w:rsidR="002E1B63">
        <w:rPr>
          <w:rFonts w:ascii="Arial" w:hAnsi="Arial" w:cs="Arial"/>
          <w:bCs/>
          <w:iCs/>
          <w:kern w:val="28"/>
          <w:sz w:val="36"/>
          <w:lang w:val="en-GB"/>
        </w:rPr>
        <w:t>L</w:t>
      </w:r>
      <w:r w:rsidRPr="00C06B9D">
        <w:rPr>
          <w:rFonts w:ascii="Arial" w:hAnsi="Arial" w:cs="Arial"/>
          <w:bCs/>
          <w:iCs/>
          <w:kern w:val="28"/>
          <w:sz w:val="36"/>
          <w:lang w:val="en-GB"/>
        </w:rPr>
        <w:t xml:space="preserve">obe </w:t>
      </w:r>
      <w:r w:rsidR="002E1B63">
        <w:rPr>
          <w:rFonts w:ascii="Arial" w:hAnsi="Arial" w:cs="Arial"/>
          <w:bCs/>
          <w:iCs/>
          <w:kern w:val="28"/>
          <w:sz w:val="36"/>
          <w:lang w:val="en-GB"/>
        </w:rPr>
        <w:t>E</w:t>
      </w:r>
      <w:r w:rsidRPr="00C06B9D">
        <w:rPr>
          <w:rFonts w:ascii="Arial" w:hAnsi="Arial" w:cs="Arial"/>
          <w:bCs/>
          <w:iCs/>
          <w:kern w:val="28"/>
          <w:sz w:val="36"/>
          <w:lang w:val="en-GB"/>
        </w:rPr>
        <w:t>pilepsy</w:t>
      </w:r>
    </w:p>
    <w:bookmarkEnd w:id="1"/>
    <w:p w14:paraId="119D7710" w14:textId="77777777" w:rsidR="00E2238B" w:rsidRPr="001772DB" w:rsidRDefault="00231920" w:rsidP="00E2238B">
      <w:pPr>
        <w:pStyle w:val="Author"/>
        <w:spacing w:line="240" w:lineRule="auto"/>
        <w:rPr>
          <w:rFonts w:ascii="Arial" w:hAnsi="Arial" w:cs="Arial"/>
          <w:bCs/>
          <w:iCs/>
          <w:kern w:val="28"/>
          <w:sz w:val="36"/>
          <w:lang w:val="en-GB"/>
        </w:rPr>
      </w:pPr>
      <w:r w:rsidRPr="001772DB">
        <w:rPr>
          <w:rFonts w:ascii="Arial" w:hAnsi="Arial" w:cs="Arial"/>
          <w:bCs/>
          <w:iCs/>
          <w:kern w:val="28"/>
          <w:sz w:val="36"/>
          <w:lang w:val="en-GB"/>
        </w:rPr>
        <w:t xml:space="preserve"> </w:t>
      </w:r>
    </w:p>
    <w:p w14:paraId="1A42E22B" w14:textId="6830E0A9" w:rsidR="002C57D2" w:rsidRDefault="002C57D2" w:rsidP="00441B6F">
      <w:pPr>
        <w:pStyle w:val="Affiliation"/>
        <w:spacing w:after="0" w:line="240" w:lineRule="auto"/>
        <w:jc w:val="both"/>
        <w:rPr>
          <w:rFonts w:ascii="Arial" w:hAnsi="Arial" w:cs="Arial"/>
          <w:lang w:val="en-GB"/>
        </w:rPr>
      </w:pPr>
    </w:p>
    <w:p w14:paraId="3627A729" w14:textId="77777777" w:rsidR="00010DA0" w:rsidRPr="001772DB" w:rsidRDefault="00010DA0" w:rsidP="00441B6F">
      <w:pPr>
        <w:pStyle w:val="Affiliation"/>
        <w:spacing w:after="0" w:line="240" w:lineRule="auto"/>
        <w:jc w:val="both"/>
        <w:rPr>
          <w:rFonts w:ascii="Arial" w:hAnsi="Arial" w:cs="Arial"/>
          <w:lang w:val="en-GB"/>
        </w:rPr>
      </w:pPr>
    </w:p>
    <w:p w14:paraId="12EB4C83" w14:textId="1BF968F3" w:rsidR="00B01FCD" w:rsidRPr="001772DB" w:rsidRDefault="003826EE" w:rsidP="00441B6F">
      <w:pPr>
        <w:pStyle w:val="Copyright"/>
        <w:spacing w:after="0" w:line="240" w:lineRule="auto"/>
        <w:jc w:val="both"/>
        <w:rPr>
          <w:rFonts w:ascii="Arial" w:hAnsi="Arial" w:cs="Arial"/>
          <w:lang w:val="en-GB"/>
        </w:rPr>
        <w:sectPr w:rsidR="00B01FCD" w:rsidRPr="001772DB" w:rsidSect="00010DA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4367569" wp14:editId="596F400F">
                <wp:extent cx="5303520" cy="635"/>
                <wp:effectExtent l="11430" t="11430" r="9525" b="17145"/>
                <wp:docPr id="51634233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155714"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772DB">
        <w:rPr>
          <w:rFonts w:ascii="Arial" w:hAnsi="Arial" w:cs="Arial"/>
          <w:lang w:val="en-GB"/>
        </w:rPr>
        <w:t>.</w:t>
      </w:r>
    </w:p>
    <w:p w14:paraId="67E2FC9A" w14:textId="24219B96" w:rsidR="00B01FCD" w:rsidRPr="001772DB" w:rsidRDefault="00B01FCD" w:rsidP="00441B6F">
      <w:pPr>
        <w:pStyle w:val="AbstHead"/>
        <w:spacing w:after="0"/>
        <w:jc w:val="both"/>
        <w:rPr>
          <w:rFonts w:ascii="Arial" w:hAnsi="Arial" w:cs="Arial"/>
          <w:lang w:val="en-GB"/>
        </w:rPr>
      </w:pPr>
      <w:r w:rsidRPr="001772DB">
        <w:rPr>
          <w:rFonts w:ascii="Arial" w:hAnsi="Arial" w:cs="Arial"/>
          <w:lang w:val="en-GB"/>
        </w:rPr>
        <w:t>ABSTRACT</w:t>
      </w:r>
    </w:p>
    <w:p w14:paraId="0A0196EF" w14:textId="77777777" w:rsidR="00790ADA" w:rsidRPr="001772DB" w:rsidRDefault="00790ADA" w:rsidP="00441B6F">
      <w:pPr>
        <w:pStyle w:val="AbstHead"/>
        <w:spacing w:after="0"/>
        <w:jc w:val="both"/>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772DB" w14:paraId="7A9008E4" w14:textId="77777777" w:rsidTr="001E44FE">
        <w:tc>
          <w:tcPr>
            <w:tcW w:w="9576" w:type="dxa"/>
            <w:shd w:val="clear" w:color="auto" w:fill="F2F2F2"/>
          </w:tcPr>
          <w:p w14:paraId="10752EC6" w14:textId="799BC63F" w:rsidR="00505F06" w:rsidRPr="001772DB" w:rsidRDefault="009059DF" w:rsidP="00441B6F">
            <w:pPr>
              <w:pStyle w:val="Body"/>
              <w:spacing w:after="0"/>
              <w:rPr>
                <w:rFonts w:ascii="Arial" w:eastAsia="Calibri" w:hAnsi="Arial" w:cs="Arial"/>
                <w:bCs/>
                <w:szCs w:val="22"/>
                <w:lang w:val="en-GB"/>
              </w:rPr>
            </w:pPr>
            <w:r w:rsidRPr="009059DF">
              <w:rPr>
                <w:rFonts w:ascii="Arial" w:eastAsia="Calibri" w:hAnsi="Arial" w:cs="Arial"/>
                <w:bCs/>
                <w:szCs w:val="22"/>
                <w:lang w:val="en-GB"/>
              </w:rPr>
              <w:t xml:space="preserve">This study aimed to investigate the anticonvulsant and anti-amnesic effects of </w:t>
            </w:r>
            <w:proofErr w:type="spellStart"/>
            <w:r w:rsidRPr="009059DF">
              <w:rPr>
                <w:rFonts w:ascii="Arial" w:eastAsia="Calibri" w:hAnsi="Arial" w:cs="Arial"/>
                <w:bCs/>
                <w:i/>
                <w:iCs/>
                <w:szCs w:val="22"/>
                <w:lang w:val="en-GB"/>
              </w:rPr>
              <w:t>Crassoceph</w:t>
            </w:r>
            <w:r w:rsidR="00CC55DB">
              <w:rPr>
                <w:rFonts w:ascii="Arial" w:eastAsia="Calibri" w:hAnsi="Arial" w:cs="Arial"/>
                <w:bCs/>
                <w:i/>
                <w:iCs/>
                <w:szCs w:val="22"/>
                <w:lang w:val="en-GB"/>
              </w:rPr>
              <w:t>al</w:t>
            </w:r>
            <w:r w:rsidRPr="009059DF">
              <w:rPr>
                <w:rFonts w:ascii="Arial" w:eastAsia="Calibri" w:hAnsi="Arial" w:cs="Arial"/>
                <w:bCs/>
                <w:i/>
                <w:iCs/>
                <w:szCs w:val="22"/>
                <w:lang w:val="en-GB"/>
              </w:rPr>
              <w:t>um</w:t>
            </w:r>
            <w:proofErr w:type="spellEnd"/>
            <w:r w:rsidRPr="009059DF">
              <w:rPr>
                <w:rFonts w:ascii="Arial" w:eastAsia="Calibri" w:hAnsi="Arial" w:cs="Arial"/>
                <w:bCs/>
                <w:i/>
                <w:iCs/>
                <w:szCs w:val="22"/>
                <w:lang w:val="en-GB"/>
              </w:rPr>
              <w:t xml:space="preserve"> </w:t>
            </w:r>
            <w:proofErr w:type="spellStart"/>
            <w:r w:rsidRPr="009059DF">
              <w:rPr>
                <w:rFonts w:ascii="Arial" w:eastAsia="Calibri" w:hAnsi="Arial" w:cs="Arial"/>
                <w:bCs/>
                <w:i/>
                <w:iCs/>
                <w:szCs w:val="22"/>
                <w:lang w:val="en-GB"/>
              </w:rPr>
              <w:t>bauchiense</w:t>
            </w:r>
            <w:proofErr w:type="spellEnd"/>
            <w:r w:rsidRPr="009059DF">
              <w:rPr>
                <w:rFonts w:ascii="Arial" w:eastAsia="Calibri" w:hAnsi="Arial" w:cs="Arial"/>
                <w:bCs/>
                <w:szCs w:val="22"/>
                <w:lang w:val="en-GB"/>
              </w:rPr>
              <w:t xml:space="preserve"> </w:t>
            </w:r>
            <w:r w:rsidR="007C04B7">
              <w:rPr>
                <w:rFonts w:ascii="Arial" w:eastAsia="Calibri" w:hAnsi="Arial" w:cs="Arial"/>
                <w:bCs/>
                <w:szCs w:val="22"/>
                <w:lang w:val="en-GB"/>
              </w:rPr>
              <w:t xml:space="preserve">aqueous extract </w:t>
            </w:r>
            <w:r w:rsidRPr="009059DF">
              <w:rPr>
                <w:rFonts w:ascii="Arial" w:eastAsia="Calibri" w:hAnsi="Arial" w:cs="Arial"/>
                <w:bCs/>
                <w:szCs w:val="22"/>
                <w:lang w:val="en-GB"/>
              </w:rPr>
              <w:t>in pilocarpine model of tempor</w:t>
            </w:r>
            <w:r w:rsidR="00CC55DB">
              <w:rPr>
                <w:rFonts w:ascii="Arial" w:eastAsia="Calibri" w:hAnsi="Arial" w:cs="Arial"/>
                <w:bCs/>
                <w:szCs w:val="22"/>
                <w:lang w:val="en-GB"/>
              </w:rPr>
              <w:t>al</w:t>
            </w:r>
            <w:r w:rsidRPr="009059DF">
              <w:rPr>
                <w:rFonts w:ascii="Arial" w:eastAsia="Calibri" w:hAnsi="Arial" w:cs="Arial"/>
                <w:bCs/>
                <w:szCs w:val="22"/>
                <w:lang w:val="en-GB"/>
              </w:rPr>
              <w:t xml:space="preserve"> lobe epilepsy.</w:t>
            </w:r>
            <w:r w:rsidRPr="001772DB">
              <w:rPr>
                <w:rFonts w:ascii="Arial" w:eastAsia="Calibri" w:hAnsi="Arial" w:cs="Arial"/>
                <w:bCs/>
                <w:szCs w:val="22"/>
                <w:lang w:val="en-GB"/>
              </w:rPr>
              <w:t xml:space="preserve"> </w:t>
            </w:r>
            <w:r w:rsidRPr="009059DF">
              <w:rPr>
                <w:rFonts w:ascii="Arial" w:eastAsia="Calibri" w:hAnsi="Arial" w:cs="Arial"/>
                <w:bCs/>
                <w:szCs w:val="22"/>
                <w:lang w:val="en-GB"/>
              </w:rPr>
              <w:t>Mice were treated for seven consecutive days as follows: one norm</w:t>
            </w:r>
            <w:r w:rsidR="00CC55DB">
              <w:rPr>
                <w:rFonts w:ascii="Arial" w:eastAsia="Calibri" w:hAnsi="Arial" w:cs="Arial"/>
                <w:bCs/>
                <w:szCs w:val="22"/>
                <w:lang w:val="en-GB"/>
              </w:rPr>
              <w:t>al</w:t>
            </w:r>
            <w:r w:rsidRPr="009059DF">
              <w:rPr>
                <w:rFonts w:ascii="Arial" w:eastAsia="Calibri" w:hAnsi="Arial" w:cs="Arial"/>
                <w:bCs/>
                <w:szCs w:val="22"/>
                <w:lang w:val="en-GB"/>
              </w:rPr>
              <w:t xml:space="preserve"> group and one negative control group that received or</w:t>
            </w:r>
            <w:r w:rsidR="00CC55DB">
              <w:rPr>
                <w:rFonts w:ascii="Arial" w:eastAsia="Calibri" w:hAnsi="Arial" w:cs="Arial"/>
                <w:bCs/>
                <w:szCs w:val="22"/>
                <w:lang w:val="en-GB"/>
              </w:rPr>
              <w:t>al</w:t>
            </w:r>
            <w:r w:rsidRPr="009059DF">
              <w:rPr>
                <w:rFonts w:ascii="Arial" w:eastAsia="Calibri" w:hAnsi="Arial" w:cs="Arial"/>
                <w:bCs/>
                <w:szCs w:val="22"/>
                <w:lang w:val="en-GB"/>
              </w:rPr>
              <w:t>ly distilled water; four test groups that received or</w:t>
            </w:r>
            <w:r w:rsidR="00CC55DB">
              <w:rPr>
                <w:rFonts w:ascii="Arial" w:eastAsia="Calibri" w:hAnsi="Arial" w:cs="Arial"/>
                <w:bCs/>
                <w:szCs w:val="22"/>
                <w:lang w:val="en-GB"/>
              </w:rPr>
              <w:t>al</w:t>
            </w:r>
            <w:r w:rsidRPr="009059DF">
              <w:rPr>
                <w:rFonts w:ascii="Arial" w:eastAsia="Calibri" w:hAnsi="Arial" w:cs="Arial"/>
                <w:bCs/>
                <w:szCs w:val="22"/>
                <w:lang w:val="en-GB"/>
              </w:rPr>
              <w:t xml:space="preserve">ly four doses of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00556BE0">
              <w:rPr>
                <w:rFonts w:ascii="Arial" w:eastAsia="Calibri" w:hAnsi="Arial" w:cs="Arial"/>
                <w:bCs/>
                <w:szCs w:val="22"/>
                <w:lang w:val="en-GB"/>
              </w:rPr>
              <w:t xml:space="preserve">aqueous </w:t>
            </w:r>
            <w:r w:rsidRPr="009059DF">
              <w:rPr>
                <w:rFonts w:ascii="Arial" w:eastAsia="Calibri" w:hAnsi="Arial" w:cs="Arial"/>
                <w:bCs/>
                <w:szCs w:val="22"/>
                <w:lang w:val="en-GB"/>
              </w:rPr>
              <w:t>extract (28, 70, 140 and 280 mg/kg), respectively; and one positive control group that received intraperitone</w:t>
            </w:r>
            <w:r w:rsidR="00CC55DB">
              <w:rPr>
                <w:rFonts w:ascii="Arial" w:eastAsia="Calibri" w:hAnsi="Arial" w:cs="Arial"/>
                <w:bCs/>
                <w:szCs w:val="22"/>
                <w:lang w:val="en-GB"/>
              </w:rPr>
              <w:t>al</w:t>
            </w:r>
            <w:r w:rsidRPr="009059DF">
              <w:rPr>
                <w:rFonts w:ascii="Arial" w:eastAsia="Calibri" w:hAnsi="Arial" w:cs="Arial"/>
                <w:bCs/>
                <w:szCs w:val="22"/>
                <w:lang w:val="en-GB"/>
              </w:rPr>
              <w:t>ly 300 mg/kg sodium v</w:t>
            </w:r>
            <w:r w:rsidR="00CC55DB">
              <w:rPr>
                <w:rFonts w:ascii="Arial" w:eastAsia="Calibri" w:hAnsi="Arial" w:cs="Arial"/>
                <w:bCs/>
                <w:szCs w:val="22"/>
                <w:lang w:val="en-GB"/>
              </w:rPr>
              <w:t>al</w:t>
            </w:r>
            <w:r w:rsidRPr="009059DF">
              <w:rPr>
                <w:rFonts w:ascii="Arial" w:eastAsia="Calibri" w:hAnsi="Arial" w:cs="Arial"/>
                <w:bCs/>
                <w:szCs w:val="22"/>
                <w:lang w:val="en-GB"/>
              </w:rPr>
              <w:t xml:space="preserve">proate. One hour after the first treatment (first day), </w:t>
            </w:r>
            <w:r w:rsidRPr="009059DF">
              <w:rPr>
                <w:rFonts w:ascii="Arial" w:eastAsia="Calibri" w:hAnsi="Arial" w:cs="Arial"/>
                <w:bCs/>
                <w:i/>
                <w:iCs/>
                <w:szCs w:val="22"/>
                <w:lang w:val="en-GB"/>
              </w:rPr>
              <w:t>status epilepticus</w:t>
            </w:r>
            <w:r w:rsidRPr="009059DF">
              <w:rPr>
                <w:rFonts w:ascii="Arial" w:eastAsia="Calibri" w:hAnsi="Arial" w:cs="Arial"/>
                <w:bCs/>
                <w:szCs w:val="22"/>
                <w:lang w:val="en-GB"/>
              </w:rPr>
              <w:t xml:space="preserve"> was induced by intraperitone</w:t>
            </w:r>
            <w:r w:rsidR="00CC55DB">
              <w:rPr>
                <w:rFonts w:ascii="Arial" w:eastAsia="Calibri" w:hAnsi="Arial" w:cs="Arial"/>
                <w:bCs/>
                <w:szCs w:val="22"/>
                <w:lang w:val="en-GB"/>
              </w:rPr>
              <w:t>al</w:t>
            </w:r>
            <w:r w:rsidRPr="009059DF">
              <w:rPr>
                <w:rFonts w:ascii="Arial" w:eastAsia="Calibri" w:hAnsi="Arial" w:cs="Arial"/>
                <w:bCs/>
                <w:szCs w:val="22"/>
                <w:lang w:val="en-GB"/>
              </w:rPr>
              <w:t xml:space="preserve"> injection of a single dose of pilocarpine (360 mg/kg). Twenty-three hours after the injection of pilocarpine to mice, they received once again their different treatments. Sixty minutes later, they were injected with a sub-convulsive dose of picrotoxin (1 mg/kg), and the anticonvulsant property of the extract was determined. On day-seven, T-maze, elevated plus maze and open field tests were performed. Fin</w:t>
            </w:r>
            <w:r w:rsidR="00CC55DB">
              <w:rPr>
                <w:rFonts w:ascii="Arial" w:eastAsia="Calibri" w:hAnsi="Arial" w:cs="Arial"/>
                <w:bCs/>
                <w:szCs w:val="22"/>
                <w:lang w:val="en-GB"/>
              </w:rPr>
              <w:t>al</w:t>
            </w:r>
            <w:r w:rsidRPr="009059DF">
              <w:rPr>
                <w:rFonts w:ascii="Arial" w:eastAsia="Calibri" w:hAnsi="Arial" w:cs="Arial"/>
                <w:bCs/>
                <w:szCs w:val="22"/>
                <w:lang w:val="en-GB"/>
              </w:rPr>
              <w:t xml:space="preserve">ly, mice were sacrificed and the hippocampus were isolated to determine the GABAergic/cholinergic </w:t>
            </w:r>
            <w:proofErr w:type="spellStart"/>
            <w:r w:rsidRPr="009059DF">
              <w:rPr>
                <w:rFonts w:ascii="Arial" w:eastAsia="Calibri" w:hAnsi="Arial" w:cs="Arial"/>
                <w:bCs/>
                <w:szCs w:val="22"/>
                <w:lang w:val="en-GB"/>
              </w:rPr>
              <w:t>sign</w:t>
            </w:r>
            <w:r w:rsidR="00CC55DB">
              <w:rPr>
                <w:rFonts w:ascii="Arial" w:eastAsia="Calibri" w:hAnsi="Arial" w:cs="Arial"/>
                <w:bCs/>
                <w:szCs w:val="22"/>
                <w:lang w:val="en-GB"/>
              </w:rPr>
              <w:t>al</w:t>
            </w:r>
            <w:r w:rsidRPr="009059DF">
              <w:rPr>
                <w:rFonts w:ascii="Arial" w:eastAsia="Calibri" w:hAnsi="Arial" w:cs="Arial"/>
                <w:bCs/>
                <w:szCs w:val="22"/>
                <w:lang w:val="en-GB"/>
              </w:rPr>
              <w:t>ing</w:t>
            </w:r>
            <w:proofErr w:type="spellEnd"/>
            <w:r w:rsidRPr="009059DF">
              <w:rPr>
                <w:rFonts w:ascii="Arial" w:eastAsia="Calibri" w:hAnsi="Arial" w:cs="Arial"/>
                <w:bCs/>
                <w:szCs w:val="22"/>
                <w:lang w:val="en-GB"/>
              </w:rPr>
              <w:t xml:space="preserve"> in the brain of mice</w:t>
            </w:r>
            <w:r w:rsidRPr="001772DB">
              <w:rPr>
                <w:rFonts w:ascii="Arial" w:eastAsia="Calibri" w:hAnsi="Arial" w:cs="Arial"/>
                <w:bCs/>
                <w:szCs w:val="22"/>
                <w:lang w:val="en-GB"/>
              </w:rPr>
              <w:t xml:space="preserve">. </w:t>
            </w:r>
            <w:r w:rsidRPr="009059DF">
              <w:rPr>
                <w:rFonts w:ascii="Arial" w:eastAsia="Calibri" w:hAnsi="Arial" w:cs="Arial"/>
                <w:bCs/>
                <w:szCs w:val="22"/>
                <w:lang w:val="en-GB"/>
              </w:rPr>
              <w:t xml:space="preserve">The aqueous extract of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increased significantly the latency time of the onset of the tonic and </w:t>
            </w:r>
            <w:proofErr w:type="spellStart"/>
            <w:r w:rsidRPr="009059DF">
              <w:rPr>
                <w:rFonts w:ascii="Arial" w:eastAsia="Calibri" w:hAnsi="Arial" w:cs="Arial"/>
                <w:bCs/>
                <w:szCs w:val="22"/>
                <w:lang w:val="en-GB"/>
              </w:rPr>
              <w:t>clonic</w:t>
            </w:r>
            <w:proofErr w:type="spellEnd"/>
            <w:r w:rsidRPr="009059DF">
              <w:rPr>
                <w:rFonts w:ascii="Arial" w:eastAsia="Calibri" w:hAnsi="Arial" w:cs="Arial"/>
                <w:bCs/>
                <w:szCs w:val="22"/>
                <w:lang w:val="en-GB"/>
              </w:rPr>
              <w:t xml:space="preserve"> seizures, decreased the number and duration of seizures.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extracts (280 mg/kg) significantly increased the latency time to </w:t>
            </w:r>
            <w:r w:rsidRPr="009059DF">
              <w:rPr>
                <w:rFonts w:ascii="Arial" w:eastAsia="Calibri" w:hAnsi="Arial" w:cs="Arial"/>
                <w:bCs/>
                <w:i/>
                <w:iCs/>
                <w:szCs w:val="22"/>
                <w:lang w:val="en-GB"/>
              </w:rPr>
              <w:t>status epilepticus</w:t>
            </w:r>
            <w:r w:rsidRPr="009059DF">
              <w:rPr>
                <w:rFonts w:ascii="Arial" w:eastAsia="Calibri" w:hAnsi="Arial" w:cs="Arial"/>
                <w:bCs/>
                <w:szCs w:val="22"/>
                <w:lang w:val="en-GB"/>
              </w:rPr>
              <w:t xml:space="preserve"> and strongly prevented the convulsions. Its significantly decreased the number of </w:t>
            </w:r>
            <w:proofErr w:type="spellStart"/>
            <w:r w:rsidRPr="009059DF">
              <w:rPr>
                <w:rFonts w:ascii="Arial" w:eastAsia="Calibri" w:hAnsi="Arial" w:cs="Arial"/>
                <w:bCs/>
                <w:szCs w:val="22"/>
                <w:lang w:val="en-GB"/>
              </w:rPr>
              <w:t>clonic</w:t>
            </w:r>
            <w:proofErr w:type="spellEnd"/>
            <w:r w:rsidRPr="009059DF">
              <w:rPr>
                <w:rFonts w:ascii="Arial" w:eastAsia="Calibri" w:hAnsi="Arial" w:cs="Arial"/>
                <w:bCs/>
                <w:szCs w:val="22"/>
                <w:lang w:val="en-GB"/>
              </w:rPr>
              <w:t xml:space="preserve"> and tonic seizures, and their duration, respectively.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(140 and 280 mg/kg) </w:t>
            </w:r>
            <w:r w:rsidR="00CC55DB">
              <w:rPr>
                <w:rFonts w:ascii="Arial" w:eastAsia="Calibri" w:hAnsi="Arial" w:cs="Arial"/>
                <w:bCs/>
                <w:szCs w:val="22"/>
                <w:lang w:val="en-GB"/>
              </w:rPr>
              <w:t>al</w:t>
            </w:r>
            <w:r w:rsidRPr="009059DF">
              <w:rPr>
                <w:rFonts w:ascii="Arial" w:eastAsia="Calibri" w:hAnsi="Arial" w:cs="Arial"/>
                <w:bCs/>
                <w:szCs w:val="22"/>
                <w:lang w:val="en-GB"/>
              </w:rPr>
              <w:t xml:space="preserve">so prevented </w:t>
            </w:r>
            <w:r w:rsidR="00B76E5C" w:rsidRPr="00B76E5C">
              <w:rPr>
                <w:rFonts w:ascii="Arial" w:eastAsia="Calibri" w:hAnsi="Arial" w:cs="Arial"/>
                <w:bCs/>
                <w:szCs w:val="22"/>
                <w:lang w:val="en-GB"/>
              </w:rPr>
              <w:t>status epilepticus</w:t>
            </w:r>
            <w:r w:rsidR="00B76E5C">
              <w:rPr>
                <w:rFonts w:ascii="Arial" w:eastAsia="Calibri" w:hAnsi="Arial" w:cs="Arial"/>
                <w:bCs/>
                <w:szCs w:val="22"/>
                <w:lang w:val="en-GB"/>
              </w:rPr>
              <w:t xml:space="preserve"> </w:t>
            </w:r>
            <w:r w:rsidRPr="009059DF">
              <w:rPr>
                <w:rFonts w:ascii="Arial" w:eastAsia="Calibri" w:hAnsi="Arial" w:cs="Arial"/>
                <w:bCs/>
                <w:szCs w:val="22"/>
                <w:lang w:val="en-GB"/>
              </w:rPr>
              <w:t xml:space="preserve">induced cognitive impairment in mice. The extract </w:t>
            </w:r>
            <w:r w:rsidR="00CC55DB">
              <w:rPr>
                <w:rFonts w:ascii="Arial" w:eastAsia="Calibri" w:hAnsi="Arial" w:cs="Arial"/>
                <w:bCs/>
                <w:szCs w:val="22"/>
                <w:lang w:val="en-GB"/>
              </w:rPr>
              <w:t>al</w:t>
            </w:r>
            <w:r w:rsidRPr="009059DF">
              <w:rPr>
                <w:rFonts w:ascii="Arial" w:eastAsia="Calibri" w:hAnsi="Arial" w:cs="Arial"/>
                <w:bCs/>
                <w:szCs w:val="22"/>
                <w:lang w:val="en-GB"/>
              </w:rPr>
              <w:t xml:space="preserve">so ameliorated the GABAergic and cholinergic neurotransmission. These results suggested that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extract has anticonvulsant and anti-amnesic effects. The aqueous extract of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ameliorated </w:t>
            </w:r>
            <w:proofErr w:type="spellStart"/>
            <w:r w:rsidRPr="009059DF">
              <w:rPr>
                <w:rFonts w:ascii="Arial" w:eastAsia="Calibri" w:hAnsi="Arial" w:cs="Arial"/>
                <w:bCs/>
                <w:szCs w:val="22"/>
                <w:lang w:val="en-GB"/>
              </w:rPr>
              <w:t>epileptogenesis</w:t>
            </w:r>
            <w:proofErr w:type="spellEnd"/>
            <w:r w:rsidRPr="009059DF">
              <w:rPr>
                <w:rFonts w:ascii="Arial" w:eastAsia="Calibri" w:hAnsi="Arial" w:cs="Arial"/>
                <w:bCs/>
                <w:szCs w:val="22"/>
                <w:lang w:val="en-GB"/>
              </w:rPr>
              <w:t xml:space="preserve"> of tempor</w:t>
            </w:r>
            <w:r w:rsidR="00CC55DB">
              <w:rPr>
                <w:rFonts w:ascii="Arial" w:eastAsia="Calibri" w:hAnsi="Arial" w:cs="Arial"/>
                <w:bCs/>
                <w:szCs w:val="22"/>
                <w:lang w:val="en-GB"/>
              </w:rPr>
              <w:t>al</w:t>
            </w:r>
            <w:r w:rsidRPr="009059DF">
              <w:rPr>
                <w:rFonts w:ascii="Arial" w:eastAsia="Calibri" w:hAnsi="Arial" w:cs="Arial"/>
                <w:bCs/>
                <w:szCs w:val="22"/>
                <w:lang w:val="en-GB"/>
              </w:rPr>
              <w:t xml:space="preserve"> lobe epilepsy and could be used for the treatment of tempor</w:t>
            </w:r>
            <w:r w:rsidR="00CC55DB">
              <w:rPr>
                <w:rFonts w:ascii="Arial" w:eastAsia="Calibri" w:hAnsi="Arial" w:cs="Arial"/>
                <w:bCs/>
                <w:szCs w:val="22"/>
                <w:lang w:val="en-GB"/>
              </w:rPr>
              <w:t>al</w:t>
            </w:r>
            <w:r w:rsidRPr="009059DF">
              <w:rPr>
                <w:rFonts w:ascii="Arial" w:eastAsia="Calibri" w:hAnsi="Arial" w:cs="Arial"/>
                <w:bCs/>
                <w:szCs w:val="22"/>
                <w:lang w:val="en-GB"/>
              </w:rPr>
              <w:t xml:space="preserve"> lobe epilepsy.</w:t>
            </w:r>
          </w:p>
        </w:tc>
      </w:tr>
    </w:tbl>
    <w:p w14:paraId="02B1FE0E" w14:textId="77777777" w:rsidR="00636EB2" w:rsidRPr="001772DB" w:rsidRDefault="00636EB2" w:rsidP="00441B6F">
      <w:pPr>
        <w:pStyle w:val="Body"/>
        <w:spacing w:after="0"/>
        <w:rPr>
          <w:rFonts w:ascii="Arial" w:hAnsi="Arial" w:cs="Arial"/>
          <w:i/>
          <w:lang w:val="en-GB"/>
        </w:rPr>
      </w:pPr>
    </w:p>
    <w:p w14:paraId="016C0FDE" w14:textId="5D159A56" w:rsidR="00A24E7E" w:rsidRPr="001772DB" w:rsidRDefault="00A24E7E" w:rsidP="00441B6F">
      <w:pPr>
        <w:pStyle w:val="Body"/>
        <w:spacing w:after="0"/>
        <w:rPr>
          <w:rFonts w:ascii="Arial" w:hAnsi="Arial" w:cs="Arial"/>
          <w:lang w:val="en-GB"/>
        </w:rPr>
      </w:pPr>
      <w:r w:rsidRPr="001772DB">
        <w:rPr>
          <w:rFonts w:ascii="Arial" w:hAnsi="Arial" w:cs="Arial"/>
          <w:i/>
          <w:lang w:val="en-GB"/>
        </w:rPr>
        <w:t xml:space="preserve">Keywords: </w:t>
      </w:r>
      <w:proofErr w:type="spellStart"/>
      <w:r w:rsidR="008216EA" w:rsidRPr="009059DF">
        <w:rPr>
          <w:rFonts w:ascii="Arial" w:eastAsia="Calibri" w:hAnsi="Arial" w:cs="Arial"/>
          <w:bCs/>
          <w:i/>
          <w:iCs/>
          <w:szCs w:val="22"/>
          <w:lang w:val="en-GB"/>
        </w:rPr>
        <w:t>Crassoceph</w:t>
      </w:r>
      <w:r w:rsidR="00CC55DB">
        <w:rPr>
          <w:rFonts w:ascii="Arial" w:eastAsia="Calibri" w:hAnsi="Arial" w:cs="Arial"/>
          <w:bCs/>
          <w:i/>
          <w:iCs/>
          <w:szCs w:val="22"/>
          <w:lang w:val="en-GB"/>
        </w:rPr>
        <w:t>al</w:t>
      </w:r>
      <w:r w:rsidR="008216EA" w:rsidRPr="009059DF">
        <w:rPr>
          <w:rFonts w:ascii="Arial" w:eastAsia="Calibri" w:hAnsi="Arial" w:cs="Arial"/>
          <w:bCs/>
          <w:i/>
          <w:iCs/>
          <w:szCs w:val="22"/>
          <w:lang w:val="en-GB"/>
        </w:rPr>
        <w:t>um</w:t>
      </w:r>
      <w:proofErr w:type="spellEnd"/>
      <w:r w:rsidR="008216EA" w:rsidRPr="009059DF">
        <w:rPr>
          <w:rFonts w:ascii="Arial" w:eastAsia="Calibri" w:hAnsi="Arial" w:cs="Arial"/>
          <w:bCs/>
          <w:i/>
          <w:iCs/>
          <w:szCs w:val="22"/>
          <w:lang w:val="en-GB"/>
        </w:rPr>
        <w:t xml:space="preserve"> </w:t>
      </w:r>
      <w:proofErr w:type="spellStart"/>
      <w:r w:rsidR="008216EA" w:rsidRPr="009059DF">
        <w:rPr>
          <w:rFonts w:ascii="Arial" w:eastAsia="Calibri" w:hAnsi="Arial" w:cs="Arial"/>
          <w:bCs/>
          <w:i/>
          <w:iCs/>
          <w:szCs w:val="22"/>
          <w:lang w:val="en-GB"/>
        </w:rPr>
        <w:t>bauchiense</w:t>
      </w:r>
      <w:proofErr w:type="spellEnd"/>
      <w:r w:rsidR="008216EA" w:rsidRPr="001772DB">
        <w:rPr>
          <w:rFonts w:ascii="Arial" w:eastAsia="Calibri" w:hAnsi="Arial" w:cs="Arial"/>
          <w:bCs/>
          <w:szCs w:val="22"/>
          <w:lang w:val="en-GB"/>
        </w:rPr>
        <w:t>, tempor</w:t>
      </w:r>
      <w:r w:rsidR="00CC55DB">
        <w:rPr>
          <w:rFonts w:ascii="Arial" w:eastAsia="Calibri" w:hAnsi="Arial" w:cs="Arial"/>
          <w:bCs/>
          <w:szCs w:val="22"/>
          <w:lang w:val="en-GB"/>
        </w:rPr>
        <w:t>al</w:t>
      </w:r>
      <w:r w:rsidR="008216EA" w:rsidRPr="001772DB">
        <w:rPr>
          <w:rFonts w:ascii="Arial" w:eastAsia="Calibri" w:hAnsi="Arial" w:cs="Arial"/>
          <w:bCs/>
          <w:szCs w:val="22"/>
          <w:lang w:val="en-GB"/>
        </w:rPr>
        <w:t xml:space="preserve"> lobe epilepsy, anti-amnesic, anticonvulsant.</w:t>
      </w:r>
    </w:p>
    <w:p w14:paraId="29A974A5" w14:textId="77777777" w:rsidR="00790ADA" w:rsidRPr="001772DB" w:rsidRDefault="00790ADA" w:rsidP="00441B6F">
      <w:pPr>
        <w:pStyle w:val="Body"/>
        <w:spacing w:after="0"/>
        <w:rPr>
          <w:rFonts w:ascii="Arial" w:hAnsi="Arial" w:cs="Arial"/>
          <w:i/>
          <w:lang w:val="en-GB"/>
        </w:rPr>
      </w:pPr>
    </w:p>
    <w:p w14:paraId="4CCF7076" w14:textId="77777777" w:rsidR="00505F06" w:rsidRPr="001772DB" w:rsidRDefault="00505F06" w:rsidP="00441B6F">
      <w:pPr>
        <w:pStyle w:val="Body"/>
        <w:spacing w:after="0"/>
        <w:rPr>
          <w:rFonts w:ascii="Arial" w:hAnsi="Arial" w:cs="Arial"/>
          <w:i/>
          <w:lang w:val="en-GB"/>
        </w:rPr>
      </w:pPr>
    </w:p>
    <w:p w14:paraId="4D1A3675" w14:textId="551E065A" w:rsidR="007F7B32" w:rsidRPr="001772DB" w:rsidRDefault="00902823" w:rsidP="00446460">
      <w:pPr>
        <w:pStyle w:val="AbstHead"/>
        <w:spacing w:after="0"/>
        <w:jc w:val="both"/>
        <w:rPr>
          <w:rFonts w:ascii="Arial" w:hAnsi="Arial" w:cs="Arial"/>
          <w:lang w:val="en-GB"/>
        </w:rPr>
      </w:pPr>
      <w:r w:rsidRPr="001772DB">
        <w:rPr>
          <w:rFonts w:ascii="Arial" w:hAnsi="Arial" w:cs="Arial"/>
          <w:lang w:val="en-GB"/>
        </w:rPr>
        <w:t xml:space="preserve">1. </w:t>
      </w:r>
      <w:r w:rsidR="00B01FCD" w:rsidRPr="001772DB">
        <w:rPr>
          <w:rFonts w:ascii="Arial" w:hAnsi="Arial" w:cs="Arial"/>
          <w:lang w:val="en-GB"/>
        </w:rPr>
        <w:t>INTRODUCTION</w:t>
      </w:r>
    </w:p>
    <w:p w14:paraId="27134B45" w14:textId="50D321E2" w:rsidR="00B95236" w:rsidRPr="001772DB" w:rsidRDefault="00797ECD" w:rsidP="00446460">
      <w:pPr>
        <w:pStyle w:val="Body"/>
        <w:spacing w:after="0"/>
        <w:rPr>
          <w:rFonts w:ascii="Arial" w:hAnsi="Arial" w:cs="Arial"/>
          <w:lang w:val="en-GB"/>
        </w:rPr>
      </w:pPr>
      <w:r>
        <w:rPr>
          <w:rFonts w:ascii="Arial" w:hAnsi="Arial" w:cs="Arial"/>
          <w:lang w:val="en-GB"/>
        </w:rPr>
        <w:t>“</w:t>
      </w:r>
      <w:r w:rsidR="008216EA" w:rsidRPr="008216EA">
        <w:rPr>
          <w:rFonts w:ascii="Arial" w:hAnsi="Arial" w:cs="Arial"/>
          <w:lang w:val="en-GB"/>
        </w:rPr>
        <w:t xml:space="preserve">Epilepsy is a brain disorder characterized by recurrent and spontaneous seizures due to hyperexcitability and </w:t>
      </w:r>
      <w:proofErr w:type="spellStart"/>
      <w:r w:rsidR="008216EA" w:rsidRPr="008216EA">
        <w:rPr>
          <w:rFonts w:ascii="Arial" w:hAnsi="Arial" w:cs="Arial"/>
          <w:lang w:val="en-GB"/>
        </w:rPr>
        <w:t>hypersynchronization</w:t>
      </w:r>
      <w:proofErr w:type="spellEnd"/>
      <w:r w:rsidR="008216EA" w:rsidRPr="008216EA">
        <w:rPr>
          <w:rFonts w:ascii="Arial" w:hAnsi="Arial" w:cs="Arial"/>
          <w:lang w:val="en-GB"/>
        </w:rPr>
        <w:t xml:space="preserve"> of neurons</w:t>
      </w:r>
      <w:r w:rsidR="00B664D3">
        <w:rPr>
          <w:rFonts w:ascii="Arial" w:hAnsi="Arial" w:cs="Arial"/>
          <w:lang w:val="en-GB"/>
        </w:rPr>
        <w:t>, widely accepted as two or more seizures at least 24 hours apart</w:t>
      </w:r>
      <w:r>
        <w:rPr>
          <w:rFonts w:ascii="Arial" w:hAnsi="Arial" w:cs="Arial"/>
          <w:lang w:val="en-GB"/>
        </w:rPr>
        <w:t>”</w:t>
      </w:r>
      <w:r w:rsidR="00B664D3">
        <w:rPr>
          <w:rFonts w:ascii="Arial" w:hAnsi="Arial" w:cs="Arial"/>
          <w:lang w:val="en-GB"/>
        </w:rPr>
        <w:t xml:space="preserve"> (Katyayan and Diaz-Medina, 2021)</w:t>
      </w:r>
      <w:r w:rsidR="008216EA" w:rsidRPr="008216EA">
        <w:rPr>
          <w:rFonts w:ascii="Arial" w:hAnsi="Arial" w:cs="Arial"/>
          <w:lang w:val="en-GB"/>
        </w:rPr>
        <w:t xml:space="preserve">. Approximately 70 million people are currently living with epilepsy worldwide  and 80% of these people live in developing countries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{"citationItems":[{"id":"ITEM-1","itemData":{"DOI":"10.1111/j.1528-1167.2009.02481.x","ISSN":"00139580","PMID":"20067507","abstract":"Purpose: To estimate the burden of lifetime epilepsy (LTE) and active epilepsy (AE) and examine the influence of study characteristics on prevalence estimates. Methods: We searched online databases and identified articles using prespecified criteria. Random-effects meta-analyses were used to estimate the median prevalence in developed countries and in urban and rural settings in developing countries. The impact of study characteristics on prevalence estimates was determined using meta-regression models. Results: The median LTE prevalence for developed countries was 5.8 per 1,000 (5th-95th percentile range 2.7-12.4) compared to 15.4 per 1,000 (4.8-49.6) for rural and 10.3 (2.8-37.7) for urban studies in developing countries. The median prevalence of AE was 4.9 per 1,000 (2.3-10.3) for developed countries and 12.7 per 1,000 (3.5-45.5) and 5.9 (3.4-10.2) in rural and urban studies in developing countries. The estimates of burden for LTE and AE in developed countries were 6.8 million (5th-95th percentile range 3.2-14.7) and 5.7 million (2.7-12.2), respectively. In developing countries these were 45 (14-145) million LTE and 17 (10-133) million AE in rural areas and 17 (5-61) million LTE and 10 (5-17) million AE in urban areas. Studies involving all ages or only adults showed higher estimates than pediatric studies. Higher prevalence estimates were also associated with rural location and small study size. Conclusions: This study estimates the global burden of epilepsy and the proportions with AE, which may benefit from treatment. There are systematic differences in reported prevalence estimates, which are only partially explained by study characteristics. © 2010 International League Against Epilepsy.","author":[{"dropping-particle":"","family":"Ngugi","given":"Anthony K.","non-dropping-particle":"","parse-names":false,"suffix":""},{"dropping-particle":"","family":"Bottomley","given":"Christian","non-dropping-particle":"","parse-names":false,"suffix":""},{"dropping-particle":"","family":"Kleinschmidt","given":"Immo","non-dropping-particle":"","parse-names":false,"suffix":""},{"dropping-particle":"","family":"Sander","given":"Josemir W.","non-dropping-particle":"","parse-names":false,"suffix":""},{"dropping-particle":"","family":"Newton","given":"Charles R.","non-dropping-particle":"","parse-names":false,"suffix":""}],"container-title":"Epilepsia","id":"ITEM-1","issue":"5","issued":{"date-parts":[["2010"]]},"page":"883-890","title":"Estimation of the burden of active and life-time epilepsy: A meta-analytic approach","type":"article-journal","volume":"51"},"uris":["http://www.mendeley.com/documents/?uuid=14780056-bcdd-4ef1-8423-2632e1b66f7a"]}],"mendeley":{"formattedCitation":"(Ngugi et al., 2010)","plainTextFormattedCitation":"(Ngugi et al., 2010)","previouslyFormattedCitation":"(Ngugi et al., 2010)"},"properties":{"noteIndex":0},"schema":"https://github.com/citation-style-language/schema/raw/master/csl-citation.json"}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(Ngugi et </w:t>
      </w:r>
      <w:r w:rsidR="00CC55DB">
        <w:rPr>
          <w:rFonts w:ascii="Arial" w:hAnsi="Arial" w:cs="Arial"/>
          <w:i/>
          <w:iCs/>
          <w:lang w:val="en-GB"/>
        </w:rPr>
        <w:t>al</w:t>
      </w:r>
      <w:r w:rsidR="008216EA" w:rsidRPr="008216EA">
        <w:rPr>
          <w:rFonts w:ascii="Arial" w:hAnsi="Arial" w:cs="Arial"/>
          <w:i/>
          <w:iCs/>
          <w:lang w:val="en-GB"/>
        </w:rPr>
        <w:t>.</w:t>
      </w:r>
      <w:r w:rsidR="008216EA" w:rsidRPr="008216EA">
        <w:rPr>
          <w:rFonts w:ascii="Arial" w:hAnsi="Arial" w:cs="Arial"/>
          <w:lang w:val="en-GB"/>
        </w:rPr>
        <w:t xml:space="preserve">, 2010; Espinosa-Jovel et </w:t>
      </w:r>
      <w:r w:rsidR="00CC55DB">
        <w:rPr>
          <w:rFonts w:ascii="Arial" w:hAnsi="Arial" w:cs="Arial"/>
          <w:lang w:val="en-GB"/>
        </w:rPr>
        <w:t>al</w:t>
      </w:r>
      <w:r w:rsidR="008216EA" w:rsidRPr="008216EA">
        <w:rPr>
          <w:rFonts w:ascii="Arial" w:hAnsi="Arial" w:cs="Arial"/>
          <w:lang w:val="en-GB"/>
        </w:rPr>
        <w:t>.</w:t>
      </w:r>
      <w:r w:rsidR="008216EA" w:rsidRPr="008216EA">
        <w:rPr>
          <w:rFonts w:ascii="Arial" w:hAnsi="Arial" w:cs="Arial"/>
          <w:i/>
          <w:iCs/>
          <w:lang w:val="en-GB"/>
        </w:rPr>
        <w:t>,</w:t>
      </w:r>
      <w:r w:rsidR="008216EA" w:rsidRPr="008216EA">
        <w:rPr>
          <w:rFonts w:ascii="Arial" w:hAnsi="Arial" w:cs="Arial"/>
          <w:lang w:val="en-GB"/>
        </w:rPr>
        <w:t xml:space="preserve"> 2018)</w:t>
      </w:r>
      <w:r w:rsidR="008216EA" w:rsidRPr="008216EA">
        <w:rPr>
          <w:rFonts w:ascii="Arial" w:hAnsi="Arial" w:cs="Arial"/>
          <w:lang w:val="en-GB"/>
        </w:rPr>
        <w:fldChar w:fldCharType="end"/>
      </w:r>
      <w:r w:rsidR="008216EA" w:rsidRPr="008216EA">
        <w:rPr>
          <w:rFonts w:ascii="Arial" w:hAnsi="Arial" w:cs="Arial"/>
          <w:lang w:val="en-GB"/>
        </w:rPr>
        <w:t xml:space="preserve">. </w:t>
      </w:r>
      <w:r>
        <w:rPr>
          <w:rFonts w:ascii="Arial" w:hAnsi="Arial" w:cs="Arial"/>
          <w:lang w:val="en-GB"/>
        </w:rPr>
        <w:t>“</w:t>
      </w:r>
      <w:r w:rsidR="008216EA" w:rsidRPr="008216EA">
        <w:rPr>
          <w:rFonts w:ascii="Arial" w:hAnsi="Arial" w:cs="Arial"/>
          <w:lang w:val="en-GB"/>
        </w:rPr>
        <w:t xml:space="preserve">Among the different forms of </w:t>
      </w:r>
      <w:r w:rsidR="008216EA" w:rsidRPr="008216EA">
        <w:rPr>
          <w:rFonts w:ascii="Arial" w:hAnsi="Arial" w:cs="Arial"/>
          <w:lang w:val="en-GB"/>
        </w:rPr>
        <w:lastRenderedPageBreak/>
        <w:t>epilepsy, tempor</w:t>
      </w:r>
      <w:r w:rsidR="00CC55DB">
        <w:rPr>
          <w:rFonts w:ascii="Arial" w:hAnsi="Arial" w:cs="Arial"/>
          <w:lang w:val="en-GB"/>
        </w:rPr>
        <w:t>al</w:t>
      </w:r>
      <w:r w:rsidR="008216EA" w:rsidRPr="008216EA">
        <w:rPr>
          <w:rFonts w:ascii="Arial" w:hAnsi="Arial" w:cs="Arial"/>
          <w:lang w:val="en-GB"/>
        </w:rPr>
        <w:t xml:space="preserve"> lobe epilepsy is the most common and is often associated with anxiety, depression and cognitive impairment</w:t>
      </w:r>
      <w:r>
        <w:rPr>
          <w:rFonts w:ascii="Arial" w:hAnsi="Arial" w:cs="Arial"/>
          <w:lang w:val="en-GB"/>
        </w:rPr>
        <w:t>”</w:t>
      </w:r>
      <w:r w:rsidR="008216EA" w:rsidRPr="008216EA">
        <w:rPr>
          <w:rFonts w:ascii="Arial" w:hAnsi="Arial" w:cs="Arial"/>
          <w:lang w:val="en-GB"/>
        </w:rPr>
        <w:t xml:space="preserve">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{"citationItems":[{"id":"ITEM-1","itemData":{"DOI":"10.1016/j.expneurol.2008.04.036","ISSN":"00144886","PMID":"18585709","abstract":"Patients with temporal lobe epilepsy are frequently afflicted with psychiatric comorbidity and deficits in spatial and other forms of declarative memory. The relationship between epilepsy and psychopathology is poorly understood, so that systematic research in this area is important. In the present study, we characterized various behaviors and learning and memory in a mouse model in which major aspects of mesial temporal lobe epilepsy can be reproduced. In this model, a single unilateral injection of kainate into the dorsal hippocampus induces a nonconvulsive status epilepticus, followed by development of spontaneous recurrent seizures and ipsilateral lesions of CA1, CA3c and dentate hilus neurons. Unexpectedly, the epileptic mice exhibited only few alterations in a behavioral test battery used to investigate locomotor activity and function, emotionality, depression-related behavior and learning and memory. In contrast to recent experiments with the same test battery in epileptic mice generated by systemic administration of pilocarpine, mice with focal kainate administration did not exhibit reduced explorative behavior or increases of anxiety-related behavior. However, similar to pilocarpine-treated mice, a decrease in depression-like behavior was observed in the forced swimming test. In the Morris water maze test, kainate-treated animals exhibited retarded acquisition and impaired retention of visual-spatial information. Our data suggest that the focal kainate model of mesial temporal lobe epilepsy may contribute to understanding the neurobiological mechanisms underlying the association between epilepsy and behavioral or cognitive alterations. © 2008 Elsevier Inc. All rights reserved.","author":[{"dropping-particle":"","family":"Gröticke","given":"Ina","non-dropping-particle":"","parse-names":false,"suffix":""},{"dropping-particle":"","family":"Hoffmann","given":"Katrin","non-dropping-particle":"","parse-names":false,"suffix":""},{"dropping-particle":"","family":"Löscher","given":"Wolfgang","non-dropping-particle":"","parse-names":false,"suffix":""}],"container-title":"Experimental Neurology","id":"ITEM-1","issue":"1","issued":{"date-parts":[["2008"]]},"page":"71-83","title":"Behavioral alterations in a mouse model of temporal lobe epilepsy induced by intrahippocampal injection of kainate","type":"article-journal","volume":"213"},"uris":["http://www.mendeley.com/documents/?uuid=0b3090a6-dcbf-4f23-a071-3dfde021be6b"]}],"mendeley":{"formattedCitation":"(Gröticke et al., 2008)","plainTextFormattedCitation":"(Gröticke et al., 2008)","previouslyFormattedCitation":"(Gröticke et al., 2008)"},"properties":{"noteIndex":0},"schema":"https://github.com/citation-style-language/schema/raw/master/csl-citation.json"}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(Gröticke et </w:t>
      </w:r>
      <w:r w:rsidR="00CC55DB">
        <w:rPr>
          <w:rFonts w:ascii="Arial" w:hAnsi="Arial" w:cs="Arial"/>
          <w:i/>
          <w:iCs/>
          <w:lang w:val="en-GB"/>
        </w:rPr>
        <w:t>al</w:t>
      </w:r>
      <w:r w:rsidR="008216EA" w:rsidRPr="008216EA">
        <w:rPr>
          <w:rFonts w:ascii="Arial" w:hAnsi="Arial" w:cs="Arial"/>
          <w:i/>
          <w:iCs/>
          <w:lang w:val="en-GB"/>
        </w:rPr>
        <w:t>.</w:t>
      </w:r>
      <w:r w:rsidR="008216EA" w:rsidRPr="008216EA">
        <w:rPr>
          <w:rFonts w:ascii="Arial" w:hAnsi="Arial" w:cs="Arial"/>
          <w:lang w:val="en-GB"/>
        </w:rPr>
        <w:t>, 2008)</w:t>
      </w:r>
      <w:r w:rsidR="008216EA" w:rsidRPr="008216EA">
        <w:rPr>
          <w:rFonts w:ascii="Arial" w:hAnsi="Arial" w:cs="Arial"/>
          <w:lang w:val="en-GB"/>
        </w:rPr>
        <w:fldChar w:fldCharType="end"/>
      </w:r>
      <w:r w:rsidR="008216EA" w:rsidRPr="008216EA">
        <w:rPr>
          <w:rFonts w:ascii="Arial" w:hAnsi="Arial" w:cs="Arial"/>
          <w:b/>
          <w:bCs/>
          <w:lang w:val="en-GB"/>
        </w:rPr>
        <w:t xml:space="preserve">. </w:t>
      </w:r>
      <w:r w:rsidR="008216EA" w:rsidRPr="008216EA">
        <w:rPr>
          <w:rFonts w:ascii="Arial" w:hAnsi="Arial" w:cs="Arial"/>
          <w:lang w:val="en-GB"/>
        </w:rPr>
        <w:t xml:space="preserve"> Approximately 65% of patients with tempor</w:t>
      </w:r>
      <w:r w:rsidR="00CC55DB">
        <w:rPr>
          <w:rFonts w:ascii="Arial" w:hAnsi="Arial" w:cs="Arial"/>
          <w:lang w:val="en-GB"/>
        </w:rPr>
        <w:t>al</w:t>
      </w:r>
      <w:r w:rsidR="008216EA" w:rsidRPr="008216EA">
        <w:rPr>
          <w:rFonts w:ascii="Arial" w:hAnsi="Arial" w:cs="Arial"/>
          <w:lang w:val="en-GB"/>
        </w:rPr>
        <w:t xml:space="preserve"> love epilepsy (TLE) have cognitive and mainly memory problems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{"citationItems":[{"id":"ITEM-1","itemData":{"DOI":"10.1016/j.yebeh.2003.09.008","ISSN":"15255050","PMID":"14698706","abstract":"Purpose. The goal of this study was to assess the cognitive function status in patients with mesial temporal lobe epilepsy and hippocampal sclerosis (TLE + HS) to determine their cognitive function profile and to correlate material-specific memory deficits with HS laterality diagnosed by MRI. Methods. Seventy-one patients were assessed with a neuropsychological protocol that includes IQ, attention, handedness, verbal memory, visual memory, language, and the executive function. X2 and correlation tests were used. Results. Memory impairment was found in 46 patients (66%): patients without any memory deficit (n = 25), patients with verbal memory deficit (n = 21), patients with visual memory deficit (n = 17), patients with deficit for both types of memory (n = 8). Correlation between MRI lesion and memory was 66%. Language was impaired in 33 patients (46%). Eighteen patients (25%) had a deficit of the executive function. Conclusions. Patients with TLE + HS presented with a deficit in material-specific episodic memory correlating in large proportion with HS lateralization. We also found language and executive function impairments. © 2003 Elsevier Inc. All rights reserved.","author":[{"dropping-particle":"","family":"Oddo","given":"Silvia","non-dropping-particle":"","parse-names":false,"suffix":""},{"dropping-particle":"","family":"Solís","given":"Patricia","non-dropping-particle":"","parse-names":false,"suffix":""},{"dropping-particle":"","family":"Consalvo","given":"Damián","non-dropping-particle":"","parse-names":false,"suffix":""},{"dropping-particle":"","family":"Giagante","given":"Brenda","non-dropping-particle":"","parse-names":false,"suffix":""},{"dropping-particle":"","family":"Silva","given":"Water","non-dropping-particle":"","parse-names":false,"suffix":""},{"dropping-particle":"","family":"D'Alessio","given":"Luciana","non-dropping-particle":"","parse-names":false,"suffix":""},{"dropping-particle":"","family":"Centurión","given":"Estela","non-dropping-particle":"","parse-names":false,"suffix":""},{"dropping-particle":"","family":"Saidón","given":"Patricia","non-dropping-particle":"","parse-names":false,"suffix":""},{"dropping-particle":"","family":"Kochen","given":"Silvia","non-dropping-particle":"","parse-names":false,"suffix":""}],"container-title":"Epilepsy and Behavior","id":"ITEM-1","issue":"6","issued":{"date-parts":[["2003"]]},"page":"717-722","title":"Mesial temporal lobe epilepsy and hippocampal sclerosis: Cognitive function assessment in Hispanic patients","type":"article-journal","volume":"4"},"uris":["http://www.mendeley.com/documents/?uuid=0fd5333c-bd7e-48c5-b9ce-e7f27ce0a7d2"]}],"mendeley":{"formattedCitation":"(Oddo et al., 2003)","manualFormatting":"(Oddo et al., 2003","plainTextFormattedCitation":"(Oddo et al., 2003)","previouslyFormattedCitation":"(Oddo et al., 2003)"},"properties":{"noteIndex":0},"schema":"https://github.com/citation-style-language/schema/raw/master/csl-citation.json"}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(Oddo et </w:t>
      </w:r>
      <w:r w:rsidR="00CC55DB" w:rsidRPr="00CC55DB">
        <w:rPr>
          <w:rFonts w:ascii="Arial" w:hAnsi="Arial" w:cs="Arial"/>
          <w:lang w:val="en-GB"/>
        </w:rPr>
        <w:t>al</w:t>
      </w:r>
      <w:r w:rsidR="008216EA" w:rsidRPr="008216EA">
        <w:rPr>
          <w:rFonts w:ascii="Arial" w:hAnsi="Arial" w:cs="Arial"/>
          <w:i/>
          <w:iCs/>
          <w:lang w:val="en-GB"/>
        </w:rPr>
        <w:t>.</w:t>
      </w:r>
      <w:r w:rsidR="008216EA" w:rsidRPr="008216EA">
        <w:rPr>
          <w:rFonts w:ascii="Arial" w:hAnsi="Arial" w:cs="Arial"/>
          <w:lang w:val="en-GB"/>
        </w:rPr>
        <w:t>, 2003</w:t>
      </w:r>
      <w:r w:rsidR="008216EA" w:rsidRPr="008216EA">
        <w:rPr>
          <w:rFonts w:ascii="Arial" w:hAnsi="Arial" w:cs="Arial"/>
          <w:lang w:val="en-GB"/>
        </w:rPr>
        <w:fldChar w:fldCharType="end"/>
      </w:r>
      <w:r w:rsidR="008216EA" w:rsidRPr="008216EA">
        <w:rPr>
          <w:rFonts w:ascii="Arial" w:hAnsi="Arial" w:cs="Arial"/>
          <w:lang w:val="en-GB"/>
        </w:rPr>
        <w:t xml:space="preserve"> ;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{"citationItems":[{"id":"ITEM-1","itemData":{"DOI":"10.1111/epi.12549","ISSN":"15281167","PMID":"24621352","abstract":"Objective Temporal lobe epilepsy is a relatively frequent, invalidating, and often refractory neurologic disorder. It is associated with cognitive impairments that affect memory and executive functions. In the rat lithium-pilocarpine temporal lobe epilepsy model, memory impairment and anxiety disorder are classically reported. Here we evaluated sustained visual attention in this model of epilepsy, a function not frequently explored. Methods Thirty-five Sprague-Dawley rats were subjected to lithium-pilocarpine status epilepticus. Twenty of them received a carisbamate treatment for 7 days, starting 1 h after status epilepticus onset. Twelve controls received lithium and saline. Five months later, attention was assessed in the five-choice serial reaction time task, a task that tests visual attention and inhibitory control (impulsivity/compulsivity). Neuronal counting was performed in brain regions of interest to the functions studied (hippocampus, prefrontal cortex, nucleus basalis magnocellularis, and pedunculopontine tegmental nucleus). Results Lithium-pilocarpine rats developed motor seizures. When they were able to learn the task, they exhibited attention impairment and a tendency toward impulsivity and compulsivity. These disturbances occurred in the absence of neuronal loss in structures classically related to attentional performance, although they seemed to better correlate with neuronal loss in hippocampus. Globally, rats that received carisbamate and developed motor seizures were as impaired as untreated rats, whereas those that did not develop overt motor seizures performed like controls, despite evidence for hippocampal damage. Significance This study shows that attention deficits reported by patients with temporal lobe epilepsy can be observed in the lithium-pilocarpine model. Carisbamate prevents the occurrence of motor seizures, attention impairment, impulsivity, and compulsivity in a subpopulation of neuroprotected rats. © Wiley Periodicals, Inc. © 2014 International League Against Epilepsy.","author":[{"dropping-particle":"","family":"Faure","given":"Jean Baptiste","non-dropping-particle":"","parse-names":false,"suffix":""},{"dropping-particle":"","family":"Marques-Carneiro","given":"José E.","non-dropping-particle":"","parse-names":false,"suffix":""},{"dropping-particle":"","family":"Akimana","given":"Gladys","non-dropping-particle":"","parse-names":false,"suffix":""},{"dropping-particle":"","family":"Cosquer","given":"Brigitte","non-dropping-particle":"","parse-names":false,"suffix":""},{"dropping-particle":"","family":"Ferrandon","given":"Arielle","non-dropping-particle":"","parse-names":false,"suffix":""},{"dropping-particle":"","family":"Herbeaux","given":"Karine","non-dropping-particle":"","parse-names":false,"suffix":""},{"dropping-particle":"","family":"Koning","given":"Estelle","non-dropping-particle":"","parse-names":false,"suffix":""},{"dropping-particle":"","family":"Barbelivien","given":"Alexandra","non-dropping-particle":"","parse-names":false,"suffix":""},{"dropping-particle":"","family":"Nehlig","given":"Astrid","non-dropping-particle":"","parse-names":false,"suffix":""},{"dropping-particle":"","family":"Cassel","given":"Jean Christophe","non-dropping-particle":"","parse-names":false,"suffix":""}],"container-title":"Epilepsia","id":"ITEM-1","issue":"5","issued":{"date-parts":[["2014"]]},"page":"644-653","publisher":"Blackwell Publishing Inc.","title":"Attention and executive functions in a rat model of chronic epilepsy","type":"article-journal","volume":"55"},"uris":["http://www.mendeley.com/documents/?uuid=5c911b5c-458c-331c-8559-87a64e074c38"]}],"mendeley":{"formattedCitation":"(Faure et al., 2014)","manualFormatting":"Faure et al., 2014)","plainTextFormattedCitation":"(Faure et al., 2014)","previouslyFormattedCitation":"(Faure et al., 2014)"},"properties":{"noteIndex":0},"schema":"https://github.com/citation-style-language/schema/raw/master/csl-citation.json"}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Faure et </w:t>
      </w:r>
      <w:r w:rsidR="00CC55DB">
        <w:rPr>
          <w:rFonts w:ascii="Arial" w:hAnsi="Arial" w:cs="Arial"/>
          <w:lang w:val="en-GB"/>
        </w:rPr>
        <w:t>al</w:t>
      </w:r>
      <w:r w:rsidR="008216EA" w:rsidRPr="008216EA">
        <w:rPr>
          <w:rFonts w:ascii="Arial" w:hAnsi="Arial" w:cs="Arial"/>
          <w:lang w:val="en-GB"/>
        </w:rPr>
        <w:t>., 2014)</w:t>
      </w:r>
      <w:r w:rsidR="008216EA" w:rsidRPr="008216EA">
        <w:rPr>
          <w:rFonts w:ascii="Arial" w:hAnsi="Arial" w:cs="Arial"/>
          <w:lang w:val="en-GB"/>
        </w:rPr>
        <w:fldChar w:fldCharType="end"/>
      </w:r>
      <w:r w:rsidR="008216EA" w:rsidRPr="008216EA">
        <w:rPr>
          <w:rFonts w:ascii="Arial" w:hAnsi="Arial" w:cs="Arial"/>
          <w:lang w:val="en-GB"/>
        </w:rPr>
        <w:t>. Memory disorders are associated with mesi</w:t>
      </w:r>
      <w:r w:rsidR="00CC55DB">
        <w:rPr>
          <w:rFonts w:ascii="Arial" w:hAnsi="Arial" w:cs="Arial"/>
          <w:lang w:val="en-GB"/>
        </w:rPr>
        <w:t>al</w:t>
      </w:r>
      <w:r w:rsidR="008216EA" w:rsidRPr="008216EA">
        <w:rPr>
          <w:rFonts w:ascii="Arial" w:hAnsi="Arial" w:cs="Arial"/>
          <w:lang w:val="en-GB"/>
        </w:rPr>
        <w:t xml:space="preserve"> TLE based on the role of the tempor</w:t>
      </w:r>
      <w:r w:rsidR="00CC55DB">
        <w:rPr>
          <w:rFonts w:ascii="Arial" w:hAnsi="Arial" w:cs="Arial"/>
          <w:lang w:val="en-GB"/>
        </w:rPr>
        <w:t>al</w:t>
      </w:r>
      <w:r w:rsidR="008216EA" w:rsidRPr="008216EA">
        <w:rPr>
          <w:rFonts w:ascii="Arial" w:hAnsi="Arial" w:cs="Arial"/>
          <w:lang w:val="en-GB"/>
        </w:rPr>
        <w:t xml:space="preserve"> lobe in the memory process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{"citationItems":[{"id":"ITEM-1","itemData":{"DOI":"10.1111/epi.12549","ISSN":"15281167","PMID":"24621352","abstract":"Objective Temporal lobe epilepsy is a relatively frequent, invalidating, and often refractory neurologic disorder. It is associated with cognitive impairments that affect memory and executive functions. In the rat lithium-pilocarpine temporal lobe epilepsy model, memory impairment and anxiety disorder are classically reported. Here we evaluated sustained visual attention in this model of epilepsy, a function not frequently explored. Methods Thirty-five Sprague-Dawley rats were subjected to lithium-pilocarpine status epilepticus. Twenty of them received a carisbamate treatment for 7 days, starting 1 h after status epilepticus onset. Twelve controls received lithium and saline. Five months later, attention was assessed in the five-choice serial reaction time task, a task that tests visual attention and inhibitory control (impulsivity/compulsivity). Neuronal counting was performed in brain regions of interest to the functions studied (hippocampus, prefrontal cortex, nucleus basalis magnocellularis, and pedunculopontine tegmental nucleus). Results Lithium-pilocarpine rats developed motor seizures. When they were able to learn the task, they exhibited attention impairment and a tendency toward impulsivity and compulsivity. These disturbances occurred in the absence of neuronal loss in structures classically related to attentional performance, although they seemed to better correlate with neuronal loss in hippocampus. Globally, rats that received carisbamate and developed motor seizures were as impaired as untreated rats, whereas those that did not develop overt motor seizures performed like controls, despite evidence for hippocampal damage. Significance This study shows that attention deficits reported by patients with temporal lobe epilepsy can be observed in the lithium-pilocarpine model. Carisbamate prevents the occurrence of motor seizures, attention impairment, impulsivity, and compulsivity in a subpopulation of neuroprotected rats. © Wiley Periodicals, Inc. © 2014 International League Against Epilepsy.","author":[{"dropping-particle":"","family":"Faure","given":"Jean Baptiste","non-dropping-particle":"","parse-names":false,"suffix":""},{"dropping-particle":"","family":"Marques-Carneiro","given":"José E.","non-dropping-particle":"","parse-names":false,"suffix":""},{"dropping-particle":"","family":"Akimana","given":"Gladys","non-dropping-particle":"","parse-names":false,"suffix":""},{"dropping-particle":"","family":"Cosquer","given":"Brigitte","non-dropping-particle":"","parse-names":false,"suffix":""},{"dropping-particle":"","family":"Ferrandon","given":"Arielle","non-dropping-particle":"","parse-names":false,"suffix":""},{"dropping-particle":"","family":"Herbeaux","given":"Karine","non-dropping-particle":"","parse-names":false,"suffix":""},{"dropping-particle":"","family":"Koning","given":"Estelle","non-dropping-particle":"","parse-names":false,"suffix":""},{"dropping-particle":"","family":"Barbelivien","given":"Alexandra","non-dropping-particle":"","parse-names":false,"suffix":""},{"dropping-particle":"","family":"Nehlig","given":"Astrid","non-dropping-particle":"","parse-names":false,"suffix":""},{"dropping-particle":"","family":"Cassel","given":"Jean Christophe","non-dropping-particle":"","parse-names":false,"suffix":""}],"container-title":"Epilepsia","id":"ITEM-1","issue":"5","issued":{"date-parts":[["2014"]]},"page":"644-653","publisher":"Blackwell Publishing Inc.","title":"Attention and executive functions in a rat model of chronic epilepsy","type":"article-journal","volume":"55"},"uris":["http://www.mendeley.com/documents/?uuid=5c911b5c-458c-331c-8559-87a64e074c38"]}],"mendeley":{"formattedCitation":"(Faure et al., 2014)","plainTextFormattedCitation":"(Faure et al., 2014)","previouslyFormattedCitation":"(Faure et al., 2014)"},"properties":{"noteIndex":0},"schema":"https://github.com/citation-style-language/schema/raw/master/csl-citation.json"}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(Faure et </w:t>
      </w:r>
      <w:r w:rsidR="00CC55DB">
        <w:rPr>
          <w:rFonts w:ascii="Arial" w:hAnsi="Arial" w:cs="Arial"/>
          <w:lang w:val="en-GB"/>
        </w:rPr>
        <w:t>al</w:t>
      </w:r>
      <w:r w:rsidR="008216EA" w:rsidRPr="008216EA">
        <w:rPr>
          <w:rFonts w:ascii="Arial" w:hAnsi="Arial" w:cs="Arial"/>
          <w:lang w:val="en-GB"/>
        </w:rPr>
        <w:t>., 2014)</w:t>
      </w:r>
      <w:r w:rsidR="008216EA" w:rsidRPr="008216EA">
        <w:rPr>
          <w:rFonts w:ascii="Arial" w:hAnsi="Arial" w:cs="Arial"/>
          <w:lang w:val="en-GB"/>
        </w:rPr>
        <w:fldChar w:fldCharType="end"/>
      </w:r>
      <w:r w:rsidR="008216EA" w:rsidRPr="008216EA">
        <w:rPr>
          <w:rFonts w:ascii="Arial" w:hAnsi="Arial" w:cs="Arial"/>
          <w:lang w:val="en-GB"/>
        </w:rPr>
        <w:t xml:space="preserve">. Risk factors such as stroke, neurocysticercosis, </w:t>
      </w:r>
      <w:proofErr w:type="spellStart"/>
      <w:r w:rsidR="008216EA" w:rsidRPr="008216EA">
        <w:rPr>
          <w:rFonts w:ascii="Arial" w:hAnsi="Arial" w:cs="Arial"/>
          <w:lang w:val="en-GB"/>
        </w:rPr>
        <w:t>neurom</w:t>
      </w:r>
      <w:r w:rsidR="00CC55DB">
        <w:rPr>
          <w:rFonts w:ascii="Arial" w:hAnsi="Arial" w:cs="Arial"/>
          <w:lang w:val="en-GB"/>
        </w:rPr>
        <w:t>al</w:t>
      </w:r>
      <w:r w:rsidR="008216EA" w:rsidRPr="008216EA">
        <w:rPr>
          <w:rFonts w:ascii="Arial" w:hAnsi="Arial" w:cs="Arial"/>
          <w:lang w:val="en-GB"/>
        </w:rPr>
        <w:t>aria</w:t>
      </w:r>
      <w:proofErr w:type="spellEnd"/>
      <w:r w:rsidR="008216EA" w:rsidRPr="008216EA">
        <w:rPr>
          <w:rFonts w:ascii="Arial" w:hAnsi="Arial" w:cs="Arial"/>
          <w:lang w:val="en-GB"/>
        </w:rPr>
        <w:t>, onchocerciasis (</w:t>
      </w:r>
      <w:proofErr w:type="spellStart"/>
      <w:r w:rsidR="008216EA" w:rsidRPr="008216EA">
        <w:rPr>
          <w:rFonts w:ascii="Arial" w:hAnsi="Arial" w:cs="Arial"/>
          <w:lang w:val="en-GB"/>
        </w:rPr>
        <w:t>Onchocercas</w:t>
      </w:r>
      <w:proofErr w:type="spellEnd"/>
      <w:r w:rsidR="008216EA" w:rsidRPr="008216EA">
        <w:rPr>
          <w:rFonts w:ascii="Arial" w:hAnsi="Arial" w:cs="Arial"/>
          <w:lang w:val="en-GB"/>
        </w:rPr>
        <w:t xml:space="preserve"> volvulus), human African trypanosomiasis and bilharzia are particularly epileptogenic and can cause seizures or subsequent epilepsy at </w:t>
      </w:r>
      <w:r w:rsidR="00CC55DB">
        <w:rPr>
          <w:rFonts w:ascii="Arial" w:hAnsi="Arial" w:cs="Arial"/>
          <w:lang w:val="en-GB"/>
        </w:rPr>
        <w:t>al</w:t>
      </w:r>
      <w:r w:rsidR="008216EA" w:rsidRPr="008216EA">
        <w:rPr>
          <w:rFonts w:ascii="Arial" w:hAnsi="Arial" w:cs="Arial"/>
          <w:lang w:val="en-GB"/>
        </w:rPr>
        <w:t xml:space="preserve">l ages of life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{"citationItems":[{"id":"ITEM-1","itemData":{"ISSN":"0037-9085","PMID":"15255351","abstract":"The impact of neurocysticercosis in Africa is not well known, and its role in the occurrence of epilepsy is not well defined. The concomitant high prevalence of both diseases in this region suggests a causal association of cysticercosis and epilepsy. The few attempts to find such a link in Africa have yielded discordant data. In order to answer this question, we conducted a case-control study between June and August 1998 in the Bilomo village in Central Cameroon, where a recent study had demonstrated very high epilepsy prevalence of 58/1000. Ninety-three epilepsy patients and eighty-one age matched controls were included. All subjects were examined by a neurologist and serology for cysticercosis was performed using an ELISA method. Serologies for cysticercosis were positive in twenty-nine out of one hundred and seventy four patients (16.7%; 95% CI: 11.6-23.2). Seventeen cases (18.3%) and twelve controls (14.8%) had a positive serology The odd ratio was 1.3 (95% CI: 0.6-3.0). This study was not in favour of an epidemiological relationship between cysticercosis infection and epileptic disorders.","author":[{"dropping-particle":"","family":"Dongmo","given":"L","non-dropping-particle":"","parse-names":false,"suffix":""},{"dropping-particle":"","family":"Druet-Cabanac","given":"M","non-dropping-particle":"","parse-names":false,"suffix":""},{"dropping-particle":"","family":"Moyou","given":"S R","non-dropping-particle":"","parse-names":false,"suffix":""},{"dropping-particle":"","family":"Zebaze","given":"D R M","non-dropping-particle":"","parse-names":false,"suffix":""},{"dropping-particle":"","family":"Njamnshi","given":"A K","non-dropping-particle":"","parse-names":false,"suffix":""},{"dropping-particle":"","family":"Sini","given":"V","non-dropping-particle":"","parse-names":false,"suffix":""},{"dropping-particle":"","family":"Mapoure","given":"N","non-dropping-particle":"","parse-names":false,"suffix":""},{"dropping-particle":"","family":"Echouffo","given":"T J B","non-dropping-particle":"","parse-names":false,"suffix":""},{"dropping-particle":"","family":"Djeumen","given":"W C","non-dropping-particle":"","parse-names":false,"suffix":""},{"dropping-particle":"","family":"Ndumbe","given":"P M","non-dropping-particle":"","parse-names":false,"suffix":""}],"container-title":"Bulletin de la Societe de pathologie exotique (1990)","id":"ITEM-1","issue":"2","issued":{"date-parts":[["2004"]]},"page":"105-8","title":"[Cysticercosis and epilepsy: a case-control study in Mbam Valley, Cameroon].","type":"article-journal","volume":"97"},"uris":["http://www.mendeley.com/documents/?uuid=93875244-2eb7-4aab-a923-56c4ed7db9f4"]}],"mendeley":{"formattedCitation":"(Dongmo et al., 2004)","plainTextFormattedCitation":"(Dongmo et al., 2004)","previouslyFormattedCitation":"(Dongmo et al., 2004)"},"properties":{"noteIndex":0},"schema":"https://github.com/citation-style-language/schema/raw/master/csl-citation.json"}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(Dongmo et </w:t>
      </w:r>
      <w:r w:rsidR="00CC55DB">
        <w:rPr>
          <w:rFonts w:ascii="Arial" w:hAnsi="Arial" w:cs="Arial"/>
          <w:lang w:val="en-GB"/>
        </w:rPr>
        <w:t>al</w:t>
      </w:r>
      <w:r w:rsidR="008216EA" w:rsidRPr="008216EA">
        <w:rPr>
          <w:rFonts w:ascii="Arial" w:hAnsi="Arial" w:cs="Arial"/>
          <w:lang w:val="en-GB"/>
        </w:rPr>
        <w:t>., 2004)</w:t>
      </w:r>
      <w:r w:rsidR="008216EA" w:rsidRPr="008216EA">
        <w:rPr>
          <w:rFonts w:ascii="Arial" w:hAnsi="Arial" w:cs="Arial"/>
          <w:lang w:val="en-GB"/>
        </w:rPr>
        <w:fldChar w:fldCharType="end"/>
      </w:r>
      <w:r w:rsidR="008216EA" w:rsidRPr="008216EA">
        <w:rPr>
          <w:rFonts w:ascii="Arial" w:hAnsi="Arial" w:cs="Arial"/>
          <w:lang w:val="en-GB"/>
        </w:rPr>
        <w:t>.</w:t>
      </w:r>
      <w:r w:rsidR="00011AD6" w:rsidRPr="001772DB">
        <w:rPr>
          <w:rFonts w:ascii="Arial" w:hAnsi="Arial" w:cs="Arial"/>
          <w:lang w:val="en-GB"/>
        </w:rPr>
        <w:t xml:space="preserve"> </w:t>
      </w:r>
      <w:r w:rsidR="008216EA" w:rsidRPr="008216EA">
        <w:rPr>
          <w:rFonts w:ascii="Arial" w:hAnsi="Arial" w:cs="Arial"/>
          <w:lang w:val="en-GB"/>
        </w:rPr>
        <w:t>Mesi</w:t>
      </w:r>
      <w:r w:rsidR="00CC55DB">
        <w:rPr>
          <w:rFonts w:ascii="Arial" w:hAnsi="Arial" w:cs="Arial"/>
          <w:lang w:val="en-GB"/>
        </w:rPr>
        <w:t>al</w:t>
      </w:r>
      <w:r w:rsidR="008216EA" w:rsidRPr="008216EA">
        <w:rPr>
          <w:rFonts w:ascii="Arial" w:hAnsi="Arial" w:cs="Arial"/>
          <w:lang w:val="en-GB"/>
        </w:rPr>
        <w:t xml:space="preserve"> TLE is considered to be the most severe because 70% of its seizures are refractory to drug treatment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{"citationItems":[{"id":"ITEM-1","itemData":{"author":[{"dropping-particle":"","family":"Lignelet","given":"Romain","non-dropping-particle":"","parse-names":false,"suffix":""}],"id":"ITEM-1","issued":{"date-parts":[["2011"]]},"page":"5","title":"L’ épilepsie et son traitement par les médicaments antiépileptiques","type":"article-journal"},"uris":["http://www.mendeley.com/documents/?uuid=53c2670d-9a41-4fdf-8a25-44b8f824223e"]}],"mendeley":{"formattedCitation":"(Lignelet, 2011)","plainTextFormattedCitation":"(Lignelet, 2011)","previouslyFormattedCitation":"(Lignelet, 2011)"},"properties":{"noteIndex":0},"schema":"https://github.com/citation-style-language/schema/raw/master/csl-citation.json"}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(Lignelet, 2011)</w:t>
      </w:r>
      <w:r w:rsidR="008216EA" w:rsidRPr="008216EA">
        <w:rPr>
          <w:rFonts w:ascii="Arial" w:hAnsi="Arial" w:cs="Arial"/>
          <w:lang w:val="en-GB"/>
        </w:rPr>
        <w:fldChar w:fldCharType="end"/>
      </w:r>
      <w:r w:rsidR="008216EA" w:rsidRPr="008216EA">
        <w:rPr>
          <w:rFonts w:ascii="Arial" w:hAnsi="Arial" w:cs="Arial"/>
          <w:lang w:val="en-GB"/>
        </w:rPr>
        <w:t>. Sever</w:t>
      </w:r>
      <w:r w:rsidR="00CC55DB">
        <w:rPr>
          <w:rFonts w:ascii="Arial" w:hAnsi="Arial" w:cs="Arial"/>
          <w:lang w:val="en-GB"/>
        </w:rPr>
        <w:t>al</w:t>
      </w:r>
      <w:r w:rsidR="008216EA" w:rsidRPr="008216EA">
        <w:rPr>
          <w:rFonts w:ascii="Arial" w:hAnsi="Arial" w:cs="Arial"/>
          <w:lang w:val="en-GB"/>
        </w:rPr>
        <w:t xml:space="preserve"> hypotheses surround this resistance and one of the unavoidable hypotheses is the loss of certain receptors and/or ion channels, which results from the significant cell death associated with hippocamp</w:t>
      </w:r>
      <w:r w:rsidR="00CC55DB">
        <w:rPr>
          <w:rFonts w:ascii="Arial" w:hAnsi="Arial" w:cs="Arial"/>
          <w:lang w:val="en-GB"/>
        </w:rPr>
        <w:t>al</w:t>
      </w:r>
      <w:r w:rsidR="008216EA" w:rsidRPr="008216EA">
        <w:rPr>
          <w:rFonts w:ascii="Arial" w:hAnsi="Arial" w:cs="Arial"/>
          <w:lang w:val="en-GB"/>
        </w:rPr>
        <w:t xml:space="preserve"> sclerosis and on which most anti-epileptic drugs usu</w:t>
      </w:r>
      <w:r w:rsidR="00CC55DB">
        <w:rPr>
          <w:rFonts w:ascii="Arial" w:hAnsi="Arial" w:cs="Arial"/>
          <w:lang w:val="en-GB"/>
        </w:rPr>
        <w:t>al</w:t>
      </w:r>
      <w:r w:rsidR="008216EA" w:rsidRPr="008216EA">
        <w:rPr>
          <w:rFonts w:ascii="Arial" w:hAnsi="Arial" w:cs="Arial"/>
          <w:lang w:val="en-GB"/>
        </w:rPr>
        <w:t xml:space="preserve">ly act </w:t>
      </w:r>
      <w:r w:rsidR="008216EA" w:rsidRPr="008216EA">
        <w:rPr>
          <w:rFonts w:ascii="Arial" w:hAnsi="Arial" w:cs="Arial"/>
          <w:lang w:val="en-GB"/>
        </w:rPr>
        <w:fldChar w:fldCharType="begin"/>
      </w:r>
      <w:r w:rsidR="008216EA" w:rsidRPr="008216EA">
        <w:rPr>
          <w:rFonts w:ascii="Arial" w:hAnsi="Arial" w:cs="Arial"/>
          <w:lang w:val="en-GB"/>
        </w:rPr>
        <w:instrText xml:space="preserve">ADDIN CSL_CITATION {"citationItems":[{"id":"ITEM-1","itemData":{"DOI":"10.1016/j.jneumeth.2008.04.019","ISSN":"01650270","PMID":"18550176","abstract":"Understanding the pathophysiogenesis of temporal lobe epilepsy (TLE) largely rests on the use of models of status epilepticus (SE), as in the case of the pilocarpine model. The main features of TLE are: (i) epileptic foci in the limbic system; (ii) an \"initial precipitating injury\"; (iii) the so-called \"latent period\"; and (iv) the presence of hippocampal sclerosis leading to reorganization of neuronal networks. Many of these characteristics can be reproduced in rodents by systemic injection of pilocarpine; in this animal model, SE is followed by a latent period and later by the appearance of spontaneous recurrent seizures (SRSs). These processes are, however, influenced by experimental conditions such as rodent species, strain, gender, age, doses and routes of pilocarpine administration, as well as combinations with other drugs administered before and/or after SE. In the attempt to limit these sources of variability, we evaluated the methodological procedures used by several investigators in the pilocarpine model; in particular, we have focused on the behavioural, electrophysiological and histopathological findings obtained with different protocols. We addressed the various experimental approaches published to date, by comparing mortality rates, onset of SRSs, neuronal damage, and network reorganization. Based on the evidence reviewed here, we propose that the pilocarpine model can be a valuable tool to investigate the mechanisms </w:instrText>
      </w:r>
      <w:r w:rsidR="008216EA" w:rsidRPr="00BD4998">
        <w:rPr>
          <w:rFonts w:ascii="Arial" w:hAnsi="Arial" w:cs="Arial"/>
          <w:lang w:val="fr-FR"/>
        </w:rPr>
        <w:instrText>involved in TLE, and even more so when standardized to reduce mortality at the time of pilocarpine injection, differences in latent period duration, variability in the lesion extent, and SRS frequency. © 2008 Elsevier B.V. All rights reserved.","author":[{"dropping-particle":"","family":"Curia","given":"Giulia","non-dropping-particle":"","parse-names":false,"suffix":""},{"dropping-particle":"","family":"Longo","given":"Daniela","non-dropping-particle":"","parse-names":false,"suffix":""},{"dropping-particle":"","family":"Biagini","given":"Giuseppe","non-dropping-particle":"","parse-names":false,"suffix":""},{"dropping-particle":"","family":"Jones","given":"Roland S.G.","non-dropping-particle":"","parse-names":false,"suffix":""},{"dropping-particle":"","family":"Avoli","given":"Massimo","non-dropping-particle":"","parse-names":false,"suffix":""}],"container-title":"Journal of Neuroscience Methods","id":"ITEM-1","issue":"2","issued":{"date-parts":[["2008"]]},"page":"143-157","title":"The pilocarpine model of temporal lobe epilepsy","type":"article-journal","volume":"172"},"uris":["http://www.mendeley.com/documents/?uuid=88c48cd3-3179-4449-bde0-182abe58120c"]}],"mendeley":{"formattedCitation":"(Curia et al., 2008)","manualFormatting":"(Curia et al., 2008 ;","plainTextFormattedCitation":"(Curia et al., 2008)","previouslyFormattedCitation":"(Curia et al., 2008)"},"properties":{"noteIndex":0},"schema":"https://github.com/citation-style-language/schema/raw/master/csl-citation.json"}</w:instrText>
      </w:r>
      <w:r w:rsidR="008216EA" w:rsidRPr="008216EA">
        <w:rPr>
          <w:rFonts w:ascii="Arial" w:hAnsi="Arial" w:cs="Arial"/>
          <w:lang w:val="en-GB"/>
        </w:rPr>
        <w:fldChar w:fldCharType="separate"/>
      </w:r>
      <w:r w:rsidR="008216EA" w:rsidRPr="00BD4998">
        <w:rPr>
          <w:rFonts w:ascii="Arial" w:hAnsi="Arial" w:cs="Arial"/>
          <w:lang w:val="fr-FR"/>
        </w:rPr>
        <w:t xml:space="preserve">(Curia et </w:t>
      </w:r>
      <w:r w:rsidR="00CC55DB" w:rsidRPr="00BD4998">
        <w:rPr>
          <w:rFonts w:ascii="Arial" w:hAnsi="Arial" w:cs="Arial"/>
          <w:lang w:val="fr-FR"/>
        </w:rPr>
        <w:t>al</w:t>
      </w:r>
      <w:r w:rsidR="008216EA" w:rsidRPr="00BD4998">
        <w:rPr>
          <w:rFonts w:ascii="Arial" w:hAnsi="Arial" w:cs="Arial"/>
          <w:lang w:val="fr-FR"/>
        </w:rPr>
        <w:t>., 2008 ;</w:t>
      </w:r>
      <w:r w:rsidR="008216EA" w:rsidRPr="008216EA">
        <w:rPr>
          <w:rFonts w:ascii="Arial" w:hAnsi="Arial" w:cs="Arial"/>
          <w:lang w:val="en-GB"/>
        </w:rPr>
        <w:fldChar w:fldCharType="end"/>
      </w:r>
      <w:r w:rsidR="008216EA" w:rsidRPr="008216EA">
        <w:rPr>
          <w:rFonts w:ascii="Arial" w:hAnsi="Arial" w:cs="Arial"/>
          <w:lang w:val="en-GB"/>
        </w:rPr>
        <w:fldChar w:fldCharType="begin"/>
      </w:r>
      <w:r w:rsidR="008216EA" w:rsidRPr="00BD4998">
        <w:rPr>
          <w:rFonts w:ascii="Arial" w:hAnsi="Arial" w:cs="Arial"/>
          <w:lang w:val="fr-FR"/>
        </w:rPr>
        <w:instrText>ADDIN CSL_CITATION {"citationItems":[{"id":"ITEM-1","itemData":{"DOI":"10.1684/epi.2009.0228","ISSN":"11496576","abstract":"Both morphological and electroclinical features of human mesial temporal lobe epilepsy (MTLE) have been shown to be mimicked by unilateral injection of kainic acid (KA) in the dorsal hippocampus of adult mice. After an initial status epilepticus and a latent period of two weeks, mice develop spontaneous recurrent hippocampal focal seizures and morphological modifications reminiscent of hippocampal sclerosis. As MTLE is often associated with resistance to antiepileptic drugs, the pharmacological reactivity to four molecules of epileptic mice was assessed in this study. Only diazepam(0.5-3 mg/kg, i.p.) suppressed hippocampal discharges in a dose- dependent way. Valproate (100-400mg/kg, i.p.), carbamazepine (25-100 mg/kg, i.p.) and lamotrigine (30-90 mg/kg,</w:instrText>
      </w:r>
      <w:r w:rsidR="008216EA" w:rsidRPr="00A27DF1">
        <w:rPr>
          <w:rFonts w:ascii="Arial" w:hAnsi="Arial" w:cs="Arial"/>
          <w:lang w:val="fr-FR"/>
        </w:rPr>
        <w:instrText xml:space="preserve"> i.p.) abolished seizures only at the highest doses. At these doses, EEG activity was strongly impaired and animals showed signs of motor incapacitation. These results showthat hippocampal discharges in mice are resistant to classic anti-epileptic drugs and suggest that this model of MTLE constitutes an important tool for the pharmacological evaluation of this form of epilepsy.","author":[{"dropping-particle":"","family":"Bressand","given":"Karine","non-dropping-particle":"","parse-names":false,"suffix":""},{"dropping-particle":"","family":"Roucard","given":"Corinne","non-dropping-particle":"","parse-names":false,"suffix":""},{"dropping-particle":"","family":"Depaulis","given":"Antoine","non-dropping-particle":"","parse-names":false,"suffix":""}],"container-title":"Epilepsies","id":"ITEM-1","issue":"2","issued":{"date-parts":[["2009","4"]]},"page":"184-192","title":"La souris MTLE: Un modèle validé pour l'évaluation de molécules anti-épileptiques pour le traitement de l'épilepsie mésiotemporale","type":"article-journal","volume":"21"},"uris":["http://www.mendeley.com/documents/?uuid=59dfb915-6a7b-3e31-92e1-40fd843871a9"]}],"mendeley":{"formattedCitation":"(Bressand et al., 2009)","manualFormatting":"Bressand et al., 2009)","plainTextFormattedCitation":"(Bressand et al., 2009)","previouslyFormattedCitation":"(Bressand et al., 2009)"},"properties":{"noteIndex":0},"schema":"https://github.com/citation-style-language/schema/raw/master/csl-citation.json"}</w:instrText>
      </w:r>
      <w:r w:rsidR="008216EA" w:rsidRPr="008216EA">
        <w:rPr>
          <w:rFonts w:ascii="Arial" w:hAnsi="Arial" w:cs="Arial"/>
          <w:lang w:val="en-GB"/>
        </w:rPr>
        <w:fldChar w:fldCharType="separate"/>
      </w:r>
      <w:r w:rsidR="008216EA" w:rsidRPr="00A27DF1">
        <w:rPr>
          <w:rFonts w:ascii="Arial" w:hAnsi="Arial" w:cs="Arial"/>
          <w:lang w:val="fr-FR"/>
        </w:rPr>
        <w:t xml:space="preserve">Bressand et </w:t>
      </w:r>
      <w:r w:rsidR="00CC55DB" w:rsidRPr="00A27DF1">
        <w:rPr>
          <w:rFonts w:ascii="Arial" w:hAnsi="Arial" w:cs="Arial"/>
          <w:lang w:val="fr-FR"/>
        </w:rPr>
        <w:t>al</w:t>
      </w:r>
      <w:r w:rsidR="008216EA" w:rsidRPr="00A27DF1">
        <w:rPr>
          <w:rFonts w:ascii="Arial" w:hAnsi="Arial" w:cs="Arial"/>
          <w:lang w:val="fr-FR"/>
        </w:rPr>
        <w:t>., 2009)</w:t>
      </w:r>
      <w:r w:rsidR="008216EA" w:rsidRPr="008216EA">
        <w:rPr>
          <w:rFonts w:ascii="Arial" w:hAnsi="Arial" w:cs="Arial"/>
          <w:lang w:val="en-GB"/>
        </w:rPr>
        <w:fldChar w:fldCharType="end"/>
      </w:r>
      <w:r w:rsidR="008216EA" w:rsidRPr="00A27DF1">
        <w:rPr>
          <w:rFonts w:ascii="Arial" w:hAnsi="Arial" w:cs="Arial"/>
          <w:lang w:val="fr-FR"/>
        </w:rPr>
        <w:t xml:space="preserve">. </w:t>
      </w:r>
      <w:r w:rsidR="0076283E" w:rsidRPr="00A27DF1">
        <w:rPr>
          <w:rFonts w:ascii="Arial" w:hAnsi="Arial" w:cs="Arial"/>
          <w:lang w:val="fr-FR"/>
        </w:rPr>
        <w:t xml:space="preserve">In </w:t>
      </w:r>
      <w:proofErr w:type="spellStart"/>
      <w:r w:rsidR="0076283E" w:rsidRPr="00A27DF1">
        <w:rPr>
          <w:rFonts w:ascii="Arial" w:hAnsi="Arial" w:cs="Arial"/>
          <w:lang w:val="fr-FR"/>
        </w:rPr>
        <w:t>some</w:t>
      </w:r>
      <w:proofErr w:type="spellEnd"/>
      <w:r w:rsidR="0076283E" w:rsidRPr="00A27DF1">
        <w:rPr>
          <w:rFonts w:ascii="Arial" w:hAnsi="Arial" w:cs="Arial"/>
          <w:lang w:val="fr-FR"/>
        </w:rPr>
        <w:t xml:space="preserve"> cases</w:t>
      </w:r>
      <w:r w:rsidR="002054BB" w:rsidRPr="00A27DF1">
        <w:rPr>
          <w:rFonts w:ascii="Arial" w:hAnsi="Arial" w:cs="Arial"/>
          <w:lang w:val="fr-FR"/>
        </w:rPr>
        <w:t xml:space="preserve">, the best </w:t>
      </w:r>
      <w:proofErr w:type="spellStart"/>
      <w:r w:rsidR="002054BB" w:rsidRPr="00A27DF1">
        <w:rPr>
          <w:rFonts w:ascii="Arial" w:hAnsi="Arial" w:cs="Arial"/>
          <w:lang w:val="fr-FR"/>
        </w:rPr>
        <w:t>results</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were</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obtained</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when</w:t>
      </w:r>
      <w:proofErr w:type="spellEnd"/>
      <w:r w:rsidR="002054BB" w:rsidRPr="00A27DF1">
        <w:rPr>
          <w:rFonts w:ascii="Arial" w:hAnsi="Arial" w:cs="Arial"/>
          <w:lang w:val="fr-FR"/>
        </w:rPr>
        <w:t xml:space="preserve"> </w:t>
      </w:r>
      <w:r w:rsidR="0076283E" w:rsidRPr="00A27DF1">
        <w:rPr>
          <w:rFonts w:ascii="Arial" w:hAnsi="Arial" w:cs="Arial"/>
          <w:lang w:val="fr-FR"/>
        </w:rPr>
        <w:t>anti-</w:t>
      </w:r>
      <w:proofErr w:type="spellStart"/>
      <w:r w:rsidR="0076283E" w:rsidRPr="00A27DF1">
        <w:rPr>
          <w:rFonts w:ascii="Arial" w:hAnsi="Arial" w:cs="Arial"/>
          <w:lang w:val="fr-FR"/>
        </w:rPr>
        <w:t>epileptic</w:t>
      </w:r>
      <w:proofErr w:type="spellEnd"/>
      <w:r w:rsidR="0076283E" w:rsidRPr="00A27DF1">
        <w:rPr>
          <w:rFonts w:ascii="Arial" w:hAnsi="Arial" w:cs="Arial"/>
          <w:lang w:val="fr-FR"/>
        </w:rPr>
        <w:t xml:space="preserve"> </w:t>
      </w:r>
      <w:proofErr w:type="spellStart"/>
      <w:r w:rsidR="0076283E" w:rsidRPr="00A27DF1">
        <w:rPr>
          <w:rFonts w:ascii="Arial" w:hAnsi="Arial" w:cs="Arial"/>
          <w:lang w:val="fr-FR"/>
        </w:rPr>
        <w:t>drugs</w:t>
      </w:r>
      <w:proofErr w:type="spellEnd"/>
      <w:r w:rsidR="0076283E" w:rsidRPr="00A27DF1">
        <w:rPr>
          <w:rFonts w:ascii="Arial" w:hAnsi="Arial" w:cs="Arial"/>
          <w:lang w:val="fr-FR"/>
        </w:rPr>
        <w:t xml:space="preserve"> </w:t>
      </w:r>
      <w:proofErr w:type="spellStart"/>
      <w:r w:rsidR="002054BB" w:rsidRPr="00A27DF1">
        <w:rPr>
          <w:rFonts w:ascii="Arial" w:hAnsi="Arial" w:cs="Arial"/>
          <w:lang w:val="fr-FR"/>
        </w:rPr>
        <w:t>were</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administered</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together</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following</w:t>
      </w:r>
      <w:proofErr w:type="spellEnd"/>
      <w:r w:rsidR="002054BB" w:rsidRPr="00A27DF1">
        <w:rPr>
          <w:rFonts w:ascii="Arial" w:hAnsi="Arial" w:cs="Arial"/>
          <w:lang w:val="fr-FR"/>
        </w:rPr>
        <w:t xml:space="preserve"> </w:t>
      </w:r>
      <w:proofErr w:type="spellStart"/>
      <w:r w:rsidR="002054BB" w:rsidRPr="00A27DF1">
        <w:rPr>
          <w:rFonts w:ascii="Arial" w:hAnsi="Arial" w:cs="Arial"/>
          <w:lang w:val="fr-FR"/>
        </w:rPr>
        <w:t>head</w:t>
      </w:r>
      <w:proofErr w:type="spellEnd"/>
      <w:r w:rsidR="002054BB" w:rsidRPr="00A27DF1">
        <w:rPr>
          <w:rFonts w:ascii="Arial" w:hAnsi="Arial" w:cs="Arial"/>
          <w:lang w:val="fr-FR"/>
        </w:rPr>
        <w:t xml:space="preserve"> trauma (</w:t>
      </w:r>
      <w:proofErr w:type="spellStart"/>
      <w:r w:rsidR="002054BB" w:rsidRPr="00A27DF1">
        <w:rPr>
          <w:rFonts w:ascii="Arial" w:hAnsi="Arial" w:cs="Arial"/>
          <w:lang w:val="fr-FR"/>
        </w:rPr>
        <w:t>Bayham</w:t>
      </w:r>
      <w:proofErr w:type="spellEnd"/>
      <w:r w:rsidR="002054BB" w:rsidRPr="00A27DF1">
        <w:rPr>
          <w:rFonts w:ascii="Arial" w:hAnsi="Arial" w:cs="Arial"/>
          <w:lang w:val="fr-FR"/>
        </w:rPr>
        <w:t xml:space="preserve"> et al., 2020). </w:t>
      </w:r>
      <w:r w:rsidR="008216EA" w:rsidRPr="002054BB">
        <w:rPr>
          <w:rFonts w:ascii="Arial" w:hAnsi="Arial" w:cs="Arial"/>
        </w:rPr>
        <w:t>At the molecular level, in addition to the imb</w:t>
      </w:r>
      <w:r w:rsidR="00CC55DB" w:rsidRPr="002054BB">
        <w:rPr>
          <w:rFonts w:ascii="Arial" w:hAnsi="Arial" w:cs="Arial"/>
        </w:rPr>
        <w:t>al</w:t>
      </w:r>
      <w:r w:rsidR="008216EA" w:rsidRPr="002054BB">
        <w:rPr>
          <w:rFonts w:ascii="Arial" w:hAnsi="Arial" w:cs="Arial"/>
        </w:rPr>
        <w:t xml:space="preserve">ance between GABAergic and glutamatergic neurotransmitters, epilepsy is linked to inflammation and oxidative stress. </w:t>
      </w:r>
      <w:r w:rsidR="008216EA" w:rsidRPr="008216EA">
        <w:rPr>
          <w:rFonts w:ascii="Arial" w:hAnsi="Arial" w:cs="Arial"/>
          <w:lang w:val="en-GB"/>
        </w:rPr>
        <w:t>Experiment</w:t>
      </w:r>
      <w:r w:rsidR="00CC55DB">
        <w:rPr>
          <w:rFonts w:ascii="Arial" w:hAnsi="Arial" w:cs="Arial"/>
          <w:lang w:val="en-GB"/>
        </w:rPr>
        <w:t>al</w:t>
      </w:r>
      <w:r w:rsidR="008216EA" w:rsidRPr="008216EA">
        <w:rPr>
          <w:rFonts w:ascii="Arial" w:hAnsi="Arial" w:cs="Arial"/>
          <w:lang w:val="en-GB"/>
        </w:rPr>
        <w:t xml:space="preserve">ly, pilocarpine administration induces </w:t>
      </w:r>
      <w:r w:rsidR="00912A28" w:rsidRPr="00912A28">
        <w:rPr>
          <w:rFonts w:ascii="Arial" w:hAnsi="Arial" w:cs="Arial"/>
          <w:bCs/>
          <w:lang w:val="en-GB"/>
        </w:rPr>
        <w:t>status epilepticus</w:t>
      </w:r>
      <w:r w:rsidR="00912A28">
        <w:rPr>
          <w:rFonts w:ascii="Arial" w:hAnsi="Arial" w:cs="Arial"/>
          <w:bCs/>
          <w:lang w:val="en-GB"/>
        </w:rPr>
        <w:t xml:space="preserve"> (SE)</w:t>
      </w:r>
      <w:r w:rsidR="008216EA" w:rsidRPr="008216EA">
        <w:rPr>
          <w:rFonts w:ascii="Arial" w:hAnsi="Arial" w:cs="Arial"/>
          <w:lang w:val="en-GB"/>
        </w:rPr>
        <w:t xml:space="preserve"> which in turn initiates </w:t>
      </w:r>
      <w:proofErr w:type="spellStart"/>
      <w:r w:rsidR="008216EA" w:rsidRPr="008216EA">
        <w:rPr>
          <w:rFonts w:ascii="Arial" w:hAnsi="Arial" w:cs="Arial"/>
          <w:lang w:val="en-GB"/>
        </w:rPr>
        <w:t>epileptogenesis</w:t>
      </w:r>
      <w:proofErr w:type="spellEnd"/>
      <w:r w:rsidR="008216EA" w:rsidRPr="008216EA">
        <w:rPr>
          <w:rFonts w:ascii="Arial" w:hAnsi="Arial" w:cs="Arial"/>
          <w:lang w:val="en-GB"/>
        </w:rPr>
        <w:t xml:space="preserve"> that may last one to two weeks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{"citationItems":[{"id":"ITEM-1","itemData":{"DOI":"10.1111/j.1528-1167.2008.01797.x","ISSN":"00139580","PMID":"19054404","abstract":"Purpose: Pentylenetetrazole (PTZ) and maximal electroshock (MES) models are often used to induce seizures in nonepileptic control animals or naive animals. Despite being widely used to screen antiepileptic drugs (AEDs), both models have so far failed to detect potentially useful AEDs for treating drug-resistant epilepsies. Here we investigated whether the acute induction of MES and PTZ seizures in epileptic rats might yield a distinct screening profile for AEDs. Methods: Status epilepticus (SE) was induced in adult male Wistar rats by intraperitoneal pilocarpine injection (Pilo, 320 mg/kg, i.p.). One month later, controls or naive animals (Cont) that did not develop SE postpilocarpine (N-Epi) and pilocarpine-epileptic rats (Epi) received one of the following: phenobarbital (PB, 40 mg/kg), phenytoin (PHT, 50 mg/kg), or valproic acid (VPA, 400 mg/kg). Thirty min later the animals were challenged with either subcutaneous MES or PTZ (50 mg/kg, s.c.). Results: VPA, PB, and PHT were able to prevent MES in all groups tested (Cont, N-Epi, and Epi groups), whereas for the PTZ model, only the Cont group (naive animals) had seizure control with the same AEDs. In addition, Epi and N-Epi groups when challenged with PTZ exhibited a higher incidence of severe seizures (scores IV-IX) and SE (p &lt; 0.05, Fisher's exact test). Conclusions: Our findings suggest that the induction of acute seizures with PTZ, but not with MES, in animals pretreated with pilocarpine (regardless of SE induction) might constitute an effective and valuable method to screen AEDs and to study mechanisms involved in pharmacoresistant temporal lobe epilepsy (TLE). © 2008 International League Against Epilepsy.","author":[{"dropping-particle":"","family":"Blanco","given":"Miriam Marcela","non-dropping-particle":"","parse-names":false,"suffix":""},{"dropping-particle":"","family":"Santos","given":"Jair Guilherme","non-dropping-particle":"Dos","parse-names":false,"suffix":""},{"dropping-particle":"","family":"Perez-Mendes","given":"Patrícia","non-dropping-particle":"","parse-names":false,"suffix":""},{"dropping-particle":"","family":"Kohek","given":"Silvia R.B.","non-dropping-particle":"","parse-names":false,"suffix":""},{"dropping-particle":"","family":"Cavarsan","given":"Clarissa Fantin","non-dropping-particle":"","parse-names":false,"suffix":""},{"dropping-particle":"","family":"Hummel","given":"Michele","non-dropping-particle":"","parse-names":false,"suffix":""},{"dropping-particle":"","family":"Albuquerque","given":"Cristovão","non-dropping-particle":"","parse-names":false,"suffix":""},{"dropping-particle":"","family":"Mello","given":"Luiz E.","non-dropping-particle":"","parse-names":false,"suffix":""}],"container-title":"Epilepsia","id":"ITEM-1","issue":"4","issued":{"date-parts":[["2009"]]},"page":"824-831","title":"Assessment of seizure susceptibility in pilocarpine epileptic and nonepileptic Wistar rats and of seizure reinduction with pentylenetetrazole and electroshock models","type":"article-journal","volume":"50"},"uris":["http://www.mendeley.com/documents/?uuid=2e5bb14b-191e-46f3-ac89-b41476fd9586"]}],"mendeley":{"formattedCitation":"(Blanco et al., 2009)","plainTextFormattedCitation":"(Blanco et al., 2009)","previouslyFormattedCitation":"(Blanco et al., 2009)"},"properties":{"noteIndex":0},"schema":"https://github.com/citation-style-language/schema/raw/master/csl-citation.json"}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(Blanco et </w:t>
      </w:r>
      <w:r w:rsidR="00CC55DB" w:rsidRPr="00CC55DB">
        <w:rPr>
          <w:rFonts w:ascii="Arial" w:hAnsi="Arial" w:cs="Arial"/>
          <w:lang w:val="en-GB"/>
        </w:rPr>
        <w:t>al</w:t>
      </w:r>
      <w:r w:rsidR="008216EA" w:rsidRPr="008216EA">
        <w:rPr>
          <w:rFonts w:ascii="Arial" w:hAnsi="Arial" w:cs="Arial"/>
          <w:lang w:val="en-GB"/>
        </w:rPr>
        <w:t>., 2009)</w:t>
      </w:r>
      <w:r w:rsidR="008216EA" w:rsidRPr="008216EA">
        <w:rPr>
          <w:rFonts w:ascii="Arial" w:hAnsi="Arial" w:cs="Arial"/>
          <w:lang w:val="en-GB"/>
        </w:rPr>
        <w:fldChar w:fldCharType="end"/>
      </w:r>
      <w:r w:rsidR="008216EA" w:rsidRPr="008216EA">
        <w:rPr>
          <w:rFonts w:ascii="Arial" w:hAnsi="Arial" w:cs="Arial"/>
          <w:lang w:val="en-GB"/>
        </w:rPr>
        <w:t>. Since pathophysiology emphasizes neuron</w:t>
      </w:r>
      <w:r w:rsidR="00CC55DB">
        <w:rPr>
          <w:rFonts w:ascii="Arial" w:hAnsi="Arial" w:cs="Arial"/>
          <w:lang w:val="en-GB"/>
        </w:rPr>
        <w:t>al</w:t>
      </w:r>
      <w:r w:rsidR="008216EA" w:rsidRPr="008216EA">
        <w:rPr>
          <w:rFonts w:ascii="Arial" w:hAnsi="Arial" w:cs="Arial"/>
          <w:lang w:val="en-GB"/>
        </w:rPr>
        <w:t xml:space="preserve"> dysfunction and damage, and some patients present seizures that are refractory to available medications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{"citationItems":[{"id":"ITEM-1","itemData":{"DOI":"10.1016/j.tins.2012.11.008","ISSN":"01662236","PMID":"23298414","abstract":"Epilepsy is characterized by recurrent spontaneous seizures due to hyperexcitability and hypersynchrony of brain neurons. Current theories of pathophysiology stress neuronal dysfunction and damage, and aberrant connections as relevant factors. Most antiepileptic drugs target neuronal mechanisms. However, nearly one-third of patients have seizures that are refractory to available medications; a deeper understanding of mechanisms may be required to conceive more effective therapies. Recent studies point to a significant contribution by non-neuronal cells, the glia - especially astrocytes and microglia - in the pathophysiology of epilepsy. This review critically evaluates the role of glia-induced hyperexcitability and inflammation in epilepsy. © 2012 Elsevier Ltd.","author":[{"dropping-particle":"","family":"Devinsky","given":"Orrin","non-dropping-particle":"","parse-names":false,"suffix":""},{"dropping-particle":"","family":"Vezzani","given":"Annamaria","non-dropping-particle":"","parse-names":false,"suffix":""},{"dropping-particle":"","family":"Najjar","given":"Souhel","non-dropping-particle":"","parse-names":false,"suffix":""},{"dropping-particle":"","family":"Lanerolle","given":"Nihal C.","non-dropping-particle":"De","parse-names":false,"suffix":""},{"dropping-particle":"","family":"Rogawski","given":"Michael A.","non-dropping-particle":"","parse-names":false,"suffix":""}],"container-title":"Trends in Neurosciences","id":"ITEM-1","issue":"3","issued":{"date-parts":[["2013","3"]]},"page":"174-184","title":"Glia and epilepsy: Excitability and inflammation","type":"article","volume":"36"},"uris":["http://www.mendeley.com/documents/?uuid=88963e03-7a5e-378a-91b2-3eb6970dae46"]}],"mendeley":{"formattedCitation":"(Devinsky et al., 2013)","plainTextFormattedCitation":"(Devinsky et al., 2013)","previouslyFormattedCitation":"(Devinsky et al., 2013)"},"properties":{"noteIndex":0},"schema":"https://github.com/citation-style-language/schema/raw/master/csl-citation.json"}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(Devinsky et </w:t>
      </w:r>
      <w:r w:rsidR="00CC55DB" w:rsidRPr="00CC55DB">
        <w:rPr>
          <w:rFonts w:ascii="Arial" w:hAnsi="Arial" w:cs="Arial"/>
          <w:lang w:val="en-GB"/>
        </w:rPr>
        <w:t>al</w:t>
      </w:r>
      <w:r w:rsidR="008216EA" w:rsidRPr="008216EA">
        <w:rPr>
          <w:rFonts w:ascii="Arial" w:hAnsi="Arial" w:cs="Arial"/>
          <w:i/>
          <w:iCs/>
          <w:lang w:val="en-GB"/>
        </w:rPr>
        <w:t>.</w:t>
      </w:r>
      <w:r w:rsidR="008216EA" w:rsidRPr="008216EA">
        <w:rPr>
          <w:rFonts w:ascii="Arial" w:hAnsi="Arial" w:cs="Arial"/>
          <w:lang w:val="en-GB"/>
        </w:rPr>
        <w:t>, 2013)</w:t>
      </w:r>
      <w:r w:rsidR="008216EA" w:rsidRPr="008216EA">
        <w:rPr>
          <w:rFonts w:ascii="Arial" w:hAnsi="Arial" w:cs="Arial"/>
          <w:lang w:val="en-GB"/>
        </w:rPr>
        <w:fldChar w:fldCharType="end"/>
      </w:r>
      <w:r w:rsidR="008216EA" w:rsidRPr="008216EA">
        <w:rPr>
          <w:rFonts w:ascii="Arial" w:hAnsi="Arial" w:cs="Arial"/>
          <w:lang w:val="en-GB"/>
        </w:rPr>
        <w:t>, it is important to turn to nature to design a more effective therapy</w:t>
      </w:r>
      <w:r w:rsidR="00B95236" w:rsidRPr="001772DB">
        <w:rPr>
          <w:rFonts w:ascii="Arial" w:hAnsi="Arial" w:cs="Arial"/>
          <w:lang w:val="en-GB"/>
        </w:rPr>
        <w:t xml:space="preserve">. </w:t>
      </w:r>
    </w:p>
    <w:p w14:paraId="2A3B590E" w14:textId="77777777" w:rsidR="00505F06" w:rsidRPr="001772DB" w:rsidRDefault="00505F06" w:rsidP="00441B6F">
      <w:pPr>
        <w:pStyle w:val="Body"/>
        <w:spacing w:after="0"/>
        <w:rPr>
          <w:rFonts w:ascii="Arial" w:hAnsi="Arial" w:cs="Arial"/>
          <w:lang w:val="en-GB"/>
        </w:rPr>
      </w:pPr>
    </w:p>
    <w:p w14:paraId="14E31AC1" w14:textId="10007769" w:rsidR="008216EA" w:rsidRPr="008216EA" w:rsidRDefault="008216EA" w:rsidP="008216EA">
      <w:pPr>
        <w:pStyle w:val="Body"/>
        <w:spacing w:after="0"/>
        <w:rPr>
          <w:rFonts w:ascii="Arial" w:hAnsi="Arial" w:cs="Arial"/>
          <w:lang w:val="en-GB"/>
        </w:rPr>
      </w:pPr>
      <w:r w:rsidRPr="008216EA">
        <w:rPr>
          <w:rFonts w:ascii="Arial" w:hAnsi="Arial" w:cs="Arial"/>
          <w:lang w:val="en-GB"/>
        </w:rPr>
        <w:t xml:space="preserve">To treat this disease more effectively, it would be necessary to find drugs that are more tolerable, have fewer side effects, are accessible to </w:t>
      </w:r>
      <w:r w:rsidR="00CC55DB">
        <w:rPr>
          <w:rFonts w:ascii="Arial" w:hAnsi="Arial" w:cs="Arial"/>
          <w:lang w:val="en-GB"/>
        </w:rPr>
        <w:t>al</w:t>
      </w:r>
      <w:r w:rsidRPr="008216EA">
        <w:rPr>
          <w:rFonts w:ascii="Arial" w:hAnsi="Arial" w:cs="Arial"/>
          <w:lang w:val="en-GB"/>
        </w:rPr>
        <w:t>l soci</w:t>
      </w:r>
      <w:r w:rsidR="00CC55DB">
        <w:rPr>
          <w:rFonts w:ascii="Arial" w:hAnsi="Arial" w:cs="Arial"/>
          <w:lang w:val="en-GB"/>
        </w:rPr>
        <w:t>al</w:t>
      </w:r>
      <w:r w:rsidRPr="008216EA">
        <w:rPr>
          <w:rFonts w:ascii="Arial" w:hAnsi="Arial" w:cs="Arial"/>
          <w:lang w:val="en-GB"/>
        </w:rPr>
        <w:t xml:space="preserve"> classes and act on </w:t>
      </w:r>
      <w:proofErr w:type="spellStart"/>
      <w:r w:rsidRPr="008216EA">
        <w:rPr>
          <w:rFonts w:ascii="Arial" w:hAnsi="Arial" w:cs="Arial"/>
          <w:lang w:val="en-GB"/>
        </w:rPr>
        <w:t>epileptogenesis</w:t>
      </w:r>
      <w:proofErr w:type="spellEnd"/>
      <w:r w:rsidRPr="008216EA">
        <w:rPr>
          <w:rFonts w:ascii="Arial" w:hAnsi="Arial" w:cs="Arial"/>
          <w:lang w:val="en-GB"/>
        </w:rPr>
        <w:t xml:space="preserve"> </w:t>
      </w:r>
      <w:r w:rsidRPr="008216EA">
        <w:rPr>
          <w:rFonts w:ascii="Arial" w:hAnsi="Arial" w:cs="Arial"/>
          <w:lang w:val="en-GB"/>
        </w:rPr>
        <w:fldChar w:fldCharType="begin"/>
      </w:r>
      <w:r w:rsidRPr="008216EA">
        <w:rPr>
          <w:rFonts w:ascii="Arial" w:hAnsi="Arial" w:cs="Arial"/>
          <w:lang w:val="en-GB"/>
        </w:rPr>
        <w:instrText>ADDIN CSL_CITATION {"citationItems":[{"id":"ITEM-1","itemData":{"DOI":"10.1016/S0920-1211(02)00072-4","ISSN":"09201211","PMID":"12151121","abstract":"Local or systemic administration of pilocarpine and kainate in rodents leads to a pattern of repetitive limbic seizures and status epilepticus, which can last for several hours. A latent period follows status epilepticus and precedes a chronic phase, which is characterized by the occurrence of spontaneous limbic seizures. These distinct features, in a single animal preparation, of an acute damage induced by status epilepticus, a silent interval between injury and the onset of spontaneous seizures, and a chronic epileptic state have allowed antiepileptic drug (AED) studies with different purposes, (a) in the acute phase, identification of compounds with efficacy against refractory status epilepticus and/or neuroprotection against damage induced by sustained seizures; (b) in the latent period, identification of agents with a potential for preventing epileptogenesis and/or against seizure-induced long-term behavioral deficits and (c) in the chronic phase, testing drugs effective against partial and secondarily generalized seizures. Studies on pilocarpine and kainate models have pointed out that some AEDs or other compounds exert an antiepileptogenic effect. The analogy of the latent phase of pilocarpine and kainate models with the acquisition of amygdala kindling should encourage testing of drugs that have proved to suppress the evolution of amygdala kindling. Drug testing in the chronic phase should not address only the suppression of secondarily generalized motor seizures. Most of current tools used to quantify spontaneous seizure events need to be coupled to electrophysiology and more sophisticated systems for recording and analyzing behavior. © 2002 Elsevier Science B.V. All rights reserved.","author":[{"dropping-particle":"","family":"Leite","given":"J. P.","non-dropping-particle":"","parse-names":false,"suffix":""},{"dropping-particle":"","family":"Garcia-Cairasco","given":"N.","non-dropping-particle":"","parse-names":false,"suffix":""},{"dropping-particle":"","family":"Cavalheiro","given":"E. A.","non-dropping-particle":"","parse-names":false,"suffix":""}],"container-title":"Epilepsy Research","id":"ITEM-1","issue":"1-2","issued":{"date-parts":[["2002"]]},"page":"93-103","title":"New insights from the use of pilocarpine and kainate models","type":"article-journal","volume":"50"},"uris":["http://www.mendeley.com/documents/?uuid=32cf773e-5622-4782-aa8d-9279675fa962"]}],"mendeley":{"formattedCitation":"(Leite et al., 2002)","plainTextFormattedCitation":"(Leite et al., 2002)","previouslyFormattedCitation":"(Leite et al., 2002)"},"properties":{"noteIndex":0},"schema":"https://github.com/citation-style-language/schema/raw/master/csl-citation.json"}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(Leite et </w:t>
      </w:r>
      <w:r w:rsidR="00CC55DB" w:rsidRPr="00CC55DB">
        <w:rPr>
          <w:rFonts w:ascii="Arial" w:hAnsi="Arial" w:cs="Arial"/>
          <w:lang w:val="en-GB"/>
        </w:rPr>
        <w:t>al</w:t>
      </w:r>
      <w:r w:rsidRPr="008216EA">
        <w:rPr>
          <w:rFonts w:ascii="Arial" w:hAnsi="Arial" w:cs="Arial"/>
          <w:i/>
          <w:iCs/>
          <w:lang w:val="en-GB"/>
        </w:rPr>
        <w:t>.</w:t>
      </w:r>
      <w:r w:rsidRPr="008216EA">
        <w:rPr>
          <w:rFonts w:ascii="Arial" w:hAnsi="Arial" w:cs="Arial"/>
          <w:lang w:val="en-GB"/>
        </w:rPr>
        <w:t>, 2002)</w:t>
      </w:r>
      <w:r w:rsidRPr="008216EA">
        <w:rPr>
          <w:rFonts w:ascii="Arial" w:hAnsi="Arial" w:cs="Arial"/>
          <w:lang w:val="en-GB"/>
        </w:rPr>
        <w:fldChar w:fldCharType="end"/>
      </w:r>
      <w:r w:rsidRPr="008216EA">
        <w:rPr>
          <w:rFonts w:ascii="Arial" w:hAnsi="Arial" w:cs="Arial"/>
          <w:lang w:val="en-GB"/>
        </w:rPr>
        <w:t>. Therefore, it is essenti</w:t>
      </w:r>
      <w:r w:rsidR="00CC55DB">
        <w:rPr>
          <w:rFonts w:ascii="Arial" w:hAnsi="Arial" w:cs="Arial"/>
          <w:lang w:val="en-GB"/>
        </w:rPr>
        <w:t>al</w:t>
      </w:r>
      <w:r w:rsidRPr="008216EA">
        <w:rPr>
          <w:rFonts w:ascii="Arial" w:hAnsi="Arial" w:cs="Arial"/>
          <w:lang w:val="en-GB"/>
        </w:rPr>
        <w:t xml:space="preserve"> for scientific researchers to turn to medicin</w:t>
      </w:r>
      <w:r w:rsidR="00CC55DB">
        <w:rPr>
          <w:rFonts w:ascii="Arial" w:hAnsi="Arial" w:cs="Arial"/>
          <w:lang w:val="en-GB"/>
        </w:rPr>
        <w:t>al</w:t>
      </w:r>
      <w:r w:rsidRPr="008216EA">
        <w:rPr>
          <w:rFonts w:ascii="Arial" w:hAnsi="Arial" w:cs="Arial"/>
          <w:lang w:val="en-GB"/>
        </w:rPr>
        <w:t xml:space="preserve"> plants, given that more than 80% of the population of developing countries uses them to </w:t>
      </w:r>
      <w:r w:rsidR="00CC55DB">
        <w:rPr>
          <w:rFonts w:ascii="Arial" w:hAnsi="Arial" w:cs="Arial"/>
          <w:lang w:val="en-GB"/>
        </w:rPr>
        <w:t>al</w:t>
      </w:r>
      <w:r w:rsidRPr="008216EA">
        <w:rPr>
          <w:rFonts w:ascii="Arial" w:hAnsi="Arial" w:cs="Arial"/>
          <w:lang w:val="en-GB"/>
        </w:rPr>
        <w:t>leviate various he</w:t>
      </w:r>
      <w:r w:rsidR="00CC55DB">
        <w:rPr>
          <w:rFonts w:ascii="Arial" w:hAnsi="Arial" w:cs="Arial"/>
          <w:lang w:val="en-GB"/>
        </w:rPr>
        <w:t>al</w:t>
      </w:r>
      <w:r w:rsidRPr="008216EA">
        <w:rPr>
          <w:rFonts w:ascii="Arial" w:hAnsi="Arial" w:cs="Arial"/>
          <w:lang w:val="en-GB"/>
        </w:rPr>
        <w:t xml:space="preserve">th problems </w:t>
      </w:r>
      <w:r w:rsidRPr="008216EA">
        <w:rPr>
          <w:rFonts w:ascii="Arial" w:hAnsi="Arial" w:cs="Arial"/>
          <w:lang w:val="en-GB"/>
        </w:rPr>
        <w:fldChar w:fldCharType="begin"/>
      </w:r>
      <w:r w:rsidRPr="008216EA">
        <w:rPr>
          <w:rFonts w:ascii="Arial" w:hAnsi="Arial" w:cs="Arial"/>
          <w:lang w:val="en-GB"/>
        </w:rPr>
        <w:instrText>ADDIN CSL_CITATION {"citationItems":[{"id":"ITEM-1","itemData":{"DOI":"10.1016/j.jep.2003.11.009","ISSN":"03788741","PMID":"15036466","abstract":"Ajuga iva (L.) Schreber (AI), is widely used in the Moroccan pharmacopoeia as a panacea (cure-all), and specifically for gastrointestinal disorders and diabetes, and as an anthelmintic. No toxicological investigations have been carried out on this plant. We have previously observed that single oral doses (2-14g/kg) of a lyophilised aqueous extract of AI (AI-extract) in mice or daily oral administration of 10mg/kg of AI-extract in rats for 2 weeks did not result in any adverse effects. We have now evaluated AI-extract for its behavioural and pharmaco-toxicological effects after acute and chronic administration by the oral and intraperitoneal routes in rats and mice. No toxicity was observed in mice after single oral doses of as high as 14g/kg of the AI-extract. However, single intraperitoneal injections of the AI-extract (1500-5500mg/kg BW) produced a dose-dependent increase in adverse effects in the general behaviour and the mortality rate; the LD50 of acute intraperitoneal dose was 3.6g/kg. In chronic toxicological studies in rats, the AI-extract (administered orally at daily doses of 100, 300 and 600mg/kg for 3 months), did not cause any changes in haematological and biochemical parameters, with the exception of a transient rise in platelet counts and a short-term decrease in serum glucose levels. Histopathological examination of the brain, liver and the kidneys at the end of the study (3 months) showed normal architecture suggesting no morphological disturbances. © 2003 Elsevier Ireland Ltd. All rights reserved.","author":[{"dropping-particle":"","family":"Hilaly","given":"Jaouad","non-dropping-particle":"El","parse-names":false,"suffix":""},{"dropping-particle":"","family":"Israili","given":"Zafar H.","non-dropping-particle":"","parse-names":false,"suffix":""},{"dropping-particle":"","family":"Lyoussi","given":"Badiâa","non-dropping-particle":"","parse-names":false,"suffix":""}],"container-title":"Journal of Ethnopharmacology","id":"ITEM-1","issue":"1","issued":{"date-parts":[["2004"]]},"page":"43-50","title":"Acute and chronic toxicological studies of Ajuga iva in experimental animals","type":"article-journal","volume":"91"},"uris":["http://www.mendeley.com/documents/?uuid=504f129e-21a0-451b-b6ed-26ad26dd715b"]}],"mendeley":{"formattedCitation":"(El Hilaly et al., 2004)","plainTextFormattedCitation":"(El Hilaly et al., 2004)","previouslyFormattedCitation":"(El Hilaly et al., 2004)"},"properties":{"noteIndex":0},"schema":"https://github.com/citation-style-language/schema/raw/master/csl-citation.json"}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(El Hil</w:t>
      </w:r>
      <w:r w:rsidR="00CC55DB">
        <w:rPr>
          <w:rFonts w:ascii="Arial" w:hAnsi="Arial" w:cs="Arial"/>
          <w:lang w:val="en-GB"/>
        </w:rPr>
        <w:t>al</w:t>
      </w:r>
      <w:r w:rsidRPr="008216EA">
        <w:rPr>
          <w:rFonts w:ascii="Arial" w:hAnsi="Arial" w:cs="Arial"/>
          <w:lang w:val="en-GB"/>
        </w:rPr>
        <w:t xml:space="preserve">y et </w:t>
      </w:r>
      <w:r w:rsidR="00CC55DB" w:rsidRPr="00CC55DB">
        <w:rPr>
          <w:rFonts w:ascii="Arial" w:hAnsi="Arial" w:cs="Arial"/>
          <w:lang w:val="en-GB"/>
        </w:rPr>
        <w:t>al</w:t>
      </w:r>
      <w:r w:rsidRPr="00CC55DB">
        <w:rPr>
          <w:rFonts w:ascii="Arial" w:hAnsi="Arial" w:cs="Arial"/>
          <w:lang w:val="en-GB"/>
        </w:rPr>
        <w:t>.</w:t>
      </w:r>
      <w:r w:rsidRPr="008216EA">
        <w:rPr>
          <w:rFonts w:ascii="Arial" w:hAnsi="Arial" w:cs="Arial"/>
          <w:lang w:val="en-GB"/>
        </w:rPr>
        <w:t>, 2004)</w:t>
      </w:r>
      <w:r w:rsidRPr="008216EA">
        <w:rPr>
          <w:rFonts w:ascii="Arial" w:hAnsi="Arial" w:cs="Arial"/>
          <w:lang w:val="en-GB"/>
        </w:rPr>
        <w:fldChar w:fldCharType="end"/>
      </w:r>
      <w:r w:rsidRPr="008216EA">
        <w:rPr>
          <w:rFonts w:ascii="Arial" w:hAnsi="Arial" w:cs="Arial"/>
          <w:lang w:val="en-GB"/>
        </w:rPr>
        <w:t xml:space="preserve">. </w:t>
      </w:r>
    </w:p>
    <w:p w14:paraId="4BE56F9D" w14:textId="77777777" w:rsidR="008216EA" w:rsidRPr="001772DB" w:rsidRDefault="008216EA" w:rsidP="008216EA">
      <w:pPr>
        <w:pStyle w:val="Body"/>
        <w:spacing w:after="0"/>
        <w:rPr>
          <w:rFonts w:ascii="Arial" w:hAnsi="Arial" w:cs="Arial"/>
          <w:lang w:val="en-GB"/>
        </w:rPr>
      </w:pPr>
    </w:p>
    <w:p w14:paraId="218AEF6C" w14:textId="24448389" w:rsidR="008216EA" w:rsidRPr="008216EA" w:rsidRDefault="00797ECD" w:rsidP="008216EA">
      <w:pPr>
        <w:pStyle w:val="Body"/>
        <w:spacing w:after="0"/>
        <w:rPr>
          <w:rFonts w:ascii="Arial" w:hAnsi="Arial" w:cs="Arial"/>
          <w:lang w:val="en-GB"/>
        </w:rPr>
      </w:pPr>
      <w:r>
        <w:rPr>
          <w:rFonts w:ascii="Arial" w:hAnsi="Arial" w:cs="Arial"/>
          <w:lang w:val="en-GB"/>
        </w:rPr>
        <w:t>“</w:t>
      </w:r>
      <w:r w:rsidR="008216EA" w:rsidRPr="008216EA">
        <w:rPr>
          <w:rFonts w:ascii="Arial" w:hAnsi="Arial" w:cs="Arial"/>
          <w:lang w:val="en-GB"/>
        </w:rPr>
        <w:t xml:space="preserve">The interest of our study is focused on </w:t>
      </w:r>
      <w:proofErr w:type="spellStart"/>
      <w:r w:rsidR="008216EA" w:rsidRPr="008216EA">
        <w:rPr>
          <w:rFonts w:ascii="Arial" w:hAnsi="Arial" w:cs="Arial"/>
          <w:i/>
          <w:iCs/>
          <w:lang w:val="en-GB"/>
        </w:rPr>
        <w:t>Crassoceph</w:t>
      </w:r>
      <w:r w:rsidR="00CC55DB">
        <w:rPr>
          <w:rFonts w:ascii="Arial" w:hAnsi="Arial" w:cs="Arial"/>
          <w:i/>
          <w:iCs/>
          <w:lang w:val="en-GB"/>
        </w:rPr>
        <w:t>al</w:t>
      </w:r>
      <w:r w:rsidR="008216EA" w:rsidRPr="008216EA">
        <w:rPr>
          <w:rFonts w:ascii="Arial" w:hAnsi="Arial" w:cs="Arial"/>
          <w:i/>
          <w:iCs/>
          <w:lang w:val="en-GB"/>
        </w:rPr>
        <w:t>um</w:t>
      </w:r>
      <w:proofErr w:type="spellEnd"/>
      <w:r w:rsidR="008216EA" w:rsidRPr="008216EA">
        <w:rPr>
          <w:rFonts w:ascii="Arial" w:hAnsi="Arial" w:cs="Arial"/>
          <w:i/>
          <w:iCs/>
          <w:lang w:val="en-GB"/>
        </w:rPr>
        <w:t xml:space="preserve"> </w:t>
      </w:r>
      <w:proofErr w:type="spellStart"/>
      <w:r w:rsidR="008216EA" w:rsidRPr="008216EA">
        <w:rPr>
          <w:rFonts w:ascii="Arial" w:hAnsi="Arial" w:cs="Arial"/>
          <w:i/>
          <w:iCs/>
          <w:lang w:val="en-GB"/>
        </w:rPr>
        <w:t>bauchiense</w:t>
      </w:r>
      <w:proofErr w:type="spellEnd"/>
      <w:r w:rsidR="008216EA" w:rsidRPr="008216EA">
        <w:rPr>
          <w:rFonts w:ascii="Arial" w:hAnsi="Arial" w:cs="Arial"/>
          <w:lang w:val="en-GB"/>
        </w:rPr>
        <w:t xml:space="preserve"> of the Asteraceae family, which is a medicin</w:t>
      </w:r>
      <w:r w:rsidR="00CC55DB">
        <w:rPr>
          <w:rFonts w:ascii="Arial" w:hAnsi="Arial" w:cs="Arial"/>
          <w:lang w:val="en-GB"/>
        </w:rPr>
        <w:t>al</w:t>
      </w:r>
      <w:r w:rsidR="008216EA" w:rsidRPr="008216EA">
        <w:rPr>
          <w:rFonts w:ascii="Arial" w:hAnsi="Arial" w:cs="Arial"/>
          <w:lang w:val="en-GB"/>
        </w:rPr>
        <w:t xml:space="preserve"> plant known for its benefici</w:t>
      </w:r>
      <w:r w:rsidR="00CC55DB">
        <w:rPr>
          <w:rFonts w:ascii="Arial" w:hAnsi="Arial" w:cs="Arial"/>
          <w:lang w:val="en-GB"/>
        </w:rPr>
        <w:t>al</w:t>
      </w:r>
      <w:r w:rsidR="008216EA" w:rsidRPr="008216EA">
        <w:rPr>
          <w:rFonts w:ascii="Arial" w:hAnsi="Arial" w:cs="Arial"/>
          <w:lang w:val="en-GB"/>
        </w:rPr>
        <w:t xml:space="preserve"> effects in Cameroonian tradition</w:t>
      </w:r>
      <w:r w:rsidR="00CC55DB">
        <w:rPr>
          <w:rFonts w:ascii="Arial" w:hAnsi="Arial" w:cs="Arial"/>
          <w:lang w:val="en-GB"/>
        </w:rPr>
        <w:t>al</w:t>
      </w:r>
      <w:r w:rsidR="008216EA" w:rsidRPr="008216EA">
        <w:rPr>
          <w:rFonts w:ascii="Arial" w:hAnsi="Arial" w:cs="Arial"/>
          <w:lang w:val="en-GB"/>
        </w:rPr>
        <w:t xml:space="preserve"> medicine in the treatment of many disorders including gastrointestin</w:t>
      </w:r>
      <w:r w:rsidR="00CC55DB">
        <w:rPr>
          <w:rFonts w:ascii="Arial" w:hAnsi="Arial" w:cs="Arial"/>
          <w:lang w:val="en-GB"/>
        </w:rPr>
        <w:t>al</w:t>
      </w:r>
      <w:r w:rsidR="008216EA" w:rsidRPr="008216EA">
        <w:rPr>
          <w:rFonts w:ascii="Arial" w:hAnsi="Arial" w:cs="Arial"/>
          <w:lang w:val="en-GB"/>
        </w:rPr>
        <w:t xml:space="preserve"> infestations, infantile convulsions, epilepsy and anxiety</w:t>
      </w:r>
      <w:r>
        <w:rPr>
          <w:rFonts w:ascii="Arial" w:hAnsi="Arial" w:cs="Arial"/>
          <w:lang w:val="en-GB"/>
        </w:rPr>
        <w:t>”</w:t>
      </w:r>
      <w:r w:rsidR="008216EA" w:rsidRPr="008216EA">
        <w:rPr>
          <w:rFonts w:ascii="Arial" w:hAnsi="Arial" w:cs="Arial"/>
          <w:lang w:val="en-GB"/>
        </w:rPr>
        <w:t xml:space="preserve">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{"citationItems":[{"id":"ITEM-1","itemData":{"DOI":"10.1186/1472-6882-11-43","ISSN":"14726882","PMID":"21615960","abstract":"Background: The emergence in recent years of numerous resistant strains of pathogenic bacteria to a range of formerly efficient antibiotics constitutes a serious threat to public health. Crassocephalum bauchiense, a medicinal herb found in the West Region of Cameroon is used to treat gastrointestinal infections as well as liver disorders. The ethyl acetate extract from the leaves of C. bauchiense was evaluated for its antibacterial activity as well as acute and sub-acute toxicities.Methods: The plant extract was prepared by maceration in ethyl acetate. Its phytochemical screening was done by standard methods. The broth microdilution method was used to evaluate the in vitro antibacterial activity. The in vivo antibacterial activity of a gel formulation (0.05, 1 and 2% w/v) of this extract was evaluated using a Staphylococcus aureus-induced dermatitis in a murine model. Selected haematological and biochemical parameters were used to evaluate the dermal sub-acute toxicity of the extract in rats.Results: Phytochemical screening of the C. bauchiense extract revealed the presence of alkaloids, phenols, tannins and sterols. In vitro antibacterial activities were observed against all the tested microorganisms (MIC = 0.04-6.25 mg/ml). Formulated extract-gel (2% w/v) and gentamycin (reference drug) eradicated the microbial infection after five days of treatment. A single dermal dose of this extract up to 32 g/kg body weight (bw) did not produce any visible sign of toxicity. Also, daily dermal application of the C. bauchiense extract gel formulation for 28 days did not show any negative effect, instead some biochemical parameters such as alanine aminotransferase (ALT and AST), low density lipoprotein (LDL), high density lipoprotein (HDL) and triglycerides were significantly (p &lt; 0.05) affected positively.Conclusion: These results indicate that the C. bauchiense ethyl acetate extract can be used safely for the treatment of some bacterial infections. © 2011 Mouokeu et al; licensee BioMed Central Ltd.","author":[{"dropping-particle":"","family":"Mouokeu","given":"Raymond S.","non-dropping-particle":"","parse-names":false,"suffix":""},{"dropping-particle":"","family":"Ngono","given":"Rosalie A.N.","non-dropping-particle":"","parse-names":false,"suffix":""},{"dropping-particle":"","family":"Lunga","given":"Paul K.","non-dropping-particle":"","parse-names":false,"suffix":""},{"dropping-particle":"","family":"Koanga","given":"Martin M.","non-dropping-particle":"","parse-names":false,"suffix":""},{"dropping-particle":"","family":"Tiabou","given":"Alambert T.","non-dropping-particle":"","parse-names":false,"suffix":""},{"dropping-particle":"","family":"Njateng","given":"Guy S.S.","non-dropping-particle":"","parse-names":false,"suffix":""},{"dropping-particle":"","family":"Tamokou","given":"Jean D.D.","non-dropping-particle":"","parse-names":false,"suffix":""},{"dropping-particle":"","family":"Kuiate","given":"Jules Roger","non-dropping-particle":"","parse-names":false,"suffix":""}],"container-title":"BMC Complementary and Alternative Medicine","id":"ITEM-1","issued":{"date-parts":[["2011","5","26"]]},"title":"Antibacterial and dermal toxicological profiles of ethyl acetate extract from Crassocephalum bauchiense (Hutch.) Milne-Redh (Asteraceae)","type":"article-journal","volume":"11"},"uris":["http://www.mendeley.com/documents/?uuid=719b3e3c-2074-3d4b-96cd-336409012ca3"]}],"mendeley":{"formattedCitation":"(Mouokeu et al., 2011)","plainTextFormattedCitation":"(Mouokeu et al., 2011)","previouslyFormattedCitation":"(Mouokeu et al., 2011)"},"properties":{"noteIndex":0},"schema":"https://github.com/citation-style-language/schema/raw/master/csl-citation.json"}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(Mouokeu et </w:t>
      </w:r>
      <w:r w:rsidR="00CC55DB" w:rsidRPr="00CC55DB">
        <w:rPr>
          <w:rFonts w:ascii="Arial" w:hAnsi="Arial" w:cs="Arial"/>
          <w:lang w:val="en-GB"/>
        </w:rPr>
        <w:t>al</w:t>
      </w:r>
      <w:r w:rsidR="008216EA" w:rsidRPr="00CC55DB">
        <w:rPr>
          <w:rFonts w:ascii="Arial" w:hAnsi="Arial" w:cs="Arial"/>
          <w:lang w:val="en-GB"/>
        </w:rPr>
        <w:t>.</w:t>
      </w:r>
      <w:r w:rsidR="008216EA" w:rsidRPr="008216EA">
        <w:rPr>
          <w:rFonts w:ascii="Arial" w:hAnsi="Arial" w:cs="Arial"/>
          <w:lang w:val="en-GB"/>
        </w:rPr>
        <w:t>, 2011)</w:t>
      </w:r>
      <w:r w:rsidR="008216EA" w:rsidRPr="008216EA">
        <w:rPr>
          <w:rFonts w:ascii="Arial" w:hAnsi="Arial" w:cs="Arial"/>
          <w:lang w:val="en-GB"/>
        </w:rPr>
        <w:fldChar w:fldCharType="end"/>
      </w:r>
      <w:r w:rsidR="008216EA" w:rsidRPr="008216EA">
        <w:rPr>
          <w:rFonts w:ascii="Arial" w:hAnsi="Arial" w:cs="Arial"/>
          <w:lang w:val="en-GB"/>
        </w:rPr>
        <w:t xml:space="preserve">. </w:t>
      </w:r>
      <w:r>
        <w:rPr>
          <w:rFonts w:ascii="Arial" w:hAnsi="Arial" w:cs="Arial"/>
          <w:lang w:val="en-GB"/>
        </w:rPr>
        <w:t>“</w:t>
      </w:r>
      <w:r w:rsidR="00912A28">
        <w:rPr>
          <w:rFonts w:ascii="Arial" w:hAnsi="Arial" w:cs="Arial"/>
          <w:lang w:val="en-GB"/>
        </w:rPr>
        <w:t>Previous</w:t>
      </w:r>
      <w:r w:rsidR="008216EA" w:rsidRPr="008216EA">
        <w:rPr>
          <w:rFonts w:ascii="Arial" w:hAnsi="Arial" w:cs="Arial"/>
          <w:lang w:val="en-GB"/>
        </w:rPr>
        <w:t xml:space="preserve"> studies have shown an antinociceptive activity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{"citationItems":[{"id":"ITEM-1","itemData":{"DOI":"10.1016/j.jep.2012.02.024ï","author":[{"dropping-particle":"","family":"Sotoing Taïwe","given":"Germain","non-dropping-particle":"","parse-names":false,"suffix":""},{"dropping-particle":"","family":"Bum","given":"Elisabeth Ngo","non-dropping-particle":"","parse-names":false,"suffix":""},{"dropping-particle":"","family":"Talla","given":"Emmanuel","non-dropping-particle":"","parse-names":false,"suffix":""},{"dropping-particle":"","family":"Dimo","given":"Théophile","non-dropping-particle":"","parse-names":false,"suffix":""},{"dropping-particle":"","family":"Sidiki","given":"Neteydji","non-dropping-particle":"","parse-names":false,"suffix":""},{"dropping-particle":"","family":"Dawe","given":"Amadou","non-dropping-particle":"","parse-names":false,"suffix":""},{"dropping-particle":"","family":"Nguimbou","given":"Richard Marcel","non-dropping-particle":"","parse-names":false,"suffix":""},{"dropping-particle":"","family":"Désiré","given":"Paul","non-dropping-particle":"","parse-names":false,"suffix":""},{"dropping-particle":"","family":"Dzeufiet","given":"Djomeni","non-dropping-particle":"","parse-names":false,"suffix":""},{"dropping-particle":"","family":"Waard","given":"Michel","non-dropping-particle":"De","parse-names":false,"suffix":""}],"container-title":"Journal of Ethnopharmacology","id":"ITEM-1","issue":"1","issued":{"date-parts":[["2012"]]},"page":"234-275","publisher":"Elsevier","title":"Evaluation of antinociceptive effects of Crassocephalum bauchiense Hutch (Asteraceae) leaf extract in rodents.. Evaluation of antinociceptive effects of Crassocephalum bauchiense Hutch (Asteraceae) leaf extract in rodents","type":"article-journal","volume":"141"},"uris":["http://www.mendeley.com/documents/?uuid=f5be1f3d-40de-3708-854f-49fa2e33fd4c"]}],"mendeley":{"formattedCitation":"(Sotoing Taïwe et al., 2012a)","manualFormatting":"(Taïwe et al., 2012a)","plainTextFormattedCitation":"(Sotoing Taïwe et al., 2012a)","previouslyFormattedCitation":"(Sotoing Taïwe et al., 2012a)"},"properties":{"noteIndex":0},"schema":"https://github.com/citation-style-language/schema/raw/master/csl-citation.json"}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(Ta</w:t>
      </w:r>
      <w:r w:rsidR="00011AD6" w:rsidRPr="001772DB">
        <w:rPr>
          <w:rFonts w:ascii="Arial" w:hAnsi="Arial" w:cs="Arial"/>
          <w:lang w:val="en-GB"/>
        </w:rPr>
        <w:t>i</w:t>
      </w:r>
      <w:r w:rsidR="008216EA" w:rsidRPr="008216EA">
        <w:rPr>
          <w:rFonts w:ascii="Arial" w:hAnsi="Arial" w:cs="Arial"/>
          <w:lang w:val="en-GB"/>
        </w:rPr>
        <w:t xml:space="preserve">we et </w:t>
      </w:r>
      <w:r w:rsidR="00CC55DB">
        <w:rPr>
          <w:rFonts w:ascii="Arial" w:hAnsi="Arial" w:cs="Arial"/>
          <w:i/>
          <w:iCs/>
          <w:lang w:val="en-GB"/>
        </w:rPr>
        <w:t>al</w:t>
      </w:r>
      <w:r w:rsidR="008216EA" w:rsidRPr="008216EA">
        <w:rPr>
          <w:rFonts w:ascii="Arial" w:hAnsi="Arial" w:cs="Arial"/>
          <w:i/>
          <w:iCs/>
          <w:lang w:val="en-GB"/>
        </w:rPr>
        <w:t>.</w:t>
      </w:r>
      <w:r w:rsidR="008216EA" w:rsidRPr="008216EA">
        <w:rPr>
          <w:rFonts w:ascii="Arial" w:hAnsi="Arial" w:cs="Arial"/>
          <w:lang w:val="en-GB"/>
        </w:rPr>
        <w:t>, 2012a)</w:t>
      </w:r>
      <w:r w:rsidR="008216EA" w:rsidRPr="008216EA">
        <w:rPr>
          <w:rFonts w:ascii="Arial" w:hAnsi="Arial" w:cs="Arial"/>
          <w:lang w:val="en-GB"/>
        </w:rPr>
        <w:fldChar w:fldCharType="end"/>
      </w:r>
      <w:r w:rsidR="008216EA" w:rsidRPr="008216EA">
        <w:rPr>
          <w:rFonts w:ascii="Arial" w:hAnsi="Arial" w:cs="Arial"/>
          <w:lang w:val="en-GB"/>
        </w:rPr>
        <w:t>, as well as antipsychotic and sedative effects</w:t>
      </w:r>
      <w:r>
        <w:rPr>
          <w:rFonts w:ascii="Arial" w:hAnsi="Arial" w:cs="Arial"/>
          <w:lang w:val="en-GB"/>
        </w:rPr>
        <w:t>”</w:t>
      </w:r>
      <w:r w:rsidR="008216EA" w:rsidRPr="008216EA">
        <w:rPr>
          <w:rFonts w:ascii="Arial" w:hAnsi="Arial" w:cs="Arial"/>
          <w:lang w:val="en-GB"/>
        </w:rPr>
        <w:t xml:space="preserve"> </w:t>
      </w:r>
      <w:r w:rsidR="008216EA" w:rsidRPr="008216EA">
        <w:rPr>
          <w:rFonts w:ascii="Arial" w:hAnsi="Arial" w:cs="Arial"/>
          <w:bCs/>
          <w:lang w:val="en-GB"/>
        </w:rPr>
        <w:fldChar w:fldCharType="begin"/>
      </w:r>
      <w:r w:rsidR="008216EA" w:rsidRPr="008216EA">
        <w:rPr>
          <w:rFonts w:ascii="Arial" w:hAnsi="Arial" w:cs="Arial"/>
          <w:bCs/>
          <w:lang w:val="en-GB"/>
        </w:rPr>
        <w:instrText>ADDIN CSL_CITATION {"citationItems":[{"id":"ITEM-1","itemData":{"DOI":"10.1016/j.jep.2012.06.026","ISSN":"03788741","abstract":"Ethnopharmacological relevance: Crassocephalum bauchiense (Hutch.) Milne-Redh (Asteraceae) has been used as a medicine for the treatment of epilepsy, insomnia, dementia and psychotic disorders in Cameroonian traditional medicine. Aim of the study: This study was designed to examine whether the aqueous extract and the alkaloid fraction prepared from the leaves of Crassocephalum bauchiense possess antipsychotic and sedative properties in rodents. Materials and methods: The rectal temperature of mice was recorded with a probe thermometer at a constant depth. Novelty-induced rearing behavior is used to evaluate a central excitatory locomotor behavior in mice. The antipsychotic effects of the extracts were assessed using the apomorphine animal model of psychosis. The catalepsy test was tested based on the ability of the leaves extracts of Crassocephalum bauchiense to alter the duration of akinesia by placing the naive mice with both forelegs over a horizontal bar. The extracts of Crassocephalum bauchiense effects were evaluated on sodium pentobarbital-induced sleeping time. In addition, gamma-aminobutyric acid concentrations in the brain treated mice were also estimated. Results: The aqueous extract and the alkaloid fraction from Crassocephalum bauchiense caused dose-dependent inhibition of novelty-induced rearing behavior, decreased the apomorphine-induced stereotypy and fighting, and had significant fall of the body temperature. The aqueous extract prolonged the sodium pentobarbital sleeping time. This prolongation was not reversed by bicuculline, a light-sensitive competitive antagonist of GABAA receptors complex. However, the effect of the aqueous extract on sodium pentobarbital-induced sleeping time was blocked by N-methyl-β-carboline-3-carboxamide, a partial inverse agonist of the benzodiazepine site in the GABAA receptor complex and flumazenil, a specific antagonist of the benzodiazepine site in the GABAA receptor complex. In biochemical experiments, the concentration of the inhibitory amino acid, gamma-aminobutyric acid, was significantly increased in the brain of animals treated with the aqueous extract of Crassocephalum bauchiense and sodium valproate. Conclusions: The results show that the antipsychotic and sedative properties of Crassocephalum bauchiense are possibly mediated via the blockade of dopamine D-2 receptors and GABAergic activation, respectively. However, pharmacological and chemical studies are continuing in order to characterize the …","author":[{"dropping-particle":"","family":"Sotoing Taïwe","given":"Germain","non-dropping-particle":"","parse-names":false,"suffix":""},{"dropping-particle":"","family":"Ngo Bum","given":"Elisabeth","non-dropping-particle":"","parse-names":false,"suffix":""},{"dropping-particle":"","family":"Talla","given":"Emmanuel","non-dropping-particle":"","parse-names":false,"suffix":""},{"dropping-particle":"","family":"Dawe","given":"Amadou","non-dropping-particle":"","parse-names":false,"suffix":""},{"dropping-particle":"","family":"Okomolo Moto","given":"Fleur Clarisse","non-dropping-particle":"","parse-names":false,"suffix":""},{"dropping-particle":"","family":"Temkou Ngoupaye","given":"Gwladys","non-dropping-particle":"","parse-names":false,"suffix":""},{"dropping-particle":"","family":"Sidiki","given":"Neteydji","non-dropping-particle":"","parse-names":false,"suffix":""},{"dropping-particle":"","family":"Dabole","given":"Bernard","non-dropping-particle":"","parse-names":false,"suffix":""},{"dropping-particle":"","family":"Djomeni Dzeufiet","given":"Paul Désiré","non-dropping-particle":"","parse-names":false,"suffix":""},{"dropping-particle":"","family":"Dimo","given":"Théophile","non-dropping-particle":"","parse-names":false,"suffix":""},{"dropping-particle":"","family":"Waard","given":"Michel","non-dropping-particle":"De","parse-names":false,"suffix":""}],"container-title":"Journal of Ethnopharmacology","id":"ITEM-1","issue":"1","issued":{"date-parts":[["2012"]]},"title":"Antipsychotic and sedative effects of the leaf extract of Crassocephalum bauchiense (Hutch.) Milne-Redh (Asteraceae) in rodents","type":"article-journal","volume":"143"},"uris":["http://www.mendeley.com/documents/?uuid=cd240dfa-63ee-38b8-a738-4a55340b0598"]}],"mendeley":{"formattedCitation":"(Sotoing Taïwe et al., 2012b)","manualFormatting":"(Taïwe et al., 2012b)","plainTextFormattedCitation":"(Sotoing Taïwe et al., 2012b)","previouslyFormattedCitation":"(Sotoing Taïwe et al., 2012b)"},"properties":{"noteIndex":0},"schema":"https://github.com/citation-style-language/schema/raw/master/csl-citation.json"}</w:instrText>
      </w:r>
      <w:r w:rsidR="008216EA" w:rsidRPr="008216EA">
        <w:rPr>
          <w:rFonts w:ascii="Arial" w:hAnsi="Arial" w:cs="Arial"/>
          <w:bCs/>
          <w:lang w:val="en-GB"/>
        </w:rPr>
        <w:fldChar w:fldCharType="separate"/>
      </w:r>
      <w:r w:rsidR="008216EA" w:rsidRPr="008216EA">
        <w:rPr>
          <w:rFonts w:ascii="Arial" w:hAnsi="Arial" w:cs="Arial"/>
          <w:bCs/>
          <w:lang w:val="en-GB"/>
        </w:rPr>
        <w:t>(Ta</w:t>
      </w:r>
      <w:r w:rsidR="00011AD6" w:rsidRPr="001772DB">
        <w:rPr>
          <w:rFonts w:ascii="Arial" w:hAnsi="Arial" w:cs="Arial"/>
          <w:bCs/>
          <w:lang w:val="en-GB"/>
        </w:rPr>
        <w:t>i</w:t>
      </w:r>
      <w:r w:rsidR="008216EA" w:rsidRPr="008216EA">
        <w:rPr>
          <w:rFonts w:ascii="Arial" w:hAnsi="Arial" w:cs="Arial"/>
          <w:bCs/>
          <w:lang w:val="en-GB"/>
        </w:rPr>
        <w:t xml:space="preserve">we et </w:t>
      </w:r>
      <w:r w:rsidR="00CC55DB" w:rsidRPr="003F09D2">
        <w:rPr>
          <w:rFonts w:ascii="Arial" w:hAnsi="Arial" w:cs="Arial"/>
          <w:bCs/>
          <w:lang w:val="en-GB"/>
        </w:rPr>
        <w:t>al</w:t>
      </w:r>
      <w:r w:rsidR="008216EA" w:rsidRPr="008216EA">
        <w:rPr>
          <w:rFonts w:ascii="Arial" w:hAnsi="Arial" w:cs="Arial"/>
          <w:bCs/>
          <w:iCs/>
          <w:lang w:val="en-GB"/>
        </w:rPr>
        <w:t>.</w:t>
      </w:r>
      <w:r w:rsidR="008216EA" w:rsidRPr="008216EA">
        <w:rPr>
          <w:rFonts w:ascii="Arial" w:hAnsi="Arial" w:cs="Arial"/>
          <w:bCs/>
          <w:lang w:val="en-GB"/>
        </w:rPr>
        <w:t>, 2012b)</w:t>
      </w:r>
      <w:r w:rsidR="008216EA" w:rsidRPr="008216EA">
        <w:rPr>
          <w:rFonts w:ascii="Arial" w:hAnsi="Arial" w:cs="Arial"/>
          <w:lang w:val="en-GB"/>
        </w:rPr>
        <w:fldChar w:fldCharType="end"/>
      </w:r>
      <w:r w:rsidR="008216EA" w:rsidRPr="008216EA">
        <w:rPr>
          <w:rFonts w:ascii="Arial" w:hAnsi="Arial" w:cs="Arial"/>
          <w:lang w:val="en-GB"/>
        </w:rPr>
        <w:t xml:space="preserve"> of the aqueous extract of </w:t>
      </w:r>
      <w:proofErr w:type="spellStart"/>
      <w:r w:rsidR="00011AD6" w:rsidRPr="008216EA">
        <w:rPr>
          <w:rFonts w:ascii="Arial" w:hAnsi="Arial" w:cs="Arial"/>
          <w:i/>
          <w:iCs/>
          <w:lang w:val="en-GB"/>
        </w:rPr>
        <w:t>Crassoceph</w:t>
      </w:r>
      <w:r w:rsidR="00CC55DB">
        <w:rPr>
          <w:rFonts w:ascii="Arial" w:hAnsi="Arial" w:cs="Arial"/>
          <w:i/>
          <w:iCs/>
          <w:lang w:val="en-GB"/>
        </w:rPr>
        <w:t>al</w:t>
      </w:r>
      <w:r w:rsidR="00011AD6" w:rsidRPr="008216EA">
        <w:rPr>
          <w:rFonts w:ascii="Arial" w:hAnsi="Arial" w:cs="Arial"/>
          <w:i/>
          <w:iCs/>
          <w:lang w:val="en-GB"/>
        </w:rPr>
        <w:t>um</w:t>
      </w:r>
      <w:proofErr w:type="spellEnd"/>
      <w:r w:rsidR="008216EA" w:rsidRPr="008216EA">
        <w:rPr>
          <w:rFonts w:ascii="Arial" w:hAnsi="Arial" w:cs="Arial"/>
          <w:i/>
          <w:iCs/>
          <w:lang w:val="en-GB"/>
        </w:rPr>
        <w:t xml:space="preserve"> </w:t>
      </w:r>
      <w:proofErr w:type="spellStart"/>
      <w:r w:rsidR="008216EA" w:rsidRPr="008216EA">
        <w:rPr>
          <w:rFonts w:ascii="Arial" w:hAnsi="Arial" w:cs="Arial"/>
          <w:i/>
          <w:iCs/>
          <w:lang w:val="en-GB"/>
        </w:rPr>
        <w:t>bauchiense</w:t>
      </w:r>
      <w:proofErr w:type="spellEnd"/>
      <w:r w:rsidR="008216EA" w:rsidRPr="008216EA">
        <w:rPr>
          <w:rFonts w:ascii="Arial" w:hAnsi="Arial" w:cs="Arial"/>
          <w:lang w:val="en-GB"/>
        </w:rPr>
        <w:t xml:space="preserve"> leaves. Other works have shown that the ethyl acetate extract of </w:t>
      </w:r>
      <w:proofErr w:type="spellStart"/>
      <w:r w:rsidR="00011AD6" w:rsidRPr="008216EA">
        <w:rPr>
          <w:rFonts w:ascii="Arial" w:hAnsi="Arial" w:cs="Arial"/>
          <w:i/>
          <w:iCs/>
          <w:lang w:val="en-GB"/>
        </w:rPr>
        <w:t>Crassoceph</w:t>
      </w:r>
      <w:r w:rsidR="00CC55DB">
        <w:rPr>
          <w:rFonts w:ascii="Arial" w:hAnsi="Arial" w:cs="Arial"/>
          <w:i/>
          <w:iCs/>
          <w:lang w:val="en-GB"/>
        </w:rPr>
        <w:t>al</w:t>
      </w:r>
      <w:r w:rsidR="00011AD6" w:rsidRPr="008216EA">
        <w:rPr>
          <w:rFonts w:ascii="Arial" w:hAnsi="Arial" w:cs="Arial"/>
          <w:i/>
          <w:iCs/>
          <w:lang w:val="en-GB"/>
        </w:rPr>
        <w:t>um</w:t>
      </w:r>
      <w:proofErr w:type="spellEnd"/>
      <w:r w:rsidR="008216EA" w:rsidRPr="008216EA">
        <w:rPr>
          <w:rFonts w:ascii="Arial" w:hAnsi="Arial" w:cs="Arial"/>
          <w:lang w:val="en-GB"/>
        </w:rPr>
        <w:t xml:space="preserve"> </w:t>
      </w:r>
      <w:proofErr w:type="spellStart"/>
      <w:r w:rsidR="008216EA" w:rsidRPr="008216EA">
        <w:rPr>
          <w:rFonts w:ascii="Arial" w:hAnsi="Arial" w:cs="Arial"/>
          <w:i/>
          <w:iCs/>
          <w:lang w:val="en-GB"/>
        </w:rPr>
        <w:t>bauchiense</w:t>
      </w:r>
      <w:proofErr w:type="spellEnd"/>
      <w:r w:rsidR="008216EA" w:rsidRPr="008216EA">
        <w:rPr>
          <w:rFonts w:ascii="Arial" w:hAnsi="Arial" w:cs="Arial"/>
          <w:lang w:val="en-GB"/>
        </w:rPr>
        <w:t xml:space="preserve"> leaves has antibacteri</w:t>
      </w:r>
      <w:r w:rsidR="00CC55DB">
        <w:rPr>
          <w:rFonts w:ascii="Arial" w:hAnsi="Arial" w:cs="Arial"/>
          <w:lang w:val="en-GB"/>
        </w:rPr>
        <w:t>al</w:t>
      </w:r>
      <w:r w:rsidR="008216EA" w:rsidRPr="008216EA">
        <w:rPr>
          <w:rFonts w:ascii="Arial" w:hAnsi="Arial" w:cs="Arial"/>
          <w:lang w:val="en-GB"/>
        </w:rPr>
        <w:t xml:space="preserve"> effects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{"citationItems":[{"id":"ITEM-1","itemData":{"DOI":"10.1186/1472-6882-11-43","ISSN":"14726882","PMID":"21615960","abstract":"Background: The emergence in recent years of numerous resistant strains of pathogenic bacteria to a range of formerly efficient antibiotics constitutes a serious threat to public health. Crassocephalum bauchiense, a medicinal herb found in the West Region of Cameroon is used to treat gastrointestinal infections as well as liver disorders. The ethyl acetate extract from the leaves of C. bauchiense was evaluated for its antibacterial activity as well as acute and sub-acute toxicities.Methods: The plant extract was prepared by maceration in ethyl acetate. Its phytochemical screening was done by standard methods. The broth microdilution method was used to evaluate the in vitro antibacterial activity. The in vivo antibacterial activity of a gel formulation (0.05, 1 and 2% w/v) of this extract was evaluated using a Staphylococcus aureus-induced dermatitis in a murine model. Selected haematological and biochemical parameters were used to evaluate the dermal sub-acute toxicity of the extract in rats.Results: Phytochemical screening of the C. bauchiense extract revealed the presence of alkaloids, phenols, tannins and sterols. In vitro antibacterial activities were observed against all the tested microorganisms (MIC = 0.04-6.25 mg/ml). Formulated extract-gel (2% w/v) and gentamycin (reference drug) eradicated the microbial infection after five days of treatment. A single dermal dose of this extract up to 32 g/kg body weight (bw) did not produce any visible sign of toxicity. Also, daily dermal application of the C. bauchiense extract gel formulation for 28 days did not show any negative effect, instead some biochemical parameters such as alanine aminotransferase (ALT and AST), low density lipoprotein (LDL), high density lipoprotein (HDL) and triglycerides were significantly (p &lt; 0.05) affected positively.Conclusion: These results indicate that the C. bauchiense ethyl acetate extract can be used safely for the treatment of some bacterial infections. © 2011 Mouokeu et al; licensee BioMed Central Ltd.","author":[{"dropping-particle":"","family":"Mouokeu","given":"Raymond S.","non-dropping-particle":"","parse-names":false,"suffix":""},{"dropping-particle":"","family":"Ngono","given":"Rosalie A.N.","non-dropping-particle":"","parse-names":false,"suffix":""},{"dropping-particle":"","family":"Lunga","given":"Paul K.","non-dropping-particle":"","parse-names":false,"suffix":""},{"dropping-particle":"","family":"Koanga","given":"Martin M.","non-dropping-particle":"","parse-names":false,"suffix":""},{"dropping-particle":"","family":"Tiabou","given":"Alambert T.","non-dropping-particle":"","parse-names":false,"suffix":""},{"dropping-particle":"","family":"Njateng","given":"Guy S.S.","non-dropping-particle":"","parse-names":false,"suffix":""},{"dropping-particle":"","family":"Tamokou","given":"Jean D.D.","non-dropping-particle":"","parse-names":false,"suffix":""},{"dropping-particle":"","family":"Kuiate","given":"Jules Roger","non-dropping-particle":"","parse-names":false,"suffix":""}],"container-title":"BMC Complementary and Alternative Medicine","id":"ITEM-1","issued":{"date-parts":[["2011","5","26"]]},"title":"Antibacterial and dermal toxicological profiles of ethyl acetate extract from Crassocephalum bauchiense (Hutch.) Milne-Redh (Asteraceae)","type":"article-journal","volume":"11"},"uris":["http://www.mendeley.com/documents/?uuid=719b3e3c-2074-3d4b-96cd-336409012ca3"]}],"mendeley":{"formattedCitation":"(Mouokeu et al., 2011)","plainTextFormattedCitation":"(Mouokeu et al., 2011)","previouslyFormattedCitation":"(Mouokeu et al., 2011)"},"properties":{"noteIndex":0},"schema":"https://github.com/citation-style-language/schema/raw/master/csl-citation.json"}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(Mouokeu et </w:t>
      </w:r>
      <w:r w:rsidR="00CC55DB">
        <w:rPr>
          <w:rFonts w:ascii="Arial" w:hAnsi="Arial" w:cs="Arial"/>
          <w:lang w:val="en-GB"/>
        </w:rPr>
        <w:t>al</w:t>
      </w:r>
      <w:r w:rsidR="008216EA" w:rsidRPr="008216EA">
        <w:rPr>
          <w:rFonts w:ascii="Arial" w:hAnsi="Arial" w:cs="Arial"/>
          <w:lang w:val="en-GB"/>
        </w:rPr>
        <w:t>., 2011)</w:t>
      </w:r>
      <w:r w:rsidR="008216EA" w:rsidRPr="008216EA">
        <w:rPr>
          <w:rFonts w:ascii="Arial" w:hAnsi="Arial" w:cs="Arial"/>
          <w:lang w:val="en-GB"/>
        </w:rPr>
        <w:fldChar w:fldCharType="end"/>
      </w:r>
      <w:r w:rsidR="008216EA" w:rsidRPr="008216EA">
        <w:rPr>
          <w:rFonts w:ascii="Arial" w:hAnsi="Arial" w:cs="Arial"/>
          <w:lang w:val="en-GB"/>
        </w:rPr>
        <w:t>, antifung</w:t>
      </w:r>
      <w:r w:rsidR="00CC55DB">
        <w:rPr>
          <w:rFonts w:ascii="Arial" w:hAnsi="Arial" w:cs="Arial"/>
          <w:lang w:val="en-GB"/>
        </w:rPr>
        <w:t>al</w:t>
      </w:r>
      <w:r w:rsidR="008216EA" w:rsidRPr="008216EA">
        <w:rPr>
          <w:rFonts w:ascii="Arial" w:hAnsi="Arial" w:cs="Arial"/>
          <w:lang w:val="en-GB"/>
        </w:rPr>
        <w:t xml:space="preserve">s and antioxidants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{"citationItems":[{"id":"ITEM-1","itemData":{"DOI":"10.1186/1756-0500-7-244","ISSN":"17560500","PMID":"24742210","abstract":"Background: Crassocephalum bauchiense is a flowering plant, found in the West Region of Cameroon. Previous studied has highlighted the antibacterial and the dermal toxicological safety as well as the immunomodulatory activities of the ethyl acetate extract of its dry leaves. As an extension of the previous researches, the current work has been undertaken to evaluate the in vitro antifungal and antioxidant activities of C. bauchiense dried leaves ethyl acetate extract and fractions. Methods. The extract was obtained by maceration in ethyl acetate and further fractionated into six fractions labeled F 1 to F6 by flash chromatography. The antifungal activity of the extract and fractions against yeasts and dermatophytes was evaluated using broth microdilution method. Antioxidant activity was evaluated using 2,2-diphenyl-1-picrylhydrazyl (DPPH), nitric oxide (NO) and β-carotene - linoleic acid assays. Results: The extract (MIC = 0.125 - 4 mg/ml) was found to be more active on dermatophytes and yeasts compared to the fractions. The ethyl acetate extract and fractions exhibited strong scavenging activity on DPPH (CI50 = 28.57 - 389.38 μg/ml). The fractions F3 and F6 expressed best antioxidant activity on DPPH radicals compared to the crude extract. Conclusion: The results of these findings clearly showed that C. bauchiense ethyl acetate extract has a significant antifungal and antioxidant activity. It is therefore a source of active compounds that might be used as antifungal and antioxidant agents. © 2014 Mouokeu et al.; licensee BioMed Central Ltd.","author":[{"dropping-particle":"","family":"Mouokeu","given":"Raymond Simplice","non-dropping-particle":"","parse-names":false,"suffix":""},{"dropping-particle":"","family":"Ngono Ngane","given":"Rosalie A.","non-dropping-particle":"","parse-names":false,"suffix":""},{"dropping-particle":"","family":"Njateng","given":"Guy S.S.","non-dropping-particle":"","parse-names":false,"suffix":""},{"dropping-particle":"","family":"Kamtchueng","given":"Monique O.","non-dropping-particle":"","parse-names":false,"suffix":""},{"dropping-particle":"","family":"Kuiate","given":"Jules Roger","non-dropping-particle":"","parse-names":false,"suffix":""}],"container-title":"BMC Research Notes","id":"ITEM-1","issue":"1","issued":{"date-parts":[["2014","4","17"]]},"publisher":"BioMed Central Ltd.","title":"Antifungal and antioxidant activity of Crassocephalum bauchiense (Hutch.) Milne-Redh ethyl acetate extract and fractions (Asteraceae)","type":"article-journal","volume":"7"},"uris":["http://www.mendeley.com/documents/?uuid=ce64df72-8deb-3849-929a-af4a175abc9d"]}],"mendeley":{"formattedCitation":"(Mouokeu et al., 2014)","plainTextFormattedCitation":"(Mouokeu et al., 2014)","previouslyFormattedCitation":"(Mouokeu et al., 2014)"},"properties":{"noteIndex":0},"schema":"https://github.com/citation-style-language/schema/raw/master/csl-citation.json"}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w:t>
      </w:r>
      <w:proofErr w:type="spellStart"/>
      <w:r w:rsidR="008216EA" w:rsidRPr="008216EA">
        <w:rPr>
          <w:rFonts w:ascii="Arial" w:hAnsi="Arial" w:cs="Arial"/>
          <w:lang w:val="en-GB"/>
        </w:rPr>
        <w:t>Mouokeu</w:t>
      </w:r>
      <w:proofErr w:type="spellEnd"/>
      <w:r w:rsidR="008216EA" w:rsidRPr="008216EA">
        <w:rPr>
          <w:rFonts w:ascii="Arial" w:hAnsi="Arial" w:cs="Arial"/>
          <w:lang w:val="en-GB"/>
        </w:rPr>
        <w:t xml:space="preserve"> et </w:t>
      </w:r>
      <w:r w:rsidR="00CC55DB">
        <w:rPr>
          <w:rFonts w:ascii="Arial" w:hAnsi="Arial" w:cs="Arial"/>
          <w:lang w:val="en-GB"/>
        </w:rPr>
        <w:t>al</w:t>
      </w:r>
      <w:r w:rsidR="008216EA" w:rsidRPr="008216EA">
        <w:rPr>
          <w:rFonts w:ascii="Arial" w:hAnsi="Arial" w:cs="Arial"/>
          <w:lang w:val="en-GB"/>
        </w:rPr>
        <w:t>., 2014)</w:t>
      </w:r>
      <w:r w:rsidR="008216EA" w:rsidRPr="008216EA">
        <w:rPr>
          <w:rFonts w:ascii="Arial" w:hAnsi="Arial" w:cs="Arial"/>
          <w:lang w:val="en-GB"/>
        </w:rPr>
        <w:fldChar w:fldCharType="end"/>
      </w:r>
      <w:r w:rsidR="008216EA" w:rsidRPr="008216EA">
        <w:rPr>
          <w:rFonts w:ascii="Arial" w:hAnsi="Arial" w:cs="Arial"/>
          <w:lang w:val="en-GB"/>
        </w:rPr>
        <w:t xml:space="preserve"> and immunomodulatory activity </w:t>
      </w:r>
      <w:r w:rsidR="008216EA" w:rsidRPr="008216EA">
        <w:rPr>
          <w:rFonts w:ascii="Arial" w:hAnsi="Arial" w:cs="Arial"/>
          <w:lang w:val="en-GB"/>
        </w:rPr>
        <w:fldChar w:fldCharType="begin"/>
      </w:r>
      <w:r w:rsidR="008216EA" w:rsidRPr="008216EA">
        <w:rPr>
          <w:rFonts w:ascii="Arial" w:hAnsi="Arial" w:cs="Arial"/>
          <w:lang w:val="en-GB"/>
        </w:rPr>
        <w:instrText>ADDIN CSL_CITATION {"citationItems":[{"id":"ITEM-1","itemData":{"DOI":"10.5567/pharmacologia.2013.38.47","ISSN":"20444648","author":[{"dropping-particle":"","family":"Mouokeu","given":"Raymond S.","non-dropping-particle":"","parse-names":false,"suffix":""},{"dropping-particle":"","family":"Ngono","given":"Rosalie A.N.","non-dropping-particle":"","parse-names":false,"suffix":""},{"dropping-particle":"","family":"Tume","given":"Christopher","non-dropping-particle":"","parse-names":false,"suffix":""},{"dropping-particle":"","family":"Kamtchueng","given":"Monique O.","non-dropping-particle":"","parse-names":false,"suffix":""},{"dropping-particle":"","family":"Njateng","given":"Guy S.S.","non-dropping-particle":"","parse-names":false,"suffix":""},{"dropping-particle":"","family":"Paul","given":"Dzoyem Jean","non-dropping-particle":"","parse-names":false,"suffix":""},{"dropping-particle":"","family":"Tamokou","given":"Jean De Dieu","non-dropping-particle":"","parse-names":false,"suffix":""},{"dropping-particle":"","family":"Kuiate","given":"Jules-Roger","non-dropping-particle":"","parse-names":false,"suffix":""}],"container-title":"Pharmacologia","id":"ITEM-1","issue":"1","issued":{"date-parts":[["2013"]]},"title":"Immunomodulatory Activity of Ethyl Acetate Extract and Fractions from Leaves of Crassocephalum bauchiense (Asteraceae)","type":"article-journal","volume":"4"},"uris":["http://www.mendeley.com/documents/?uuid=4755ce87-4808-36ee-81bd-756b41c77a05"]}],"mendeley":{"formattedCitation":"(Mouokeu et al., 2013)","plainTextFormattedCitation":"(Mouokeu et al., 2013)","previouslyFormattedCitation":"(Mouokeu et al., 2013)"},"properties":{"noteIndex":0},"schema":"https://github.com/citation-style-language/schema/raw/master/csl-citation.json"}</w:instrText>
      </w:r>
      <w:r w:rsidR="008216EA" w:rsidRPr="008216EA">
        <w:rPr>
          <w:rFonts w:ascii="Arial" w:hAnsi="Arial" w:cs="Arial"/>
          <w:lang w:val="en-GB"/>
        </w:rPr>
        <w:fldChar w:fldCharType="separate"/>
      </w:r>
      <w:r w:rsidR="008216EA" w:rsidRPr="008216EA">
        <w:rPr>
          <w:rFonts w:ascii="Arial" w:hAnsi="Arial" w:cs="Arial"/>
          <w:lang w:val="en-GB"/>
        </w:rPr>
        <w:t xml:space="preserve">(Mouokeu et </w:t>
      </w:r>
      <w:r w:rsidR="00CC55DB">
        <w:rPr>
          <w:rFonts w:ascii="Arial" w:hAnsi="Arial" w:cs="Arial"/>
          <w:lang w:val="en-GB"/>
        </w:rPr>
        <w:t>al</w:t>
      </w:r>
      <w:r w:rsidR="008216EA" w:rsidRPr="008216EA">
        <w:rPr>
          <w:rFonts w:ascii="Arial" w:hAnsi="Arial" w:cs="Arial"/>
          <w:lang w:val="en-GB"/>
        </w:rPr>
        <w:t>., 2013)</w:t>
      </w:r>
      <w:r w:rsidR="008216EA" w:rsidRPr="008216EA">
        <w:rPr>
          <w:rFonts w:ascii="Arial" w:hAnsi="Arial" w:cs="Arial"/>
          <w:lang w:val="en-GB"/>
        </w:rPr>
        <w:fldChar w:fldCharType="end"/>
      </w:r>
      <w:r w:rsidR="008216EA" w:rsidRPr="008216EA">
        <w:rPr>
          <w:rFonts w:ascii="Arial" w:hAnsi="Arial" w:cs="Arial"/>
          <w:lang w:val="en-GB"/>
        </w:rPr>
        <w:t>. In addition, a preliminary phytochemic</w:t>
      </w:r>
      <w:r w:rsidR="00CC55DB">
        <w:rPr>
          <w:rFonts w:ascii="Arial" w:hAnsi="Arial" w:cs="Arial"/>
          <w:lang w:val="en-GB"/>
        </w:rPr>
        <w:t>al</w:t>
      </w:r>
      <w:r w:rsidR="008216EA" w:rsidRPr="008216EA">
        <w:rPr>
          <w:rFonts w:ascii="Arial" w:hAnsi="Arial" w:cs="Arial"/>
          <w:lang w:val="en-GB"/>
        </w:rPr>
        <w:t xml:space="preserve"> an</w:t>
      </w:r>
      <w:r w:rsidR="00CC55DB">
        <w:rPr>
          <w:rFonts w:ascii="Arial" w:hAnsi="Arial" w:cs="Arial"/>
          <w:lang w:val="en-GB"/>
        </w:rPr>
        <w:t>al</w:t>
      </w:r>
      <w:r w:rsidR="008216EA" w:rsidRPr="008216EA">
        <w:rPr>
          <w:rFonts w:ascii="Arial" w:hAnsi="Arial" w:cs="Arial"/>
          <w:lang w:val="en-GB"/>
        </w:rPr>
        <w:t xml:space="preserve">ysis of the aqueous extract </w:t>
      </w:r>
      <w:r w:rsidR="0071109A">
        <w:rPr>
          <w:rFonts w:ascii="Arial" w:hAnsi="Arial" w:cs="Arial"/>
          <w:lang w:val="en-GB"/>
        </w:rPr>
        <w:t>prepared from</w:t>
      </w:r>
      <w:r w:rsidR="008216EA" w:rsidRPr="008216EA">
        <w:rPr>
          <w:rFonts w:ascii="Arial" w:hAnsi="Arial" w:cs="Arial"/>
          <w:lang w:val="en-GB"/>
        </w:rPr>
        <w:t xml:space="preserve"> the leaves of </w:t>
      </w:r>
      <w:proofErr w:type="spellStart"/>
      <w:r w:rsidR="008216EA" w:rsidRPr="008216EA">
        <w:rPr>
          <w:rFonts w:ascii="Arial" w:hAnsi="Arial" w:cs="Arial"/>
          <w:i/>
          <w:iCs/>
          <w:lang w:val="en-GB"/>
        </w:rPr>
        <w:t>Crassoceph</w:t>
      </w:r>
      <w:r w:rsidR="00CC55DB">
        <w:rPr>
          <w:rFonts w:ascii="Arial" w:hAnsi="Arial" w:cs="Arial"/>
          <w:i/>
          <w:iCs/>
          <w:lang w:val="en-GB"/>
        </w:rPr>
        <w:t>al</w:t>
      </w:r>
      <w:r w:rsidR="008216EA" w:rsidRPr="008216EA">
        <w:rPr>
          <w:rFonts w:ascii="Arial" w:hAnsi="Arial" w:cs="Arial"/>
          <w:i/>
          <w:iCs/>
          <w:lang w:val="en-GB"/>
        </w:rPr>
        <w:t>um</w:t>
      </w:r>
      <w:proofErr w:type="spellEnd"/>
      <w:r w:rsidR="008216EA" w:rsidRPr="008216EA">
        <w:rPr>
          <w:rFonts w:ascii="Arial" w:hAnsi="Arial" w:cs="Arial"/>
          <w:lang w:val="en-GB"/>
        </w:rPr>
        <w:t xml:space="preserve"> </w:t>
      </w:r>
      <w:proofErr w:type="spellStart"/>
      <w:r w:rsidR="008216EA" w:rsidRPr="008216EA">
        <w:rPr>
          <w:rFonts w:ascii="Arial" w:hAnsi="Arial" w:cs="Arial"/>
          <w:i/>
          <w:iCs/>
          <w:lang w:val="en-GB"/>
        </w:rPr>
        <w:t>bauchiense</w:t>
      </w:r>
      <w:proofErr w:type="spellEnd"/>
      <w:r w:rsidR="008216EA" w:rsidRPr="008216EA">
        <w:rPr>
          <w:rFonts w:ascii="Arial" w:hAnsi="Arial" w:cs="Arial"/>
          <w:lang w:val="en-GB"/>
        </w:rPr>
        <w:t xml:space="preserve"> reve</w:t>
      </w:r>
      <w:r w:rsidR="00CC55DB">
        <w:rPr>
          <w:rFonts w:ascii="Arial" w:hAnsi="Arial" w:cs="Arial"/>
          <w:lang w:val="en-GB"/>
        </w:rPr>
        <w:t>al</w:t>
      </w:r>
      <w:r w:rsidR="008216EA" w:rsidRPr="008216EA">
        <w:rPr>
          <w:rFonts w:ascii="Arial" w:hAnsi="Arial" w:cs="Arial"/>
          <w:lang w:val="en-GB"/>
        </w:rPr>
        <w:t xml:space="preserve">ed the presence of phenols, </w:t>
      </w:r>
      <w:r w:rsidR="00CC55DB">
        <w:rPr>
          <w:rFonts w:ascii="Arial" w:hAnsi="Arial" w:cs="Arial"/>
          <w:lang w:val="en-GB"/>
        </w:rPr>
        <w:t>al</w:t>
      </w:r>
      <w:r w:rsidR="008216EA" w:rsidRPr="008216EA">
        <w:rPr>
          <w:rFonts w:ascii="Arial" w:hAnsi="Arial" w:cs="Arial"/>
          <w:lang w:val="en-GB"/>
        </w:rPr>
        <w:t>k</w:t>
      </w:r>
      <w:r w:rsidR="00CC55DB">
        <w:rPr>
          <w:rFonts w:ascii="Arial" w:hAnsi="Arial" w:cs="Arial"/>
          <w:lang w:val="en-GB"/>
        </w:rPr>
        <w:t>al</w:t>
      </w:r>
      <w:r w:rsidR="008216EA" w:rsidRPr="008216EA">
        <w:rPr>
          <w:rFonts w:ascii="Arial" w:hAnsi="Arial" w:cs="Arial"/>
          <w:lang w:val="en-GB"/>
        </w:rPr>
        <w:t>oids, flavonoids, tannins, triterpenes and sterols (</w:t>
      </w:r>
      <w:proofErr w:type="spellStart"/>
      <w:r w:rsidR="008216EA" w:rsidRPr="008216EA">
        <w:rPr>
          <w:rFonts w:ascii="Arial" w:hAnsi="Arial" w:cs="Arial"/>
          <w:lang w:val="en-GB"/>
        </w:rPr>
        <w:t>Moukeu</w:t>
      </w:r>
      <w:proofErr w:type="spellEnd"/>
      <w:r w:rsidR="008216EA" w:rsidRPr="008216EA">
        <w:rPr>
          <w:rFonts w:ascii="Arial" w:hAnsi="Arial" w:cs="Arial"/>
          <w:lang w:val="en-GB"/>
        </w:rPr>
        <w:t xml:space="preserve"> et </w:t>
      </w:r>
      <w:r w:rsidR="00CC55DB" w:rsidRPr="003F09D2">
        <w:rPr>
          <w:rFonts w:ascii="Arial" w:hAnsi="Arial" w:cs="Arial"/>
          <w:iCs/>
          <w:lang w:val="en-GB"/>
        </w:rPr>
        <w:t>al</w:t>
      </w:r>
      <w:r w:rsidR="008216EA" w:rsidRPr="008216EA">
        <w:rPr>
          <w:rFonts w:ascii="Arial" w:hAnsi="Arial" w:cs="Arial"/>
          <w:lang w:val="en-GB"/>
        </w:rPr>
        <w:t>., 2011).</w:t>
      </w:r>
      <w:r w:rsidR="00011AD6" w:rsidRPr="001772DB">
        <w:rPr>
          <w:rFonts w:ascii="Arial" w:hAnsi="Arial" w:cs="Arial"/>
          <w:lang w:val="en-GB"/>
        </w:rPr>
        <w:t xml:space="preserve"> </w:t>
      </w:r>
      <w:r w:rsidR="008216EA" w:rsidRPr="008216EA">
        <w:rPr>
          <w:rFonts w:ascii="Arial" w:hAnsi="Arial" w:cs="Arial"/>
          <w:lang w:val="en-GB"/>
        </w:rPr>
        <w:t>The present study was designed to ev</w:t>
      </w:r>
      <w:r w:rsidR="00CC55DB">
        <w:rPr>
          <w:rFonts w:ascii="Arial" w:hAnsi="Arial" w:cs="Arial"/>
          <w:lang w:val="en-GB"/>
        </w:rPr>
        <w:t>al</w:t>
      </w:r>
      <w:r w:rsidR="008216EA" w:rsidRPr="008216EA">
        <w:rPr>
          <w:rFonts w:ascii="Arial" w:hAnsi="Arial" w:cs="Arial"/>
          <w:lang w:val="en-GB"/>
        </w:rPr>
        <w:t>uate the anticonvulsant and anti</w:t>
      </w:r>
      <w:r w:rsidR="00011AD6" w:rsidRPr="001772DB">
        <w:rPr>
          <w:rFonts w:ascii="Arial" w:hAnsi="Arial" w:cs="Arial"/>
          <w:lang w:val="en-GB"/>
        </w:rPr>
        <w:t>-</w:t>
      </w:r>
      <w:r w:rsidR="008216EA" w:rsidRPr="008216EA">
        <w:rPr>
          <w:rFonts w:ascii="Arial" w:hAnsi="Arial" w:cs="Arial"/>
          <w:lang w:val="en-GB"/>
        </w:rPr>
        <w:t xml:space="preserve">amnesic effects of </w:t>
      </w:r>
      <w:r w:rsidR="00011AD6" w:rsidRPr="001772DB">
        <w:rPr>
          <w:rFonts w:ascii="Arial" w:hAnsi="Arial" w:cs="Arial"/>
          <w:lang w:val="en-GB"/>
        </w:rPr>
        <w:t xml:space="preserve">an </w:t>
      </w:r>
      <w:r w:rsidR="008216EA" w:rsidRPr="008216EA">
        <w:rPr>
          <w:rFonts w:ascii="Arial" w:hAnsi="Arial" w:cs="Arial"/>
          <w:lang w:val="en-GB"/>
        </w:rPr>
        <w:t xml:space="preserve">aqueous extract of </w:t>
      </w:r>
      <w:proofErr w:type="spellStart"/>
      <w:r w:rsidR="008216EA" w:rsidRPr="008216EA">
        <w:rPr>
          <w:rFonts w:ascii="Arial" w:hAnsi="Arial" w:cs="Arial"/>
          <w:i/>
          <w:iCs/>
          <w:lang w:val="en-GB"/>
        </w:rPr>
        <w:t>Crassoceph</w:t>
      </w:r>
      <w:r w:rsidR="00CC55DB">
        <w:rPr>
          <w:rFonts w:ascii="Arial" w:hAnsi="Arial" w:cs="Arial"/>
          <w:i/>
          <w:iCs/>
          <w:lang w:val="en-GB"/>
        </w:rPr>
        <w:t>al</w:t>
      </w:r>
      <w:r w:rsidR="008216EA" w:rsidRPr="008216EA">
        <w:rPr>
          <w:rFonts w:ascii="Arial" w:hAnsi="Arial" w:cs="Arial"/>
          <w:i/>
          <w:iCs/>
          <w:lang w:val="en-GB"/>
        </w:rPr>
        <w:t>um</w:t>
      </w:r>
      <w:proofErr w:type="spellEnd"/>
      <w:r w:rsidR="008216EA" w:rsidRPr="008216EA">
        <w:rPr>
          <w:rFonts w:ascii="Arial" w:hAnsi="Arial" w:cs="Arial"/>
          <w:i/>
          <w:iCs/>
          <w:lang w:val="en-GB"/>
        </w:rPr>
        <w:t xml:space="preserve"> </w:t>
      </w:r>
      <w:proofErr w:type="spellStart"/>
      <w:r w:rsidR="008216EA" w:rsidRPr="008216EA">
        <w:rPr>
          <w:rFonts w:ascii="Arial" w:hAnsi="Arial" w:cs="Arial"/>
          <w:i/>
          <w:iCs/>
          <w:lang w:val="en-GB"/>
        </w:rPr>
        <w:t>bauchiense</w:t>
      </w:r>
      <w:proofErr w:type="spellEnd"/>
      <w:r w:rsidR="008216EA" w:rsidRPr="008216EA">
        <w:rPr>
          <w:rFonts w:ascii="Arial" w:hAnsi="Arial" w:cs="Arial"/>
          <w:lang w:val="en-GB"/>
        </w:rPr>
        <w:t xml:space="preserve"> </w:t>
      </w:r>
      <w:r w:rsidR="00430751">
        <w:rPr>
          <w:rFonts w:ascii="Arial" w:hAnsi="Arial" w:cs="Arial"/>
          <w:lang w:val="en-GB"/>
        </w:rPr>
        <w:t>in pilocarpine model of</w:t>
      </w:r>
      <w:r w:rsidR="008216EA" w:rsidRPr="008216EA">
        <w:rPr>
          <w:rFonts w:ascii="Arial" w:hAnsi="Arial" w:cs="Arial"/>
          <w:lang w:val="en-GB"/>
        </w:rPr>
        <w:t xml:space="preserve"> </w:t>
      </w:r>
      <w:r w:rsidR="00011AD6" w:rsidRPr="001772DB">
        <w:rPr>
          <w:rFonts w:ascii="Arial" w:hAnsi="Arial" w:cs="Arial"/>
          <w:lang w:val="en-GB"/>
        </w:rPr>
        <w:t>tempor</w:t>
      </w:r>
      <w:r w:rsidR="00CC55DB">
        <w:rPr>
          <w:rFonts w:ascii="Arial" w:hAnsi="Arial" w:cs="Arial"/>
          <w:lang w:val="en-GB"/>
        </w:rPr>
        <w:t>al</w:t>
      </w:r>
      <w:r w:rsidR="00011AD6" w:rsidRPr="001772DB">
        <w:rPr>
          <w:rFonts w:ascii="Arial" w:hAnsi="Arial" w:cs="Arial"/>
          <w:lang w:val="en-GB"/>
        </w:rPr>
        <w:t xml:space="preserve"> lobe epilepsy</w:t>
      </w:r>
      <w:r w:rsidR="008216EA" w:rsidRPr="008216EA">
        <w:rPr>
          <w:rFonts w:ascii="Arial" w:hAnsi="Arial" w:cs="Arial"/>
          <w:lang w:val="en-GB"/>
        </w:rPr>
        <w:t xml:space="preserve">. </w:t>
      </w:r>
    </w:p>
    <w:p w14:paraId="060AC588" w14:textId="77777777" w:rsidR="00790ADA" w:rsidRPr="001772DB" w:rsidRDefault="00790ADA" w:rsidP="00441B6F">
      <w:pPr>
        <w:pStyle w:val="Body"/>
        <w:spacing w:after="0"/>
        <w:rPr>
          <w:rFonts w:ascii="Arial" w:hAnsi="Arial" w:cs="Arial"/>
          <w:lang w:val="en-GB"/>
        </w:rPr>
      </w:pPr>
    </w:p>
    <w:p w14:paraId="66489B77" w14:textId="5964316A" w:rsidR="007F7B32" w:rsidRPr="001772DB" w:rsidRDefault="00902823" w:rsidP="00441B6F">
      <w:pPr>
        <w:pStyle w:val="AbstHead"/>
        <w:spacing w:after="0"/>
        <w:jc w:val="both"/>
        <w:rPr>
          <w:rFonts w:ascii="Arial" w:hAnsi="Arial" w:cs="Arial"/>
          <w:lang w:val="en-GB"/>
        </w:rPr>
      </w:pPr>
      <w:r w:rsidRPr="001772DB">
        <w:rPr>
          <w:rFonts w:ascii="Arial" w:hAnsi="Arial" w:cs="Arial"/>
          <w:lang w:val="en-GB"/>
        </w:rPr>
        <w:t>2. materi</w:t>
      </w:r>
      <w:r w:rsidR="00CC55DB">
        <w:rPr>
          <w:rFonts w:ascii="Arial" w:hAnsi="Arial" w:cs="Arial"/>
          <w:lang w:val="en-GB"/>
        </w:rPr>
        <w:t>al</w:t>
      </w:r>
      <w:r w:rsidRPr="001772DB">
        <w:rPr>
          <w:rFonts w:ascii="Arial" w:hAnsi="Arial" w:cs="Arial"/>
          <w:lang w:val="en-GB"/>
        </w:rPr>
        <w:t xml:space="preserve"> and method</w:t>
      </w:r>
      <w:r w:rsidR="00000F8F" w:rsidRPr="001772DB">
        <w:rPr>
          <w:rFonts w:ascii="Arial" w:hAnsi="Arial" w:cs="Arial"/>
          <w:lang w:val="en-GB"/>
        </w:rPr>
        <w:t>s</w:t>
      </w:r>
    </w:p>
    <w:p w14:paraId="02AA8D50" w14:textId="6FDC8668" w:rsidR="00011AD6" w:rsidRPr="00011AD6" w:rsidRDefault="00011AD6" w:rsidP="00011AD6">
      <w:pPr>
        <w:pStyle w:val="Body"/>
        <w:spacing w:after="0"/>
        <w:rPr>
          <w:rFonts w:ascii="Arial" w:hAnsi="Arial" w:cs="Arial"/>
          <w:b/>
          <w:bCs/>
          <w:sz w:val="22"/>
          <w:szCs w:val="22"/>
          <w:lang w:val="en-GB"/>
        </w:rPr>
      </w:pPr>
      <w:r w:rsidRPr="00011AD6">
        <w:rPr>
          <w:rFonts w:ascii="Arial" w:hAnsi="Arial" w:cs="Arial"/>
          <w:b/>
          <w:bCs/>
          <w:sz w:val="22"/>
          <w:szCs w:val="22"/>
          <w:lang w:val="en-GB"/>
        </w:rPr>
        <w:t>2.1. Plant materi</w:t>
      </w:r>
      <w:r w:rsidR="00CC55DB">
        <w:rPr>
          <w:rFonts w:ascii="Arial" w:hAnsi="Arial" w:cs="Arial"/>
          <w:b/>
          <w:bCs/>
          <w:sz w:val="22"/>
          <w:szCs w:val="22"/>
          <w:lang w:val="en-GB"/>
        </w:rPr>
        <w:t>al</w:t>
      </w:r>
      <w:r w:rsidRPr="00011AD6">
        <w:rPr>
          <w:rFonts w:ascii="Arial" w:hAnsi="Arial" w:cs="Arial"/>
          <w:b/>
          <w:bCs/>
          <w:sz w:val="22"/>
          <w:szCs w:val="22"/>
          <w:lang w:val="en-GB"/>
        </w:rPr>
        <w:t xml:space="preserve"> and extract preparation  </w:t>
      </w:r>
    </w:p>
    <w:p w14:paraId="63FBDC46" w14:textId="5390D402" w:rsidR="00011AD6" w:rsidRPr="001772DB" w:rsidRDefault="00011AD6" w:rsidP="00011AD6">
      <w:pPr>
        <w:pStyle w:val="Body"/>
        <w:spacing w:after="0"/>
        <w:rPr>
          <w:rFonts w:ascii="Arial" w:hAnsi="Arial" w:cs="Arial"/>
          <w:lang w:val="en-GB"/>
        </w:rPr>
      </w:pPr>
      <w:proofErr w:type="spellStart"/>
      <w:r w:rsidRPr="00011AD6">
        <w:rPr>
          <w:rFonts w:ascii="Arial" w:hAnsi="Arial" w:cs="Arial"/>
          <w:i/>
          <w:iCs/>
          <w:lang w:val="en-GB"/>
        </w:rPr>
        <w:t>Crassoceph</w:t>
      </w:r>
      <w:r w:rsidR="00CC55DB">
        <w:rPr>
          <w:rFonts w:ascii="Arial" w:hAnsi="Arial" w:cs="Arial"/>
          <w:i/>
          <w:iCs/>
          <w:lang w:val="en-GB"/>
        </w:rPr>
        <w:t>al</w:t>
      </w:r>
      <w:r w:rsidRPr="00011AD6">
        <w:rPr>
          <w:rFonts w:ascii="Arial" w:hAnsi="Arial" w:cs="Arial"/>
          <w:i/>
          <w:iCs/>
          <w:lang w:val="en-GB"/>
        </w:rPr>
        <w:t>um</w:t>
      </w:r>
      <w:proofErr w:type="spellEnd"/>
      <w:r w:rsidRPr="00011AD6">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was collected during the rainy season (June) in </w:t>
      </w:r>
      <w:proofErr w:type="spellStart"/>
      <w:r w:rsidRPr="00011AD6">
        <w:rPr>
          <w:rFonts w:ascii="Arial" w:hAnsi="Arial" w:cs="Arial"/>
          <w:lang w:val="en-GB"/>
        </w:rPr>
        <w:t>Ngaoundere</w:t>
      </w:r>
      <w:proofErr w:type="spellEnd"/>
      <w:r w:rsidRPr="00011AD6">
        <w:rPr>
          <w:rFonts w:ascii="Arial" w:hAnsi="Arial" w:cs="Arial"/>
          <w:lang w:val="en-GB"/>
        </w:rPr>
        <w:t xml:space="preserve"> (</w:t>
      </w:r>
      <w:proofErr w:type="spellStart"/>
      <w:r w:rsidRPr="00011AD6">
        <w:rPr>
          <w:rFonts w:ascii="Arial" w:hAnsi="Arial" w:cs="Arial"/>
          <w:lang w:val="en-GB"/>
        </w:rPr>
        <w:t>Adamaoua</w:t>
      </w:r>
      <w:proofErr w:type="spellEnd"/>
      <w:r w:rsidRPr="00011AD6">
        <w:rPr>
          <w:rFonts w:ascii="Arial" w:hAnsi="Arial" w:cs="Arial"/>
          <w:lang w:val="en-GB"/>
        </w:rPr>
        <w:t xml:space="preserve"> Region, Cameroon). It was then identified at the Nation</w:t>
      </w:r>
      <w:r w:rsidR="00CC55DB">
        <w:rPr>
          <w:rFonts w:ascii="Arial" w:hAnsi="Arial" w:cs="Arial"/>
          <w:lang w:val="en-GB"/>
        </w:rPr>
        <w:t>al</w:t>
      </w:r>
      <w:r w:rsidRPr="00011AD6">
        <w:rPr>
          <w:rFonts w:ascii="Arial" w:hAnsi="Arial" w:cs="Arial"/>
          <w:lang w:val="en-GB"/>
        </w:rPr>
        <w:t xml:space="preserve"> Herbarium of Cameroon (Yaoundé) by comparison with the sample registered under number 7954/SRF/Cam. The stems and leaves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were washed with water and then air-dried (in the shade) at room temperature. They were then crushed into a fine dry powder. The aqueous extract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was prepared by imitating the method of tradition</w:t>
      </w:r>
      <w:r w:rsidR="00CC55DB">
        <w:rPr>
          <w:rFonts w:ascii="Arial" w:hAnsi="Arial" w:cs="Arial"/>
          <w:lang w:val="en-GB"/>
        </w:rPr>
        <w:t>al</w:t>
      </w:r>
      <w:r w:rsidRPr="00011AD6">
        <w:rPr>
          <w:rFonts w:ascii="Arial" w:hAnsi="Arial" w:cs="Arial"/>
          <w:lang w:val="en-GB"/>
        </w:rPr>
        <w:t xml:space="preserve"> practitioners. A decoction of the plant was prepared by introducing 10 g of dry powder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into a beaker containing 50 mL of distilled water. The </w:t>
      </w:r>
      <w:r w:rsidRPr="00011AD6">
        <w:rPr>
          <w:rFonts w:ascii="Arial" w:hAnsi="Arial" w:cs="Arial"/>
          <w:lang w:val="en-GB"/>
        </w:rPr>
        <w:lastRenderedPageBreak/>
        <w:t xml:space="preserve">mixture was boiled for 20 min on a hot plate at 100°C. After cooling, the mixture was filtered through a Whatman number 1 paper. The filtered mixture was 32 mL, and then the water was evaporated in an oven (50°C). The process yielded 0.9 grams of dry extract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a yield of 9%. From the 28 mg/m</w:t>
      </w:r>
      <w:r w:rsidR="007E0F4B" w:rsidRPr="001772DB">
        <w:rPr>
          <w:rFonts w:ascii="Arial" w:hAnsi="Arial" w:cs="Arial"/>
          <w:lang w:val="en-GB"/>
        </w:rPr>
        <w:t>L</w:t>
      </w:r>
      <w:r w:rsidRPr="00011AD6">
        <w:rPr>
          <w:rFonts w:ascii="Arial" w:hAnsi="Arial" w:cs="Arial"/>
          <w:lang w:val="en-GB"/>
        </w:rPr>
        <w:t xml:space="preserve"> stock solution, i.e. 280 mg/kg, the different doses necessary for the experiment were diluted with distilled water to 1/2, 1/4, and 1/10, i.e. 140 mg/kg, 70 mg/kg and 28 mg/kg respectively. These doses were administered to the anim</w:t>
      </w:r>
      <w:r w:rsidR="00CC55DB">
        <w:rPr>
          <w:rFonts w:ascii="Arial" w:hAnsi="Arial" w:cs="Arial"/>
          <w:lang w:val="en-GB"/>
        </w:rPr>
        <w:t>al</w:t>
      </w:r>
      <w:r w:rsidRPr="00011AD6">
        <w:rPr>
          <w:rFonts w:ascii="Arial" w:hAnsi="Arial" w:cs="Arial"/>
          <w:lang w:val="en-GB"/>
        </w:rPr>
        <w:t>s or</w:t>
      </w:r>
      <w:r w:rsidR="00CC55DB">
        <w:rPr>
          <w:rFonts w:ascii="Arial" w:hAnsi="Arial" w:cs="Arial"/>
          <w:lang w:val="en-GB"/>
        </w:rPr>
        <w:t>al</w:t>
      </w:r>
      <w:r w:rsidRPr="00011AD6">
        <w:rPr>
          <w:rFonts w:ascii="Arial" w:hAnsi="Arial" w:cs="Arial"/>
          <w:lang w:val="en-GB"/>
        </w:rPr>
        <w:t xml:space="preserve">ly. </w:t>
      </w:r>
    </w:p>
    <w:p w14:paraId="361BF43B" w14:textId="77777777" w:rsidR="00011AD6" w:rsidRPr="00011AD6" w:rsidRDefault="00011AD6" w:rsidP="00011AD6">
      <w:pPr>
        <w:pStyle w:val="Body"/>
        <w:spacing w:after="0"/>
        <w:rPr>
          <w:rFonts w:ascii="Arial" w:hAnsi="Arial" w:cs="Arial"/>
          <w:lang w:val="en-GB"/>
        </w:rPr>
      </w:pPr>
    </w:p>
    <w:p w14:paraId="503E5BB2" w14:textId="1837E94F" w:rsidR="00011AD6" w:rsidRPr="00011AD6" w:rsidRDefault="00011AD6" w:rsidP="00011AD6">
      <w:pPr>
        <w:pStyle w:val="Body"/>
        <w:spacing w:after="0"/>
        <w:rPr>
          <w:rFonts w:ascii="Arial" w:hAnsi="Arial" w:cs="Arial"/>
          <w:b/>
          <w:bCs/>
          <w:sz w:val="22"/>
          <w:szCs w:val="22"/>
          <w:lang w:val="en-GB"/>
        </w:rPr>
      </w:pPr>
      <w:r w:rsidRPr="00011AD6">
        <w:rPr>
          <w:rFonts w:ascii="Arial" w:hAnsi="Arial" w:cs="Arial"/>
          <w:b/>
          <w:bCs/>
          <w:sz w:val="22"/>
          <w:szCs w:val="22"/>
          <w:lang w:val="en-GB"/>
        </w:rPr>
        <w:t>2.2. Chemic</w:t>
      </w:r>
      <w:r w:rsidR="00CC55DB">
        <w:rPr>
          <w:rFonts w:ascii="Arial" w:hAnsi="Arial" w:cs="Arial"/>
          <w:b/>
          <w:bCs/>
          <w:sz w:val="22"/>
          <w:szCs w:val="22"/>
          <w:lang w:val="en-GB"/>
        </w:rPr>
        <w:t>al</w:t>
      </w:r>
      <w:r w:rsidRPr="00011AD6">
        <w:rPr>
          <w:rFonts w:ascii="Arial" w:hAnsi="Arial" w:cs="Arial"/>
          <w:b/>
          <w:bCs/>
          <w:sz w:val="22"/>
          <w:szCs w:val="22"/>
          <w:lang w:val="en-GB"/>
        </w:rPr>
        <w:t xml:space="preserve"> products</w:t>
      </w:r>
    </w:p>
    <w:p w14:paraId="0350AC96" w14:textId="655884B8" w:rsidR="00011AD6" w:rsidRDefault="00011AD6" w:rsidP="00011AD6">
      <w:pPr>
        <w:pStyle w:val="Body"/>
        <w:spacing w:after="0"/>
        <w:rPr>
          <w:rFonts w:ascii="Arial" w:hAnsi="Arial" w:cs="Arial"/>
          <w:lang w:val="en-GB"/>
        </w:rPr>
      </w:pPr>
      <w:r w:rsidRPr="00011AD6">
        <w:rPr>
          <w:rFonts w:ascii="Arial" w:hAnsi="Arial" w:cs="Arial"/>
          <w:lang w:val="en-GB"/>
        </w:rPr>
        <w:t xml:space="preserve"> Pilocarpine, methyl-scopolamine, sodium v</w:t>
      </w:r>
      <w:r w:rsidR="00CC55DB">
        <w:rPr>
          <w:rFonts w:ascii="Arial" w:hAnsi="Arial" w:cs="Arial"/>
          <w:lang w:val="en-GB"/>
        </w:rPr>
        <w:t>al</w:t>
      </w:r>
      <w:r w:rsidRPr="00011AD6">
        <w:rPr>
          <w:rFonts w:ascii="Arial" w:hAnsi="Arial" w:cs="Arial"/>
          <w:lang w:val="en-GB"/>
        </w:rPr>
        <w:t>proate, piracetam were purchased from Sigma Chemic</w:t>
      </w:r>
      <w:r w:rsidR="00CC55DB">
        <w:rPr>
          <w:rFonts w:ascii="Arial" w:hAnsi="Arial" w:cs="Arial"/>
          <w:lang w:val="en-GB"/>
        </w:rPr>
        <w:t>al</w:t>
      </w:r>
      <w:r w:rsidRPr="00011AD6">
        <w:rPr>
          <w:rFonts w:ascii="Arial" w:hAnsi="Arial" w:cs="Arial"/>
          <w:lang w:val="en-GB"/>
        </w:rPr>
        <w:t xml:space="preserve"> Co (St. Louis, USA) and </w:t>
      </w:r>
      <w:r w:rsidR="006C79C4" w:rsidRPr="007E0F4B">
        <w:rPr>
          <w:rFonts w:ascii="Arial" w:hAnsi="Arial" w:cs="Arial"/>
          <w:bCs/>
          <w:lang w:val="en-GB"/>
        </w:rPr>
        <w:t>picrotoxin</w:t>
      </w:r>
      <w:r w:rsidR="006C79C4" w:rsidRPr="00011AD6">
        <w:rPr>
          <w:rFonts w:ascii="Arial" w:hAnsi="Arial" w:cs="Arial"/>
          <w:lang w:val="en-GB"/>
        </w:rPr>
        <w:t xml:space="preserve"> </w:t>
      </w:r>
      <w:r w:rsidRPr="00011AD6">
        <w:rPr>
          <w:rFonts w:ascii="Arial" w:hAnsi="Arial" w:cs="Arial"/>
          <w:lang w:val="en-GB"/>
        </w:rPr>
        <w:t xml:space="preserve">from Roche, Paris, France). </w:t>
      </w:r>
      <w:r w:rsidR="00CC55DB">
        <w:rPr>
          <w:rFonts w:ascii="Arial" w:hAnsi="Arial" w:cs="Arial"/>
          <w:lang w:val="en-GB"/>
        </w:rPr>
        <w:t>Al</w:t>
      </w:r>
      <w:r w:rsidRPr="00011AD6">
        <w:rPr>
          <w:rFonts w:ascii="Arial" w:hAnsi="Arial" w:cs="Arial"/>
          <w:lang w:val="en-GB"/>
        </w:rPr>
        <w:t>l reagents used for the determination of GABA, GABA-transaminase (GABA-T), acetylcholinesterase (</w:t>
      </w:r>
      <w:proofErr w:type="spellStart"/>
      <w:r w:rsidRPr="00011AD6">
        <w:rPr>
          <w:rFonts w:ascii="Arial" w:hAnsi="Arial" w:cs="Arial"/>
          <w:lang w:val="en-GB"/>
        </w:rPr>
        <w:t>AchE</w:t>
      </w:r>
      <w:proofErr w:type="spellEnd"/>
      <w:r w:rsidRPr="00011AD6">
        <w:rPr>
          <w:rFonts w:ascii="Arial" w:hAnsi="Arial" w:cs="Arial"/>
          <w:lang w:val="en-GB"/>
        </w:rPr>
        <w:t>) and oxidative stress markers were obtained from Sigma Chemic</w:t>
      </w:r>
      <w:r w:rsidR="00CC55DB">
        <w:rPr>
          <w:rFonts w:ascii="Arial" w:hAnsi="Arial" w:cs="Arial"/>
          <w:lang w:val="en-GB"/>
        </w:rPr>
        <w:t>al</w:t>
      </w:r>
      <w:r w:rsidRPr="00011AD6">
        <w:rPr>
          <w:rFonts w:ascii="Arial" w:hAnsi="Arial" w:cs="Arial"/>
          <w:lang w:val="en-GB"/>
        </w:rPr>
        <w:t xml:space="preserve"> Co (St. Louis, USA). </w:t>
      </w:r>
    </w:p>
    <w:p w14:paraId="7B6762CB" w14:textId="77777777" w:rsidR="006C79C4" w:rsidRPr="001772DB" w:rsidRDefault="006C79C4" w:rsidP="00011AD6">
      <w:pPr>
        <w:pStyle w:val="Body"/>
        <w:spacing w:after="0"/>
        <w:rPr>
          <w:rFonts w:ascii="Arial" w:hAnsi="Arial" w:cs="Arial"/>
          <w:lang w:val="en-GB"/>
        </w:rPr>
      </w:pPr>
    </w:p>
    <w:p w14:paraId="76CC4492" w14:textId="77777777" w:rsidR="00011AD6" w:rsidRPr="00011AD6" w:rsidRDefault="00011AD6" w:rsidP="00011AD6">
      <w:pPr>
        <w:pStyle w:val="Body"/>
        <w:spacing w:after="0"/>
        <w:rPr>
          <w:rFonts w:ascii="Arial" w:hAnsi="Arial" w:cs="Arial"/>
          <w:lang w:val="en-GB"/>
        </w:rPr>
      </w:pPr>
    </w:p>
    <w:p w14:paraId="48F99FB4" w14:textId="3226230C" w:rsidR="00011AD6" w:rsidRPr="00011AD6" w:rsidRDefault="00011AD6" w:rsidP="00011AD6">
      <w:pPr>
        <w:pStyle w:val="Body"/>
        <w:spacing w:after="0"/>
        <w:rPr>
          <w:rFonts w:ascii="Arial" w:hAnsi="Arial" w:cs="Arial"/>
          <w:b/>
          <w:bCs/>
          <w:sz w:val="22"/>
          <w:szCs w:val="22"/>
          <w:lang w:val="en-GB"/>
        </w:rPr>
      </w:pPr>
      <w:r w:rsidRPr="00011AD6">
        <w:rPr>
          <w:rFonts w:ascii="Arial" w:hAnsi="Arial" w:cs="Arial"/>
          <w:b/>
          <w:bCs/>
          <w:sz w:val="22"/>
          <w:szCs w:val="22"/>
          <w:lang w:val="en-GB"/>
        </w:rPr>
        <w:t>2.3. Anim</w:t>
      </w:r>
      <w:r w:rsidR="00CC55DB">
        <w:rPr>
          <w:rFonts w:ascii="Arial" w:hAnsi="Arial" w:cs="Arial"/>
          <w:b/>
          <w:bCs/>
          <w:sz w:val="22"/>
          <w:szCs w:val="22"/>
          <w:lang w:val="en-GB"/>
        </w:rPr>
        <w:t>al</w:t>
      </w:r>
      <w:r w:rsidRPr="00011AD6">
        <w:rPr>
          <w:rFonts w:ascii="Arial" w:hAnsi="Arial" w:cs="Arial"/>
          <w:b/>
          <w:bCs/>
          <w:sz w:val="22"/>
          <w:szCs w:val="22"/>
          <w:lang w:val="en-GB"/>
        </w:rPr>
        <w:t xml:space="preserve">s </w:t>
      </w:r>
    </w:p>
    <w:p w14:paraId="2B70927D" w14:textId="3BFFB715" w:rsidR="00011AD6" w:rsidRDefault="00011AD6" w:rsidP="00011AD6">
      <w:pPr>
        <w:pStyle w:val="Body"/>
        <w:spacing w:after="0"/>
        <w:rPr>
          <w:rFonts w:ascii="Arial" w:hAnsi="Arial" w:cs="Arial"/>
          <w:lang w:val="en-GB"/>
        </w:rPr>
      </w:pPr>
      <w:r w:rsidRPr="00011AD6">
        <w:rPr>
          <w:rFonts w:ascii="Arial" w:hAnsi="Arial" w:cs="Arial"/>
          <w:lang w:val="en-GB"/>
        </w:rPr>
        <w:t xml:space="preserve">White mice, </w:t>
      </w:r>
      <w:r w:rsidRPr="00011AD6">
        <w:rPr>
          <w:rFonts w:ascii="Arial" w:hAnsi="Arial" w:cs="Arial"/>
          <w:i/>
          <w:iCs/>
          <w:lang w:val="en-GB"/>
        </w:rPr>
        <w:t>Mus</w:t>
      </w:r>
      <w:r w:rsidRPr="00011AD6">
        <w:rPr>
          <w:rFonts w:ascii="Arial" w:hAnsi="Arial" w:cs="Arial"/>
          <w:lang w:val="en-GB"/>
        </w:rPr>
        <w:t xml:space="preserve"> </w:t>
      </w:r>
      <w:r w:rsidRPr="00011AD6">
        <w:rPr>
          <w:rFonts w:ascii="Arial" w:hAnsi="Arial" w:cs="Arial"/>
          <w:i/>
          <w:iCs/>
          <w:lang w:val="en-GB"/>
        </w:rPr>
        <w:t>musculus</w:t>
      </w:r>
      <w:r w:rsidRPr="00011AD6">
        <w:rPr>
          <w:rFonts w:ascii="Arial" w:hAnsi="Arial" w:cs="Arial"/>
          <w:lang w:val="en-GB"/>
        </w:rPr>
        <w:t xml:space="preserve"> </w:t>
      </w:r>
      <w:proofErr w:type="spellStart"/>
      <w:r w:rsidRPr="00011AD6">
        <w:rPr>
          <w:rFonts w:ascii="Arial" w:hAnsi="Arial" w:cs="Arial"/>
          <w:lang w:val="en-GB"/>
        </w:rPr>
        <w:t>swiss</w:t>
      </w:r>
      <w:proofErr w:type="spellEnd"/>
      <w:r w:rsidRPr="00011AD6">
        <w:rPr>
          <w:rFonts w:ascii="Arial" w:hAnsi="Arial" w:cs="Arial"/>
          <w:lang w:val="en-GB"/>
        </w:rPr>
        <w:t>, aged 31 to 47 days, of m</w:t>
      </w:r>
      <w:r w:rsidR="00CC55DB">
        <w:rPr>
          <w:rFonts w:ascii="Arial" w:hAnsi="Arial" w:cs="Arial"/>
          <w:lang w:val="en-GB"/>
        </w:rPr>
        <w:t>al</w:t>
      </w:r>
      <w:r w:rsidRPr="00011AD6">
        <w:rPr>
          <w:rFonts w:ascii="Arial" w:hAnsi="Arial" w:cs="Arial"/>
          <w:lang w:val="en-GB"/>
        </w:rPr>
        <w:t>e sex weighing between 20 and 25 g were used in our experiments. The anim</w:t>
      </w:r>
      <w:r w:rsidR="00CC55DB">
        <w:rPr>
          <w:rFonts w:ascii="Arial" w:hAnsi="Arial" w:cs="Arial"/>
          <w:lang w:val="en-GB"/>
        </w:rPr>
        <w:t>al</w:t>
      </w:r>
      <w:r w:rsidRPr="00011AD6">
        <w:rPr>
          <w:rFonts w:ascii="Arial" w:hAnsi="Arial" w:cs="Arial"/>
          <w:lang w:val="en-GB"/>
        </w:rPr>
        <w:t>s were provided by the Nation</w:t>
      </w:r>
      <w:r w:rsidR="00CC55DB">
        <w:rPr>
          <w:rFonts w:ascii="Arial" w:hAnsi="Arial" w:cs="Arial"/>
          <w:lang w:val="en-GB"/>
        </w:rPr>
        <w:t>al</w:t>
      </w:r>
      <w:r w:rsidRPr="00011AD6">
        <w:rPr>
          <w:rFonts w:ascii="Arial" w:hAnsi="Arial" w:cs="Arial"/>
          <w:lang w:val="en-GB"/>
        </w:rPr>
        <w:t xml:space="preserve"> Veterinary Laboratory (LANAVET) of Garoua (North - Cameroon). </w:t>
      </w:r>
      <w:r w:rsidR="00CC55DB">
        <w:rPr>
          <w:rFonts w:ascii="Arial" w:hAnsi="Arial" w:cs="Arial"/>
          <w:lang w:val="en-GB"/>
        </w:rPr>
        <w:t>Al</w:t>
      </w:r>
      <w:r w:rsidRPr="00011AD6">
        <w:rPr>
          <w:rFonts w:ascii="Arial" w:hAnsi="Arial" w:cs="Arial"/>
          <w:lang w:val="en-GB"/>
        </w:rPr>
        <w:t>l anim</w:t>
      </w:r>
      <w:r w:rsidR="00CC55DB">
        <w:rPr>
          <w:rFonts w:ascii="Arial" w:hAnsi="Arial" w:cs="Arial"/>
          <w:lang w:val="en-GB"/>
        </w:rPr>
        <w:t>al</w:t>
      </w:r>
      <w:r w:rsidRPr="00011AD6">
        <w:rPr>
          <w:rFonts w:ascii="Arial" w:hAnsi="Arial" w:cs="Arial"/>
          <w:lang w:val="en-GB"/>
        </w:rPr>
        <w:t>s were acclimatized for 72 hours at the laboratory of medicin</w:t>
      </w:r>
      <w:r w:rsidR="00CC55DB">
        <w:rPr>
          <w:rFonts w:ascii="Arial" w:hAnsi="Arial" w:cs="Arial"/>
          <w:lang w:val="en-GB"/>
        </w:rPr>
        <w:t>al</w:t>
      </w:r>
      <w:r w:rsidRPr="00011AD6">
        <w:rPr>
          <w:rFonts w:ascii="Arial" w:hAnsi="Arial" w:cs="Arial"/>
          <w:lang w:val="en-GB"/>
        </w:rPr>
        <w:t xml:space="preserve"> plants, he</w:t>
      </w:r>
      <w:r w:rsidR="00CC55DB">
        <w:rPr>
          <w:rFonts w:ascii="Arial" w:hAnsi="Arial" w:cs="Arial"/>
          <w:lang w:val="en-GB"/>
        </w:rPr>
        <w:t>al</w:t>
      </w:r>
      <w:r w:rsidRPr="00011AD6">
        <w:rPr>
          <w:rFonts w:ascii="Arial" w:hAnsi="Arial" w:cs="Arial"/>
          <w:lang w:val="en-GB"/>
        </w:rPr>
        <w:t>th and g</w:t>
      </w:r>
      <w:r w:rsidR="00CC55DB">
        <w:rPr>
          <w:rFonts w:ascii="Arial" w:hAnsi="Arial" w:cs="Arial"/>
          <w:lang w:val="en-GB"/>
        </w:rPr>
        <w:t>al</w:t>
      </w:r>
      <w:r w:rsidRPr="00011AD6">
        <w:rPr>
          <w:rFonts w:ascii="Arial" w:hAnsi="Arial" w:cs="Arial"/>
          <w:lang w:val="en-GB"/>
        </w:rPr>
        <w:t xml:space="preserve">enic formulation of the University of </w:t>
      </w:r>
      <w:proofErr w:type="spellStart"/>
      <w:r w:rsidRPr="00011AD6">
        <w:rPr>
          <w:rFonts w:ascii="Arial" w:hAnsi="Arial" w:cs="Arial"/>
          <w:lang w:val="en-GB"/>
        </w:rPr>
        <w:t>Ngaoundere</w:t>
      </w:r>
      <w:proofErr w:type="spellEnd"/>
      <w:r w:rsidRPr="00011AD6">
        <w:rPr>
          <w:rFonts w:ascii="Arial" w:hAnsi="Arial" w:cs="Arial"/>
          <w:lang w:val="en-GB"/>
        </w:rPr>
        <w:t xml:space="preserve"> before the beginning of the experiments. The mice were kept in Plexiglas cages and had free access to water. </w:t>
      </w:r>
      <w:r w:rsidR="00CC55DB">
        <w:rPr>
          <w:rFonts w:ascii="Arial" w:hAnsi="Arial" w:cs="Arial"/>
          <w:lang w:val="en-GB"/>
        </w:rPr>
        <w:t>Al</w:t>
      </w:r>
      <w:r w:rsidRPr="00011AD6">
        <w:rPr>
          <w:rFonts w:ascii="Arial" w:hAnsi="Arial" w:cs="Arial"/>
          <w:lang w:val="en-GB"/>
        </w:rPr>
        <w:t>l experiment</w:t>
      </w:r>
      <w:r w:rsidR="00CC55DB">
        <w:rPr>
          <w:rFonts w:ascii="Arial" w:hAnsi="Arial" w:cs="Arial"/>
          <w:lang w:val="en-GB"/>
        </w:rPr>
        <w:t>al</w:t>
      </w:r>
      <w:r w:rsidRPr="00011AD6">
        <w:rPr>
          <w:rFonts w:ascii="Arial" w:hAnsi="Arial" w:cs="Arial"/>
          <w:lang w:val="en-GB"/>
        </w:rPr>
        <w:t xml:space="preserve"> procedures in this study were performed in concordance with the Internation</w:t>
      </w:r>
      <w:r w:rsidR="00CC55DB">
        <w:rPr>
          <w:rFonts w:ascii="Arial" w:hAnsi="Arial" w:cs="Arial"/>
          <w:lang w:val="en-GB"/>
        </w:rPr>
        <w:t>al</w:t>
      </w:r>
      <w:r w:rsidRPr="00011AD6">
        <w:rPr>
          <w:rFonts w:ascii="Arial" w:hAnsi="Arial" w:cs="Arial"/>
          <w:lang w:val="en-GB"/>
        </w:rPr>
        <w:t xml:space="preserve"> Guide for the Care and Use of Laboratory Anim</w:t>
      </w:r>
      <w:r w:rsidR="00CC55DB">
        <w:rPr>
          <w:rFonts w:ascii="Arial" w:hAnsi="Arial" w:cs="Arial"/>
          <w:lang w:val="en-GB"/>
        </w:rPr>
        <w:t>al</w:t>
      </w:r>
      <w:r w:rsidRPr="00011AD6">
        <w:rPr>
          <w:rFonts w:ascii="Arial" w:hAnsi="Arial" w:cs="Arial"/>
          <w:lang w:val="en-GB"/>
        </w:rPr>
        <w:t xml:space="preserve"> (Nation</w:t>
      </w:r>
      <w:r w:rsidR="00CC55DB">
        <w:rPr>
          <w:rFonts w:ascii="Arial" w:hAnsi="Arial" w:cs="Arial"/>
          <w:lang w:val="en-GB"/>
        </w:rPr>
        <w:t>al</w:t>
      </w:r>
      <w:r w:rsidRPr="00011AD6">
        <w:rPr>
          <w:rFonts w:ascii="Arial" w:hAnsi="Arial" w:cs="Arial"/>
          <w:lang w:val="en-GB"/>
        </w:rPr>
        <w:t xml:space="preserve"> Institute of He</w:t>
      </w:r>
      <w:r w:rsidR="00CC55DB">
        <w:rPr>
          <w:rFonts w:ascii="Arial" w:hAnsi="Arial" w:cs="Arial"/>
          <w:lang w:val="en-GB"/>
        </w:rPr>
        <w:t>al</w:t>
      </w:r>
      <w:r w:rsidRPr="00011AD6">
        <w:rPr>
          <w:rFonts w:ascii="Arial" w:hAnsi="Arial" w:cs="Arial"/>
          <w:lang w:val="en-GB"/>
        </w:rPr>
        <w:t>th; publication No. 85-23, revised 1996) and the Cameroon Nation</w:t>
      </w:r>
      <w:r w:rsidR="00CC55DB">
        <w:rPr>
          <w:rFonts w:ascii="Arial" w:hAnsi="Arial" w:cs="Arial"/>
          <w:lang w:val="en-GB"/>
        </w:rPr>
        <w:t>al</w:t>
      </w:r>
      <w:r w:rsidRPr="00011AD6">
        <w:rPr>
          <w:rFonts w:ascii="Arial" w:hAnsi="Arial" w:cs="Arial"/>
          <w:lang w:val="en-GB"/>
        </w:rPr>
        <w:t xml:space="preserve"> Ethic</w:t>
      </w:r>
      <w:r w:rsidR="00CC55DB">
        <w:rPr>
          <w:rFonts w:ascii="Arial" w:hAnsi="Arial" w:cs="Arial"/>
          <w:lang w:val="en-GB"/>
        </w:rPr>
        <w:t>al</w:t>
      </w:r>
      <w:r w:rsidRPr="00011AD6">
        <w:rPr>
          <w:rFonts w:ascii="Arial" w:hAnsi="Arial" w:cs="Arial"/>
          <w:lang w:val="en-GB"/>
        </w:rPr>
        <w:t xml:space="preserve"> Committee, </w:t>
      </w:r>
      <w:proofErr w:type="spellStart"/>
      <w:r w:rsidRPr="00011AD6">
        <w:rPr>
          <w:rFonts w:ascii="Arial" w:hAnsi="Arial" w:cs="Arial"/>
          <w:lang w:val="en-GB"/>
        </w:rPr>
        <w:t>Yaounde</w:t>
      </w:r>
      <w:proofErr w:type="spellEnd"/>
      <w:r w:rsidRPr="00011AD6">
        <w:rPr>
          <w:rFonts w:ascii="Arial" w:hAnsi="Arial" w:cs="Arial"/>
          <w:lang w:val="en-GB"/>
        </w:rPr>
        <w:t xml:space="preserve"> (No. FW-IRB00001954).</w:t>
      </w:r>
    </w:p>
    <w:p w14:paraId="4770E16C" w14:textId="77777777" w:rsidR="00446460" w:rsidRPr="00011AD6" w:rsidRDefault="00446460" w:rsidP="00011AD6">
      <w:pPr>
        <w:pStyle w:val="Body"/>
        <w:spacing w:after="0"/>
        <w:rPr>
          <w:rFonts w:ascii="Arial" w:hAnsi="Arial" w:cs="Arial"/>
          <w:lang w:val="en-GB"/>
        </w:rPr>
      </w:pPr>
    </w:p>
    <w:p w14:paraId="0CB43C48" w14:textId="2380FFCB" w:rsidR="007E0F4B" w:rsidRPr="007E0F4B" w:rsidRDefault="007E0F4B" w:rsidP="007E0F4B">
      <w:pPr>
        <w:pStyle w:val="Body"/>
        <w:spacing w:after="0"/>
        <w:rPr>
          <w:rFonts w:ascii="Arial" w:hAnsi="Arial" w:cs="Arial"/>
          <w:b/>
          <w:bCs/>
          <w:lang w:val="en-GB"/>
        </w:rPr>
      </w:pPr>
      <w:r w:rsidRPr="007E0F4B">
        <w:rPr>
          <w:rFonts w:ascii="Arial" w:hAnsi="Arial" w:cs="Arial"/>
          <w:b/>
          <w:bCs/>
          <w:lang w:val="en-GB"/>
        </w:rPr>
        <w:t xml:space="preserve">2.4. Induction of </w:t>
      </w:r>
      <w:r w:rsidRPr="007E0F4B">
        <w:rPr>
          <w:rFonts w:ascii="Arial" w:hAnsi="Arial" w:cs="Arial"/>
          <w:b/>
          <w:bCs/>
          <w:i/>
          <w:iCs/>
          <w:lang w:val="en-GB"/>
        </w:rPr>
        <w:t>status epilepticus</w:t>
      </w:r>
      <w:r w:rsidRPr="007E0F4B">
        <w:rPr>
          <w:rFonts w:ascii="Arial" w:hAnsi="Arial" w:cs="Arial"/>
          <w:b/>
          <w:bCs/>
          <w:lang w:val="en-GB"/>
        </w:rPr>
        <w:t xml:space="preserve"> </w:t>
      </w:r>
      <w:r w:rsidR="00F14E14" w:rsidRPr="001772DB">
        <w:rPr>
          <w:rFonts w:ascii="Arial" w:hAnsi="Arial" w:cs="Arial"/>
          <w:b/>
          <w:bCs/>
          <w:lang w:val="en-GB"/>
        </w:rPr>
        <w:t>and the study of anticonvulsant property</w:t>
      </w:r>
    </w:p>
    <w:p w14:paraId="24F65784" w14:textId="43BD0CA7" w:rsidR="007E0F4B" w:rsidRPr="007E0F4B" w:rsidRDefault="007E0F4B" w:rsidP="007E0F4B">
      <w:pPr>
        <w:pStyle w:val="Body"/>
        <w:rPr>
          <w:rFonts w:ascii="Arial" w:hAnsi="Arial" w:cs="Arial"/>
          <w:lang w:val="en-GB"/>
        </w:rPr>
      </w:pPr>
      <w:r w:rsidRPr="007E0F4B">
        <w:rPr>
          <w:rFonts w:ascii="Arial" w:hAnsi="Arial" w:cs="Arial"/>
          <w:lang w:val="en-GB"/>
        </w:rPr>
        <w:t xml:space="preserve">On the first day of the experiments, 42 white </w:t>
      </w:r>
      <w:r w:rsidRPr="007E0F4B">
        <w:rPr>
          <w:rFonts w:ascii="Arial" w:hAnsi="Arial" w:cs="Arial"/>
          <w:i/>
          <w:iCs/>
          <w:lang w:val="en-GB"/>
        </w:rPr>
        <w:t>Mus musculus</w:t>
      </w:r>
      <w:r w:rsidRPr="007E0F4B">
        <w:rPr>
          <w:rFonts w:ascii="Arial" w:hAnsi="Arial" w:cs="Arial"/>
          <w:lang w:val="en-GB"/>
        </w:rPr>
        <w:t xml:space="preserve"> </w:t>
      </w:r>
      <w:r w:rsidR="00430751">
        <w:rPr>
          <w:rFonts w:ascii="Arial" w:hAnsi="Arial" w:cs="Arial"/>
          <w:lang w:val="en-GB"/>
        </w:rPr>
        <w:t>S</w:t>
      </w:r>
      <w:r w:rsidRPr="007E0F4B">
        <w:rPr>
          <w:rFonts w:ascii="Arial" w:hAnsi="Arial" w:cs="Arial"/>
          <w:lang w:val="en-GB"/>
        </w:rPr>
        <w:t>wiss mice were weighed and divided into 7 groups of 6 anim</w:t>
      </w:r>
      <w:r w:rsidR="00CC55DB">
        <w:rPr>
          <w:rFonts w:ascii="Arial" w:hAnsi="Arial" w:cs="Arial"/>
          <w:lang w:val="en-GB"/>
        </w:rPr>
        <w:t>al</w:t>
      </w:r>
      <w:r w:rsidRPr="007E0F4B">
        <w:rPr>
          <w:rFonts w:ascii="Arial" w:hAnsi="Arial" w:cs="Arial"/>
          <w:lang w:val="en-GB"/>
        </w:rPr>
        <w:t>s, as follows:</w:t>
      </w:r>
      <w:r w:rsidRPr="001772DB">
        <w:rPr>
          <w:rFonts w:ascii="Arial" w:hAnsi="Arial" w:cs="Arial"/>
          <w:lang w:val="en-GB"/>
        </w:rPr>
        <w:t xml:space="preserve"> </w:t>
      </w:r>
      <w:r w:rsidRPr="007E0F4B">
        <w:rPr>
          <w:rFonts w:ascii="Arial" w:hAnsi="Arial" w:cs="Arial"/>
          <w:lang w:val="en-GB"/>
        </w:rPr>
        <w:t xml:space="preserve">- Four test groups received the different doses of </w:t>
      </w:r>
      <w:proofErr w:type="spellStart"/>
      <w:r w:rsidR="000D3B21">
        <w:rPr>
          <w:rFonts w:ascii="Arial" w:hAnsi="Arial" w:cs="Arial"/>
          <w:i/>
          <w:iCs/>
          <w:lang w:val="en-GB"/>
        </w:rPr>
        <w:t>Crassoceph</w:t>
      </w:r>
      <w:r w:rsidR="00CC55DB">
        <w:rPr>
          <w:rFonts w:ascii="Arial" w:hAnsi="Arial" w:cs="Arial"/>
          <w:i/>
          <w:iCs/>
          <w:lang w:val="en-GB"/>
        </w:rPr>
        <w:t>al</w:t>
      </w:r>
      <w:r w:rsidR="000D3B21">
        <w:rPr>
          <w:rFonts w:ascii="Arial" w:hAnsi="Arial" w:cs="Arial"/>
          <w:i/>
          <w:iCs/>
          <w:lang w:val="en-GB"/>
        </w:rPr>
        <w:t>um</w:t>
      </w:r>
      <w:proofErr w:type="spellEnd"/>
      <w:r w:rsidR="000D3B21">
        <w:rPr>
          <w:rFonts w:ascii="Arial" w:hAnsi="Arial" w:cs="Arial"/>
          <w:i/>
          <w:iCs/>
          <w:lang w:val="en-GB"/>
        </w:rPr>
        <w:t xml:space="preserve"> </w:t>
      </w:r>
      <w:proofErr w:type="spellStart"/>
      <w:r w:rsidR="000D3B21">
        <w:rPr>
          <w:rFonts w:ascii="Arial" w:hAnsi="Arial" w:cs="Arial"/>
          <w:i/>
          <w:iCs/>
          <w:lang w:val="en-GB"/>
        </w:rPr>
        <w:t>bauchiense</w:t>
      </w:r>
      <w:proofErr w:type="spellEnd"/>
      <w:r w:rsidRPr="007E0F4B">
        <w:rPr>
          <w:rFonts w:ascii="Arial" w:hAnsi="Arial" w:cs="Arial"/>
          <w:lang w:val="en-GB"/>
        </w:rPr>
        <w:t xml:space="preserve">(28, 70, 140 and 280 mg/kg </w:t>
      </w:r>
      <w:r w:rsidRPr="007E0F4B">
        <w:rPr>
          <w:rFonts w:ascii="Arial" w:hAnsi="Arial" w:cs="Arial"/>
          <w:i/>
          <w:lang w:val="en-GB"/>
        </w:rPr>
        <w:t xml:space="preserve">per </w:t>
      </w:r>
      <w:proofErr w:type="spellStart"/>
      <w:r w:rsidRPr="007E0F4B">
        <w:rPr>
          <w:rFonts w:ascii="Arial" w:hAnsi="Arial" w:cs="Arial"/>
          <w:i/>
          <w:lang w:val="en-GB"/>
        </w:rPr>
        <w:t>os</w:t>
      </w:r>
      <w:proofErr w:type="spellEnd"/>
      <w:r w:rsidRPr="007E0F4B">
        <w:rPr>
          <w:rFonts w:ascii="Arial" w:hAnsi="Arial" w:cs="Arial"/>
          <w:lang w:val="en-GB"/>
        </w:rPr>
        <w:t>);</w:t>
      </w:r>
      <w:r w:rsidRPr="001772DB">
        <w:rPr>
          <w:rFonts w:ascii="Arial" w:hAnsi="Arial" w:cs="Arial"/>
          <w:lang w:val="en-GB"/>
        </w:rPr>
        <w:t xml:space="preserve"> </w:t>
      </w:r>
      <w:r w:rsidRPr="007E0F4B">
        <w:rPr>
          <w:rFonts w:ascii="Arial" w:hAnsi="Arial" w:cs="Arial"/>
          <w:lang w:val="en-GB"/>
        </w:rPr>
        <w:t xml:space="preserve">- One negative control group received distilled water (DW :10 mg/kg </w:t>
      </w:r>
      <w:r w:rsidRPr="007E0F4B">
        <w:rPr>
          <w:rFonts w:ascii="Arial" w:hAnsi="Arial" w:cs="Arial"/>
          <w:i/>
          <w:lang w:val="en-GB"/>
        </w:rPr>
        <w:t xml:space="preserve">per </w:t>
      </w:r>
      <w:proofErr w:type="spellStart"/>
      <w:r w:rsidRPr="007E0F4B">
        <w:rPr>
          <w:rFonts w:ascii="Arial" w:hAnsi="Arial" w:cs="Arial"/>
          <w:i/>
          <w:lang w:val="en-GB"/>
        </w:rPr>
        <w:t>os</w:t>
      </w:r>
      <w:proofErr w:type="spellEnd"/>
      <w:r w:rsidRPr="007E0F4B">
        <w:rPr>
          <w:rFonts w:ascii="Arial" w:hAnsi="Arial" w:cs="Arial"/>
          <w:lang w:val="en-GB"/>
        </w:rPr>
        <w:t xml:space="preserve">); </w:t>
      </w:r>
      <w:r w:rsidRPr="001772DB">
        <w:rPr>
          <w:rFonts w:ascii="Arial" w:hAnsi="Arial" w:cs="Arial"/>
          <w:lang w:val="en-GB"/>
        </w:rPr>
        <w:t xml:space="preserve"> </w:t>
      </w:r>
      <w:r w:rsidRPr="007E0F4B">
        <w:rPr>
          <w:rFonts w:ascii="Arial" w:hAnsi="Arial" w:cs="Arial"/>
          <w:lang w:val="en-GB"/>
        </w:rPr>
        <w:t>- A positive control group received sodium v</w:t>
      </w:r>
      <w:r w:rsidR="00CC55DB">
        <w:rPr>
          <w:rFonts w:ascii="Arial" w:hAnsi="Arial" w:cs="Arial"/>
          <w:lang w:val="en-GB"/>
        </w:rPr>
        <w:t>al</w:t>
      </w:r>
      <w:r w:rsidRPr="007E0F4B">
        <w:rPr>
          <w:rFonts w:ascii="Arial" w:hAnsi="Arial" w:cs="Arial"/>
          <w:lang w:val="en-GB"/>
        </w:rPr>
        <w:t xml:space="preserve">proate (VS: 300 mg/kg, </w:t>
      </w:r>
      <w:proofErr w:type="spellStart"/>
      <w:r w:rsidRPr="007E0F4B">
        <w:rPr>
          <w:rFonts w:ascii="Arial" w:hAnsi="Arial" w:cs="Arial"/>
          <w:lang w:val="en-GB"/>
        </w:rPr>
        <w:t>i.p.</w:t>
      </w:r>
      <w:proofErr w:type="spellEnd"/>
      <w:r w:rsidRPr="007E0F4B">
        <w:rPr>
          <w:rFonts w:ascii="Arial" w:hAnsi="Arial" w:cs="Arial"/>
          <w:lang w:val="en-GB"/>
        </w:rPr>
        <w:t>);</w:t>
      </w:r>
      <w:r w:rsidRPr="001772DB">
        <w:rPr>
          <w:rFonts w:ascii="Arial" w:hAnsi="Arial" w:cs="Arial"/>
          <w:lang w:val="en-GB"/>
        </w:rPr>
        <w:t xml:space="preserve"> </w:t>
      </w:r>
      <w:r w:rsidRPr="007E0F4B">
        <w:rPr>
          <w:rFonts w:ascii="Arial" w:hAnsi="Arial" w:cs="Arial"/>
          <w:lang w:val="en-GB"/>
        </w:rPr>
        <w:t>- A norm</w:t>
      </w:r>
      <w:r w:rsidR="00CC55DB">
        <w:rPr>
          <w:rFonts w:ascii="Arial" w:hAnsi="Arial" w:cs="Arial"/>
          <w:lang w:val="en-GB"/>
        </w:rPr>
        <w:t>al</w:t>
      </w:r>
      <w:r w:rsidRPr="007E0F4B">
        <w:rPr>
          <w:rFonts w:ascii="Arial" w:hAnsi="Arial" w:cs="Arial"/>
          <w:lang w:val="en-GB"/>
        </w:rPr>
        <w:t xml:space="preserve"> control group received distilled water (DW:10 mg/kg </w:t>
      </w:r>
      <w:r w:rsidRPr="007E0F4B">
        <w:rPr>
          <w:rFonts w:ascii="Arial" w:hAnsi="Arial" w:cs="Arial"/>
          <w:i/>
          <w:lang w:val="en-GB"/>
        </w:rPr>
        <w:t xml:space="preserve">per </w:t>
      </w:r>
      <w:proofErr w:type="spellStart"/>
      <w:r w:rsidRPr="007E0F4B">
        <w:rPr>
          <w:rFonts w:ascii="Arial" w:hAnsi="Arial" w:cs="Arial"/>
          <w:i/>
          <w:lang w:val="en-GB"/>
        </w:rPr>
        <w:t>os</w:t>
      </w:r>
      <w:proofErr w:type="spellEnd"/>
      <w:r w:rsidRPr="007E0F4B">
        <w:rPr>
          <w:rFonts w:ascii="Arial" w:hAnsi="Arial" w:cs="Arial"/>
          <w:lang w:val="en-GB"/>
        </w:rPr>
        <w:t>).</w:t>
      </w:r>
      <w:r w:rsidRPr="001772DB">
        <w:rPr>
          <w:rFonts w:ascii="Arial" w:hAnsi="Arial" w:cs="Arial"/>
          <w:lang w:val="en-GB"/>
        </w:rPr>
        <w:t xml:space="preserve"> </w:t>
      </w:r>
      <w:r w:rsidRPr="007E0F4B">
        <w:rPr>
          <w:rFonts w:ascii="Arial" w:hAnsi="Arial" w:cs="Arial"/>
          <w:lang w:val="en-GB"/>
        </w:rPr>
        <w:t xml:space="preserve">The injection protocol was similar to those previously described by </w:t>
      </w:r>
      <w:r w:rsidRPr="007E0F4B">
        <w:rPr>
          <w:rFonts w:ascii="Arial" w:hAnsi="Arial" w:cs="Arial"/>
          <w:lang w:val="en-GB"/>
        </w:rPr>
        <w:fldChar w:fldCharType="begin"/>
      </w:r>
      <w:r w:rsidRPr="007E0F4B">
        <w:rPr>
          <w:rFonts w:ascii="Arial" w:hAnsi="Arial" w:cs="Arial"/>
          <w:lang w:val="en-GB"/>
        </w:rPr>
        <w:instrText>ADDIN CSL_CITATION {"citationItems":[{"id":"ITEM-1","itemData":{"DOI":"10.1016/0166-4328(83)90136-5","ISSN":"01664328","abstract":"Behavioural, electroencephalographic and neuropathological responses to increasing doses of pilocarpine (100-400 mg/kg) administered intraperitoneally to rats were studied. At the dose of 400 mg/kg pilocarpine produced a sequence of behavioural alterations including staring spells, olfactory and gustatory automatisms and motor limbic seizures that developed over 1-2 h and built up progressively into limbic status epilepticus. Smaller doses showed different threshold for these behavioural phenomena but a similar time course of development. The earliest electrographic alterations occurred in the hippocampus and then epileptiform activity propagated to amygdala and cortex. Subsequently electrographic seizures appeared in both limbic and cortical leads. The ictal periods recurred each 5-15 min and were followed by variable periods of depression of the electrographic activity. The sequence of electrographic changes correlated well with the development of behavioural phenomena. Histological examination of frontal forebrain sections revealed disseminated, apparently seizure-mediated pattern of brain damage. Neuropathological alterations were observed in the olfactory cortex, amygdaloid complex, thalamus, neocortex, hippocampal formation and substantia nigra. Pretreatment of animals with scopolamine (20 mg/kg) and diazepam (10 mg/kg) prevented the development of convulsive activity and brain damage. These results show that systemic pilocarpine in rats selectively elaborates epileptiform activity in the limbic structures accompanied by motor limbic seizures, limbic status epilepticus and widespread brain damage. It is suggested that a causative relationship between excessive stimulation of cholinergic receptors in the brain and epileptic brain damage may exist. © 1983.","author":[{"dropping-particle":"","family":"Turski","given":"Waldemar A.","non-dropping-particle":"","parse-names":false,"suffix":""},{"dropping-particle":"","family":"Cavalheiro","given":"Esper A.","non-dropping-particle":"","parse-names":false,"suffix":""},{"dropping-particle":"","family":"Schwarz","given":"Michael","non-dropping-particle":"","parse-names":false,"suffix":""},{"dropping-particle":"","family":"Czuczwar","given":"Stanisław J.","non-dropping-particle":"","parse-names":false,"suffix":""},{"dropping-particle":"","family":"Kleinrok","given":"Zdzisław","non-dropping-particle":"","parse-names":false,"suffix":""},{"dropping-particle":"","family":"Turski","given":"Lechosław","non-dropping-particle":"","parse-names":false,"suffix":""}],"container-title":"Behavioural Brain Research","id":"ITEM-1","issue":"3","issued":{"date-parts":[["1983"]]},"title":"Limbic seizures produced by pilocarpine in rats: Behavioural, electroencephalographic and neuropathological study","type":"article-journal","volume":"9"},"uris":["http://www.mendeley.com/documents/?uuid=e22318d7-d5aa-3be0-a119-6a58fc6b7cf9"]}],"mendeley":{"formattedCitation":"(Turski et al., 1983)","manualFormatting":"Turski et al., (1983)","plainTextFormattedCitation":"(Turski et al., 1983)","previouslyFormattedCitation":"(Turski et al., 1983)"},"properties":{"noteIndex":0},"schema":"https://github.com/citation-style-language/schema/raw/master/csl-citation.json"}</w:instrText>
      </w:r>
      <w:r w:rsidRPr="007E0F4B">
        <w:rPr>
          <w:rFonts w:ascii="Arial" w:hAnsi="Arial" w:cs="Arial"/>
          <w:lang w:val="en-GB"/>
        </w:rPr>
        <w:fldChar w:fldCharType="separate"/>
      </w:r>
      <w:r w:rsidRPr="007E0F4B">
        <w:rPr>
          <w:rFonts w:ascii="Arial" w:hAnsi="Arial" w:cs="Arial"/>
          <w:lang w:val="en-GB"/>
        </w:rPr>
        <w:t xml:space="preserve">Turski et </w:t>
      </w:r>
      <w:r w:rsidR="00CC55DB" w:rsidRPr="003F09D2">
        <w:rPr>
          <w:rFonts w:ascii="Arial" w:hAnsi="Arial" w:cs="Arial"/>
          <w:lang w:val="en-GB"/>
        </w:rPr>
        <w:t>al</w:t>
      </w:r>
      <w:r w:rsidRPr="007E0F4B">
        <w:rPr>
          <w:rFonts w:ascii="Arial" w:hAnsi="Arial" w:cs="Arial"/>
          <w:i/>
          <w:iCs/>
          <w:lang w:val="en-GB"/>
        </w:rPr>
        <w:t xml:space="preserve">., </w:t>
      </w:r>
      <w:r w:rsidRPr="007E0F4B">
        <w:rPr>
          <w:rFonts w:ascii="Arial" w:hAnsi="Arial" w:cs="Arial"/>
          <w:lang w:val="en-GB"/>
        </w:rPr>
        <w:t>(1983)</w:t>
      </w:r>
      <w:r w:rsidRPr="007E0F4B">
        <w:rPr>
          <w:rFonts w:ascii="Arial" w:hAnsi="Arial" w:cs="Arial"/>
          <w:lang w:val="en-GB"/>
        </w:rPr>
        <w:fldChar w:fldCharType="end"/>
      </w:r>
      <w:r w:rsidRPr="007E0F4B">
        <w:rPr>
          <w:rFonts w:ascii="Arial" w:hAnsi="Arial" w:cs="Arial"/>
          <w:lang w:val="en-GB"/>
        </w:rPr>
        <w:t xml:space="preserve">, </w:t>
      </w:r>
      <w:r w:rsidRPr="007E0F4B">
        <w:rPr>
          <w:rFonts w:ascii="Arial" w:hAnsi="Arial" w:cs="Arial"/>
          <w:lang w:val="en-GB"/>
        </w:rPr>
        <w:fldChar w:fldCharType="begin"/>
      </w:r>
      <w:r w:rsidRPr="007E0F4B">
        <w:rPr>
          <w:rFonts w:ascii="Arial" w:hAnsi="Arial" w:cs="Arial"/>
          <w:lang w:val="en-GB"/>
        </w:rPr>
        <w:instrText>ADDIN CSL_CITATION {"citationItems":[{"id":"ITEM-1","itemData":{"DOI":"10.1016/j.jneumeth.2008.04.019","ISSN":"01650270","PMID":"18550176","abstract":"Understanding the pathophysiogenesis of temporal lobe epilepsy (TLE) largely rests on the use of models of status epilepticus (SE), as in the case of the pilocarpine model. The main features of TLE are: (i) epileptic foci in the limbic system; (ii) an \"initial precipitating injury\"; (iii) the so-called \"latent period\"; and (iv) the presence of hippocampal sclerosis leading to reorganization of neuronal networks. Many of these characteristics can be reproduced in rodents by systemic injection of pilocarpine; in this animal model, SE is followed by a latent period and later by the appearance of spontaneous recurrent seizures (SRSs). These processes are, however, influenced by experimental conditions such as rodent species, strain, gender, age, doses and routes of pilocarpine administration, as well as combinations with other drugs administered before and/or after SE. In the attempt to limit these sources of variability, we evaluated the methodological procedures used by several investigators in the pilocarpine model; in particular, we have focused on the behavioural, electrophysiological and histopathological findings obtained with different protocols. We addressed the various experimental approaches published to date, by comparing mortality rates, onset of SRSs, neuronal damage, and network reorganization. Based on the evidence reviewed here, we propose that the pilocarpine model can be a valuable tool to investigate the mechanisms involved in TLE, and even more so when standardized to reduce mortality at the time of pilocarpine injection, differences in latent period duration, variability in the lesion extent, and SRS frequency. © 2008 Elsevier B.V. All rights reserved.","author":[{"dropping-particle":"","family":"Curia","given":"Giulia","non-dropping-particle":"","parse-names":false,"suffix":""},{"dropping-particle":"","family":"Longo","given":"Daniela","non-dropping-particle":"","parse-names":false,"suffix":""},{"dropping-particle":"","family":"Biagini","given":"Giuseppe","non-dropping-particle":"","parse-names":false,"suffix":""},{"dropping-particle":"","family":"Jones","given":"Roland S.G.","non-dropping-particle":"","parse-names":false,"suffix":""},{"dropping-particle":"","family":"Avoli","given":"Massimo","non-dropping-particle":"","parse-names":false,"suffix":""}],"container-title":"Journal of Neuroscience Methods","id":"ITEM-1","issue":"2","issued":{"date-parts":[["2008"]]},"page":"143-157","title":"The pilocarpine model of temporal lobe epilepsy","type":"article-journal","volume":"172"},"uris":["http://www.mendeley.com/documents/?uuid=88c48cd3-3179-4449-bde0-182abe58120c"]}],"mendeley":{"formattedCitation":"(Curia et al., 2008)","manualFormatting":"Curia et al., (2008)","plainTextFormattedCitation":"(Curia et al., 2008)","previouslyFormattedCitation":"(Curia et al., 2008)"},"properties":{"noteIndex":0},"schema":"https://github.com/citation-style-language/schema/raw/master/csl-citation.json"}</w:instrText>
      </w:r>
      <w:r w:rsidRPr="007E0F4B">
        <w:rPr>
          <w:rFonts w:ascii="Arial" w:hAnsi="Arial" w:cs="Arial"/>
          <w:lang w:val="en-GB"/>
        </w:rPr>
        <w:fldChar w:fldCharType="separate"/>
      </w:r>
      <w:r w:rsidRPr="007E0F4B">
        <w:rPr>
          <w:rFonts w:ascii="Arial" w:hAnsi="Arial" w:cs="Arial"/>
          <w:lang w:val="en-GB"/>
        </w:rPr>
        <w:t xml:space="preserve">Curia et </w:t>
      </w:r>
      <w:r w:rsidR="00CC55DB">
        <w:rPr>
          <w:rFonts w:ascii="Arial" w:hAnsi="Arial" w:cs="Arial"/>
          <w:i/>
          <w:iCs/>
          <w:lang w:val="en-GB"/>
        </w:rPr>
        <w:t>al</w:t>
      </w:r>
      <w:r w:rsidRPr="007E0F4B">
        <w:rPr>
          <w:rFonts w:ascii="Arial" w:hAnsi="Arial" w:cs="Arial"/>
          <w:lang w:val="en-GB"/>
        </w:rPr>
        <w:t>., (2008)</w:t>
      </w:r>
      <w:r w:rsidRPr="007E0F4B">
        <w:rPr>
          <w:rFonts w:ascii="Arial" w:hAnsi="Arial" w:cs="Arial"/>
          <w:lang w:val="en-GB"/>
        </w:rPr>
        <w:fldChar w:fldCharType="end"/>
      </w:r>
      <w:r w:rsidRPr="007E0F4B">
        <w:rPr>
          <w:rFonts w:ascii="Arial" w:hAnsi="Arial" w:cs="Arial"/>
          <w:lang w:val="en-GB"/>
        </w:rPr>
        <w:t xml:space="preserve"> and </w:t>
      </w:r>
      <w:r w:rsidRPr="007E0F4B">
        <w:rPr>
          <w:rFonts w:ascii="Arial" w:hAnsi="Arial" w:cs="Arial"/>
          <w:lang w:val="en-GB"/>
        </w:rPr>
        <w:fldChar w:fldCharType="begin"/>
      </w:r>
      <w:r w:rsidRPr="007E0F4B">
        <w:rPr>
          <w:rFonts w:ascii="Arial" w:hAnsi="Arial" w:cs="Arial"/>
          <w:lang w:val="en-GB"/>
        </w:rPr>
        <w:instrText>ADDIN CSL_CITATION {"citationItems":[{"id":"ITEM-1","itemData":{"abstract":"Maîtrise en neurobiologie Maître ès sciences (M.Sc.) Québec, Canada","author":[{"dropping-particle":"","family":"Magnin","given":"Elise","non-dropping-particle":"","parse-names":false,"suffix":""}],"id":"ITEM-1","issued":{"date-parts":[["2014"]]},"title":"Étude de l'expression de la sous-unité alpha 5 des récepteurs GABAA dans les interneurones de l'hippocampe et de sa diminution dans l'épilepsie du lobe temporal","type":"article-journal"},"uris":["http://www.mendeley.com/documents/?uuid=5603fde0-98a8-43df-8576-13ca9d261fb4"]}],"mendeley":{"formattedCitation":"(Magnin, 2014)","manualFormatting":"Magnin, (2014)","plainTextFormattedCitation":"(Magnin, 2014)","previouslyFormattedCitation":"(Magnin, 2014)"},"properties":{"noteIndex":0},"schema":"https://github.com/citation-style-language/schema/raw/master/csl-citation.json"}</w:instrText>
      </w:r>
      <w:r w:rsidRPr="007E0F4B">
        <w:rPr>
          <w:rFonts w:ascii="Arial" w:hAnsi="Arial" w:cs="Arial"/>
          <w:lang w:val="en-GB"/>
        </w:rPr>
        <w:fldChar w:fldCharType="separate"/>
      </w:r>
      <w:r w:rsidRPr="007E0F4B">
        <w:rPr>
          <w:rFonts w:ascii="Arial" w:hAnsi="Arial" w:cs="Arial"/>
          <w:lang w:val="en-GB"/>
        </w:rPr>
        <w:t>Magnin, (2014)</w:t>
      </w:r>
      <w:r w:rsidRPr="007E0F4B">
        <w:rPr>
          <w:rFonts w:ascii="Arial" w:hAnsi="Arial" w:cs="Arial"/>
          <w:lang w:val="en-GB"/>
        </w:rPr>
        <w:fldChar w:fldCharType="end"/>
      </w:r>
      <w:r w:rsidRPr="007E0F4B">
        <w:rPr>
          <w:rFonts w:ascii="Arial" w:hAnsi="Arial" w:cs="Arial"/>
          <w:lang w:val="en-GB"/>
        </w:rPr>
        <w:t xml:space="preserve">. Forty minutes after these administrations, a single low dose of N-methyl-scopolamine (1 mg/kg, </w:t>
      </w:r>
      <w:proofErr w:type="spellStart"/>
      <w:r w:rsidRPr="007E0F4B">
        <w:rPr>
          <w:rFonts w:ascii="Arial" w:hAnsi="Arial" w:cs="Arial"/>
          <w:lang w:val="en-GB"/>
        </w:rPr>
        <w:t>i.p.</w:t>
      </w:r>
      <w:proofErr w:type="spellEnd"/>
      <w:r w:rsidRPr="007E0F4B">
        <w:rPr>
          <w:rFonts w:ascii="Arial" w:hAnsi="Arial" w:cs="Arial"/>
          <w:lang w:val="en-GB"/>
        </w:rPr>
        <w:t>) was administered to groups of anim</w:t>
      </w:r>
      <w:r w:rsidR="00CC55DB">
        <w:rPr>
          <w:rFonts w:ascii="Arial" w:hAnsi="Arial" w:cs="Arial"/>
          <w:lang w:val="en-GB"/>
        </w:rPr>
        <w:t>al</w:t>
      </w:r>
      <w:r w:rsidRPr="007E0F4B">
        <w:rPr>
          <w:rFonts w:ascii="Arial" w:hAnsi="Arial" w:cs="Arial"/>
          <w:lang w:val="en-GB"/>
        </w:rPr>
        <w:t>s except the norm</w:t>
      </w:r>
      <w:r w:rsidR="00CC55DB">
        <w:rPr>
          <w:rFonts w:ascii="Arial" w:hAnsi="Arial" w:cs="Arial"/>
          <w:lang w:val="en-GB"/>
        </w:rPr>
        <w:t>al</w:t>
      </w:r>
      <w:r w:rsidRPr="007E0F4B">
        <w:rPr>
          <w:rFonts w:ascii="Arial" w:hAnsi="Arial" w:cs="Arial"/>
          <w:lang w:val="en-GB"/>
        </w:rPr>
        <w:t xml:space="preserve"> group in an attempt to reduce the cholinergic effects of pilocarpine in the periphery. Twenty minutes after this injection, the mice received a single injection of pilocarpine (360 mg/kg, </w:t>
      </w:r>
      <w:proofErr w:type="spellStart"/>
      <w:r w:rsidRPr="007E0F4B">
        <w:rPr>
          <w:rFonts w:ascii="Arial" w:hAnsi="Arial" w:cs="Arial"/>
          <w:lang w:val="en-GB"/>
        </w:rPr>
        <w:t>i.p.</w:t>
      </w:r>
      <w:proofErr w:type="spellEnd"/>
      <w:r w:rsidRPr="007E0F4B">
        <w:rPr>
          <w:rFonts w:ascii="Arial" w:hAnsi="Arial" w:cs="Arial"/>
          <w:lang w:val="en-GB"/>
        </w:rPr>
        <w:t>), a muscarinic cholinergic agonist, via the same route. The norm</w:t>
      </w:r>
      <w:r w:rsidR="00CC55DB">
        <w:rPr>
          <w:rFonts w:ascii="Arial" w:hAnsi="Arial" w:cs="Arial"/>
          <w:lang w:val="en-GB"/>
        </w:rPr>
        <w:t>al</w:t>
      </w:r>
      <w:r w:rsidRPr="007E0F4B">
        <w:rPr>
          <w:rFonts w:ascii="Arial" w:hAnsi="Arial" w:cs="Arial"/>
          <w:lang w:val="en-GB"/>
        </w:rPr>
        <w:t xml:space="preserve"> control received neither N-methyl-scopolamine nor sodium v</w:t>
      </w:r>
      <w:r w:rsidR="00CC55DB">
        <w:rPr>
          <w:rFonts w:ascii="Arial" w:hAnsi="Arial" w:cs="Arial"/>
          <w:lang w:val="en-GB"/>
        </w:rPr>
        <w:t>al</w:t>
      </w:r>
      <w:r w:rsidRPr="007E0F4B">
        <w:rPr>
          <w:rFonts w:ascii="Arial" w:hAnsi="Arial" w:cs="Arial"/>
          <w:lang w:val="en-GB"/>
        </w:rPr>
        <w:t>proate. Then they were returned to their cages and observed individu</w:t>
      </w:r>
      <w:r w:rsidR="00CC55DB">
        <w:rPr>
          <w:rFonts w:ascii="Arial" w:hAnsi="Arial" w:cs="Arial"/>
          <w:lang w:val="en-GB"/>
        </w:rPr>
        <w:t>al</w:t>
      </w:r>
      <w:r w:rsidRPr="007E0F4B">
        <w:rPr>
          <w:rFonts w:ascii="Arial" w:hAnsi="Arial" w:cs="Arial"/>
          <w:lang w:val="en-GB"/>
        </w:rPr>
        <w:t>ly for 6 hours the initi</w:t>
      </w:r>
      <w:r w:rsidR="00CC55DB">
        <w:rPr>
          <w:rFonts w:ascii="Arial" w:hAnsi="Arial" w:cs="Arial"/>
          <w:lang w:val="en-GB"/>
        </w:rPr>
        <w:t>al</w:t>
      </w:r>
      <w:r w:rsidRPr="007E0F4B">
        <w:rPr>
          <w:rFonts w:ascii="Arial" w:hAnsi="Arial" w:cs="Arial"/>
          <w:lang w:val="en-GB"/>
        </w:rPr>
        <w:t xml:space="preserve"> state of m</w:t>
      </w:r>
      <w:r w:rsidR="00CC55DB">
        <w:rPr>
          <w:rFonts w:ascii="Arial" w:hAnsi="Arial" w:cs="Arial"/>
          <w:lang w:val="en-GB"/>
        </w:rPr>
        <w:t>al</w:t>
      </w:r>
      <w:r w:rsidRPr="007E0F4B">
        <w:rPr>
          <w:rFonts w:ascii="Arial" w:hAnsi="Arial" w:cs="Arial"/>
          <w:lang w:val="en-GB"/>
        </w:rPr>
        <w:t>aise c</w:t>
      </w:r>
      <w:r w:rsidR="00CC55DB">
        <w:rPr>
          <w:rFonts w:ascii="Arial" w:hAnsi="Arial" w:cs="Arial"/>
          <w:lang w:val="en-GB"/>
        </w:rPr>
        <w:t>al</w:t>
      </w:r>
      <w:r w:rsidRPr="007E0F4B">
        <w:rPr>
          <w:rFonts w:ascii="Arial" w:hAnsi="Arial" w:cs="Arial"/>
          <w:lang w:val="en-GB"/>
        </w:rPr>
        <w:t>led status epilepticus (SE) according to the Racine sc</w:t>
      </w:r>
      <w:r w:rsidR="00CC55DB">
        <w:rPr>
          <w:rFonts w:ascii="Arial" w:hAnsi="Arial" w:cs="Arial"/>
          <w:lang w:val="en-GB"/>
        </w:rPr>
        <w:t>al</w:t>
      </w:r>
      <w:r w:rsidRPr="007E0F4B">
        <w:rPr>
          <w:rFonts w:ascii="Arial" w:hAnsi="Arial" w:cs="Arial"/>
          <w:lang w:val="en-GB"/>
        </w:rPr>
        <w:t>e ranging from 0 to 5 stages: - Stage 0: no response; - Stage 1: hyperactivity and vibrissae  clonus;</w:t>
      </w:r>
      <w:r w:rsidRPr="001772DB">
        <w:rPr>
          <w:rFonts w:ascii="Arial" w:hAnsi="Arial" w:cs="Arial"/>
          <w:lang w:val="en-GB"/>
        </w:rPr>
        <w:t xml:space="preserve"> </w:t>
      </w:r>
      <w:r w:rsidRPr="007E0F4B">
        <w:rPr>
          <w:rFonts w:ascii="Arial" w:hAnsi="Arial" w:cs="Arial"/>
          <w:lang w:val="en-GB"/>
        </w:rPr>
        <w:t>- Stage 2: head nodding, head clonus and myoclonic jerks;</w:t>
      </w:r>
      <w:r w:rsidRPr="001772DB">
        <w:rPr>
          <w:rFonts w:ascii="Arial" w:hAnsi="Arial" w:cs="Arial"/>
          <w:lang w:val="en-GB"/>
        </w:rPr>
        <w:t xml:space="preserve"> </w:t>
      </w:r>
      <w:r w:rsidRPr="007E0F4B">
        <w:rPr>
          <w:rFonts w:ascii="Arial" w:hAnsi="Arial" w:cs="Arial"/>
          <w:lang w:val="en-GB"/>
        </w:rPr>
        <w:t>- Stage 3: unilater</w:t>
      </w:r>
      <w:r w:rsidR="00CC55DB">
        <w:rPr>
          <w:rFonts w:ascii="Arial" w:hAnsi="Arial" w:cs="Arial"/>
          <w:lang w:val="en-GB"/>
        </w:rPr>
        <w:t>al</w:t>
      </w:r>
      <w:r w:rsidRPr="007E0F4B">
        <w:rPr>
          <w:rFonts w:ascii="Arial" w:hAnsi="Arial" w:cs="Arial"/>
          <w:lang w:val="en-GB"/>
        </w:rPr>
        <w:t xml:space="preserve"> forelimb clonus; - Stage 4: bilater</w:t>
      </w:r>
      <w:r w:rsidR="00CC55DB">
        <w:rPr>
          <w:rFonts w:ascii="Arial" w:hAnsi="Arial" w:cs="Arial"/>
          <w:lang w:val="en-GB"/>
        </w:rPr>
        <w:t>al</w:t>
      </w:r>
      <w:r w:rsidRPr="007E0F4B">
        <w:rPr>
          <w:rFonts w:ascii="Arial" w:hAnsi="Arial" w:cs="Arial"/>
          <w:lang w:val="en-GB"/>
        </w:rPr>
        <w:t xml:space="preserve"> forelimbs elevation and clonus;</w:t>
      </w:r>
      <w:r w:rsidRPr="001772DB">
        <w:rPr>
          <w:rFonts w:ascii="Arial" w:hAnsi="Arial" w:cs="Arial"/>
          <w:lang w:val="en-GB"/>
        </w:rPr>
        <w:t xml:space="preserve"> </w:t>
      </w:r>
      <w:r w:rsidRPr="007E0F4B">
        <w:rPr>
          <w:rFonts w:ascii="Arial" w:hAnsi="Arial" w:cs="Arial"/>
          <w:lang w:val="en-GB"/>
        </w:rPr>
        <w:t>- Stage 5: tonic-</w:t>
      </w:r>
      <w:proofErr w:type="spellStart"/>
      <w:r w:rsidRPr="007E0F4B">
        <w:rPr>
          <w:rFonts w:ascii="Arial" w:hAnsi="Arial" w:cs="Arial"/>
          <w:lang w:val="en-GB"/>
        </w:rPr>
        <w:t>clonic</w:t>
      </w:r>
      <w:proofErr w:type="spellEnd"/>
      <w:r w:rsidRPr="007E0F4B">
        <w:rPr>
          <w:rFonts w:ascii="Arial" w:hAnsi="Arial" w:cs="Arial"/>
          <w:lang w:val="en-GB"/>
        </w:rPr>
        <w:t xml:space="preserve"> seizures with loss righting reflex, (Racine, 1972). The parameter as the latency time of status epilepticus was recorded. Mice that reached stage 5 according to the </w:t>
      </w:r>
      <w:r w:rsidRPr="001772DB">
        <w:rPr>
          <w:rFonts w:ascii="Arial" w:hAnsi="Arial" w:cs="Arial"/>
          <w:lang w:val="en-GB"/>
        </w:rPr>
        <w:t>Racine</w:t>
      </w:r>
      <w:r w:rsidRPr="007E0F4B">
        <w:rPr>
          <w:rFonts w:ascii="Arial" w:hAnsi="Arial" w:cs="Arial"/>
          <w:lang w:val="en-GB"/>
        </w:rPr>
        <w:t xml:space="preserve"> sc</w:t>
      </w:r>
      <w:r w:rsidR="00CC55DB">
        <w:rPr>
          <w:rFonts w:ascii="Arial" w:hAnsi="Arial" w:cs="Arial"/>
          <w:lang w:val="en-GB"/>
        </w:rPr>
        <w:t>al</w:t>
      </w:r>
      <w:r w:rsidRPr="007E0F4B">
        <w:rPr>
          <w:rFonts w:ascii="Arial" w:hAnsi="Arial" w:cs="Arial"/>
          <w:lang w:val="en-GB"/>
        </w:rPr>
        <w:t>e were retained for further experiments.</w:t>
      </w:r>
      <w:r w:rsidRPr="001772DB">
        <w:rPr>
          <w:rFonts w:ascii="Arial" w:hAnsi="Arial" w:cs="Arial"/>
          <w:lang w:val="en-GB"/>
        </w:rPr>
        <w:t xml:space="preserve"> </w:t>
      </w:r>
    </w:p>
    <w:p w14:paraId="5B2030AD" w14:textId="7BC16F5A" w:rsidR="007E0F4B" w:rsidRPr="007E0F4B" w:rsidRDefault="007E0F4B" w:rsidP="007E0F4B">
      <w:pPr>
        <w:pStyle w:val="Body"/>
        <w:rPr>
          <w:rFonts w:ascii="Arial" w:hAnsi="Arial" w:cs="Arial"/>
          <w:lang w:val="en-GB"/>
        </w:rPr>
      </w:pPr>
      <w:proofErr w:type="spellStart"/>
      <w:r w:rsidRPr="007E0F4B">
        <w:rPr>
          <w:rFonts w:ascii="Arial" w:hAnsi="Arial" w:cs="Arial"/>
          <w:bCs/>
          <w:i/>
          <w:iCs/>
          <w:lang w:val="en-GB"/>
        </w:rPr>
        <w:t>Excitus</w:t>
      </w:r>
      <w:proofErr w:type="spellEnd"/>
      <w:r w:rsidRPr="007E0F4B">
        <w:rPr>
          <w:rFonts w:ascii="Arial" w:hAnsi="Arial" w:cs="Arial"/>
          <w:bCs/>
          <w:lang w:val="en-GB"/>
        </w:rPr>
        <w:t xml:space="preserve"> and convulsions were induced by picrotoxin in mice 24 hours after the acute pilocarpine-induced </w:t>
      </w:r>
      <w:r w:rsidRPr="007E0F4B">
        <w:rPr>
          <w:rFonts w:ascii="Arial" w:hAnsi="Arial" w:cs="Arial"/>
          <w:bCs/>
          <w:i/>
          <w:iCs/>
          <w:lang w:val="en-GB"/>
        </w:rPr>
        <w:t>status epilepticus</w:t>
      </w:r>
      <w:r w:rsidRPr="007E0F4B">
        <w:rPr>
          <w:rFonts w:ascii="Arial" w:hAnsi="Arial" w:cs="Arial"/>
          <w:bCs/>
          <w:lang w:val="en-GB"/>
        </w:rPr>
        <w:t xml:space="preserve"> test. This spontaneous neuropathology was facilitated by intraperitone</w:t>
      </w:r>
      <w:r w:rsidR="00CC55DB">
        <w:rPr>
          <w:rFonts w:ascii="Arial" w:hAnsi="Arial" w:cs="Arial"/>
          <w:bCs/>
          <w:lang w:val="en-GB"/>
        </w:rPr>
        <w:t>al</w:t>
      </w:r>
      <w:r w:rsidRPr="007E0F4B">
        <w:rPr>
          <w:rFonts w:ascii="Arial" w:hAnsi="Arial" w:cs="Arial"/>
          <w:bCs/>
          <w:lang w:val="en-GB"/>
        </w:rPr>
        <w:t xml:space="preserve"> injection of a sub-convulsive dose of </w:t>
      </w:r>
      <w:bookmarkStart w:id="2" w:name="_Hlk167804315"/>
      <w:r w:rsidRPr="007E0F4B">
        <w:rPr>
          <w:rFonts w:ascii="Arial" w:hAnsi="Arial" w:cs="Arial"/>
          <w:bCs/>
          <w:lang w:val="en-GB"/>
        </w:rPr>
        <w:t xml:space="preserve">picrotoxin (1 mg/kg) </w:t>
      </w:r>
      <w:bookmarkEnd w:id="2"/>
      <w:r w:rsidRPr="007E0F4B">
        <w:rPr>
          <w:rFonts w:ascii="Arial" w:hAnsi="Arial" w:cs="Arial"/>
          <w:bCs/>
          <w:lang w:val="en-GB"/>
        </w:rPr>
        <w:t>to mice. Briefly, anim</w:t>
      </w:r>
      <w:r w:rsidR="00CC55DB">
        <w:rPr>
          <w:rFonts w:ascii="Arial" w:hAnsi="Arial" w:cs="Arial"/>
          <w:bCs/>
          <w:lang w:val="en-GB"/>
        </w:rPr>
        <w:t>al</w:t>
      </w:r>
      <w:r w:rsidRPr="007E0F4B">
        <w:rPr>
          <w:rFonts w:ascii="Arial" w:hAnsi="Arial" w:cs="Arial"/>
          <w:bCs/>
          <w:lang w:val="en-GB"/>
        </w:rPr>
        <w:t>s were treated for the second day, or twenty-three hours after the injection of pilocarpine, with distilled water for group 1 and 2, the respective doses of the extracts for group 3 – 6, and sodium v</w:t>
      </w:r>
      <w:r w:rsidR="00CC55DB">
        <w:rPr>
          <w:rFonts w:ascii="Arial" w:hAnsi="Arial" w:cs="Arial"/>
          <w:bCs/>
          <w:lang w:val="en-GB"/>
        </w:rPr>
        <w:t>al</w:t>
      </w:r>
      <w:r w:rsidRPr="007E0F4B">
        <w:rPr>
          <w:rFonts w:ascii="Arial" w:hAnsi="Arial" w:cs="Arial"/>
          <w:bCs/>
          <w:lang w:val="en-GB"/>
        </w:rPr>
        <w:t xml:space="preserve">proate for group 7, respectively. One hour later, a sub-convulsive dose </w:t>
      </w:r>
      <w:r w:rsidRPr="007E0F4B">
        <w:rPr>
          <w:rFonts w:ascii="Arial" w:hAnsi="Arial" w:cs="Arial"/>
          <w:bCs/>
          <w:lang w:val="en-GB"/>
        </w:rPr>
        <w:lastRenderedPageBreak/>
        <w:t>of picrotoxin (1 mg/kg) was injected intraperitone</w:t>
      </w:r>
      <w:r w:rsidR="00CC55DB">
        <w:rPr>
          <w:rFonts w:ascii="Arial" w:hAnsi="Arial" w:cs="Arial"/>
          <w:bCs/>
          <w:lang w:val="en-GB"/>
        </w:rPr>
        <w:t>al</w:t>
      </w:r>
      <w:r w:rsidRPr="007E0F4B">
        <w:rPr>
          <w:rFonts w:ascii="Arial" w:hAnsi="Arial" w:cs="Arial"/>
          <w:bCs/>
          <w:lang w:val="en-GB"/>
        </w:rPr>
        <w:t>ly to mice (groups 2 to 7), except group 1 that was injected intraperitone</w:t>
      </w:r>
      <w:r w:rsidR="00CC55DB">
        <w:rPr>
          <w:rFonts w:ascii="Arial" w:hAnsi="Arial" w:cs="Arial"/>
          <w:bCs/>
          <w:lang w:val="en-GB"/>
        </w:rPr>
        <w:t>al</w:t>
      </w:r>
      <w:r w:rsidRPr="007E0F4B">
        <w:rPr>
          <w:rFonts w:ascii="Arial" w:hAnsi="Arial" w:cs="Arial"/>
          <w:bCs/>
          <w:lang w:val="en-GB"/>
        </w:rPr>
        <w:t>ly with s</w:t>
      </w:r>
      <w:r w:rsidR="00CC55DB">
        <w:rPr>
          <w:rFonts w:ascii="Arial" w:hAnsi="Arial" w:cs="Arial"/>
          <w:bCs/>
          <w:lang w:val="en-GB"/>
        </w:rPr>
        <w:t>al</w:t>
      </w:r>
      <w:r w:rsidRPr="007E0F4B">
        <w:rPr>
          <w:rFonts w:ascii="Arial" w:hAnsi="Arial" w:cs="Arial"/>
          <w:bCs/>
          <w:lang w:val="en-GB"/>
        </w:rPr>
        <w:t>ine. Each anim</w:t>
      </w:r>
      <w:r w:rsidR="00CC55DB">
        <w:rPr>
          <w:rFonts w:ascii="Arial" w:hAnsi="Arial" w:cs="Arial"/>
          <w:bCs/>
          <w:lang w:val="en-GB"/>
        </w:rPr>
        <w:t>al</w:t>
      </w:r>
      <w:r w:rsidRPr="007E0F4B">
        <w:rPr>
          <w:rFonts w:ascii="Arial" w:hAnsi="Arial" w:cs="Arial"/>
          <w:bCs/>
          <w:lang w:val="en-GB"/>
        </w:rPr>
        <w:t xml:space="preserve"> was observed immediately for a period of 30 min, and </w:t>
      </w:r>
      <w:bookmarkStart w:id="3" w:name="_Hlk162807185"/>
      <w:r w:rsidRPr="007E0F4B">
        <w:rPr>
          <w:rFonts w:ascii="Arial" w:hAnsi="Arial" w:cs="Arial"/>
          <w:bCs/>
          <w:lang w:val="en-GB"/>
        </w:rPr>
        <w:t xml:space="preserve">the incidence of seizures (the latency time to first </w:t>
      </w:r>
      <w:proofErr w:type="spellStart"/>
      <w:r w:rsidRPr="007E0F4B">
        <w:rPr>
          <w:rFonts w:ascii="Arial" w:hAnsi="Arial" w:cs="Arial"/>
          <w:bCs/>
          <w:lang w:val="en-GB"/>
        </w:rPr>
        <w:t>clonic</w:t>
      </w:r>
      <w:proofErr w:type="spellEnd"/>
      <w:r w:rsidRPr="007E0F4B">
        <w:rPr>
          <w:rFonts w:ascii="Arial" w:hAnsi="Arial" w:cs="Arial"/>
          <w:bCs/>
          <w:lang w:val="en-GB"/>
        </w:rPr>
        <w:t xml:space="preserve"> seizure, latency time to first tonic seizure, the number </w:t>
      </w:r>
      <w:proofErr w:type="spellStart"/>
      <w:r w:rsidRPr="007E0F4B">
        <w:rPr>
          <w:rFonts w:ascii="Arial" w:hAnsi="Arial" w:cs="Arial"/>
          <w:bCs/>
          <w:lang w:val="en-GB"/>
        </w:rPr>
        <w:t>clonic</w:t>
      </w:r>
      <w:proofErr w:type="spellEnd"/>
      <w:r w:rsidRPr="007E0F4B">
        <w:rPr>
          <w:rFonts w:ascii="Arial" w:hAnsi="Arial" w:cs="Arial"/>
          <w:bCs/>
          <w:lang w:val="en-GB"/>
        </w:rPr>
        <w:t xml:space="preserve"> seizures, duration of </w:t>
      </w:r>
      <w:proofErr w:type="spellStart"/>
      <w:r w:rsidRPr="007E0F4B">
        <w:rPr>
          <w:rFonts w:ascii="Arial" w:hAnsi="Arial" w:cs="Arial"/>
          <w:bCs/>
          <w:lang w:val="en-GB"/>
        </w:rPr>
        <w:t>clonic</w:t>
      </w:r>
      <w:proofErr w:type="spellEnd"/>
      <w:r w:rsidRPr="007E0F4B">
        <w:rPr>
          <w:rFonts w:ascii="Arial" w:hAnsi="Arial" w:cs="Arial"/>
          <w:bCs/>
          <w:lang w:val="en-GB"/>
        </w:rPr>
        <w:t xml:space="preserve"> seizures, number tonic seizures, and the duration of tonic seizures) </w:t>
      </w:r>
      <w:bookmarkEnd w:id="3"/>
      <w:r w:rsidRPr="007E0F4B">
        <w:rPr>
          <w:rFonts w:ascii="Arial" w:hAnsi="Arial" w:cs="Arial"/>
          <w:bCs/>
          <w:lang w:val="en-GB"/>
        </w:rPr>
        <w:t xml:space="preserve">were noted. </w:t>
      </w:r>
      <w:bookmarkStart w:id="4" w:name="_Hlk167891661"/>
      <w:r w:rsidRPr="007E0F4B">
        <w:rPr>
          <w:rFonts w:ascii="Arial" w:hAnsi="Arial" w:cs="Arial"/>
          <w:bCs/>
          <w:lang w:val="en-GB"/>
        </w:rPr>
        <w:t>Tonic-</w:t>
      </w:r>
      <w:proofErr w:type="spellStart"/>
      <w:r w:rsidRPr="007E0F4B">
        <w:rPr>
          <w:rFonts w:ascii="Arial" w:hAnsi="Arial" w:cs="Arial"/>
          <w:bCs/>
          <w:lang w:val="en-GB"/>
        </w:rPr>
        <w:t>clonic</w:t>
      </w:r>
      <w:proofErr w:type="spellEnd"/>
      <w:r w:rsidRPr="007E0F4B">
        <w:rPr>
          <w:rFonts w:ascii="Arial" w:hAnsi="Arial" w:cs="Arial"/>
          <w:bCs/>
          <w:lang w:val="en-GB"/>
        </w:rPr>
        <w:t xml:space="preserve"> seizures </w:t>
      </w:r>
      <w:r w:rsidRPr="007E0F4B">
        <w:rPr>
          <w:rFonts w:ascii="Arial" w:hAnsi="Arial" w:cs="Arial"/>
          <w:lang w:val="en-GB"/>
        </w:rPr>
        <w:t xml:space="preserve">involve both tonic (a sudden stiffness or tension in the muscles of the arms, legs or trunk) and </w:t>
      </w:r>
      <w:proofErr w:type="spellStart"/>
      <w:r w:rsidRPr="007E0F4B">
        <w:rPr>
          <w:rFonts w:ascii="Arial" w:hAnsi="Arial" w:cs="Arial"/>
          <w:lang w:val="en-GB"/>
        </w:rPr>
        <w:t>clonic</w:t>
      </w:r>
      <w:proofErr w:type="spellEnd"/>
      <w:r w:rsidRPr="007E0F4B">
        <w:rPr>
          <w:rFonts w:ascii="Arial" w:hAnsi="Arial" w:cs="Arial"/>
          <w:lang w:val="en-GB"/>
        </w:rPr>
        <w:t xml:space="preserve"> (twitching or hock-like jerks of a muscle or a group of muscles) phases of muscle activity.</w:t>
      </w:r>
      <w:bookmarkEnd w:id="4"/>
      <w:r w:rsidRPr="007E0F4B">
        <w:rPr>
          <w:rFonts w:ascii="Arial" w:hAnsi="Arial" w:cs="Arial"/>
          <w:lang w:val="en-GB"/>
        </w:rPr>
        <w:t xml:space="preserve"> </w:t>
      </w:r>
      <w:bookmarkStart w:id="5" w:name="_Hlk176190042"/>
      <w:r w:rsidRPr="007E0F4B">
        <w:rPr>
          <w:rFonts w:ascii="Arial" w:hAnsi="Arial" w:cs="Arial"/>
          <w:lang w:val="en-GB"/>
        </w:rPr>
        <w:t>The latency of tonic-</w:t>
      </w:r>
      <w:proofErr w:type="spellStart"/>
      <w:r w:rsidRPr="007E0F4B">
        <w:rPr>
          <w:rFonts w:ascii="Arial" w:hAnsi="Arial" w:cs="Arial"/>
          <w:lang w:val="en-GB"/>
        </w:rPr>
        <w:t>clonic</w:t>
      </w:r>
      <w:proofErr w:type="spellEnd"/>
      <w:r w:rsidRPr="007E0F4B">
        <w:rPr>
          <w:rFonts w:ascii="Arial" w:hAnsi="Arial" w:cs="Arial"/>
          <w:lang w:val="en-GB"/>
        </w:rPr>
        <w:t xml:space="preserve"> seizures was used to determine the seizure score. This score was c</w:t>
      </w:r>
      <w:r w:rsidR="00CC55DB">
        <w:rPr>
          <w:rFonts w:ascii="Arial" w:hAnsi="Arial" w:cs="Arial"/>
          <w:lang w:val="en-GB"/>
        </w:rPr>
        <w:t>al</w:t>
      </w:r>
      <w:r w:rsidRPr="007E0F4B">
        <w:rPr>
          <w:rFonts w:ascii="Arial" w:hAnsi="Arial" w:cs="Arial"/>
          <w:lang w:val="en-GB"/>
        </w:rPr>
        <w:t xml:space="preserve">culated according to the following </w:t>
      </w:r>
      <w:r w:rsidR="00557830" w:rsidRPr="007E0F4B">
        <w:rPr>
          <w:rFonts w:ascii="Arial" w:hAnsi="Arial" w:cs="Arial"/>
          <w:lang w:val="en-GB"/>
        </w:rPr>
        <w:t>formula:</w:t>
      </w:r>
      <w:r w:rsidRPr="007E0F4B">
        <w:rPr>
          <w:rFonts w:ascii="Arial" w:hAnsi="Arial" w:cs="Arial"/>
          <w:lang w:val="en-GB"/>
        </w:rPr>
        <w:t xml:space="preserve"> Score = 1- negative control group latency/test group or positive control group latency</w:t>
      </w:r>
      <w:bookmarkEnd w:id="5"/>
      <w:r w:rsidRPr="007E0F4B">
        <w:rPr>
          <w:rFonts w:ascii="Arial" w:hAnsi="Arial" w:cs="Arial"/>
          <w:lang w:val="en-GB"/>
        </w:rPr>
        <w:t>.</w:t>
      </w:r>
    </w:p>
    <w:p w14:paraId="53E177E5" w14:textId="605183C8" w:rsidR="00F14E14" w:rsidRPr="00F14E14" w:rsidRDefault="00F14E14" w:rsidP="00F14E14">
      <w:pPr>
        <w:pStyle w:val="Body"/>
        <w:rPr>
          <w:rFonts w:ascii="Arial" w:hAnsi="Arial" w:cs="Arial"/>
          <w:lang w:val="en-GB"/>
        </w:rPr>
      </w:pPr>
      <w:r w:rsidRPr="001772DB">
        <w:rPr>
          <w:rFonts w:ascii="Arial" w:hAnsi="Arial" w:cs="Arial"/>
          <w:lang w:val="en-GB"/>
        </w:rPr>
        <w:t>Seven days a</w:t>
      </w:r>
      <w:r w:rsidRPr="00F14E14">
        <w:rPr>
          <w:rFonts w:ascii="Arial" w:hAnsi="Arial" w:cs="Arial"/>
          <w:lang w:val="en-GB"/>
        </w:rPr>
        <w:t>fter the previous study, the mice were used for the ev</w:t>
      </w:r>
      <w:r w:rsidR="00CC55DB">
        <w:rPr>
          <w:rFonts w:ascii="Arial" w:hAnsi="Arial" w:cs="Arial"/>
          <w:lang w:val="en-GB"/>
        </w:rPr>
        <w:t>al</w:t>
      </w:r>
      <w:r w:rsidRPr="00F14E14">
        <w:rPr>
          <w:rFonts w:ascii="Arial" w:hAnsi="Arial" w:cs="Arial"/>
          <w:lang w:val="en-GB"/>
        </w:rPr>
        <w:t xml:space="preserve">uation of the anti-amnesic effects of the plant. </w:t>
      </w:r>
      <w:r w:rsidR="001772DB" w:rsidRPr="001772DB">
        <w:rPr>
          <w:rFonts w:ascii="Arial" w:hAnsi="Arial" w:cs="Arial"/>
          <w:lang w:val="en-GB"/>
        </w:rPr>
        <w:t xml:space="preserve">Another </w:t>
      </w:r>
      <w:r w:rsidRPr="00F14E14">
        <w:rPr>
          <w:rFonts w:ascii="Arial" w:hAnsi="Arial" w:cs="Arial"/>
          <w:lang w:val="en-GB"/>
        </w:rPr>
        <w:t>group</w:t>
      </w:r>
      <w:r w:rsidR="001772DB" w:rsidRPr="001772DB">
        <w:rPr>
          <w:rFonts w:ascii="Arial" w:hAnsi="Arial" w:cs="Arial"/>
          <w:lang w:val="en-GB"/>
        </w:rPr>
        <w:t xml:space="preserve"> of mice was added and served as</w:t>
      </w:r>
      <w:r w:rsidRPr="00F14E14">
        <w:rPr>
          <w:rFonts w:ascii="Arial" w:hAnsi="Arial" w:cs="Arial"/>
          <w:lang w:val="en-GB"/>
        </w:rPr>
        <w:t xml:space="preserve"> a positive </w:t>
      </w:r>
      <w:r w:rsidR="001772DB" w:rsidRPr="001772DB">
        <w:rPr>
          <w:rFonts w:ascii="Arial" w:hAnsi="Arial" w:cs="Arial"/>
          <w:lang w:val="en-GB"/>
        </w:rPr>
        <w:t xml:space="preserve">control for the </w:t>
      </w:r>
      <w:r w:rsidRPr="00F14E14">
        <w:rPr>
          <w:rFonts w:ascii="Arial" w:hAnsi="Arial" w:cs="Arial"/>
          <w:lang w:val="en-GB"/>
        </w:rPr>
        <w:t xml:space="preserve">memory </w:t>
      </w:r>
      <w:r w:rsidR="001772DB" w:rsidRPr="001772DB">
        <w:rPr>
          <w:rFonts w:ascii="Arial" w:hAnsi="Arial" w:cs="Arial"/>
          <w:lang w:val="en-GB"/>
        </w:rPr>
        <w:t>test</w:t>
      </w:r>
      <w:r w:rsidRPr="00F14E14">
        <w:rPr>
          <w:rFonts w:ascii="Arial" w:hAnsi="Arial" w:cs="Arial"/>
          <w:lang w:val="en-GB"/>
        </w:rPr>
        <w:t>, and given</w:t>
      </w:r>
      <w:r w:rsidR="001772DB" w:rsidRPr="001772DB">
        <w:rPr>
          <w:rFonts w:ascii="Arial" w:hAnsi="Arial" w:cs="Arial"/>
          <w:lang w:val="en-GB"/>
        </w:rPr>
        <w:t xml:space="preserve"> or</w:t>
      </w:r>
      <w:r w:rsidR="00CC55DB">
        <w:rPr>
          <w:rFonts w:ascii="Arial" w:hAnsi="Arial" w:cs="Arial"/>
          <w:lang w:val="en-GB"/>
        </w:rPr>
        <w:t>al</w:t>
      </w:r>
      <w:r w:rsidR="001772DB" w:rsidRPr="001772DB">
        <w:rPr>
          <w:rFonts w:ascii="Arial" w:hAnsi="Arial" w:cs="Arial"/>
          <w:lang w:val="en-GB"/>
        </w:rPr>
        <w:t>ly</w:t>
      </w:r>
      <w:r w:rsidRPr="00F14E14">
        <w:rPr>
          <w:rFonts w:ascii="Arial" w:hAnsi="Arial" w:cs="Arial"/>
          <w:lang w:val="en-GB"/>
        </w:rPr>
        <w:t xml:space="preserve"> piracetam (15 mg/kg, </w:t>
      </w:r>
      <w:proofErr w:type="spellStart"/>
      <w:r w:rsidRPr="00F14E14">
        <w:rPr>
          <w:rFonts w:ascii="Arial" w:hAnsi="Arial" w:cs="Arial"/>
          <w:lang w:val="en-GB"/>
        </w:rPr>
        <w:t>i.p.</w:t>
      </w:r>
      <w:proofErr w:type="spellEnd"/>
      <w:r w:rsidRPr="00F14E14">
        <w:rPr>
          <w:rFonts w:ascii="Arial" w:hAnsi="Arial" w:cs="Arial"/>
          <w:lang w:val="en-GB"/>
        </w:rPr>
        <w:t>). The first test was the T-maze test, followed by the elevated plus maze test and the open field test. At the end of the</w:t>
      </w:r>
      <w:r w:rsidR="001772DB" w:rsidRPr="001772DB">
        <w:rPr>
          <w:rFonts w:ascii="Arial" w:hAnsi="Arial" w:cs="Arial"/>
          <w:lang w:val="en-GB"/>
        </w:rPr>
        <w:t>se behaviour</w:t>
      </w:r>
      <w:r w:rsidR="00CC55DB">
        <w:rPr>
          <w:rFonts w:ascii="Arial" w:hAnsi="Arial" w:cs="Arial"/>
          <w:lang w:val="en-GB"/>
        </w:rPr>
        <w:t>al</w:t>
      </w:r>
      <w:r w:rsidRPr="00F14E14">
        <w:rPr>
          <w:rFonts w:ascii="Arial" w:hAnsi="Arial" w:cs="Arial"/>
          <w:lang w:val="en-GB"/>
        </w:rPr>
        <w:t xml:space="preserve"> tests, mice were sacrificed by cervic</w:t>
      </w:r>
      <w:r w:rsidR="00CC55DB">
        <w:rPr>
          <w:rFonts w:ascii="Arial" w:hAnsi="Arial" w:cs="Arial"/>
          <w:lang w:val="en-GB"/>
        </w:rPr>
        <w:t>al</w:t>
      </w:r>
      <w:r w:rsidRPr="00F14E14">
        <w:rPr>
          <w:rFonts w:ascii="Arial" w:hAnsi="Arial" w:cs="Arial"/>
          <w:lang w:val="en-GB"/>
        </w:rPr>
        <w:t xml:space="preserve"> dislocation. Their brain and then the hippocampus were collected for the ev</w:t>
      </w:r>
      <w:r w:rsidR="00CC55DB">
        <w:rPr>
          <w:rFonts w:ascii="Arial" w:hAnsi="Arial" w:cs="Arial"/>
          <w:lang w:val="en-GB"/>
        </w:rPr>
        <w:t>al</w:t>
      </w:r>
      <w:r w:rsidRPr="00F14E14">
        <w:rPr>
          <w:rFonts w:ascii="Arial" w:hAnsi="Arial" w:cs="Arial"/>
          <w:lang w:val="en-GB"/>
        </w:rPr>
        <w:t>uation of the biochemic</w:t>
      </w:r>
      <w:r w:rsidR="00CC55DB">
        <w:rPr>
          <w:rFonts w:ascii="Arial" w:hAnsi="Arial" w:cs="Arial"/>
          <w:lang w:val="en-GB"/>
        </w:rPr>
        <w:t>al</w:t>
      </w:r>
      <w:r w:rsidRPr="00F14E14">
        <w:rPr>
          <w:rFonts w:ascii="Arial" w:hAnsi="Arial" w:cs="Arial"/>
          <w:lang w:val="en-GB"/>
        </w:rPr>
        <w:t xml:space="preserve"> parameters.</w:t>
      </w:r>
    </w:p>
    <w:p w14:paraId="2FEDF97C" w14:textId="3FFA04C7" w:rsidR="001772DB" w:rsidRPr="001772DB" w:rsidRDefault="001772DB" w:rsidP="00446460">
      <w:pPr>
        <w:pStyle w:val="Body"/>
        <w:spacing w:after="0"/>
        <w:rPr>
          <w:rFonts w:ascii="Arial" w:hAnsi="Arial" w:cs="Arial"/>
          <w:b/>
          <w:bCs/>
        </w:rPr>
      </w:pPr>
      <w:r w:rsidRPr="001772DB">
        <w:rPr>
          <w:rFonts w:ascii="Arial" w:hAnsi="Arial" w:cs="Arial"/>
          <w:b/>
          <w:bCs/>
        </w:rPr>
        <w:t>2.5. Behavior</w:t>
      </w:r>
      <w:r w:rsidR="00CC55DB">
        <w:rPr>
          <w:rFonts w:ascii="Arial" w:hAnsi="Arial" w:cs="Arial"/>
          <w:b/>
          <w:bCs/>
        </w:rPr>
        <w:t>al</w:t>
      </w:r>
      <w:r w:rsidRPr="001772DB">
        <w:rPr>
          <w:rFonts w:ascii="Arial" w:hAnsi="Arial" w:cs="Arial"/>
          <w:b/>
          <w:bCs/>
        </w:rPr>
        <w:t xml:space="preserve"> an</w:t>
      </w:r>
      <w:r w:rsidR="00CC55DB">
        <w:rPr>
          <w:rFonts w:ascii="Arial" w:hAnsi="Arial" w:cs="Arial"/>
          <w:b/>
          <w:bCs/>
        </w:rPr>
        <w:t>al</w:t>
      </w:r>
      <w:r w:rsidRPr="001772DB">
        <w:rPr>
          <w:rFonts w:ascii="Arial" w:hAnsi="Arial" w:cs="Arial"/>
          <w:b/>
          <w:bCs/>
        </w:rPr>
        <w:t>ysis</w:t>
      </w:r>
    </w:p>
    <w:p w14:paraId="4D6F2617" w14:textId="77777777" w:rsidR="001772DB" w:rsidRPr="00446460" w:rsidRDefault="001772DB" w:rsidP="00446460">
      <w:pPr>
        <w:pStyle w:val="Body"/>
        <w:spacing w:after="0"/>
        <w:rPr>
          <w:rFonts w:ascii="Arial" w:hAnsi="Arial" w:cs="Arial"/>
        </w:rPr>
      </w:pPr>
      <w:r w:rsidRPr="001772DB">
        <w:rPr>
          <w:rFonts w:ascii="Arial" w:hAnsi="Arial" w:cs="Arial"/>
        </w:rPr>
        <w:t>2.5.1. T-Maze Test</w:t>
      </w:r>
    </w:p>
    <w:p w14:paraId="3928524F" w14:textId="4690A0A7" w:rsidR="001772DB" w:rsidRPr="001772DB" w:rsidRDefault="001772DB" w:rsidP="001772DB">
      <w:pPr>
        <w:pStyle w:val="Body"/>
        <w:spacing w:after="0"/>
        <w:rPr>
          <w:rFonts w:ascii="Arial" w:hAnsi="Arial" w:cs="Arial"/>
          <w:b/>
          <w:bCs/>
        </w:rPr>
      </w:pPr>
      <w:r w:rsidRPr="001772DB">
        <w:rPr>
          <w:rFonts w:ascii="Arial" w:hAnsi="Arial" w:cs="Arial"/>
        </w:rPr>
        <w:t xml:space="preserve">The T-maze test relies on the propensity of mice without cognitive decline to explore the new arm. This new arm is identified as the one without food </w:t>
      </w:r>
      <w:r w:rsidRPr="001772DB">
        <w:rPr>
          <w:rFonts w:ascii="Arial" w:hAnsi="Arial" w:cs="Arial"/>
          <w:lang w:val="fr-CM"/>
        </w:rPr>
        <w:fldChar w:fldCharType="begin"/>
      </w:r>
      <w:r w:rsidRPr="001772DB">
        <w:rPr>
          <w:rFonts w:ascii="Arial" w:hAnsi="Arial" w:cs="Arial"/>
        </w:rPr>
        <w:instrText>ADDIN CSL_CITATION {"citationItems":[{"id":"ITEM-1","itemData":{"DOI":"10.1038/nprot.2006.2","ISSN":"17542189","abstract":"This protocol details a method for using a T-maze to assess the cognitive ability of rodents. The T-maze is an elevated or enclosed apparatus in the form of a T placed horizontally. Animals are started from the base of the T and allowed to choose one of the goal arms abutting the other end of the stem. If two trials are given in quick succession, on the second trial the rodent tends to choose the arm not visited before, reflecting memory of the first choice. This is called 'spontaneous alternation'. This tendency can be reinforced by making the animal hungry and rewarding it with a preferred food if it alternates. Both spontaneous and rewarded alternation are very sensitive to dysfunction of the hippocampus, but other brain structures are also involved. Each trial should be completed in under 2 min, but the total number of trials required will vary according to statistical and scientific requirements.","author":[{"dropping-particle":"","family":"Deacon","given":"Robert M.J.","non-dropping-particle":"","parse-names":false,"suffix":""},{"dropping-particle":"","family":"Rawlins","given":"J. Nicholas P.","non-dropping-particle":"","parse-names":false,"suffix":""}],"container-title":"Nature Protocols","id":"ITEM-1","issue":"1","issued":{"date-parts":[["2006"]]},"title":"T-maze alternation in the rodent","type":"article-journal","volume":"1"},"uris":["http://www.mendeley.com/documents/?uuid=25b35d46-79ef-3a99-8084-272652726675"]}],"mendeley":{"formattedCitation":"(Deacon and Rawlins, 2006)","plainTextFormattedCitation":"(Deacon and Rawlins, 2006)","previouslyFormattedCitation":"(Deacon and Rawlins, 2006)"},"properties":{"noteIndex":0},"schema":"https://github.com/citation-style-language/schema/raw/master/csl-citation.json"}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(Deacon and Rawlins, 2006)</w:t>
      </w:r>
      <w:r w:rsidRPr="001772DB">
        <w:rPr>
          <w:rFonts w:ascii="Arial" w:hAnsi="Arial" w:cs="Arial"/>
          <w:lang w:val="en-GB"/>
        </w:rPr>
        <w:fldChar w:fldCharType="end"/>
      </w:r>
      <w:r w:rsidRPr="001772DB">
        <w:rPr>
          <w:rFonts w:ascii="Arial" w:hAnsi="Arial" w:cs="Arial"/>
        </w:rPr>
        <w:t xml:space="preserve">. The device is T-shaped and made from wood. This device is composed of a perpendicular arm opposite two closed arms.  </w:t>
      </w:r>
      <w:proofErr w:type="spellStart"/>
      <w:r w:rsidRPr="001772DB">
        <w:rPr>
          <w:rFonts w:ascii="Arial" w:hAnsi="Arial" w:cs="Arial"/>
          <w:lang w:val="fr-CM"/>
        </w:rPr>
        <w:t>Each</w:t>
      </w:r>
      <w:proofErr w:type="spellEnd"/>
      <w:r w:rsidRPr="001772DB">
        <w:rPr>
          <w:rFonts w:ascii="Arial" w:hAnsi="Arial" w:cs="Arial"/>
          <w:lang w:val="fr-CM"/>
        </w:rPr>
        <w:t xml:space="preserve"> arm </w:t>
      </w:r>
      <w:proofErr w:type="spellStart"/>
      <w:r w:rsidRPr="001772DB">
        <w:rPr>
          <w:rFonts w:ascii="Arial" w:hAnsi="Arial" w:cs="Arial"/>
          <w:lang w:val="fr-CM"/>
        </w:rPr>
        <w:t>measured</w:t>
      </w:r>
      <w:proofErr w:type="spellEnd"/>
      <w:r w:rsidRPr="001772DB">
        <w:rPr>
          <w:rFonts w:ascii="Arial" w:hAnsi="Arial" w:cs="Arial"/>
          <w:lang w:val="fr-CM"/>
        </w:rPr>
        <w:t xml:space="preserve"> 30 cm × 10 cm × 20 cm (</w:t>
      </w:r>
      <w:proofErr w:type="spellStart"/>
      <w:r w:rsidRPr="001772DB">
        <w:rPr>
          <w:rFonts w:ascii="Arial" w:hAnsi="Arial" w:cs="Arial"/>
          <w:lang w:val="fr-CM"/>
        </w:rPr>
        <w:t>length</w:t>
      </w:r>
      <w:proofErr w:type="spellEnd"/>
      <w:r w:rsidRPr="001772DB">
        <w:rPr>
          <w:rFonts w:ascii="Arial" w:hAnsi="Arial" w:cs="Arial"/>
          <w:lang w:val="fr-CM"/>
        </w:rPr>
        <w:t xml:space="preserve"> × </w:t>
      </w:r>
      <w:proofErr w:type="spellStart"/>
      <w:r w:rsidRPr="001772DB">
        <w:rPr>
          <w:rFonts w:ascii="Arial" w:hAnsi="Arial" w:cs="Arial"/>
          <w:lang w:val="fr-CM"/>
        </w:rPr>
        <w:t>width</w:t>
      </w:r>
      <w:proofErr w:type="spellEnd"/>
      <w:r w:rsidRPr="001772DB">
        <w:rPr>
          <w:rFonts w:ascii="Arial" w:hAnsi="Arial" w:cs="Arial"/>
          <w:lang w:val="fr-CM"/>
        </w:rPr>
        <w:t xml:space="preserve"> × </w:t>
      </w:r>
      <w:proofErr w:type="spellStart"/>
      <w:r w:rsidRPr="001772DB">
        <w:rPr>
          <w:rFonts w:ascii="Arial" w:hAnsi="Arial" w:cs="Arial"/>
          <w:lang w:val="fr-CM"/>
        </w:rPr>
        <w:t>height</w:t>
      </w:r>
      <w:proofErr w:type="spellEnd"/>
      <w:r w:rsidRPr="001772DB">
        <w:rPr>
          <w:rFonts w:ascii="Arial" w:hAnsi="Arial" w:cs="Arial"/>
          <w:lang w:val="fr-CM"/>
        </w:rPr>
        <w:t xml:space="preserve">) </w:t>
      </w:r>
      <w:r w:rsidRPr="001772DB">
        <w:rPr>
          <w:rFonts w:ascii="Arial" w:hAnsi="Arial" w:cs="Arial"/>
          <w:lang w:val="fr-CM"/>
        </w:rPr>
        <w:fldChar w:fldCharType="begin"/>
      </w:r>
      <w:r w:rsidRPr="001772DB">
        <w:rPr>
          <w:rFonts w:ascii="Arial" w:hAnsi="Arial" w:cs="Arial"/>
          <w:lang w:val="fr-CM"/>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w:instrText>
      </w:r>
      <w:r w:rsidRPr="001772DB">
        <w:rPr>
          <w:rFonts w:ascii="Arial" w:hAnsi="Arial" w:cs="Arial"/>
        </w:rPr>
        <w:instrText>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(Taiwe et </w:t>
      </w:r>
      <w:r w:rsidR="00CC55DB">
        <w:rPr>
          <w:rFonts w:ascii="Arial" w:hAnsi="Arial" w:cs="Arial"/>
          <w:i/>
          <w:iCs/>
        </w:rPr>
        <w:t>al</w:t>
      </w:r>
      <w:r w:rsidRPr="001772DB">
        <w:rPr>
          <w:rFonts w:ascii="Arial" w:hAnsi="Arial" w:cs="Arial"/>
          <w:i/>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 The T-maze test consisted of three phases: familiarization, acquisition or learning and retention. A black plastic cup (3 cm diameter, 1 cm deep) containing convention</w:t>
      </w:r>
      <w:r w:rsidR="00CC55DB">
        <w:rPr>
          <w:rFonts w:ascii="Arial" w:hAnsi="Arial" w:cs="Arial"/>
        </w:rPr>
        <w:t>al</w:t>
      </w:r>
      <w:r w:rsidRPr="001772DB">
        <w:rPr>
          <w:rFonts w:ascii="Arial" w:hAnsi="Arial" w:cs="Arial"/>
        </w:rPr>
        <w:t xml:space="preserve"> mouse food was placed at the end of the two opposing arms.</w:t>
      </w:r>
    </w:p>
    <w:p w14:paraId="5AEA857A" w14:textId="0510F99A" w:rsidR="001772DB" w:rsidRDefault="001772DB" w:rsidP="001772DB">
      <w:pPr>
        <w:pStyle w:val="Body"/>
        <w:spacing w:after="0"/>
        <w:rPr>
          <w:rFonts w:ascii="Arial" w:hAnsi="Arial" w:cs="Arial"/>
        </w:rPr>
      </w:pPr>
      <w:r w:rsidRPr="001772DB">
        <w:rPr>
          <w:rFonts w:ascii="Arial" w:hAnsi="Arial" w:cs="Arial"/>
        </w:rPr>
        <w:t>On the first day (familiarization phase), the anim</w:t>
      </w:r>
      <w:r w:rsidR="00CC55DB">
        <w:rPr>
          <w:rFonts w:ascii="Arial" w:hAnsi="Arial" w:cs="Arial"/>
        </w:rPr>
        <w:t>al</w:t>
      </w:r>
      <w:r w:rsidRPr="001772DB">
        <w:rPr>
          <w:rFonts w:ascii="Arial" w:hAnsi="Arial" w:cs="Arial"/>
        </w:rPr>
        <w:t>s were introduced into the maze to explore it for 10 min. The anim</w:t>
      </w:r>
      <w:r w:rsidR="00CC55DB">
        <w:rPr>
          <w:rFonts w:ascii="Arial" w:hAnsi="Arial" w:cs="Arial"/>
        </w:rPr>
        <w:t>al</w:t>
      </w:r>
      <w:r w:rsidRPr="001772DB">
        <w:rPr>
          <w:rFonts w:ascii="Arial" w:hAnsi="Arial" w:cs="Arial"/>
        </w:rPr>
        <w:t xml:space="preserve"> was then </w:t>
      </w:r>
      <w:r w:rsidR="00CC55DB">
        <w:rPr>
          <w:rFonts w:ascii="Arial" w:hAnsi="Arial" w:cs="Arial"/>
        </w:rPr>
        <w:t>al</w:t>
      </w:r>
      <w:r w:rsidRPr="001772DB">
        <w:rPr>
          <w:rFonts w:ascii="Arial" w:hAnsi="Arial" w:cs="Arial"/>
        </w:rPr>
        <w:t xml:space="preserve">lowed to choose either arm of the device indicating its preference. The arm in which the mouse first entered was scored as the preferred arm and the other arm discriminated. After each passage, the device was cleaned with </w:t>
      </w:r>
      <w:r w:rsidR="00CC55DB">
        <w:rPr>
          <w:rFonts w:ascii="Arial" w:hAnsi="Arial" w:cs="Arial"/>
        </w:rPr>
        <w:t>al</w:t>
      </w:r>
      <w:r w:rsidRPr="001772DB">
        <w:rPr>
          <w:rFonts w:ascii="Arial" w:hAnsi="Arial" w:cs="Arial"/>
        </w:rPr>
        <w:t xml:space="preserve">cohol (70% ethanol), in order to eliminate as much as possible the odorous traces left by the previous mouse. </w:t>
      </w:r>
      <w:r w:rsidRPr="001772DB">
        <w:rPr>
          <w:rFonts w:ascii="Arial" w:hAnsi="Arial" w:cs="Arial"/>
          <w:lang w:val="fr-FR"/>
        </w:rPr>
        <w:fldChar w:fldCharType="begin"/>
      </w:r>
      <w:r w:rsidRPr="001772DB">
        <w:rPr>
          <w:rFonts w:ascii="Arial" w:hAnsi="Arial" w:cs="Arial"/>
        </w:rPr>
        <w:instrText>ADDIN CSL_CITATION {"citationItems":[{"id":"ITEM-1","itemData":{"author":[{"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Dawe","given":"Amadou","non-dropping-particle":"","parse-names":false,"suffix":""},{"dropping-particle":"","family":"Moto","given":"Clarisse Okomolo","non-dropping-particle":"","parse-names":false,"suffix":""},{"dropping-particle":"","family":"Sidiki","given":"N","non-dropping-particle":"","parse-names":false,"suffix":""},{"dropping-particle":"","family":"Désiré","given":"Paul","non-dropping-particle":"","parse-names":false,"suffix":""},{"dropping-particle":"De","family":"Waard","given":"Michel","non-dropping-particle":"","parse-names":false,"suffix":""},{"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Weiss","given":"Norbert","non-dropping-particle":"","parse-names":false,"suffix":""}],"container-title":"International Journal of Pharmacology","id":"ITEM-1","issue":"4","issued":{"date-parts":[["2011"]]},"page":"364-371","title":"Effects of Nauclea latifolia Smith ( Rubiaceae ) Roots Extract in Murine Models To cite this version : HAL Id : inserm-00644849","type":"article-journal","volume":"6"},"uris":["http://www.mendeley.com/documents/?uuid=985a6e4a-fda2-49cb-a8b4-59fce2fe8261"]}],"mendeley":{"formattedCitation":"(Taïwe et al., 2011)","manualFormatting":"(Taïwe et al., 2011 ; ","plainTextFormattedCitation":"(Taïwe et al., 2011)","previouslyFormattedCitation":"(Taïwe et al., 2011)"},"properties":{"noteIndex":0},"schema":"https://github.com/citation-style-language/schema/raw/master/csl-citation.json"}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lang w:val="fr-FR"/>
        </w:rPr>
        <w:t xml:space="preserve">(Taïwe et </w:t>
      </w:r>
      <w:r w:rsidR="00CC55DB" w:rsidRPr="003F09D2">
        <w:rPr>
          <w:rFonts w:ascii="Arial" w:hAnsi="Arial" w:cs="Arial"/>
          <w:lang w:val="fr-FR"/>
        </w:rPr>
        <w:t>al</w:t>
      </w:r>
      <w:r w:rsidRPr="003F09D2">
        <w:rPr>
          <w:rFonts w:ascii="Arial" w:hAnsi="Arial" w:cs="Arial"/>
          <w:lang w:val="fr-FR"/>
        </w:rPr>
        <w:t>.</w:t>
      </w:r>
      <w:r w:rsidRPr="001772DB">
        <w:rPr>
          <w:rFonts w:ascii="Arial" w:hAnsi="Arial" w:cs="Arial"/>
          <w:lang w:val="fr-FR"/>
        </w:rPr>
        <w:t xml:space="preserve">, 2011 ; </w:t>
      </w:r>
      <w:r w:rsidRPr="001772DB">
        <w:rPr>
          <w:rFonts w:ascii="Arial" w:hAnsi="Arial" w:cs="Arial"/>
          <w:lang w:val="en-GB"/>
        </w:rPr>
        <w:fldChar w:fldCharType="end"/>
      </w:r>
      <w:r w:rsidRPr="001772DB">
        <w:rPr>
          <w:rFonts w:ascii="Arial" w:hAnsi="Arial" w:cs="Arial"/>
          <w:lang w:val="fr-FR"/>
        </w:rPr>
        <w:fldChar w:fldCharType="begin"/>
      </w:r>
      <w:r w:rsidRPr="001772DB">
        <w:rPr>
          <w:rFonts w:ascii="Arial" w:hAnsi="Arial" w:cs="Arial"/>
          <w:lang w:val="fr-FR"/>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w:instrText>
      </w:r>
      <w:r w:rsidRPr="001772DB">
        <w:rPr>
          <w:rFonts w:ascii="Arial" w:hAnsi="Arial" w:cs="Arial"/>
        </w:rPr>
        <w:instrText>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2015)","manualFormatting":"Taiwe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Taiwe et </w:t>
      </w:r>
      <w:r w:rsidR="00CC55DB" w:rsidRPr="003F09D2">
        <w:rPr>
          <w:rFonts w:ascii="Arial" w:hAnsi="Arial" w:cs="Arial"/>
        </w:rPr>
        <w:t>al</w:t>
      </w:r>
      <w:r w:rsidRPr="001772DB">
        <w:rPr>
          <w:rFonts w:ascii="Arial" w:hAnsi="Arial" w:cs="Arial"/>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w:t>
      </w:r>
    </w:p>
    <w:p w14:paraId="25155ACF" w14:textId="77777777" w:rsidR="001772DB" w:rsidRPr="001772DB" w:rsidRDefault="001772DB" w:rsidP="001772DB">
      <w:pPr>
        <w:pStyle w:val="Body"/>
        <w:spacing w:after="0"/>
        <w:rPr>
          <w:rFonts w:ascii="Arial" w:hAnsi="Arial" w:cs="Arial"/>
        </w:rPr>
      </w:pPr>
    </w:p>
    <w:p w14:paraId="720F7EEC" w14:textId="1055E6D5" w:rsidR="001772DB" w:rsidRPr="001772DB" w:rsidRDefault="001772DB" w:rsidP="001772DB">
      <w:pPr>
        <w:pStyle w:val="Body"/>
        <w:spacing w:after="0"/>
        <w:rPr>
          <w:rFonts w:ascii="Arial" w:hAnsi="Arial" w:cs="Arial"/>
        </w:rPr>
      </w:pPr>
      <w:r w:rsidRPr="001772DB">
        <w:rPr>
          <w:rFonts w:ascii="Arial" w:hAnsi="Arial" w:cs="Arial"/>
        </w:rPr>
        <w:t>On the second day (acquisition phase), each anim</w:t>
      </w:r>
      <w:r w:rsidR="00CC55DB">
        <w:rPr>
          <w:rFonts w:ascii="Arial" w:hAnsi="Arial" w:cs="Arial"/>
        </w:rPr>
        <w:t>al</w:t>
      </w:r>
      <w:r w:rsidRPr="001772DB">
        <w:rPr>
          <w:rFonts w:ascii="Arial" w:hAnsi="Arial" w:cs="Arial"/>
        </w:rPr>
        <w:t xml:space="preserve"> was placed in a starting position (at the end of the starting arm) to explore the device for 10 min. However, the entrance to the opposite arm (new arm) was closed, while the entrance to the other arm (familiar arm) was open. The mice were returned to their cages.</w:t>
      </w:r>
    </w:p>
    <w:p w14:paraId="57850943" w14:textId="2F61CDDF" w:rsidR="001772DB" w:rsidRPr="001772DB" w:rsidRDefault="001772DB" w:rsidP="001772DB">
      <w:pPr>
        <w:pStyle w:val="Body"/>
        <w:spacing w:after="0"/>
        <w:rPr>
          <w:rFonts w:ascii="Arial" w:hAnsi="Arial" w:cs="Arial"/>
        </w:rPr>
      </w:pPr>
      <w:r w:rsidRPr="001772DB">
        <w:rPr>
          <w:rFonts w:ascii="Arial" w:hAnsi="Arial" w:cs="Arial"/>
        </w:rPr>
        <w:t xml:space="preserve">On the next day (retention phase), the mice were reintroduced into the device for 5 min. During this phase, the entrance to both arms (familiar new) was opened. The number of visits and the time spent in these two arms were recorded. The number of visits and the time spent in the starting arm were </w:t>
      </w:r>
      <w:r w:rsidR="00CC55DB">
        <w:rPr>
          <w:rFonts w:ascii="Arial" w:hAnsi="Arial" w:cs="Arial"/>
        </w:rPr>
        <w:t>al</w:t>
      </w:r>
      <w:r w:rsidRPr="001772DB">
        <w:rPr>
          <w:rFonts w:ascii="Arial" w:hAnsi="Arial" w:cs="Arial"/>
        </w:rPr>
        <w:t xml:space="preserve">so recorded using a stopwatch </w:t>
      </w:r>
      <w:r w:rsidRPr="001772DB">
        <w:rPr>
          <w:rFonts w:ascii="Arial" w:hAnsi="Arial" w:cs="Arial"/>
          <w:lang w:val="fr-CM"/>
        </w:rPr>
        <w:fldChar w:fldCharType="begin"/>
      </w:r>
      <w:r w:rsidRPr="001772DB">
        <w:rPr>
          <w:rFonts w:ascii="Arial" w:hAnsi="Arial" w:cs="Arial"/>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(Taiwe et </w:t>
      </w:r>
      <w:r w:rsidR="00CC55DB" w:rsidRPr="003F09D2">
        <w:rPr>
          <w:rFonts w:ascii="Arial" w:hAnsi="Arial" w:cs="Arial"/>
        </w:rPr>
        <w:t>al</w:t>
      </w:r>
      <w:r w:rsidRPr="001772DB">
        <w:rPr>
          <w:rFonts w:ascii="Arial" w:hAnsi="Arial" w:cs="Arial"/>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 xml:space="preserve">. </w:t>
      </w:r>
    </w:p>
    <w:p w14:paraId="25C12DFA" w14:textId="77777777" w:rsidR="001772DB" w:rsidRPr="001772DB" w:rsidRDefault="001772DB" w:rsidP="001772DB">
      <w:pPr>
        <w:pStyle w:val="Body"/>
        <w:spacing w:after="0"/>
        <w:rPr>
          <w:rFonts w:ascii="Arial" w:hAnsi="Arial" w:cs="Arial"/>
        </w:rPr>
      </w:pPr>
    </w:p>
    <w:p w14:paraId="7F0D931A" w14:textId="77777777" w:rsidR="001772DB" w:rsidRPr="001772DB" w:rsidRDefault="001772DB" w:rsidP="001772DB">
      <w:pPr>
        <w:pStyle w:val="Body"/>
        <w:spacing w:after="0"/>
        <w:rPr>
          <w:rFonts w:ascii="Arial" w:hAnsi="Arial" w:cs="Arial"/>
        </w:rPr>
      </w:pPr>
      <w:r w:rsidRPr="001772DB">
        <w:rPr>
          <w:rFonts w:ascii="Arial" w:hAnsi="Arial" w:cs="Arial"/>
        </w:rPr>
        <w:t>2.5.2. Elevated Plus Maze Test</w:t>
      </w:r>
    </w:p>
    <w:p w14:paraId="46D150FE" w14:textId="5D8EFAA5" w:rsidR="001772DB" w:rsidRDefault="001772DB" w:rsidP="001772DB">
      <w:pPr>
        <w:pStyle w:val="Body"/>
        <w:spacing w:after="0"/>
        <w:rPr>
          <w:rFonts w:ascii="Arial" w:hAnsi="Arial" w:cs="Arial"/>
        </w:rPr>
      </w:pPr>
      <w:r w:rsidRPr="001772DB">
        <w:rPr>
          <w:rFonts w:ascii="Arial" w:hAnsi="Arial" w:cs="Arial"/>
        </w:rPr>
        <w:t>The device used was a loc</w:t>
      </w:r>
      <w:r w:rsidR="00CC55DB">
        <w:rPr>
          <w:rFonts w:ascii="Arial" w:hAnsi="Arial" w:cs="Arial"/>
        </w:rPr>
        <w:t>al</w:t>
      </w:r>
      <w:r w:rsidRPr="001772DB">
        <w:rPr>
          <w:rFonts w:ascii="Arial" w:hAnsi="Arial" w:cs="Arial"/>
        </w:rPr>
        <w:t>ly made wooden labyrinth. The height of the device from the ground was 50 cm. In height, the device consisted of two opposing open arms (16 cm × 5 cm), two opposing closed arms (16 cm × 5cm × 10 cm) and with a platform in the center of the device (5 cm × 5 cm). The elevated plus maze test is an exteroceptive behavior</w:t>
      </w:r>
      <w:r w:rsidR="00CC55DB">
        <w:rPr>
          <w:rFonts w:ascii="Arial" w:hAnsi="Arial" w:cs="Arial"/>
        </w:rPr>
        <w:t>al</w:t>
      </w:r>
      <w:r w:rsidRPr="001772DB">
        <w:rPr>
          <w:rFonts w:ascii="Arial" w:hAnsi="Arial" w:cs="Arial"/>
        </w:rPr>
        <w:t xml:space="preserve"> model for assessing learning and memory in mice </w:t>
      </w:r>
      <w:r w:rsidRPr="001772DB">
        <w:rPr>
          <w:rFonts w:ascii="Arial" w:hAnsi="Arial" w:cs="Arial"/>
          <w:lang w:val="fr-CM"/>
        </w:rPr>
        <w:fldChar w:fldCharType="begin"/>
      </w:r>
      <w:r w:rsidRPr="001772DB">
        <w:rPr>
          <w:rFonts w:ascii="Arial" w:hAnsi="Arial" w:cs="Arial"/>
        </w:rPr>
        <w:instrText>ADDIN CSL_CITATION {"citationItems":[{"id":"ITEM-1","itemData":{"DOI":"10.1111/j.1528-1167.2007.01338.x","ISSN":"00139580","author":[{"dropping-particle":"","family":"Sankar","given":"Raman","non-dropping-particle":"","parse-names":false,"suffix":""},{"dropping-particle":"","family":"Auvin","given":"Stéphane","non-dropping-particle":"","parse-names":false,"suffix":""},{"dropping-particle":"","family":"Shin","given":"Don","non-dropping-particle":"","parse-names":false,"suffix":""},{"dropping-particle":"","family":"Mazarati","given":"Andrey","non-dropping-particle":"","parse-names":false,"suffix":""}],"container-title":"Epilepsia","id":"ITEM-1","issue":"SUPPL. 8","issued":{"date-parts":[["2007"]]},"title":"Inflammation modifies status epilepticus-induced hippocampal injury during development","type":"paper-conference","volume":"48"},"uris":["http://www.mendeley.com/documents/?uuid=4623a718-0a6a-325d-97a2-735edcf5821f"]}],"mendeley":{"formattedCitation":"(Sankar et al., 2007)","plainTextFormattedCitation":"(Sankar et al., 2007)","previouslyFormattedCitation":"(Sankar et al., 2007)"},"properties":{"noteIndex":0},"schema":"https://github.com/citation-style-language/schema/raw/master/csl-citation.json"}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(Sankar et </w:t>
      </w:r>
      <w:r w:rsidR="00CC55DB">
        <w:rPr>
          <w:rFonts w:ascii="Arial" w:hAnsi="Arial" w:cs="Arial"/>
          <w:i/>
          <w:iCs/>
        </w:rPr>
        <w:t>al</w:t>
      </w:r>
      <w:r w:rsidRPr="001772DB">
        <w:rPr>
          <w:rFonts w:ascii="Arial" w:hAnsi="Arial" w:cs="Arial"/>
          <w:iCs/>
        </w:rPr>
        <w:t>.</w:t>
      </w:r>
      <w:r w:rsidRPr="001772DB">
        <w:rPr>
          <w:rFonts w:ascii="Arial" w:hAnsi="Arial" w:cs="Arial"/>
        </w:rPr>
        <w:t>, 2007)</w:t>
      </w:r>
      <w:r w:rsidRPr="001772DB">
        <w:rPr>
          <w:rFonts w:ascii="Arial" w:hAnsi="Arial" w:cs="Arial"/>
          <w:lang w:val="en-GB"/>
        </w:rPr>
        <w:fldChar w:fldCharType="end"/>
      </w:r>
      <w:r w:rsidRPr="001772DB">
        <w:rPr>
          <w:rFonts w:ascii="Arial" w:hAnsi="Arial" w:cs="Arial"/>
        </w:rPr>
        <w:t xml:space="preserve">. This test, which took place over two successive days, was carried out according to the method described by </w:t>
      </w:r>
      <w:r w:rsidRPr="001772DB">
        <w:rPr>
          <w:rFonts w:ascii="Arial" w:hAnsi="Arial" w:cs="Arial"/>
          <w:lang w:val="fr-CM"/>
        </w:rPr>
        <w:fldChar w:fldCharType="begin"/>
      </w:r>
      <w:r w:rsidRPr="001772DB">
        <w:rPr>
          <w:rFonts w:ascii="Arial" w:hAnsi="Arial" w:cs="Arial"/>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2015)","manualFormatting":" 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 Taiwe et </w:t>
      </w:r>
      <w:r w:rsidR="00CC55DB" w:rsidRPr="003F09D2">
        <w:rPr>
          <w:rFonts w:ascii="Arial" w:hAnsi="Arial" w:cs="Arial"/>
        </w:rPr>
        <w:t>al</w:t>
      </w:r>
      <w:r w:rsidRPr="001772DB">
        <w:rPr>
          <w:rFonts w:ascii="Arial" w:hAnsi="Arial" w:cs="Arial"/>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 xml:space="preserve"> . For a duration of 60 s, each anim</w:t>
      </w:r>
      <w:r w:rsidR="00CC55DB">
        <w:rPr>
          <w:rFonts w:ascii="Arial" w:hAnsi="Arial" w:cs="Arial"/>
        </w:rPr>
        <w:t>al</w:t>
      </w:r>
      <w:r w:rsidRPr="001772DB">
        <w:rPr>
          <w:rFonts w:ascii="Arial" w:hAnsi="Arial" w:cs="Arial"/>
        </w:rPr>
        <w:t xml:space="preserve"> was placed at the end of one of the open arms and the learning latency (time taken to enter one of the closed arms) was recorded using a stopwatch. The mouse was recognized as being in a closed arm when it entered with </w:t>
      </w:r>
      <w:r w:rsidR="00CC55DB">
        <w:rPr>
          <w:rFonts w:ascii="Arial" w:hAnsi="Arial" w:cs="Arial"/>
        </w:rPr>
        <w:t>al</w:t>
      </w:r>
      <w:r w:rsidRPr="001772DB">
        <w:rPr>
          <w:rFonts w:ascii="Arial" w:hAnsi="Arial" w:cs="Arial"/>
        </w:rPr>
        <w:t xml:space="preserve">l four </w:t>
      </w:r>
      <w:r w:rsidRPr="001772DB">
        <w:rPr>
          <w:rFonts w:ascii="Arial" w:hAnsi="Arial" w:cs="Arial"/>
        </w:rPr>
        <w:lastRenderedPageBreak/>
        <w:t xml:space="preserve">legs in the closed arm. The mouse was then </w:t>
      </w:r>
      <w:r w:rsidR="00CC55DB">
        <w:rPr>
          <w:rFonts w:ascii="Arial" w:hAnsi="Arial" w:cs="Arial"/>
        </w:rPr>
        <w:t>al</w:t>
      </w:r>
      <w:r w:rsidRPr="001772DB">
        <w:rPr>
          <w:rFonts w:ascii="Arial" w:hAnsi="Arial" w:cs="Arial"/>
        </w:rPr>
        <w:t>lowed to move freely for an addition</w:t>
      </w:r>
      <w:r w:rsidR="00CC55DB">
        <w:rPr>
          <w:rFonts w:ascii="Arial" w:hAnsi="Arial" w:cs="Arial"/>
        </w:rPr>
        <w:t>al</w:t>
      </w:r>
      <w:r w:rsidRPr="001772DB">
        <w:rPr>
          <w:rFonts w:ascii="Arial" w:hAnsi="Arial" w:cs="Arial"/>
        </w:rPr>
        <w:t xml:space="preserve"> 10 s in that arm. Twenty-four hours later, the retention latency, i.e., the time taken to enter one of the closed arms was determined. A time of 60 s was given to mice when they did not enter one of the closed arms.</w:t>
      </w:r>
    </w:p>
    <w:p w14:paraId="46CCC419" w14:textId="77777777" w:rsidR="001772DB" w:rsidRPr="001772DB" w:rsidRDefault="001772DB" w:rsidP="001772DB">
      <w:pPr>
        <w:pStyle w:val="Body"/>
        <w:spacing w:after="0"/>
        <w:rPr>
          <w:rFonts w:ascii="Arial" w:hAnsi="Arial" w:cs="Arial"/>
        </w:rPr>
      </w:pPr>
    </w:p>
    <w:p w14:paraId="671D068C" w14:textId="77777777" w:rsidR="001772DB" w:rsidRPr="001772DB" w:rsidRDefault="001772DB" w:rsidP="001772DB">
      <w:pPr>
        <w:pStyle w:val="Body"/>
        <w:spacing w:after="0"/>
        <w:rPr>
          <w:rFonts w:ascii="Arial" w:hAnsi="Arial" w:cs="Arial"/>
        </w:rPr>
      </w:pPr>
      <w:r w:rsidRPr="001772DB">
        <w:rPr>
          <w:rFonts w:ascii="Arial" w:hAnsi="Arial" w:cs="Arial"/>
        </w:rPr>
        <w:t>2.5.3. Open field test</w:t>
      </w:r>
    </w:p>
    <w:p w14:paraId="5F9126BD" w14:textId="7917D6FC" w:rsidR="001772DB" w:rsidRDefault="001772DB" w:rsidP="001772DB">
      <w:pPr>
        <w:pStyle w:val="Body"/>
        <w:spacing w:after="0"/>
        <w:rPr>
          <w:rFonts w:ascii="Arial" w:hAnsi="Arial" w:cs="Arial"/>
        </w:rPr>
      </w:pPr>
      <w:r w:rsidRPr="001772DB">
        <w:rPr>
          <w:rFonts w:ascii="Arial" w:hAnsi="Arial" w:cs="Arial"/>
        </w:rPr>
        <w:t>The open field test is commonly used to assess locomotor activity, exploration and emotion</w:t>
      </w:r>
      <w:r w:rsidR="00CC55DB">
        <w:rPr>
          <w:rFonts w:ascii="Arial" w:hAnsi="Arial" w:cs="Arial"/>
        </w:rPr>
        <w:t>al</w:t>
      </w:r>
      <w:r w:rsidRPr="001772DB">
        <w:rPr>
          <w:rFonts w:ascii="Arial" w:hAnsi="Arial" w:cs="Arial"/>
        </w:rPr>
        <w:t xml:space="preserve"> reactivity in rodents </w:t>
      </w:r>
      <w:r w:rsidRPr="001772DB">
        <w:rPr>
          <w:rFonts w:ascii="Arial" w:hAnsi="Arial" w:cs="Arial"/>
          <w:lang w:val="fr-FR"/>
        </w:rPr>
        <w:fldChar w:fldCharType="begin"/>
      </w:r>
      <w:r w:rsidRPr="001772DB">
        <w:rPr>
          <w:rFonts w:ascii="Arial" w:hAnsi="Arial" w:cs="Arial"/>
        </w:rPr>
        <w:instrText>ADDIN CSL_CITATION {"citationItems":[{"id":"ITEM-1","itemData":{"DOI":"10.1016/S0921-0709(99)80057-1","ISSN":"09210709","author":[{"dropping-particle":"","family":"Belzung","given":"Catherine","non-dropping-particle":"","parse-names":false,"suffix":""}],"container-title":"Techniques in the Behavioral and Neural Sciences","id":"ITEM-1","issue":"C","issued":{"date-parts":[["1999"]]},"title":"Chapter 4.11 Measuring rodent exploratory behavior","type":"article-journal","volume":"13"},"uris":["http://www.mendeley.com/documents/?uuid=af86a6d4-b40f-308a-bec6-91d9610655b8"]}],"mendeley":{"formattedCitation":"(Belzung, 1999)","plainTextFormattedCitation":"(Belzung, 1999)","previouslyFormattedCitation":"(Belzung, 1999)"},"properties":{"noteIndex":0},"schema":"https://github.com/citation-style-language/schema/raw/master/csl-citation.json"}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(Belzung, 1999)</w:t>
      </w:r>
      <w:r w:rsidRPr="001772DB">
        <w:rPr>
          <w:rFonts w:ascii="Arial" w:hAnsi="Arial" w:cs="Arial"/>
          <w:lang w:val="en-GB"/>
        </w:rPr>
        <w:fldChar w:fldCharType="end"/>
      </w:r>
      <w:r w:rsidRPr="001772DB">
        <w:rPr>
          <w:rFonts w:ascii="Arial" w:hAnsi="Arial" w:cs="Arial"/>
        </w:rPr>
        <w:t xml:space="preserve">. One hour after undergoing the object recognition test, each mouse was observed for a period of 5 minutes in the open field. The test consisted of placing the mice one after the other in the center of the device, in order to </w:t>
      </w:r>
      <w:r w:rsidR="00CC55DB">
        <w:rPr>
          <w:rFonts w:ascii="Arial" w:hAnsi="Arial" w:cs="Arial"/>
        </w:rPr>
        <w:t>al</w:t>
      </w:r>
      <w:r w:rsidRPr="001772DB">
        <w:rPr>
          <w:rFonts w:ascii="Arial" w:hAnsi="Arial" w:cs="Arial"/>
        </w:rPr>
        <w:t>low them free exploration. Sever</w:t>
      </w:r>
      <w:r w:rsidR="00CC55DB">
        <w:rPr>
          <w:rFonts w:ascii="Arial" w:hAnsi="Arial" w:cs="Arial"/>
        </w:rPr>
        <w:t>al</w:t>
      </w:r>
      <w:r w:rsidRPr="001772DB">
        <w:rPr>
          <w:rFonts w:ascii="Arial" w:hAnsi="Arial" w:cs="Arial"/>
        </w:rPr>
        <w:t xml:space="preserve"> behavior</w:t>
      </w:r>
      <w:r w:rsidR="00CC55DB">
        <w:rPr>
          <w:rFonts w:ascii="Arial" w:hAnsi="Arial" w:cs="Arial"/>
        </w:rPr>
        <w:t>al</w:t>
      </w:r>
      <w:r w:rsidRPr="001772DB">
        <w:rPr>
          <w:rFonts w:ascii="Arial" w:hAnsi="Arial" w:cs="Arial"/>
        </w:rPr>
        <w:t xml:space="preserve"> parameters were ev</w:t>
      </w:r>
      <w:r w:rsidR="00CC55DB">
        <w:rPr>
          <w:rFonts w:ascii="Arial" w:hAnsi="Arial" w:cs="Arial"/>
        </w:rPr>
        <w:t>al</w:t>
      </w:r>
      <w:r w:rsidRPr="001772DB">
        <w:rPr>
          <w:rFonts w:ascii="Arial" w:hAnsi="Arial" w:cs="Arial"/>
        </w:rPr>
        <w:t>uated: the number of lines crossed, the number of times spent the anim</w:t>
      </w:r>
      <w:r w:rsidR="00CC55DB">
        <w:rPr>
          <w:rFonts w:ascii="Arial" w:hAnsi="Arial" w:cs="Arial"/>
        </w:rPr>
        <w:t>al</w:t>
      </w:r>
      <w:r w:rsidRPr="001772DB">
        <w:rPr>
          <w:rFonts w:ascii="Arial" w:hAnsi="Arial" w:cs="Arial"/>
        </w:rPr>
        <w:t xml:space="preserve"> cleaned its body, the number of sit-ups (when the anim</w:t>
      </w:r>
      <w:r w:rsidR="00CC55DB">
        <w:rPr>
          <w:rFonts w:ascii="Arial" w:hAnsi="Arial" w:cs="Arial"/>
        </w:rPr>
        <w:t>al</w:t>
      </w:r>
      <w:r w:rsidRPr="001772DB">
        <w:rPr>
          <w:rFonts w:ascii="Arial" w:hAnsi="Arial" w:cs="Arial"/>
        </w:rPr>
        <w:t xml:space="preserve"> stood up on its hind legs and leaned on the edges of the experiment</w:t>
      </w:r>
      <w:r w:rsidR="00CC55DB">
        <w:rPr>
          <w:rFonts w:ascii="Arial" w:hAnsi="Arial" w:cs="Arial"/>
        </w:rPr>
        <w:t>al</w:t>
      </w:r>
      <w:r w:rsidRPr="001772DB">
        <w:rPr>
          <w:rFonts w:ascii="Arial" w:hAnsi="Arial" w:cs="Arial"/>
        </w:rPr>
        <w:t xml:space="preserve"> device) and the time spent in the center of the experiment</w:t>
      </w:r>
      <w:r w:rsidR="00CC55DB">
        <w:rPr>
          <w:rFonts w:ascii="Arial" w:hAnsi="Arial" w:cs="Arial"/>
        </w:rPr>
        <w:t>al</w:t>
      </w:r>
      <w:r w:rsidRPr="001772DB">
        <w:rPr>
          <w:rFonts w:ascii="Arial" w:hAnsi="Arial" w:cs="Arial"/>
        </w:rPr>
        <w:t xml:space="preserve"> device. After 5 minutes of observation, the mouse was returned to its origin</w:t>
      </w:r>
      <w:r w:rsidR="00CC55DB">
        <w:rPr>
          <w:rFonts w:ascii="Arial" w:hAnsi="Arial" w:cs="Arial"/>
        </w:rPr>
        <w:t>al</w:t>
      </w:r>
      <w:r w:rsidRPr="001772DB">
        <w:rPr>
          <w:rFonts w:ascii="Arial" w:hAnsi="Arial" w:cs="Arial"/>
        </w:rPr>
        <w:t xml:space="preserve"> cage and the experiment</w:t>
      </w:r>
      <w:r w:rsidR="00CC55DB">
        <w:rPr>
          <w:rFonts w:ascii="Arial" w:hAnsi="Arial" w:cs="Arial"/>
        </w:rPr>
        <w:t>al</w:t>
      </w:r>
      <w:r w:rsidRPr="001772DB">
        <w:rPr>
          <w:rFonts w:ascii="Arial" w:hAnsi="Arial" w:cs="Arial"/>
        </w:rPr>
        <w:t xml:space="preserve"> device was cleaned with ethyl </w:t>
      </w:r>
      <w:r w:rsidR="00CC55DB">
        <w:rPr>
          <w:rFonts w:ascii="Arial" w:hAnsi="Arial" w:cs="Arial"/>
        </w:rPr>
        <w:t>al</w:t>
      </w:r>
      <w:r w:rsidRPr="001772DB">
        <w:rPr>
          <w:rFonts w:ascii="Arial" w:hAnsi="Arial" w:cs="Arial"/>
        </w:rPr>
        <w:t>cohol (70</w:t>
      </w:r>
      <w:r w:rsidR="00557830">
        <w:rPr>
          <w:rFonts w:ascii="Arial" w:hAnsi="Arial" w:cs="Arial"/>
        </w:rPr>
        <w:t>%</w:t>
      </w:r>
      <w:r w:rsidRPr="001772DB">
        <w:rPr>
          <w:rFonts w:ascii="Arial" w:hAnsi="Arial" w:cs="Arial"/>
        </w:rPr>
        <w:t xml:space="preserve">) before introducing the next mouse </w:t>
      </w:r>
      <w:r w:rsidRPr="001772DB">
        <w:rPr>
          <w:rFonts w:ascii="Arial" w:hAnsi="Arial" w:cs="Arial"/>
          <w:lang w:val="fr-FR"/>
        </w:rPr>
        <w:fldChar w:fldCharType="begin"/>
      </w:r>
      <w:r w:rsidRPr="001772DB">
        <w:rPr>
          <w:rFonts w:ascii="Arial" w:hAnsi="Arial" w:cs="Arial"/>
        </w:rPr>
        <w:instrText xml:space="preserve">ADDIN CSL_CITATION {"citationItems":[{"id":"ITEM-1","itemData":{"DOI":"10.1016/j.yebeh.2009.05.014","ISSN":"15255050","abstract":"Root bark of Nauclea latifolia Smith (Rubiaceae) was evaluated for its anticonvulsant, anxiolytic, and sedative activity in mice. Animal models (maximal electroshock-, pentylenetetrazol-, and strychnine-induced convulsions; N-methyl-d-aspartate-induced turning behavior; elevated plus maze; stress-induced hyperthermia; open field; and diazepam-induced sleep) were used. The decoction from the bark of the roots of N. latifolia strongly increased the total sleep time induced by diazepam. It also protected mice against maximal electroshock-, pentylenetetrazol-, and strychnine-induced seizures. In addition, turning behavior induced by N-methyl-d-aspartate was inhibited. N. latifolia antagonized, in a dose-dependent manner, stress-induced hyperthermia and reduced body temperature. In the elevated plus maze, N. latifolia increased the number of entries into, percentage of entries into, and percentage of time in open arms, and reduced rearing, head dipping, and percentage of time in closed arms. In the open field test, N. latifolia increased crossing and reduced rearing and defecation. It could be concluded that the decoction of N. latifolia, used in traditional medicine in Cameroon </w:instrText>
      </w:r>
      <w:r w:rsidRPr="00557830">
        <w:rPr>
          <w:rFonts w:ascii="Arial" w:hAnsi="Arial" w:cs="Arial"/>
        </w:rPr>
        <w:instrText>in</w:instrText>
      </w:r>
      <w:r w:rsidRPr="001772DB">
        <w:rPr>
          <w:rFonts w:ascii="Arial" w:hAnsi="Arial" w:cs="Arial"/>
          <w:lang w:val="fr-FR"/>
        </w:rPr>
        <w:instrText xml:space="preserve"> the treatment of fever, malaria, insomnia, anxiety and epilepsy seemed to possess, sedative, anticonvulsant, anxiolytic and antipyretic properties in mice. Crown Copyright © 2009.","author":[{"dropping-particle":"","family":"Ngo Bum","given":"E.","non-dropping-particle":"","parse-</w:instrText>
      </w:r>
      <w:r w:rsidRPr="001772DB">
        <w:rPr>
          <w:rFonts w:ascii="Arial" w:hAnsi="Arial" w:cs="Arial"/>
        </w:rPr>
        <w:instrText>names":false,"suffix":""},{"dropping-particle":"","family":"Taiwe","given":"G. S.","non-dropping-particle":"","parse-names":false,"suffix":""},{"dropping-particle":"","family":"Moto","given":"F. C.O.","non-dropping-particle":"","parse-names":false,"suffix":""},{"dropping-particle":"","family":"Ngoupaye","given":"G. T.","non-dropping-particle":"","parse-names":false,"suffix":""},{"dropping-particle":"","family":"Nkantchoua","given":"G. C.N.","non-dropping-particle":"","parse-names":false,"suffix":""},{"dropping-particle":"","family":"Pelanken","given":"M. M.","non-dropping-particle":"","parse-names":false,"suffix":""},{"dropping-particle":"V.","family":"Rakotonirina","given":"S.","non-dropping-particle":"","parse-names":false,"suffix":""},{"dropping-particle":"","family":"Rakotonirina","given":"A.","non-dropping-particle":"","parse-names":false,"suffix":""}],"container-title":"Epilepsy and Behavior","id":"ITEM-1","issue":"4","issued":{"date-parts":[["2009"]]},"title":"Anticonvulsant, anxiolytic, and sedative properties of the roots of Nauclea latifolia Smith in mice","type":"article-journal","volume":"15"},"uris":["http://www.mendeley.com/documents/?uuid=1f77ed72-97ca-3f04-928e-f03532af7dfb"]}],"mendeley":{"formattedCitation":"(Ngo Bum et al., 2009)","plainTextFormattedCitation":"(Ngo Bum et al., 2009)","previouslyFormattedCitation":"(Ngo Bum et al., 2009)"},"properties":{"noteIndex":0},"schema":"https://github.com/citation-style-language/schema/raw/master/csl-citation.json"}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(Ngo Bum et </w:t>
      </w:r>
      <w:r w:rsidR="00CC55DB" w:rsidRPr="003F09D2">
        <w:rPr>
          <w:rFonts w:ascii="Arial" w:hAnsi="Arial" w:cs="Arial"/>
        </w:rPr>
        <w:t>al</w:t>
      </w:r>
      <w:r w:rsidRPr="003F09D2">
        <w:rPr>
          <w:rFonts w:ascii="Arial" w:hAnsi="Arial" w:cs="Arial"/>
        </w:rPr>
        <w:t>.</w:t>
      </w:r>
      <w:r w:rsidRPr="001772DB">
        <w:rPr>
          <w:rFonts w:ascii="Arial" w:hAnsi="Arial" w:cs="Arial"/>
          <w:i/>
          <w:iCs/>
        </w:rPr>
        <w:t>,</w:t>
      </w:r>
      <w:r w:rsidRPr="001772DB">
        <w:rPr>
          <w:rFonts w:ascii="Arial" w:hAnsi="Arial" w:cs="Arial"/>
        </w:rPr>
        <w:t xml:space="preserve"> 2009)</w:t>
      </w:r>
      <w:r w:rsidRPr="001772DB">
        <w:rPr>
          <w:rFonts w:ascii="Arial" w:hAnsi="Arial" w:cs="Arial"/>
          <w:lang w:val="en-GB"/>
        </w:rPr>
        <w:fldChar w:fldCharType="end"/>
      </w:r>
      <w:r w:rsidRPr="001772DB">
        <w:rPr>
          <w:rFonts w:ascii="Arial" w:hAnsi="Arial" w:cs="Arial"/>
        </w:rPr>
        <w:t>.</w:t>
      </w:r>
    </w:p>
    <w:p w14:paraId="46167F44" w14:textId="77777777" w:rsidR="001772DB" w:rsidRPr="001772DB" w:rsidRDefault="001772DB" w:rsidP="001772DB">
      <w:pPr>
        <w:pStyle w:val="Body"/>
        <w:spacing w:after="0"/>
        <w:rPr>
          <w:rFonts w:ascii="Arial" w:hAnsi="Arial" w:cs="Arial"/>
        </w:rPr>
      </w:pPr>
    </w:p>
    <w:p w14:paraId="5E88007E" w14:textId="4A94A35C" w:rsidR="001772DB" w:rsidRPr="001772DB" w:rsidRDefault="001772DB" w:rsidP="001772DB">
      <w:pPr>
        <w:pStyle w:val="Body"/>
        <w:spacing w:after="0"/>
        <w:rPr>
          <w:rFonts w:ascii="Arial" w:hAnsi="Arial" w:cs="Arial"/>
          <w:b/>
          <w:bCs/>
        </w:rPr>
      </w:pPr>
      <w:r w:rsidRPr="001772DB">
        <w:rPr>
          <w:rFonts w:ascii="Arial" w:hAnsi="Arial" w:cs="Arial"/>
          <w:b/>
          <w:bCs/>
        </w:rPr>
        <w:t>2.6. Estimation of biochemic</w:t>
      </w:r>
      <w:r w:rsidR="00CC55DB">
        <w:rPr>
          <w:rFonts w:ascii="Arial" w:hAnsi="Arial" w:cs="Arial"/>
          <w:b/>
          <w:bCs/>
        </w:rPr>
        <w:t>al</w:t>
      </w:r>
      <w:r w:rsidRPr="001772DB">
        <w:rPr>
          <w:rFonts w:ascii="Arial" w:hAnsi="Arial" w:cs="Arial"/>
          <w:b/>
          <w:bCs/>
        </w:rPr>
        <w:t xml:space="preserve"> parameters in the hippocampus</w:t>
      </w:r>
    </w:p>
    <w:p w14:paraId="2287C7D4" w14:textId="77777777" w:rsidR="001772DB" w:rsidRPr="001772DB" w:rsidRDefault="001772DB" w:rsidP="001772DB">
      <w:pPr>
        <w:pStyle w:val="Body"/>
        <w:spacing w:after="0"/>
        <w:rPr>
          <w:rFonts w:ascii="Arial" w:hAnsi="Arial" w:cs="Arial"/>
        </w:rPr>
      </w:pPr>
      <w:r w:rsidRPr="001772DB">
        <w:rPr>
          <w:rFonts w:ascii="Arial" w:hAnsi="Arial" w:cs="Arial"/>
        </w:rPr>
        <w:t>2.6.1. Sacrifice, seahorse harvesting and preparation of homogenates</w:t>
      </w:r>
    </w:p>
    <w:p w14:paraId="4E09D2A0" w14:textId="4FB1E4AD" w:rsidR="001772DB" w:rsidRDefault="001772DB" w:rsidP="001772DB">
      <w:pPr>
        <w:pStyle w:val="Body"/>
        <w:spacing w:after="0"/>
        <w:rPr>
          <w:rFonts w:ascii="Arial" w:hAnsi="Arial" w:cs="Arial"/>
        </w:rPr>
      </w:pPr>
      <w:r w:rsidRPr="001772DB">
        <w:rPr>
          <w:rFonts w:ascii="Arial" w:hAnsi="Arial" w:cs="Arial"/>
        </w:rPr>
        <w:t>Immediately after the previous study, the anim</w:t>
      </w:r>
      <w:r w:rsidR="00CC55DB">
        <w:rPr>
          <w:rFonts w:ascii="Arial" w:hAnsi="Arial" w:cs="Arial"/>
        </w:rPr>
        <w:t>al</w:t>
      </w:r>
      <w:r w:rsidRPr="001772DB">
        <w:rPr>
          <w:rFonts w:ascii="Arial" w:hAnsi="Arial" w:cs="Arial"/>
        </w:rPr>
        <w:t>s were sacrificed by cervic</w:t>
      </w:r>
      <w:r w:rsidR="00CC55DB">
        <w:rPr>
          <w:rFonts w:ascii="Arial" w:hAnsi="Arial" w:cs="Arial"/>
        </w:rPr>
        <w:t>al</w:t>
      </w:r>
      <w:r w:rsidRPr="001772DB">
        <w:rPr>
          <w:rFonts w:ascii="Arial" w:hAnsi="Arial" w:cs="Arial"/>
        </w:rPr>
        <w:t xml:space="preserve"> dislocation, the brains were harvested, washed in 0.9% NaCl, wrung out on toilet paper, placed in boxes containing s</w:t>
      </w:r>
      <w:r w:rsidR="00CC55DB">
        <w:rPr>
          <w:rFonts w:ascii="Arial" w:hAnsi="Arial" w:cs="Arial"/>
        </w:rPr>
        <w:t>al</w:t>
      </w:r>
      <w:r w:rsidRPr="001772DB">
        <w:rPr>
          <w:rFonts w:ascii="Arial" w:hAnsi="Arial" w:cs="Arial"/>
        </w:rPr>
        <w:t>ine (0.9% NaCl) frozen for solidification for 1 hour. Then, the brains were dissected on a dissecting table kept cold to extract the hippocampus. A mass of 0.</w:t>
      </w:r>
      <w:r w:rsidR="00C46356">
        <w:rPr>
          <w:rFonts w:ascii="Arial" w:hAnsi="Arial" w:cs="Arial"/>
        </w:rPr>
        <w:t>1</w:t>
      </w:r>
      <w:r w:rsidRPr="001772DB">
        <w:rPr>
          <w:rFonts w:ascii="Arial" w:hAnsi="Arial" w:cs="Arial"/>
        </w:rPr>
        <w:t xml:space="preserve"> g of hippocampus from each anim</w:t>
      </w:r>
      <w:r w:rsidR="00CC55DB">
        <w:rPr>
          <w:rFonts w:ascii="Arial" w:hAnsi="Arial" w:cs="Arial"/>
        </w:rPr>
        <w:t>al</w:t>
      </w:r>
      <w:r w:rsidRPr="001772DB">
        <w:rPr>
          <w:rFonts w:ascii="Arial" w:hAnsi="Arial" w:cs="Arial"/>
        </w:rPr>
        <w:t xml:space="preserve"> was added to </w:t>
      </w:r>
      <w:r w:rsidR="00C46356">
        <w:rPr>
          <w:rFonts w:ascii="Arial" w:hAnsi="Arial" w:cs="Arial"/>
        </w:rPr>
        <w:t>1</w:t>
      </w:r>
      <w:r w:rsidRPr="001772DB">
        <w:rPr>
          <w:rFonts w:ascii="Arial" w:hAnsi="Arial" w:cs="Arial"/>
        </w:rPr>
        <w:t xml:space="preserve"> mL of Tris-HCl buffer (50 mM; </w:t>
      </w:r>
      <w:proofErr w:type="spellStart"/>
      <w:r w:rsidRPr="001772DB">
        <w:rPr>
          <w:rFonts w:ascii="Arial" w:hAnsi="Arial" w:cs="Arial"/>
        </w:rPr>
        <w:t>KCl</w:t>
      </w:r>
      <w:proofErr w:type="spellEnd"/>
      <w:r w:rsidRPr="001772DB">
        <w:rPr>
          <w:rFonts w:ascii="Arial" w:hAnsi="Arial" w:cs="Arial"/>
        </w:rPr>
        <w:t xml:space="preserve"> 150 mM; pH 7.4). After grinding in a potter, the mixture was introduced into a labeled tube and centrifuged at 10,000 rpm for 15 minutes. The supernatant was then collected and stored at -20 °C for estimation of biochemic</w:t>
      </w:r>
      <w:r w:rsidR="00CC55DB">
        <w:rPr>
          <w:rFonts w:ascii="Arial" w:hAnsi="Arial" w:cs="Arial"/>
        </w:rPr>
        <w:t>al</w:t>
      </w:r>
      <w:r w:rsidRPr="001772DB">
        <w:rPr>
          <w:rFonts w:ascii="Arial" w:hAnsi="Arial" w:cs="Arial"/>
        </w:rPr>
        <w:t xml:space="preserve"> parameters. </w:t>
      </w:r>
    </w:p>
    <w:p w14:paraId="44000952" w14:textId="77777777" w:rsidR="001772DB" w:rsidRPr="001772DB" w:rsidRDefault="001772DB" w:rsidP="001772DB">
      <w:pPr>
        <w:pStyle w:val="Body"/>
        <w:spacing w:after="0"/>
        <w:rPr>
          <w:rFonts w:ascii="Arial" w:hAnsi="Arial" w:cs="Arial"/>
        </w:rPr>
      </w:pPr>
    </w:p>
    <w:p w14:paraId="69E23052" w14:textId="19D61C6E" w:rsidR="001772DB" w:rsidRPr="001772DB" w:rsidRDefault="001772DB" w:rsidP="001772DB">
      <w:pPr>
        <w:pStyle w:val="Body"/>
        <w:spacing w:after="0"/>
        <w:rPr>
          <w:rFonts w:ascii="Arial" w:hAnsi="Arial" w:cs="Arial"/>
        </w:rPr>
      </w:pPr>
      <w:r w:rsidRPr="001772DB">
        <w:rPr>
          <w:rFonts w:ascii="Arial" w:hAnsi="Arial" w:cs="Arial"/>
        </w:rPr>
        <w:t>2.6.2. Ev</w:t>
      </w:r>
      <w:r w:rsidR="00CC55DB">
        <w:rPr>
          <w:rFonts w:ascii="Arial" w:hAnsi="Arial" w:cs="Arial"/>
        </w:rPr>
        <w:t>al</w:t>
      </w:r>
      <w:r w:rsidRPr="001772DB">
        <w:rPr>
          <w:rFonts w:ascii="Arial" w:hAnsi="Arial" w:cs="Arial"/>
        </w:rPr>
        <w:t>uation of gamma aminobutyric acid (GABA) concentration</w:t>
      </w:r>
    </w:p>
    <w:p w14:paraId="25649EB8" w14:textId="2B49E803" w:rsidR="001772DB" w:rsidRDefault="001772DB" w:rsidP="001772DB">
      <w:pPr>
        <w:pStyle w:val="Body"/>
        <w:spacing w:after="0"/>
        <w:rPr>
          <w:rFonts w:ascii="Arial" w:hAnsi="Arial" w:cs="Arial"/>
        </w:rPr>
      </w:pPr>
      <w:r w:rsidRPr="001772DB">
        <w:rPr>
          <w:rFonts w:ascii="Arial" w:hAnsi="Arial" w:cs="Arial"/>
        </w:rPr>
        <w:t xml:space="preserve">The level of GABA was assessed based on the method of </w:t>
      </w:r>
      <w:r w:rsidRPr="001772DB">
        <w:rPr>
          <w:rFonts w:ascii="Arial" w:hAnsi="Arial" w:cs="Arial"/>
          <w:lang w:val="fr-FR"/>
        </w:rPr>
        <w:fldChar w:fldCharType="begin"/>
      </w:r>
      <w:r w:rsidRPr="001772DB">
        <w:rPr>
          <w:rFonts w:ascii="Arial" w:hAnsi="Arial" w:cs="Arial"/>
        </w:rPr>
        <w:instrText>ADDIN CSL_CITATION {"citationItems":[{"id":"ITEM-1","itemData":{"DOI":"10.1111/j.1471-4159.1980.tb11250.x","ISSN":"14714159","abstract":"Abstract: Four catalytic inhibitors of GABA aminotransferase (gabaculine, γ</w:instrText>
      </w:r>
      <w:r w:rsidRPr="001772DB">
        <w:rPr>
          <w:rFonts w:ascii="Cambria Math" w:hAnsi="Cambria Math" w:cs="Cambria Math"/>
        </w:rPr>
        <w:instrText>‐</w:instrText>
      </w:r>
      <w:r w:rsidRPr="001772DB">
        <w:rPr>
          <w:rFonts w:ascii="Arial" w:hAnsi="Arial" w:cs="Arial"/>
        </w:rPr>
        <w:instrText>acetylenic GABA, γ</w:instrText>
      </w:r>
      <w:r w:rsidRPr="001772DB">
        <w:rPr>
          <w:rFonts w:ascii="Cambria Math" w:hAnsi="Cambria Math" w:cs="Cambria Math"/>
        </w:rPr>
        <w:instrText>‐</w:instrText>
      </w:r>
      <w:r w:rsidRPr="001772DB">
        <w:rPr>
          <w:rFonts w:ascii="Arial" w:hAnsi="Arial" w:cs="Arial"/>
        </w:rPr>
        <w:instrText>vinyl GABA, ethanolamine O</w:instrText>
      </w:r>
      <w:r w:rsidRPr="001772DB">
        <w:rPr>
          <w:rFonts w:ascii="Cambria Math" w:hAnsi="Cambria Math" w:cs="Cambria Math"/>
        </w:rPr>
        <w:instrText>‐</w:instrText>
      </w:r>
      <w:r w:rsidRPr="001772DB">
        <w:rPr>
          <w:rFonts w:ascii="Arial" w:hAnsi="Arial" w:cs="Arial"/>
        </w:rPr>
        <w:instrText>sulphate) as well as aminooxyacetic acid and valproate were studied for effects on neurochemical assays for GABA synthesis, receptor binding, uptake and metabolism in mouse and rat brain preparations. Gabaculine did not interfere with GABA synthesis as reflected by the activity of glutamate decarboxylase (GAD), it was only a weak inhibitor (IC50= 0.94 mM) of GABA receptor binding sites but was a moderately potent inhibitor of GABA uptake (IC50= 81 μM) and very potent (IC50= 1.8 μM) with respect to inhibition of the GABA</w:instrText>
      </w:r>
      <w:r w:rsidRPr="001772DB">
        <w:rPr>
          <w:rFonts w:ascii="Cambria Math" w:hAnsi="Cambria Math" w:cs="Cambria Math"/>
        </w:rPr>
        <w:instrText>‐</w:instrText>
      </w:r>
      <w:r w:rsidRPr="001772DB">
        <w:rPr>
          <w:rFonts w:ascii="Arial" w:hAnsi="Arial" w:cs="Arial"/>
        </w:rPr>
        <w:instrText>metabolizing enzyme GABA aminotransferase (GABA</w:instrText>
      </w:r>
      <w:r w:rsidRPr="001772DB">
        <w:rPr>
          <w:rFonts w:ascii="Cambria Math" w:hAnsi="Cambria Math" w:cs="Cambria Math"/>
        </w:rPr>
        <w:instrText>‐</w:instrText>
      </w:r>
      <w:r w:rsidRPr="001772DB">
        <w:rPr>
          <w:rFonts w:ascii="Arial" w:hAnsi="Arial" w:cs="Arial"/>
        </w:rPr>
        <w:instrText>T). γ</w:instrText>
      </w:r>
      <w:r w:rsidRPr="001772DB">
        <w:rPr>
          <w:rFonts w:ascii="Cambria Math" w:hAnsi="Cambria Math" w:cs="Cambria Math"/>
        </w:rPr>
        <w:instrText>‐</w:instrText>
      </w:r>
      <w:r w:rsidRPr="001772DB">
        <w:rPr>
          <w:rFonts w:ascii="Arial" w:hAnsi="Arial" w:cs="Arial"/>
        </w:rPr>
        <w:instrText>Acetylenic GABA was a weak inhibitor of GAD and GABA binding (IC50 &gt; 1 mM), but virtually equipotent to inhibit uptake and metabolism of GABA (IC50 560 and 150 μM, respectively). This was very similar to γ</w:instrText>
      </w:r>
      <w:r w:rsidRPr="001772DB">
        <w:rPr>
          <w:rFonts w:ascii="Cambria Math" w:hAnsi="Cambria Math" w:cs="Cambria Math"/>
        </w:rPr>
        <w:instrText>‐</w:instrText>
      </w:r>
      <w:r w:rsidRPr="001772DB">
        <w:rPr>
          <w:rFonts w:ascii="Arial" w:hAnsi="Arial" w:cs="Arial"/>
        </w:rPr>
        <w:instrText>vinyl GABA, except that this drug did not decrease GAD activity. Ethanolamine O</w:instrText>
      </w:r>
      <w:r w:rsidRPr="001772DB">
        <w:rPr>
          <w:rFonts w:ascii="Cambria Math" w:hAnsi="Cambria Math" w:cs="Cambria Math"/>
        </w:rPr>
        <w:instrText>‐</w:instrText>
      </w:r>
      <w:r w:rsidRPr="001772DB">
        <w:rPr>
          <w:rFonts w:ascii="Arial" w:hAnsi="Arial" w:cs="Arial"/>
        </w:rPr>
        <w:instrText>sulphate was found to show virtually no inhibition of GAD and GABA uptake, but was a fairly potent inhibitor of GABA binding (IC50= 67 μM) and in this respect, 500 times more potent than as an inhibitor of GABA</w:instrText>
      </w:r>
      <w:r w:rsidRPr="001772DB">
        <w:rPr>
          <w:rFonts w:ascii="Cambria Math" w:hAnsi="Cambria Math" w:cs="Cambria Math"/>
        </w:rPr>
        <w:instrText>‐</w:instrText>
      </w:r>
      <w:r w:rsidRPr="001772DB">
        <w:rPr>
          <w:rFonts w:ascii="Arial" w:hAnsi="Arial" w:cs="Arial"/>
        </w:rPr>
        <w:instrText>T. Aminooxyacetic acid was a powerful inhibitor of both GAD and GABA</w:instrText>
      </w:r>
      <w:r w:rsidRPr="001772DB">
        <w:rPr>
          <w:rFonts w:ascii="Cambria Math" w:hAnsi="Cambria Math" w:cs="Cambria Math"/>
        </w:rPr>
        <w:instrText>‐</w:instrText>
      </w:r>
      <w:r w:rsidRPr="001772DB">
        <w:rPr>
          <w:rFonts w:ascii="Arial" w:hAnsi="Arial" w:cs="Arial"/>
        </w:rPr>
        <w:instrText>T (IC50 14 and 2.7 μM, respectively), but had very little affinity to receptor and uptake sites for GABA. Valproate showed no effects on GABA neurochemical assays which could be related to anticonvulsant action. The present results suggest that the anticonvulsant properties of the four catalytic inhibitors of GABA</w:instrText>
      </w:r>
      <w:r w:rsidRPr="001772DB">
        <w:rPr>
          <w:rFonts w:ascii="Cambria Math" w:hAnsi="Cambria Math" w:cs="Cambria Math"/>
        </w:rPr>
        <w:instrText>‐</w:instrText>
      </w:r>
      <w:r w:rsidRPr="001772DB">
        <w:rPr>
          <w:rFonts w:ascii="Arial" w:hAnsi="Arial" w:cs="Arial"/>
        </w:rPr>
        <w:instrText>T tested are at least in part mediated through a direct influence on GABA receptors and uptake sites. Copyright © 1980, Wiley Blackwell. All rights reserved","author":[{"dropping-particle":"","family":"Löscher","given":"W.","non-dropping-particle":"","parse-names":false,"suffix":""}],"container-title":"Journal of Neurochemistry","id":"ITEM-1","issue":"6","issued":{"date-parts":[["1980"]]},"title":"Effect of Inhibitors of GABA Transaminase on the Synthesis, Binding, Uptake and Metabolism of GABA","type":"article-journal","volume":"34"},"uris":["http://www.mendeley.com/documents/?uuid=3380e32e-32e4-3cbf-9fd5-ba5d447a3b1d"]}],"mendeley":{"formattedCitation":"(Löscher, 1980)","plainTextFormattedCitation":"(Löscher, 1980)","previouslyFormattedCitation":"(Löscher, 1980)"},"properties":{"noteIndex":0},"schema":"https://github.com/citation-style-language/schema/raw/master/csl-citation.json"}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(Löscher, 1980)</w:t>
      </w:r>
      <w:r w:rsidRPr="001772DB">
        <w:rPr>
          <w:rFonts w:ascii="Arial" w:hAnsi="Arial" w:cs="Arial"/>
          <w:lang w:val="en-GB"/>
        </w:rPr>
        <w:fldChar w:fldCharType="end"/>
      </w:r>
      <w:r w:rsidRPr="001772DB">
        <w:rPr>
          <w:rFonts w:ascii="Arial" w:hAnsi="Arial" w:cs="Arial"/>
        </w:rPr>
        <w:t xml:space="preserve">. After euthanasia, hippocampi were rapidly removed, blotted, weighed, and put into ice-cold 5 ml trichloroacetic acid (TCA, 10%, w/v) with a glass homogenizer. The obtained mixture was homogenized and centrifuged at 10 000 rpm for 10 min at 0 ◦C. A sample (0.1 ml) of brain tissue extract was collected in 0.2 ml of 0.14 M ninhydrin solution in 0.5 M carbonate-bicarbonate buffer (pH 9.9), heated in a water bath at 60 ◦C for 30 min, then cooled at room temperature (26-27 ◦C) and treated with 5 ml of freshly prepared </w:t>
      </w:r>
      <w:r w:rsidR="00CC55DB">
        <w:rPr>
          <w:rFonts w:ascii="Arial" w:hAnsi="Arial" w:cs="Arial"/>
        </w:rPr>
        <w:t>al</w:t>
      </w:r>
      <w:r w:rsidRPr="001772DB">
        <w:rPr>
          <w:rFonts w:ascii="Arial" w:hAnsi="Arial" w:cs="Arial"/>
        </w:rPr>
        <w:t>k</w:t>
      </w:r>
      <w:r w:rsidR="00CC55DB">
        <w:rPr>
          <w:rFonts w:ascii="Arial" w:hAnsi="Arial" w:cs="Arial"/>
        </w:rPr>
        <w:t>al</w:t>
      </w:r>
      <w:r w:rsidRPr="001772DB">
        <w:rPr>
          <w:rFonts w:ascii="Arial" w:hAnsi="Arial" w:cs="Arial"/>
        </w:rPr>
        <w:t>ine copper tartrate reagent (0.16% disodium carbonate and 0.03% copper sulfate and 0.0329% tartaric acid), vortexed and incubated for 15 min at 25 ◦C. After 10 min of cooling at room temperature, the absorbance was read at 451 nm with a spectro</w:t>
      </w:r>
      <w:r w:rsidRPr="001772DB">
        <w:rPr>
          <w:rFonts w:ascii="Arial" w:hAnsi="Arial" w:cs="Arial"/>
          <w:lang w:val="fr-FR"/>
        </w:rPr>
        <w:t>ﬂ</w:t>
      </w:r>
      <w:r w:rsidRPr="001772DB">
        <w:rPr>
          <w:rFonts w:ascii="Arial" w:hAnsi="Arial" w:cs="Arial"/>
        </w:rPr>
        <w:t xml:space="preserve">uorimeter. For GABA standards, different amounts (20, 40, 60, 80, and 100 </w:t>
      </w:r>
      <w:r w:rsidRPr="001772DB">
        <w:rPr>
          <w:rFonts w:ascii="Arial" w:hAnsi="Arial" w:cs="Arial"/>
          <w:lang w:val="fr-FR"/>
        </w:rPr>
        <w:t>μ</w:t>
      </w:r>
      <w:r w:rsidRPr="001772DB">
        <w:rPr>
          <w:rFonts w:ascii="Arial" w:hAnsi="Arial" w:cs="Arial"/>
        </w:rPr>
        <w:t xml:space="preserve">g) mixed with 1.5 </w:t>
      </w:r>
      <w:r w:rsidRPr="001772DB">
        <w:rPr>
          <w:rFonts w:ascii="Arial" w:hAnsi="Arial" w:cs="Arial"/>
          <w:lang w:val="fr-FR"/>
        </w:rPr>
        <w:t>μ</w:t>
      </w:r>
      <w:r w:rsidRPr="001772DB">
        <w:rPr>
          <w:rFonts w:ascii="Arial" w:hAnsi="Arial" w:cs="Arial"/>
        </w:rPr>
        <w:t xml:space="preserve">g glutamic acid were dissolved in 1 ml of 10% TCA (w/v). Gamma-aminobutyric acid was determined by the measurement of the formed </w:t>
      </w:r>
      <w:r w:rsidRPr="001772DB">
        <w:rPr>
          <w:rFonts w:ascii="Arial" w:hAnsi="Arial" w:cs="Arial"/>
          <w:lang w:val="fr-FR"/>
        </w:rPr>
        <w:t>ﬂ</w:t>
      </w:r>
      <w:proofErr w:type="spellStart"/>
      <w:r w:rsidRPr="001772DB">
        <w:rPr>
          <w:rFonts w:ascii="Arial" w:hAnsi="Arial" w:cs="Arial"/>
        </w:rPr>
        <w:t>uorescent</w:t>
      </w:r>
      <w:proofErr w:type="spellEnd"/>
      <w:r w:rsidRPr="001772DB">
        <w:rPr>
          <w:rFonts w:ascii="Arial" w:hAnsi="Arial" w:cs="Arial"/>
        </w:rPr>
        <w:t xml:space="preserve"> product resulting from the reaction of GABA with ninhydrin in an </w:t>
      </w:r>
      <w:r w:rsidR="00CC55DB">
        <w:rPr>
          <w:rFonts w:ascii="Arial" w:hAnsi="Arial" w:cs="Arial"/>
        </w:rPr>
        <w:t>al</w:t>
      </w:r>
      <w:r w:rsidRPr="001772DB">
        <w:rPr>
          <w:rFonts w:ascii="Arial" w:hAnsi="Arial" w:cs="Arial"/>
        </w:rPr>
        <w:t>k</w:t>
      </w:r>
      <w:r w:rsidR="00CC55DB">
        <w:rPr>
          <w:rFonts w:ascii="Arial" w:hAnsi="Arial" w:cs="Arial"/>
        </w:rPr>
        <w:t>al</w:t>
      </w:r>
      <w:r w:rsidRPr="001772DB">
        <w:rPr>
          <w:rFonts w:ascii="Arial" w:hAnsi="Arial" w:cs="Arial"/>
        </w:rPr>
        <w:t xml:space="preserve">ine medium in the presence of glutamate. The GABA content in the hippocampi was expressed in </w:t>
      </w:r>
      <w:r w:rsidRPr="001772DB">
        <w:rPr>
          <w:rFonts w:ascii="Arial" w:hAnsi="Arial" w:cs="Arial"/>
          <w:lang w:val="fr-FR"/>
        </w:rPr>
        <w:t>μ</w:t>
      </w:r>
      <w:r w:rsidRPr="001772DB">
        <w:rPr>
          <w:rFonts w:ascii="Arial" w:hAnsi="Arial" w:cs="Arial"/>
        </w:rPr>
        <w:t>g/g of wet tissue.</w:t>
      </w:r>
    </w:p>
    <w:p w14:paraId="74777BF3" w14:textId="77777777" w:rsidR="001772DB" w:rsidRPr="001772DB" w:rsidRDefault="001772DB" w:rsidP="001772DB">
      <w:pPr>
        <w:pStyle w:val="Body"/>
        <w:spacing w:after="0"/>
        <w:rPr>
          <w:rFonts w:ascii="Arial" w:hAnsi="Arial" w:cs="Arial"/>
        </w:rPr>
      </w:pPr>
    </w:p>
    <w:p w14:paraId="2029C606" w14:textId="094C71CC" w:rsidR="001772DB" w:rsidRPr="001772DB" w:rsidRDefault="001772DB" w:rsidP="001772DB">
      <w:pPr>
        <w:pStyle w:val="Body"/>
        <w:spacing w:after="0"/>
        <w:rPr>
          <w:rFonts w:ascii="Arial" w:hAnsi="Arial" w:cs="Arial"/>
        </w:rPr>
      </w:pPr>
      <w:r w:rsidRPr="001772DB">
        <w:rPr>
          <w:rFonts w:ascii="Arial" w:hAnsi="Arial" w:cs="Arial"/>
        </w:rPr>
        <w:t>2.6.3. Ev</w:t>
      </w:r>
      <w:r w:rsidR="00CC55DB">
        <w:rPr>
          <w:rFonts w:ascii="Arial" w:hAnsi="Arial" w:cs="Arial"/>
        </w:rPr>
        <w:t>al</w:t>
      </w:r>
      <w:r w:rsidRPr="001772DB">
        <w:rPr>
          <w:rFonts w:ascii="Arial" w:hAnsi="Arial" w:cs="Arial"/>
        </w:rPr>
        <w:t>uation of GABA-transaminase activity</w:t>
      </w:r>
    </w:p>
    <w:p w14:paraId="7D9E8B19" w14:textId="05D3EB48" w:rsidR="001772DB" w:rsidRDefault="001772DB" w:rsidP="001772DB">
      <w:pPr>
        <w:pStyle w:val="Body"/>
        <w:spacing w:after="0"/>
        <w:rPr>
          <w:rFonts w:ascii="Arial" w:hAnsi="Arial" w:cs="Arial"/>
        </w:rPr>
      </w:pPr>
      <w:r w:rsidRPr="001772DB">
        <w:rPr>
          <w:rFonts w:ascii="Arial" w:hAnsi="Arial" w:cs="Arial"/>
        </w:rPr>
        <w:t>The colorimetric method of determination of the GABA-T activity is based on the interaction of 3-methyl-2-benzothiazole-2-hydrazone (MBTH) with succinic semi</w:t>
      </w:r>
      <w:r w:rsidR="00CC55DB">
        <w:rPr>
          <w:rFonts w:ascii="Arial" w:hAnsi="Arial" w:cs="Arial"/>
        </w:rPr>
        <w:t>al</w:t>
      </w:r>
      <w:r w:rsidRPr="001772DB">
        <w:rPr>
          <w:rFonts w:ascii="Arial" w:hAnsi="Arial" w:cs="Arial"/>
        </w:rPr>
        <w:t xml:space="preserve">dehyde (SSA) which appears during the enzymatic reaction </w:t>
      </w:r>
      <w:r w:rsidRPr="001772DB">
        <w:rPr>
          <w:rFonts w:ascii="Arial" w:hAnsi="Arial" w:cs="Arial"/>
          <w:lang w:val="fr-FR"/>
        </w:rPr>
        <w:fldChar w:fldCharType="begin"/>
      </w:r>
      <w:r w:rsidRPr="001772DB">
        <w:rPr>
          <w:rFonts w:ascii="Arial" w:hAnsi="Arial" w:cs="Arial"/>
        </w:rPr>
        <w:instrText>ADDIN CSL_CITATION {"citationItems":[{"id":"ITEM-1","itemData":{"author":[{"dropping-particle":"","family":"Sytinsky","given":"I A","non-dropping-particle":"","parse-names":false,"suffix":""},{"dropping-particle":"","family":"Ggzikov","given":"B M","non-dropping-particle":"","parse-names":false,"suffix":""},{"dropping-particle":"V","family":"Gomanko","given":"M","non-dropping-particle":"","parse-names":false,"suffix":""}],"id":"ITEM-1","issued":{"date-parts":[["1991"]]},"page":"43-48","title":"SYSTEM IN BRAIN DURING ACUTE AND","type":"article-journal","volume":"2"},"uris":["http://www.mendeley.com/documents/?uuid=6d3ac87b-63f5-4e51-8121-6f58492d30c8"]}],"mendeley":{"formattedCitation":"(Sytinsky et al., 1991)","manualFormatting":"(Sytinsky et al., 1991","plainTextFormattedCitation":"(Sytinsky et al., 1991)","previouslyFormattedCitation":"(Sytinsky et al., 1991)"},"properties":{"noteIndex":0},"schema":"https://github.com/citation-style-language/schema/raw/master/csl-citation.json"}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(Sytinsky</w:t>
      </w:r>
      <w:r w:rsidRPr="001772DB">
        <w:rPr>
          <w:rFonts w:ascii="Arial" w:hAnsi="Arial" w:cs="Arial"/>
          <w:i/>
          <w:iCs/>
        </w:rPr>
        <w:t xml:space="preserve"> et </w:t>
      </w:r>
      <w:r w:rsidR="00CC55DB">
        <w:rPr>
          <w:rFonts w:ascii="Arial" w:hAnsi="Arial" w:cs="Arial"/>
          <w:i/>
          <w:iCs/>
        </w:rPr>
        <w:t>al</w:t>
      </w:r>
      <w:r w:rsidRPr="001772DB">
        <w:rPr>
          <w:rFonts w:ascii="Arial" w:hAnsi="Arial" w:cs="Arial"/>
          <w:iCs/>
        </w:rPr>
        <w:t>.</w:t>
      </w:r>
      <w:r w:rsidRPr="001772DB">
        <w:rPr>
          <w:rFonts w:ascii="Arial" w:hAnsi="Arial" w:cs="Arial"/>
        </w:rPr>
        <w:t>, 1991</w:t>
      </w:r>
      <w:r w:rsidRPr="001772DB">
        <w:rPr>
          <w:rFonts w:ascii="Arial" w:hAnsi="Arial" w:cs="Arial"/>
          <w:lang w:val="en-GB"/>
        </w:rPr>
        <w:fldChar w:fldCharType="end"/>
      </w:r>
      <w:r w:rsidRPr="001772DB">
        <w:rPr>
          <w:rFonts w:ascii="Arial" w:hAnsi="Arial" w:cs="Arial"/>
        </w:rPr>
        <w:t xml:space="preserve"> ; </w:t>
      </w:r>
      <w:r w:rsidRPr="001772DB">
        <w:rPr>
          <w:rFonts w:ascii="Arial" w:hAnsi="Arial" w:cs="Arial"/>
          <w:lang w:val="fr-FR"/>
        </w:rPr>
        <w:fldChar w:fldCharType="begin"/>
      </w:r>
      <w:r w:rsidRPr="001772DB">
        <w:rPr>
          <w:rFonts w:ascii="Arial" w:hAnsi="Arial" w:cs="Arial"/>
        </w:rPr>
        <w:instrText>ADDIN CSL_CITATION {"citationItems":[{"id":"ITEM-1","itemData":{"DOI":"10.3389/fphar.2018.00751","ISSN":"16639812","abstract":"Cissus quadrangularis (C. quadrangularis) is a plant of the Vitaceae family known for its anticonvulsant effects in traditional medicine. The objective of this study was to elucidate the anxiolytic and antiepileptic effects of aqueous extract of C. quadrangularis. The mice were divided into different groups and treated for seven consecutive days as follows: a negative control group that received distilled water, po, four test groups that received four doses of the plant (37.22, 93.05, 186.11, and 372.21 mg/kg, po), and a positive control group that received sodium valproate (300 mg/kg, ip). One hour after the first treatment (first day), epilepsy was induced by intraperitoneal administration of a single dose of pilocarpine (360 mg/kg). On the seventh day, the anxiolytic effects of the extract were evaluated in the epileptic mice using the elevated plus maze (EPM) and open field (OP) paradigms. Antioxidant activities and the involvement of gabaergic neurotransmission were determined by measuring the levels of malondialdehyde, reduced glutathione (GSH), GABA, and GABA-transaminase (GABA-T) in the hippocampus of sacrificed epileptic mice. The results show that the extract of C. quadrangularis significantly and dose-dependently increased the latency to clonic and generalized tonic-clonic seizures and decreased the number and duration of seizures. In the EPM, the extract of C. quadrangularis significantly increased the number of entries and the time spent into the open arms and reduced the number of entries and the time spent into the closed arms as well as the number of rearing. The extract of C. quadrangularis also increased the number of crossing, and the time spent in the center of the OP. The level of MDA and the activity of GABA-T were significantly decreased by the extract of C. quadrangularis while reduced GSH and GABA levels were increased. The results suggest that the anticonvulsant activities of C. quadrangularis are accompanied by its anxiolytics effects. These effects may be supported by its antioxidant properties and mediated at least in part by the GABA neurotransmission.","author":[{"dropping-particle":"","family":"Moto","given":"Fleur C.O.","non-dropping-particle":"","parse-names":false,"suffix":""},{"dropping-particle":"","family":"Arsa'a","given":"Aren","non-dropping-particle":"","parse-names":false,"suffix":""},{"dropping-particle":"","family":"Ngoupaye","given":"Gwladys T.","non-dropping-particle":"","parse-names":false,"suffix":""},{"dropping-particle":"","family":"Taiwe","given":"Germain S.","non-dropping-particle":"","parse-names":false,"suffix":""},{"dropping-particle":"","family":"Njapdounke","given":"Jacqueline S.K.","non-dropping-particle":"","parse-names":false,"suffix":""},{"dropping-particle":"","family":"Kandeda","given":"Antoine K.","non-dropping-particle":"","parse-names":false,"suffix":""},{"dropping-particle":"","family":"Nkantchoua","given":"Gisele C.N.","non-dropping-particle":"","parse-names":false,"suffix":""},{"dropping-particle":"","family":"Omam Omam","given":"Jean P.","non-dropping-particle":"","parse-names":false,"suffix":""},{"dropping-particle":"","family":"Pale","given":"Simo</w:instrText>
      </w:r>
      <w:r w:rsidRPr="001772DB">
        <w:rPr>
          <w:rFonts w:ascii="Arial" w:hAnsi="Arial" w:cs="Arial"/>
          <w:lang w:val="fr-FR"/>
        </w:rPr>
        <w:instrText>n","non-dropping-particle":"","parse-names":false,"suffix":""},{"dropping-particle":"","family":"Kouemou","given":"Nadege E.","non-dropping-particle":"","parse-names":false,"suffix":""},{"dropping-particle":"","family":"Mbomo","given":"Espoir R.Ayissi","non-dropping-particle":"","parse-names":false,"suffix":""},{"dropping-particle":"","family":"Pahaye","given":"David B.","non-dropping-particle":"","parse-names":false,"suffix":""},{"dropping-particle":"","family":"Ojong","given":"Lucie","non-dropping-particle":"","parse-names":false,"suffix":""},{"dropping-particle":"","family":"Mairara","given":"Veronique","non-dropping-particle":"","parse-names":false,"suffix":""},{"dropping-particle":"","family":"Bum","given":"Elisabeth Ngo","non-dropping-particle":"","parse-names":false,"suffix":""}],"container-title":"Frontiers in Pharmacology","id":"ITEM-1","issue":"JUL","issued":{"date-parts":[["2018"]]},"title":"Anxiolytic and antiepileptic properties of the aqueous extract of Cissus quadrangularis (Vitaceae) in mice pilocarpine model of epilepsy","type":"article-journal","volume":"9"},"uris":["http://www.mendeley.com/documents/?uuid=27b90e9c-48cb-3234-881e-61e8c3be6ff8"]}],"mendeley":{"formattedCitation":"(Moto et al., 2018)","manualFormatting":"Moto et al., 2018","plainTextFormattedCitation":"(Moto et al., 2018)","previouslyFormattedCitation":"(Moto et al., 2018)"},"properties":{"noteIndex":0},"schema":"https://github.com/citation-style-language/schema/raw/master/csl-citation.json"}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lang w:val="fr-FR"/>
        </w:rPr>
        <w:t xml:space="preserve">Moto </w:t>
      </w:r>
      <w:r w:rsidRPr="001772DB">
        <w:rPr>
          <w:rFonts w:ascii="Arial" w:hAnsi="Arial" w:cs="Arial"/>
          <w:i/>
          <w:iCs/>
          <w:lang w:val="fr-FR"/>
        </w:rPr>
        <w:t xml:space="preserve">et </w:t>
      </w:r>
      <w:r w:rsidR="00CC55DB">
        <w:rPr>
          <w:rFonts w:ascii="Arial" w:hAnsi="Arial" w:cs="Arial"/>
          <w:i/>
          <w:iCs/>
          <w:lang w:val="fr-FR"/>
        </w:rPr>
        <w:t>al</w:t>
      </w:r>
      <w:r w:rsidRPr="001772DB">
        <w:rPr>
          <w:rFonts w:ascii="Arial" w:hAnsi="Arial" w:cs="Arial"/>
          <w:iCs/>
          <w:lang w:val="fr-FR"/>
        </w:rPr>
        <w:t>.</w:t>
      </w:r>
      <w:r w:rsidRPr="001772DB">
        <w:rPr>
          <w:rFonts w:ascii="Arial" w:hAnsi="Arial" w:cs="Arial"/>
          <w:lang w:val="fr-FR"/>
        </w:rPr>
        <w:t>, 2018</w:t>
      </w:r>
      <w:r w:rsidRPr="001772DB">
        <w:rPr>
          <w:rFonts w:ascii="Arial" w:hAnsi="Arial" w:cs="Arial"/>
          <w:lang w:val="en-GB"/>
        </w:rPr>
        <w:fldChar w:fldCharType="end"/>
      </w:r>
      <w:r w:rsidRPr="001772DB">
        <w:rPr>
          <w:rFonts w:ascii="Arial" w:hAnsi="Arial" w:cs="Arial"/>
          <w:lang w:val="fr-FR"/>
        </w:rPr>
        <w:t xml:space="preserve"> ; </w:t>
      </w:r>
      <w:r w:rsidRPr="001772DB">
        <w:rPr>
          <w:rFonts w:ascii="Arial" w:hAnsi="Arial" w:cs="Arial"/>
          <w:lang w:val="fr-FR"/>
        </w:rPr>
        <w:fldChar w:fldCharType="begin"/>
      </w:r>
      <w:r w:rsidRPr="001772DB">
        <w:rPr>
          <w:rFonts w:ascii="Arial" w:hAnsi="Arial" w:cs="Arial"/>
          <w:lang w:val="fr-FR"/>
        </w:rPr>
        <w:instrText>ADDIN CSL_CITATION {"citationItems":[{"id":"ITEM-1","itemData":{"DOI":"10.1016/j.jep.2021.114338","ISSN":"18727573","PMID":"34144196","abstract":"Ethnopharmacological relevance: Current antiepileptic drugs fail to control approximately 30% of epilepsies. Therefore, there is a need to develop more effective antiepileptic drugs, and medicinal plants provide an attractive source for new compounds. Pergularia daemia (Asclepiadaceae) is used in Cameroon traditional medicine to treat stroke, anemia, inflammation, and epilepsy. Recently, traditional healers claim that an hydro-ethanolic extract of the roots of P. daemia is more effective than an aqueous extract on refractory seizures. Aim of the study: The antiepileptic effect of P. daemia hydro-ethanolic extract was investigated on the pentylenetetrazole kindling model of temporal lobe epilepsy in mice and possible mechanisms of action. Materials and methods: Mice were divided into 8 groups treated as follows: normal group received distilled water (10 ml/kg, p.o.), control group received distilled water (10 ml/kg, p.o.), ethanol group received ethanol (5%, p.o.), positive control received sodium valproate (300 mg/kg, p.o.), and test groups received P. daemia hydro-ethanolic (HE) extract (1.6, 4, 8 and 16 mg/kg, p.o.). All groups were kindled by 11 injections of pentylenetetrazole (PTZ) (35 mg/kg, i.p.), once every alternate day (48 ± 2 h), until the development of kindling, i.e., the occurrence of stage 5 seizures for two consecutive trials. One week later, i.e., 29th day, mice were challenged with a single and lower dose of PTZ (25 mg/kg, i.p.) that does not induce seizures in normal mice but causes seizures in mice prone to seizures and behavioral alterations. After completion of the kindling procedure, Morris water maze, passive avoidance, and open field tests were performed. Afterward, animals were euthanized, and hippocampi were removed for the estimation of the levels of GABA-transaminase (GABA-T), L-glutamate decarboxylase (L-GAD), and γ-aminobutyric acid (GABA). Oxidative stress and neuroinflammation markers also were quantified. Finally, histological analysis of the hippocampus was carried out. Results: PTZ-kindling induced myoclonic jerks and generalized tonic-clonic seizures in control mice. However, the HE extract of P. daemia (4–16 mg/kg), compared to sodium valproate, significantly protected mice against myoclonic jerks and generalized tonic-clonic seizures. Also, the HE extract (1.6–16 mg/kg) significantly increased the seizure score. Furthermore, the HE extract of P. daemia significantly reduced seizure-induced cognitive impairments. PT…","author":[{"dropping-particle":"","family":"Kavaye Kandeda","given":"Antoine","non-dropping-particle":"","parse-names":false,"suffix":""},{"dropping-particle":"","family":"Okomolo Moto","given":"Fleur Clarisse","non-dropping-particle":"","parse-names":false,"suffix":""},{"dropping-particle":"","family":"Mbomo Ayissi","given":"Rigobert Espoir","non-dropping-particle":"","parse-names":false,"suffix":""},{"dropping-particle":"","family":"Omam Omam","given":"Jean Pierre","non-dropping-particle":"","parse-names":false,"suffix":""},{"dropping-particle":"","family":"Ojong","given":"Lucie","non-dropping-particle":"","parse-names":false,"suffix":""},{"dropping-particle":"","family":"Ngo Bum","given":"Elisabeth","non-dropping-particle":"","parse-names":false,"suffix":""}],"container-title":"Journal of Ethnopharmacology","id":"ITEM-1","issued":{"date-parts":[["2021","10","28"]]},"publisher":"Elsevier Ireland Ltd","title":"Pergularia daemia hydro-ethanolic extract protects against pentylenetetrazole kindling-induced seizures, oxidative stress, and neuroinflammation in mice","type":"article-journal","volume":"279"},"uris":["http://www.mendeley.com/documents/?uuid=f50ffc4a-7330-341e-9357-7c1aadf8113e"]}],"mendeley":{"formattedCitation":"(Kavaye Kandeda et al., 2021)","manualFormatting":"Kavaye Kandeda et al., 2021)","plainTextFormattedCitation":"(Kavaye Kandeda et al., 2021)","previouslyFormattedCitation":"(Kavaye Kandeda et al., 2021)"},"properties":{"noteIndex":0},"schema":"https://github.com/citation-style-language/schema/raw/master/csl-citation.json"}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lang w:val="fr-FR"/>
        </w:rPr>
        <w:t xml:space="preserve"> Kandeda </w:t>
      </w:r>
      <w:r w:rsidRPr="001772DB">
        <w:rPr>
          <w:rFonts w:ascii="Arial" w:hAnsi="Arial" w:cs="Arial"/>
          <w:i/>
          <w:iCs/>
          <w:lang w:val="fr-FR"/>
        </w:rPr>
        <w:t xml:space="preserve">et </w:t>
      </w:r>
      <w:r w:rsidR="00CC55DB">
        <w:rPr>
          <w:rFonts w:ascii="Arial" w:hAnsi="Arial" w:cs="Arial"/>
          <w:i/>
          <w:iCs/>
          <w:lang w:val="fr-FR"/>
        </w:rPr>
        <w:t>al</w:t>
      </w:r>
      <w:r w:rsidRPr="001772DB">
        <w:rPr>
          <w:rFonts w:ascii="Arial" w:hAnsi="Arial" w:cs="Arial"/>
          <w:lang w:val="fr-FR"/>
        </w:rPr>
        <w:t>., 2021)</w:t>
      </w:r>
      <w:r w:rsidRPr="001772DB">
        <w:rPr>
          <w:rFonts w:ascii="Arial" w:hAnsi="Arial" w:cs="Arial"/>
          <w:lang w:val="en-GB"/>
        </w:rPr>
        <w:fldChar w:fldCharType="end"/>
      </w:r>
      <w:r w:rsidRPr="001772DB">
        <w:rPr>
          <w:rFonts w:ascii="Arial" w:hAnsi="Arial" w:cs="Arial"/>
          <w:lang w:val="fr-FR"/>
        </w:rPr>
        <w:t xml:space="preserve">. </w:t>
      </w:r>
      <w:proofErr w:type="spellStart"/>
      <w:r w:rsidRPr="00A27DF1">
        <w:rPr>
          <w:rFonts w:ascii="Arial" w:hAnsi="Arial" w:cs="Arial"/>
          <w:lang w:val="fr-FR"/>
        </w:rPr>
        <w:t>Collected</w:t>
      </w:r>
      <w:proofErr w:type="spellEnd"/>
      <w:r w:rsidRPr="00A27DF1">
        <w:rPr>
          <w:rFonts w:ascii="Arial" w:hAnsi="Arial" w:cs="Arial"/>
          <w:lang w:val="fr-FR"/>
        </w:rPr>
        <w:t xml:space="preserve"> </w:t>
      </w:r>
      <w:proofErr w:type="spellStart"/>
      <w:r w:rsidRPr="00A27DF1">
        <w:rPr>
          <w:rFonts w:ascii="Arial" w:hAnsi="Arial" w:cs="Arial"/>
          <w:lang w:val="fr-FR"/>
        </w:rPr>
        <w:t>hippocampi</w:t>
      </w:r>
      <w:proofErr w:type="spellEnd"/>
      <w:r w:rsidRPr="00A27DF1">
        <w:rPr>
          <w:rFonts w:ascii="Arial" w:hAnsi="Arial" w:cs="Arial"/>
          <w:lang w:val="fr-FR"/>
        </w:rPr>
        <w:t xml:space="preserve"> </w:t>
      </w:r>
      <w:proofErr w:type="spellStart"/>
      <w:r w:rsidRPr="00A27DF1">
        <w:rPr>
          <w:rFonts w:ascii="Arial" w:hAnsi="Arial" w:cs="Arial"/>
          <w:lang w:val="fr-FR"/>
        </w:rPr>
        <w:t>brain</w:t>
      </w:r>
      <w:proofErr w:type="spellEnd"/>
      <w:r w:rsidRPr="00A27DF1">
        <w:rPr>
          <w:rFonts w:ascii="Arial" w:hAnsi="Arial" w:cs="Arial"/>
          <w:lang w:val="fr-FR"/>
        </w:rPr>
        <w:t xml:space="preserve"> tissues </w:t>
      </w:r>
      <w:proofErr w:type="spellStart"/>
      <w:r w:rsidRPr="00A27DF1">
        <w:rPr>
          <w:rFonts w:ascii="Arial" w:hAnsi="Arial" w:cs="Arial"/>
          <w:lang w:val="fr-FR"/>
        </w:rPr>
        <w:t>were</w:t>
      </w:r>
      <w:proofErr w:type="spellEnd"/>
      <w:r w:rsidRPr="00A27DF1">
        <w:rPr>
          <w:rFonts w:ascii="Arial" w:hAnsi="Arial" w:cs="Arial"/>
          <w:lang w:val="fr-FR"/>
        </w:rPr>
        <w:t xml:space="preserve"> </w:t>
      </w:r>
      <w:proofErr w:type="spellStart"/>
      <w:r w:rsidRPr="00A27DF1">
        <w:rPr>
          <w:rFonts w:ascii="Arial" w:hAnsi="Arial" w:cs="Arial"/>
          <w:lang w:val="fr-FR"/>
        </w:rPr>
        <w:t>then</w:t>
      </w:r>
      <w:proofErr w:type="spellEnd"/>
      <w:r w:rsidRPr="00A27DF1">
        <w:rPr>
          <w:rFonts w:ascii="Arial" w:hAnsi="Arial" w:cs="Arial"/>
          <w:lang w:val="fr-FR"/>
        </w:rPr>
        <w:t xml:space="preserve"> </w:t>
      </w:r>
      <w:proofErr w:type="spellStart"/>
      <w:r w:rsidRPr="00A27DF1">
        <w:rPr>
          <w:rFonts w:ascii="Arial" w:hAnsi="Arial" w:cs="Arial"/>
          <w:lang w:val="fr-FR"/>
        </w:rPr>
        <w:t>washed</w:t>
      </w:r>
      <w:proofErr w:type="spellEnd"/>
      <w:r w:rsidRPr="00A27DF1">
        <w:rPr>
          <w:rFonts w:ascii="Arial" w:hAnsi="Arial" w:cs="Arial"/>
          <w:lang w:val="fr-FR"/>
        </w:rPr>
        <w:t xml:space="preserve"> to </w:t>
      </w:r>
      <w:proofErr w:type="spellStart"/>
      <w:r w:rsidRPr="00A27DF1">
        <w:rPr>
          <w:rFonts w:ascii="Arial" w:hAnsi="Arial" w:cs="Arial"/>
          <w:lang w:val="fr-FR"/>
        </w:rPr>
        <w:t>remove</w:t>
      </w:r>
      <w:proofErr w:type="spellEnd"/>
      <w:r w:rsidRPr="00A27DF1">
        <w:rPr>
          <w:rFonts w:ascii="Arial" w:hAnsi="Arial" w:cs="Arial"/>
          <w:lang w:val="fr-FR"/>
        </w:rPr>
        <w:t xml:space="preserve"> </w:t>
      </w:r>
      <w:proofErr w:type="spellStart"/>
      <w:r w:rsidRPr="00A27DF1">
        <w:rPr>
          <w:rFonts w:ascii="Arial" w:hAnsi="Arial" w:cs="Arial"/>
          <w:lang w:val="fr-FR"/>
        </w:rPr>
        <w:t>blood</w:t>
      </w:r>
      <w:proofErr w:type="spellEnd"/>
      <w:r w:rsidRPr="00A27DF1">
        <w:rPr>
          <w:rFonts w:ascii="Arial" w:hAnsi="Arial" w:cs="Arial"/>
          <w:lang w:val="fr-FR"/>
        </w:rPr>
        <w:t xml:space="preserve">, </w:t>
      </w:r>
      <w:proofErr w:type="spellStart"/>
      <w:r w:rsidRPr="00A27DF1">
        <w:rPr>
          <w:rFonts w:ascii="Arial" w:hAnsi="Arial" w:cs="Arial"/>
          <w:lang w:val="fr-FR"/>
        </w:rPr>
        <w:t>blotted</w:t>
      </w:r>
      <w:proofErr w:type="spellEnd"/>
      <w:r w:rsidRPr="00A27DF1">
        <w:rPr>
          <w:rFonts w:ascii="Arial" w:hAnsi="Arial" w:cs="Arial"/>
          <w:lang w:val="fr-FR"/>
        </w:rPr>
        <w:t xml:space="preserve"> to dry, </w:t>
      </w:r>
      <w:proofErr w:type="spellStart"/>
      <w:r w:rsidRPr="00A27DF1">
        <w:rPr>
          <w:rFonts w:ascii="Arial" w:hAnsi="Arial" w:cs="Arial"/>
          <w:lang w:val="fr-FR"/>
        </w:rPr>
        <w:t>then</w:t>
      </w:r>
      <w:proofErr w:type="spellEnd"/>
      <w:r w:rsidRPr="00A27DF1">
        <w:rPr>
          <w:rFonts w:ascii="Arial" w:hAnsi="Arial" w:cs="Arial"/>
          <w:lang w:val="fr-FR"/>
        </w:rPr>
        <w:t xml:space="preserve"> </w:t>
      </w:r>
      <w:proofErr w:type="spellStart"/>
      <w:r w:rsidRPr="00A27DF1">
        <w:rPr>
          <w:rFonts w:ascii="Arial" w:hAnsi="Arial" w:cs="Arial"/>
          <w:lang w:val="fr-FR"/>
        </w:rPr>
        <w:t>submerged</w:t>
      </w:r>
      <w:proofErr w:type="spellEnd"/>
      <w:r w:rsidRPr="00A27DF1">
        <w:rPr>
          <w:rFonts w:ascii="Arial" w:hAnsi="Arial" w:cs="Arial"/>
          <w:lang w:val="fr-FR"/>
        </w:rPr>
        <w:t xml:space="preserve"> </w:t>
      </w:r>
      <w:proofErr w:type="spellStart"/>
      <w:r w:rsidRPr="00A27DF1">
        <w:rPr>
          <w:rFonts w:ascii="Arial" w:hAnsi="Arial" w:cs="Arial"/>
          <w:lang w:val="fr-FR"/>
        </w:rPr>
        <w:t>in</w:t>
      </w:r>
      <w:proofErr w:type="spellEnd"/>
      <w:r w:rsidRPr="00A27DF1">
        <w:rPr>
          <w:rFonts w:ascii="Arial" w:hAnsi="Arial" w:cs="Arial"/>
          <w:lang w:val="fr-FR"/>
        </w:rPr>
        <w:t xml:space="preserve"> 5 ml of </w:t>
      </w:r>
      <w:proofErr w:type="spellStart"/>
      <w:r w:rsidRPr="00A27DF1">
        <w:rPr>
          <w:rFonts w:ascii="Arial" w:hAnsi="Arial" w:cs="Arial"/>
          <w:lang w:val="fr-FR"/>
        </w:rPr>
        <w:t>methanol</w:t>
      </w:r>
      <w:proofErr w:type="spellEnd"/>
      <w:r w:rsidRPr="00A27DF1">
        <w:rPr>
          <w:rFonts w:ascii="Arial" w:hAnsi="Arial" w:cs="Arial"/>
          <w:lang w:val="fr-FR"/>
        </w:rPr>
        <w:t xml:space="preserve"> (75%, v/v) and </w:t>
      </w:r>
      <w:proofErr w:type="spellStart"/>
      <w:r w:rsidRPr="00A27DF1">
        <w:rPr>
          <w:rFonts w:ascii="Arial" w:hAnsi="Arial" w:cs="Arial"/>
          <w:lang w:val="fr-FR"/>
        </w:rPr>
        <w:t>homogenized</w:t>
      </w:r>
      <w:proofErr w:type="spellEnd"/>
      <w:r w:rsidRPr="00A27DF1">
        <w:rPr>
          <w:rFonts w:ascii="Arial" w:hAnsi="Arial" w:cs="Arial"/>
          <w:lang w:val="fr-FR"/>
        </w:rPr>
        <w:t xml:space="preserve"> </w:t>
      </w:r>
      <w:proofErr w:type="spellStart"/>
      <w:r w:rsidRPr="00A27DF1">
        <w:rPr>
          <w:rFonts w:ascii="Arial" w:hAnsi="Arial" w:cs="Arial"/>
          <w:lang w:val="fr-FR"/>
        </w:rPr>
        <w:t>using</w:t>
      </w:r>
      <w:proofErr w:type="spellEnd"/>
      <w:r w:rsidRPr="00A27DF1">
        <w:rPr>
          <w:rFonts w:ascii="Arial" w:hAnsi="Arial" w:cs="Arial"/>
          <w:lang w:val="fr-FR"/>
        </w:rPr>
        <w:t xml:space="preserve"> a glass </w:t>
      </w:r>
      <w:proofErr w:type="spellStart"/>
      <w:r w:rsidRPr="00A27DF1">
        <w:rPr>
          <w:rFonts w:ascii="Arial" w:hAnsi="Arial" w:cs="Arial"/>
          <w:lang w:val="fr-FR"/>
        </w:rPr>
        <w:t>Te</w:t>
      </w:r>
      <w:r w:rsidRPr="001772DB">
        <w:rPr>
          <w:rFonts w:ascii="Arial" w:hAnsi="Arial" w:cs="Arial"/>
          <w:lang w:val="fr-FR"/>
        </w:rPr>
        <w:t>ﬂ</w:t>
      </w:r>
      <w:r w:rsidRPr="00A27DF1">
        <w:rPr>
          <w:rFonts w:ascii="Arial" w:hAnsi="Arial" w:cs="Arial"/>
          <w:lang w:val="fr-FR"/>
        </w:rPr>
        <w:t>on</w:t>
      </w:r>
      <w:proofErr w:type="spellEnd"/>
      <w:r w:rsidRPr="00A27DF1">
        <w:rPr>
          <w:rFonts w:ascii="Arial" w:hAnsi="Arial" w:cs="Arial"/>
          <w:lang w:val="fr-FR"/>
        </w:rPr>
        <w:t xml:space="preserve"> </w:t>
      </w:r>
      <w:proofErr w:type="spellStart"/>
      <w:r w:rsidRPr="00A27DF1">
        <w:rPr>
          <w:rFonts w:ascii="Arial" w:hAnsi="Arial" w:cs="Arial"/>
          <w:lang w:val="fr-FR"/>
        </w:rPr>
        <w:t>homogenizer</w:t>
      </w:r>
      <w:proofErr w:type="spellEnd"/>
      <w:r w:rsidRPr="00A27DF1">
        <w:rPr>
          <w:rFonts w:ascii="Arial" w:hAnsi="Arial" w:cs="Arial"/>
          <w:lang w:val="fr-FR"/>
        </w:rPr>
        <w:t xml:space="preserve"> for 2 min. </w:t>
      </w:r>
      <w:r w:rsidRPr="001772DB">
        <w:rPr>
          <w:rFonts w:ascii="Arial" w:hAnsi="Arial" w:cs="Arial"/>
        </w:rPr>
        <w:t>The homogenate was centrifuged at 10 000 rpm at − 10 ◦C for 15 min (Nayak and Chatterjee, 2003), and the GABA-T activity in the hippocampi was measured spectrophotometric</w:t>
      </w:r>
      <w:r w:rsidR="00CC55DB">
        <w:rPr>
          <w:rFonts w:ascii="Arial" w:hAnsi="Arial" w:cs="Arial"/>
        </w:rPr>
        <w:t>al</w:t>
      </w:r>
      <w:r w:rsidRPr="001772DB">
        <w:rPr>
          <w:rFonts w:ascii="Arial" w:hAnsi="Arial" w:cs="Arial"/>
        </w:rPr>
        <w:t xml:space="preserve">ly as described by </w:t>
      </w:r>
      <w:proofErr w:type="spellStart"/>
      <w:r w:rsidRPr="001772DB">
        <w:rPr>
          <w:rFonts w:ascii="Arial" w:hAnsi="Arial" w:cs="Arial"/>
        </w:rPr>
        <w:t>Sytinsky</w:t>
      </w:r>
      <w:proofErr w:type="spellEnd"/>
      <w:r w:rsidRPr="001772DB">
        <w:rPr>
          <w:rFonts w:ascii="Arial" w:hAnsi="Arial" w:cs="Arial"/>
        </w:rPr>
        <w:t xml:space="preserve"> et </w:t>
      </w:r>
      <w:r w:rsidR="00CC55DB">
        <w:rPr>
          <w:rFonts w:ascii="Arial" w:hAnsi="Arial" w:cs="Arial"/>
        </w:rPr>
        <w:t>al</w:t>
      </w:r>
      <w:r w:rsidRPr="001772DB">
        <w:rPr>
          <w:rFonts w:ascii="Arial" w:hAnsi="Arial" w:cs="Arial"/>
        </w:rPr>
        <w:t xml:space="preserve">. </w:t>
      </w:r>
      <w:r w:rsidRPr="001772DB">
        <w:rPr>
          <w:rFonts w:ascii="Arial" w:hAnsi="Arial" w:cs="Arial"/>
          <w:lang w:val="fr-FR"/>
        </w:rPr>
        <w:fldChar w:fldCharType="begin"/>
      </w:r>
      <w:r w:rsidRPr="001772DB">
        <w:rPr>
          <w:rFonts w:ascii="Arial" w:hAnsi="Arial" w:cs="Arial"/>
        </w:rPr>
        <w:instrText>ADDIN CSL_CITATION {"citationItems":[{"id":"ITEM-1","itemData":{"author":[{"dropping-particle":"","family":"Sytinsky","given":"I A","non-dropping-particle":"","parse-names":false,"suffix":""},{"dropping-particle":"","family":"Ggzikov","given":"B M","non-dropping-particle":"","parse-names":false,"suffix":""},{"dropping-particle":"V","family":"Gomanko","given":"M","non-dropping-particle":"","parse-names":false,"suffix":""}],"id":"ITEM-1","issued":{"date-parts":[["1991"]]},"page":"43-48","title":"SYSTEM IN BRAIN DURING ACUTE AND","type":"article-journal","volume":"2"},"uris":["http://www.mendeley.com/documents/?uuid=6d3ac87b-63f5-4e51-8121-6f58492d30c8"]}],"mendeley":{"formattedCitation":"(Sytinsky et al., 1991)","plainTextFormattedCitation":"(Sytinsky et al., 1991)","previouslyFormattedCitation":"(Sytinsky et al., 1991)"},"properties":{"noteIndex":0},"schema":"https://github.com/citation-style-language/schema/raw/master/csl-citation.json"}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(Sytinsky </w:t>
      </w:r>
      <w:r w:rsidRPr="001772DB">
        <w:rPr>
          <w:rFonts w:ascii="Arial" w:hAnsi="Arial" w:cs="Arial"/>
          <w:i/>
          <w:iCs/>
        </w:rPr>
        <w:t xml:space="preserve">et </w:t>
      </w:r>
      <w:r w:rsidR="00CC55DB" w:rsidRPr="003F09D2">
        <w:rPr>
          <w:rFonts w:ascii="Arial" w:hAnsi="Arial" w:cs="Arial"/>
        </w:rPr>
        <w:t>al</w:t>
      </w:r>
      <w:r w:rsidRPr="003F09D2">
        <w:rPr>
          <w:rFonts w:ascii="Arial" w:hAnsi="Arial" w:cs="Arial"/>
        </w:rPr>
        <w:t>.</w:t>
      </w:r>
      <w:r w:rsidRPr="001772DB">
        <w:rPr>
          <w:rFonts w:ascii="Arial" w:hAnsi="Arial" w:cs="Arial"/>
        </w:rPr>
        <w:t>, 1991)</w:t>
      </w:r>
      <w:r w:rsidRPr="001772DB">
        <w:rPr>
          <w:rFonts w:ascii="Arial" w:hAnsi="Arial" w:cs="Arial"/>
          <w:lang w:val="en-GB"/>
        </w:rPr>
        <w:fldChar w:fldCharType="end"/>
      </w:r>
      <w:r w:rsidRPr="001772DB">
        <w:rPr>
          <w:rFonts w:ascii="Arial" w:hAnsi="Arial" w:cs="Arial"/>
        </w:rPr>
        <w:t xml:space="preserve"> with few </w:t>
      </w:r>
      <w:proofErr w:type="spellStart"/>
      <w:r w:rsidRPr="001772DB">
        <w:rPr>
          <w:rFonts w:ascii="Arial" w:hAnsi="Arial" w:cs="Arial"/>
        </w:rPr>
        <w:lastRenderedPageBreak/>
        <w:t>modifcations</w:t>
      </w:r>
      <w:proofErr w:type="spellEnd"/>
      <w:r w:rsidRPr="001772DB">
        <w:rPr>
          <w:rFonts w:ascii="Arial" w:hAnsi="Arial" w:cs="Arial"/>
        </w:rPr>
        <w:t xml:space="preserve"> </w:t>
      </w:r>
      <w:r w:rsidRPr="001772DB">
        <w:rPr>
          <w:rFonts w:ascii="Arial" w:hAnsi="Arial" w:cs="Arial"/>
          <w:lang w:val="fr-FR"/>
        </w:rPr>
        <w:fldChar w:fldCharType="begin"/>
      </w:r>
      <w:r w:rsidRPr="001772DB">
        <w:rPr>
          <w:rFonts w:ascii="Arial" w:hAnsi="Arial" w:cs="Arial"/>
        </w:rPr>
        <w:instrText>ADDIN CSL_CITATION {"citationItems":[{"id":"ITEM-1","itemData":{"author":[{"dropping-particle":"","family":"Nayak","given":"Prasunpriya","non-dropping-particle":"","parse-names":false,"suffix":""},{"dropping-particle":"","family":"Chatterjee","given":"Ajay K","non-dropping-particle":"","parse-names":false,"suffix":""}],"id":"ITEM-1","issued":{"date-parts":[["2003"]]},"page":"1-8","title":"Dietary protein restriction causes modification in brain","type":"article-journal","volume":"8"},"uris":["http://www.mendeley.com/documents/?uuid=acc3988f-173e-4e5f-a86e-a58d65481317"]}],"mendeley":{"formattedCitation":"(Nayak and Chatterjee, 2003)","plainTextFormattedCitation":"(Nayak and Chatterjee, 2003)","previouslyFormattedCitation":"(Nayak and Chatterjee, 2003)"},"properties":{"noteIndex":0},"schema":"https://github.com/citation-style-language/schema/raw/master/csl-citation.json"}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(Nayak and Chatterjee, 2003)</w:t>
      </w:r>
      <w:r w:rsidRPr="001772DB">
        <w:rPr>
          <w:rFonts w:ascii="Arial" w:hAnsi="Arial" w:cs="Arial"/>
          <w:lang w:val="en-GB"/>
        </w:rPr>
        <w:fldChar w:fldCharType="end"/>
      </w:r>
      <w:r w:rsidRPr="001772DB">
        <w:rPr>
          <w:rFonts w:ascii="Arial" w:hAnsi="Arial" w:cs="Arial"/>
        </w:rPr>
        <w:t xml:space="preserve">. To a 10-ml volumetric </w:t>
      </w:r>
      <w:r w:rsidRPr="001772DB">
        <w:rPr>
          <w:rFonts w:ascii="Arial" w:hAnsi="Arial" w:cs="Arial"/>
          <w:lang w:val="fr-FR"/>
        </w:rPr>
        <w:t>ﬂ</w:t>
      </w:r>
      <w:r w:rsidRPr="001772DB">
        <w:rPr>
          <w:rFonts w:ascii="Arial" w:hAnsi="Arial" w:cs="Arial"/>
        </w:rPr>
        <w:t xml:space="preserve">ask, 15 </w:t>
      </w:r>
      <w:r w:rsidRPr="001772DB">
        <w:rPr>
          <w:rFonts w:ascii="Arial" w:hAnsi="Arial" w:cs="Arial"/>
          <w:lang w:val="fr-FR"/>
        </w:rPr>
        <w:t>μ</w:t>
      </w:r>
      <w:r w:rsidRPr="001772DB">
        <w:rPr>
          <w:rFonts w:ascii="Arial" w:hAnsi="Arial" w:cs="Arial"/>
        </w:rPr>
        <w:t xml:space="preserve">mol from each of </w:t>
      </w:r>
      <w:r w:rsidRPr="001772DB">
        <w:rPr>
          <w:rFonts w:ascii="Arial" w:hAnsi="Arial" w:cs="Arial"/>
          <w:lang w:val="fr-FR"/>
        </w:rPr>
        <w:t>α</w:t>
      </w:r>
      <w:r w:rsidRPr="001772DB">
        <w:rPr>
          <w:rFonts w:ascii="Arial" w:hAnsi="Arial" w:cs="Arial"/>
        </w:rPr>
        <w:t xml:space="preserve">-oxoglutarate and GABA, 10 </w:t>
      </w:r>
      <w:r w:rsidRPr="001772DB">
        <w:rPr>
          <w:rFonts w:ascii="Arial" w:hAnsi="Arial" w:cs="Arial"/>
          <w:lang w:val="fr-FR"/>
        </w:rPr>
        <w:t>μ</w:t>
      </w:r>
      <w:r w:rsidRPr="001772DB">
        <w:rPr>
          <w:rFonts w:ascii="Arial" w:hAnsi="Arial" w:cs="Arial"/>
        </w:rPr>
        <w:t>g of pyridox</w:t>
      </w:r>
      <w:r w:rsidR="00CC55DB">
        <w:rPr>
          <w:rFonts w:ascii="Arial" w:hAnsi="Arial" w:cs="Arial"/>
        </w:rPr>
        <w:t>al</w:t>
      </w:r>
      <w:r w:rsidRPr="001772DB">
        <w:rPr>
          <w:rFonts w:ascii="Arial" w:hAnsi="Arial" w:cs="Arial"/>
        </w:rPr>
        <w:t xml:space="preserve"> phosphate, and 1 ml of the supernatant of brain tissue (10% in sucrose, 0.32 mmol/l) were added, and the fin</w:t>
      </w:r>
      <w:r w:rsidR="00CC55DB">
        <w:rPr>
          <w:rFonts w:ascii="Arial" w:hAnsi="Arial" w:cs="Arial"/>
        </w:rPr>
        <w:t>al</w:t>
      </w:r>
      <w:r w:rsidRPr="001772DB">
        <w:rPr>
          <w:rFonts w:ascii="Arial" w:hAnsi="Arial" w:cs="Arial"/>
        </w:rPr>
        <w:t xml:space="preserve"> volume was made up to 3 ml with buffer containing 0.2 M Tris-HCl (pH 8.6). The fin</w:t>
      </w:r>
      <w:r w:rsidR="00CC55DB">
        <w:rPr>
          <w:rFonts w:ascii="Arial" w:hAnsi="Arial" w:cs="Arial"/>
        </w:rPr>
        <w:t>al</w:t>
      </w:r>
      <w:r w:rsidRPr="001772DB">
        <w:rPr>
          <w:rFonts w:ascii="Arial" w:hAnsi="Arial" w:cs="Arial"/>
        </w:rPr>
        <w:t xml:space="preserve"> mixture was incubated at 37 ◦C for 30 min for reaction. The reaction was terminated by the addition of 0.5 ml ice-cold 20% trichloroacetic acid (TCA). The blank was prepared by replacing the homogenate with methanol from the mixture. The succinic semi</w:t>
      </w:r>
      <w:r w:rsidR="00CC55DB">
        <w:rPr>
          <w:rFonts w:ascii="Arial" w:hAnsi="Arial" w:cs="Arial"/>
        </w:rPr>
        <w:t>al</w:t>
      </w:r>
      <w:r w:rsidRPr="001772DB">
        <w:rPr>
          <w:rFonts w:ascii="Arial" w:hAnsi="Arial" w:cs="Arial"/>
        </w:rPr>
        <w:t xml:space="preserve">dehyde (SSA) produced in the incubation mixture was </w:t>
      </w:r>
      <w:proofErr w:type="spellStart"/>
      <w:r w:rsidRPr="001772DB">
        <w:rPr>
          <w:rFonts w:ascii="Arial" w:hAnsi="Arial" w:cs="Arial"/>
        </w:rPr>
        <w:t>quantifed</w:t>
      </w:r>
      <w:proofErr w:type="spellEnd"/>
      <w:r w:rsidRPr="001772DB">
        <w:rPr>
          <w:rFonts w:ascii="Arial" w:hAnsi="Arial" w:cs="Arial"/>
        </w:rPr>
        <w:t xml:space="preserve"> at 610 nm in spectro</w:t>
      </w:r>
      <w:r w:rsidRPr="001772DB">
        <w:rPr>
          <w:rFonts w:ascii="Arial" w:hAnsi="Arial" w:cs="Arial"/>
          <w:lang w:val="fr-FR"/>
        </w:rPr>
        <w:t>ﬂ</w:t>
      </w:r>
      <w:r w:rsidRPr="001772DB">
        <w:rPr>
          <w:rFonts w:ascii="Arial" w:hAnsi="Arial" w:cs="Arial"/>
        </w:rPr>
        <w:t xml:space="preserve">uorimeter. The color complex of SSA and MBTH in the presence of 1 ml of 12% FeCl3 (pH 2), followed in 5 min by the addition of 2 ml of acetone (4.4%, v/v), was measured against the blank. The GABA-T activity was measured in </w:t>
      </w:r>
      <w:proofErr w:type="spellStart"/>
      <w:r w:rsidRPr="001772DB">
        <w:rPr>
          <w:rFonts w:ascii="Arial" w:hAnsi="Arial" w:cs="Arial"/>
        </w:rPr>
        <w:t>pg</w:t>
      </w:r>
      <w:proofErr w:type="spellEnd"/>
      <w:r w:rsidRPr="001772DB">
        <w:rPr>
          <w:rFonts w:ascii="Arial" w:hAnsi="Arial" w:cs="Arial"/>
        </w:rPr>
        <w:t>/min/mg of protein.</w:t>
      </w:r>
    </w:p>
    <w:p w14:paraId="724EC512" w14:textId="77777777" w:rsidR="001772DB" w:rsidRPr="001772DB" w:rsidRDefault="001772DB" w:rsidP="001772DB">
      <w:pPr>
        <w:pStyle w:val="Body"/>
        <w:spacing w:after="0"/>
        <w:rPr>
          <w:rFonts w:ascii="Arial" w:hAnsi="Arial" w:cs="Arial"/>
        </w:rPr>
      </w:pPr>
    </w:p>
    <w:p w14:paraId="50731EC0" w14:textId="77777777" w:rsidR="001772DB" w:rsidRPr="001772DB" w:rsidRDefault="001772DB" w:rsidP="001772DB">
      <w:pPr>
        <w:pStyle w:val="Body"/>
        <w:spacing w:after="0"/>
        <w:rPr>
          <w:rFonts w:ascii="Arial" w:hAnsi="Arial" w:cs="Arial"/>
        </w:rPr>
      </w:pPr>
      <w:r w:rsidRPr="001772DB">
        <w:rPr>
          <w:rFonts w:ascii="Arial" w:hAnsi="Arial" w:cs="Arial"/>
        </w:rPr>
        <w:t>2.6.4. Assessment of acetylcholinesterase activity</w:t>
      </w:r>
    </w:p>
    <w:p w14:paraId="6B6F8B35" w14:textId="3B092002" w:rsidR="001772DB" w:rsidRDefault="001772DB" w:rsidP="001772DB">
      <w:pPr>
        <w:pStyle w:val="Body"/>
        <w:spacing w:after="0"/>
        <w:rPr>
          <w:rFonts w:ascii="Arial" w:hAnsi="Arial" w:cs="Arial"/>
        </w:rPr>
      </w:pPr>
      <w:r w:rsidRPr="001772DB">
        <w:rPr>
          <w:rFonts w:ascii="Arial" w:hAnsi="Arial" w:cs="Arial"/>
        </w:rPr>
        <w:t xml:space="preserve">The </w:t>
      </w:r>
      <w:proofErr w:type="spellStart"/>
      <w:r w:rsidRPr="001772DB">
        <w:rPr>
          <w:rFonts w:ascii="Arial" w:hAnsi="Arial" w:cs="Arial"/>
        </w:rPr>
        <w:t>AchE</w:t>
      </w:r>
      <w:proofErr w:type="spellEnd"/>
      <w:r w:rsidRPr="001772DB">
        <w:rPr>
          <w:rFonts w:ascii="Arial" w:hAnsi="Arial" w:cs="Arial"/>
        </w:rPr>
        <w:t xml:space="preserve"> activity was assessed by the Ellman method </w:t>
      </w:r>
      <w:r w:rsidRPr="001772DB">
        <w:rPr>
          <w:rFonts w:ascii="Arial" w:hAnsi="Arial" w:cs="Arial"/>
          <w:lang w:val="fr-FR"/>
        </w:rPr>
        <w:fldChar w:fldCharType="begin"/>
      </w:r>
      <w:r w:rsidRPr="001772DB">
        <w:rPr>
          <w:rFonts w:ascii="Arial" w:hAnsi="Arial" w:cs="Arial"/>
        </w:rPr>
        <w:instrText xml:space="preserve">ADDIN CSL_CITATION {"citationItems":[{"id":"ITEM-1","itemData":{"DOI":"10.1016/0006-2952(61)90145-9","ISSN":"00062952","abstract":"A photometric method for determining acetylcholinesterase activity of tissue extracts, homogenates, cell suspensions, etc., has been described. The enzyme activity is measured by following the increase of yellow color produced from thiocholine when it reacts with dithiobisnitrobenzoate ion. It is based on coupling of these reactions: {A figure is presented} The latter reaction is rapid and the assay is sensitive (i.e. a 10 </w:instrText>
      </w:r>
      <w:r w:rsidRPr="001772DB">
        <w:rPr>
          <w:rFonts w:ascii="Arial" w:hAnsi="Arial" w:cs="Arial"/>
          <w:lang w:val="fr-FR"/>
        </w:rPr>
        <w:instrText>μ</w:instrText>
      </w:r>
      <w:r w:rsidRPr="001772DB">
        <w:rPr>
          <w:rFonts w:ascii="Arial" w:hAnsi="Arial" w:cs="Arial"/>
        </w:rPr>
        <w:instrText>1 sample of blood is adequate). The use of a recorder has been most helpful, but is not essential. The method has been used to study the enzyme in human erythrocytes and homogenates of rat brain, kidney, lungs, liver and muscle tissue. Kinetic constants determined by this system for erythrocyte eholinesterase are presented. The data obtained with acetylthiocholine as substrate are similar to those with acetylcholine. © 1961.","author":[{"dropping-particle":"","family":"Ellman","given":"George L.","non-dropping-particle":"","parse-names":false,"suffix":""},{"dropping-particle":"","family":"Courtney","given":"K. Diane","non-dropping-particle":"","parse-names":false,"suffix":""},{"dropping-particle":"","family":"Andres","given":"Valentino","non-dropping-particle":"","parse-names":false,"suffix":""},{"dropping-particle":"","family":"Featherstone","given":"Robert M.","non-dropping-particle":"","parse-names":false,"suffix":""}],"container-title":"Biochemical Pharmacology","id":"ITEM-1","issue":"2","issued":{"date-parts":[["1961"]]},"title":"A new and rapid colorimetric determination of acetylcholinesterase activity","type":"article-journal","volume":"7"},"uris":["http://www.mendeley.com/documents/?uuid=e51389ef-4157-3255-b084-d5684953e0c6"]}],"mendeley":{"formattedCitation":"(Ellman et al., 1961)","plainTextFormattedCitation":"(Ellman et al., 1961)","previouslyFormattedCitation":"(Ellman et al., 1961)"},"properties":{"noteIndex":0},"schema":"https://github.com/citation-style-language/schema/raw/master/csl-citation.json"}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(Ellman </w:t>
      </w:r>
      <w:r w:rsidRPr="001772DB">
        <w:rPr>
          <w:rFonts w:ascii="Arial" w:hAnsi="Arial" w:cs="Arial"/>
          <w:i/>
          <w:iCs/>
        </w:rPr>
        <w:t xml:space="preserve">et </w:t>
      </w:r>
      <w:r w:rsidR="00CC55DB" w:rsidRPr="003F09D2">
        <w:rPr>
          <w:rFonts w:ascii="Arial" w:hAnsi="Arial" w:cs="Arial"/>
        </w:rPr>
        <w:t>al</w:t>
      </w:r>
      <w:r w:rsidRPr="003F09D2">
        <w:rPr>
          <w:rFonts w:ascii="Arial" w:hAnsi="Arial" w:cs="Arial"/>
        </w:rPr>
        <w:t>.</w:t>
      </w:r>
      <w:r w:rsidRPr="001772DB">
        <w:rPr>
          <w:rFonts w:ascii="Arial" w:hAnsi="Arial" w:cs="Arial"/>
        </w:rPr>
        <w:t>, 1961)</w:t>
      </w:r>
      <w:r w:rsidRPr="001772DB">
        <w:rPr>
          <w:rFonts w:ascii="Arial" w:hAnsi="Arial" w:cs="Arial"/>
          <w:lang w:val="en-GB"/>
        </w:rPr>
        <w:fldChar w:fldCharType="end"/>
      </w:r>
      <w:r w:rsidRPr="001772DB">
        <w:rPr>
          <w:rFonts w:ascii="Arial" w:hAnsi="Arial" w:cs="Arial"/>
        </w:rPr>
        <w:t>. The assay mixture contained 0.05 ml of supernatant, 3 ml of sodium phosphate buffer (pH 8, Sigma–</w:t>
      </w:r>
      <w:r w:rsidR="00CC55DB">
        <w:rPr>
          <w:rFonts w:ascii="Arial" w:hAnsi="Arial" w:cs="Arial"/>
        </w:rPr>
        <w:t>Al</w:t>
      </w:r>
      <w:r w:rsidRPr="001772DB">
        <w:rPr>
          <w:rFonts w:ascii="Arial" w:hAnsi="Arial" w:cs="Arial"/>
        </w:rPr>
        <w:t>drich), 0.1 ml of acetylthiocholine iodide (Sigma–</w:t>
      </w:r>
      <w:r w:rsidR="00CC55DB">
        <w:rPr>
          <w:rFonts w:ascii="Arial" w:hAnsi="Arial" w:cs="Arial"/>
        </w:rPr>
        <w:t>Al</w:t>
      </w:r>
      <w:r w:rsidRPr="001772DB">
        <w:rPr>
          <w:rFonts w:ascii="Arial" w:hAnsi="Arial" w:cs="Arial"/>
        </w:rPr>
        <w:t>drich) and 0.1 ml of DNTB (Ellman reagent, Sigma–</w:t>
      </w:r>
      <w:r w:rsidR="00CC55DB">
        <w:rPr>
          <w:rFonts w:ascii="Arial" w:hAnsi="Arial" w:cs="Arial"/>
        </w:rPr>
        <w:t>Al</w:t>
      </w:r>
      <w:r w:rsidRPr="001772DB">
        <w:rPr>
          <w:rFonts w:ascii="Arial" w:hAnsi="Arial" w:cs="Arial"/>
        </w:rPr>
        <w:t>drich). The change in absorbance was measured at 412 nm for 2 min, at 30 s interv</w:t>
      </w:r>
      <w:r w:rsidR="00CC55DB">
        <w:rPr>
          <w:rFonts w:ascii="Arial" w:hAnsi="Arial" w:cs="Arial"/>
        </w:rPr>
        <w:t>al</w:t>
      </w:r>
      <w:r w:rsidRPr="001772DB">
        <w:rPr>
          <w:rFonts w:ascii="Arial" w:hAnsi="Arial" w:cs="Arial"/>
        </w:rPr>
        <w:t xml:space="preserve">s. Results were expressed in U/min/mg of protein in the tissue (1 U/min/mg of </w:t>
      </w:r>
      <w:proofErr w:type="spellStart"/>
      <w:r w:rsidRPr="001772DB">
        <w:rPr>
          <w:rFonts w:ascii="Arial" w:hAnsi="Arial" w:cs="Arial"/>
        </w:rPr>
        <w:t>AchE</w:t>
      </w:r>
      <w:proofErr w:type="spellEnd"/>
      <w:r w:rsidRPr="001772DB">
        <w:rPr>
          <w:rFonts w:ascii="Arial" w:hAnsi="Arial" w:cs="Arial"/>
        </w:rPr>
        <w:t xml:space="preserve"> was defined as the amount of enzyme that hydrolyzed 1 mmol of acetylthiocholine iodide).</w:t>
      </w:r>
    </w:p>
    <w:p w14:paraId="1B37F244" w14:textId="1E0E3D4C" w:rsidR="00CF6D4F" w:rsidRPr="0082047B" w:rsidRDefault="00CF6D4F" w:rsidP="00CF6D4F">
      <w:pPr>
        <w:rPr>
          <w:rFonts w:ascii="Arial" w:hAnsi="Arial" w:cs="Arial"/>
        </w:rPr>
      </w:pPr>
      <w:r w:rsidRPr="001772DB">
        <w:rPr>
          <w:rFonts w:ascii="Arial" w:hAnsi="Arial" w:cs="Arial"/>
          <w:b/>
          <w:bCs/>
        </w:rPr>
        <w:t>2.</w:t>
      </w:r>
      <w:r>
        <w:rPr>
          <w:rFonts w:ascii="Arial" w:hAnsi="Arial" w:cs="Arial"/>
          <w:b/>
          <w:bCs/>
        </w:rPr>
        <w:t>7</w:t>
      </w:r>
      <w:r w:rsidRPr="001772DB">
        <w:rPr>
          <w:rFonts w:ascii="Arial" w:hAnsi="Arial" w:cs="Arial"/>
          <w:b/>
          <w:bCs/>
        </w:rPr>
        <w:t>.</w:t>
      </w:r>
      <w:r>
        <w:rPr>
          <w:rFonts w:ascii="Arial" w:hAnsi="Arial" w:cs="Arial"/>
          <w:b/>
          <w:bCs/>
        </w:rPr>
        <w:t xml:space="preserve"> </w:t>
      </w:r>
      <w:r w:rsidRPr="0082047B">
        <w:rPr>
          <w:rFonts w:ascii="Arial" w:hAnsi="Arial" w:cs="Arial"/>
          <w:b/>
          <w:bCs/>
        </w:rPr>
        <w:t xml:space="preserve">Phytochemical analysis of </w:t>
      </w:r>
      <w:r w:rsidRPr="0082047B">
        <w:rPr>
          <w:rFonts w:ascii="Arial" w:hAnsi="Arial" w:cs="Arial"/>
          <w:b/>
          <w:bCs/>
          <w:i/>
          <w:iCs/>
        </w:rPr>
        <w:t>Crassocephalum bauchiense</w:t>
      </w:r>
    </w:p>
    <w:p w14:paraId="07CB1078" w14:textId="6A5BA48D" w:rsidR="001772DB" w:rsidRPr="00E171D6" w:rsidRDefault="00E171D6" w:rsidP="00E171D6">
      <w:pPr>
        <w:spacing w:after="200"/>
        <w:ind w:right="1"/>
        <w:jc w:val="both"/>
        <w:rPr>
          <w:rFonts w:ascii="Times New Roman" w:eastAsia="Calibri" w:hAnsi="Times New Roman"/>
          <w:sz w:val="24"/>
          <w:szCs w:val="24"/>
          <w:lang w:eastAsia="zh-CN"/>
        </w:rPr>
      </w:pPr>
      <w:r w:rsidRPr="00E171D6">
        <w:rPr>
          <w:rFonts w:ascii="Arial" w:hAnsi="Arial" w:cs="Arial"/>
        </w:rPr>
        <w:t xml:space="preserve">Phytochemical characterization tests on the aqueous extract of </w:t>
      </w:r>
      <w:r w:rsidRPr="00E171D6">
        <w:rPr>
          <w:rFonts w:ascii="Arial" w:hAnsi="Arial" w:cs="Arial"/>
          <w:i/>
          <w:iCs/>
        </w:rPr>
        <w:t>Crassocephalum bauchiense</w:t>
      </w:r>
      <w:r w:rsidRPr="00E171D6">
        <w:rPr>
          <w:rFonts w:ascii="Arial" w:hAnsi="Arial" w:cs="Arial"/>
        </w:rPr>
        <w:t xml:space="preserve"> were carried out using the qualitative colorimetric methods of Harbone (1976)</w:t>
      </w:r>
      <w:r w:rsidR="00326F8D">
        <w:rPr>
          <w:rFonts w:ascii="Arial" w:hAnsi="Arial" w:cs="Arial"/>
        </w:rPr>
        <w:t xml:space="preserve"> and taiwe et al., (2010)</w:t>
      </w:r>
      <w:r w:rsidRPr="00E171D6">
        <w:rPr>
          <w:rFonts w:ascii="Arial" w:hAnsi="Arial" w:cs="Arial"/>
        </w:rPr>
        <w:t xml:space="preserve"> to determine the main chemical groups or families</w:t>
      </w:r>
      <w:r>
        <w:rPr>
          <w:rFonts w:ascii="Times New Roman" w:eastAsia="Calibri" w:hAnsi="Times New Roman"/>
          <w:sz w:val="24"/>
          <w:szCs w:val="24"/>
          <w:lang w:eastAsia="zh-CN"/>
        </w:rPr>
        <w:t>.</w:t>
      </w:r>
    </w:p>
    <w:p w14:paraId="313C59D4" w14:textId="2AFF4A5D" w:rsidR="001772DB" w:rsidRPr="001772DB" w:rsidRDefault="001772DB" w:rsidP="001772DB">
      <w:pPr>
        <w:pStyle w:val="Body"/>
        <w:spacing w:after="0"/>
        <w:rPr>
          <w:rFonts w:ascii="Arial" w:hAnsi="Arial" w:cs="Arial"/>
          <w:b/>
          <w:bCs/>
        </w:rPr>
      </w:pPr>
      <w:r w:rsidRPr="001772DB">
        <w:rPr>
          <w:rFonts w:ascii="Arial" w:hAnsi="Arial" w:cs="Arial"/>
          <w:b/>
          <w:bCs/>
        </w:rPr>
        <w:t>2.</w:t>
      </w:r>
      <w:r w:rsidR="00CF6D4F">
        <w:rPr>
          <w:rFonts w:ascii="Arial" w:hAnsi="Arial" w:cs="Arial"/>
          <w:b/>
          <w:bCs/>
        </w:rPr>
        <w:t>8</w:t>
      </w:r>
      <w:r w:rsidRPr="001772DB">
        <w:rPr>
          <w:rFonts w:ascii="Arial" w:hAnsi="Arial" w:cs="Arial"/>
          <w:b/>
          <w:bCs/>
        </w:rPr>
        <w:t>. Statistic</w:t>
      </w:r>
      <w:r w:rsidR="00CC55DB">
        <w:rPr>
          <w:rFonts w:ascii="Arial" w:hAnsi="Arial" w:cs="Arial"/>
          <w:b/>
          <w:bCs/>
        </w:rPr>
        <w:t>al</w:t>
      </w:r>
      <w:r w:rsidRPr="001772DB">
        <w:rPr>
          <w:rFonts w:ascii="Arial" w:hAnsi="Arial" w:cs="Arial"/>
          <w:b/>
          <w:bCs/>
        </w:rPr>
        <w:t xml:space="preserve"> An</w:t>
      </w:r>
      <w:r w:rsidR="00CC55DB">
        <w:rPr>
          <w:rFonts w:ascii="Arial" w:hAnsi="Arial" w:cs="Arial"/>
          <w:b/>
          <w:bCs/>
        </w:rPr>
        <w:t>al</w:t>
      </w:r>
      <w:r w:rsidRPr="001772DB">
        <w:rPr>
          <w:rFonts w:ascii="Arial" w:hAnsi="Arial" w:cs="Arial"/>
          <w:b/>
          <w:bCs/>
        </w:rPr>
        <w:t>ysis</w:t>
      </w:r>
    </w:p>
    <w:p w14:paraId="734EF14E" w14:textId="6AE5D641" w:rsidR="001772DB" w:rsidRPr="001772DB" w:rsidRDefault="001772DB" w:rsidP="001772DB">
      <w:pPr>
        <w:pStyle w:val="Body"/>
        <w:spacing w:after="0"/>
        <w:rPr>
          <w:rFonts w:ascii="Arial" w:hAnsi="Arial" w:cs="Arial"/>
        </w:rPr>
      </w:pPr>
      <w:r w:rsidRPr="001772DB">
        <w:rPr>
          <w:rFonts w:ascii="Arial" w:hAnsi="Arial" w:cs="Arial"/>
        </w:rPr>
        <w:t>Statistic</w:t>
      </w:r>
      <w:r w:rsidR="00CC55DB">
        <w:rPr>
          <w:rFonts w:ascii="Arial" w:hAnsi="Arial" w:cs="Arial"/>
        </w:rPr>
        <w:t>al</w:t>
      </w:r>
      <w:r w:rsidRPr="001772DB">
        <w:rPr>
          <w:rFonts w:ascii="Arial" w:hAnsi="Arial" w:cs="Arial"/>
        </w:rPr>
        <w:t xml:space="preserve"> an</w:t>
      </w:r>
      <w:r w:rsidR="00CC55DB">
        <w:rPr>
          <w:rFonts w:ascii="Arial" w:hAnsi="Arial" w:cs="Arial"/>
        </w:rPr>
        <w:t>al</w:t>
      </w:r>
      <w:r w:rsidRPr="001772DB">
        <w:rPr>
          <w:rFonts w:ascii="Arial" w:hAnsi="Arial" w:cs="Arial"/>
        </w:rPr>
        <w:t>yses of the obtained v</w:t>
      </w:r>
      <w:r w:rsidR="00CC55DB">
        <w:rPr>
          <w:rFonts w:ascii="Arial" w:hAnsi="Arial" w:cs="Arial"/>
        </w:rPr>
        <w:t>al</w:t>
      </w:r>
      <w:r w:rsidRPr="001772DB">
        <w:rPr>
          <w:rFonts w:ascii="Arial" w:hAnsi="Arial" w:cs="Arial"/>
        </w:rPr>
        <w:t>ues and construction of the graphs were performed using Graph Pad Prism version 8.0.1, Microsoft Office Excel 2013 software. The results were expressed as mean ± standard error on the mean (SEM) or as a percentage. The different v</w:t>
      </w:r>
      <w:r w:rsidR="00CC55DB">
        <w:rPr>
          <w:rFonts w:ascii="Arial" w:hAnsi="Arial" w:cs="Arial"/>
        </w:rPr>
        <w:t>al</w:t>
      </w:r>
      <w:r w:rsidRPr="001772DB">
        <w:rPr>
          <w:rFonts w:ascii="Arial" w:hAnsi="Arial" w:cs="Arial"/>
        </w:rPr>
        <w:t>ues were compared using the an</w:t>
      </w:r>
      <w:r w:rsidR="00CC55DB">
        <w:rPr>
          <w:rFonts w:ascii="Arial" w:hAnsi="Arial" w:cs="Arial"/>
        </w:rPr>
        <w:t>al</w:t>
      </w:r>
      <w:r w:rsidRPr="001772DB">
        <w:rPr>
          <w:rFonts w:ascii="Arial" w:hAnsi="Arial" w:cs="Arial"/>
        </w:rPr>
        <w:t>ysis of variance test (One-way ANOVA) and, when differences existed, Tukey's multiple comparison test was used to highlight the significances between the different groups. Fisher's exact probability was used to compare the different percentages. At p&lt;0.05, differences were considered significant.</w:t>
      </w:r>
    </w:p>
    <w:p w14:paraId="282447D0" w14:textId="77777777" w:rsidR="00790ADA" w:rsidRPr="001772DB" w:rsidRDefault="00790ADA" w:rsidP="00441B6F">
      <w:pPr>
        <w:pStyle w:val="Body"/>
        <w:spacing w:after="0"/>
        <w:rPr>
          <w:rFonts w:ascii="Arial" w:hAnsi="Arial" w:cs="Arial"/>
          <w:lang w:val="en-GB"/>
        </w:rPr>
      </w:pPr>
    </w:p>
    <w:p w14:paraId="7765EEFD" w14:textId="54F3B595" w:rsidR="001772DB" w:rsidRPr="001772DB" w:rsidRDefault="00446460" w:rsidP="001772DB">
      <w:pPr>
        <w:pStyle w:val="Body"/>
        <w:spacing w:after="0"/>
        <w:rPr>
          <w:rFonts w:ascii="Arial" w:hAnsi="Arial" w:cs="Arial"/>
          <w:b/>
          <w:bCs/>
          <w:sz w:val="22"/>
          <w:szCs w:val="22"/>
        </w:rPr>
      </w:pPr>
      <w:r w:rsidRPr="00446460">
        <w:rPr>
          <w:rFonts w:ascii="Arial" w:hAnsi="Arial" w:cs="Arial"/>
          <w:b/>
          <w:bCs/>
          <w:sz w:val="22"/>
          <w:szCs w:val="22"/>
        </w:rPr>
        <w:t xml:space="preserve">3. RESULTS </w:t>
      </w:r>
    </w:p>
    <w:p w14:paraId="1C8E6882" w14:textId="14FF0EA6" w:rsidR="001772DB" w:rsidRPr="001772DB" w:rsidRDefault="001772DB" w:rsidP="001772DB">
      <w:pPr>
        <w:pStyle w:val="Body"/>
        <w:spacing w:after="0"/>
        <w:rPr>
          <w:rFonts w:ascii="Arial" w:hAnsi="Arial" w:cs="Arial"/>
        </w:rPr>
      </w:pPr>
      <w:r w:rsidRPr="001772DB">
        <w:rPr>
          <w:rFonts w:ascii="Arial" w:hAnsi="Arial" w:cs="Arial"/>
          <w:b/>
          <w:bCs/>
        </w:rPr>
        <w:t>3.1. Phytochemic</w:t>
      </w:r>
      <w:r w:rsidR="00CC55DB">
        <w:rPr>
          <w:rFonts w:ascii="Arial" w:hAnsi="Arial" w:cs="Arial"/>
          <w:b/>
          <w:bCs/>
        </w:rPr>
        <w:t>al</w:t>
      </w:r>
      <w:r w:rsidRPr="001772DB">
        <w:rPr>
          <w:rFonts w:ascii="Arial" w:hAnsi="Arial" w:cs="Arial"/>
          <w:b/>
          <w:bCs/>
        </w:rPr>
        <w:t xml:space="preserve"> an</w:t>
      </w:r>
      <w:r w:rsidR="00CC55DB">
        <w:rPr>
          <w:rFonts w:ascii="Arial" w:hAnsi="Arial" w:cs="Arial"/>
          <w:b/>
          <w:bCs/>
        </w:rPr>
        <w:t>al</w:t>
      </w:r>
      <w:r w:rsidRPr="001772DB">
        <w:rPr>
          <w:rFonts w:ascii="Arial" w:hAnsi="Arial" w:cs="Arial"/>
          <w:b/>
          <w:bCs/>
        </w:rPr>
        <w:t xml:space="preserve">ysis of the aqueous extract of </w:t>
      </w:r>
      <w:r w:rsidRPr="001772DB">
        <w:rPr>
          <w:rFonts w:ascii="Arial" w:hAnsi="Arial" w:cs="Arial"/>
          <w:b/>
          <w:bCs/>
          <w:i/>
          <w:iCs/>
        </w:rPr>
        <w:t>Crassoceph</w:t>
      </w:r>
      <w:r w:rsidR="00CC55DB">
        <w:rPr>
          <w:rFonts w:ascii="Arial" w:hAnsi="Arial" w:cs="Arial"/>
          <w:b/>
          <w:bCs/>
          <w:i/>
          <w:iCs/>
        </w:rPr>
        <w:t>al</w:t>
      </w:r>
      <w:r w:rsidRPr="001772DB">
        <w:rPr>
          <w:rFonts w:ascii="Arial" w:hAnsi="Arial" w:cs="Arial"/>
          <w:b/>
          <w:bCs/>
          <w:i/>
          <w:iCs/>
        </w:rPr>
        <w:t>um bauchiense</w:t>
      </w:r>
    </w:p>
    <w:p w14:paraId="1E4BFBCD" w14:textId="162190EB" w:rsidR="001772DB" w:rsidRDefault="001772DB" w:rsidP="001772DB">
      <w:pPr>
        <w:pStyle w:val="Body"/>
        <w:spacing w:after="0"/>
        <w:rPr>
          <w:rFonts w:ascii="Arial" w:hAnsi="Arial" w:cs="Arial"/>
        </w:rPr>
      </w:pPr>
      <w:r w:rsidRPr="001772DB">
        <w:rPr>
          <w:rFonts w:ascii="Arial" w:hAnsi="Arial" w:cs="Arial"/>
        </w:rPr>
        <w:t>The an</w:t>
      </w:r>
      <w:r w:rsidR="00CC55DB">
        <w:rPr>
          <w:rFonts w:ascii="Arial" w:hAnsi="Arial" w:cs="Arial"/>
        </w:rPr>
        <w:t>al</w:t>
      </w:r>
      <w:r w:rsidRPr="001772DB">
        <w:rPr>
          <w:rFonts w:ascii="Arial" w:hAnsi="Arial" w:cs="Arial"/>
        </w:rPr>
        <w:t>ysis of the phytochemic</w:t>
      </w:r>
      <w:r w:rsidR="00CC55DB">
        <w:rPr>
          <w:rFonts w:ascii="Arial" w:hAnsi="Arial" w:cs="Arial"/>
        </w:rPr>
        <w:t>al</w:t>
      </w:r>
      <w:r w:rsidRPr="001772DB">
        <w:rPr>
          <w:rFonts w:ascii="Arial" w:hAnsi="Arial" w:cs="Arial"/>
        </w:rPr>
        <w:t xml:space="preserve"> composition of the aqueous extract of the leafy stems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A27DF1">
        <w:rPr>
          <w:rFonts w:ascii="Arial" w:hAnsi="Arial" w:cs="Arial"/>
          <w:i/>
          <w:iCs/>
        </w:rPr>
        <w:t xml:space="preserve"> </w:t>
      </w:r>
      <w:r w:rsidRPr="001772DB">
        <w:rPr>
          <w:rFonts w:ascii="Arial" w:hAnsi="Arial" w:cs="Arial"/>
        </w:rPr>
        <w:t>reve</w:t>
      </w:r>
      <w:r w:rsidR="00CC55DB">
        <w:rPr>
          <w:rFonts w:ascii="Arial" w:hAnsi="Arial" w:cs="Arial"/>
        </w:rPr>
        <w:t>al</w:t>
      </w:r>
      <w:r w:rsidRPr="001772DB">
        <w:rPr>
          <w:rFonts w:ascii="Arial" w:hAnsi="Arial" w:cs="Arial"/>
        </w:rPr>
        <w:t xml:space="preserve">ed the presence of </w:t>
      </w:r>
      <w:r w:rsidR="00CC55DB">
        <w:rPr>
          <w:rFonts w:ascii="Arial" w:hAnsi="Arial" w:cs="Arial"/>
        </w:rPr>
        <w:t>al</w:t>
      </w:r>
      <w:r w:rsidRPr="001772DB">
        <w:rPr>
          <w:rFonts w:ascii="Arial" w:hAnsi="Arial" w:cs="Arial"/>
        </w:rPr>
        <w:t>k</w:t>
      </w:r>
      <w:r w:rsidR="00CC55DB">
        <w:rPr>
          <w:rFonts w:ascii="Arial" w:hAnsi="Arial" w:cs="Arial"/>
        </w:rPr>
        <w:t>al</w:t>
      </w:r>
      <w:r w:rsidRPr="001772DB">
        <w:rPr>
          <w:rFonts w:ascii="Arial" w:hAnsi="Arial" w:cs="Arial"/>
        </w:rPr>
        <w:t>oids, flavonoids, catechotanins, phlobotanins, triterpenes, saponins and polyphenols.</w:t>
      </w:r>
    </w:p>
    <w:p w14:paraId="4DC51849" w14:textId="77777777" w:rsidR="00816D89" w:rsidRPr="001772DB" w:rsidRDefault="00816D89" w:rsidP="001772DB">
      <w:pPr>
        <w:pStyle w:val="Body"/>
        <w:spacing w:after="0"/>
        <w:rPr>
          <w:rFonts w:ascii="Arial" w:hAnsi="Arial" w:cs="Arial"/>
        </w:rPr>
      </w:pPr>
    </w:p>
    <w:p w14:paraId="6407A044" w14:textId="19304FD7" w:rsidR="001772DB" w:rsidRPr="001772DB" w:rsidRDefault="001772DB" w:rsidP="0046522C">
      <w:pPr>
        <w:pStyle w:val="Body"/>
        <w:spacing w:after="0"/>
        <w:ind w:left="426" w:hanging="426"/>
        <w:rPr>
          <w:rFonts w:ascii="Arial" w:hAnsi="Arial" w:cs="Arial"/>
          <w:b/>
          <w:bCs/>
        </w:rPr>
      </w:pPr>
      <w:r w:rsidRPr="001772DB">
        <w:rPr>
          <w:rFonts w:ascii="Arial" w:hAnsi="Arial" w:cs="Arial"/>
          <w:b/>
          <w:bCs/>
        </w:rPr>
        <w:t xml:space="preserve">3.2. Effect of </w:t>
      </w:r>
      <w:r w:rsidR="000D3B21" w:rsidRPr="0046522C">
        <w:rPr>
          <w:rFonts w:ascii="Arial" w:hAnsi="Arial" w:cs="Arial"/>
          <w:b/>
          <w:bCs/>
        </w:rPr>
        <w:t>Crassoceph</w:t>
      </w:r>
      <w:r w:rsidR="00CC55DB" w:rsidRPr="0046522C">
        <w:rPr>
          <w:rFonts w:ascii="Arial" w:hAnsi="Arial" w:cs="Arial"/>
          <w:b/>
          <w:bCs/>
        </w:rPr>
        <w:t>al</w:t>
      </w:r>
      <w:r w:rsidR="000D3B21" w:rsidRPr="0046522C">
        <w:rPr>
          <w:rFonts w:ascii="Arial" w:hAnsi="Arial" w:cs="Arial"/>
          <w:b/>
          <w:bCs/>
        </w:rPr>
        <w:t xml:space="preserve">um bauchiense </w:t>
      </w:r>
      <w:r w:rsidRPr="001772DB">
        <w:rPr>
          <w:rFonts w:ascii="Arial" w:hAnsi="Arial" w:cs="Arial"/>
          <w:b/>
          <w:bCs/>
        </w:rPr>
        <w:t xml:space="preserve">on </w:t>
      </w:r>
      <w:r w:rsidRPr="0046522C">
        <w:rPr>
          <w:rFonts w:ascii="Arial" w:hAnsi="Arial" w:cs="Arial"/>
          <w:b/>
          <w:bCs/>
        </w:rPr>
        <w:t>status epilepticus</w:t>
      </w:r>
      <w:r w:rsidRPr="001772DB">
        <w:rPr>
          <w:rFonts w:ascii="Arial" w:hAnsi="Arial" w:cs="Arial"/>
          <w:b/>
          <w:bCs/>
        </w:rPr>
        <w:t xml:space="preserve"> latency induced by pilocarpine</w:t>
      </w:r>
    </w:p>
    <w:p w14:paraId="139C44C5" w14:textId="4301B293" w:rsidR="001772DB" w:rsidRPr="001772DB" w:rsidRDefault="001772DB" w:rsidP="001772DB">
      <w:pPr>
        <w:pStyle w:val="Body"/>
        <w:rPr>
          <w:rFonts w:ascii="Arial" w:hAnsi="Arial" w:cs="Arial"/>
        </w:rPr>
      </w:pPr>
      <w:r w:rsidRPr="001772DB">
        <w:rPr>
          <w:rFonts w:ascii="Arial" w:hAnsi="Arial" w:cs="Arial"/>
        </w:rPr>
        <w:t xml:space="preserve">Significant inter-group differences were observed in the </w:t>
      </w:r>
      <w:r w:rsidRPr="001772DB">
        <w:rPr>
          <w:rFonts w:ascii="Arial" w:hAnsi="Arial" w:cs="Arial"/>
          <w:i/>
          <w:iCs/>
        </w:rPr>
        <w:t>status epilepticus</w:t>
      </w:r>
      <w:r w:rsidRPr="001772DB">
        <w:rPr>
          <w:rFonts w:ascii="Arial" w:hAnsi="Arial" w:cs="Arial"/>
        </w:rPr>
        <w:t>. Administration of pilocarpine induced seizure onset in the negative control (18.67 ± 0.87 min) compared to the norm</w:t>
      </w:r>
      <w:r w:rsidR="00CC55DB">
        <w:rPr>
          <w:rFonts w:ascii="Arial" w:hAnsi="Arial" w:cs="Arial"/>
        </w:rPr>
        <w:t>al</w:t>
      </w:r>
      <w:r w:rsidRPr="001772DB">
        <w:rPr>
          <w:rFonts w:ascii="Arial" w:hAnsi="Arial" w:cs="Arial"/>
        </w:rPr>
        <w:t xml:space="preserve"> control (0.00 ± 0.00 min). </w:t>
      </w:r>
      <w:r w:rsidR="000D3B21">
        <w:rPr>
          <w:rFonts w:ascii="Arial" w:hAnsi="Arial" w:cs="Arial"/>
          <w:i/>
          <w:iCs/>
        </w:rPr>
        <w:t>Crassoceph</w:t>
      </w:r>
      <w:r w:rsidR="00CC55DB">
        <w:rPr>
          <w:rFonts w:ascii="Arial" w:hAnsi="Arial" w:cs="Arial"/>
          <w:i/>
          <w:iCs/>
        </w:rPr>
        <w:t>al</w:t>
      </w:r>
      <w:r w:rsidR="000D3B21">
        <w:rPr>
          <w:rFonts w:ascii="Arial" w:hAnsi="Arial" w:cs="Arial"/>
          <w:i/>
          <w:iCs/>
        </w:rPr>
        <w:t xml:space="preserve">um bauchiense </w:t>
      </w:r>
      <w:r w:rsidRPr="001772DB">
        <w:rPr>
          <w:rFonts w:ascii="Arial" w:hAnsi="Arial" w:cs="Arial"/>
        </w:rPr>
        <w:t xml:space="preserve">extract delayed </w:t>
      </w:r>
      <w:r w:rsidRPr="001772DB">
        <w:rPr>
          <w:rFonts w:ascii="Arial" w:hAnsi="Arial" w:cs="Arial"/>
          <w:bCs/>
        </w:rPr>
        <w:t>latency</w:t>
      </w:r>
      <w:r w:rsidRPr="001772DB">
        <w:rPr>
          <w:rFonts w:ascii="Arial" w:hAnsi="Arial" w:cs="Arial"/>
          <w:b/>
          <w:bCs/>
        </w:rPr>
        <w:t xml:space="preserve"> </w:t>
      </w:r>
      <w:r w:rsidRPr="001772DB">
        <w:rPr>
          <w:rFonts w:ascii="Arial" w:hAnsi="Arial" w:cs="Arial"/>
        </w:rPr>
        <w:t xml:space="preserve">[F (6, 35) = 259, </w:t>
      </w:r>
      <w:r w:rsidRPr="001772DB">
        <w:rPr>
          <w:rFonts w:ascii="Arial" w:hAnsi="Arial" w:cs="Arial"/>
          <w:i/>
        </w:rPr>
        <w:t>P</w:t>
      </w:r>
      <w:r w:rsidRPr="001772DB">
        <w:rPr>
          <w:rFonts w:ascii="Arial" w:hAnsi="Arial" w:cs="Arial"/>
          <w:iCs/>
        </w:rPr>
        <w:t xml:space="preserve"> &lt;0.001</w:t>
      </w:r>
      <w:r w:rsidRPr="001772DB">
        <w:rPr>
          <w:rFonts w:ascii="Arial" w:hAnsi="Arial" w:cs="Arial"/>
        </w:rPr>
        <w:t>] seizure onset time by 34.81 ± 1.09 min and 38.59 ± 1.25 min at 140 and 280 mg/kg, respectively Similarly, sodium v</w:t>
      </w:r>
      <w:r w:rsidR="00CC55DB">
        <w:rPr>
          <w:rFonts w:ascii="Arial" w:hAnsi="Arial" w:cs="Arial"/>
        </w:rPr>
        <w:t>al</w:t>
      </w:r>
      <w:r w:rsidRPr="001772DB">
        <w:rPr>
          <w:rFonts w:ascii="Arial" w:hAnsi="Arial" w:cs="Arial"/>
        </w:rPr>
        <w:t xml:space="preserve">proate significantly increased (p &lt;0.001) this time to 41.04 ± 4.77 min compared with the negative control </w:t>
      </w:r>
      <w:r w:rsidRPr="001772DB">
        <w:rPr>
          <w:rFonts w:ascii="Arial" w:hAnsi="Arial" w:cs="Arial"/>
          <w:b/>
          <w:bCs/>
        </w:rPr>
        <w:t>(Fig.1).</w:t>
      </w:r>
      <w:r w:rsidRPr="001772DB">
        <w:rPr>
          <w:rFonts w:ascii="Arial" w:hAnsi="Arial" w:cs="Arial"/>
        </w:rPr>
        <w:t xml:space="preserve"> </w:t>
      </w:r>
    </w:p>
    <w:bookmarkStart w:id="6" w:name="_Hlk184231279"/>
    <w:bookmarkEnd w:id="6"/>
    <w:p w14:paraId="270BF3D5" w14:textId="2291ECF4" w:rsidR="001772DB" w:rsidRDefault="0075025B" w:rsidP="00816D89">
      <w:pPr>
        <w:pStyle w:val="Body"/>
        <w:spacing w:after="0"/>
        <w:jc w:val="center"/>
      </w:pPr>
      <w:r>
        <w:object w:dxaOrig="4567" w:dyaOrig="5263" w14:anchorId="203E0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80.75pt" o:ole="">
            <v:imagedata r:id="rId14" o:title=""/>
          </v:shape>
          <o:OLEObject Type="Embed" ProgID="Prism8.Document" ShapeID="_x0000_i1025" DrawAspect="Content" ObjectID="_1804513652" r:id="rId15"/>
        </w:object>
      </w:r>
    </w:p>
    <w:p w14:paraId="513421AF" w14:textId="4FEC2F6D" w:rsidR="00816D89" w:rsidRDefault="00816D89" w:rsidP="00BA1B45">
      <w:pPr>
        <w:pStyle w:val="Body"/>
        <w:spacing w:after="0"/>
        <w:rPr>
          <w:rFonts w:ascii="Arial" w:eastAsia="Calibri" w:hAnsi="Arial" w:cs="Arial"/>
          <w:color w:val="000000"/>
        </w:rPr>
      </w:pPr>
      <w:r w:rsidRPr="00C1076B">
        <w:rPr>
          <w:rFonts w:ascii="Arial" w:eastAsia="Calibri" w:hAnsi="Arial" w:cs="Arial"/>
          <w:b/>
          <w:bCs/>
          <w:color w:val="000000"/>
        </w:rPr>
        <w:t xml:space="preserve">Fig.1. Effect of </w:t>
      </w:r>
      <w:r w:rsidR="000D3B21">
        <w:rPr>
          <w:rFonts w:ascii="Arial" w:eastAsia="Calibri" w:hAnsi="Arial" w:cs="Arial"/>
          <w:b/>
          <w:bCs/>
          <w:i/>
          <w:iCs/>
          <w:color w:val="000000"/>
        </w:rPr>
        <w:t>Crassoceph</w:t>
      </w:r>
      <w:r w:rsidR="00CC55DB">
        <w:rPr>
          <w:rFonts w:ascii="Arial" w:eastAsia="Calibri" w:hAnsi="Arial" w:cs="Arial"/>
          <w:b/>
          <w:bCs/>
          <w:i/>
          <w:iCs/>
          <w:color w:val="000000"/>
        </w:rPr>
        <w:t>al</w:t>
      </w:r>
      <w:r w:rsidR="000D3B21">
        <w:rPr>
          <w:rFonts w:ascii="Arial" w:eastAsia="Calibri" w:hAnsi="Arial" w:cs="Arial"/>
          <w:b/>
          <w:bCs/>
          <w:i/>
          <w:iCs/>
          <w:color w:val="000000"/>
        </w:rPr>
        <w:t xml:space="preserve">um bauchiense </w:t>
      </w:r>
      <w:r w:rsidRPr="00C1076B">
        <w:rPr>
          <w:rFonts w:ascii="Arial" w:eastAsia="Calibri" w:hAnsi="Arial" w:cs="Arial"/>
          <w:b/>
          <w:bCs/>
          <w:color w:val="000000"/>
        </w:rPr>
        <w:t xml:space="preserve">on the </w:t>
      </w:r>
      <w:r w:rsidRPr="00C1076B">
        <w:rPr>
          <w:rFonts w:ascii="Arial" w:eastAsia="Calibri" w:hAnsi="Arial" w:cs="Arial"/>
          <w:b/>
          <w:bCs/>
          <w:i/>
          <w:iCs/>
          <w:color w:val="000000"/>
        </w:rPr>
        <w:t xml:space="preserve">status epilepticus </w:t>
      </w:r>
      <w:r w:rsidRPr="00C1076B">
        <w:rPr>
          <w:rFonts w:ascii="Arial" w:eastAsia="Calibri" w:hAnsi="Arial" w:cs="Arial"/>
          <w:b/>
          <w:bCs/>
          <w:color w:val="000000"/>
        </w:rPr>
        <w:t>latency of pilocarpine-induced seizures</w:t>
      </w:r>
      <w:r w:rsidRPr="00C1076B">
        <w:rPr>
          <w:rFonts w:ascii="Arial" w:eastAsia="Calibri" w:hAnsi="Arial" w:cs="Arial"/>
          <w:color w:val="000000"/>
        </w:rPr>
        <w:t xml:space="preserve">. </w:t>
      </w:r>
      <w:bookmarkStart w:id="7" w:name="_Hlk119708521"/>
    </w:p>
    <w:p w14:paraId="5D548E6C" w14:textId="63AF0746" w:rsidR="00816D89" w:rsidRPr="00816D89" w:rsidRDefault="00816D89" w:rsidP="00BA1B45">
      <w:pPr>
        <w:pStyle w:val="Body"/>
        <w:spacing w:after="0"/>
        <w:ind w:left="720"/>
        <w:rPr>
          <w:rFonts w:ascii="Arial" w:hAnsi="Arial" w:cs="Arial"/>
          <w:i/>
          <w:iCs/>
        </w:rPr>
      </w:pPr>
      <w:r w:rsidRPr="00816D89">
        <w:rPr>
          <w:rFonts w:ascii="Arial" w:eastAsia="Calibri" w:hAnsi="Arial" w:cs="Arial"/>
          <w:i/>
          <w:iCs/>
          <w:color w:val="000000"/>
          <w:sz w:val="18"/>
          <w:szCs w:val="18"/>
        </w:rPr>
        <w:t>Each bar represents the mean ± MSE, n = 6. The data were an</w:t>
      </w:r>
      <w:r w:rsidR="00CC55DB">
        <w:rPr>
          <w:rFonts w:ascii="Arial" w:eastAsia="Calibri" w:hAnsi="Arial" w:cs="Arial"/>
          <w:i/>
          <w:iCs/>
          <w:color w:val="000000"/>
          <w:sz w:val="18"/>
          <w:szCs w:val="18"/>
        </w:rPr>
        <w:t>al</w:t>
      </w:r>
      <w:r w:rsidRPr="00816D89">
        <w:rPr>
          <w:rFonts w:ascii="Arial" w:eastAsia="Calibri" w:hAnsi="Arial" w:cs="Arial"/>
          <w:i/>
          <w:iCs/>
          <w:color w:val="000000"/>
          <w:sz w:val="18"/>
          <w:szCs w:val="18"/>
        </w:rPr>
        <w:t xml:space="preserve">yzed by the one-way ANOVA, followed by the </w:t>
      </w:r>
      <w:r w:rsidRPr="00816D89">
        <w:rPr>
          <w:rFonts w:ascii="Arial" w:eastAsia="Calibri" w:hAnsi="Arial" w:cs="Arial"/>
          <w:i/>
          <w:iCs/>
          <w:sz w:val="18"/>
          <w:szCs w:val="18"/>
        </w:rPr>
        <w:t>Tukey</w:t>
      </w:r>
      <w:r w:rsidRPr="00816D89">
        <w:rPr>
          <w:rFonts w:ascii="Arial" w:eastAsia="Calibri" w:hAnsi="Arial" w:cs="Arial"/>
          <w:i/>
          <w:iCs/>
          <w:color w:val="000000"/>
          <w:sz w:val="18"/>
          <w:szCs w:val="18"/>
        </w:rPr>
        <w:t xml:space="preserve"> test.; ***p &lt; 0.001; significant difference compared to the negative control (</w:t>
      </w:r>
      <w:proofErr w:type="spellStart"/>
      <w:r w:rsidRPr="00816D89">
        <w:rPr>
          <w:rFonts w:ascii="Arial" w:eastAsia="Calibri" w:hAnsi="Arial" w:cs="Arial"/>
          <w:i/>
          <w:iCs/>
          <w:color w:val="000000"/>
          <w:sz w:val="18"/>
          <w:szCs w:val="18"/>
        </w:rPr>
        <w:t>DW+Pilo</w:t>
      </w:r>
      <w:proofErr w:type="spellEnd"/>
      <w:r w:rsidRPr="00816D89">
        <w:rPr>
          <w:rFonts w:ascii="Arial" w:eastAsia="Calibri" w:hAnsi="Arial" w:cs="Arial"/>
          <w:i/>
          <w:iCs/>
          <w:color w:val="000000"/>
          <w:sz w:val="18"/>
          <w:szCs w:val="18"/>
        </w:rPr>
        <w:t xml:space="preserve">). </w:t>
      </w:r>
      <w:bookmarkStart w:id="8" w:name="_Hlk184185060"/>
      <w:bookmarkEnd w:id="7"/>
      <w:r w:rsidRPr="00816D89">
        <w:rPr>
          <w:rFonts w:ascii="Arial" w:eastAsia="Calibri" w:hAnsi="Arial" w:cs="Arial"/>
          <w:i/>
          <w:iCs/>
          <w:sz w:val="18"/>
          <w:szCs w:val="18"/>
        </w:rPr>
        <w:t>norm</w:t>
      </w:r>
      <w:r w:rsidR="00CC55DB">
        <w:rPr>
          <w:rFonts w:ascii="Arial" w:eastAsia="Calibri" w:hAnsi="Arial" w:cs="Arial"/>
          <w:i/>
          <w:iCs/>
          <w:sz w:val="18"/>
          <w:szCs w:val="18"/>
        </w:rPr>
        <w:t>al</w:t>
      </w:r>
      <w:r w:rsidRPr="00816D89">
        <w:rPr>
          <w:rFonts w:ascii="Arial" w:eastAsia="Calibri" w:hAnsi="Arial" w:cs="Arial"/>
          <w:i/>
          <w:iCs/>
          <w:sz w:val="18"/>
          <w:szCs w:val="18"/>
        </w:rPr>
        <w:t xml:space="preserve"> control </w:t>
      </w:r>
      <w:r w:rsidRPr="00816D89">
        <w:rPr>
          <w:rFonts w:ascii="Arial" w:eastAsia="Calibri" w:hAnsi="Arial" w:cs="Arial"/>
          <w:i/>
          <w:iCs/>
          <w:color w:val="000000"/>
          <w:sz w:val="18"/>
          <w:szCs w:val="18"/>
        </w:rPr>
        <w:t xml:space="preserve">group (DW+DW); </w:t>
      </w:r>
      <w:r w:rsidRPr="00816D89">
        <w:rPr>
          <w:rFonts w:ascii="Arial" w:eastAsia="Calibri" w:hAnsi="Arial" w:cs="Arial"/>
          <w:i/>
          <w:iCs/>
          <w:sz w:val="18"/>
          <w:szCs w:val="18"/>
        </w:rPr>
        <w:t>DW: Distilled Water (10 mL/kg);</w:t>
      </w:r>
      <w:r w:rsidRPr="00816D89">
        <w:rPr>
          <w:rFonts w:ascii="Arial" w:eastAsia="Calibri" w:hAnsi="Arial" w:cs="Arial"/>
          <w:i/>
          <w:iCs/>
          <w:color w:val="000000"/>
          <w:sz w:val="18"/>
          <w:szCs w:val="18"/>
        </w:rPr>
        <w:t xml:space="preserve"> Pilo: Pilocarpine; </w:t>
      </w:r>
      <w:proofErr w:type="spellStart"/>
      <w:r w:rsidRPr="00816D89">
        <w:rPr>
          <w:rFonts w:ascii="Arial" w:eastAsia="Calibri" w:hAnsi="Arial" w:cs="Arial"/>
          <w:i/>
          <w:iCs/>
          <w:color w:val="000000"/>
          <w:sz w:val="18"/>
          <w:szCs w:val="18"/>
        </w:rPr>
        <w:t>Cb</w:t>
      </w:r>
      <w:proofErr w:type="spellEnd"/>
      <w:r w:rsidRPr="00816D89">
        <w:rPr>
          <w:rFonts w:ascii="Arial" w:eastAsia="Calibri" w:hAnsi="Arial" w:cs="Arial"/>
          <w:i/>
          <w:iCs/>
          <w:color w:val="000000"/>
          <w:sz w:val="18"/>
          <w:szCs w:val="18"/>
        </w:rPr>
        <w:t>: C. bauchiense; SV: Sodium V</w:t>
      </w:r>
      <w:r w:rsidR="00CC55DB">
        <w:rPr>
          <w:rFonts w:ascii="Arial" w:eastAsia="Calibri" w:hAnsi="Arial" w:cs="Arial"/>
          <w:i/>
          <w:iCs/>
          <w:color w:val="000000"/>
          <w:sz w:val="18"/>
          <w:szCs w:val="18"/>
        </w:rPr>
        <w:t>al</w:t>
      </w:r>
      <w:r w:rsidRPr="00816D89">
        <w:rPr>
          <w:rFonts w:ascii="Arial" w:eastAsia="Calibri" w:hAnsi="Arial" w:cs="Arial"/>
          <w:i/>
          <w:iCs/>
          <w:color w:val="000000"/>
          <w:sz w:val="18"/>
          <w:szCs w:val="18"/>
        </w:rPr>
        <w:t>proate (300 mg/kg).</w:t>
      </w:r>
      <w:bookmarkEnd w:id="8"/>
    </w:p>
    <w:p w14:paraId="77B800C0" w14:textId="77777777" w:rsidR="001772DB" w:rsidRDefault="001772DB" w:rsidP="00441B6F">
      <w:pPr>
        <w:pStyle w:val="Body"/>
        <w:spacing w:after="0"/>
        <w:rPr>
          <w:rFonts w:ascii="Arial" w:hAnsi="Arial" w:cs="Arial"/>
          <w:lang w:val="en-GB"/>
        </w:rPr>
      </w:pPr>
    </w:p>
    <w:p w14:paraId="19210D26" w14:textId="30CF1A4A" w:rsidR="00BA1B45" w:rsidRPr="00BA1B45" w:rsidRDefault="00BA1B45" w:rsidP="0046522C">
      <w:pPr>
        <w:pStyle w:val="Body"/>
        <w:spacing w:after="0"/>
        <w:ind w:left="426" w:hanging="426"/>
        <w:rPr>
          <w:rFonts w:ascii="Arial" w:hAnsi="Arial" w:cs="Arial"/>
          <w:b/>
          <w:bCs/>
        </w:rPr>
      </w:pPr>
      <w:r w:rsidRPr="00BA1B45">
        <w:rPr>
          <w:rFonts w:ascii="Arial" w:hAnsi="Arial" w:cs="Arial"/>
          <w:b/>
          <w:bCs/>
        </w:rPr>
        <w:t>3.</w:t>
      </w:r>
      <w:bookmarkStart w:id="9" w:name="_Hlk98225634"/>
      <w:r w:rsidRPr="00BA1B45">
        <w:rPr>
          <w:rFonts w:ascii="Arial" w:hAnsi="Arial" w:cs="Arial"/>
          <w:b/>
          <w:bCs/>
        </w:rPr>
        <w:t xml:space="preserve">3. Effect of </w:t>
      </w:r>
      <w:r w:rsidR="000D3B21" w:rsidRPr="0046522C">
        <w:rPr>
          <w:rFonts w:ascii="Arial" w:hAnsi="Arial" w:cs="Arial"/>
          <w:b/>
          <w:bCs/>
        </w:rPr>
        <w:t>Crassoceph</w:t>
      </w:r>
      <w:r w:rsidR="00CC55DB" w:rsidRPr="0046522C">
        <w:rPr>
          <w:rFonts w:ascii="Arial" w:hAnsi="Arial" w:cs="Arial"/>
          <w:b/>
          <w:bCs/>
        </w:rPr>
        <w:t>al</w:t>
      </w:r>
      <w:r w:rsidR="000D3B21" w:rsidRPr="0046522C">
        <w:rPr>
          <w:rFonts w:ascii="Arial" w:hAnsi="Arial" w:cs="Arial"/>
          <w:b/>
          <w:bCs/>
        </w:rPr>
        <w:t>um bauchiense</w:t>
      </w:r>
      <w:r w:rsidR="000D3B21">
        <w:rPr>
          <w:rFonts w:ascii="Arial" w:hAnsi="Arial" w:cs="Arial"/>
          <w:b/>
          <w:bCs/>
        </w:rPr>
        <w:t xml:space="preserve"> </w:t>
      </w:r>
      <w:r w:rsidRPr="00BA1B45">
        <w:rPr>
          <w:rFonts w:ascii="Arial" w:hAnsi="Arial" w:cs="Arial"/>
          <w:b/>
          <w:bCs/>
        </w:rPr>
        <w:t>on latency and seizure score 24 hours after induction of SE with pilocarpine</w:t>
      </w:r>
    </w:p>
    <w:bookmarkEnd w:id="9"/>
    <w:p w14:paraId="24023D27" w14:textId="2F153435" w:rsidR="00BA1B45" w:rsidRPr="00BA1B45" w:rsidRDefault="00BA1B45" w:rsidP="00BA1B45">
      <w:pPr>
        <w:pStyle w:val="Body"/>
        <w:rPr>
          <w:rFonts w:ascii="Arial" w:hAnsi="Arial" w:cs="Arial"/>
        </w:rPr>
      </w:pPr>
      <w:r w:rsidRPr="00BA1B45">
        <w:rPr>
          <w:rFonts w:ascii="Arial" w:hAnsi="Arial" w:cs="Arial"/>
        </w:rPr>
        <w:t>The administration of pilocarpine induced the onset of the first tonic seizure in the negative control (87.83 ± 4.95 s) compared to the norm</w:t>
      </w:r>
      <w:r w:rsidR="00CC55DB">
        <w:rPr>
          <w:rFonts w:ascii="Arial" w:hAnsi="Arial" w:cs="Arial"/>
        </w:rPr>
        <w:t>al</w:t>
      </w:r>
      <w:r w:rsidRPr="00BA1B45">
        <w:rPr>
          <w:rFonts w:ascii="Arial" w:hAnsi="Arial" w:cs="Arial"/>
        </w:rPr>
        <w:t xml:space="preserve"> control (0.00 ± 00.00).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5B1400">
        <w:rPr>
          <w:rFonts w:ascii="Arial" w:hAnsi="Arial" w:cs="Arial"/>
          <w:i/>
          <w:iCs/>
        </w:rPr>
        <w:t xml:space="preserve"> </w:t>
      </w:r>
      <w:r w:rsidRPr="00BA1B45">
        <w:rPr>
          <w:rFonts w:ascii="Arial" w:hAnsi="Arial" w:cs="Arial"/>
        </w:rPr>
        <w:t>extract administered or</w:t>
      </w:r>
      <w:r w:rsidR="00CC55DB">
        <w:rPr>
          <w:rFonts w:ascii="Arial" w:hAnsi="Arial" w:cs="Arial"/>
        </w:rPr>
        <w:t>al</w:t>
      </w:r>
      <w:r w:rsidRPr="00BA1B45">
        <w:rPr>
          <w:rFonts w:ascii="Arial" w:hAnsi="Arial" w:cs="Arial"/>
        </w:rPr>
        <w:t xml:space="preserve">ly to mice delayed [ F (6, 35) = 1320, </w:t>
      </w:r>
      <w:r w:rsidRPr="00BA1B45">
        <w:rPr>
          <w:rFonts w:ascii="Arial" w:hAnsi="Arial" w:cs="Arial"/>
          <w:i/>
        </w:rPr>
        <w:t>P</w:t>
      </w:r>
      <w:r w:rsidRPr="00BA1B45">
        <w:rPr>
          <w:rFonts w:ascii="Arial" w:hAnsi="Arial" w:cs="Arial"/>
        </w:rPr>
        <w:t xml:space="preserve"> &lt;0.001] the onset of tonic-</w:t>
      </w:r>
      <w:proofErr w:type="spellStart"/>
      <w:r w:rsidRPr="00BA1B45">
        <w:rPr>
          <w:rFonts w:ascii="Arial" w:hAnsi="Arial" w:cs="Arial"/>
        </w:rPr>
        <w:t>clonic</w:t>
      </w:r>
      <w:proofErr w:type="spellEnd"/>
      <w:r w:rsidRPr="00BA1B45">
        <w:rPr>
          <w:rFonts w:ascii="Arial" w:hAnsi="Arial" w:cs="Arial"/>
        </w:rPr>
        <w:t xml:space="preserve"> convulsions by 662.5 ± 68.55 and 918.66 ± 48.61 s in the 140 and 280 mg/kg dose groups, respectively, compared to the negative control. The same was true for sodium v</w:t>
      </w:r>
      <w:r w:rsidR="00CC55DB">
        <w:rPr>
          <w:rFonts w:ascii="Arial" w:hAnsi="Arial" w:cs="Arial"/>
        </w:rPr>
        <w:t>al</w:t>
      </w:r>
      <w:r w:rsidRPr="00BA1B45">
        <w:rPr>
          <w:rFonts w:ascii="Arial" w:hAnsi="Arial" w:cs="Arial"/>
        </w:rPr>
        <w:t>proate, which induced an increase (p&lt;0.001) in the latency of onset of tonic-</w:t>
      </w:r>
      <w:proofErr w:type="spellStart"/>
      <w:r w:rsidRPr="00BA1B45">
        <w:rPr>
          <w:rFonts w:ascii="Arial" w:hAnsi="Arial" w:cs="Arial"/>
        </w:rPr>
        <w:t>clonic</w:t>
      </w:r>
      <w:proofErr w:type="spellEnd"/>
      <w:r w:rsidRPr="00BA1B45">
        <w:rPr>
          <w:rFonts w:ascii="Arial" w:hAnsi="Arial" w:cs="Arial"/>
        </w:rPr>
        <w:t xml:space="preserve"> seizures to 1587.83 ± 62.64 </w:t>
      </w:r>
      <w:proofErr w:type="spellStart"/>
      <w:r w:rsidRPr="00BA1B45">
        <w:rPr>
          <w:rFonts w:ascii="Arial" w:hAnsi="Arial" w:cs="Arial"/>
        </w:rPr>
        <w:t>s</w:t>
      </w:r>
      <w:proofErr w:type="spellEnd"/>
      <w:r w:rsidRPr="00BA1B45">
        <w:rPr>
          <w:rFonts w:ascii="Arial" w:hAnsi="Arial" w:cs="Arial"/>
        </w:rPr>
        <w:t xml:space="preserve"> compared to the negative control </w:t>
      </w:r>
      <w:r w:rsidRPr="00BA1B45">
        <w:rPr>
          <w:rFonts w:ascii="Arial" w:hAnsi="Arial" w:cs="Arial"/>
          <w:b/>
          <w:bCs/>
        </w:rPr>
        <w:t>(Fig.2A)</w:t>
      </w:r>
      <w:r w:rsidRPr="00BA1B45">
        <w:rPr>
          <w:rFonts w:ascii="Arial" w:hAnsi="Arial" w:cs="Arial"/>
        </w:rPr>
        <w:t xml:space="preserve">. </w:t>
      </w:r>
    </w:p>
    <w:p w14:paraId="04F0CC8D" w14:textId="7F15354B" w:rsidR="00BA1B45" w:rsidRPr="00BA1B45" w:rsidRDefault="00BA1B45" w:rsidP="00BA1B45">
      <w:pPr>
        <w:pStyle w:val="Body"/>
        <w:spacing w:after="0"/>
        <w:rPr>
          <w:rFonts w:ascii="Arial" w:hAnsi="Arial" w:cs="Arial"/>
        </w:rPr>
      </w:pPr>
      <w:r w:rsidRPr="00BA1B45">
        <w:rPr>
          <w:rFonts w:ascii="Arial" w:hAnsi="Arial" w:cs="Arial"/>
        </w:rPr>
        <w:t>It was found that the seizure score increased (p &lt;0.001) to 1 (100%) in the norm</w:t>
      </w:r>
      <w:r w:rsidR="00CC55DB">
        <w:rPr>
          <w:rFonts w:ascii="Arial" w:hAnsi="Arial" w:cs="Arial"/>
        </w:rPr>
        <w:t>al</w:t>
      </w:r>
      <w:r w:rsidRPr="00BA1B45">
        <w:rPr>
          <w:rFonts w:ascii="Arial" w:hAnsi="Arial" w:cs="Arial"/>
        </w:rPr>
        <w:t xml:space="preserve"> control which received distilled water compared to the negative control which received distilled water and pilocarpine in which this score was 0 (0%) </w:t>
      </w:r>
      <w:r w:rsidRPr="00BA1B45">
        <w:rPr>
          <w:rFonts w:ascii="Arial" w:hAnsi="Arial" w:cs="Arial"/>
          <w:b/>
          <w:bCs/>
        </w:rPr>
        <w:t>(Fig.2B)</w:t>
      </w:r>
      <w:r w:rsidRPr="00BA1B45">
        <w:rPr>
          <w:rFonts w:ascii="Arial" w:hAnsi="Arial" w:cs="Arial"/>
        </w:rPr>
        <w:t xml:space="preserve">. This score increased [ F (6, 35) = 1123, </w:t>
      </w:r>
      <w:r w:rsidRPr="00BA1B45">
        <w:rPr>
          <w:rFonts w:ascii="Arial" w:hAnsi="Arial" w:cs="Arial"/>
          <w:i/>
        </w:rPr>
        <w:t>P</w:t>
      </w:r>
      <w:r w:rsidRPr="00BA1B45">
        <w:rPr>
          <w:rFonts w:ascii="Arial" w:hAnsi="Arial" w:cs="Arial"/>
        </w:rPr>
        <w:t xml:space="preserve"> &lt;0.001] in a dose-dependent manner by 0.05 (5 %), 0.36 (36%), 0.86 (86%), 0.90 (90%) and respectively, in mice which received 28, 70, 140, and 280 mg/kg dose of extract of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103669">
        <w:rPr>
          <w:rFonts w:ascii="Arial" w:hAnsi="Arial" w:cs="Arial"/>
          <w:i/>
        </w:rPr>
        <w:t xml:space="preserve"> </w:t>
      </w:r>
      <w:r w:rsidRPr="00BA1B45">
        <w:rPr>
          <w:rFonts w:ascii="Arial" w:hAnsi="Arial" w:cs="Arial"/>
        </w:rPr>
        <w:t>compared with the negative control. Sodium v</w:t>
      </w:r>
      <w:r w:rsidR="00CC55DB">
        <w:rPr>
          <w:rFonts w:ascii="Arial" w:hAnsi="Arial" w:cs="Arial"/>
        </w:rPr>
        <w:t>al</w:t>
      </w:r>
      <w:r w:rsidRPr="00BA1B45">
        <w:rPr>
          <w:rFonts w:ascii="Arial" w:hAnsi="Arial" w:cs="Arial"/>
        </w:rPr>
        <w:t xml:space="preserve">proate increased (p &lt;0.001) this score to 0.94 (94%) compared with the negative control </w:t>
      </w:r>
      <w:r w:rsidRPr="00BA1B45">
        <w:rPr>
          <w:rFonts w:ascii="Arial" w:hAnsi="Arial" w:cs="Arial"/>
          <w:b/>
          <w:bCs/>
        </w:rPr>
        <w:t>(Fig.2B)</w:t>
      </w:r>
      <w:r w:rsidRPr="00BA1B45">
        <w:rPr>
          <w:rFonts w:ascii="Arial" w:hAnsi="Arial" w:cs="Arial"/>
        </w:rPr>
        <w:t>.</w:t>
      </w:r>
    </w:p>
    <w:p w14:paraId="63AC01F9" w14:textId="77777777" w:rsidR="001772DB" w:rsidRPr="00BA1B45" w:rsidRDefault="001772DB" w:rsidP="00441B6F">
      <w:pPr>
        <w:pStyle w:val="Body"/>
        <w:spacing w:after="0"/>
        <w:rPr>
          <w:rFonts w:ascii="Arial" w:hAnsi="Arial" w:cs="Arial"/>
        </w:rPr>
      </w:pPr>
    </w:p>
    <w:p w14:paraId="305FCE48" w14:textId="415E78E5" w:rsidR="001772DB" w:rsidRDefault="001772DB" w:rsidP="0045156F">
      <w:pPr>
        <w:pStyle w:val="Body"/>
        <w:spacing w:after="0"/>
        <w:rPr>
          <w:rFonts w:ascii="Arial" w:hAnsi="Arial" w:cs="Arial"/>
          <w:noProof/>
          <w:lang w:val="en-GB"/>
        </w:rPr>
      </w:pPr>
    </w:p>
    <w:p w14:paraId="19B526E5" w14:textId="4E323095" w:rsidR="0045156F" w:rsidRDefault="0045156F" w:rsidP="0045156F">
      <w:pPr>
        <w:pStyle w:val="Body"/>
        <w:spacing w:after="0"/>
        <w:rPr>
          <w:rFonts w:ascii="Arial" w:hAnsi="Arial" w:cs="Arial"/>
          <w:noProof/>
          <w:lang w:val="en-GB"/>
        </w:rPr>
      </w:pPr>
      <w:r>
        <w:rPr>
          <w:noProof/>
        </w:rPr>
        <w:lastRenderedPageBreak/>
        <w:drawing>
          <wp:inline distT="0" distB="0" distL="0" distR="0" wp14:anchorId="13059FFC" wp14:editId="7A5DFB95">
            <wp:extent cx="5189855" cy="2438400"/>
            <wp:effectExtent l="0" t="0" r="0" b="0"/>
            <wp:docPr id="14646438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673" cy="2448181"/>
                    </a:xfrm>
                    <a:prstGeom prst="rect">
                      <a:avLst/>
                    </a:prstGeom>
                    <a:noFill/>
                    <a:ln>
                      <a:noFill/>
                    </a:ln>
                  </pic:spPr>
                </pic:pic>
              </a:graphicData>
            </a:graphic>
          </wp:inline>
        </w:drawing>
      </w:r>
    </w:p>
    <w:p w14:paraId="1A651278" w14:textId="2BE5F2AA" w:rsidR="00BA1B45" w:rsidRDefault="00BA1B45" w:rsidP="00441B6F">
      <w:pPr>
        <w:pStyle w:val="Body"/>
        <w:spacing w:after="0"/>
        <w:rPr>
          <w:rFonts w:ascii="Arial" w:hAnsi="Arial" w:cs="Arial"/>
          <w:lang w:val="en-GB"/>
        </w:rPr>
      </w:pPr>
    </w:p>
    <w:p w14:paraId="15D2E404" w14:textId="0412D25D" w:rsidR="00822A31" w:rsidRPr="00822A31" w:rsidRDefault="00822A31" w:rsidP="00822A31">
      <w:pPr>
        <w:pStyle w:val="Body"/>
        <w:spacing w:after="0"/>
        <w:rPr>
          <w:rFonts w:ascii="Arial" w:hAnsi="Arial" w:cs="Arial"/>
        </w:rPr>
      </w:pPr>
      <w:r w:rsidRPr="00822A31">
        <w:rPr>
          <w:rFonts w:ascii="Arial" w:hAnsi="Arial" w:cs="Arial"/>
          <w:b/>
          <w:bCs/>
        </w:rPr>
        <w:t xml:space="preserve">Fig. 2. Effect of </w:t>
      </w:r>
      <w:r w:rsidR="000D3B21">
        <w:rPr>
          <w:rFonts w:ascii="Arial" w:hAnsi="Arial" w:cs="Arial"/>
          <w:b/>
          <w:bCs/>
          <w:i/>
          <w:iCs/>
        </w:rPr>
        <w:t>Crassoceph</w:t>
      </w:r>
      <w:r w:rsidR="00CC55DB">
        <w:rPr>
          <w:rFonts w:ascii="Arial" w:hAnsi="Arial" w:cs="Arial"/>
          <w:b/>
          <w:bCs/>
          <w:i/>
          <w:iCs/>
        </w:rPr>
        <w:t>al</w:t>
      </w:r>
      <w:r w:rsidR="000D3B21">
        <w:rPr>
          <w:rFonts w:ascii="Arial" w:hAnsi="Arial" w:cs="Arial"/>
          <w:b/>
          <w:bCs/>
          <w:i/>
          <w:iCs/>
        </w:rPr>
        <w:t>um bauchiense</w:t>
      </w:r>
      <w:r w:rsidR="004A119E">
        <w:rPr>
          <w:rFonts w:ascii="Arial" w:hAnsi="Arial" w:cs="Arial"/>
          <w:b/>
          <w:bCs/>
          <w:i/>
          <w:iCs/>
        </w:rPr>
        <w:t xml:space="preserve"> </w:t>
      </w:r>
      <w:r w:rsidRPr="00822A31">
        <w:rPr>
          <w:rFonts w:ascii="Arial" w:hAnsi="Arial" w:cs="Arial"/>
          <w:b/>
          <w:bCs/>
        </w:rPr>
        <w:t>on the latency of the first tonic-</w:t>
      </w:r>
      <w:proofErr w:type="spellStart"/>
      <w:r w:rsidRPr="00822A31">
        <w:rPr>
          <w:rFonts w:ascii="Arial" w:hAnsi="Arial" w:cs="Arial"/>
          <w:b/>
          <w:bCs/>
        </w:rPr>
        <w:t>clonic</w:t>
      </w:r>
      <w:proofErr w:type="spellEnd"/>
      <w:r w:rsidRPr="00822A31">
        <w:rPr>
          <w:rFonts w:ascii="Arial" w:hAnsi="Arial" w:cs="Arial"/>
          <w:b/>
          <w:bCs/>
        </w:rPr>
        <w:t xml:space="preserve"> seizure (A) and score of pilocarpine-induced seizures (B)</w:t>
      </w:r>
      <w:r w:rsidRPr="00822A31">
        <w:rPr>
          <w:rFonts w:ascii="Arial" w:hAnsi="Arial" w:cs="Arial"/>
        </w:rPr>
        <w:t>.</w:t>
      </w:r>
    </w:p>
    <w:p w14:paraId="568234EF" w14:textId="2535DC20" w:rsidR="00822A31" w:rsidRPr="00822A31" w:rsidRDefault="00822A31" w:rsidP="00822A31">
      <w:pPr>
        <w:pStyle w:val="Body"/>
        <w:spacing w:after="0"/>
        <w:rPr>
          <w:rFonts w:ascii="Arial" w:hAnsi="Arial" w:cs="Arial"/>
          <w:i/>
          <w:iCs/>
          <w:sz w:val="18"/>
          <w:szCs w:val="18"/>
        </w:rPr>
      </w:pPr>
      <w:r w:rsidRPr="00822A31">
        <w:rPr>
          <w:rFonts w:ascii="Arial" w:hAnsi="Arial" w:cs="Arial"/>
          <w:i/>
          <w:iCs/>
          <w:sz w:val="18"/>
          <w:szCs w:val="18"/>
        </w:rPr>
        <w:t>Each bar represents the mean ± MSE, n = 6. The data were an</w:t>
      </w:r>
      <w:r w:rsidR="00CC55DB">
        <w:rPr>
          <w:rFonts w:ascii="Arial" w:hAnsi="Arial" w:cs="Arial"/>
          <w:i/>
          <w:iCs/>
          <w:sz w:val="18"/>
          <w:szCs w:val="18"/>
        </w:rPr>
        <w:t>al</w:t>
      </w:r>
      <w:r w:rsidRPr="00822A31">
        <w:rPr>
          <w:rFonts w:ascii="Arial" w:hAnsi="Arial" w:cs="Arial"/>
          <w:i/>
          <w:iCs/>
          <w:sz w:val="18"/>
          <w:szCs w:val="18"/>
        </w:rPr>
        <w:t>yzed by the one-way ANOVA, followed by the turkey test.; ***p &lt; 0.001; significant difference compared to the negative control (</w:t>
      </w:r>
      <w:proofErr w:type="spellStart"/>
      <w:r w:rsidRPr="00822A31">
        <w:rPr>
          <w:rFonts w:ascii="Arial" w:hAnsi="Arial" w:cs="Arial"/>
          <w:i/>
          <w:iCs/>
          <w:sz w:val="18"/>
          <w:szCs w:val="18"/>
        </w:rPr>
        <w:t>DW+Pilo</w:t>
      </w:r>
      <w:proofErr w:type="spellEnd"/>
      <w:r w:rsidRPr="00822A31">
        <w:rPr>
          <w:rFonts w:ascii="Arial" w:hAnsi="Arial" w:cs="Arial"/>
          <w:i/>
          <w:iCs/>
          <w:sz w:val="18"/>
          <w:szCs w:val="18"/>
        </w:rPr>
        <w:t>). norm</w:t>
      </w:r>
      <w:r w:rsidR="00CC55DB">
        <w:rPr>
          <w:rFonts w:ascii="Arial" w:hAnsi="Arial" w:cs="Arial"/>
          <w:i/>
          <w:iCs/>
          <w:sz w:val="18"/>
          <w:szCs w:val="18"/>
        </w:rPr>
        <w:t>al</w:t>
      </w:r>
      <w:r w:rsidRPr="00822A31">
        <w:rPr>
          <w:rFonts w:ascii="Arial" w:hAnsi="Arial" w:cs="Arial"/>
          <w:i/>
          <w:iCs/>
          <w:sz w:val="18"/>
          <w:szCs w:val="18"/>
        </w:rPr>
        <w:t xml:space="preserve"> control group (DW+DW); DW: Distilled Water (10 mL/kg); Pilo: Pilocarpine; </w:t>
      </w:r>
      <w:proofErr w:type="spellStart"/>
      <w:r w:rsidRPr="00822A31">
        <w:rPr>
          <w:rFonts w:ascii="Arial" w:hAnsi="Arial" w:cs="Arial"/>
          <w:i/>
          <w:iCs/>
          <w:sz w:val="18"/>
          <w:szCs w:val="18"/>
        </w:rPr>
        <w:t>Cb</w:t>
      </w:r>
      <w:proofErr w:type="spellEnd"/>
      <w:r w:rsidRPr="00822A31">
        <w:rPr>
          <w:rFonts w:ascii="Arial" w:hAnsi="Arial" w:cs="Arial"/>
          <w:i/>
          <w:iCs/>
          <w:sz w:val="18"/>
          <w:szCs w:val="18"/>
        </w:rPr>
        <w:t>: C. bauchiense; SV: Sodium V</w:t>
      </w:r>
      <w:r w:rsidR="00CC55DB">
        <w:rPr>
          <w:rFonts w:ascii="Arial" w:hAnsi="Arial" w:cs="Arial"/>
          <w:i/>
          <w:iCs/>
          <w:sz w:val="18"/>
          <w:szCs w:val="18"/>
        </w:rPr>
        <w:t>al</w:t>
      </w:r>
      <w:r w:rsidRPr="00822A31">
        <w:rPr>
          <w:rFonts w:ascii="Arial" w:hAnsi="Arial" w:cs="Arial"/>
          <w:i/>
          <w:iCs/>
          <w:sz w:val="18"/>
          <w:szCs w:val="18"/>
        </w:rPr>
        <w:t>proate (300 mg/kg).</w:t>
      </w:r>
    </w:p>
    <w:p w14:paraId="2F9B21A7" w14:textId="74919366" w:rsidR="00BA1B45" w:rsidRPr="00822A31" w:rsidRDefault="00BA1B45" w:rsidP="00441B6F">
      <w:pPr>
        <w:pStyle w:val="Body"/>
        <w:spacing w:after="0"/>
        <w:rPr>
          <w:rFonts w:ascii="Arial" w:hAnsi="Arial" w:cs="Arial"/>
        </w:rPr>
      </w:pPr>
    </w:p>
    <w:p w14:paraId="07D6EDAE" w14:textId="2C7F2221" w:rsidR="00822A31" w:rsidRPr="00822A31" w:rsidRDefault="00822A31" w:rsidP="0046522C">
      <w:pPr>
        <w:pStyle w:val="Body"/>
        <w:spacing w:after="0"/>
        <w:ind w:left="426" w:hanging="426"/>
        <w:rPr>
          <w:rFonts w:ascii="Arial" w:hAnsi="Arial" w:cs="Arial"/>
          <w:b/>
          <w:bCs/>
        </w:rPr>
      </w:pPr>
      <w:r w:rsidRPr="00822A31">
        <w:rPr>
          <w:rFonts w:ascii="Arial" w:hAnsi="Arial" w:cs="Arial"/>
          <w:b/>
          <w:bCs/>
        </w:rPr>
        <w:t xml:space="preserve">3.4. Effects of aqueous extract of </w:t>
      </w:r>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 bauchiense</w:t>
      </w:r>
      <w:r w:rsidRPr="00822A31">
        <w:rPr>
          <w:rFonts w:ascii="Arial" w:hAnsi="Arial" w:cs="Arial"/>
          <w:b/>
          <w:bCs/>
        </w:rPr>
        <w:t xml:space="preserve"> on the number of tonic and </w:t>
      </w:r>
      <w:proofErr w:type="spellStart"/>
      <w:r w:rsidRPr="00822A31">
        <w:rPr>
          <w:rFonts w:ascii="Arial" w:hAnsi="Arial" w:cs="Arial"/>
          <w:b/>
          <w:bCs/>
        </w:rPr>
        <w:t>clonic</w:t>
      </w:r>
      <w:proofErr w:type="spellEnd"/>
      <w:r w:rsidRPr="00822A31">
        <w:rPr>
          <w:rFonts w:ascii="Arial" w:hAnsi="Arial" w:cs="Arial"/>
          <w:b/>
          <w:bCs/>
        </w:rPr>
        <w:t xml:space="preserve"> convulsions induced by pilocarpine</w:t>
      </w:r>
    </w:p>
    <w:p w14:paraId="5B68F20B" w14:textId="62B587A0" w:rsidR="00822A31" w:rsidRDefault="00822A31" w:rsidP="00822A31">
      <w:pPr>
        <w:pStyle w:val="Body"/>
        <w:spacing w:after="0"/>
        <w:rPr>
          <w:rFonts w:ascii="Arial" w:hAnsi="Arial" w:cs="Arial"/>
        </w:rPr>
      </w:pPr>
      <w:r w:rsidRPr="00822A31">
        <w:rPr>
          <w:rFonts w:ascii="Arial" w:hAnsi="Arial" w:cs="Arial"/>
        </w:rPr>
        <w:t>The number of tonic convulsions increased significantly (p &lt;0.001) in the negative control (7.67 ± 1.21) compared with the norm</w:t>
      </w:r>
      <w:r w:rsidR="00CC55DB">
        <w:rPr>
          <w:rFonts w:ascii="Arial" w:hAnsi="Arial" w:cs="Arial"/>
        </w:rPr>
        <w:t>al</w:t>
      </w:r>
      <w:r w:rsidRPr="00822A31">
        <w:rPr>
          <w:rFonts w:ascii="Arial" w:hAnsi="Arial" w:cs="Arial"/>
        </w:rPr>
        <w:t xml:space="preserve"> control (0.00 ± 0.00). </w:t>
      </w:r>
      <w:r w:rsidRPr="00822A31">
        <w:rPr>
          <w:rFonts w:ascii="Arial" w:hAnsi="Arial" w:cs="Arial"/>
          <w:i/>
          <w:iCs/>
        </w:rPr>
        <w:t>Crassoceph</w:t>
      </w:r>
      <w:r w:rsidR="00CC55DB">
        <w:rPr>
          <w:rFonts w:ascii="Arial" w:hAnsi="Arial" w:cs="Arial"/>
          <w:i/>
          <w:iCs/>
        </w:rPr>
        <w:t>al</w:t>
      </w:r>
      <w:r w:rsidRPr="00822A31">
        <w:rPr>
          <w:rFonts w:ascii="Arial" w:hAnsi="Arial" w:cs="Arial"/>
          <w:i/>
          <w:iCs/>
        </w:rPr>
        <w:t>um bauchiense</w:t>
      </w:r>
      <w:r w:rsidRPr="00822A31">
        <w:rPr>
          <w:rFonts w:ascii="Arial" w:hAnsi="Arial" w:cs="Arial"/>
        </w:rPr>
        <w:t xml:space="preserve"> extract induced a significant decrease [F (6, 35) = 50.5,</w:t>
      </w:r>
      <w:r w:rsidRPr="00822A31">
        <w:rPr>
          <w:rFonts w:ascii="Arial" w:hAnsi="Arial" w:cs="Arial"/>
          <w:i/>
        </w:rPr>
        <w:t xml:space="preserve"> P</w:t>
      </w:r>
      <w:r w:rsidRPr="00822A31">
        <w:rPr>
          <w:rFonts w:ascii="Arial" w:hAnsi="Arial" w:cs="Arial"/>
        </w:rPr>
        <w:t xml:space="preserve"> &lt;0.001] of this number by 5.5 (p &lt;0.05) (28.19%), 4.33 (p &lt;0.001) (43.86%) and 4.33 (p &lt;0.001) (43.66%) respectively in mice given the dose of 70, 140 and 280 mg/kg compared to the negative control </w:t>
      </w:r>
      <w:r w:rsidRPr="00822A31">
        <w:rPr>
          <w:rFonts w:ascii="Arial" w:hAnsi="Arial" w:cs="Arial"/>
          <w:b/>
          <w:bCs/>
        </w:rPr>
        <w:t>(Table 1)</w:t>
      </w:r>
      <w:r w:rsidRPr="00822A31">
        <w:rPr>
          <w:rFonts w:ascii="Arial" w:hAnsi="Arial" w:cs="Arial"/>
        </w:rPr>
        <w:t>. As for sodium v</w:t>
      </w:r>
      <w:r w:rsidR="00CC55DB">
        <w:rPr>
          <w:rFonts w:ascii="Arial" w:hAnsi="Arial" w:cs="Arial"/>
        </w:rPr>
        <w:t>al</w:t>
      </w:r>
      <w:r w:rsidRPr="00822A31">
        <w:rPr>
          <w:rFonts w:ascii="Arial" w:hAnsi="Arial" w:cs="Arial"/>
        </w:rPr>
        <w:t xml:space="preserve">proate, it induced a decrease (p &lt;0.001) of 2.67 (69.58%) in the number of tonic convulsions compared to the negative control </w:t>
      </w:r>
      <w:r w:rsidRPr="00822A31">
        <w:rPr>
          <w:rFonts w:ascii="Arial" w:hAnsi="Arial" w:cs="Arial"/>
          <w:b/>
          <w:bCs/>
        </w:rPr>
        <w:t>(Table 1)</w:t>
      </w:r>
      <w:r w:rsidRPr="00822A31">
        <w:rPr>
          <w:rFonts w:ascii="Arial" w:hAnsi="Arial" w:cs="Arial"/>
        </w:rPr>
        <w:t>.</w:t>
      </w:r>
    </w:p>
    <w:p w14:paraId="77E78A9B" w14:textId="77777777" w:rsidR="00822A31" w:rsidRPr="00822A31" w:rsidRDefault="00822A31" w:rsidP="00822A31">
      <w:pPr>
        <w:pStyle w:val="Body"/>
        <w:spacing w:after="0"/>
        <w:rPr>
          <w:rFonts w:ascii="Arial" w:hAnsi="Arial" w:cs="Arial"/>
        </w:rPr>
      </w:pPr>
    </w:p>
    <w:p w14:paraId="641A806D" w14:textId="24EE0344" w:rsidR="00822A31" w:rsidRPr="00822A31" w:rsidRDefault="00822A31" w:rsidP="00822A31">
      <w:pPr>
        <w:pStyle w:val="Body"/>
        <w:spacing w:after="0"/>
        <w:rPr>
          <w:rFonts w:ascii="Arial" w:hAnsi="Arial" w:cs="Arial"/>
        </w:rPr>
      </w:pPr>
      <w:r w:rsidRPr="00822A31">
        <w:rPr>
          <w:rFonts w:ascii="Arial" w:hAnsi="Arial" w:cs="Arial"/>
        </w:rPr>
        <w:t xml:space="preserve">The number of </w:t>
      </w:r>
      <w:proofErr w:type="spellStart"/>
      <w:r w:rsidRPr="00822A31">
        <w:rPr>
          <w:rFonts w:ascii="Arial" w:hAnsi="Arial" w:cs="Arial"/>
        </w:rPr>
        <w:t>clonic</w:t>
      </w:r>
      <w:proofErr w:type="spellEnd"/>
      <w:r w:rsidRPr="00822A31">
        <w:rPr>
          <w:rFonts w:ascii="Arial" w:hAnsi="Arial" w:cs="Arial"/>
        </w:rPr>
        <w:t xml:space="preserve"> convulsions was significantly increased (p &lt;0.001) in the negative control (24.33 ± 2.06) compared with the norm</w:t>
      </w:r>
      <w:r w:rsidR="00CC55DB">
        <w:rPr>
          <w:rFonts w:ascii="Arial" w:hAnsi="Arial" w:cs="Arial"/>
        </w:rPr>
        <w:t>al</w:t>
      </w:r>
      <w:r w:rsidRPr="00822A31">
        <w:rPr>
          <w:rFonts w:ascii="Arial" w:hAnsi="Arial" w:cs="Arial"/>
        </w:rPr>
        <w:t xml:space="preserve"> control (0.00 ± 0.00). The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822A31">
        <w:rPr>
          <w:rFonts w:ascii="Arial" w:hAnsi="Arial" w:cs="Arial"/>
        </w:rPr>
        <w:t>significantly [F (6, 35) = 135,</w:t>
      </w:r>
      <w:r w:rsidRPr="00822A31">
        <w:rPr>
          <w:rFonts w:ascii="Arial" w:hAnsi="Arial" w:cs="Arial"/>
          <w:i/>
        </w:rPr>
        <w:t xml:space="preserve"> P</w:t>
      </w:r>
      <w:r w:rsidRPr="00822A31">
        <w:rPr>
          <w:rFonts w:ascii="Arial" w:hAnsi="Arial" w:cs="Arial"/>
        </w:rPr>
        <w:t xml:space="preserve"> &lt;0.001] decreased the number of </w:t>
      </w:r>
      <w:proofErr w:type="spellStart"/>
      <w:r w:rsidRPr="00822A31">
        <w:rPr>
          <w:rFonts w:ascii="Arial" w:hAnsi="Arial" w:cs="Arial"/>
        </w:rPr>
        <w:t>clonic</w:t>
      </w:r>
      <w:proofErr w:type="spellEnd"/>
      <w:r w:rsidRPr="00822A31">
        <w:rPr>
          <w:rFonts w:ascii="Arial" w:hAnsi="Arial" w:cs="Arial"/>
        </w:rPr>
        <w:t xml:space="preserve"> convulsions in mice. This decrease was from 12.33 (49.32%) to 10.00 (58.89%) respectively in the 140 and 280 mg/kg mice compared to the negative control </w:t>
      </w:r>
      <w:r w:rsidRPr="00822A31">
        <w:rPr>
          <w:rFonts w:ascii="Arial" w:hAnsi="Arial" w:cs="Arial"/>
          <w:b/>
          <w:bCs/>
        </w:rPr>
        <w:t>(Table 1)</w:t>
      </w:r>
      <w:r w:rsidRPr="00822A31">
        <w:rPr>
          <w:rFonts w:ascii="Arial" w:hAnsi="Arial" w:cs="Arial"/>
        </w:rPr>
        <w:t>. The same is true for sodium v</w:t>
      </w:r>
      <w:r w:rsidR="00CC55DB">
        <w:rPr>
          <w:rFonts w:ascii="Arial" w:hAnsi="Arial" w:cs="Arial"/>
        </w:rPr>
        <w:t>al</w:t>
      </w:r>
      <w:r w:rsidRPr="00822A31">
        <w:rPr>
          <w:rFonts w:ascii="Arial" w:hAnsi="Arial" w:cs="Arial"/>
        </w:rPr>
        <w:t xml:space="preserve">proate, which induced a decrease (p&lt;0.001) of 3.16 (87.01%) in </w:t>
      </w:r>
      <w:proofErr w:type="spellStart"/>
      <w:r w:rsidRPr="00822A31">
        <w:rPr>
          <w:rFonts w:ascii="Arial" w:hAnsi="Arial" w:cs="Arial"/>
        </w:rPr>
        <w:t>clonic</w:t>
      </w:r>
      <w:proofErr w:type="spellEnd"/>
      <w:r w:rsidRPr="00822A31">
        <w:rPr>
          <w:rFonts w:ascii="Arial" w:hAnsi="Arial" w:cs="Arial"/>
        </w:rPr>
        <w:t xml:space="preserve"> convulsions compared to the negative control </w:t>
      </w:r>
      <w:r w:rsidRPr="00822A31">
        <w:rPr>
          <w:rFonts w:ascii="Arial" w:hAnsi="Arial" w:cs="Arial"/>
          <w:b/>
          <w:bCs/>
        </w:rPr>
        <w:t>(Table 1)</w:t>
      </w:r>
      <w:r w:rsidRPr="00822A31">
        <w:rPr>
          <w:rFonts w:ascii="Arial" w:hAnsi="Arial" w:cs="Arial"/>
        </w:rPr>
        <w:t>.</w:t>
      </w:r>
    </w:p>
    <w:p w14:paraId="0FD0B7FA" w14:textId="4BFB549F" w:rsidR="00BA1B45" w:rsidRDefault="00BA1B45" w:rsidP="00441B6F">
      <w:pPr>
        <w:pStyle w:val="Body"/>
        <w:spacing w:after="0"/>
        <w:rPr>
          <w:rFonts w:ascii="Arial" w:hAnsi="Arial" w:cs="Arial"/>
        </w:rPr>
      </w:pPr>
    </w:p>
    <w:p w14:paraId="03EA3FB1" w14:textId="07F7C2A9" w:rsidR="00822A31" w:rsidRDefault="00822A31" w:rsidP="00441B6F">
      <w:pPr>
        <w:pStyle w:val="Body"/>
        <w:spacing w:after="0"/>
        <w:rPr>
          <w:rFonts w:ascii="Arial" w:hAnsi="Arial" w:cs="Arial"/>
        </w:rPr>
      </w:pPr>
    </w:p>
    <w:p w14:paraId="46F38823" w14:textId="58F273E1" w:rsidR="00822A31" w:rsidRDefault="00822A31" w:rsidP="00441B6F">
      <w:pPr>
        <w:pStyle w:val="Body"/>
        <w:spacing w:after="0"/>
        <w:rPr>
          <w:rFonts w:ascii="Arial" w:hAnsi="Arial" w:cs="Arial"/>
        </w:rPr>
      </w:pPr>
    </w:p>
    <w:p w14:paraId="68546444" w14:textId="2D3A7A51" w:rsidR="00822A31" w:rsidRDefault="00822A31" w:rsidP="00441B6F">
      <w:pPr>
        <w:pStyle w:val="Body"/>
        <w:spacing w:after="0"/>
        <w:rPr>
          <w:rFonts w:ascii="Arial" w:hAnsi="Arial" w:cs="Arial"/>
        </w:rPr>
      </w:pPr>
    </w:p>
    <w:p w14:paraId="37733F9B" w14:textId="35B56F99" w:rsidR="00D23863" w:rsidRDefault="00D23863" w:rsidP="00441B6F">
      <w:pPr>
        <w:pStyle w:val="Body"/>
        <w:spacing w:after="0"/>
        <w:rPr>
          <w:rFonts w:ascii="Arial" w:hAnsi="Arial" w:cs="Arial"/>
        </w:rPr>
      </w:pPr>
    </w:p>
    <w:p w14:paraId="0C871DCC" w14:textId="510D4CCE" w:rsidR="00D23863" w:rsidRDefault="00D23863" w:rsidP="00441B6F">
      <w:pPr>
        <w:pStyle w:val="Body"/>
        <w:spacing w:after="0"/>
        <w:rPr>
          <w:rFonts w:ascii="Arial" w:hAnsi="Arial" w:cs="Arial"/>
        </w:rPr>
      </w:pPr>
    </w:p>
    <w:p w14:paraId="06484A6A" w14:textId="2E914839" w:rsidR="00D23863" w:rsidRDefault="00D23863" w:rsidP="00441B6F">
      <w:pPr>
        <w:pStyle w:val="Body"/>
        <w:spacing w:after="0"/>
        <w:rPr>
          <w:rFonts w:ascii="Arial" w:hAnsi="Arial" w:cs="Arial"/>
        </w:rPr>
      </w:pPr>
    </w:p>
    <w:p w14:paraId="168C7253" w14:textId="46A1AE37" w:rsidR="00D23863" w:rsidRDefault="00D23863" w:rsidP="00441B6F">
      <w:pPr>
        <w:pStyle w:val="Body"/>
        <w:spacing w:after="0"/>
        <w:rPr>
          <w:rFonts w:ascii="Arial" w:hAnsi="Arial" w:cs="Arial"/>
        </w:rPr>
      </w:pPr>
    </w:p>
    <w:p w14:paraId="43A53E62" w14:textId="77777777" w:rsidR="00D23863" w:rsidRDefault="00D23863" w:rsidP="00441B6F">
      <w:pPr>
        <w:pStyle w:val="Body"/>
        <w:spacing w:after="0"/>
        <w:rPr>
          <w:rFonts w:ascii="Arial" w:hAnsi="Arial" w:cs="Arial"/>
        </w:rPr>
      </w:pPr>
    </w:p>
    <w:p w14:paraId="36A1EA3C" w14:textId="534A075E" w:rsidR="00822A31" w:rsidRDefault="00822A31" w:rsidP="00441B6F">
      <w:pPr>
        <w:pStyle w:val="Body"/>
        <w:spacing w:after="0"/>
        <w:rPr>
          <w:rFonts w:ascii="Arial" w:hAnsi="Arial" w:cs="Arial"/>
        </w:rPr>
      </w:pPr>
    </w:p>
    <w:p w14:paraId="5A098C4B" w14:textId="77777777" w:rsidR="00822A31" w:rsidRDefault="00822A31" w:rsidP="00441B6F">
      <w:pPr>
        <w:pStyle w:val="Body"/>
        <w:spacing w:after="0"/>
        <w:rPr>
          <w:rFonts w:ascii="Arial" w:hAnsi="Arial" w:cs="Arial"/>
        </w:rPr>
      </w:pPr>
    </w:p>
    <w:p w14:paraId="62D4E977" w14:textId="505EB6D3" w:rsidR="00822A31" w:rsidRPr="00822A31" w:rsidRDefault="00822A31" w:rsidP="003F6EA3">
      <w:pPr>
        <w:pStyle w:val="Body"/>
        <w:spacing w:after="0"/>
        <w:jc w:val="center"/>
        <w:rPr>
          <w:rFonts w:ascii="Arial" w:hAnsi="Arial" w:cs="Arial"/>
          <w:bCs/>
          <w:i/>
        </w:rPr>
      </w:pPr>
      <w:bookmarkStart w:id="10" w:name="_Toc499202103"/>
      <w:r w:rsidRPr="00822A31">
        <w:rPr>
          <w:rFonts w:ascii="Arial" w:hAnsi="Arial" w:cs="Arial"/>
          <w:b/>
          <w:iCs/>
        </w:rPr>
        <w:lastRenderedPageBreak/>
        <w:t>Table 1:</w:t>
      </w:r>
      <w:r w:rsidRPr="00822A31">
        <w:rPr>
          <w:rFonts w:ascii="Arial" w:hAnsi="Arial" w:cs="Arial"/>
          <w:b/>
          <w:bCs/>
          <w:iCs/>
        </w:rPr>
        <w:t xml:space="preserve"> </w:t>
      </w:r>
      <w:bookmarkEnd w:id="10"/>
      <w:r w:rsidRPr="00822A31">
        <w:rPr>
          <w:rFonts w:ascii="Arial" w:hAnsi="Arial" w:cs="Arial"/>
          <w:b/>
          <w:iCs/>
        </w:rPr>
        <w:t xml:space="preserve">Number of tonic and </w:t>
      </w:r>
      <w:proofErr w:type="spellStart"/>
      <w:r w:rsidRPr="00822A31">
        <w:rPr>
          <w:rFonts w:ascii="Arial" w:hAnsi="Arial" w:cs="Arial"/>
          <w:b/>
          <w:iCs/>
        </w:rPr>
        <w:t>clonic</w:t>
      </w:r>
      <w:proofErr w:type="spellEnd"/>
      <w:r w:rsidRPr="00822A31">
        <w:rPr>
          <w:rFonts w:ascii="Arial" w:hAnsi="Arial" w:cs="Arial"/>
          <w:b/>
          <w:iCs/>
        </w:rPr>
        <w:t xml:space="preserve"> convulsions according to the doses of</w:t>
      </w:r>
      <w:r w:rsidRPr="00822A31">
        <w:rPr>
          <w:rFonts w:ascii="Arial" w:hAnsi="Arial" w:cs="Arial"/>
          <w:bCs/>
          <w:iCs/>
        </w:rPr>
        <w:t xml:space="preserve"> </w:t>
      </w:r>
      <w:r w:rsidRPr="004A119E">
        <w:rPr>
          <w:rFonts w:ascii="Arial" w:hAnsi="Arial" w:cs="Arial"/>
          <w:b/>
          <w:i/>
        </w:rPr>
        <w:t>Crassoceph</w:t>
      </w:r>
      <w:r w:rsidR="00CC55DB">
        <w:rPr>
          <w:rFonts w:ascii="Arial" w:hAnsi="Arial" w:cs="Arial"/>
          <w:b/>
          <w:i/>
        </w:rPr>
        <w:t>al</w:t>
      </w:r>
      <w:r w:rsidRPr="004A119E">
        <w:rPr>
          <w:rFonts w:ascii="Arial" w:hAnsi="Arial" w:cs="Arial"/>
          <w:b/>
          <w:i/>
        </w:rPr>
        <w:t>um bauchiense</w:t>
      </w:r>
    </w:p>
    <w:tbl>
      <w:tblPr>
        <w:tblW w:w="8931" w:type="dxa"/>
        <w:tblBorders>
          <w:top w:val="single" w:sz="4" w:space="0" w:color="auto"/>
          <w:bottom w:val="single" w:sz="4" w:space="0" w:color="auto"/>
        </w:tblBorders>
        <w:tblLook w:val="04A0" w:firstRow="1" w:lastRow="0" w:firstColumn="1" w:lastColumn="0" w:noHBand="0" w:noVBand="1"/>
      </w:tblPr>
      <w:tblGrid>
        <w:gridCol w:w="1418"/>
        <w:gridCol w:w="1667"/>
        <w:gridCol w:w="2835"/>
        <w:gridCol w:w="3011"/>
      </w:tblGrid>
      <w:tr w:rsidR="003F6EA3" w:rsidRPr="00822A31" w14:paraId="6219D20E" w14:textId="77777777" w:rsidTr="003F6EA3">
        <w:trPr>
          <w:trHeight w:val="322"/>
        </w:trPr>
        <w:tc>
          <w:tcPr>
            <w:tcW w:w="1418" w:type="dxa"/>
            <w:tcBorders>
              <w:top w:val="single" w:sz="4" w:space="0" w:color="auto"/>
              <w:bottom w:val="single" w:sz="4" w:space="0" w:color="auto"/>
            </w:tcBorders>
            <w:noWrap/>
            <w:hideMark/>
          </w:tcPr>
          <w:p w14:paraId="1D0D6D53" w14:textId="77777777" w:rsidR="00822A31" w:rsidRPr="00822A31" w:rsidRDefault="00822A31" w:rsidP="003F6EA3">
            <w:pPr>
              <w:pStyle w:val="Body"/>
              <w:spacing w:after="0"/>
              <w:rPr>
                <w:rFonts w:ascii="Arial" w:hAnsi="Arial" w:cs="Arial"/>
                <w:b/>
                <w:bCs/>
                <w:lang w:val="fr-CM"/>
              </w:rPr>
            </w:pPr>
            <w:r w:rsidRPr="00822A31">
              <w:rPr>
                <w:rFonts w:ascii="Arial" w:hAnsi="Arial" w:cs="Arial"/>
                <w:b/>
                <w:bCs/>
                <w:lang w:val="fr-CM"/>
              </w:rPr>
              <w:t>Groups</w:t>
            </w:r>
          </w:p>
        </w:tc>
        <w:tc>
          <w:tcPr>
            <w:tcW w:w="1667" w:type="dxa"/>
            <w:tcBorders>
              <w:top w:val="single" w:sz="4" w:space="0" w:color="auto"/>
              <w:bottom w:val="single" w:sz="4" w:space="0" w:color="auto"/>
            </w:tcBorders>
            <w:noWrap/>
            <w:hideMark/>
          </w:tcPr>
          <w:p w14:paraId="2727BCA1" w14:textId="77777777" w:rsidR="00822A31" w:rsidRPr="00822A31" w:rsidRDefault="00822A31" w:rsidP="003F6EA3">
            <w:pPr>
              <w:pStyle w:val="Body"/>
              <w:spacing w:after="0"/>
              <w:rPr>
                <w:rFonts w:ascii="Arial" w:hAnsi="Arial" w:cs="Arial"/>
                <w:b/>
                <w:bCs/>
                <w:lang w:val="fr-CM"/>
              </w:rPr>
            </w:pPr>
            <w:r w:rsidRPr="00822A31">
              <w:rPr>
                <w:rFonts w:ascii="Arial" w:hAnsi="Arial" w:cs="Arial"/>
                <w:b/>
                <w:bCs/>
                <w:lang w:val="fr-CM"/>
              </w:rPr>
              <w:t>Doses (mg/kg)</w:t>
            </w:r>
          </w:p>
        </w:tc>
        <w:tc>
          <w:tcPr>
            <w:tcW w:w="2835" w:type="dxa"/>
            <w:tcBorders>
              <w:top w:val="single" w:sz="4" w:space="0" w:color="auto"/>
              <w:bottom w:val="single" w:sz="4" w:space="0" w:color="auto"/>
            </w:tcBorders>
            <w:noWrap/>
            <w:hideMark/>
          </w:tcPr>
          <w:p w14:paraId="4B698449" w14:textId="3D7FC1FA" w:rsidR="00822A31" w:rsidRPr="00822A31" w:rsidRDefault="00822A31" w:rsidP="003F6EA3">
            <w:pPr>
              <w:pStyle w:val="Body"/>
              <w:spacing w:after="0"/>
              <w:rPr>
                <w:rFonts w:ascii="Arial" w:hAnsi="Arial" w:cs="Arial"/>
                <w:b/>
                <w:bCs/>
                <w:lang w:val="fr-CM"/>
              </w:rPr>
            </w:pPr>
            <w:proofErr w:type="spellStart"/>
            <w:r w:rsidRPr="00822A31">
              <w:rPr>
                <w:rFonts w:ascii="Arial" w:hAnsi="Arial" w:cs="Arial"/>
                <w:b/>
                <w:bCs/>
                <w:lang w:val="fr-CM"/>
              </w:rPr>
              <w:t>Number</w:t>
            </w:r>
            <w:proofErr w:type="spellEnd"/>
            <w:r w:rsidRPr="00822A31">
              <w:rPr>
                <w:rFonts w:ascii="Arial" w:hAnsi="Arial" w:cs="Arial"/>
                <w:b/>
                <w:bCs/>
                <w:lang w:val="fr-CM"/>
              </w:rPr>
              <w:t xml:space="preserve"> of tonic</w:t>
            </w:r>
            <w:r w:rsidR="003F6EA3">
              <w:rPr>
                <w:rFonts w:ascii="Arial" w:hAnsi="Arial" w:cs="Arial"/>
                <w:b/>
                <w:bCs/>
                <w:lang w:val="fr-CM"/>
              </w:rPr>
              <w:t xml:space="preserve"> </w:t>
            </w:r>
            <w:proofErr w:type="spellStart"/>
            <w:r w:rsidRPr="00822A31">
              <w:rPr>
                <w:rFonts w:ascii="Arial" w:hAnsi="Arial" w:cs="Arial"/>
                <w:b/>
                <w:bCs/>
                <w:lang w:val="fr-CM"/>
              </w:rPr>
              <w:t>seizures</w:t>
            </w:r>
            <w:proofErr w:type="spellEnd"/>
            <w:r w:rsidRPr="00822A31">
              <w:rPr>
                <w:rFonts w:ascii="Arial" w:hAnsi="Arial" w:cs="Arial"/>
                <w:b/>
                <w:bCs/>
                <w:lang w:val="fr-CM"/>
              </w:rPr>
              <w:t xml:space="preserve"> </w:t>
            </w:r>
          </w:p>
        </w:tc>
        <w:tc>
          <w:tcPr>
            <w:tcW w:w="3011" w:type="dxa"/>
            <w:tcBorders>
              <w:top w:val="single" w:sz="4" w:space="0" w:color="auto"/>
              <w:bottom w:val="single" w:sz="4" w:space="0" w:color="auto"/>
            </w:tcBorders>
            <w:noWrap/>
            <w:hideMark/>
          </w:tcPr>
          <w:p w14:paraId="114A1524" w14:textId="4A529AFD" w:rsidR="00822A31" w:rsidRPr="00822A31" w:rsidRDefault="00822A31" w:rsidP="003F6EA3">
            <w:pPr>
              <w:pStyle w:val="Body"/>
              <w:spacing w:after="0"/>
              <w:rPr>
                <w:rFonts w:ascii="Arial" w:hAnsi="Arial" w:cs="Arial"/>
                <w:b/>
                <w:bCs/>
                <w:lang w:val="fr-CM"/>
              </w:rPr>
            </w:pPr>
            <w:proofErr w:type="spellStart"/>
            <w:r w:rsidRPr="00822A31">
              <w:rPr>
                <w:rFonts w:ascii="Arial" w:hAnsi="Arial" w:cs="Arial"/>
                <w:b/>
                <w:bCs/>
                <w:lang w:val="fr-CM"/>
              </w:rPr>
              <w:t>Number</w:t>
            </w:r>
            <w:proofErr w:type="spellEnd"/>
            <w:r w:rsidRPr="00822A31">
              <w:rPr>
                <w:rFonts w:ascii="Arial" w:hAnsi="Arial" w:cs="Arial"/>
                <w:b/>
                <w:bCs/>
                <w:lang w:val="fr-CM"/>
              </w:rPr>
              <w:t xml:space="preserve"> of </w:t>
            </w:r>
            <w:proofErr w:type="spellStart"/>
            <w:r w:rsidRPr="00822A31">
              <w:rPr>
                <w:rFonts w:ascii="Arial" w:hAnsi="Arial" w:cs="Arial"/>
                <w:b/>
                <w:bCs/>
                <w:lang w:val="fr-CM"/>
              </w:rPr>
              <w:t>clonic</w:t>
            </w:r>
            <w:proofErr w:type="spellEnd"/>
            <w:r w:rsidR="003F6EA3">
              <w:rPr>
                <w:rFonts w:ascii="Arial" w:hAnsi="Arial" w:cs="Arial"/>
                <w:b/>
                <w:bCs/>
                <w:lang w:val="fr-CM"/>
              </w:rPr>
              <w:t xml:space="preserve"> </w:t>
            </w:r>
            <w:proofErr w:type="spellStart"/>
            <w:r w:rsidRPr="00822A31">
              <w:rPr>
                <w:rFonts w:ascii="Arial" w:hAnsi="Arial" w:cs="Arial"/>
                <w:b/>
                <w:bCs/>
                <w:lang w:val="fr-CM"/>
              </w:rPr>
              <w:t>seizures</w:t>
            </w:r>
            <w:proofErr w:type="spellEnd"/>
            <w:r w:rsidRPr="00822A31">
              <w:rPr>
                <w:rFonts w:ascii="Arial" w:hAnsi="Arial" w:cs="Arial"/>
                <w:b/>
                <w:bCs/>
                <w:lang w:val="fr-CM"/>
              </w:rPr>
              <w:t xml:space="preserve"> </w:t>
            </w:r>
          </w:p>
        </w:tc>
      </w:tr>
      <w:tr w:rsidR="003F6EA3" w:rsidRPr="00822A31" w14:paraId="3A975BBE" w14:textId="77777777" w:rsidTr="003F6EA3">
        <w:trPr>
          <w:trHeight w:val="322"/>
        </w:trPr>
        <w:tc>
          <w:tcPr>
            <w:tcW w:w="1418" w:type="dxa"/>
            <w:tcBorders>
              <w:top w:val="single" w:sz="4" w:space="0" w:color="auto"/>
            </w:tcBorders>
            <w:shd w:val="clear" w:color="auto" w:fill="auto"/>
            <w:noWrap/>
            <w:hideMark/>
          </w:tcPr>
          <w:p w14:paraId="139C43F9" w14:textId="77777777" w:rsidR="00822A31" w:rsidRPr="00822A31" w:rsidRDefault="00822A31" w:rsidP="003F6EA3">
            <w:pPr>
              <w:pStyle w:val="Body"/>
              <w:spacing w:after="0"/>
              <w:rPr>
                <w:rFonts w:ascii="Arial" w:hAnsi="Arial" w:cs="Arial"/>
                <w:b/>
                <w:bCs/>
                <w:lang w:val="fr-CM"/>
              </w:rPr>
            </w:pPr>
            <w:r w:rsidRPr="00822A31">
              <w:rPr>
                <w:rFonts w:ascii="Arial" w:hAnsi="Arial" w:cs="Arial"/>
                <w:b/>
                <w:bCs/>
                <w:lang w:val="fr-CM"/>
              </w:rPr>
              <w:t>DW+DW</w:t>
            </w:r>
          </w:p>
        </w:tc>
        <w:tc>
          <w:tcPr>
            <w:tcW w:w="1667" w:type="dxa"/>
            <w:tcBorders>
              <w:top w:val="single" w:sz="4" w:space="0" w:color="auto"/>
            </w:tcBorders>
            <w:shd w:val="clear" w:color="auto" w:fill="auto"/>
            <w:noWrap/>
            <w:hideMark/>
          </w:tcPr>
          <w:p w14:paraId="6CE8559C"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w:t>
            </w:r>
          </w:p>
        </w:tc>
        <w:tc>
          <w:tcPr>
            <w:tcW w:w="2835" w:type="dxa"/>
            <w:tcBorders>
              <w:top w:val="single" w:sz="4" w:space="0" w:color="auto"/>
            </w:tcBorders>
            <w:shd w:val="clear" w:color="auto" w:fill="auto"/>
            <w:noWrap/>
            <w:hideMark/>
          </w:tcPr>
          <w:p w14:paraId="28293DAE" w14:textId="5B00B1EC" w:rsidR="00822A31" w:rsidRPr="00822A31" w:rsidRDefault="00822A31" w:rsidP="003F6EA3">
            <w:pPr>
              <w:pStyle w:val="Body"/>
              <w:spacing w:after="0"/>
              <w:rPr>
                <w:rFonts w:ascii="Arial" w:hAnsi="Arial" w:cs="Arial"/>
                <w:lang w:val="fr-CM"/>
              </w:rPr>
            </w:pPr>
            <w:r w:rsidRPr="00822A31">
              <w:rPr>
                <w:rFonts w:ascii="Arial" w:hAnsi="Arial" w:cs="Arial"/>
                <w:lang w:val="fr-CM"/>
              </w:rPr>
              <w:t>0</w:t>
            </w:r>
            <w:r>
              <w:rPr>
                <w:rFonts w:ascii="Arial" w:hAnsi="Arial" w:cs="Arial"/>
                <w:lang w:val="fr-CM"/>
              </w:rPr>
              <w:t>.</w:t>
            </w:r>
            <w:r w:rsidRPr="00822A31">
              <w:rPr>
                <w:rFonts w:ascii="Arial" w:hAnsi="Arial" w:cs="Arial"/>
                <w:lang w:val="fr-CM"/>
              </w:rPr>
              <w:t>00 ± 0</w:t>
            </w:r>
            <w:r>
              <w:rPr>
                <w:rFonts w:ascii="Arial" w:hAnsi="Arial" w:cs="Arial"/>
                <w:lang w:val="fr-CM"/>
              </w:rPr>
              <w:t>.</w:t>
            </w:r>
            <w:r w:rsidRPr="00822A31">
              <w:rPr>
                <w:rFonts w:ascii="Arial" w:hAnsi="Arial" w:cs="Arial"/>
                <w:lang w:val="fr-CM"/>
              </w:rPr>
              <w:t>00</w:t>
            </w:r>
          </w:p>
        </w:tc>
        <w:tc>
          <w:tcPr>
            <w:tcW w:w="3011" w:type="dxa"/>
            <w:tcBorders>
              <w:top w:val="single" w:sz="4" w:space="0" w:color="auto"/>
            </w:tcBorders>
            <w:shd w:val="clear" w:color="auto" w:fill="auto"/>
            <w:noWrap/>
            <w:hideMark/>
          </w:tcPr>
          <w:p w14:paraId="5130075D" w14:textId="315F6E67" w:rsidR="00822A31" w:rsidRPr="00822A31" w:rsidRDefault="00822A31" w:rsidP="003F6EA3">
            <w:pPr>
              <w:pStyle w:val="Body"/>
              <w:spacing w:after="0"/>
              <w:rPr>
                <w:rFonts w:ascii="Arial" w:hAnsi="Arial" w:cs="Arial"/>
                <w:lang w:val="fr-CM"/>
              </w:rPr>
            </w:pPr>
            <w:r w:rsidRPr="00822A31">
              <w:rPr>
                <w:rFonts w:ascii="Arial" w:hAnsi="Arial" w:cs="Arial"/>
                <w:lang w:val="fr-CM"/>
              </w:rPr>
              <w:t>0</w:t>
            </w:r>
            <w:r>
              <w:rPr>
                <w:rFonts w:ascii="Arial" w:hAnsi="Arial" w:cs="Arial"/>
                <w:lang w:val="fr-CM"/>
              </w:rPr>
              <w:t>.</w:t>
            </w:r>
            <w:r w:rsidRPr="00822A31">
              <w:rPr>
                <w:rFonts w:ascii="Arial" w:hAnsi="Arial" w:cs="Arial"/>
                <w:lang w:val="fr-CM"/>
              </w:rPr>
              <w:t>00 ± 0</w:t>
            </w:r>
            <w:r>
              <w:rPr>
                <w:rFonts w:ascii="Arial" w:hAnsi="Arial" w:cs="Arial"/>
                <w:lang w:val="fr-CM"/>
              </w:rPr>
              <w:t>.</w:t>
            </w:r>
            <w:r w:rsidRPr="00822A31">
              <w:rPr>
                <w:rFonts w:ascii="Arial" w:hAnsi="Arial" w:cs="Arial"/>
                <w:lang w:val="fr-CM"/>
              </w:rPr>
              <w:t>00</w:t>
            </w:r>
          </w:p>
        </w:tc>
      </w:tr>
      <w:tr w:rsidR="003F6EA3" w:rsidRPr="00822A31" w14:paraId="404DA13E" w14:textId="77777777" w:rsidTr="003F6EA3">
        <w:trPr>
          <w:trHeight w:val="322"/>
        </w:trPr>
        <w:tc>
          <w:tcPr>
            <w:tcW w:w="1418" w:type="dxa"/>
            <w:shd w:val="clear" w:color="auto" w:fill="auto"/>
            <w:noWrap/>
            <w:hideMark/>
          </w:tcPr>
          <w:p w14:paraId="5BA76382" w14:textId="77777777" w:rsidR="00822A31" w:rsidRPr="00822A31" w:rsidRDefault="00822A31" w:rsidP="003F6EA3">
            <w:pPr>
              <w:pStyle w:val="Body"/>
              <w:spacing w:after="0"/>
              <w:rPr>
                <w:rFonts w:ascii="Arial" w:hAnsi="Arial" w:cs="Arial"/>
                <w:b/>
                <w:bCs/>
                <w:lang w:val="fr-CM"/>
              </w:rPr>
            </w:pPr>
            <w:proofErr w:type="spellStart"/>
            <w:r w:rsidRPr="00822A31">
              <w:rPr>
                <w:rFonts w:ascii="Arial" w:hAnsi="Arial" w:cs="Arial"/>
                <w:b/>
                <w:bCs/>
                <w:lang w:val="fr-CM"/>
              </w:rPr>
              <w:t>DW+Pilo</w:t>
            </w:r>
            <w:proofErr w:type="spellEnd"/>
          </w:p>
        </w:tc>
        <w:tc>
          <w:tcPr>
            <w:tcW w:w="1667" w:type="dxa"/>
            <w:shd w:val="clear" w:color="auto" w:fill="auto"/>
            <w:noWrap/>
            <w:hideMark/>
          </w:tcPr>
          <w:p w14:paraId="3FA16A1D"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w:t>
            </w:r>
          </w:p>
        </w:tc>
        <w:tc>
          <w:tcPr>
            <w:tcW w:w="2835" w:type="dxa"/>
            <w:shd w:val="clear" w:color="auto" w:fill="auto"/>
            <w:noWrap/>
            <w:hideMark/>
          </w:tcPr>
          <w:p w14:paraId="2E70A5FD" w14:textId="7973D23B"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7</w:t>
            </w:r>
            <w:r>
              <w:rPr>
                <w:rFonts w:ascii="Arial" w:hAnsi="Arial" w:cs="Arial"/>
                <w:lang w:val="fr-CM"/>
              </w:rPr>
              <w:t>.</w:t>
            </w:r>
            <w:r w:rsidRPr="00822A31">
              <w:rPr>
                <w:rFonts w:ascii="Arial" w:hAnsi="Arial" w:cs="Arial"/>
                <w:lang w:val="fr-CM"/>
              </w:rPr>
              <w:t>66 ± 1</w:t>
            </w:r>
            <w:r>
              <w:rPr>
                <w:rFonts w:ascii="Arial" w:hAnsi="Arial" w:cs="Arial"/>
                <w:lang w:val="fr-CM"/>
              </w:rPr>
              <w:t>.</w:t>
            </w:r>
            <w:r w:rsidRPr="00822A31">
              <w:rPr>
                <w:rFonts w:ascii="Arial" w:hAnsi="Arial" w:cs="Arial"/>
                <w:lang w:val="fr-CM"/>
              </w:rPr>
              <w:t>21</w:t>
            </w:r>
            <w:r w:rsidRPr="00822A31">
              <w:rPr>
                <w:rFonts w:ascii="Arial" w:hAnsi="Arial" w:cs="Arial"/>
                <w:vertAlign w:val="superscript"/>
                <w:lang w:val="fr-CM"/>
              </w:rPr>
              <w:t>£££</w:t>
            </w:r>
          </w:p>
        </w:tc>
        <w:tc>
          <w:tcPr>
            <w:tcW w:w="3011" w:type="dxa"/>
            <w:shd w:val="clear" w:color="auto" w:fill="auto"/>
            <w:noWrap/>
            <w:hideMark/>
          </w:tcPr>
          <w:p w14:paraId="329CB161" w14:textId="38ED332C"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24</w:t>
            </w:r>
            <w:r>
              <w:rPr>
                <w:rFonts w:ascii="Arial" w:hAnsi="Arial" w:cs="Arial"/>
                <w:lang w:val="fr-CM"/>
              </w:rPr>
              <w:t>.</w:t>
            </w:r>
            <w:r w:rsidRPr="00822A31">
              <w:rPr>
                <w:rFonts w:ascii="Arial" w:hAnsi="Arial" w:cs="Arial"/>
                <w:lang w:val="fr-CM"/>
              </w:rPr>
              <w:t>33 ± 2</w:t>
            </w:r>
            <w:r>
              <w:rPr>
                <w:rFonts w:ascii="Arial" w:hAnsi="Arial" w:cs="Arial"/>
                <w:lang w:val="fr-CM"/>
              </w:rPr>
              <w:t>.</w:t>
            </w:r>
            <w:r w:rsidRPr="00822A31">
              <w:rPr>
                <w:rFonts w:ascii="Arial" w:hAnsi="Arial" w:cs="Arial"/>
                <w:lang w:val="fr-CM"/>
              </w:rPr>
              <w:t xml:space="preserve">06 </w:t>
            </w:r>
            <w:r w:rsidRPr="00822A31">
              <w:rPr>
                <w:rFonts w:ascii="Arial" w:hAnsi="Arial" w:cs="Arial"/>
                <w:vertAlign w:val="superscript"/>
                <w:lang w:val="fr-CM"/>
              </w:rPr>
              <w:t>£££</w:t>
            </w:r>
          </w:p>
        </w:tc>
      </w:tr>
      <w:tr w:rsidR="003F6EA3" w:rsidRPr="00822A31" w14:paraId="235D51F0" w14:textId="77777777" w:rsidTr="003F6EA3">
        <w:trPr>
          <w:trHeight w:val="322"/>
        </w:trPr>
        <w:tc>
          <w:tcPr>
            <w:tcW w:w="1418" w:type="dxa"/>
            <w:shd w:val="clear" w:color="auto" w:fill="auto"/>
            <w:noWrap/>
            <w:hideMark/>
          </w:tcPr>
          <w:p w14:paraId="7D2F9A8A" w14:textId="3C35C713" w:rsidR="00822A31" w:rsidRPr="00822A31" w:rsidRDefault="00822A31" w:rsidP="003F6EA3">
            <w:pPr>
              <w:pStyle w:val="Body"/>
              <w:spacing w:after="0"/>
              <w:rPr>
                <w:rFonts w:ascii="Arial" w:hAnsi="Arial" w:cs="Arial"/>
                <w:b/>
                <w:bCs/>
                <w:iCs/>
                <w:lang w:val="fr-CM"/>
              </w:rPr>
            </w:pPr>
            <w:r w:rsidRPr="00822A31">
              <w:rPr>
                <w:rFonts w:ascii="Arial" w:hAnsi="Arial" w:cs="Arial"/>
                <w:b/>
                <w:bCs/>
                <w:iCs/>
                <w:lang w:val="fr-CM"/>
              </w:rPr>
              <w:t>C</w:t>
            </w:r>
            <w:r w:rsidR="00BC7A36">
              <w:rPr>
                <w:rFonts w:ascii="Arial" w:hAnsi="Arial" w:cs="Arial"/>
                <w:b/>
                <w:bCs/>
                <w:iCs/>
                <w:lang w:val="fr-CM"/>
              </w:rPr>
              <w:t>b</w:t>
            </w:r>
            <w:r w:rsidRPr="00822A31">
              <w:rPr>
                <w:rFonts w:ascii="Arial" w:hAnsi="Arial" w:cs="Arial"/>
                <w:b/>
                <w:bCs/>
                <w:iCs/>
                <w:lang w:val="fr-CM"/>
              </w:rPr>
              <w:t>28+Pilo</w:t>
            </w:r>
          </w:p>
        </w:tc>
        <w:tc>
          <w:tcPr>
            <w:tcW w:w="1667" w:type="dxa"/>
            <w:shd w:val="clear" w:color="auto" w:fill="auto"/>
            <w:noWrap/>
            <w:hideMark/>
          </w:tcPr>
          <w:p w14:paraId="2648AA3A"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28</w:t>
            </w:r>
          </w:p>
        </w:tc>
        <w:tc>
          <w:tcPr>
            <w:tcW w:w="2835" w:type="dxa"/>
            <w:shd w:val="clear" w:color="auto" w:fill="auto"/>
            <w:noWrap/>
            <w:hideMark/>
          </w:tcPr>
          <w:p w14:paraId="4CB743EB" w14:textId="29751193"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7</w:t>
            </w:r>
            <w:r>
              <w:rPr>
                <w:rFonts w:ascii="Arial" w:hAnsi="Arial" w:cs="Arial"/>
                <w:lang w:val="fr-CM"/>
              </w:rPr>
              <w:t>.</w:t>
            </w:r>
            <w:r w:rsidRPr="00822A31">
              <w:rPr>
                <w:rFonts w:ascii="Arial" w:hAnsi="Arial" w:cs="Arial"/>
                <w:lang w:val="fr-CM"/>
              </w:rPr>
              <w:t>83 ± 1</w:t>
            </w:r>
            <w:r>
              <w:rPr>
                <w:rFonts w:ascii="Arial" w:hAnsi="Arial" w:cs="Arial"/>
                <w:lang w:val="fr-CM"/>
              </w:rPr>
              <w:t>.</w:t>
            </w:r>
            <w:r w:rsidRPr="00822A31">
              <w:rPr>
                <w:rFonts w:ascii="Arial" w:hAnsi="Arial" w:cs="Arial"/>
                <w:lang w:val="fr-CM"/>
              </w:rPr>
              <w:t xml:space="preserve">16 </w:t>
            </w:r>
            <w:r w:rsidRPr="00822A31">
              <w:rPr>
                <w:rFonts w:ascii="Arial" w:hAnsi="Arial" w:cs="Arial"/>
                <w:vertAlign w:val="superscript"/>
                <w:lang w:val="fr-CM"/>
              </w:rPr>
              <w:t>£££</w:t>
            </w:r>
          </w:p>
        </w:tc>
        <w:tc>
          <w:tcPr>
            <w:tcW w:w="3011" w:type="dxa"/>
            <w:shd w:val="clear" w:color="auto" w:fill="auto"/>
            <w:noWrap/>
            <w:hideMark/>
          </w:tcPr>
          <w:p w14:paraId="2DB567D6" w14:textId="7C51727F"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22</w:t>
            </w:r>
            <w:r>
              <w:rPr>
                <w:rFonts w:ascii="Arial" w:hAnsi="Arial" w:cs="Arial"/>
                <w:lang w:val="fr-CM"/>
              </w:rPr>
              <w:t>.</w:t>
            </w:r>
            <w:r w:rsidRPr="00822A31">
              <w:rPr>
                <w:rFonts w:ascii="Arial" w:hAnsi="Arial" w:cs="Arial"/>
                <w:lang w:val="fr-CM"/>
              </w:rPr>
              <w:t>66 ± 2</w:t>
            </w:r>
            <w:r>
              <w:rPr>
                <w:rFonts w:ascii="Arial" w:hAnsi="Arial" w:cs="Arial"/>
                <w:lang w:val="fr-CM"/>
              </w:rPr>
              <w:t>.</w:t>
            </w:r>
            <w:r w:rsidRPr="00822A31">
              <w:rPr>
                <w:rFonts w:ascii="Arial" w:hAnsi="Arial" w:cs="Arial"/>
                <w:lang w:val="fr-CM"/>
              </w:rPr>
              <w:t xml:space="preserve">50 </w:t>
            </w:r>
            <w:r w:rsidRPr="00822A31">
              <w:rPr>
                <w:rFonts w:ascii="Arial" w:hAnsi="Arial" w:cs="Arial"/>
                <w:vertAlign w:val="superscript"/>
                <w:lang w:val="fr-CM"/>
              </w:rPr>
              <w:t>£££</w:t>
            </w:r>
          </w:p>
        </w:tc>
      </w:tr>
      <w:tr w:rsidR="003F6EA3" w:rsidRPr="00822A31" w14:paraId="4BDC54D2" w14:textId="77777777" w:rsidTr="003F6EA3">
        <w:trPr>
          <w:trHeight w:val="322"/>
        </w:trPr>
        <w:tc>
          <w:tcPr>
            <w:tcW w:w="1418" w:type="dxa"/>
            <w:shd w:val="clear" w:color="auto" w:fill="auto"/>
            <w:noWrap/>
            <w:hideMark/>
          </w:tcPr>
          <w:p w14:paraId="4E1D2BD2" w14:textId="352E4D90" w:rsidR="00822A31" w:rsidRPr="00822A31" w:rsidRDefault="00822A31" w:rsidP="003F6EA3">
            <w:pPr>
              <w:pStyle w:val="Body"/>
              <w:spacing w:after="0"/>
              <w:rPr>
                <w:rFonts w:ascii="Arial" w:hAnsi="Arial" w:cs="Arial"/>
                <w:b/>
                <w:bCs/>
                <w:i/>
                <w:lang w:val="fr-CM"/>
              </w:rPr>
            </w:pPr>
            <w:r w:rsidRPr="00822A31">
              <w:rPr>
                <w:rFonts w:ascii="Arial" w:hAnsi="Arial" w:cs="Arial"/>
                <w:b/>
                <w:bCs/>
                <w:iCs/>
                <w:lang w:val="fr-CM"/>
              </w:rPr>
              <w:t>C</w:t>
            </w:r>
            <w:r w:rsidR="00BC7A36">
              <w:rPr>
                <w:rFonts w:ascii="Arial" w:hAnsi="Arial" w:cs="Arial"/>
                <w:b/>
                <w:bCs/>
                <w:iCs/>
                <w:lang w:val="fr-CM"/>
              </w:rPr>
              <w:t>b</w:t>
            </w:r>
            <w:r w:rsidRPr="00822A31">
              <w:rPr>
                <w:rFonts w:ascii="Arial" w:hAnsi="Arial" w:cs="Arial"/>
                <w:b/>
                <w:bCs/>
                <w:iCs/>
                <w:lang w:val="fr-CM"/>
              </w:rPr>
              <w:t>70+Pilo</w:t>
            </w:r>
          </w:p>
        </w:tc>
        <w:tc>
          <w:tcPr>
            <w:tcW w:w="1667" w:type="dxa"/>
            <w:shd w:val="clear" w:color="auto" w:fill="auto"/>
            <w:noWrap/>
            <w:hideMark/>
          </w:tcPr>
          <w:p w14:paraId="5026E3A4"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70</w:t>
            </w:r>
          </w:p>
        </w:tc>
        <w:tc>
          <w:tcPr>
            <w:tcW w:w="2835" w:type="dxa"/>
            <w:shd w:val="clear" w:color="auto" w:fill="auto"/>
            <w:noWrap/>
            <w:hideMark/>
          </w:tcPr>
          <w:p w14:paraId="7EF7E7EF" w14:textId="3DF600FB"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5</w:t>
            </w:r>
            <w:r>
              <w:rPr>
                <w:rFonts w:ascii="Arial" w:hAnsi="Arial" w:cs="Arial"/>
                <w:lang w:val="fr-CM"/>
              </w:rPr>
              <w:t>.</w:t>
            </w:r>
            <w:r w:rsidRPr="00822A31">
              <w:rPr>
                <w:rFonts w:ascii="Arial" w:hAnsi="Arial" w:cs="Arial"/>
                <w:lang w:val="fr-CM"/>
              </w:rPr>
              <w:t>50 ± 1</w:t>
            </w:r>
            <w:r>
              <w:rPr>
                <w:rFonts w:ascii="Arial" w:hAnsi="Arial" w:cs="Arial"/>
                <w:lang w:val="fr-CM"/>
              </w:rPr>
              <w:t>.</w:t>
            </w:r>
            <w:r w:rsidRPr="00822A31">
              <w:rPr>
                <w:rFonts w:ascii="Arial" w:hAnsi="Arial" w:cs="Arial"/>
                <w:lang w:val="fr-CM"/>
              </w:rPr>
              <w:t xml:space="preserve">04 </w:t>
            </w:r>
            <w:r w:rsidRPr="00822A31">
              <w:rPr>
                <w:rFonts w:ascii="Arial" w:hAnsi="Arial" w:cs="Arial"/>
                <w:vertAlign w:val="superscript"/>
                <w:lang w:val="fr-CM"/>
              </w:rPr>
              <w:t>£££ *</w:t>
            </w:r>
          </w:p>
        </w:tc>
        <w:tc>
          <w:tcPr>
            <w:tcW w:w="3011" w:type="dxa"/>
            <w:shd w:val="clear" w:color="auto" w:fill="auto"/>
            <w:noWrap/>
            <w:hideMark/>
          </w:tcPr>
          <w:p w14:paraId="0789C878" w14:textId="7EC1EB1D"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19</w:t>
            </w:r>
            <w:r>
              <w:rPr>
                <w:rFonts w:ascii="Arial" w:hAnsi="Arial" w:cs="Arial"/>
                <w:lang w:val="fr-CM"/>
              </w:rPr>
              <w:t>.</w:t>
            </w:r>
            <w:r w:rsidRPr="00822A31">
              <w:rPr>
                <w:rFonts w:ascii="Arial" w:hAnsi="Arial" w:cs="Arial"/>
                <w:lang w:val="fr-CM"/>
              </w:rPr>
              <w:t>66 ± 3</w:t>
            </w:r>
            <w:r>
              <w:rPr>
                <w:rFonts w:ascii="Arial" w:hAnsi="Arial" w:cs="Arial"/>
                <w:lang w:val="fr-CM"/>
              </w:rPr>
              <w:t>.</w:t>
            </w:r>
            <w:r w:rsidRPr="00822A31">
              <w:rPr>
                <w:rFonts w:ascii="Arial" w:hAnsi="Arial" w:cs="Arial"/>
                <w:lang w:val="fr-CM"/>
              </w:rPr>
              <w:t xml:space="preserve">20 </w:t>
            </w:r>
            <w:r w:rsidRPr="00822A31">
              <w:rPr>
                <w:rFonts w:ascii="Arial" w:hAnsi="Arial" w:cs="Arial"/>
                <w:vertAlign w:val="superscript"/>
                <w:lang w:val="fr-CM"/>
              </w:rPr>
              <w:t>£££ **</w:t>
            </w:r>
          </w:p>
        </w:tc>
      </w:tr>
      <w:tr w:rsidR="003F6EA3" w:rsidRPr="00822A31" w14:paraId="2C8FB138" w14:textId="77777777" w:rsidTr="003F6EA3">
        <w:trPr>
          <w:trHeight w:val="322"/>
        </w:trPr>
        <w:tc>
          <w:tcPr>
            <w:tcW w:w="1418" w:type="dxa"/>
            <w:shd w:val="clear" w:color="auto" w:fill="auto"/>
            <w:noWrap/>
            <w:hideMark/>
          </w:tcPr>
          <w:p w14:paraId="5EAEE317" w14:textId="7319B77F" w:rsidR="00822A31" w:rsidRPr="00822A31" w:rsidRDefault="00822A31" w:rsidP="003F6EA3">
            <w:pPr>
              <w:pStyle w:val="Body"/>
              <w:spacing w:after="0"/>
              <w:rPr>
                <w:rFonts w:ascii="Arial" w:hAnsi="Arial" w:cs="Arial"/>
                <w:b/>
                <w:bCs/>
                <w:i/>
                <w:lang w:val="fr-CM"/>
              </w:rPr>
            </w:pPr>
            <w:r w:rsidRPr="00822A31">
              <w:rPr>
                <w:rFonts w:ascii="Arial" w:hAnsi="Arial" w:cs="Arial"/>
                <w:b/>
                <w:bCs/>
                <w:iCs/>
                <w:lang w:val="fr-CM"/>
              </w:rPr>
              <w:t>C</w:t>
            </w:r>
            <w:r w:rsidR="00BC7A36">
              <w:rPr>
                <w:rFonts w:ascii="Arial" w:hAnsi="Arial" w:cs="Arial"/>
                <w:b/>
                <w:bCs/>
                <w:iCs/>
                <w:lang w:val="fr-CM"/>
              </w:rPr>
              <w:t>b</w:t>
            </w:r>
            <w:r w:rsidRPr="00822A31">
              <w:rPr>
                <w:rFonts w:ascii="Arial" w:hAnsi="Arial" w:cs="Arial"/>
                <w:b/>
                <w:bCs/>
                <w:iCs/>
                <w:lang w:val="fr-CM"/>
              </w:rPr>
              <w:t>140+Pilo</w:t>
            </w:r>
          </w:p>
        </w:tc>
        <w:tc>
          <w:tcPr>
            <w:tcW w:w="1667" w:type="dxa"/>
            <w:shd w:val="clear" w:color="auto" w:fill="auto"/>
            <w:noWrap/>
            <w:hideMark/>
          </w:tcPr>
          <w:p w14:paraId="764ACB49"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140</w:t>
            </w:r>
          </w:p>
        </w:tc>
        <w:tc>
          <w:tcPr>
            <w:tcW w:w="2835" w:type="dxa"/>
            <w:shd w:val="clear" w:color="auto" w:fill="auto"/>
            <w:noWrap/>
            <w:hideMark/>
          </w:tcPr>
          <w:p w14:paraId="2E6598DF" w14:textId="289B5EBD"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4</w:t>
            </w:r>
            <w:r>
              <w:rPr>
                <w:rFonts w:ascii="Arial" w:hAnsi="Arial" w:cs="Arial"/>
                <w:lang w:val="fr-CM"/>
              </w:rPr>
              <w:t>.</w:t>
            </w:r>
            <w:r w:rsidRPr="00822A31">
              <w:rPr>
                <w:rFonts w:ascii="Arial" w:hAnsi="Arial" w:cs="Arial"/>
                <w:lang w:val="fr-CM"/>
              </w:rPr>
              <w:t>33 ± 1</w:t>
            </w:r>
            <w:r>
              <w:rPr>
                <w:rFonts w:ascii="Arial" w:hAnsi="Arial" w:cs="Arial"/>
                <w:lang w:val="fr-CM"/>
              </w:rPr>
              <w:t>.</w:t>
            </w:r>
            <w:r w:rsidRPr="00822A31">
              <w:rPr>
                <w:rFonts w:ascii="Arial" w:hAnsi="Arial" w:cs="Arial"/>
                <w:lang w:val="fr-CM"/>
              </w:rPr>
              <w:t xml:space="preserve">03 </w:t>
            </w:r>
            <w:r w:rsidRPr="00822A31">
              <w:rPr>
                <w:rFonts w:ascii="Arial" w:hAnsi="Arial" w:cs="Arial"/>
                <w:vertAlign w:val="superscript"/>
                <w:lang w:val="fr-CM"/>
              </w:rPr>
              <w:t>£££ ***</w:t>
            </w:r>
          </w:p>
        </w:tc>
        <w:tc>
          <w:tcPr>
            <w:tcW w:w="3011" w:type="dxa"/>
            <w:shd w:val="clear" w:color="auto" w:fill="auto"/>
            <w:noWrap/>
            <w:hideMark/>
          </w:tcPr>
          <w:p w14:paraId="0AA6657A" w14:textId="5E3110FF"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12</w:t>
            </w:r>
            <w:r>
              <w:rPr>
                <w:rFonts w:ascii="Arial" w:hAnsi="Arial" w:cs="Arial"/>
                <w:lang w:val="fr-CM"/>
              </w:rPr>
              <w:t>.</w:t>
            </w:r>
            <w:r w:rsidRPr="00822A31">
              <w:rPr>
                <w:rFonts w:ascii="Arial" w:hAnsi="Arial" w:cs="Arial"/>
                <w:lang w:val="fr-CM"/>
              </w:rPr>
              <w:t>33 ± 2</w:t>
            </w:r>
            <w:r>
              <w:rPr>
                <w:rFonts w:ascii="Arial" w:hAnsi="Arial" w:cs="Arial"/>
                <w:lang w:val="fr-CM"/>
              </w:rPr>
              <w:t>.</w:t>
            </w:r>
            <w:r w:rsidRPr="00822A31">
              <w:rPr>
                <w:rFonts w:ascii="Arial" w:hAnsi="Arial" w:cs="Arial"/>
                <w:lang w:val="fr-CM"/>
              </w:rPr>
              <w:t xml:space="preserve">03 </w:t>
            </w:r>
            <w:r w:rsidRPr="00822A31">
              <w:rPr>
                <w:rFonts w:ascii="Arial" w:hAnsi="Arial" w:cs="Arial"/>
                <w:vertAlign w:val="superscript"/>
                <w:lang w:val="fr-CM"/>
              </w:rPr>
              <w:t>£££ ***</w:t>
            </w:r>
          </w:p>
        </w:tc>
      </w:tr>
      <w:tr w:rsidR="003F6EA3" w:rsidRPr="00822A31" w14:paraId="0F7E2959" w14:textId="77777777" w:rsidTr="003F6EA3">
        <w:trPr>
          <w:trHeight w:val="322"/>
        </w:trPr>
        <w:tc>
          <w:tcPr>
            <w:tcW w:w="1418" w:type="dxa"/>
            <w:shd w:val="clear" w:color="auto" w:fill="auto"/>
            <w:noWrap/>
            <w:hideMark/>
          </w:tcPr>
          <w:p w14:paraId="1F8E7827" w14:textId="19F0C119" w:rsidR="00822A31" w:rsidRPr="00822A31" w:rsidRDefault="00822A31" w:rsidP="003F6EA3">
            <w:pPr>
              <w:pStyle w:val="Body"/>
              <w:spacing w:after="0"/>
              <w:rPr>
                <w:rFonts w:ascii="Arial" w:hAnsi="Arial" w:cs="Arial"/>
                <w:b/>
                <w:bCs/>
                <w:i/>
                <w:lang w:val="fr-CM"/>
              </w:rPr>
            </w:pPr>
            <w:r w:rsidRPr="00822A31">
              <w:rPr>
                <w:rFonts w:ascii="Arial" w:hAnsi="Arial" w:cs="Arial"/>
                <w:b/>
                <w:bCs/>
                <w:iCs/>
                <w:lang w:val="fr-CM"/>
              </w:rPr>
              <w:t>C</w:t>
            </w:r>
            <w:r w:rsidR="00BC7A36">
              <w:rPr>
                <w:rFonts w:ascii="Arial" w:hAnsi="Arial" w:cs="Arial"/>
                <w:b/>
                <w:bCs/>
                <w:iCs/>
                <w:lang w:val="fr-CM"/>
              </w:rPr>
              <w:t>b</w:t>
            </w:r>
            <w:r w:rsidRPr="00822A31">
              <w:rPr>
                <w:rFonts w:ascii="Arial" w:hAnsi="Arial" w:cs="Arial"/>
                <w:b/>
                <w:bCs/>
                <w:iCs/>
                <w:lang w:val="fr-CM"/>
              </w:rPr>
              <w:t>280+Pilo</w:t>
            </w:r>
          </w:p>
        </w:tc>
        <w:tc>
          <w:tcPr>
            <w:tcW w:w="1667" w:type="dxa"/>
            <w:shd w:val="clear" w:color="auto" w:fill="auto"/>
            <w:noWrap/>
            <w:hideMark/>
          </w:tcPr>
          <w:p w14:paraId="37A43C98"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280</w:t>
            </w:r>
          </w:p>
        </w:tc>
        <w:tc>
          <w:tcPr>
            <w:tcW w:w="2835" w:type="dxa"/>
            <w:shd w:val="clear" w:color="auto" w:fill="auto"/>
            <w:noWrap/>
            <w:hideMark/>
          </w:tcPr>
          <w:p w14:paraId="32B5778D" w14:textId="7D9F877F"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4</w:t>
            </w:r>
            <w:r>
              <w:rPr>
                <w:rFonts w:ascii="Arial" w:hAnsi="Arial" w:cs="Arial"/>
                <w:lang w:val="fr-CM"/>
              </w:rPr>
              <w:t>.</w:t>
            </w:r>
            <w:r w:rsidRPr="00822A31">
              <w:rPr>
                <w:rFonts w:ascii="Arial" w:hAnsi="Arial" w:cs="Arial"/>
                <w:lang w:val="fr-CM"/>
              </w:rPr>
              <w:t>33 ± 1</w:t>
            </w:r>
            <w:r>
              <w:rPr>
                <w:rFonts w:ascii="Arial" w:hAnsi="Arial" w:cs="Arial"/>
                <w:lang w:val="fr-CM"/>
              </w:rPr>
              <w:t>.</w:t>
            </w:r>
            <w:r w:rsidRPr="00822A31">
              <w:rPr>
                <w:rFonts w:ascii="Arial" w:hAnsi="Arial" w:cs="Arial"/>
                <w:lang w:val="fr-CM"/>
              </w:rPr>
              <w:t xml:space="preserve">03 </w:t>
            </w:r>
            <w:r w:rsidRPr="00822A31">
              <w:rPr>
                <w:rFonts w:ascii="Arial" w:hAnsi="Arial" w:cs="Arial"/>
                <w:vertAlign w:val="superscript"/>
                <w:lang w:val="fr-CM"/>
              </w:rPr>
              <w:t>£££ ***</w:t>
            </w:r>
          </w:p>
        </w:tc>
        <w:tc>
          <w:tcPr>
            <w:tcW w:w="3011" w:type="dxa"/>
            <w:shd w:val="clear" w:color="auto" w:fill="auto"/>
            <w:noWrap/>
            <w:hideMark/>
          </w:tcPr>
          <w:p w14:paraId="76B81803" w14:textId="25F8041D"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10</w:t>
            </w:r>
            <w:r>
              <w:rPr>
                <w:rFonts w:ascii="Arial" w:hAnsi="Arial" w:cs="Arial"/>
                <w:lang w:val="fr-CM"/>
              </w:rPr>
              <w:t>.</w:t>
            </w:r>
            <w:r w:rsidRPr="00822A31">
              <w:rPr>
                <w:rFonts w:ascii="Arial" w:hAnsi="Arial" w:cs="Arial"/>
                <w:lang w:val="fr-CM"/>
              </w:rPr>
              <w:t>00 ± 1</w:t>
            </w:r>
            <w:r>
              <w:rPr>
                <w:rFonts w:ascii="Arial" w:hAnsi="Arial" w:cs="Arial"/>
                <w:lang w:val="fr-CM"/>
              </w:rPr>
              <w:t>.</w:t>
            </w:r>
            <w:r w:rsidRPr="00822A31">
              <w:rPr>
                <w:rFonts w:ascii="Arial" w:hAnsi="Arial" w:cs="Arial"/>
                <w:lang w:val="fr-CM"/>
              </w:rPr>
              <w:t xml:space="preserve">41 </w:t>
            </w:r>
            <w:r w:rsidRPr="00822A31">
              <w:rPr>
                <w:rFonts w:ascii="Arial" w:hAnsi="Arial" w:cs="Arial"/>
                <w:vertAlign w:val="superscript"/>
                <w:lang w:val="fr-CM"/>
              </w:rPr>
              <w:t>£££ ***</w:t>
            </w:r>
          </w:p>
        </w:tc>
      </w:tr>
      <w:tr w:rsidR="003F6EA3" w:rsidRPr="00822A31" w14:paraId="012D293F" w14:textId="77777777" w:rsidTr="003F6EA3">
        <w:trPr>
          <w:trHeight w:val="322"/>
        </w:trPr>
        <w:tc>
          <w:tcPr>
            <w:tcW w:w="1418" w:type="dxa"/>
            <w:shd w:val="clear" w:color="auto" w:fill="auto"/>
            <w:noWrap/>
          </w:tcPr>
          <w:p w14:paraId="7604F15A" w14:textId="77777777" w:rsidR="00822A31" w:rsidRPr="00822A31" w:rsidRDefault="00822A31" w:rsidP="003F6EA3">
            <w:pPr>
              <w:pStyle w:val="Body"/>
              <w:spacing w:after="0"/>
              <w:rPr>
                <w:rFonts w:ascii="Arial" w:hAnsi="Arial" w:cs="Arial"/>
                <w:b/>
                <w:bCs/>
                <w:iCs/>
                <w:lang w:val="fr-CM"/>
              </w:rPr>
            </w:pPr>
            <w:proofErr w:type="spellStart"/>
            <w:r w:rsidRPr="00822A31">
              <w:rPr>
                <w:rFonts w:ascii="Arial" w:hAnsi="Arial" w:cs="Arial"/>
                <w:b/>
                <w:bCs/>
                <w:iCs/>
                <w:lang w:val="fr-CM"/>
              </w:rPr>
              <w:t>SV+Pilo</w:t>
            </w:r>
            <w:proofErr w:type="spellEnd"/>
          </w:p>
        </w:tc>
        <w:tc>
          <w:tcPr>
            <w:tcW w:w="1667" w:type="dxa"/>
            <w:shd w:val="clear" w:color="auto" w:fill="auto"/>
            <w:noWrap/>
          </w:tcPr>
          <w:p w14:paraId="36AC087A"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300</w:t>
            </w:r>
          </w:p>
        </w:tc>
        <w:tc>
          <w:tcPr>
            <w:tcW w:w="2835" w:type="dxa"/>
            <w:shd w:val="clear" w:color="auto" w:fill="auto"/>
            <w:noWrap/>
          </w:tcPr>
          <w:p w14:paraId="00CDF0B0" w14:textId="164A0C21" w:rsidR="00822A31" w:rsidRPr="00822A31" w:rsidRDefault="00822A31" w:rsidP="003F6EA3">
            <w:pPr>
              <w:pStyle w:val="Body"/>
              <w:spacing w:after="0"/>
              <w:rPr>
                <w:rFonts w:ascii="Arial" w:hAnsi="Arial" w:cs="Arial"/>
                <w:lang w:val="fr-CM"/>
              </w:rPr>
            </w:pPr>
            <w:r w:rsidRPr="00822A31">
              <w:rPr>
                <w:rFonts w:ascii="Arial" w:hAnsi="Arial" w:cs="Arial"/>
                <w:lang w:val="fr-CM"/>
              </w:rPr>
              <w:t>2</w:t>
            </w:r>
            <w:r>
              <w:rPr>
                <w:rFonts w:ascii="Arial" w:hAnsi="Arial" w:cs="Arial"/>
                <w:lang w:val="fr-CM"/>
              </w:rPr>
              <w:t>.</w:t>
            </w:r>
            <w:r w:rsidRPr="00822A31">
              <w:rPr>
                <w:rFonts w:ascii="Arial" w:hAnsi="Arial" w:cs="Arial"/>
                <w:lang w:val="fr-CM"/>
              </w:rPr>
              <w:t>66 ± 0</w:t>
            </w:r>
            <w:r>
              <w:rPr>
                <w:rFonts w:ascii="Arial" w:hAnsi="Arial" w:cs="Arial"/>
                <w:lang w:val="fr-CM"/>
              </w:rPr>
              <w:t>.</w:t>
            </w:r>
            <w:r w:rsidRPr="00822A31">
              <w:rPr>
                <w:rFonts w:ascii="Arial" w:hAnsi="Arial" w:cs="Arial"/>
                <w:lang w:val="fr-CM"/>
              </w:rPr>
              <w:t xml:space="preserve">51 </w:t>
            </w:r>
            <w:r w:rsidRPr="00822A31">
              <w:rPr>
                <w:rFonts w:ascii="Arial" w:hAnsi="Arial" w:cs="Arial"/>
                <w:vertAlign w:val="superscript"/>
                <w:lang w:val="fr-CM"/>
              </w:rPr>
              <w:t>£££ ***</w:t>
            </w:r>
          </w:p>
        </w:tc>
        <w:tc>
          <w:tcPr>
            <w:tcW w:w="3011" w:type="dxa"/>
            <w:shd w:val="clear" w:color="auto" w:fill="auto"/>
            <w:noWrap/>
          </w:tcPr>
          <w:p w14:paraId="77974489" w14:textId="3AC9A411" w:rsidR="00822A31" w:rsidRPr="00822A31" w:rsidRDefault="00822A31" w:rsidP="003F6EA3">
            <w:pPr>
              <w:pStyle w:val="Body"/>
              <w:spacing w:after="0"/>
              <w:rPr>
                <w:rFonts w:ascii="Arial" w:hAnsi="Arial" w:cs="Arial"/>
                <w:lang w:val="fr-CM"/>
              </w:rPr>
            </w:pPr>
            <w:r w:rsidRPr="00822A31">
              <w:rPr>
                <w:rFonts w:ascii="Arial" w:hAnsi="Arial" w:cs="Arial"/>
                <w:lang w:val="fr-CM"/>
              </w:rPr>
              <w:t>3</w:t>
            </w:r>
            <w:r>
              <w:rPr>
                <w:rFonts w:ascii="Arial" w:hAnsi="Arial" w:cs="Arial"/>
                <w:lang w:val="fr-CM"/>
              </w:rPr>
              <w:t>.</w:t>
            </w:r>
            <w:r w:rsidRPr="00822A31">
              <w:rPr>
                <w:rFonts w:ascii="Arial" w:hAnsi="Arial" w:cs="Arial"/>
                <w:lang w:val="fr-CM"/>
              </w:rPr>
              <w:t>16 ± 0</w:t>
            </w:r>
            <w:r>
              <w:rPr>
                <w:rFonts w:ascii="Arial" w:hAnsi="Arial" w:cs="Arial"/>
                <w:lang w:val="fr-CM"/>
              </w:rPr>
              <w:t>.</w:t>
            </w:r>
            <w:r w:rsidRPr="00822A31">
              <w:rPr>
                <w:rFonts w:ascii="Arial" w:hAnsi="Arial" w:cs="Arial"/>
                <w:lang w:val="fr-CM"/>
              </w:rPr>
              <w:t xml:space="preserve">98 </w:t>
            </w:r>
            <w:r w:rsidRPr="00822A31">
              <w:rPr>
                <w:rFonts w:ascii="Arial" w:hAnsi="Arial" w:cs="Arial"/>
                <w:vertAlign w:val="superscript"/>
                <w:lang w:val="fr-CM"/>
              </w:rPr>
              <w:t>***</w:t>
            </w:r>
          </w:p>
        </w:tc>
      </w:tr>
    </w:tbl>
    <w:p w14:paraId="3C93FD13" w14:textId="679324EA" w:rsidR="00822A31" w:rsidRPr="00822A31" w:rsidRDefault="00822A31" w:rsidP="003F6EA3">
      <w:pPr>
        <w:pStyle w:val="Body"/>
        <w:spacing w:after="0"/>
        <w:jc w:val="center"/>
        <w:rPr>
          <w:rFonts w:ascii="Arial" w:hAnsi="Arial" w:cs="Arial"/>
          <w:i/>
          <w:iCs/>
          <w:sz w:val="18"/>
          <w:szCs w:val="18"/>
        </w:rPr>
      </w:pPr>
      <w:bookmarkStart w:id="11" w:name="_Hlk119708707"/>
      <w:r w:rsidRPr="00822A31">
        <w:rPr>
          <w:rFonts w:ascii="Arial" w:hAnsi="Arial" w:cs="Arial"/>
          <w:i/>
          <w:iCs/>
          <w:sz w:val="18"/>
          <w:szCs w:val="18"/>
        </w:rPr>
        <w:t>Results are expressed as means ± S.E.M n = 6. The data were an</w:t>
      </w:r>
      <w:r w:rsidR="00CC55DB">
        <w:rPr>
          <w:rFonts w:ascii="Arial" w:hAnsi="Arial" w:cs="Arial"/>
          <w:i/>
          <w:iCs/>
          <w:sz w:val="18"/>
          <w:szCs w:val="18"/>
        </w:rPr>
        <w:t>al</w:t>
      </w:r>
      <w:r w:rsidRPr="00822A31">
        <w:rPr>
          <w:rFonts w:ascii="Arial" w:hAnsi="Arial" w:cs="Arial"/>
          <w:i/>
          <w:iCs/>
          <w:sz w:val="18"/>
          <w:szCs w:val="18"/>
        </w:rPr>
        <w:t>yzed by the one-way ANOVA, followed by the Tukey test. *p &lt; 0.05; **p &lt; 0.01; ***p &lt; 0.001; significant difference compared to the negative control (</w:t>
      </w:r>
      <w:proofErr w:type="spellStart"/>
      <w:r w:rsidRPr="00822A31">
        <w:rPr>
          <w:rFonts w:ascii="Arial" w:hAnsi="Arial" w:cs="Arial"/>
          <w:i/>
          <w:iCs/>
          <w:sz w:val="18"/>
          <w:szCs w:val="18"/>
        </w:rPr>
        <w:t>DW+Pilo</w:t>
      </w:r>
      <w:proofErr w:type="spellEnd"/>
      <w:r w:rsidRPr="00822A31">
        <w:rPr>
          <w:rFonts w:ascii="Arial" w:hAnsi="Arial" w:cs="Arial"/>
          <w:i/>
          <w:iCs/>
          <w:sz w:val="18"/>
          <w:szCs w:val="18"/>
        </w:rPr>
        <w:t xml:space="preserve">).  </w:t>
      </w:r>
      <w:r w:rsidRPr="00822A31">
        <w:rPr>
          <w:rFonts w:ascii="Arial" w:hAnsi="Arial" w:cs="Arial"/>
          <w:b/>
          <w:bCs/>
          <w:i/>
          <w:iCs/>
          <w:sz w:val="18"/>
          <w:szCs w:val="18"/>
          <w:vertAlign w:val="superscript"/>
        </w:rPr>
        <w:t>£££</w:t>
      </w:r>
      <w:r w:rsidRPr="00822A31">
        <w:rPr>
          <w:rFonts w:ascii="Arial" w:hAnsi="Arial" w:cs="Arial"/>
          <w:i/>
          <w:iCs/>
          <w:sz w:val="18"/>
          <w:szCs w:val="18"/>
        </w:rPr>
        <w:t>p&lt;0.001; significant difference compared to the norm</w:t>
      </w:r>
      <w:r w:rsidR="00CC55DB">
        <w:rPr>
          <w:rFonts w:ascii="Arial" w:hAnsi="Arial" w:cs="Arial"/>
          <w:i/>
          <w:iCs/>
          <w:sz w:val="18"/>
          <w:szCs w:val="18"/>
        </w:rPr>
        <w:t>al</w:t>
      </w:r>
      <w:r w:rsidRPr="00822A31">
        <w:rPr>
          <w:rFonts w:ascii="Arial" w:hAnsi="Arial" w:cs="Arial"/>
          <w:i/>
          <w:iCs/>
          <w:sz w:val="18"/>
          <w:szCs w:val="18"/>
        </w:rPr>
        <w:t xml:space="preserve"> control</w:t>
      </w:r>
      <w:bookmarkStart w:id="12" w:name="_Hlk184188154"/>
      <w:r w:rsidRPr="00822A31">
        <w:rPr>
          <w:rFonts w:ascii="Arial" w:hAnsi="Arial" w:cs="Arial"/>
          <w:i/>
          <w:iCs/>
          <w:sz w:val="18"/>
          <w:szCs w:val="18"/>
        </w:rPr>
        <w:t xml:space="preserve"> (DW+DW)</w:t>
      </w:r>
      <w:bookmarkEnd w:id="11"/>
      <w:r w:rsidRPr="00822A31">
        <w:rPr>
          <w:rFonts w:ascii="Arial" w:hAnsi="Arial" w:cs="Arial"/>
          <w:i/>
          <w:iCs/>
          <w:sz w:val="18"/>
          <w:szCs w:val="18"/>
        </w:rPr>
        <w:t xml:space="preserve">; DW: Distilled Water (10 mL/kg); Pilo: Pilocarpine; </w:t>
      </w:r>
      <w:bookmarkEnd w:id="12"/>
      <w:proofErr w:type="spellStart"/>
      <w:r w:rsidRPr="00822A31">
        <w:rPr>
          <w:rFonts w:ascii="Arial" w:hAnsi="Arial" w:cs="Arial"/>
          <w:i/>
          <w:iCs/>
          <w:sz w:val="18"/>
          <w:szCs w:val="18"/>
        </w:rPr>
        <w:t>Cb</w:t>
      </w:r>
      <w:proofErr w:type="spellEnd"/>
      <w:r w:rsidRPr="00822A31">
        <w:rPr>
          <w:rFonts w:ascii="Arial" w:hAnsi="Arial" w:cs="Arial"/>
          <w:i/>
          <w:iCs/>
          <w:sz w:val="18"/>
          <w:szCs w:val="18"/>
        </w:rPr>
        <w:t>: C. bauchiense; SV: Sodium V</w:t>
      </w:r>
      <w:r w:rsidR="00CC55DB">
        <w:rPr>
          <w:rFonts w:ascii="Arial" w:hAnsi="Arial" w:cs="Arial"/>
          <w:i/>
          <w:iCs/>
          <w:sz w:val="18"/>
          <w:szCs w:val="18"/>
        </w:rPr>
        <w:t>al</w:t>
      </w:r>
      <w:r w:rsidRPr="00822A31">
        <w:rPr>
          <w:rFonts w:ascii="Arial" w:hAnsi="Arial" w:cs="Arial"/>
          <w:i/>
          <w:iCs/>
          <w:sz w:val="18"/>
          <w:szCs w:val="18"/>
        </w:rPr>
        <w:t>proate (300 mg/kg).</w:t>
      </w:r>
    </w:p>
    <w:p w14:paraId="1C274177" w14:textId="77777777" w:rsidR="00822A31" w:rsidRPr="00822A31" w:rsidRDefault="00822A31" w:rsidP="00441B6F">
      <w:pPr>
        <w:pStyle w:val="Body"/>
        <w:spacing w:after="0"/>
        <w:rPr>
          <w:rFonts w:ascii="Arial" w:hAnsi="Arial" w:cs="Arial"/>
        </w:rPr>
      </w:pPr>
    </w:p>
    <w:p w14:paraId="093CC4CA" w14:textId="6963D161" w:rsidR="005F6FC5" w:rsidRPr="005F6FC5" w:rsidRDefault="005F6FC5" w:rsidP="0046522C">
      <w:pPr>
        <w:pStyle w:val="Body"/>
        <w:spacing w:after="0"/>
        <w:ind w:left="426" w:hanging="426"/>
        <w:rPr>
          <w:rFonts w:ascii="Arial" w:hAnsi="Arial" w:cs="Arial"/>
          <w:b/>
          <w:bCs/>
        </w:rPr>
      </w:pPr>
      <w:r w:rsidRPr="005F6FC5">
        <w:rPr>
          <w:rFonts w:ascii="Arial" w:hAnsi="Arial" w:cs="Arial"/>
          <w:b/>
          <w:bCs/>
        </w:rPr>
        <w:t xml:space="preserve">3.5. Effects of aqueous extract of </w:t>
      </w:r>
      <w:r w:rsidRPr="005F6FC5">
        <w:rPr>
          <w:rFonts w:ascii="Arial" w:hAnsi="Arial" w:cs="Arial"/>
          <w:b/>
          <w:bCs/>
          <w:i/>
          <w:iCs/>
        </w:rPr>
        <w:t>Crassoceph</w:t>
      </w:r>
      <w:r w:rsidR="00CC55DB">
        <w:rPr>
          <w:rFonts w:ascii="Arial" w:hAnsi="Arial" w:cs="Arial"/>
          <w:b/>
          <w:bCs/>
          <w:i/>
          <w:iCs/>
        </w:rPr>
        <w:t>al</w:t>
      </w:r>
      <w:r w:rsidRPr="005F6FC5">
        <w:rPr>
          <w:rFonts w:ascii="Arial" w:hAnsi="Arial" w:cs="Arial"/>
          <w:b/>
          <w:bCs/>
          <w:i/>
          <w:iCs/>
        </w:rPr>
        <w:t>um bauchiense</w:t>
      </w:r>
      <w:r w:rsidRPr="005F6FC5">
        <w:rPr>
          <w:rFonts w:ascii="Arial" w:hAnsi="Arial" w:cs="Arial"/>
          <w:b/>
          <w:bCs/>
        </w:rPr>
        <w:t xml:space="preserve"> on the duration of tonic and </w:t>
      </w:r>
      <w:proofErr w:type="spellStart"/>
      <w:r w:rsidRPr="005F6FC5">
        <w:rPr>
          <w:rFonts w:ascii="Arial" w:hAnsi="Arial" w:cs="Arial"/>
          <w:b/>
          <w:bCs/>
        </w:rPr>
        <w:t>clonic</w:t>
      </w:r>
      <w:proofErr w:type="spellEnd"/>
      <w:r w:rsidRPr="005F6FC5">
        <w:rPr>
          <w:rFonts w:ascii="Arial" w:hAnsi="Arial" w:cs="Arial"/>
          <w:b/>
          <w:bCs/>
        </w:rPr>
        <w:t xml:space="preserve"> convulsions induced by pilocarpine</w:t>
      </w:r>
    </w:p>
    <w:p w14:paraId="7B563CD1" w14:textId="11052399" w:rsidR="005F6FC5" w:rsidRPr="005F6FC5" w:rsidRDefault="005F6FC5" w:rsidP="005F6FC5">
      <w:pPr>
        <w:pStyle w:val="Body"/>
        <w:rPr>
          <w:rFonts w:ascii="Arial" w:hAnsi="Arial" w:cs="Arial"/>
        </w:rPr>
      </w:pPr>
      <w:r w:rsidRPr="005F6FC5">
        <w:rPr>
          <w:rFonts w:ascii="Arial" w:hAnsi="Arial" w:cs="Arial"/>
        </w:rPr>
        <w:t>. The duration of tonic convulsion increased (p &lt;0.001) in the negative control (14.66 ± 0.81 s) in contrast to the norm</w:t>
      </w:r>
      <w:r w:rsidR="00CC55DB">
        <w:rPr>
          <w:rFonts w:ascii="Arial" w:hAnsi="Arial" w:cs="Arial"/>
        </w:rPr>
        <w:t>al</w:t>
      </w:r>
      <w:r w:rsidRPr="005F6FC5">
        <w:rPr>
          <w:rFonts w:ascii="Arial" w:hAnsi="Arial" w:cs="Arial"/>
        </w:rPr>
        <w:t xml:space="preserve"> control (0.00 ± 0.00 s).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5F6FC5">
        <w:rPr>
          <w:rFonts w:ascii="Arial" w:hAnsi="Arial" w:cs="Arial"/>
        </w:rPr>
        <w:t>induced a decrease [F (6, 35) = 188,</w:t>
      </w:r>
      <w:r w:rsidRPr="005F6FC5">
        <w:rPr>
          <w:rFonts w:ascii="Arial" w:hAnsi="Arial" w:cs="Arial"/>
          <w:i/>
        </w:rPr>
        <w:t xml:space="preserve"> P</w:t>
      </w:r>
      <w:r w:rsidRPr="005F6FC5">
        <w:rPr>
          <w:rFonts w:ascii="Arial" w:hAnsi="Arial" w:cs="Arial"/>
        </w:rPr>
        <w:t xml:space="preserve"> &lt;0.001] of 6.33 ± 1.03 s (56.82%) and 5.83 ± 1.16 s (60.23%) respectively in mice dosed with 140 and 280 mg/kg compared to the negative control </w:t>
      </w:r>
      <w:r w:rsidRPr="005F6FC5">
        <w:rPr>
          <w:rFonts w:ascii="Arial" w:hAnsi="Arial" w:cs="Arial"/>
          <w:b/>
          <w:bCs/>
        </w:rPr>
        <w:t>(Table 2)</w:t>
      </w:r>
      <w:r w:rsidRPr="005F6FC5">
        <w:rPr>
          <w:rFonts w:ascii="Arial" w:hAnsi="Arial" w:cs="Arial"/>
        </w:rPr>
        <w:t>. Similarly, sodium v</w:t>
      </w:r>
      <w:r w:rsidR="00CC55DB">
        <w:rPr>
          <w:rFonts w:ascii="Arial" w:hAnsi="Arial" w:cs="Arial"/>
        </w:rPr>
        <w:t>al</w:t>
      </w:r>
      <w:r w:rsidRPr="005F6FC5">
        <w:rPr>
          <w:rFonts w:ascii="Arial" w:hAnsi="Arial" w:cs="Arial"/>
        </w:rPr>
        <w:t xml:space="preserve">proate decreased (p &lt;0.001) this time to 4.33 ± 1.36 s (70.46%) compared to the negative control </w:t>
      </w:r>
      <w:r w:rsidRPr="005F6FC5">
        <w:rPr>
          <w:rFonts w:ascii="Arial" w:hAnsi="Arial" w:cs="Arial"/>
          <w:b/>
          <w:bCs/>
        </w:rPr>
        <w:t>(Table 2)</w:t>
      </w:r>
      <w:r w:rsidRPr="005F6FC5">
        <w:rPr>
          <w:rFonts w:ascii="Arial" w:hAnsi="Arial" w:cs="Arial"/>
        </w:rPr>
        <w:t>.</w:t>
      </w:r>
    </w:p>
    <w:p w14:paraId="3668158D" w14:textId="66F921E2" w:rsidR="005F6FC5" w:rsidRPr="005F6FC5" w:rsidRDefault="005F6FC5" w:rsidP="005F6FC5">
      <w:pPr>
        <w:pStyle w:val="Body"/>
        <w:rPr>
          <w:rFonts w:ascii="Arial" w:hAnsi="Arial" w:cs="Arial"/>
        </w:rPr>
      </w:pPr>
      <w:r w:rsidRPr="005F6FC5">
        <w:rPr>
          <w:rFonts w:ascii="Arial" w:hAnsi="Arial" w:cs="Arial"/>
        </w:rPr>
        <w:t xml:space="preserve"> The duration of </w:t>
      </w:r>
      <w:proofErr w:type="spellStart"/>
      <w:r w:rsidRPr="005F6FC5">
        <w:rPr>
          <w:rFonts w:ascii="Arial" w:hAnsi="Arial" w:cs="Arial"/>
        </w:rPr>
        <w:t>clonic</w:t>
      </w:r>
      <w:proofErr w:type="spellEnd"/>
      <w:r w:rsidRPr="005F6FC5">
        <w:rPr>
          <w:rFonts w:ascii="Arial" w:hAnsi="Arial" w:cs="Arial"/>
        </w:rPr>
        <w:t xml:space="preserve"> convulsion was significantly increased (p &lt;0.001) in the negative control (42.83 ± 5.41 sec) compared to the norm</w:t>
      </w:r>
      <w:r w:rsidR="00CC55DB">
        <w:rPr>
          <w:rFonts w:ascii="Arial" w:hAnsi="Arial" w:cs="Arial"/>
        </w:rPr>
        <w:t>al</w:t>
      </w:r>
      <w:r w:rsidRPr="005F6FC5">
        <w:rPr>
          <w:rFonts w:ascii="Arial" w:hAnsi="Arial" w:cs="Arial"/>
        </w:rPr>
        <w:t xml:space="preserve"> control (0.00 ± 0.00 s).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5F6FC5">
        <w:rPr>
          <w:rFonts w:ascii="Arial" w:hAnsi="Arial" w:cs="Arial"/>
        </w:rPr>
        <w:t>induced a decrease [F (6, 35) = 133,</w:t>
      </w:r>
      <w:r w:rsidRPr="005F6FC5">
        <w:rPr>
          <w:rFonts w:ascii="Arial" w:hAnsi="Arial" w:cs="Arial"/>
          <w:i/>
        </w:rPr>
        <w:t xml:space="preserve"> P</w:t>
      </w:r>
      <w:r w:rsidRPr="005F6FC5">
        <w:rPr>
          <w:rFonts w:ascii="Arial" w:hAnsi="Arial" w:cs="Arial"/>
        </w:rPr>
        <w:t xml:space="preserve"> &lt;0.001] from 13.83 ± 1.16 (67.70%) to 12.66 ± 1.75 (70.44%) in the duration of </w:t>
      </w:r>
      <w:proofErr w:type="spellStart"/>
      <w:r w:rsidRPr="005F6FC5">
        <w:rPr>
          <w:rFonts w:ascii="Arial" w:hAnsi="Arial" w:cs="Arial"/>
        </w:rPr>
        <w:t>clonic</w:t>
      </w:r>
      <w:proofErr w:type="spellEnd"/>
      <w:r w:rsidRPr="005F6FC5">
        <w:rPr>
          <w:rFonts w:ascii="Arial" w:hAnsi="Arial" w:cs="Arial"/>
        </w:rPr>
        <w:t xml:space="preserve"> convulsions respectively in mice given 140 and 280 mg/kg compared to the negative control </w:t>
      </w:r>
      <w:r w:rsidRPr="005F6FC5">
        <w:rPr>
          <w:rFonts w:ascii="Arial" w:hAnsi="Arial" w:cs="Arial"/>
          <w:b/>
          <w:bCs/>
        </w:rPr>
        <w:t>(Table 2)</w:t>
      </w:r>
      <w:r w:rsidRPr="005F6FC5">
        <w:rPr>
          <w:rFonts w:ascii="Arial" w:hAnsi="Arial" w:cs="Arial"/>
        </w:rPr>
        <w:t>. Similarly, sodium v</w:t>
      </w:r>
      <w:r w:rsidR="00CC55DB">
        <w:rPr>
          <w:rFonts w:ascii="Arial" w:hAnsi="Arial" w:cs="Arial"/>
        </w:rPr>
        <w:t>al</w:t>
      </w:r>
      <w:r w:rsidRPr="005F6FC5">
        <w:rPr>
          <w:rFonts w:ascii="Arial" w:hAnsi="Arial" w:cs="Arial"/>
        </w:rPr>
        <w:t xml:space="preserve">proate led to a decrease of 6.66 ± 2.06 s (84.45%) compared to the negative control </w:t>
      </w:r>
      <w:r w:rsidRPr="005F6FC5">
        <w:rPr>
          <w:rFonts w:ascii="Arial" w:hAnsi="Arial" w:cs="Arial"/>
          <w:b/>
          <w:bCs/>
        </w:rPr>
        <w:t>(Table 2)</w:t>
      </w:r>
      <w:r w:rsidRPr="005F6FC5">
        <w:rPr>
          <w:rFonts w:ascii="Arial" w:hAnsi="Arial" w:cs="Arial"/>
        </w:rPr>
        <w:t>.</w:t>
      </w:r>
    </w:p>
    <w:p w14:paraId="119EB1EA" w14:textId="53DD6A19" w:rsidR="005F6FC5" w:rsidRPr="004A119E" w:rsidRDefault="005F6FC5" w:rsidP="005F6FC5">
      <w:pPr>
        <w:pStyle w:val="Body"/>
        <w:spacing w:after="0"/>
        <w:jc w:val="center"/>
        <w:rPr>
          <w:rFonts w:ascii="Arial" w:hAnsi="Arial" w:cs="Arial"/>
          <w:b/>
          <w:bCs/>
          <w:iCs/>
        </w:rPr>
      </w:pPr>
      <w:bookmarkStart w:id="13" w:name="_Toc499202102"/>
      <w:r w:rsidRPr="005F6FC5">
        <w:rPr>
          <w:rFonts w:ascii="Arial" w:hAnsi="Arial" w:cs="Arial"/>
          <w:b/>
          <w:iCs/>
        </w:rPr>
        <w:t>Table 2:</w:t>
      </w:r>
      <w:r w:rsidRPr="005F6FC5">
        <w:rPr>
          <w:rFonts w:ascii="Arial" w:hAnsi="Arial" w:cs="Arial"/>
          <w:b/>
          <w:bCs/>
          <w:iCs/>
        </w:rPr>
        <w:t xml:space="preserve"> </w:t>
      </w:r>
      <w:bookmarkEnd w:id="13"/>
      <w:r w:rsidRPr="005F6FC5">
        <w:rPr>
          <w:rFonts w:ascii="Arial" w:hAnsi="Arial" w:cs="Arial"/>
          <w:b/>
          <w:bCs/>
          <w:iCs/>
        </w:rPr>
        <w:t xml:space="preserve">Duration of tonic and </w:t>
      </w:r>
      <w:proofErr w:type="spellStart"/>
      <w:r w:rsidRPr="005F6FC5">
        <w:rPr>
          <w:rFonts w:ascii="Arial" w:hAnsi="Arial" w:cs="Arial"/>
          <w:b/>
          <w:bCs/>
          <w:iCs/>
        </w:rPr>
        <w:t>clonic</w:t>
      </w:r>
      <w:proofErr w:type="spellEnd"/>
      <w:r w:rsidRPr="005F6FC5">
        <w:rPr>
          <w:rFonts w:ascii="Arial" w:hAnsi="Arial" w:cs="Arial"/>
          <w:b/>
          <w:bCs/>
          <w:iCs/>
        </w:rPr>
        <w:t xml:space="preserve"> convulsions as a function</w:t>
      </w:r>
      <w:r w:rsidRPr="005F6FC5">
        <w:rPr>
          <w:rFonts w:ascii="Arial" w:hAnsi="Arial" w:cs="Arial"/>
          <w:iCs/>
        </w:rPr>
        <w:t xml:space="preserve"> </w:t>
      </w:r>
      <w:r w:rsidRPr="004A119E">
        <w:rPr>
          <w:rFonts w:ascii="Arial" w:hAnsi="Arial" w:cs="Arial"/>
          <w:b/>
          <w:bCs/>
          <w:iCs/>
        </w:rPr>
        <w:t xml:space="preserve">of </w:t>
      </w:r>
      <w:r w:rsidRPr="004A119E">
        <w:rPr>
          <w:rFonts w:ascii="Arial" w:hAnsi="Arial" w:cs="Arial"/>
          <w:b/>
          <w:bCs/>
          <w:i/>
        </w:rPr>
        <w:t>Crassoceph</w:t>
      </w:r>
      <w:r w:rsidR="00CC55DB">
        <w:rPr>
          <w:rFonts w:ascii="Arial" w:hAnsi="Arial" w:cs="Arial"/>
          <w:b/>
          <w:bCs/>
          <w:i/>
        </w:rPr>
        <w:t>al</w:t>
      </w:r>
      <w:r w:rsidRPr="004A119E">
        <w:rPr>
          <w:rFonts w:ascii="Arial" w:hAnsi="Arial" w:cs="Arial"/>
          <w:b/>
          <w:bCs/>
          <w:i/>
        </w:rPr>
        <w:t>um bauchiense</w:t>
      </w:r>
      <w:r w:rsidRPr="004A119E">
        <w:rPr>
          <w:rFonts w:ascii="Arial" w:hAnsi="Arial" w:cs="Arial"/>
          <w:b/>
          <w:bCs/>
          <w:iCs/>
        </w:rPr>
        <w:t xml:space="preserve"> doses</w:t>
      </w:r>
    </w:p>
    <w:tbl>
      <w:tblPr>
        <w:tblW w:w="9491" w:type="dxa"/>
        <w:tblBorders>
          <w:top w:val="single" w:sz="4" w:space="0" w:color="auto"/>
          <w:bottom w:val="single" w:sz="4" w:space="0" w:color="auto"/>
        </w:tblBorders>
        <w:tblLook w:val="04A0" w:firstRow="1" w:lastRow="0" w:firstColumn="1" w:lastColumn="0" w:noHBand="0" w:noVBand="1"/>
      </w:tblPr>
      <w:tblGrid>
        <w:gridCol w:w="1668"/>
        <w:gridCol w:w="1701"/>
        <w:gridCol w:w="2976"/>
        <w:gridCol w:w="3146"/>
      </w:tblGrid>
      <w:tr w:rsidR="005F6FC5" w:rsidRPr="005F6FC5" w14:paraId="36B27CB5" w14:textId="77777777" w:rsidTr="005F6FC5">
        <w:trPr>
          <w:trHeight w:val="328"/>
        </w:trPr>
        <w:tc>
          <w:tcPr>
            <w:tcW w:w="1668" w:type="dxa"/>
            <w:tcBorders>
              <w:top w:val="single" w:sz="4" w:space="0" w:color="auto"/>
              <w:bottom w:val="single" w:sz="4" w:space="0" w:color="auto"/>
            </w:tcBorders>
            <w:noWrap/>
            <w:hideMark/>
          </w:tcPr>
          <w:p w14:paraId="101C28CA" w14:textId="77777777" w:rsidR="005F6FC5" w:rsidRPr="005F6FC5" w:rsidRDefault="005F6FC5" w:rsidP="005F6FC5">
            <w:pPr>
              <w:pStyle w:val="Body"/>
              <w:spacing w:after="0"/>
              <w:rPr>
                <w:rFonts w:ascii="Arial" w:hAnsi="Arial" w:cs="Arial"/>
                <w:b/>
                <w:bCs/>
                <w:lang w:val="fr-CM"/>
              </w:rPr>
            </w:pPr>
            <w:r w:rsidRPr="005F6FC5">
              <w:rPr>
                <w:rFonts w:ascii="Arial" w:hAnsi="Arial" w:cs="Arial"/>
                <w:b/>
                <w:bCs/>
                <w:lang w:val="fr-CM"/>
              </w:rPr>
              <w:t>Groups</w:t>
            </w:r>
          </w:p>
        </w:tc>
        <w:tc>
          <w:tcPr>
            <w:tcW w:w="1701" w:type="dxa"/>
            <w:tcBorders>
              <w:top w:val="single" w:sz="4" w:space="0" w:color="auto"/>
              <w:bottom w:val="single" w:sz="4" w:space="0" w:color="auto"/>
            </w:tcBorders>
            <w:noWrap/>
            <w:hideMark/>
          </w:tcPr>
          <w:p w14:paraId="23558B80" w14:textId="2D4AC366" w:rsidR="005F6FC5" w:rsidRPr="005F6FC5" w:rsidRDefault="005F6FC5" w:rsidP="005F6FC5">
            <w:pPr>
              <w:pStyle w:val="Body"/>
              <w:spacing w:after="0"/>
              <w:rPr>
                <w:rFonts w:ascii="Arial" w:hAnsi="Arial" w:cs="Arial"/>
                <w:b/>
                <w:bCs/>
                <w:lang w:val="fr-CM"/>
              </w:rPr>
            </w:pPr>
            <w:r w:rsidRPr="005F6FC5">
              <w:rPr>
                <w:rFonts w:ascii="Arial" w:hAnsi="Arial" w:cs="Arial"/>
                <w:b/>
                <w:bCs/>
                <w:lang w:val="fr-CM"/>
              </w:rPr>
              <w:t>Doses</w:t>
            </w:r>
            <w:r>
              <w:rPr>
                <w:rFonts w:ascii="Arial" w:hAnsi="Arial" w:cs="Arial"/>
                <w:b/>
                <w:bCs/>
                <w:lang w:val="fr-CM"/>
              </w:rPr>
              <w:t xml:space="preserve"> </w:t>
            </w:r>
            <w:r w:rsidRPr="005F6FC5">
              <w:rPr>
                <w:rFonts w:ascii="Arial" w:hAnsi="Arial" w:cs="Arial"/>
                <w:b/>
                <w:bCs/>
                <w:lang w:val="fr-CM"/>
              </w:rPr>
              <w:t>(mg/kg)</w:t>
            </w:r>
          </w:p>
        </w:tc>
        <w:tc>
          <w:tcPr>
            <w:tcW w:w="2976" w:type="dxa"/>
            <w:tcBorders>
              <w:top w:val="single" w:sz="4" w:space="0" w:color="auto"/>
              <w:bottom w:val="single" w:sz="4" w:space="0" w:color="auto"/>
            </w:tcBorders>
            <w:noWrap/>
            <w:hideMark/>
          </w:tcPr>
          <w:p w14:paraId="4F4BE215" w14:textId="7DF5CAB8" w:rsidR="005F6FC5" w:rsidRPr="005F6FC5" w:rsidRDefault="005F6FC5" w:rsidP="005F6FC5">
            <w:pPr>
              <w:pStyle w:val="Body"/>
              <w:spacing w:after="0"/>
              <w:rPr>
                <w:rFonts w:ascii="Arial" w:hAnsi="Arial" w:cs="Arial"/>
                <w:b/>
                <w:bCs/>
              </w:rPr>
            </w:pPr>
            <w:r w:rsidRPr="005F6FC5">
              <w:rPr>
                <w:rFonts w:ascii="Arial" w:hAnsi="Arial" w:cs="Arial"/>
                <w:b/>
                <w:bCs/>
              </w:rPr>
              <w:t>Duration of tonic seizures</w:t>
            </w:r>
            <w:r>
              <w:rPr>
                <w:rFonts w:ascii="Arial" w:hAnsi="Arial" w:cs="Arial"/>
                <w:b/>
                <w:bCs/>
              </w:rPr>
              <w:t xml:space="preserve"> </w:t>
            </w:r>
            <w:r w:rsidRPr="005F6FC5">
              <w:rPr>
                <w:rFonts w:ascii="Arial" w:hAnsi="Arial" w:cs="Arial"/>
                <w:b/>
                <w:bCs/>
              </w:rPr>
              <w:t>(s)</w:t>
            </w:r>
          </w:p>
        </w:tc>
        <w:tc>
          <w:tcPr>
            <w:tcW w:w="3146" w:type="dxa"/>
            <w:tcBorders>
              <w:top w:val="single" w:sz="4" w:space="0" w:color="auto"/>
              <w:bottom w:val="single" w:sz="4" w:space="0" w:color="auto"/>
            </w:tcBorders>
            <w:noWrap/>
            <w:hideMark/>
          </w:tcPr>
          <w:p w14:paraId="2D2D1CB1" w14:textId="77777777" w:rsidR="005F6FC5" w:rsidRPr="005F6FC5" w:rsidRDefault="005F6FC5" w:rsidP="005F6FC5">
            <w:pPr>
              <w:pStyle w:val="Body"/>
              <w:spacing w:after="0"/>
              <w:rPr>
                <w:rFonts w:ascii="Arial" w:hAnsi="Arial" w:cs="Arial"/>
                <w:b/>
                <w:bCs/>
              </w:rPr>
            </w:pPr>
            <w:r w:rsidRPr="005F6FC5">
              <w:rPr>
                <w:rFonts w:ascii="Arial" w:hAnsi="Arial" w:cs="Arial"/>
                <w:b/>
                <w:bCs/>
              </w:rPr>
              <w:t xml:space="preserve">Duration of </w:t>
            </w:r>
            <w:proofErr w:type="spellStart"/>
            <w:r w:rsidRPr="005F6FC5">
              <w:rPr>
                <w:rFonts w:ascii="Arial" w:hAnsi="Arial" w:cs="Arial"/>
                <w:b/>
                <w:bCs/>
              </w:rPr>
              <w:t>clonic</w:t>
            </w:r>
            <w:proofErr w:type="spellEnd"/>
            <w:r w:rsidRPr="005F6FC5">
              <w:rPr>
                <w:rFonts w:ascii="Arial" w:hAnsi="Arial" w:cs="Arial"/>
                <w:b/>
                <w:bCs/>
              </w:rPr>
              <w:t xml:space="preserve"> seizures (s)</w:t>
            </w:r>
          </w:p>
        </w:tc>
      </w:tr>
      <w:tr w:rsidR="005F6FC5" w:rsidRPr="005F6FC5" w14:paraId="3006B5A6" w14:textId="77777777" w:rsidTr="005F6FC5">
        <w:trPr>
          <w:trHeight w:val="328"/>
        </w:trPr>
        <w:tc>
          <w:tcPr>
            <w:tcW w:w="1668" w:type="dxa"/>
            <w:tcBorders>
              <w:top w:val="single" w:sz="4" w:space="0" w:color="auto"/>
            </w:tcBorders>
            <w:shd w:val="clear" w:color="auto" w:fill="auto"/>
            <w:noWrap/>
            <w:hideMark/>
          </w:tcPr>
          <w:p w14:paraId="7866ED63" w14:textId="77777777" w:rsidR="005F6FC5" w:rsidRPr="005F6FC5" w:rsidRDefault="005F6FC5" w:rsidP="005F6FC5">
            <w:pPr>
              <w:pStyle w:val="Body"/>
              <w:spacing w:after="0"/>
              <w:rPr>
                <w:rFonts w:ascii="Arial" w:hAnsi="Arial" w:cs="Arial"/>
                <w:b/>
                <w:bCs/>
                <w:lang w:val="fr-CM"/>
              </w:rPr>
            </w:pPr>
            <w:r w:rsidRPr="005F6FC5">
              <w:rPr>
                <w:rFonts w:ascii="Arial" w:hAnsi="Arial" w:cs="Arial"/>
                <w:b/>
                <w:bCs/>
                <w:lang w:val="fr-CM"/>
              </w:rPr>
              <w:t>DW+DW</w:t>
            </w:r>
          </w:p>
        </w:tc>
        <w:tc>
          <w:tcPr>
            <w:tcW w:w="1701" w:type="dxa"/>
            <w:tcBorders>
              <w:top w:val="single" w:sz="4" w:space="0" w:color="auto"/>
            </w:tcBorders>
            <w:shd w:val="clear" w:color="auto" w:fill="auto"/>
            <w:noWrap/>
            <w:hideMark/>
          </w:tcPr>
          <w:p w14:paraId="1FADF3A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w:t>
            </w:r>
          </w:p>
        </w:tc>
        <w:tc>
          <w:tcPr>
            <w:tcW w:w="2976" w:type="dxa"/>
            <w:tcBorders>
              <w:top w:val="single" w:sz="4" w:space="0" w:color="auto"/>
            </w:tcBorders>
            <w:shd w:val="clear" w:color="auto" w:fill="auto"/>
            <w:noWrap/>
            <w:hideMark/>
          </w:tcPr>
          <w:p w14:paraId="6F698E9B" w14:textId="1DA59264" w:rsidR="005F6FC5" w:rsidRPr="005F6FC5" w:rsidRDefault="005F6FC5" w:rsidP="005F6FC5">
            <w:pPr>
              <w:pStyle w:val="Body"/>
              <w:spacing w:after="0"/>
              <w:rPr>
                <w:rFonts w:ascii="Arial" w:hAnsi="Arial" w:cs="Arial"/>
                <w:lang w:val="fr-CM"/>
              </w:rPr>
            </w:pPr>
            <w:r w:rsidRPr="005F6FC5">
              <w:rPr>
                <w:rFonts w:ascii="Arial" w:hAnsi="Arial" w:cs="Arial"/>
                <w:lang w:val="fr-CM"/>
              </w:rPr>
              <w:t xml:space="preserve"> 0</w:t>
            </w:r>
            <w:r>
              <w:rPr>
                <w:rFonts w:ascii="Arial" w:hAnsi="Arial" w:cs="Arial"/>
                <w:lang w:val="fr-CM"/>
              </w:rPr>
              <w:t>.</w:t>
            </w:r>
            <w:r w:rsidRPr="005F6FC5">
              <w:rPr>
                <w:rFonts w:ascii="Arial" w:hAnsi="Arial" w:cs="Arial"/>
                <w:lang w:val="fr-CM"/>
              </w:rPr>
              <w:t>00 ± 0</w:t>
            </w:r>
            <w:r>
              <w:rPr>
                <w:rFonts w:ascii="Arial" w:hAnsi="Arial" w:cs="Arial"/>
                <w:lang w:val="fr-CM"/>
              </w:rPr>
              <w:t>.</w:t>
            </w:r>
            <w:r w:rsidRPr="005F6FC5">
              <w:rPr>
                <w:rFonts w:ascii="Arial" w:hAnsi="Arial" w:cs="Arial"/>
                <w:lang w:val="fr-CM"/>
              </w:rPr>
              <w:t>00</w:t>
            </w:r>
          </w:p>
        </w:tc>
        <w:tc>
          <w:tcPr>
            <w:tcW w:w="3146" w:type="dxa"/>
            <w:tcBorders>
              <w:top w:val="single" w:sz="4" w:space="0" w:color="auto"/>
            </w:tcBorders>
            <w:shd w:val="clear" w:color="auto" w:fill="auto"/>
            <w:noWrap/>
            <w:hideMark/>
          </w:tcPr>
          <w:p w14:paraId="3F90C5F2" w14:textId="71F11B0B" w:rsidR="005F6FC5" w:rsidRPr="005F6FC5" w:rsidRDefault="005F6FC5" w:rsidP="005F6FC5">
            <w:pPr>
              <w:pStyle w:val="Body"/>
              <w:spacing w:after="0"/>
              <w:rPr>
                <w:rFonts w:ascii="Arial" w:hAnsi="Arial" w:cs="Arial"/>
                <w:lang w:val="fr-CM"/>
              </w:rPr>
            </w:pPr>
            <w:r w:rsidRPr="005F6FC5">
              <w:rPr>
                <w:rFonts w:ascii="Arial" w:hAnsi="Arial" w:cs="Arial"/>
                <w:lang w:val="fr-CM"/>
              </w:rPr>
              <w:t>0</w:t>
            </w:r>
            <w:r>
              <w:rPr>
                <w:rFonts w:ascii="Arial" w:hAnsi="Arial" w:cs="Arial"/>
                <w:lang w:val="fr-CM"/>
              </w:rPr>
              <w:t>.</w:t>
            </w:r>
            <w:r w:rsidRPr="005F6FC5">
              <w:rPr>
                <w:rFonts w:ascii="Arial" w:hAnsi="Arial" w:cs="Arial"/>
                <w:lang w:val="fr-CM"/>
              </w:rPr>
              <w:t>00 ± 0</w:t>
            </w:r>
            <w:r>
              <w:rPr>
                <w:rFonts w:ascii="Arial" w:hAnsi="Arial" w:cs="Arial"/>
                <w:lang w:val="fr-CM"/>
              </w:rPr>
              <w:t>.</w:t>
            </w:r>
            <w:r w:rsidRPr="005F6FC5">
              <w:rPr>
                <w:rFonts w:ascii="Arial" w:hAnsi="Arial" w:cs="Arial"/>
                <w:lang w:val="fr-CM"/>
              </w:rPr>
              <w:t>00</w:t>
            </w:r>
          </w:p>
        </w:tc>
      </w:tr>
      <w:tr w:rsidR="005F6FC5" w:rsidRPr="005F6FC5" w14:paraId="08CF8514" w14:textId="77777777" w:rsidTr="005F6FC5">
        <w:trPr>
          <w:trHeight w:val="328"/>
        </w:trPr>
        <w:tc>
          <w:tcPr>
            <w:tcW w:w="1668" w:type="dxa"/>
            <w:shd w:val="clear" w:color="auto" w:fill="auto"/>
            <w:noWrap/>
            <w:hideMark/>
          </w:tcPr>
          <w:p w14:paraId="0C7367E4" w14:textId="77777777" w:rsidR="005F6FC5" w:rsidRPr="005F6FC5" w:rsidRDefault="005F6FC5" w:rsidP="005F6FC5">
            <w:pPr>
              <w:pStyle w:val="Body"/>
              <w:spacing w:after="0"/>
              <w:rPr>
                <w:rFonts w:ascii="Arial" w:hAnsi="Arial" w:cs="Arial"/>
                <w:b/>
                <w:bCs/>
                <w:lang w:val="fr-CM"/>
              </w:rPr>
            </w:pPr>
            <w:proofErr w:type="spellStart"/>
            <w:r w:rsidRPr="005F6FC5">
              <w:rPr>
                <w:rFonts w:ascii="Arial" w:hAnsi="Arial" w:cs="Arial"/>
                <w:b/>
                <w:bCs/>
                <w:lang w:val="fr-CM"/>
              </w:rPr>
              <w:t>DW+Pilo</w:t>
            </w:r>
            <w:proofErr w:type="spellEnd"/>
          </w:p>
        </w:tc>
        <w:tc>
          <w:tcPr>
            <w:tcW w:w="1701" w:type="dxa"/>
            <w:shd w:val="clear" w:color="auto" w:fill="auto"/>
            <w:noWrap/>
            <w:hideMark/>
          </w:tcPr>
          <w:p w14:paraId="42654D5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w:t>
            </w:r>
          </w:p>
        </w:tc>
        <w:tc>
          <w:tcPr>
            <w:tcW w:w="2976" w:type="dxa"/>
            <w:shd w:val="clear" w:color="auto" w:fill="auto"/>
            <w:noWrap/>
            <w:hideMark/>
          </w:tcPr>
          <w:p w14:paraId="43554006" w14:textId="141FDDCC"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14</w:t>
            </w:r>
            <w:r>
              <w:rPr>
                <w:rFonts w:ascii="Arial" w:hAnsi="Arial" w:cs="Arial"/>
                <w:lang w:val="fr-CM"/>
              </w:rPr>
              <w:t>.</w:t>
            </w:r>
            <w:r w:rsidRPr="005F6FC5">
              <w:rPr>
                <w:rFonts w:ascii="Arial" w:hAnsi="Arial" w:cs="Arial"/>
                <w:lang w:val="fr-CM"/>
              </w:rPr>
              <w:t>66 ± 0</w:t>
            </w:r>
            <w:r>
              <w:rPr>
                <w:rFonts w:ascii="Arial" w:hAnsi="Arial" w:cs="Arial"/>
                <w:lang w:val="fr-CM"/>
              </w:rPr>
              <w:t>.</w:t>
            </w:r>
            <w:r w:rsidRPr="005F6FC5">
              <w:rPr>
                <w:rFonts w:ascii="Arial" w:hAnsi="Arial" w:cs="Arial"/>
                <w:lang w:val="fr-CM"/>
              </w:rPr>
              <w:t>81</w:t>
            </w:r>
            <w:r w:rsidRPr="005F6FC5">
              <w:rPr>
                <w:rFonts w:ascii="Arial" w:hAnsi="Arial" w:cs="Arial"/>
                <w:vertAlign w:val="superscript"/>
                <w:lang w:val="fr-CM"/>
              </w:rPr>
              <w:t>£££</w:t>
            </w:r>
          </w:p>
        </w:tc>
        <w:tc>
          <w:tcPr>
            <w:tcW w:w="3146" w:type="dxa"/>
            <w:shd w:val="clear" w:color="auto" w:fill="auto"/>
            <w:noWrap/>
            <w:hideMark/>
          </w:tcPr>
          <w:p w14:paraId="38860736" w14:textId="027A2381"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42</w:t>
            </w:r>
            <w:r>
              <w:rPr>
                <w:rFonts w:ascii="Arial" w:hAnsi="Arial" w:cs="Arial"/>
                <w:lang w:val="fr-CM"/>
              </w:rPr>
              <w:t>.</w:t>
            </w:r>
            <w:r w:rsidRPr="005F6FC5">
              <w:rPr>
                <w:rFonts w:ascii="Arial" w:hAnsi="Arial" w:cs="Arial"/>
                <w:lang w:val="fr-CM"/>
              </w:rPr>
              <w:t>83 ± 5</w:t>
            </w:r>
            <w:r>
              <w:rPr>
                <w:rFonts w:ascii="Arial" w:hAnsi="Arial" w:cs="Arial"/>
                <w:lang w:val="fr-CM"/>
              </w:rPr>
              <w:t>.</w:t>
            </w:r>
            <w:r w:rsidRPr="005F6FC5">
              <w:rPr>
                <w:rFonts w:ascii="Arial" w:hAnsi="Arial" w:cs="Arial"/>
                <w:lang w:val="fr-CM"/>
              </w:rPr>
              <w:t>41</w:t>
            </w:r>
            <w:r w:rsidRPr="005F6FC5">
              <w:rPr>
                <w:rFonts w:ascii="Arial" w:hAnsi="Arial" w:cs="Arial"/>
                <w:vertAlign w:val="superscript"/>
                <w:lang w:val="fr-CM"/>
              </w:rPr>
              <w:t>£££</w:t>
            </w:r>
          </w:p>
        </w:tc>
      </w:tr>
      <w:tr w:rsidR="005F6FC5" w:rsidRPr="005F6FC5" w14:paraId="374E2790" w14:textId="77777777" w:rsidTr="005F6FC5">
        <w:trPr>
          <w:trHeight w:val="328"/>
        </w:trPr>
        <w:tc>
          <w:tcPr>
            <w:tcW w:w="1668" w:type="dxa"/>
            <w:shd w:val="clear" w:color="auto" w:fill="auto"/>
            <w:noWrap/>
            <w:hideMark/>
          </w:tcPr>
          <w:p w14:paraId="1C30F74E"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Cb28+Pilo</w:t>
            </w:r>
          </w:p>
        </w:tc>
        <w:tc>
          <w:tcPr>
            <w:tcW w:w="1701" w:type="dxa"/>
            <w:shd w:val="clear" w:color="auto" w:fill="auto"/>
            <w:noWrap/>
            <w:hideMark/>
          </w:tcPr>
          <w:p w14:paraId="1D8C372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28</w:t>
            </w:r>
          </w:p>
        </w:tc>
        <w:tc>
          <w:tcPr>
            <w:tcW w:w="2976" w:type="dxa"/>
            <w:shd w:val="clear" w:color="auto" w:fill="auto"/>
            <w:noWrap/>
            <w:hideMark/>
          </w:tcPr>
          <w:p w14:paraId="272D1935" w14:textId="6D3A759C"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14</w:t>
            </w:r>
            <w:r>
              <w:rPr>
                <w:rFonts w:ascii="Arial" w:hAnsi="Arial" w:cs="Arial"/>
                <w:lang w:val="fr-CM"/>
              </w:rPr>
              <w:t>.</w:t>
            </w:r>
            <w:r w:rsidRPr="005F6FC5">
              <w:rPr>
                <w:rFonts w:ascii="Arial" w:hAnsi="Arial" w:cs="Arial"/>
                <w:lang w:val="fr-CM"/>
              </w:rPr>
              <w:t>16 ± 0</w:t>
            </w:r>
            <w:r>
              <w:rPr>
                <w:rFonts w:ascii="Arial" w:hAnsi="Arial" w:cs="Arial"/>
                <w:lang w:val="fr-CM"/>
              </w:rPr>
              <w:t>.</w:t>
            </w:r>
            <w:r w:rsidRPr="005F6FC5">
              <w:rPr>
                <w:rFonts w:ascii="Arial" w:hAnsi="Arial" w:cs="Arial"/>
                <w:lang w:val="fr-CM"/>
              </w:rPr>
              <w:t>75</w:t>
            </w:r>
            <w:r w:rsidRPr="005F6FC5">
              <w:rPr>
                <w:rFonts w:ascii="Arial" w:hAnsi="Arial" w:cs="Arial"/>
                <w:vertAlign w:val="superscript"/>
                <w:lang w:val="fr-CM"/>
              </w:rPr>
              <w:t>£££</w:t>
            </w:r>
          </w:p>
        </w:tc>
        <w:tc>
          <w:tcPr>
            <w:tcW w:w="3146" w:type="dxa"/>
            <w:shd w:val="clear" w:color="auto" w:fill="auto"/>
            <w:noWrap/>
            <w:hideMark/>
          </w:tcPr>
          <w:p w14:paraId="082CBCA8" w14:textId="37B83DBE"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31</w:t>
            </w:r>
            <w:r>
              <w:rPr>
                <w:rFonts w:ascii="Arial" w:hAnsi="Arial" w:cs="Arial"/>
                <w:lang w:val="fr-CM"/>
              </w:rPr>
              <w:t>.</w:t>
            </w:r>
            <w:r w:rsidRPr="005F6FC5">
              <w:rPr>
                <w:rFonts w:ascii="Arial" w:hAnsi="Arial" w:cs="Arial"/>
                <w:lang w:val="fr-CM"/>
              </w:rPr>
              <w:t>16 ± 2</w:t>
            </w:r>
            <w:r>
              <w:rPr>
                <w:rFonts w:ascii="Arial" w:hAnsi="Arial" w:cs="Arial"/>
                <w:lang w:val="fr-CM"/>
              </w:rPr>
              <w:t>.</w:t>
            </w:r>
            <w:r w:rsidRPr="005F6FC5">
              <w:rPr>
                <w:rFonts w:ascii="Arial" w:hAnsi="Arial" w:cs="Arial"/>
                <w:lang w:val="fr-CM"/>
              </w:rPr>
              <w:t>87</w:t>
            </w:r>
            <w:r w:rsidRPr="005F6FC5">
              <w:rPr>
                <w:rFonts w:ascii="Arial" w:hAnsi="Arial" w:cs="Arial"/>
                <w:vertAlign w:val="superscript"/>
                <w:lang w:val="fr-CM"/>
              </w:rPr>
              <w:t>£££ ***</w:t>
            </w:r>
          </w:p>
        </w:tc>
      </w:tr>
      <w:tr w:rsidR="005F6FC5" w:rsidRPr="005F6FC5" w14:paraId="1169619C" w14:textId="77777777" w:rsidTr="005F6FC5">
        <w:trPr>
          <w:trHeight w:val="328"/>
        </w:trPr>
        <w:tc>
          <w:tcPr>
            <w:tcW w:w="1668" w:type="dxa"/>
            <w:shd w:val="clear" w:color="auto" w:fill="auto"/>
            <w:noWrap/>
            <w:hideMark/>
          </w:tcPr>
          <w:p w14:paraId="4C50916F"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Cb70+Pilo</w:t>
            </w:r>
          </w:p>
        </w:tc>
        <w:tc>
          <w:tcPr>
            <w:tcW w:w="1701" w:type="dxa"/>
            <w:shd w:val="clear" w:color="auto" w:fill="auto"/>
            <w:noWrap/>
            <w:hideMark/>
          </w:tcPr>
          <w:p w14:paraId="49E82C29"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70</w:t>
            </w:r>
          </w:p>
        </w:tc>
        <w:tc>
          <w:tcPr>
            <w:tcW w:w="2976" w:type="dxa"/>
            <w:shd w:val="clear" w:color="auto" w:fill="auto"/>
            <w:noWrap/>
            <w:hideMark/>
          </w:tcPr>
          <w:p w14:paraId="6AF2FCC1" w14:textId="0B31D63D"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13</w:t>
            </w:r>
            <w:r>
              <w:rPr>
                <w:rFonts w:ascii="Arial" w:hAnsi="Arial" w:cs="Arial"/>
                <w:lang w:val="fr-CM"/>
              </w:rPr>
              <w:t>.</w:t>
            </w:r>
            <w:r w:rsidRPr="005F6FC5">
              <w:rPr>
                <w:rFonts w:ascii="Arial" w:hAnsi="Arial" w:cs="Arial"/>
                <w:lang w:val="fr-CM"/>
              </w:rPr>
              <w:t>66 ± 1</w:t>
            </w:r>
            <w:r>
              <w:rPr>
                <w:rFonts w:ascii="Arial" w:hAnsi="Arial" w:cs="Arial"/>
                <w:lang w:val="fr-CM"/>
              </w:rPr>
              <w:t>.</w:t>
            </w:r>
            <w:r w:rsidRPr="005F6FC5">
              <w:rPr>
                <w:rFonts w:ascii="Arial" w:hAnsi="Arial" w:cs="Arial"/>
                <w:lang w:val="fr-CM"/>
              </w:rPr>
              <w:t>03</w:t>
            </w:r>
            <w:r w:rsidRPr="005F6FC5">
              <w:rPr>
                <w:rFonts w:ascii="Arial" w:hAnsi="Arial" w:cs="Arial"/>
                <w:vertAlign w:val="superscript"/>
                <w:lang w:val="fr-CM"/>
              </w:rPr>
              <w:t>£££</w:t>
            </w:r>
          </w:p>
        </w:tc>
        <w:tc>
          <w:tcPr>
            <w:tcW w:w="3146" w:type="dxa"/>
            <w:shd w:val="clear" w:color="auto" w:fill="auto"/>
            <w:noWrap/>
            <w:hideMark/>
          </w:tcPr>
          <w:p w14:paraId="06D76C7B" w14:textId="606A1D59"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29</w:t>
            </w:r>
            <w:r>
              <w:rPr>
                <w:rFonts w:ascii="Arial" w:hAnsi="Arial" w:cs="Arial"/>
                <w:lang w:val="fr-CM"/>
              </w:rPr>
              <w:t>.</w:t>
            </w:r>
            <w:r w:rsidRPr="005F6FC5">
              <w:rPr>
                <w:rFonts w:ascii="Arial" w:hAnsi="Arial" w:cs="Arial"/>
                <w:lang w:val="fr-CM"/>
              </w:rPr>
              <w:t>66 ± 5</w:t>
            </w:r>
            <w:r>
              <w:rPr>
                <w:rFonts w:ascii="Arial" w:hAnsi="Arial" w:cs="Arial"/>
                <w:lang w:val="fr-CM"/>
              </w:rPr>
              <w:t>.</w:t>
            </w:r>
            <w:r w:rsidRPr="005F6FC5">
              <w:rPr>
                <w:rFonts w:ascii="Arial" w:hAnsi="Arial" w:cs="Arial"/>
                <w:lang w:val="fr-CM"/>
              </w:rPr>
              <w:t>31</w:t>
            </w:r>
            <w:r w:rsidRPr="005F6FC5">
              <w:rPr>
                <w:rFonts w:ascii="Arial" w:hAnsi="Arial" w:cs="Arial"/>
                <w:vertAlign w:val="superscript"/>
                <w:lang w:val="fr-CM"/>
              </w:rPr>
              <w:t>£££ ***</w:t>
            </w:r>
          </w:p>
        </w:tc>
      </w:tr>
      <w:tr w:rsidR="005F6FC5" w:rsidRPr="005F6FC5" w14:paraId="484C42A8" w14:textId="77777777" w:rsidTr="005F6FC5">
        <w:trPr>
          <w:trHeight w:val="328"/>
        </w:trPr>
        <w:tc>
          <w:tcPr>
            <w:tcW w:w="1668" w:type="dxa"/>
            <w:shd w:val="clear" w:color="auto" w:fill="auto"/>
            <w:noWrap/>
            <w:hideMark/>
          </w:tcPr>
          <w:p w14:paraId="12D2569F"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Cb140+Pilo</w:t>
            </w:r>
          </w:p>
        </w:tc>
        <w:tc>
          <w:tcPr>
            <w:tcW w:w="1701" w:type="dxa"/>
            <w:shd w:val="clear" w:color="auto" w:fill="auto"/>
            <w:noWrap/>
            <w:hideMark/>
          </w:tcPr>
          <w:p w14:paraId="2A51C70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140</w:t>
            </w:r>
          </w:p>
        </w:tc>
        <w:tc>
          <w:tcPr>
            <w:tcW w:w="2976" w:type="dxa"/>
            <w:shd w:val="clear" w:color="auto" w:fill="auto"/>
            <w:noWrap/>
            <w:hideMark/>
          </w:tcPr>
          <w:p w14:paraId="1E4D83BB" w14:textId="0C889765" w:rsidR="005F6FC5" w:rsidRPr="005F6FC5" w:rsidRDefault="005F6FC5" w:rsidP="005F6FC5">
            <w:pPr>
              <w:pStyle w:val="Body"/>
              <w:spacing w:after="0"/>
              <w:rPr>
                <w:rFonts w:ascii="Arial" w:hAnsi="Arial" w:cs="Arial"/>
                <w:lang w:val="fr-CM"/>
              </w:rPr>
            </w:pPr>
            <w:r w:rsidRPr="005F6FC5">
              <w:rPr>
                <w:rFonts w:ascii="Arial" w:hAnsi="Arial" w:cs="Arial"/>
                <w:lang w:val="fr-CM"/>
              </w:rPr>
              <w:t>6</w:t>
            </w:r>
            <w:r>
              <w:rPr>
                <w:rFonts w:ascii="Arial" w:hAnsi="Arial" w:cs="Arial"/>
                <w:lang w:val="fr-CM"/>
              </w:rPr>
              <w:t>.</w:t>
            </w:r>
            <w:r w:rsidRPr="005F6FC5">
              <w:rPr>
                <w:rFonts w:ascii="Arial" w:hAnsi="Arial" w:cs="Arial"/>
                <w:lang w:val="fr-CM"/>
              </w:rPr>
              <w:t>33 ± 1</w:t>
            </w:r>
            <w:r>
              <w:rPr>
                <w:rFonts w:ascii="Arial" w:hAnsi="Arial" w:cs="Arial"/>
                <w:lang w:val="fr-CM"/>
              </w:rPr>
              <w:t>.</w:t>
            </w:r>
            <w:r w:rsidRPr="005F6FC5">
              <w:rPr>
                <w:rFonts w:ascii="Arial" w:hAnsi="Arial" w:cs="Arial"/>
                <w:lang w:val="fr-CM"/>
              </w:rPr>
              <w:t>03</w:t>
            </w:r>
            <w:r w:rsidRPr="005F6FC5">
              <w:rPr>
                <w:rFonts w:ascii="Arial" w:hAnsi="Arial" w:cs="Arial"/>
                <w:vertAlign w:val="superscript"/>
                <w:lang w:val="fr-CM"/>
              </w:rPr>
              <w:t>£££ ***</w:t>
            </w:r>
            <w:r w:rsidRPr="005F6FC5">
              <w:rPr>
                <w:rFonts w:ascii="Arial" w:hAnsi="Arial" w:cs="Arial"/>
                <w:lang w:val="fr-CM"/>
              </w:rPr>
              <w:t xml:space="preserve"> </w:t>
            </w:r>
          </w:p>
        </w:tc>
        <w:tc>
          <w:tcPr>
            <w:tcW w:w="3146" w:type="dxa"/>
            <w:shd w:val="clear" w:color="auto" w:fill="auto"/>
            <w:noWrap/>
            <w:hideMark/>
          </w:tcPr>
          <w:p w14:paraId="1EC36026" w14:textId="05C6AF45"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13</w:t>
            </w:r>
            <w:r>
              <w:rPr>
                <w:rFonts w:ascii="Arial" w:hAnsi="Arial" w:cs="Arial"/>
                <w:lang w:val="fr-CM"/>
              </w:rPr>
              <w:t>.</w:t>
            </w:r>
            <w:r w:rsidRPr="005F6FC5">
              <w:rPr>
                <w:rFonts w:ascii="Arial" w:hAnsi="Arial" w:cs="Arial"/>
                <w:lang w:val="fr-CM"/>
              </w:rPr>
              <w:t>83 ± 1</w:t>
            </w:r>
            <w:r>
              <w:rPr>
                <w:rFonts w:ascii="Arial" w:hAnsi="Arial" w:cs="Arial"/>
                <w:lang w:val="fr-CM"/>
              </w:rPr>
              <w:t>.</w:t>
            </w:r>
            <w:r w:rsidRPr="005F6FC5">
              <w:rPr>
                <w:rFonts w:ascii="Arial" w:hAnsi="Arial" w:cs="Arial"/>
                <w:lang w:val="fr-CM"/>
              </w:rPr>
              <w:t>16</w:t>
            </w:r>
            <w:r w:rsidRPr="005F6FC5">
              <w:rPr>
                <w:rFonts w:ascii="Arial" w:hAnsi="Arial" w:cs="Arial"/>
                <w:vertAlign w:val="superscript"/>
                <w:lang w:val="fr-CM"/>
              </w:rPr>
              <w:t>£££ ***</w:t>
            </w:r>
          </w:p>
        </w:tc>
      </w:tr>
      <w:tr w:rsidR="005F6FC5" w:rsidRPr="005F6FC5" w14:paraId="47D0B2CE" w14:textId="77777777" w:rsidTr="005F6FC5">
        <w:trPr>
          <w:trHeight w:val="328"/>
        </w:trPr>
        <w:tc>
          <w:tcPr>
            <w:tcW w:w="1668" w:type="dxa"/>
            <w:shd w:val="clear" w:color="auto" w:fill="auto"/>
            <w:noWrap/>
            <w:hideMark/>
          </w:tcPr>
          <w:p w14:paraId="30A6115B"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Cb280+Pilo</w:t>
            </w:r>
          </w:p>
        </w:tc>
        <w:tc>
          <w:tcPr>
            <w:tcW w:w="1701" w:type="dxa"/>
            <w:shd w:val="clear" w:color="auto" w:fill="auto"/>
            <w:noWrap/>
            <w:hideMark/>
          </w:tcPr>
          <w:p w14:paraId="6DF4A03B"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280</w:t>
            </w:r>
          </w:p>
        </w:tc>
        <w:tc>
          <w:tcPr>
            <w:tcW w:w="2976" w:type="dxa"/>
            <w:shd w:val="clear" w:color="auto" w:fill="auto"/>
            <w:noWrap/>
            <w:hideMark/>
          </w:tcPr>
          <w:p w14:paraId="5CB3DEE8" w14:textId="0F31A5D5" w:rsidR="005F6FC5" w:rsidRPr="005F6FC5" w:rsidRDefault="005F6FC5" w:rsidP="005F6FC5">
            <w:pPr>
              <w:pStyle w:val="Body"/>
              <w:spacing w:after="0"/>
              <w:rPr>
                <w:rFonts w:ascii="Arial" w:hAnsi="Arial" w:cs="Arial"/>
                <w:lang w:val="fr-CM"/>
              </w:rPr>
            </w:pPr>
            <w:r w:rsidRPr="005F6FC5">
              <w:rPr>
                <w:rFonts w:ascii="Arial" w:hAnsi="Arial" w:cs="Arial"/>
                <w:lang w:val="fr-CM"/>
              </w:rPr>
              <w:t>5</w:t>
            </w:r>
            <w:r>
              <w:rPr>
                <w:rFonts w:ascii="Arial" w:hAnsi="Arial" w:cs="Arial"/>
                <w:lang w:val="fr-CM"/>
              </w:rPr>
              <w:t>.</w:t>
            </w:r>
            <w:r w:rsidRPr="005F6FC5">
              <w:rPr>
                <w:rFonts w:ascii="Arial" w:hAnsi="Arial" w:cs="Arial"/>
                <w:lang w:val="fr-CM"/>
              </w:rPr>
              <w:t>83 ± 1</w:t>
            </w:r>
            <w:r>
              <w:rPr>
                <w:rFonts w:ascii="Arial" w:hAnsi="Arial" w:cs="Arial"/>
                <w:lang w:val="fr-CM"/>
              </w:rPr>
              <w:t>.</w:t>
            </w:r>
            <w:r w:rsidRPr="005F6FC5">
              <w:rPr>
                <w:rFonts w:ascii="Arial" w:hAnsi="Arial" w:cs="Arial"/>
                <w:lang w:val="fr-CM"/>
              </w:rPr>
              <w:t>16</w:t>
            </w:r>
            <w:r w:rsidRPr="005F6FC5">
              <w:rPr>
                <w:rFonts w:ascii="Arial" w:hAnsi="Arial" w:cs="Arial"/>
                <w:vertAlign w:val="superscript"/>
                <w:lang w:val="fr-CM"/>
              </w:rPr>
              <w:t>£££ ***</w:t>
            </w:r>
          </w:p>
        </w:tc>
        <w:tc>
          <w:tcPr>
            <w:tcW w:w="3146" w:type="dxa"/>
            <w:shd w:val="clear" w:color="auto" w:fill="auto"/>
            <w:noWrap/>
            <w:hideMark/>
          </w:tcPr>
          <w:p w14:paraId="7B7B64A3" w14:textId="285C8197"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12</w:t>
            </w:r>
            <w:r>
              <w:rPr>
                <w:rFonts w:ascii="Arial" w:hAnsi="Arial" w:cs="Arial"/>
                <w:lang w:val="fr-CM"/>
              </w:rPr>
              <w:t>.</w:t>
            </w:r>
            <w:r w:rsidRPr="005F6FC5">
              <w:rPr>
                <w:rFonts w:ascii="Arial" w:hAnsi="Arial" w:cs="Arial"/>
                <w:lang w:val="fr-CM"/>
              </w:rPr>
              <w:t>66 ± 1</w:t>
            </w:r>
            <w:r>
              <w:rPr>
                <w:rFonts w:ascii="Arial" w:hAnsi="Arial" w:cs="Arial"/>
                <w:lang w:val="fr-CM"/>
              </w:rPr>
              <w:t>.</w:t>
            </w:r>
            <w:r w:rsidRPr="005F6FC5">
              <w:rPr>
                <w:rFonts w:ascii="Arial" w:hAnsi="Arial" w:cs="Arial"/>
                <w:lang w:val="fr-CM"/>
              </w:rPr>
              <w:t>75</w:t>
            </w:r>
            <w:r w:rsidRPr="005F6FC5">
              <w:rPr>
                <w:rFonts w:ascii="Arial" w:hAnsi="Arial" w:cs="Arial"/>
                <w:vertAlign w:val="superscript"/>
                <w:lang w:val="fr-CM"/>
              </w:rPr>
              <w:t>£££ ***</w:t>
            </w:r>
          </w:p>
        </w:tc>
      </w:tr>
      <w:tr w:rsidR="005F6FC5" w:rsidRPr="005F6FC5" w14:paraId="237EA24F" w14:textId="77777777" w:rsidTr="005F6FC5">
        <w:trPr>
          <w:trHeight w:val="328"/>
        </w:trPr>
        <w:tc>
          <w:tcPr>
            <w:tcW w:w="1668" w:type="dxa"/>
            <w:shd w:val="clear" w:color="auto" w:fill="auto"/>
            <w:noWrap/>
          </w:tcPr>
          <w:p w14:paraId="2C6870C3" w14:textId="77777777" w:rsidR="005F6FC5" w:rsidRPr="005F6FC5" w:rsidRDefault="005F6FC5" w:rsidP="005F6FC5">
            <w:pPr>
              <w:pStyle w:val="Body"/>
              <w:spacing w:after="0"/>
              <w:rPr>
                <w:rFonts w:ascii="Arial" w:hAnsi="Arial" w:cs="Arial"/>
                <w:b/>
                <w:bCs/>
                <w:iCs/>
                <w:lang w:val="fr-CM"/>
              </w:rPr>
            </w:pPr>
            <w:proofErr w:type="spellStart"/>
            <w:r w:rsidRPr="005F6FC5">
              <w:rPr>
                <w:rFonts w:ascii="Arial" w:hAnsi="Arial" w:cs="Arial"/>
                <w:b/>
                <w:bCs/>
                <w:iCs/>
                <w:lang w:val="fr-CM"/>
              </w:rPr>
              <w:t>SV+Pilo</w:t>
            </w:r>
            <w:proofErr w:type="spellEnd"/>
          </w:p>
        </w:tc>
        <w:tc>
          <w:tcPr>
            <w:tcW w:w="1701" w:type="dxa"/>
            <w:shd w:val="clear" w:color="auto" w:fill="auto"/>
            <w:noWrap/>
          </w:tcPr>
          <w:p w14:paraId="3DBAC035"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300</w:t>
            </w:r>
          </w:p>
        </w:tc>
        <w:tc>
          <w:tcPr>
            <w:tcW w:w="2976" w:type="dxa"/>
            <w:shd w:val="clear" w:color="auto" w:fill="auto"/>
            <w:noWrap/>
          </w:tcPr>
          <w:p w14:paraId="406C8327" w14:textId="1535C899" w:rsidR="005F6FC5" w:rsidRPr="005F6FC5" w:rsidRDefault="005F6FC5" w:rsidP="005F6FC5">
            <w:pPr>
              <w:pStyle w:val="Body"/>
              <w:spacing w:after="0"/>
              <w:rPr>
                <w:rFonts w:ascii="Arial" w:hAnsi="Arial" w:cs="Arial"/>
                <w:lang w:val="fr-CM"/>
              </w:rPr>
            </w:pPr>
            <w:r w:rsidRPr="005F6FC5">
              <w:rPr>
                <w:rFonts w:ascii="Arial" w:hAnsi="Arial" w:cs="Arial"/>
                <w:lang w:val="fr-CM"/>
              </w:rPr>
              <w:t>4</w:t>
            </w:r>
            <w:r>
              <w:rPr>
                <w:rFonts w:ascii="Arial" w:hAnsi="Arial" w:cs="Arial"/>
                <w:lang w:val="fr-CM"/>
              </w:rPr>
              <w:t>.</w:t>
            </w:r>
            <w:r w:rsidRPr="005F6FC5">
              <w:rPr>
                <w:rFonts w:ascii="Arial" w:hAnsi="Arial" w:cs="Arial"/>
                <w:lang w:val="fr-CM"/>
              </w:rPr>
              <w:t>33 ± 1</w:t>
            </w:r>
            <w:r>
              <w:rPr>
                <w:rFonts w:ascii="Arial" w:hAnsi="Arial" w:cs="Arial"/>
                <w:lang w:val="fr-CM"/>
              </w:rPr>
              <w:t>.</w:t>
            </w:r>
            <w:r w:rsidRPr="005F6FC5">
              <w:rPr>
                <w:rFonts w:ascii="Arial" w:hAnsi="Arial" w:cs="Arial"/>
                <w:lang w:val="fr-CM"/>
              </w:rPr>
              <w:t>36</w:t>
            </w:r>
            <w:r w:rsidRPr="005F6FC5">
              <w:rPr>
                <w:rFonts w:ascii="Arial" w:hAnsi="Arial" w:cs="Arial"/>
                <w:vertAlign w:val="superscript"/>
                <w:lang w:val="fr-CM"/>
              </w:rPr>
              <w:t>£££ ***</w:t>
            </w:r>
          </w:p>
        </w:tc>
        <w:tc>
          <w:tcPr>
            <w:tcW w:w="3146" w:type="dxa"/>
            <w:shd w:val="clear" w:color="auto" w:fill="auto"/>
            <w:noWrap/>
          </w:tcPr>
          <w:p w14:paraId="1DF0371A" w14:textId="0DAE3000" w:rsidR="005F6FC5" w:rsidRPr="005F6FC5" w:rsidRDefault="005F6FC5" w:rsidP="005F6FC5">
            <w:pPr>
              <w:pStyle w:val="Body"/>
              <w:spacing w:after="0"/>
              <w:rPr>
                <w:rFonts w:ascii="Arial" w:hAnsi="Arial" w:cs="Arial"/>
                <w:lang w:val="fr-CM"/>
              </w:rPr>
            </w:pPr>
            <w:r w:rsidRPr="005F6FC5">
              <w:rPr>
                <w:rFonts w:ascii="Arial" w:hAnsi="Arial" w:cs="Arial"/>
                <w:lang w:val="fr-CM"/>
              </w:rPr>
              <w:t>6</w:t>
            </w:r>
            <w:r>
              <w:rPr>
                <w:rFonts w:ascii="Arial" w:hAnsi="Arial" w:cs="Arial"/>
                <w:lang w:val="fr-CM"/>
              </w:rPr>
              <w:t>.</w:t>
            </w:r>
            <w:r w:rsidRPr="005F6FC5">
              <w:rPr>
                <w:rFonts w:ascii="Arial" w:hAnsi="Arial" w:cs="Arial"/>
                <w:lang w:val="fr-CM"/>
              </w:rPr>
              <w:t>66 ± 2</w:t>
            </w:r>
            <w:r>
              <w:rPr>
                <w:rFonts w:ascii="Arial" w:hAnsi="Arial" w:cs="Arial"/>
                <w:lang w:val="fr-CM"/>
              </w:rPr>
              <w:t>.</w:t>
            </w:r>
            <w:r w:rsidRPr="005F6FC5">
              <w:rPr>
                <w:rFonts w:ascii="Arial" w:hAnsi="Arial" w:cs="Arial"/>
                <w:lang w:val="fr-CM"/>
              </w:rPr>
              <w:t>06</w:t>
            </w:r>
            <w:r w:rsidRPr="005F6FC5">
              <w:rPr>
                <w:rFonts w:ascii="Arial" w:hAnsi="Arial" w:cs="Arial"/>
                <w:vertAlign w:val="superscript"/>
                <w:lang w:val="fr-CM"/>
              </w:rPr>
              <w:t>£ ***</w:t>
            </w:r>
          </w:p>
        </w:tc>
      </w:tr>
    </w:tbl>
    <w:p w14:paraId="4C257D93" w14:textId="20964B59" w:rsidR="005F6FC5" w:rsidRPr="005F6FC5" w:rsidRDefault="005F6FC5" w:rsidP="005F6FC5">
      <w:pPr>
        <w:pStyle w:val="Body"/>
        <w:spacing w:after="0"/>
        <w:jc w:val="center"/>
        <w:rPr>
          <w:rFonts w:ascii="Arial" w:hAnsi="Arial" w:cs="Arial"/>
          <w:i/>
          <w:iCs/>
          <w:sz w:val="18"/>
          <w:szCs w:val="18"/>
        </w:rPr>
      </w:pPr>
      <w:r w:rsidRPr="005F6FC5">
        <w:rPr>
          <w:rFonts w:ascii="Arial" w:hAnsi="Arial" w:cs="Arial"/>
          <w:i/>
          <w:iCs/>
          <w:sz w:val="18"/>
          <w:szCs w:val="18"/>
        </w:rPr>
        <w:t>Results are expressed as means ± S.E.M n = 6. The data were an</w:t>
      </w:r>
      <w:r w:rsidR="00CC55DB">
        <w:rPr>
          <w:rFonts w:ascii="Arial" w:hAnsi="Arial" w:cs="Arial"/>
          <w:i/>
          <w:iCs/>
          <w:sz w:val="18"/>
          <w:szCs w:val="18"/>
        </w:rPr>
        <w:t>al</w:t>
      </w:r>
      <w:r w:rsidRPr="005F6FC5">
        <w:rPr>
          <w:rFonts w:ascii="Arial" w:hAnsi="Arial" w:cs="Arial"/>
          <w:i/>
          <w:iCs/>
          <w:sz w:val="18"/>
          <w:szCs w:val="18"/>
        </w:rPr>
        <w:t>yzed by the one-way ANOVA, followed by the Tukey test. ***p &lt; 0.001</w:t>
      </w:r>
      <w:r>
        <w:rPr>
          <w:rFonts w:ascii="Arial" w:hAnsi="Arial" w:cs="Arial"/>
          <w:i/>
          <w:iCs/>
          <w:sz w:val="18"/>
          <w:szCs w:val="18"/>
        </w:rPr>
        <w:t xml:space="preserve"> </w:t>
      </w:r>
      <w:r w:rsidRPr="005F6FC5">
        <w:rPr>
          <w:rFonts w:ascii="Arial" w:hAnsi="Arial" w:cs="Arial"/>
          <w:i/>
          <w:iCs/>
          <w:sz w:val="18"/>
          <w:szCs w:val="18"/>
        </w:rPr>
        <w:t>; significant difference compared to the negative control (</w:t>
      </w:r>
      <w:proofErr w:type="spellStart"/>
      <w:r w:rsidRPr="005F6FC5">
        <w:rPr>
          <w:rFonts w:ascii="Arial" w:hAnsi="Arial" w:cs="Arial"/>
          <w:i/>
          <w:iCs/>
          <w:sz w:val="18"/>
          <w:szCs w:val="18"/>
        </w:rPr>
        <w:t>DW+Pilo</w:t>
      </w:r>
      <w:proofErr w:type="spellEnd"/>
      <w:r w:rsidRPr="005F6FC5">
        <w:rPr>
          <w:rFonts w:ascii="Arial" w:hAnsi="Arial" w:cs="Arial"/>
          <w:i/>
          <w:iCs/>
          <w:sz w:val="18"/>
          <w:szCs w:val="18"/>
        </w:rPr>
        <w:t xml:space="preserve">). </w:t>
      </w:r>
      <w:r w:rsidRPr="005F6FC5">
        <w:rPr>
          <w:rFonts w:ascii="Arial" w:hAnsi="Arial" w:cs="Arial"/>
          <w:i/>
          <w:iCs/>
          <w:sz w:val="18"/>
          <w:szCs w:val="18"/>
          <w:vertAlign w:val="superscript"/>
        </w:rPr>
        <w:t>£</w:t>
      </w:r>
      <w:r w:rsidRPr="005F6FC5">
        <w:rPr>
          <w:rFonts w:ascii="Arial" w:hAnsi="Arial" w:cs="Arial"/>
          <w:i/>
          <w:iCs/>
          <w:sz w:val="18"/>
          <w:szCs w:val="18"/>
        </w:rPr>
        <w:t>p&lt;0.05</w:t>
      </w:r>
      <w:r>
        <w:rPr>
          <w:rFonts w:ascii="Arial" w:hAnsi="Arial" w:cs="Arial"/>
          <w:i/>
          <w:iCs/>
          <w:sz w:val="18"/>
          <w:szCs w:val="18"/>
        </w:rPr>
        <w:t xml:space="preserve"> </w:t>
      </w:r>
      <w:r w:rsidRPr="005F6FC5">
        <w:rPr>
          <w:rFonts w:ascii="Arial" w:hAnsi="Arial" w:cs="Arial"/>
          <w:i/>
          <w:iCs/>
          <w:sz w:val="18"/>
          <w:szCs w:val="18"/>
        </w:rPr>
        <w:t xml:space="preserve">;   </w:t>
      </w:r>
      <w:r w:rsidRPr="005F6FC5">
        <w:rPr>
          <w:rFonts w:ascii="Arial" w:hAnsi="Arial" w:cs="Arial"/>
          <w:i/>
          <w:iCs/>
          <w:sz w:val="18"/>
          <w:szCs w:val="18"/>
          <w:vertAlign w:val="superscript"/>
        </w:rPr>
        <w:t>£££</w:t>
      </w:r>
      <w:r w:rsidRPr="005F6FC5">
        <w:rPr>
          <w:rFonts w:ascii="Arial" w:hAnsi="Arial" w:cs="Arial"/>
          <w:i/>
          <w:iCs/>
          <w:sz w:val="18"/>
          <w:szCs w:val="18"/>
        </w:rPr>
        <w:t>p&lt;0.001</w:t>
      </w:r>
      <w:r>
        <w:rPr>
          <w:rFonts w:ascii="Arial" w:hAnsi="Arial" w:cs="Arial"/>
          <w:i/>
          <w:iCs/>
          <w:sz w:val="18"/>
          <w:szCs w:val="18"/>
        </w:rPr>
        <w:t xml:space="preserve"> </w:t>
      </w:r>
      <w:r w:rsidRPr="005F6FC5">
        <w:rPr>
          <w:rFonts w:ascii="Arial" w:hAnsi="Arial" w:cs="Arial"/>
          <w:i/>
          <w:iCs/>
          <w:sz w:val="18"/>
          <w:szCs w:val="18"/>
        </w:rPr>
        <w:t>; significant difference compared to the norm</w:t>
      </w:r>
      <w:r w:rsidR="00CC55DB">
        <w:rPr>
          <w:rFonts w:ascii="Arial" w:hAnsi="Arial" w:cs="Arial"/>
          <w:i/>
          <w:iCs/>
          <w:sz w:val="18"/>
          <w:szCs w:val="18"/>
        </w:rPr>
        <w:t>al</w:t>
      </w:r>
      <w:r w:rsidRPr="005F6FC5">
        <w:rPr>
          <w:rFonts w:ascii="Arial" w:hAnsi="Arial" w:cs="Arial"/>
          <w:i/>
          <w:iCs/>
          <w:sz w:val="18"/>
          <w:szCs w:val="18"/>
        </w:rPr>
        <w:t xml:space="preserve"> control (DW+DW)</w:t>
      </w:r>
      <w:r>
        <w:rPr>
          <w:rFonts w:ascii="Arial" w:hAnsi="Arial" w:cs="Arial"/>
          <w:i/>
          <w:iCs/>
          <w:sz w:val="18"/>
          <w:szCs w:val="18"/>
        </w:rPr>
        <w:t xml:space="preserve"> </w:t>
      </w:r>
      <w:r w:rsidRPr="005F6FC5">
        <w:rPr>
          <w:rFonts w:ascii="Arial" w:hAnsi="Arial" w:cs="Arial"/>
          <w:i/>
          <w:iCs/>
          <w:sz w:val="18"/>
          <w:szCs w:val="18"/>
        </w:rPr>
        <w:t xml:space="preserve">; </w:t>
      </w:r>
      <w:r w:rsidRPr="005F6FC5">
        <w:rPr>
          <w:rFonts w:ascii="Arial" w:hAnsi="Arial" w:cs="Arial"/>
          <w:i/>
          <w:iCs/>
          <w:sz w:val="18"/>
          <w:szCs w:val="18"/>
        </w:rPr>
        <w:lastRenderedPageBreak/>
        <w:t xml:space="preserve">DW: </w:t>
      </w:r>
      <w:bookmarkStart w:id="14" w:name="_Hlk184231083"/>
      <w:r w:rsidRPr="005F6FC5">
        <w:rPr>
          <w:rFonts w:ascii="Arial" w:hAnsi="Arial" w:cs="Arial"/>
          <w:i/>
          <w:iCs/>
          <w:sz w:val="18"/>
          <w:szCs w:val="18"/>
        </w:rPr>
        <w:t>Distilled Water (10 mL/kg)</w:t>
      </w:r>
      <w:r>
        <w:rPr>
          <w:rFonts w:ascii="Arial" w:hAnsi="Arial" w:cs="Arial"/>
          <w:i/>
          <w:iCs/>
          <w:sz w:val="18"/>
          <w:szCs w:val="18"/>
        </w:rPr>
        <w:t xml:space="preserve"> </w:t>
      </w:r>
      <w:r w:rsidRPr="005F6FC5">
        <w:rPr>
          <w:rFonts w:ascii="Arial" w:hAnsi="Arial" w:cs="Arial"/>
          <w:i/>
          <w:iCs/>
          <w:sz w:val="18"/>
          <w:szCs w:val="18"/>
        </w:rPr>
        <w:t xml:space="preserve">; Pilo: Pilocarpine; </w:t>
      </w:r>
      <w:bookmarkEnd w:id="14"/>
      <w:proofErr w:type="spellStart"/>
      <w:r w:rsidRPr="005F6FC5">
        <w:rPr>
          <w:rFonts w:ascii="Arial" w:hAnsi="Arial" w:cs="Arial"/>
          <w:i/>
          <w:iCs/>
          <w:sz w:val="18"/>
          <w:szCs w:val="18"/>
        </w:rPr>
        <w:t>Cb</w:t>
      </w:r>
      <w:proofErr w:type="spellEnd"/>
      <w:r w:rsidRPr="005F6FC5">
        <w:rPr>
          <w:rFonts w:ascii="Arial" w:hAnsi="Arial" w:cs="Arial"/>
          <w:i/>
          <w:iCs/>
          <w:sz w:val="18"/>
          <w:szCs w:val="18"/>
        </w:rPr>
        <w:t xml:space="preserve">: </w:t>
      </w:r>
      <w:proofErr w:type="spellStart"/>
      <w:r w:rsidR="000D3B21">
        <w:rPr>
          <w:rFonts w:ascii="Arial" w:hAnsi="Arial" w:cs="Arial"/>
          <w:i/>
          <w:iCs/>
          <w:sz w:val="18"/>
          <w:szCs w:val="18"/>
        </w:rPr>
        <w:t>Crassoceph</w:t>
      </w:r>
      <w:r w:rsidR="00CC55DB">
        <w:rPr>
          <w:rFonts w:ascii="Arial" w:hAnsi="Arial" w:cs="Arial"/>
          <w:i/>
          <w:iCs/>
          <w:sz w:val="18"/>
          <w:szCs w:val="18"/>
        </w:rPr>
        <w:t>al</w:t>
      </w:r>
      <w:r w:rsidR="000D3B21">
        <w:rPr>
          <w:rFonts w:ascii="Arial" w:hAnsi="Arial" w:cs="Arial"/>
          <w:i/>
          <w:iCs/>
          <w:sz w:val="18"/>
          <w:szCs w:val="18"/>
        </w:rPr>
        <w:t>um</w:t>
      </w:r>
      <w:proofErr w:type="spellEnd"/>
      <w:r w:rsidR="000D3B21">
        <w:rPr>
          <w:rFonts w:ascii="Arial" w:hAnsi="Arial" w:cs="Arial"/>
          <w:i/>
          <w:iCs/>
          <w:sz w:val="18"/>
          <w:szCs w:val="18"/>
        </w:rPr>
        <w:t xml:space="preserve"> </w:t>
      </w:r>
      <w:proofErr w:type="spellStart"/>
      <w:r w:rsidR="000D3B21">
        <w:rPr>
          <w:rFonts w:ascii="Arial" w:hAnsi="Arial" w:cs="Arial"/>
          <w:i/>
          <w:iCs/>
          <w:sz w:val="18"/>
          <w:szCs w:val="18"/>
        </w:rPr>
        <w:t>bauchiense</w:t>
      </w:r>
      <w:proofErr w:type="spellEnd"/>
      <w:r w:rsidRPr="005F6FC5">
        <w:rPr>
          <w:rFonts w:ascii="Arial" w:hAnsi="Arial" w:cs="Arial"/>
          <w:i/>
          <w:iCs/>
          <w:sz w:val="18"/>
          <w:szCs w:val="18"/>
        </w:rPr>
        <w:t>; SV: Sodium V</w:t>
      </w:r>
      <w:r w:rsidR="00CC55DB">
        <w:rPr>
          <w:rFonts w:ascii="Arial" w:hAnsi="Arial" w:cs="Arial"/>
          <w:i/>
          <w:iCs/>
          <w:sz w:val="18"/>
          <w:szCs w:val="18"/>
        </w:rPr>
        <w:t>al</w:t>
      </w:r>
      <w:r w:rsidRPr="005F6FC5">
        <w:rPr>
          <w:rFonts w:ascii="Arial" w:hAnsi="Arial" w:cs="Arial"/>
          <w:i/>
          <w:iCs/>
          <w:sz w:val="18"/>
          <w:szCs w:val="18"/>
        </w:rPr>
        <w:t>proate (300 mg/kg).</w:t>
      </w:r>
    </w:p>
    <w:p w14:paraId="293B1653" w14:textId="5328A9EB" w:rsidR="005F6FC5" w:rsidRPr="005F6FC5" w:rsidRDefault="005F6FC5" w:rsidP="0046522C">
      <w:pPr>
        <w:pStyle w:val="Body"/>
        <w:spacing w:after="0"/>
        <w:ind w:left="426" w:hanging="426"/>
        <w:rPr>
          <w:rFonts w:ascii="Arial" w:hAnsi="Arial" w:cs="Arial"/>
          <w:b/>
          <w:bCs/>
        </w:rPr>
      </w:pPr>
      <w:r w:rsidRPr="005F6FC5">
        <w:rPr>
          <w:rFonts w:ascii="Arial" w:hAnsi="Arial" w:cs="Arial"/>
          <w:b/>
          <w:bCs/>
        </w:rPr>
        <w:t xml:space="preserve">3.6. </w:t>
      </w:r>
      <w:bookmarkStart w:id="15" w:name="_Hlk98226838"/>
      <w:r w:rsidRPr="005F6FC5">
        <w:rPr>
          <w:rFonts w:ascii="Arial" w:hAnsi="Arial" w:cs="Arial"/>
          <w:b/>
          <w:bCs/>
        </w:rPr>
        <w:t xml:space="preserve">Anti-amnesic effects of aqueous extract of </w:t>
      </w:r>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 bauchiense</w:t>
      </w:r>
      <w:r w:rsidRPr="005F6FC5">
        <w:rPr>
          <w:rFonts w:ascii="Arial" w:hAnsi="Arial" w:cs="Arial"/>
          <w:b/>
          <w:bCs/>
        </w:rPr>
        <w:t xml:space="preserve"> in epileptic mice subjected to the T-maze test</w:t>
      </w:r>
    </w:p>
    <w:bookmarkEnd w:id="15"/>
    <w:p w14:paraId="42F37EA5" w14:textId="472DCBAA" w:rsidR="005F6FC5" w:rsidRDefault="005F6FC5" w:rsidP="005F6FC5">
      <w:pPr>
        <w:pStyle w:val="Body"/>
        <w:rPr>
          <w:rFonts w:ascii="Arial" w:hAnsi="Arial" w:cs="Arial"/>
        </w:rPr>
      </w:pPr>
      <w:r w:rsidRPr="005F6FC5">
        <w:rPr>
          <w:rFonts w:ascii="Arial" w:hAnsi="Arial" w:cs="Arial"/>
        </w:rPr>
        <w:t>The Latency to choose the preferred arm increased (p &lt;0.001) in the negative control (86.5 ± 5.83 s) compared to the norm</w:t>
      </w:r>
      <w:r w:rsidR="00CC55DB">
        <w:rPr>
          <w:rFonts w:ascii="Arial" w:hAnsi="Arial" w:cs="Arial"/>
        </w:rPr>
        <w:t>al</w:t>
      </w:r>
      <w:r w:rsidRPr="005F6FC5">
        <w:rPr>
          <w:rFonts w:ascii="Arial" w:hAnsi="Arial" w:cs="Arial"/>
        </w:rPr>
        <w:t xml:space="preserve"> control (21.16 ± 4.5 s)</w:t>
      </w:r>
      <w:r w:rsidRPr="005F6FC5">
        <w:rPr>
          <w:rFonts w:ascii="Arial" w:hAnsi="Arial" w:cs="Arial"/>
          <w:b/>
          <w:bCs/>
        </w:rPr>
        <w:t xml:space="preserve"> (Fig.3A)</w:t>
      </w:r>
      <w:r w:rsidRPr="005F6FC5">
        <w:rPr>
          <w:rFonts w:ascii="Arial" w:hAnsi="Arial" w:cs="Arial"/>
        </w:rPr>
        <w:t xml:space="preserve">. In mice treated with aqueous extract of </w:t>
      </w:r>
      <w:r w:rsidRPr="005F6FC5">
        <w:rPr>
          <w:rFonts w:ascii="Arial" w:hAnsi="Arial" w:cs="Arial"/>
          <w:i/>
          <w:iCs/>
        </w:rPr>
        <w:t>C. bauchiense</w:t>
      </w:r>
      <w:r w:rsidRPr="005F6FC5">
        <w:rPr>
          <w:rFonts w:ascii="Arial" w:hAnsi="Arial" w:cs="Arial"/>
        </w:rPr>
        <w:t xml:space="preserve">, the latency time of choosing an arm of the T-maze decreased [ F (7, 40) = 207, P&lt;0.001] by 69.5 ± 4.33 s, 24.16 ± 3.5 s and 17.16 ± 2.5 s respectively in mice that received the doses of 70, 140 and 280 mg/kg </w:t>
      </w:r>
      <w:bookmarkStart w:id="16" w:name="_Hlk182332751"/>
      <w:r w:rsidRPr="005F6FC5">
        <w:rPr>
          <w:rFonts w:ascii="Arial" w:hAnsi="Arial" w:cs="Arial"/>
          <w:b/>
          <w:bCs/>
        </w:rPr>
        <w:t>(Fig.3A)</w:t>
      </w:r>
      <w:bookmarkEnd w:id="16"/>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this time (p &lt;0.001) 17.33 ± 2.78 s and 15.5 ± 2.16 s respectively compared to the negative control </w:t>
      </w:r>
      <w:r w:rsidRPr="005F6FC5">
        <w:rPr>
          <w:rFonts w:ascii="Arial" w:hAnsi="Arial" w:cs="Arial"/>
          <w:b/>
          <w:bCs/>
        </w:rPr>
        <w:t>(Fig.3A)</w:t>
      </w:r>
      <w:r w:rsidRPr="005F6FC5">
        <w:rPr>
          <w:rFonts w:ascii="Arial" w:hAnsi="Arial" w:cs="Arial"/>
        </w:rPr>
        <w:t>.</w:t>
      </w:r>
      <w:bookmarkStart w:id="17" w:name="OLE_LINK3"/>
    </w:p>
    <w:p w14:paraId="1CBB0E5F" w14:textId="0B0DAD6D" w:rsidR="005F6FC5" w:rsidRPr="005F6FC5" w:rsidRDefault="005F6FC5" w:rsidP="005F6FC5">
      <w:pPr>
        <w:pStyle w:val="Body"/>
        <w:rPr>
          <w:rFonts w:ascii="Arial" w:hAnsi="Arial" w:cs="Arial"/>
        </w:rPr>
      </w:pPr>
      <w:r w:rsidRPr="005F6FC5">
        <w:rPr>
          <w:rFonts w:ascii="Arial" w:hAnsi="Arial" w:cs="Arial"/>
        </w:rPr>
        <w:t xml:space="preserve">The number of returns </w:t>
      </w:r>
      <w:bookmarkEnd w:id="17"/>
      <w:r w:rsidRPr="005F6FC5">
        <w:rPr>
          <w:rFonts w:ascii="Arial" w:hAnsi="Arial" w:cs="Arial"/>
        </w:rPr>
        <w:t>in the baseline arm increased (p &lt;0.001) in the negative control (22.33 ± 1.67) compared to the norm</w:t>
      </w:r>
      <w:r w:rsidR="00CC55DB">
        <w:rPr>
          <w:rFonts w:ascii="Arial" w:hAnsi="Arial" w:cs="Arial"/>
        </w:rPr>
        <w:t>al</w:t>
      </w:r>
      <w:r w:rsidRPr="005F6FC5">
        <w:rPr>
          <w:rFonts w:ascii="Arial" w:hAnsi="Arial" w:cs="Arial"/>
        </w:rPr>
        <w:t xml:space="preserve"> control (14.67 ± 1.78)</w:t>
      </w:r>
      <w:r w:rsidRPr="005F6FC5">
        <w:rPr>
          <w:rFonts w:ascii="Arial" w:hAnsi="Arial" w:cs="Arial"/>
          <w:b/>
          <w:bCs/>
        </w:rPr>
        <w:t xml:space="preserve"> (Fig.3B)</w:t>
      </w:r>
      <w:r w:rsidRPr="005F6FC5">
        <w:rPr>
          <w:rFonts w:ascii="Arial" w:hAnsi="Arial" w:cs="Arial"/>
        </w:rPr>
        <w:t xml:space="preserve">. Mice treated with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5F6FC5">
        <w:rPr>
          <w:rFonts w:ascii="Arial" w:hAnsi="Arial" w:cs="Arial"/>
        </w:rPr>
        <w:t xml:space="preserve">decreased [F (7, 40) = 13, P&lt;0.001] this number, 17.83 ± 1.89 (p &lt;0.05), 15.83 ± 2.16 (p &lt;0.001), 14.67 ± 2.56 (p &lt;0.001), 11.5 ± 1.33 (p &lt;0.001) respectively in mice that received the doses of 28, 70, 140 and 280 mg/kg </w:t>
      </w:r>
      <w:r w:rsidRPr="005F6FC5">
        <w:rPr>
          <w:rFonts w:ascii="Arial" w:hAnsi="Arial" w:cs="Arial"/>
          <w:b/>
          <w:bCs/>
        </w:rPr>
        <w:t>(Fig.3B)</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(p &lt;0.001) this number to 11.83 ± 1.27 and 12.33 ± 1.22, respectively, compared with the negative control </w:t>
      </w:r>
      <w:r w:rsidRPr="005F6FC5">
        <w:rPr>
          <w:rFonts w:ascii="Arial" w:hAnsi="Arial" w:cs="Arial"/>
          <w:b/>
          <w:bCs/>
        </w:rPr>
        <w:t>(Fig.3B)</w:t>
      </w:r>
      <w:r w:rsidRPr="005F6FC5">
        <w:rPr>
          <w:rFonts w:ascii="Arial" w:hAnsi="Arial" w:cs="Arial"/>
        </w:rPr>
        <w:t xml:space="preserve">. </w:t>
      </w:r>
    </w:p>
    <w:p w14:paraId="68D2EDCD" w14:textId="26DD82E5" w:rsidR="005F6FC5" w:rsidRDefault="005F6FC5" w:rsidP="005F6FC5">
      <w:pPr>
        <w:pStyle w:val="Body"/>
        <w:spacing w:after="0"/>
        <w:rPr>
          <w:rFonts w:ascii="Arial" w:hAnsi="Arial" w:cs="Arial"/>
        </w:rPr>
      </w:pPr>
      <w:r w:rsidRPr="005F6FC5">
        <w:rPr>
          <w:rFonts w:ascii="Arial" w:hAnsi="Arial" w:cs="Arial"/>
        </w:rPr>
        <w:t>The number of entries into the preferred arm decreased (p &lt;0.001) in the negative control (4.5 ± 1.5) compared to the control at norm</w:t>
      </w:r>
      <w:r w:rsidR="00CC55DB">
        <w:rPr>
          <w:rFonts w:ascii="Arial" w:hAnsi="Arial" w:cs="Arial"/>
        </w:rPr>
        <w:t>al</w:t>
      </w:r>
      <w:r w:rsidRPr="005F6FC5">
        <w:rPr>
          <w:rFonts w:ascii="Arial" w:hAnsi="Arial" w:cs="Arial"/>
        </w:rPr>
        <w:t xml:space="preserve"> (12.83 ± 3.11) </w:t>
      </w:r>
      <w:r w:rsidRPr="005F6FC5">
        <w:rPr>
          <w:rFonts w:ascii="Arial" w:hAnsi="Arial" w:cs="Arial"/>
          <w:b/>
          <w:bCs/>
        </w:rPr>
        <w:t>(Fig.3C)</w:t>
      </w:r>
      <w:r w:rsidRPr="005F6FC5">
        <w:rPr>
          <w:rFonts w:ascii="Arial" w:hAnsi="Arial" w:cs="Arial"/>
        </w:rPr>
        <w:t xml:space="preserve">. Mice treated with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5F6FC5">
        <w:rPr>
          <w:rFonts w:ascii="Arial" w:hAnsi="Arial" w:cs="Arial"/>
        </w:rPr>
        <w:t xml:space="preserve">increased [F (7, 40) = 6,59, </w:t>
      </w:r>
      <w:r w:rsidRPr="005F6FC5">
        <w:rPr>
          <w:rFonts w:ascii="Arial" w:hAnsi="Arial" w:cs="Arial"/>
          <w:i/>
        </w:rPr>
        <w:t>P</w:t>
      </w:r>
      <w:r w:rsidRPr="005F6FC5">
        <w:rPr>
          <w:rFonts w:ascii="Arial" w:hAnsi="Arial" w:cs="Arial"/>
        </w:rPr>
        <w:t xml:space="preserve">&lt;0.001] this number, 11.83 ± 2.17 (p &lt;0.05), 14.67 ± 3.89 (p &lt;0.01), 15.17 ± 3.56 (p &lt;0.001) respectively in mice that received the doses of 70, 140 and 280 mg/kg </w:t>
      </w:r>
      <w:r w:rsidRPr="005F6FC5">
        <w:rPr>
          <w:rFonts w:ascii="Arial" w:hAnsi="Arial" w:cs="Arial"/>
          <w:b/>
          <w:bCs/>
        </w:rPr>
        <w:t>(Fig.3C)</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increased this number to 14.16 ± 4.17 (p &lt;0.01) and 16.83 ± 2.83 (p &lt;0.001), respectively, compared with the negative control </w:t>
      </w:r>
      <w:r w:rsidRPr="005F6FC5">
        <w:rPr>
          <w:rFonts w:ascii="Arial" w:hAnsi="Arial" w:cs="Arial"/>
          <w:b/>
          <w:bCs/>
        </w:rPr>
        <w:t>(Fig.3C)</w:t>
      </w:r>
      <w:r w:rsidRPr="005F6FC5">
        <w:rPr>
          <w:rFonts w:ascii="Arial" w:hAnsi="Arial" w:cs="Arial"/>
        </w:rPr>
        <w:t>.</w:t>
      </w:r>
    </w:p>
    <w:p w14:paraId="0EA3A155" w14:textId="23BF011C" w:rsidR="005F6FC5" w:rsidRPr="005F6FC5" w:rsidRDefault="005F6FC5" w:rsidP="005F6FC5">
      <w:pPr>
        <w:pStyle w:val="Body"/>
        <w:spacing w:before="240" w:after="0"/>
        <w:rPr>
          <w:rFonts w:ascii="Arial" w:hAnsi="Arial" w:cs="Arial"/>
        </w:rPr>
      </w:pPr>
      <w:r w:rsidRPr="005F6FC5">
        <w:rPr>
          <w:rFonts w:ascii="Arial" w:hAnsi="Arial" w:cs="Arial"/>
        </w:rPr>
        <w:t>In the negative control, the number of entries (13.16 ± 1.5) in the discriminated arm increased (p &lt;0.01) compared to the control at norm</w:t>
      </w:r>
      <w:r w:rsidR="00CC55DB">
        <w:rPr>
          <w:rFonts w:ascii="Arial" w:hAnsi="Arial" w:cs="Arial"/>
        </w:rPr>
        <w:t>al</w:t>
      </w:r>
      <w:r w:rsidRPr="005F6FC5">
        <w:rPr>
          <w:rFonts w:ascii="Arial" w:hAnsi="Arial" w:cs="Arial"/>
        </w:rPr>
        <w:t xml:space="preserve"> (6.83 ± 1.16) </w:t>
      </w:r>
      <w:r w:rsidRPr="005F6FC5">
        <w:rPr>
          <w:rFonts w:ascii="Arial" w:hAnsi="Arial" w:cs="Arial"/>
          <w:b/>
          <w:bCs/>
        </w:rPr>
        <w:t>(Fig.3D)</w:t>
      </w:r>
      <w:r w:rsidRPr="005F6FC5">
        <w:rPr>
          <w:rFonts w:ascii="Arial" w:hAnsi="Arial" w:cs="Arial"/>
        </w:rPr>
        <w:t xml:space="preserve">. Mice treated with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5F6FC5">
        <w:rPr>
          <w:rFonts w:ascii="Arial" w:hAnsi="Arial" w:cs="Arial"/>
        </w:rPr>
        <w:t xml:space="preserve">decreased [F (7, 40) = 5,81, </w:t>
      </w:r>
      <w:r w:rsidRPr="005F6FC5">
        <w:rPr>
          <w:rFonts w:ascii="Arial" w:hAnsi="Arial" w:cs="Arial"/>
          <w:i/>
        </w:rPr>
        <w:t>P</w:t>
      </w:r>
      <w:r w:rsidRPr="005F6FC5">
        <w:rPr>
          <w:rFonts w:ascii="Arial" w:hAnsi="Arial" w:cs="Arial"/>
        </w:rPr>
        <w:t xml:space="preserve">&lt;0.001] this number, 8.16 ± 1.22 (p &lt;0.05), 8.5 ± 2.17 (p &lt;0.05), 6.5 ± 2.83 (p &lt;0.001), respectively in mice that received the doses of 70, 140 and 280 mg/kg </w:t>
      </w:r>
      <w:r w:rsidRPr="005F6FC5">
        <w:rPr>
          <w:rFonts w:ascii="Arial" w:hAnsi="Arial" w:cs="Arial"/>
          <w:b/>
          <w:bCs/>
        </w:rPr>
        <w:t>(Fig.3D)</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this number (p &lt;0.001) to 6.83 ± 2.16 and 6.16 ± 1.83, respectively, compared with the negative control </w:t>
      </w:r>
      <w:r w:rsidRPr="005F6FC5">
        <w:rPr>
          <w:rFonts w:ascii="Arial" w:hAnsi="Arial" w:cs="Arial"/>
          <w:b/>
          <w:bCs/>
        </w:rPr>
        <w:t>(Fig.3D)</w:t>
      </w:r>
      <w:r w:rsidRPr="005F6FC5">
        <w:rPr>
          <w:rFonts w:ascii="Arial" w:hAnsi="Arial" w:cs="Arial"/>
        </w:rPr>
        <w:t xml:space="preserve">. </w:t>
      </w:r>
    </w:p>
    <w:p w14:paraId="36710602" w14:textId="09CFDF03" w:rsidR="005F6FC5" w:rsidRPr="005F6FC5" w:rsidRDefault="005F6FC5" w:rsidP="005F6FC5">
      <w:pPr>
        <w:pStyle w:val="Body"/>
        <w:spacing w:before="240" w:after="0"/>
        <w:rPr>
          <w:rFonts w:ascii="Arial" w:hAnsi="Arial" w:cs="Arial"/>
        </w:rPr>
      </w:pPr>
      <w:r w:rsidRPr="005F6FC5">
        <w:rPr>
          <w:rFonts w:ascii="Arial" w:hAnsi="Arial" w:cs="Arial"/>
        </w:rPr>
        <w:t xml:space="preserve">The </w:t>
      </w:r>
      <w:bookmarkStart w:id="18" w:name="_Hlk145746476"/>
      <w:r w:rsidRPr="005F6FC5">
        <w:rPr>
          <w:rFonts w:ascii="Arial" w:hAnsi="Arial" w:cs="Arial"/>
        </w:rPr>
        <w:t xml:space="preserve">time spent in the preferred arm </w:t>
      </w:r>
      <w:bookmarkEnd w:id="18"/>
      <w:r w:rsidRPr="005F6FC5">
        <w:rPr>
          <w:rFonts w:ascii="Arial" w:hAnsi="Arial" w:cs="Arial"/>
        </w:rPr>
        <w:t>of the maze decreased (p &lt;0.001) in the negative control (28.5 ± 4.71 s) compared to the norm</w:t>
      </w:r>
      <w:r w:rsidR="00CC55DB">
        <w:rPr>
          <w:rFonts w:ascii="Arial" w:hAnsi="Arial" w:cs="Arial"/>
        </w:rPr>
        <w:t>al</w:t>
      </w:r>
      <w:r w:rsidRPr="005F6FC5">
        <w:rPr>
          <w:rFonts w:ascii="Arial" w:hAnsi="Arial" w:cs="Arial"/>
        </w:rPr>
        <w:t xml:space="preserve"> control (71.83 ± 1.85 s) </w:t>
      </w:r>
      <w:r w:rsidRPr="005F6FC5">
        <w:rPr>
          <w:rFonts w:ascii="Arial" w:hAnsi="Arial" w:cs="Arial"/>
          <w:b/>
          <w:bCs/>
        </w:rPr>
        <w:t>(Fig.3E).</w:t>
      </w:r>
      <w:r w:rsidRPr="005F6FC5">
        <w:rPr>
          <w:rFonts w:ascii="Arial" w:hAnsi="Arial" w:cs="Arial"/>
        </w:rPr>
        <w:t xml:space="preserve"> In mice treated with aqueous extract of </w:t>
      </w:r>
      <w:r w:rsidRPr="005F6FC5">
        <w:rPr>
          <w:rFonts w:ascii="Arial" w:hAnsi="Arial" w:cs="Arial"/>
          <w:i/>
          <w:iCs/>
        </w:rPr>
        <w:t>C. bauchiense</w:t>
      </w:r>
      <w:r w:rsidRPr="005F6FC5">
        <w:rPr>
          <w:rFonts w:ascii="Arial" w:hAnsi="Arial" w:cs="Arial"/>
        </w:rPr>
        <w:t xml:space="preserve">, the time spent in the preferred arm of the T-maze decreased [F (7, 40) = 108, </w:t>
      </w:r>
      <w:r w:rsidRPr="005F6FC5">
        <w:rPr>
          <w:rFonts w:ascii="Arial" w:hAnsi="Arial" w:cs="Arial"/>
          <w:i/>
        </w:rPr>
        <w:t>P</w:t>
      </w:r>
      <w:r w:rsidRPr="005F6FC5">
        <w:rPr>
          <w:rFonts w:ascii="Arial" w:hAnsi="Arial" w:cs="Arial"/>
        </w:rPr>
        <w:t xml:space="preserve">&lt;0.001] by 52.17 ± 4.14 s (p &lt;0.01), 65.17 ± 1.9 s (p &lt;0.001), 95.83 ± 5.33 s (p &lt;0.001), 121.83 ± 8.67 s (p &lt;0.001), respectively, in mice that received the 70, 140, and 280 mg/kg doses </w:t>
      </w:r>
      <w:r w:rsidRPr="005F6FC5">
        <w:rPr>
          <w:rFonts w:ascii="Arial" w:hAnsi="Arial" w:cs="Arial"/>
          <w:b/>
          <w:bCs/>
        </w:rPr>
        <w:t>(Fig.3E)</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this time (p &lt;0.001) 117.33 ± 5.23 s (p &lt;0.001) and 138.83 ±9.85 sec (p &lt;0.001), respectively, compared to the negative control </w:t>
      </w:r>
      <w:r w:rsidRPr="005F6FC5">
        <w:rPr>
          <w:rFonts w:ascii="Arial" w:hAnsi="Arial" w:cs="Arial"/>
          <w:b/>
          <w:bCs/>
        </w:rPr>
        <w:t>(Fig.3E)</w:t>
      </w:r>
      <w:r w:rsidRPr="005F6FC5">
        <w:rPr>
          <w:rFonts w:ascii="Arial" w:hAnsi="Arial" w:cs="Arial"/>
        </w:rPr>
        <w:t>.</w:t>
      </w:r>
    </w:p>
    <w:p w14:paraId="2900432F" w14:textId="073A6110" w:rsidR="005F6FC5" w:rsidRPr="005F6FC5" w:rsidRDefault="005F6FC5" w:rsidP="005F6FC5">
      <w:pPr>
        <w:pStyle w:val="Body"/>
        <w:spacing w:before="240" w:after="0"/>
        <w:rPr>
          <w:rFonts w:ascii="Arial" w:hAnsi="Arial" w:cs="Arial"/>
        </w:rPr>
      </w:pPr>
      <w:r w:rsidRPr="005F6FC5">
        <w:rPr>
          <w:rFonts w:ascii="Arial" w:hAnsi="Arial" w:cs="Arial"/>
        </w:rPr>
        <w:t>The time spent in the discriminated arm increased (p &lt;0.001) in the negative control (64.83 ± 4.5 s) compared to the norm</w:t>
      </w:r>
      <w:r w:rsidR="00CC55DB">
        <w:rPr>
          <w:rFonts w:ascii="Arial" w:hAnsi="Arial" w:cs="Arial"/>
        </w:rPr>
        <w:t>al</w:t>
      </w:r>
      <w:r w:rsidRPr="005F6FC5">
        <w:rPr>
          <w:rFonts w:ascii="Arial" w:hAnsi="Arial" w:cs="Arial"/>
        </w:rPr>
        <w:t xml:space="preserve"> control which has a time (23.83 ± 3.88 s) </w:t>
      </w:r>
      <w:r w:rsidRPr="005F6FC5">
        <w:rPr>
          <w:rFonts w:ascii="Arial" w:hAnsi="Arial" w:cs="Arial"/>
          <w:b/>
          <w:bCs/>
        </w:rPr>
        <w:t>(Fig.3F)</w:t>
      </w:r>
      <w:r w:rsidRPr="005F6FC5">
        <w:rPr>
          <w:rFonts w:ascii="Arial" w:hAnsi="Arial" w:cs="Arial"/>
        </w:rPr>
        <w:t xml:space="preserve">. In mice treated with aqueous extract of </w:t>
      </w:r>
      <w:r w:rsidRPr="005F6FC5">
        <w:rPr>
          <w:rFonts w:ascii="Arial" w:hAnsi="Arial" w:cs="Arial"/>
          <w:i/>
          <w:iCs/>
        </w:rPr>
        <w:t>C. bauchiense</w:t>
      </w:r>
      <w:r w:rsidRPr="005F6FC5">
        <w:rPr>
          <w:rFonts w:ascii="Arial" w:hAnsi="Arial" w:cs="Arial"/>
        </w:rPr>
        <w:t xml:space="preserve">, the time spent in the discriminated arm decreased [F (7, 40) = 31,5, </w:t>
      </w:r>
      <w:r w:rsidRPr="005F6FC5">
        <w:rPr>
          <w:rFonts w:ascii="Arial" w:hAnsi="Arial" w:cs="Arial"/>
          <w:i/>
        </w:rPr>
        <w:t>P</w:t>
      </w:r>
      <w:r w:rsidRPr="005F6FC5">
        <w:rPr>
          <w:rFonts w:ascii="Arial" w:hAnsi="Arial" w:cs="Arial"/>
        </w:rPr>
        <w:t xml:space="preserve">&lt;0.001].  by 50.33 ± 8.33 s (p &lt;0.05), 37.17 ± 7.56 s (p &lt;0.001), 38.16 ± 2.27 s (p &lt;0.001), 18.17 ± 4.83 s (p &lt;0.001) respectively in mice that received the doses of 28, 70, 140 and 280 mg/kg </w:t>
      </w:r>
      <w:r w:rsidRPr="005F6FC5">
        <w:rPr>
          <w:rFonts w:ascii="Arial" w:hAnsi="Arial" w:cs="Arial"/>
          <w:b/>
          <w:bCs/>
        </w:rPr>
        <w:t>(Fig.3F)</w:t>
      </w:r>
      <w:r w:rsidRPr="005F6FC5">
        <w:rPr>
          <w:rFonts w:ascii="Arial" w:hAnsi="Arial" w:cs="Arial"/>
        </w:rPr>
        <w:t>. Sodium v</w:t>
      </w:r>
      <w:r w:rsidR="00CC55DB">
        <w:rPr>
          <w:rFonts w:ascii="Arial" w:hAnsi="Arial" w:cs="Arial"/>
        </w:rPr>
        <w:t>al</w:t>
      </w:r>
      <w:r w:rsidRPr="005F6FC5">
        <w:rPr>
          <w:rFonts w:ascii="Arial" w:hAnsi="Arial" w:cs="Arial"/>
        </w:rPr>
        <w:t xml:space="preserve">proate and imipramine </w:t>
      </w:r>
      <w:r w:rsidR="00CC55DB">
        <w:rPr>
          <w:rFonts w:ascii="Arial" w:hAnsi="Arial" w:cs="Arial"/>
        </w:rPr>
        <w:t>al</w:t>
      </w:r>
      <w:r w:rsidRPr="005F6FC5">
        <w:rPr>
          <w:rFonts w:ascii="Arial" w:hAnsi="Arial" w:cs="Arial"/>
        </w:rPr>
        <w:t xml:space="preserve">so decreased this time (p &lt;0.001) 23.33 ± 2.67 s (p &lt;0.001) and 25.33 ± 4.67 s (p &lt;0.001), respectively, compared with the negative control </w:t>
      </w:r>
      <w:r w:rsidRPr="005F6FC5">
        <w:rPr>
          <w:rFonts w:ascii="Arial" w:hAnsi="Arial" w:cs="Arial"/>
          <w:b/>
          <w:bCs/>
        </w:rPr>
        <w:t>(Fig.3F)</w:t>
      </w:r>
      <w:r w:rsidRPr="005F6FC5">
        <w:rPr>
          <w:rFonts w:ascii="Arial" w:hAnsi="Arial" w:cs="Arial"/>
        </w:rPr>
        <w:t>.</w:t>
      </w:r>
    </w:p>
    <w:p w14:paraId="42CC532F" w14:textId="6DAD9FA0" w:rsidR="00BA1B45" w:rsidRPr="005F6FC5" w:rsidRDefault="00BA1B45" w:rsidP="00441B6F">
      <w:pPr>
        <w:pStyle w:val="Body"/>
        <w:spacing w:after="0"/>
        <w:rPr>
          <w:rFonts w:ascii="Arial" w:hAnsi="Arial" w:cs="Arial"/>
        </w:rPr>
      </w:pPr>
    </w:p>
    <w:p w14:paraId="38D1B144" w14:textId="21EC3498" w:rsidR="00BA1B45" w:rsidRDefault="00BA1B45" w:rsidP="00441B6F">
      <w:pPr>
        <w:pStyle w:val="Body"/>
        <w:spacing w:after="0"/>
        <w:rPr>
          <w:rFonts w:ascii="Arial" w:hAnsi="Arial" w:cs="Arial"/>
          <w:lang w:val="en-GB"/>
        </w:rPr>
      </w:pPr>
    </w:p>
    <w:p w14:paraId="7DAA5E47" w14:textId="5F6DFB0F" w:rsidR="00BA1B45" w:rsidRDefault="00CA2F01" w:rsidP="00537E0B">
      <w:pPr>
        <w:pStyle w:val="Body"/>
        <w:spacing w:after="0"/>
        <w:jc w:val="center"/>
        <w:rPr>
          <w:rFonts w:ascii="Arial" w:hAnsi="Arial" w:cs="Arial"/>
          <w:lang w:val="en-GB"/>
        </w:rPr>
      </w:pPr>
      <w:r>
        <w:rPr>
          <w:noProof/>
        </w:rPr>
        <w:drawing>
          <wp:inline distT="0" distB="0" distL="0" distR="0" wp14:anchorId="66334480" wp14:editId="2993377B">
            <wp:extent cx="5212080" cy="5645785"/>
            <wp:effectExtent l="0" t="0" r="7620" b="0"/>
            <wp:docPr id="1757547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2080" cy="5645785"/>
                    </a:xfrm>
                    <a:prstGeom prst="rect">
                      <a:avLst/>
                    </a:prstGeom>
                    <a:noFill/>
                    <a:ln>
                      <a:noFill/>
                    </a:ln>
                  </pic:spPr>
                </pic:pic>
              </a:graphicData>
            </a:graphic>
          </wp:inline>
        </w:drawing>
      </w:r>
    </w:p>
    <w:p w14:paraId="60EC37CF" w14:textId="545B13EE" w:rsidR="00537E0B" w:rsidRPr="00537E0B" w:rsidRDefault="00537E0B" w:rsidP="00537E0B">
      <w:pPr>
        <w:jc w:val="both"/>
        <w:rPr>
          <w:rFonts w:ascii="Calibri" w:eastAsia="Calibri" w:hAnsi="Calibri"/>
        </w:rPr>
      </w:pPr>
      <w:r w:rsidRPr="00537E0B">
        <w:rPr>
          <w:rFonts w:ascii="Arial" w:eastAsia="Calibri" w:hAnsi="Arial" w:cs="Arial"/>
          <w:b/>
          <w:bCs/>
        </w:rPr>
        <w:t xml:space="preserve">Fig.3. Effect of </w:t>
      </w:r>
      <w:r w:rsidR="000D3B21">
        <w:rPr>
          <w:rFonts w:ascii="Arial" w:eastAsia="Calibri" w:hAnsi="Arial" w:cs="Arial"/>
          <w:b/>
          <w:bCs/>
          <w:i/>
          <w:iCs/>
        </w:rPr>
        <w:t>Crassoceph</w:t>
      </w:r>
      <w:r w:rsidR="00CC55DB">
        <w:rPr>
          <w:rFonts w:ascii="Arial" w:eastAsia="Calibri" w:hAnsi="Arial" w:cs="Arial"/>
          <w:b/>
          <w:bCs/>
          <w:i/>
          <w:iCs/>
        </w:rPr>
        <w:t>al</w:t>
      </w:r>
      <w:r w:rsidR="000D3B21">
        <w:rPr>
          <w:rFonts w:ascii="Arial" w:eastAsia="Calibri" w:hAnsi="Arial" w:cs="Arial"/>
          <w:b/>
          <w:bCs/>
          <w:i/>
          <w:iCs/>
        </w:rPr>
        <w:t>um bauchiense</w:t>
      </w:r>
      <w:r w:rsidR="004A119E">
        <w:rPr>
          <w:rFonts w:ascii="Arial" w:eastAsia="Calibri" w:hAnsi="Arial" w:cs="Arial"/>
          <w:b/>
          <w:bCs/>
          <w:i/>
          <w:iCs/>
        </w:rPr>
        <w:t xml:space="preserve"> </w:t>
      </w:r>
      <w:r w:rsidRPr="00537E0B">
        <w:rPr>
          <w:rFonts w:ascii="Arial" w:eastAsia="Calibri" w:hAnsi="Arial" w:cs="Arial"/>
          <w:b/>
          <w:bCs/>
        </w:rPr>
        <w:t>on</w:t>
      </w:r>
      <w:r w:rsidRPr="00537E0B">
        <w:rPr>
          <w:rFonts w:ascii="Arial" w:eastAsia="Calibri" w:hAnsi="Arial" w:cs="Arial"/>
          <w:b/>
          <w:bCs/>
          <w:sz w:val="18"/>
          <w:szCs w:val="18"/>
        </w:rPr>
        <w:t xml:space="preserve"> </w:t>
      </w:r>
      <w:r w:rsidRPr="00537E0B">
        <w:rPr>
          <w:rFonts w:ascii="Arial" w:eastAsia="Calibri" w:hAnsi="Arial" w:cs="Arial"/>
          <w:b/>
          <w:bCs/>
        </w:rPr>
        <w:t>the Latency to choose the preferred arm (A)</w:t>
      </w:r>
      <w:r>
        <w:rPr>
          <w:rFonts w:ascii="Arial" w:eastAsia="Calibri" w:hAnsi="Arial" w:cs="Arial"/>
          <w:b/>
          <w:bCs/>
        </w:rPr>
        <w:t>,</w:t>
      </w:r>
      <w:r w:rsidRPr="00537E0B">
        <w:rPr>
          <w:rFonts w:ascii="Arial" w:eastAsia="Calibri" w:hAnsi="Arial" w:cs="Arial"/>
          <w:b/>
          <w:bCs/>
        </w:rPr>
        <w:t xml:space="preserve"> the return number in starting arm (B)</w:t>
      </w:r>
      <w:r>
        <w:rPr>
          <w:rFonts w:ascii="Arial" w:eastAsia="Calibri" w:hAnsi="Arial" w:cs="Arial"/>
          <w:b/>
          <w:bCs/>
        </w:rPr>
        <w:t xml:space="preserve">, </w:t>
      </w:r>
      <w:r w:rsidRPr="00537E0B">
        <w:rPr>
          <w:rFonts w:ascii="Arial" w:eastAsia="Calibri" w:hAnsi="Arial" w:cs="Arial"/>
          <w:b/>
          <w:bCs/>
        </w:rPr>
        <w:t>the number entries in the preferred arm (C)</w:t>
      </w:r>
      <w:r>
        <w:rPr>
          <w:rFonts w:ascii="Arial" w:eastAsia="Calibri" w:hAnsi="Arial" w:cs="Arial"/>
          <w:b/>
          <w:bCs/>
        </w:rPr>
        <w:t>,</w:t>
      </w:r>
      <w:r w:rsidRPr="00537E0B">
        <w:rPr>
          <w:rFonts w:ascii="Arial" w:eastAsia="Calibri" w:hAnsi="Arial" w:cs="Arial"/>
          <w:b/>
          <w:bCs/>
        </w:rPr>
        <w:t xml:space="preserve"> the number of entries in the discriminated</w:t>
      </w:r>
      <w:r>
        <w:rPr>
          <w:rFonts w:ascii="Arial" w:eastAsia="Calibri" w:hAnsi="Arial" w:cs="Arial"/>
          <w:b/>
          <w:bCs/>
        </w:rPr>
        <w:t xml:space="preserve"> arm</w:t>
      </w:r>
      <w:r w:rsidRPr="00537E0B">
        <w:rPr>
          <w:rFonts w:ascii="Arial" w:eastAsia="Calibri" w:hAnsi="Arial" w:cs="Arial"/>
          <w:b/>
          <w:bCs/>
        </w:rPr>
        <w:t xml:space="preserve"> (D)</w:t>
      </w:r>
      <w:r>
        <w:rPr>
          <w:rFonts w:ascii="Arial" w:eastAsia="Calibri" w:hAnsi="Arial" w:cs="Arial"/>
          <w:b/>
          <w:bCs/>
        </w:rPr>
        <w:t>,</w:t>
      </w:r>
      <w:r w:rsidRPr="00537E0B">
        <w:rPr>
          <w:rFonts w:ascii="Arial" w:eastAsia="Calibri" w:hAnsi="Arial" w:cs="Arial"/>
          <w:b/>
          <w:bCs/>
        </w:rPr>
        <w:t xml:space="preserve"> the time spent in the prefer</w:t>
      </w:r>
      <w:r>
        <w:rPr>
          <w:rFonts w:ascii="Arial" w:eastAsia="Calibri" w:hAnsi="Arial" w:cs="Arial"/>
          <w:b/>
          <w:bCs/>
        </w:rPr>
        <w:t>r</w:t>
      </w:r>
      <w:r w:rsidRPr="00537E0B">
        <w:rPr>
          <w:rFonts w:ascii="Arial" w:eastAsia="Calibri" w:hAnsi="Arial" w:cs="Arial"/>
          <w:b/>
          <w:bCs/>
        </w:rPr>
        <w:t>ed arm (E) and the time spent in the discriminated arm (F)</w:t>
      </w:r>
      <w:r w:rsidRPr="00537E0B">
        <w:rPr>
          <w:rFonts w:ascii="Arial" w:eastAsia="Calibri" w:hAnsi="Arial" w:cs="Arial"/>
        </w:rPr>
        <w:t>.</w:t>
      </w:r>
      <w:r w:rsidRPr="00537E0B">
        <w:rPr>
          <w:rFonts w:ascii="Calibri" w:eastAsia="Calibri" w:hAnsi="Calibri"/>
        </w:rPr>
        <w:t xml:space="preserve"> </w:t>
      </w:r>
    </w:p>
    <w:p w14:paraId="6125E20E" w14:textId="795B5C66" w:rsidR="00537E0B" w:rsidRPr="00537E0B" w:rsidRDefault="00537E0B" w:rsidP="00537E0B">
      <w:pPr>
        <w:jc w:val="center"/>
        <w:rPr>
          <w:rFonts w:ascii="Arial" w:eastAsia="Calibri" w:hAnsi="Arial" w:cs="Arial"/>
          <w:i/>
          <w:iCs/>
          <w:sz w:val="18"/>
          <w:szCs w:val="18"/>
        </w:rPr>
      </w:pPr>
      <w:r w:rsidRPr="00537E0B">
        <w:rPr>
          <w:rFonts w:ascii="Arial" w:eastAsia="Calibri" w:hAnsi="Arial" w:cs="Arial"/>
          <w:i/>
          <w:iCs/>
          <w:sz w:val="18"/>
          <w:szCs w:val="18"/>
        </w:rPr>
        <w:t>Each bar represents the mean ± ESM, n = 6. The data were an</w:t>
      </w:r>
      <w:r w:rsidR="00CC55DB">
        <w:rPr>
          <w:rFonts w:ascii="Arial" w:eastAsia="Calibri" w:hAnsi="Arial" w:cs="Arial"/>
          <w:i/>
          <w:iCs/>
          <w:sz w:val="18"/>
          <w:szCs w:val="18"/>
        </w:rPr>
        <w:t>al</w:t>
      </w:r>
      <w:r w:rsidRPr="00537E0B">
        <w:rPr>
          <w:rFonts w:ascii="Arial" w:eastAsia="Calibri" w:hAnsi="Arial" w:cs="Arial"/>
          <w:i/>
          <w:iCs/>
          <w:sz w:val="18"/>
          <w:szCs w:val="18"/>
        </w:rPr>
        <w:t xml:space="preserve">yzed by the one-way ANOVA, followed by the </w:t>
      </w:r>
      <w:proofErr w:type="spellStart"/>
      <w:r w:rsidRPr="00537E0B">
        <w:rPr>
          <w:rFonts w:ascii="Arial" w:eastAsia="Calibri" w:hAnsi="Arial" w:cs="Arial"/>
          <w:i/>
          <w:iCs/>
          <w:sz w:val="18"/>
          <w:szCs w:val="18"/>
        </w:rPr>
        <w:t>tukey</w:t>
      </w:r>
      <w:proofErr w:type="spellEnd"/>
      <w:r w:rsidRPr="00537E0B">
        <w:rPr>
          <w:rFonts w:ascii="Arial" w:eastAsia="Calibri" w:hAnsi="Arial" w:cs="Arial"/>
          <w:i/>
          <w:iCs/>
          <w:sz w:val="18"/>
          <w:szCs w:val="18"/>
        </w:rPr>
        <w:t xml:space="preserve"> test. *p &lt; 0.05; **p &lt; 0.01; ***p &lt; 0.001; significant difference compared to the negative control (DW+DW). </w:t>
      </w:r>
      <w:r w:rsidRPr="00537E0B">
        <w:rPr>
          <w:rFonts w:ascii="Arial" w:eastAsia="Calibri" w:hAnsi="Arial" w:cs="Arial"/>
          <w:b/>
          <w:bCs/>
          <w:i/>
          <w:iCs/>
          <w:sz w:val="18"/>
          <w:szCs w:val="18"/>
          <w:vertAlign w:val="superscript"/>
        </w:rPr>
        <w:t>£</w:t>
      </w:r>
      <w:r w:rsidRPr="00537E0B">
        <w:rPr>
          <w:rFonts w:ascii="Arial" w:eastAsia="Calibri" w:hAnsi="Arial" w:cs="Arial"/>
          <w:i/>
          <w:iCs/>
          <w:sz w:val="18"/>
          <w:szCs w:val="18"/>
        </w:rPr>
        <w:t xml:space="preserve">p&lt;0.05; </w:t>
      </w:r>
      <w:r w:rsidRPr="00537E0B">
        <w:rPr>
          <w:rFonts w:ascii="Arial" w:eastAsia="Calibri" w:hAnsi="Arial" w:cs="Arial"/>
          <w:b/>
          <w:bCs/>
          <w:i/>
          <w:iCs/>
          <w:sz w:val="18"/>
          <w:szCs w:val="18"/>
          <w:vertAlign w:val="superscript"/>
        </w:rPr>
        <w:t>££</w:t>
      </w:r>
      <w:r w:rsidRPr="00537E0B">
        <w:rPr>
          <w:rFonts w:ascii="Arial" w:eastAsia="Calibri" w:hAnsi="Arial" w:cs="Arial"/>
          <w:i/>
          <w:iCs/>
          <w:sz w:val="18"/>
          <w:szCs w:val="18"/>
        </w:rPr>
        <w:t xml:space="preserve">p&lt;0.01; </w:t>
      </w:r>
      <w:r w:rsidRPr="00537E0B">
        <w:rPr>
          <w:rFonts w:ascii="Arial" w:eastAsia="Calibri" w:hAnsi="Arial" w:cs="Arial"/>
          <w:b/>
          <w:bCs/>
          <w:i/>
          <w:iCs/>
          <w:sz w:val="18"/>
          <w:szCs w:val="18"/>
          <w:vertAlign w:val="superscript"/>
        </w:rPr>
        <w:t>£££</w:t>
      </w:r>
      <w:r w:rsidRPr="00537E0B">
        <w:rPr>
          <w:rFonts w:ascii="Arial" w:eastAsia="Calibri" w:hAnsi="Arial" w:cs="Arial"/>
          <w:i/>
          <w:iCs/>
          <w:sz w:val="18"/>
          <w:szCs w:val="18"/>
        </w:rPr>
        <w:t>p&lt;0.001; significant difference compared to the norm</w:t>
      </w:r>
      <w:r w:rsidR="00CC55DB">
        <w:rPr>
          <w:rFonts w:ascii="Arial" w:eastAsia="Calibri" w:hAnsi="Arial" w:cs="Arial"/>
          <w:i/>
          <w:iCs/>
          <w:sz w:val="18"/>
          <w:szCs w:val="18"/>
        </w:rPr>
        <w:t>al</w:t>
      </w:r>
      <w:r w:rsidRPr="00537E0B">
        <w:rPr>
          <w:rFonts w:ascii="Arial" w:eastAsia="Calibri" w:hAnsi="Arial" w:cs="Arial"/>
          <w:i/>
          <w:iCs/>
          <w:sz w:val="18"/>
          <w:szCs w:val="18"/>
        </w:rPr>
        <w:t xml:space="preserve"> control (DW+DW); DW: Distilled Water (10 mL/kg);</w:t>
      </w:r>
      <w:r w:rsidRPr="00537E0B">
        <w:rPr>
          <w:rFonts w:ascii="Arial" w:eastAsia="Calibri" w:hAnsi="Arial" w:cs="Arial"/>
          <w:i/>
          <w:iCs/>
          <w:color w:val="000000"/>
          <w:sz w:val="18"/>
          <w:szCs w:val="18"/>
        </w:rPr>
        <w:t xml:space="preserve"> </w:t>
      </w:r>
      <w:r w:rsidRPr="00537E0B">
        <w:rPr>
          <w:rFonts w:ascii="Arial" w:eastAsia="Calibri" w:hAnsi="Arial" w:cs="Arial"/>
          <w:i/>
          <w:iCs/>
          <w:sz w:val="18"/>
          <w:szCs w:val="18"/>
        </w:rPr>
        <w:t>Pilo</w:t>
      </w:r>
      <w:r w:rsidRPr="00537E0B">
        <w:rPr>
          <w:rFonts w:ascii="Arial" w:eastAsia="Calibri" w:hAnsi="Arial" w:cs="Arial"/>
          <w:i/>
          <w:iCs/>
          <w:color w:val="000000"/>
          <w:sz w:val="18"/>
          <w:szCs w:val="18"/>
        </w:rPr>
        <w:t xml:space="preserve">: Pilocarpine; </w:t>
      </w:r>
      <w:proofErr w:type="spellStart"/>
      <w:r w:rsidRPr="00537E0B">
        <w:rPr>
          <w:rFonts w:ascii="Arial" w:eastAsia="Calibri" w:hAnsi="Arial" w:cs="Arial"/>
          <w:i/>
          <w:iCs/>
          <w:color w:val="000000"/>
          <w:sz w:val="18"/>
          <w:szCs w:val="18"/>
        </w:rPr>
        <w:t>Cb</w:t>
      </w:r>
      <w:proofErr w:type="spellEnd"/>
      <w:r w:rsidRPr="00537E0B">
        <w:rPr>
          <w:rFonts w:ascii="Arial" w:eastAsia="Calibri" w:hAnsi="Arial" w:cs="Arial"/>
          <w:i/>
          <w:iCs/>
          <w:color w:val="000000"/>
          <w:sz w:val="18"/>
          <w:szCs w:val="18"/>
        </w:rPr>
        <w:t>: C. bauchiense; SV: Sodium V</w:t>
      </w:r>
      <w:r w:rsidR="00CC55DB">
        <w:rPr>
          <w:rFonts w:ascii="Arial" w:eastAsia="Calibri" w:hAnsi="Arial" w:cs="Arial"/>
          <w:i/>
          <w:iCs/>
          <w:color w:val="000000"/>
          <w:sz w:val="18"/>
          <w:szCs w:val="18"/>
        </w:rPr>
        <w:t>al</w:t>
      </w:r>
      <w:r w:rsidRPr="00537E0B">
        <w:rPr>
          <w:rFonts w:ascii="Arial" w:eastAsia="Calibri" w:hAnsi="Arial" w:cs="Arial"/>
          <w:i/>
          <w:iCs/>
          <w:color w:val="000000"/>
          <w:sz w:val="18"/>
          <w:szCs w:val="18"/>
        </w:rPr>
        <w:t>proate (300 mg/kg).</w:t>
      </w:r>
    </w:p>
    <w:p w14:paraId="04164C1F" w14:textId="00B2EC4A" w:rsidR="00537E0B" w:rsidRPr="00537E0B" w:rsidRDefault="00537E0B" w:rsidP="00441B6F">
      <w:pPr>
        <w:pStyle w:val="Body"/>
        <w:spacing w:after="0"/>
        <w:rPr>
          <w:rFonts w:ascii="Arial" w:hAnsi="Arial" w:cs="Arial"/>
        </w:rPr>
      </w:pPr>
    </w:p>
    <w:p w14:paraId="1D564967" w14:textId="07D76B59" w:rsidR="0004576F" w:rsidRPr="0004576F" w:rsidRDefault="0004576F" w:rsidP="0046522C">
      <w:pPr>
        <w:pStyle w:val="Body"/>
        <w:spacing w:after="0"/>
        <w:ind w:left="426" w:hanging="426"/>
        <w:rPr>
          <w:rFonts w:ascii="Arial" w:hAnsi="Arial" w:cs="Arial"/>
          <w:b/>
          <w:bCs/>
        </w:rPr>
      </w:pPr>
      <w:r w:rsidRPr="0004576F">
        <w:rPr>
          <w:rFonts w:ascii="Arial" w:hAnsi="Arial" w:cs="Arial"/>
          <w:b/>
          <w:bCs/>
        </w:rPr>
        <w:t xml:space="preserve">3.7. Anti-amnestic effects of aqueous extract of </w:t>
      </w:r>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 bauchiense</w:t>
      </w:r>
      <w:r w:rsidRPr="0004576F">
        <w:rPr>
          <w:rFonts w:ascii="Arial" w:hAnsi="Arial" w:cs="Arial"/>
          <w:b/>
          <w:bCs/>
        </w:rPr>
        <w:t xml:space="preserve"> in epileptic mice subjected to the elevated cross maze test</w:t>
      </w:r>
    </w:p>
    <w:p w14:paraId="124AA44D" w14:textId="30B6EB69" w:rsidR="0004576F" w:rsidRPr="0004576F" w:rsidRDefault="0004576F" w:rsidP="0004576F">
      <w:pPr>
        <w:pStyle w:val="Body"/>
        <w:spacing w:after="0"/>
        <w:rPr>
          <w:rFonts w:ascii="Arial" w:hAnsi="Arial" w:cs="Arial"/>
          <w:iCs/>
        </w:rPr>
      </w:pPr>
      <w:r w:rsidRPr="0004576F">
        <w:rPr>
          <w:rFonts w:ascii="Arial" w:hAnsi="Arial" w:cs="Arial"/>
          <w:iCs/>
        </w:rPr>
        <w:lastRenderedPageBreak/>
        <w:t xml:space="preserve">During the learning phase, </w:t>
      </w:r>
      <w:r w:rsidRPr="0004576F">
        <w:rPr>
          <w:rFonts w:ascii="Arial" w:hAnsi="Arial" w:cs="Arial"/>
        </w:rPr>
        <w:t xml:space="preserve">significant inter-group differences were observed in the </w:t>
      </w:r>
      <w:r w:rsidRPr="0004576F">
        <w:rPr>
          <w:rFonts w:ascii="Arial" w:hAnsi="Arial" w:cs="Arial"/>
          <w:iCs/>
        </w:rPr>
        <w:t>entry latency into one of the closed arms</w:t>
      </w:r>
      <w:r w:rsidRPr="0004576F">
        <w:rPr>
          <w:rFonts w:ascii="Arial" w:hAnsi="Arial" w:cs="Arial"/>
        </w:rPr>
        <w:t xml:space="preserve"> </w:t>
      </w:r>
      <w:r w:rsidRPr="0004576F">
        <w:rPr>
          <w:rFonts w:ascii="Arial" w:hAnsi="Arial" w:cs="Arial"/>
          <w:iCs/>
        </w:rPr>
        <w:t>the entry latency into one of the closed arms increased (p &lt;0.001) in the negative control (67.83 ± 4.11 s) compared to the norm</w:t>
      </w:r>
      <w:r w:rsidR="00CC55DB">
        <w:rPr>
          <w:rFonts w:ascii="Arial" w:hAnsi="Arial" w:cs="Arial"/>
          <w:iCs/>
        </w:rPr>
        <w:t>al</w:t>
      </w:r>
      <w:r w:rsidRPr="0004576F">
        <w:rPr>
          <w:rFonts w:ascii="Arial" w:hAnsi="Arial" w:cs="Arial"/>
          <w:iCs/>
        </w:rPr>
        <w:t xml:space="preserve"> control (49.17 ± 4.5 s) </w:t>
      </w:r>
      <w:r w:rsidRPr="0004576F">
        <w:rPr>
          <w:rFonts w:ascii="Arial" w:hAnsi="Arial" w:cs="Arial"/>
          <w:b/>
          <w:bCs/>
        </w:rPr>
        <w:t>(Fig.4A)</w:t>
      </w:r>
      <w:r w:rsidRPr="0004576F">
        <w:rPr>
          <w:rFonts w:ascii="Arial" w:hAnsi="Arial" w:cs="Arial"/>
          <w:iCs/>
        </w:rPr>
        <w:t xml:space="preserve">. In mice treated with aqueous extract of </w:t>
      </w:r>
      <w:r w:rsidRPr="0004576F">
        <w:rPr>
          <w:rFonts w:ascii="Arial" w:hAnsi="Arial" w:cs="Arial"/>
          <w:i/>
          <w:iCs/>
        </w:rPr>
        <w:t>C. bauchiense</w:t>
      </w:r>
      <w:r w:rsidRPr="0004576F">
        <w:rPr>
          <w:rFonts w:ascii="Arial" w:hAnsi="Arial" w:cs="Arial"/>
          <w:iCs/>
        </w:rPr>
        <w:t xml:space="preserve">, the latency of entry into one of the closed arms decreased </w:t>
      </w:r>
      <w:r w:rsidRPr="0004576F">
        <w:rPr>
          <w:rFonts w:ascii="Arial" w:hAnsi="Arial" w:cs="Arial"/>
        </w:rPr>
        <w:t xml:space="preserve">[F (7, 40) = 9,27, </w:t>
      </w:r>
      <w:r w:rsidRPr="0004576F">
        <w:rPr>
          <w:rFonts w:ascii="Arial" w:hAnsi="Arial" w:cs="Arial"/>
          <w:i/>
        </w:rPr>
        <w:t>P</w:t>
      </w:r>
      <w:r w:rsidRPr="0004576F">
        <w:rPr>
          <w:rFonts w:ascii="Arial" w:hAnsi="Arial" w:cs="Arial"/>
        </w:rPr>
        <w:t>&lt;0.001]</w:t>
      </w:r>
      <w:r w:rsidRPr="0004576F">
        <w:rPr>
          <w:rFonts w:ascii="Arial" w:hAnsi="Arial" w:cs="Arial"/>
          <w:iCs/>
        </w:rPr>
        <w:t xml:space="preserve"> by 57.17 ± 4.83 s (p &lt;0.05), 51.67 ± 8.33 s (p &lt;0.001), 48.17 ± 3.83 s (p &lt;0.001), 43.67 ± 2.89 s (p &lt;0.001) in mice that received the 28, 70, 140, and 280 mg/kg doses, respectively </w:t>
      </w:r>
      <w:r w:rsidRPr="0004576F">
        <w:rPr>
          <w:rFonts w:ascii="Arial" w:hAnsi="Arial" w:cs="Arial"/>
          <w:b/>
          <w:bCs/>
        </w:rPr>
        <w:t>(Fig.4A)</w:t>
      </w:r>
      <w:r w:rsidRPr="0004576F">
        <w:rPr>
          <w:rFonts w:ascii="Arial" w:hAnsi="Arial" w:cs="Arial"/>
          <w:iCs/>
        </w:rPr>
        <w:t>. Sodium v</w:t>
      </w:r>
      <w:r w:rsidR="00CC55DB">
        <w:rPr>
          <w:rFonts w:ascii="Arial" w:hAnsi="Arial" w:cs="Arial"/>
          <w:iCs/>
        </w:rPr>
        <w:t>al</w:t>
      </w:r>
      <w:r w:rsidRPr="0004576F">
        <w:rPr>
          <w:rFonts w:ascii="Arial" w:hAnsi="Arial" w:cs="Arial"/>
          <w:iCs/>
        </w:rPr>
        <w:t xml:space="preserve">proate and imipramine </w:t>
      </w:r>
      <w:r w:rsidR="00CC55DB">
        <w:rPr>
          <w:rFonts w:ascii="Arial" w:hAnsi="Arial" w:cs="Arial"/>
          <w:iCs/>
        </w:rPr>
        <w:t>al</w:t>
      </w:r>
      <w:r w:rsidRPr="0004576F">
        <w:rPr>
          <w:rFonts w:ascii="Arial" w:hAnsi="Arial" w:cs="Arial"/>
          <w:iCs/>
        </w:rPr>
        <w:t xml:space="preserve">so decreased this time (p &lt;0.001) to 47.5 ± 4.83 s (p &lt;0.001) and 42.17 ± 2.28 s (p &lt;0.001), respectively, compared with the negative control </w:t>
      </w:r>
      <w:r w:rsidRPr="0004576F">
        <w:rPr>
          <w:rFonts w:ascii="Arial" w:hAnsi="Arial" w:cs="Arial"/>
          <w:b/>
          <w:bCs/>
        </w:rPr>
        <w:t>(Fig.4A)</w:t>
      </w:r>
      <w:r w:rsidRPr="0004576F">
        <w:rPr>
          <w:rFonts w:ascii="Arial" w:hAnsi="Arial" w:cs="Arial"/>
          <w:iCs/>
        </w:rPr>
        <w:t>.</w:t>
      </w:r>
    </w:p>
    <w:p w14:paraId="548DD412" w14:textId="0C7263D2" w:rsidR="0004576F" w:rsidRPr="0004576F" w:rsidRDefault="0004576F" w:rsidP="0004576F">
      <w:pPr>
        <w:pStyle w:val="Body"/>
        <w:spacing w:after="0"/>
        <w:rPr>
          <w:rFonts w:ascii="Arial" w:hAnsi="Arial" w:cs="Arial"/>
          <w:iCs/>
        </w:rPr>
      </w:pPr>
      <w:r w:rsidRPr="0004576F">
        <w:rPr>
          <w:rFonts w:ascii="Arial" w:hAnsi="Arial" w:cs="Arial"/>
          <w:iCs/>
        </w:rPr>
        <w:t>During the retention phase,</w:t>
      </w:r>
      <w:r w:rsidRPr="0004576F">
        <w:rPr>
          <w:rFonts w:ascii="Arial" w:hAnsi="Arial" w:cs="Arial"/>
        </w:rPr>
        <w:t xml:space="preserve"> significant inter-group differences were observed in the </w:t>
      </w:r>
      <w:r w:rsidRPr="0004576F">
        <w:rPr>
          <w:rFonts w:ascii="Arial" w:hAnsi="Arial" w:cs="Arial"/>
          <w:iCs/>
        </w:rPr>
        <w:t>entry latency into one of the closed arms</w:t>
      </w:r>
      <w:r w:rsidRPr="0004576F">
        <w:rPr>
          <w:rFonts w:ascii="Arial" w:hAnsi="Arial" w:cs="Arial"/>
        </w:rPr>
        <w:t xml:space="preserve">. </w:t>
      </w:r>
      <w:r w:rsidRPr="0004576F">
        <w:rPr>
          <w:rFonts w:ascii="Arial" w:hAnsi="Arial" w:cs="Arial"/>
          <w:iCs/>
        </w:rPr>
        <w:t xml:space="preserve"> the entry latency into one of the closed arms increased (p &lt;0.001) in the negative control (62.17 ± 4.83 s) compared to the norm</w:t>
      </w:r>
      <w:r w:rsidR="00CC55DB">
        <w:rPr>
          <w:rFonts w:ascii="Arial" w:hAnsi="Arial" w:cs="Arial"/>
          <w:iCs/>
        </w:rPr>
        <w:t>al</w:t>
      </w:r>
      <w:r w:rsidRPr="0004576F">
        <w:rPr>
          <w:rFonts w:ascii="Arial" w:hAnsi="Arial" w:cs="Arial"/>
          <w:iCs/>
        </w:rPr>
        <w:t xml:space="preserve"> control (38.5 ± 7.17 s) </w:t>
      </w:r>
      <w:r w:rsidRPr="0004576F">
        <w:rPr>
          <w:rFonts w:ascii="Arial" w:hAnsi="Arial" w:cs="Arial"/>
          <w:b/>
          <w:bCs/>
        </w:rPr>
        <w:t>(Fig.4B)</w:t>
      </w:r>
      <w:r w:rsidRPr="0004576F">
        <w:rPr>
          <w:rFonts w:ascii="Arial" w:hAnsi="Arial" w:cs="Arial"/>
          <w:iCs/>
        </w:rPr>
        <w:t xml:space="preserve">. In mice treated with aqueous extract of </w:t>
      </w:r>
      <w:r w:rsidRPr="0004576F">
        <w:rPr>
          <w:rFonts w:ascii="Arial" w:hAnsi="Arial" w:cs="Arial"/>
          <w:i/>
          <w:iCs/>
        </w:rPr>
        <w:t>C. bauchiense</w:t>
      </w:r>
      <w:r w:rsidRPr="0004576F">
        <w:rPr>
          <w:rFonts w:ascii="Arial" w:hAnsi="Arial" w:cs="Arial"/>
          <w:iCs/>
        </w:rPr>
        <w:t xml:space="preserve">, the latency of entry into one of the closed arms decreased </w:t>
      </w:r>
      <w:r w:rsidRPr="0004576F">
        <w:rPr>
          <w:rFonts w:ascii="Arial" w:hAnsi="Arial" w:cs="Arial"/>
        </w:rPr>
        <w:t xml:space="preserve">[F (7, 40) = 14,0, </w:t>
      </w:r>
      <w:r w:rsidRPr="0004576F">
        <w:rPr>
          <w:rFonts w:ascii="Arial" w:hAnsi="Arial" w:cs="Arial"/>
          <w:i/>
        </w:rPr>
        <w:t>P</w:t>
      </w:r>
      <w:r w:rsidRPr="0004576F">
        <w:rPr>
          <w:rFonts w:ascii="Arial" w:hAnsi="Arial" w:cs="Arial"/>
        </w:rPr>
        <w:t>&lt;0.001]</w:t>
      </w:r>
      <w:r w:rsidRPr="0004576F">
        <w:rPr>
          <w:rFonts w:ascii="Arial" w:hAnsi="Arial" w:cs="Arial"/>
          <w:iCs/>
        </w:rPr>
        <w:t xml:space="preserve"> by 49.5 ± 3.83 s (p &lt;0.01), 42.17 ± 2.28 s (p &lt;0.001), 38.83 ± 2.16 s (p &lt;0.001), 35.33 ± 1.67 s (p &lt;0.001) in mice that received the 28, 70, 140, and 280 mg/kg doses, respectively </w:t>
      </w:r>
      <w:r w:rsidRPr="0004576F">
        <w:rPr>
          <w:rFonts w:ascii="Arial" w:hAnsi="Arial" w:cs="Arial"/>
          <w:b/>
          <w:bCs/>
        </w:rPr>
        <w:t>(Fig.4B)</w:t>
      </w:r>
      <w:r w:rsidRPr="0004576F">
        <w:rPr>
          <w:rFonts w:ascii="Arial" w:hAnsi="Arial" w:cs="Arial"/>
          <w:iCs/>
        </w:rPr>
        <w:t>. Sodium v</w:t>
      </w:r>
      <w:r w:rsidR="00CC55DB">
        <w:rPr>
          <w:rFonts w:ascii="Arial" w:hAnsi="Arial" w:cs="Arial"/>
          <w:iCs/>
        </w:rPr>
        <w:t>al</w:t>
      </w:r>
      <w:r w:rsidRPr="0004576F">
        <w:rPr>
          <w:rFonts w:ascii="Arial" w:hAnsi="Arial" w:cs="Arial"/>
          <w:iCs/>
        </w:rPr>
        <w:t xml:space="preserve">proate and imipramine </w:t>
      </w:r>
      <w:r w:rsidR="00CC55DB">
        <w:rPr>
          <w:rFonts w:ascii="Arial" w:hAnsi="Arial" w:cs="Arial"/>
          <w:iCs/>
        </w:rPr>
        <w:t>al</w:t>
      </w:r>
      <w:r w:rsidRPr="0004576F">
        <w:rPr>
          <w:rFonts w:ascii="Arial" w:hAnsi="Arial" w:cs="Arial"/>
          <w:iCs/>
        </w:rPr>
        <w:t xml:space="preserve">so decreased this time (p &lt;0.001) 45.5 ± 4.33 s (p &lt;0.001) and 40.67 ± 3.11 s (p &lt;0.001), respectively, compared with the negative control </w:t>
      </w:r>
      <w:r w:rsidRPr="0004576F">
        <w:rPr>
          <w:rFonts w:ascii="Arial" w:hAnsi="Arial" w:cs="Arial"/>
          <w:b/>
          <w:bCs/>
        </w:rPr>
        <w:t>(Fig.4B)</w:t>
      </w:r>
      <w:r w:rsidRPr="0004576F">
        <w:rPr>
          <w:rFonts w:ascii="Arial" w:hAnsi="Arial" w:cs="Arial"/>
          <w:iCs/>
        </w:rPr>
        <w:t>.</w:t>
      </w:r>
    </w:p>
    <w:p w14:paraId="6B1F824F" w14:textId="0ACEF332" w:rsidR="00537E0B" w:rsidRPr="0004576F" w:rsidRDefault="00537E0B" w:rsidP="00441B6F">
      <w:pPr>
        <w:pStyle w:val="Body"/>
        <w:spacing w:after="0"/>
        <w:rPr>
          <w:rFonts w:ascii="Arial" w:hAnsi="Arial" w:cs="Arial"/>
        </w:rPr>
      </w:pPr>
    </w:p>
    <w:p w14:paraId="40547784" w14:textId="4C92AE63" w:rsidR="00537E0B" w:rsidRDefault="0004576F" w:rsidP="0004576F">
      <w:pPr>
        <w:pStyle w:val="Body"/>
        <w:spacing w:after="0"/>
        <w:jc w:val="center"/>
        <w:rPr>
          <w:rFonts w:ascii="Arial" w:hAnsi="Arial" w:cs="Arial"/>
          <w:lang w:val="en-GB"/>
        </w:rPr>
      </w:pPr>
      <w:r>
        <w:rPr>
          <w:rFonts w:ascii="Arial" w:hAnsi="Arial" w:cs="Arial"/>
          <w:noProof/>
        </w:rPr>
        <w:drawing>
          <wp:inline distT="0" distB="0" distL="0" distR="0" wp14:anchorId="3A6CA6AD" wp14:editId="6E0FA424">
            <wp:extent cx="4812030"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2030" cy="2630805"/>
                    </a:xfrm>
                    <a:prstGeom prst="rect">
                      <a:avLst/>
                    </a:prstGeom>
                    <a:noFill/>
                    <a:ln>
                      <a:noFill/>
                    </a:ln>
                  </pic:spPr>
                </pic:pic>
              </a:graphicData>
            </a:graphic>
          </wp:inline>
        </w:drawing>
      </w:r>
    </w:p>
    <w:p w14:paraId="3238EA87" w14:textId="0B27312A" w:rsidR="0004576F" w:rsidRDefault="0004576F" w:rsidP="0004576F">
      <w:pPr>
        <w:pStyle w:val="Body"/>
        <w:spacing w:after="0"/>
        <w:jc w:val="center"/>
        <w:rPr>
          <w:rFonts w:ascii="Arial" w:hAnsi="Arial" w:cs="Arial"/>
          <w:lang w:val="en-GB"/>
        </w:rPr>
      </w:pPr>
    </w:p>
    <w:p w14:paraId="4D0499F8" w14:textId="6A582C9D" w:rsidR="0004576F" w:rsidRPr="0004576F" w:rsidRDefault="0004576F" w:rsidP="0004576F">
      <w:pPr>
        <w:pStyle w:val="Body"/>
        <w:spacing w:after="0"/>
        <w:jc w:val="center"/>
        <w:rPr>
          <w:rFonts w:ascii="Arial" w:hAnsi="Arial" w:cs="Arial"/>
        </w:rPr>
      </w:pPr>
      <w:r w:rsidRPr="0004576F">
        <w:rPr>
          <w:rFonts w:ascii="Arial" w:hAnsi="Arial" w:cs="Arial"/>
          <w:b/>
          <w:bCs/>
        </w:rPr>
        <w:t>Fig.</w:t>
      </w:r>
      <w:r w:rsidR="00DC2DDC">
        <w:rPr>
          <w:rFonts w:ascii="Arial" w:hAnsi="Arial" w:cs="Arial"/>
          <w:b/>
          <w:bCs/>
        </w:rPr>
        <w:t>4</w:t>
      </w:r>
      <w:r w:rsidRPr="0004576F">
        <w:rPr>
          <w:rFonts w:ascii="Arial" w:hAnsi="Arial" w:cs="Arial"/>
          <w:b/>
          <w:bCs/>
        </w:rPr>
        <w:t xml:space="preserve">. Effect of </w:t>
      </w:r>
      <w:r w:rsidR="000D3B21">
        <w:rPr>
          <w:rFonts w:ascii="Arial" w:hAnsi="Arial" w:cs="Arial"/>
          <w:b/>
          <w:bCs/>
          <w:i/>
          <w:iCs/>
        </w:rPr>
        <w:t>Crassoceph</w:t>
      </w:r>
      <w:r w:rsidR="00CC55DB">
        <w:rPr>
          <w:rFonts w:ascii="Arial" w:hAnsi="Arial" w:cs="Arial"/>
          <w:b/>
          <w:bCs/>
          <w:i/>
          <w:iCs/>
        </w:rPr>
        <w:t>al</w:t>
      </w:r>
      <w:r w:rsidR="000D3B21">
        <w:rPr>
          <w:rFonts w:ascii="Arial" w:hAnsi="Arial" w:cs="Arial"/>
          <w:b/>
          <w:bCs/>
          <w:i/>
          <w:iCs/>
        </w:rPr>
        <w:t>um bauchiense</w:t>
      </w:r>
      <w:r w:rsidR="004A119E">
        <w:rPr>
          <w:rFonts w:ascii="Arial" w:hAnsi="Arial" w:cs="Arial"/>
          <w:b/>
          <w:bCs/>
          <w:i/>
          <w:iCs/>
        </w:rPr>
        <w:t xml:space="preserve"> </w:t>
      </w:r>
      <w:r w:rsidRPr="0004576F">
        <w:rPr>
          <w:rFonts w:ascii="Arial" w:hAnsi="Arial" w:cs="Arial"/>
          <w:b/>
          <w:bCs/>
        </w:rPr>
        <w:t>on the entry latency in closed arms.</w:t>
      </w:r>
    </w:p>
    <w:p w14:paraId="4493A90B" w14:textId="282864C2" w:rsidR="0004576F" w:rsidRPr="0004576F" w:rsidRDefault="0004576F" w:rsidP="0004576F">
      <w:pPr>
        <w:pStyle w:val="Body"/>
        <w:spacing w:after="0"/>
        <w:jc w:val="center"/>
        <w:rPr>
          <w:rFonts w:ascii="Arial" w:hAnsi="Arial" w:cs="Arial"/>
          <w:i/>
          <w:iCs/>
          <w:sz w:val="18"/>
          <w:szCs w:val="18"/>
        </w:rPr>
      </w:pPr>
      <w:r w:rsidRPr="0004576F">
        <w:rPr>
          <w:rFonts w:ascii="Arial" w:hAnsi="Arial" w:cs="Arial"/>
        </w:rPr>
        <w:t xml:space="preserve"> </w:t>
      </w:r>
      <w:r w:rsidRPr="0004576F">
        <w:rPr>
          <w:rFonts w:ascii="Arial" w:hAnsi="Arial" w:cs="Arial"/>
          <w:i/>
          <w:iCs/>
          <w:sz w:val="18"/>
          <w:szCs w:val="18"/>
        </w:rPr>
        <w:t>Each bar represents the mean ± ESM, n = 6. The data were an</w:t>
      </w:r>
      <w:r w:rsidR="00CC55DB">
        <w:rPr>
          <w:rFonts w:ascii="Arial" w:hAnsi="Arial" w:cs="Arial"/>
          <w:i/>
          <w:iCs/>
          <w:sz w:val="18"/>
          <w:szCs w:val="18"/>
        </w:rPr>
        <w:t>al</w:t>
      </w:r>
      <w:r w:rsidRPr="0004576F">
        <w:rPr>
          <w:rFonts w:ascii="Arial" w:hAnsi="Arial" w:cs="Arial"/>
          <w:i/>
          <w:iCs/>
          <w:sz w:val="18"/>
          <w:szCs w:val="18"/>
        </w:rPr>
        <w:t>yzed by the one-way ANOVA, followed by the Tukey test. *p &lt; 0.05; **p &lt; 0.01; ***p &lt; 0.001; significant difference compared to the negative control (</w:t>
      </w:r>
      <w:proofErr w:type="spellStart"/>
      <w:r w:rsidRPr="0004576F">
        <w:rPr>
          <w:rFonts w:ascii="Arial" w:hAnsi="Arial" w:cs="Arial"/>
          <w:i/>
          <w:iCs/>
          <w:sz w:val="18"/>
          <w:szCs w:val="18"/>
        </w:rPr>
        <w:t>DW+Pilo</w:t>
      </w:r>
      <w:proofErr w:type="spellEnd"/>
      <w:r w:rsidRPr="0004576F">
        <w:rPr>
          <w:rFonts w:ascii="Arial" w:hAnsi="Arial" w:cs="Arial"/>
          <w:i/>
          <w:iCs/>
          <w:sz w:val="18"/>
          <w:szCs w:val="18"/>
        </w:rPr>
        <w:t xml:space="preserve">). </w:t>
      </w:r>
      <w:r w:rsidRPr="0004576F">
        <w:rPr>
          <w:rFonts w:ascii="Arial" w:hAnsi="Arial" w:cs="Arial"/>
          <w:b/>
          <w:bCs/>
          <w:i/>
          <w:iCs/>
          <w:sz w:val="18"/>
          <w:szCs w:val="18"/>
          <w:vertAlign w:val="superscript"/>
        </w:rPr>
        <w:t>£</w:t>
      </w:r>
      <w:r w:rsidRPr="0004576F">
        <w:rPr>
          <w:rFonts w:ascii="Arial" w:hAnsi="Arial" w:cs="Arial"/>
          <w:i/>
          <w:iCs/>
          <w:sz w:val="18"/>
          <w:szCs w:val="18"/>
        </w:rPr>
        <w:t xml:space="preserve">p&lt;0.05; </w:t>
      </w:r>
      <w:r w:rsidRPr="0004576F">
        <w:rPr>
          <w:rFonts w:ascii="Arial" w:hAnsi="Arial" w:cs="Arial"/>
          <w:b/>
          <w:bCs/>
          <w:i/>
          <w:iCs/>
          <w:sz w:val="18"/>
          <w:szCs w:val="18"/>
          <w:vertAlign w:val="superscript"/>
        </w:rPr>
        <w:t>££</w:t>
      </w:r>
      <w:r w:rsidRPr="0004576F">
        <w:rPr>
          <w:rFonts w:ascii="Arial" w:hAnsi="Arial" w:cs="Arial"/>
          <w:i/>
          <w:iCs/>
          <w:sz w:val="18"/>
          <w:szCs w:val="18"/>
        </w:rPr>
        <w:t xml:space="preserve">p&lt;0.01; </w:t>
      </w:r>
      <w:r w:rsidRPr="0004576F">
        <w:rPr>
          <w:rFonts w:ascii="Arial" w:hAnsi="Arial" w:cs="Arial"/>
          <w:b/>
          <w:bCs/>
          <w:i/>
          <w:iCs/>
          <w:sz w:val="18"/>
          <w:szCs w:val="18"/>
          <w:vertAlign w:val="superscript"/>
        </w:rPr>
        <w:t>£££</w:t>
      </w:r>
      <w:r w:rsidRPr="0004576F">
        <w:rPr>
          <w:rFonts w:ascii="Arial" w:hAnsi="Arial" w:cs="Arial"/>
          <w:i/>
          <w:iCs/>
          <w:sz w:val="18"/>
          <w:szCs w:val="18"/>
        </w:rPr>
        <w:t>p&lt;0.001; significant difference compared to the norm</w:t>
      </w:r>
      <w:r w:rsidR="00CC55DB">
        <w:rPr>
          <w:rFonts w:ascii="Arial" w:hAnsi="Arial" w:cs="Arial"/>
          <w:i/>
          <w:iCs/>
          <w:sz w:val="18"/>
          <w:szCs w:val="18"/>
        </w:rPr>
        <w:t>al</w:t>
      </w:r>
      <w:r w:rsidRPr="0004576F">
        <w:rPr>
          <w:rFonts w:ascii="Arial" w:hAnsi="Arial" w:cs="Arial"/>
          <w:i/>
          <w:iCs/>
          <w:sz w:val="18"/>
          <w:szCs w:val="18"/>
        </w:rPr>
        <w:t xml:space="preserve"> control (DW+DW); </w:t>
      </w:r>
      <w:bookmarkStart w:id="19" w:name="_Hlk184232102"/>
      <w:r w:rsidRPr="0004576F">
        <w:rPr>
          <w:rFonts w:ascii="Arial" w:hAnsi="Arial" w:cs="Arial"/>
          <w:i/>
          <w:iCs/>
          <w:sz w:val="18"/>
          <w:szCs w:val="18"/>
        </w:rPr>
        <w:t xml:space="preserve">DW: Distilled Water (10 mL/kg); Pilo: Pilocarpine; </w:t>
      </w:r>
      <w:proofErr w:type="spellStart"/>
      <w:r w:rsidRPr="0004576F">
        <w:rPr>
          <w:rFonts w:ascii="Arial" w:hAnsi="Arial" w:cs="Arial"/>
          <w:i/>
          <w:iCs/>
          <w:sz w:val="18"/>
          <w:szCs w:val="18"/>
        </w:rPr>
        <w:t>Cb</w:t>
      </w:r>
      <w:proofErr w:type="spellEnd"/>
      <w:r w:rsidRPr="0004576F">
        <w:rPr>
          <w:rFonts w:ascii="Arial" w:hAnsi="Arial" w:cs="Arial"/>
          <w:i/>
          <w:iCs/>
          <w:sz w:val="18"/>
          <w:szCs w:val="18"/>
        </w:rPr>
        <w:t>: C. bauchiense; SV: Sodium V</w:t>
      </w:r>
      <w:r w:rsidR="00CC55DB">
        <w:rPr>
          <w:rFonts w:ascii="Arial" w:hAnsi="Arial" w:cs="Arial"/>
          <w:i/>
          <w:iCs/>
          <w:sz w:val="18"/>
          <w:szCs w:val="18"/>
        </w:rPr>
        <w:t>al</w:t>
      </w:r>
      <w:r w:rsidRPr="0004576F">
        <w:rPr>
          <w:rFonts w:ascii="Arial" w:hAnsi="Arial" w:cs="Arial"/>
          <w:i/>
          <w:iCs/>
          <w:sz w:val="18"/>
          <w:szCs w:val="18"/>
        </w:rPr>
        <w:t>proate (300 mg/kg); Pira: Piracetam (15 mg/kg).</w:t>
      </w:r>
      <w:bookmarkEnd w:id="19"/>
    </w:p>
    <w:p w14:paraId="7995BD92" w14:textId="66FBED2D" w:rsidR="0004576F" w:rsidRPr="0004576F" w:rsidRDefault="0004576F" w:rsidP="0004576F">
      <w:pPr>
        <w:pStyle w:val="Body"/>
        <w:spacing w:after="0"/>
        <w:jc w:val="center"/>
        <w:rPr>
          <w:rFonts w:ascii="Arial" w:hAnsi="Arial" w:cs="Arial"/>
        </w:rPr>
      </w:pPr>
    </w:p>
    <w:p w14:paraId="69C6D407" w14:textId="20B8563F" w:rsidR="0004576F" w:rsidRDefault="0004576F" w:rsidP="0004576F">
      <w:pPr>
        <w:pStyle w:val="Body"/>
        <w:spacing w:after="0"/>
        <w:jc w:val="center"/>
        <w:rPr>
          <w:rFonts w:ascii="Arial" w:hAnsi="Arial" w:cs="Arial"/>
          <w:lang w:val="en-GB"/>
        </w:rPr>
      </w:pPr>
    </w:p>
    <w:p w14:paraId="308BA334" w14:textId="791896F4" w:rsidR="008267D0" w:rsidRPr="008267D0" w:rsidRDefault="008267D0" w:rsidP="0046522C">
      <w:pPr>
        <w:pStyle w:val="Body"/>
        <w:spacing w:after="0"/>
        <w:ind w:left="426" w:hanging="426"/>
        <w:rPr>
          <w:rFonts w:ascii="Arial" w:hAnsi="Arial" w:cs="Arial"/>
          <w:b/>
          <w:bCs/>
        </w:rPr>
      </w:pPr>
      <w:r w:rsidRPr="008267D0">
        <w:rPr>
          <w:rFonts w:ascii="Arial" w:hAnsi="Arial" w:cs="Arial"/>
          <w:b/>
          <w:bCs/>
        </w:rPr>
        <w:t xml:space="preserve">3.8. Effect of aqueous extract of </w:t>
      </w:r>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 bauchiense</w:t>
      </w:r>
      <w:r w:rsidRPr="008267D0">
        <w:rPr>
          <w:rFonts w:ascii="Arial" w:hAnsi="Arial" w:cs="Arial"/>
          <w:b/>
          <w:bCs/>
        </w:rPr>
        <w:t xml:space="preserve"> on exploration behavior in mice in the open field</w:t>
      </w:r>
    </w:p>
    <w:p w14:paraId="7800C686" w14:textId="7C02A78F" w:rsidR="008267D0" w:rsidRPr="008267D0" w:rsidRDefault="008267D0" w:rsidP="008267D0">
      <w:pPr>
        <w:pStyle w:val="Body"/>
        <w:rPr>
          <w:rFonts w:ascii="Arial" w:hAnsi="Arial" w:cs="Arial"/>
        </w:rPr>
      </w:pPr>
      <w:r w:rsidRPr="008267D0">
        <w:rPr>
          <w:rFonts w:ascii="Arial" w:hAnsi="Arial" w:cs="Arial"/>
        </w:rPr>
        <w:t>The number of crossed lines decreased (p &lt;0.05) in the negative control (6.50 ± 1.17) compared to the norm</w:t>
      </w:r>
      <w:r w:rsidR="00CC55DB">
        <w:rPr>
          <w:rFonts w:ascii="Arial" w:hAnsi="Arial" w:cs="Arial"/>
        </w:rPr>
        <w:t>al</w:t>
      </w:r>
      <w:r w:rsidRPr="008267D0">
        <w:rPr>
          <w:rFonts w:ascii="Arial" w:hAnsi="Arial" w:cs="Arial"/>
        </w:rPr>
        <w:t xml:space="preserve"> control (10.33 ± 1.11) </w:t>
      </w:r>
      <w:r w:rsidRPr="008267D0">
        <w:rPr>
          <w:rFonts w:ascii="Arial" w:hAnsi="Arial" w:cs="Arial"/>
          <w:b/>
          <w:bCs/>
        </w:rPr>
        <w:t>(Table 3)</w:t>
      </w:r>
      <w:r w:rsidRPr="008267D0">
        <w:rPr>
          <w:rFonts w:ascii="Arial" w:hAnsi="Arial" w:cs="Arial"/>
        </w:rPr>
        <w:t xml:space="preserve">. We observe an increase [F (7, 40) = 77,7, </w:t>
      </w:r>
      <w:r w:rsidRPr="008267D0">
        <w:rPr>
          <w:rFonts w:ascii="Arial" w:hAnsi="Arial" w:cs="Arial"/>
          <w:i/>
        </w:rPr>
        <w:t>P</w:t>
      </w:r>
      <w:r w:rsidRPr="008267D0">
        <w:rPr>
          <w:rFonts w:ascii="Arial" w:hAnsi="Arial" w:cs="Arial"/>
        </w:rPr>
        <w:t xml:space="preserve">&lt;0.001] in the number of crossed lines of 16.83 ± 0.89 (p &lt;0.01), 23.33 ± 2.11 (p &lt;0.001), 32.17 ± 3.22 (p &lt;0.001) and 33.17 ± 1.17 (p &lt;0.001) respectively in the mice given the different doses of 28, 70, 140 and 280 mg/kg compared to the negative control </w:t>
      </w:r>
      <w:r w:rsidRPr="008267D0">
        <w:rPr>
          <w:rFonts w:ascii="Arial" w:hAnsi="Arial" w:cs="Arial"/>
          <w:b/>
          <w:bCs/>
        </w:rPr>
        <w:t>(Table 3)</w:t>
      </w:r>
      <w:r w:rsidRPr="008267D0">
        <w:rPr>
          <w:rFonts w:ascii="Arial" w:hAnsi="Arial" w:cs="Arial"/>
        </w:rPr>
        <w:t xml:space="preserve">. </w:t>
      </w:r>
      <w:r w:rsidRPr="008267D0">
        <w:rPr>
          <w:rFonts w:ascii="Arial" w:hAnsi="Arial" w:cs="Arial"/>
        </w:rPr>
        <w:lastRenderedPageBreak/>
        <w:t>The number of lines crossed was significantly increased in mice treated with sodium v</w:t>
      </w:r>
      <w:r w:rsidR="00CC55DB">
        <w:rPr>
          <w:rFonts w:ascii="Arial" w:hAnsi="Arial" w:cs="Arial"/>
        </w:rPr>
        <w:t>al</w:t>
      </w:r>
      <w:r w:rsidRPr="008267D0">
        <w:rPr>
          <w:rFonts w:ascii="Arial" w:hAnsi="Arial" w:cs="Arial"/>
        </w:rPr>
        <w:t xml:space="preserve">proate, 37.67 ± 1.67 (p &lt;0.001) and piracetam, 39.83 ± 5.89 (p &lt;0.001) </w:t>
      </w:r>
      <w:r w:rsidRPr="008267D0">
        <w:rPr>
          <w:rFonts w:ascii="Arial" w:hAnsi="Arial" w:cs="Arial"/>
          <w:b/>
          <w:bCs/>
        </w:rPr>
        <w:t>(Table 3)</w:t>
      </w:r>
      <w:r w:rsidRPr="008267D0">
        <w:rPr>
          <w:rFonts w:ascii="Arial" w:hAnsi="Arial" w:cs="Arial"/>
        </w:rPr>
        <w:t>.</w:t>
      </w:r>
    </w:p>
    <w:p w14:paraId="50CCEB34" w14:textId="5041C8BF" w:rsidR="008267D0" w:rsidRPr="008267D0" w:rsidRDefault="008267D0" w:rsidP="008267D0">
      <w:pPr>
        <w:pStyle w:val="Body"/>
        <w:rPr>
          <w:rFonts w:ascii="Arial" w:hAnsi="Arial" w:cs="Arial"/>
        </w:rPr>
      </w:pPr>
      <w:r w:rsidRPr="008267D0">
        <w:rPr>
          <w:rFonts w:ascii="Arial" w:hAnsi="Arial" w:cs="Arial"/>
        </w:rPr>
        <w:t>The number of rearing increased (p &lt;0.001) in the negative control (11.50 ± 1.17) compared to the norm</w:t>
      </w:r>
      <w:r w:rsidR="00CC55DB">
        <w:rPr>
          <w:rFonts w:ascii="Arial" w:hAnsi="Arial" w:cs="Arial"/>
        </w:rPr>
        <w:t>al</w:t>
      </w:r>
      <w:r w:rsidRPr="008267D0">
        <w:rPr>
          <w:rFonts w:ascii="Arial" w:hAnsi="Arial" w:cs="Arial"/>
        </w:rPr>
        <w:t xml:space="preserve"> control (8.17 ± 1.55) </w:t>
      </w:r>
      <w:r w:rsidRPr="008267D0">
        <w:rPr>
          <w:rFonts w:ascii="Arial" w:hAnsi="Arial" w:cs="Arial"/>
          <w:b/>
          <w:bCs/>
        </w:rPr>
        <w:t>(Table 3)</w:t>
      </w:r>
      <w:r w:rsidRPr="008267D0">
        <w:rPr>
          <w:rFonts w:ascii="Arial" w:hAnsi="Arial" w:cs="Arial"/>
        </w:rPr>
        <w:t xml:space="preserve">. The extract significantly (p &lt;0.001) decreased [F (7, 40) = 72,3, </w:t>
      </w:r>
      <w:r w:rsidRPr="008267D0">
        <w:rPr>
          <w:rFonts w:ascii="Arial" w:hAnsi="Arial" w:cs="Arial"/>
          <w:i/>
        </w:rPr>
        <w:t>P</w:t>
      </w:r>
      <w:r w:rsidRPr="008267D0">
        <w:rPr>
          <w:rFonts w:ascii="Arial" w:hAnsi="Arial" w:cs="Arial"/>
        </w:rPr>
        <w:t xml:space="preserve">&lt;0.001] the number of turnarounds by 2.83 ± 0.55, 2.83 ± 0.83, 1.83 ± 0.55 and 1.17 ± 0.28 respectively in the mice that received the different doses of 28, 70, 140 and 280 mg/kg of the plant </w:t>
      </w:r>
      <w:r w:rsidRPr="008267D0">
        <w:rPr>
          <w:rFonts w:ascii="Arial" w:hAnsi="Arial" w:cs="Arial"/>
          <w:b/>
          <w:bCs/>
        </w:rPr>
        <w:t>(Table 3)</w:t>
      </w:r>
      <w:r w:rsidRPr="008267D0">
        <w:rPr>
          <w:rFonts w:ascii="Arial" w:hAnsi="Arial" w:cs="Arial"/>
        </w:rPr>
        <w:t>. Sodium v</w:t>
      </w:r>
      <w:r w:rsidR="00CC55DB">
        <w:rPr>
          <w:rFonts w:ascii="Arial" w:hAnsi="Arial" w:cs="Arial"/>
        </w:rPr>
        <w:t>al</w:t>
      </w:r>
      <w:r w:rsidRPr="008267D0">
        <w:rPr>
          <w:rFonts w:ascii="Arial" w:hAnsi="Arial" w:cs="Arial"/>
        </w:rPr>
        <w:t xml:space="preserve">proate and piracetam significantly decreased the number of crossed lines to 1.33 ± 0.44 (p &lt;0.001) to 1.50 ± 0.50 (p &lt;0.001) respectively </w:t>
      </w:r>
      <w:r w:rsidRPr="008267D0">
        <w:rPr>
          <w:rFonts w:ascii="Arial" w:hAnsi="Arial" w:cs="Arial"/>
          <w:b/>
          <w:bCs/>
        </w:rPr>
        <w:t>(Table 3)</w:t>
      </w:r>
      <w:r w:rsidRPr="008267D0">
        <w:rPr>
          <w:rFonts w:ascii="Arial" w:hAnsi="Arial" w:cs="Arial"/>
        </w:rPr>
        <w:t>.</w:t>
      </w:r>
    </w:p>
    <w:p w14:paraId="606812B7" w14:textId="77777777" w:rsidR="008267D0" w:rsidRPr="008267D0" w:rsidRDefault="008267D0" w:rsidP="008267D0">
      <w:pPr>
        <w:pStyle w:val="Body"/>
        <w:rPr>
          <w:rFonts w:ascii="Arial" w:hAnsi="Arial" w:cs="Arial"/>
        </w:rPr>
      </w:pPr>
    </w:p>
    <w:p w14:paraId="13A2D4BE" w14:textId="38C34EE5" w:rsidR="008267D0" w:rsidRPr="008267D0" w:rsidRDefault="008267D0" w:rsidP="008267D0">
      <w:pPr>
        <w:pStyle w:val="Body"/>
        <w:rPr>
          <w:rFonts w:ascii="Arial" w:hAnsi="Arial" w:cs="Arial"/>
        </w:rPr>
      </w:pPr>
      <w:r w:rsidRPr="008267D0">
        <w:rPr>
          <w:rFonts w:ascii="Arial" w:hAnsi="Arial" w:cs="Arial"/>
        </w:rPr>
        <w:t>The number of times the anim</w:t>
      </w:r>
      <w:r w:rsidR="00CC55DB">
        <w:rPr>
          <w:rFonts w:ascii="Arial" w:hAnsi="Arial" w:cs="Arial"/>
        </w:rPr>
        <w:t>al</w:t>
      </w:r>
      <w:r w:rsidRPr="008267D0">
        <w:rPr>
          <w:rFonts w:ascii="Arial" w:hAnsi="Arial" w:cs="Arial"/>
        </w:rPr>
        <w:t xml:space="preserve"> cleans its body </w:t>
      </w:r>
      <w:bookmarkStart w:id="20" w:name="_Hlk146024197"/>
      <w:r w:rsidRPr="008267D0">
        <w:rPr>
          <w:rFonts w:ascii="Arial" w:hAnsi="Arial" w:cs="Arial"/>
        </w:rPr>
        <w:t>(grooming</w:t>
      </w:r>
      <w:bookmarkEnd w:id="20"/>
      <w:r w:rsidRPr="008267D0">
        <w:rPr>
          <w:rFonts w:ascii="Arial" w:hAnsi="Arial" w:cs="Arial"/>
        </w:rPr>
        <w:t>) decreased in the negative control (1.00 ± 0.33) compared to the norm</w:t>
      </w:r>
      <w:r w:rsidR="00CC55DB">
        <w:rPr>
          <w:rFonts w:ascii="Arial" w:hAnsi="Arial" w:cs="Arial"/>
        </w:rPr>
        <w:t>al</w:t>
      </w:r>
      <w:r w:rsidRPr="008267D0">
        <w:rPr>
          <w:rFonts w:ascii="Arial" w:hAnsi="Arial" w:cs="Arial"/>
        </w:rPr>
        <w:t xml:space="preserve"> control (2.50 ± 0.83) </w:t>
      </w:r>
      <w:r w:rsidRPr="008267D0">
        <w:rPr>
          <w:rFonts w:ascii="Arial" w:hAnsi="Arial" w:cs="Arial"/>
          <w:b/>
          <w:bCs/>
        </w:rPr>
        <w:t>(Table 3)</w:t>
      </w:r>
      <w:r w:rsidRPr="008267D0">
        <w:rPr>
          <w:rFonts w:ascii="Arial" w:hAnsi="Arial" w:cs="Arial"/>
        </w:rPr>
        <w:t xml:space="preserve">. This number increased [F (7, 40) = 5,22, </w:t>
      </w:r>
      <w:r w:rsidRPr="008267D0">
        <w:rPr>
          <w:rFonts w:ascii="Arial" w:hAnsi="Arial" w:cs="Arial"/>
          <w:i/>
        </w:rPr>
        <w:t>P</w:t>
      </w:r>
      <w:r w:rsidRPr="008267D0">
        <w:rPr>
          <w:rFonts w:ascii="Arial" w:hAnsi="Arial" w:cs="Arial"/>
        </w:rPr>
        <w:t>&lt;0.001] significantly from 2.83 ± 0.55 (p &lt;0.05) to 3.50 ± 0.83 (p &lt;0.001) in the groups of anim</w:t>
      </w:r>
      <w:r w:rsidR="00CC55DB">
        <w:rPr>
          <w:rFonts w:ascii="Arial" w:hAnsi="Arial" w:cs="Arial"/>
        </w:rPr>
        <w:t>al</w:t>
      </w:r>
      <w:r w:rsidRPr="008267D0">
        <w:rPr>
          <w:rFonts w:ascii="Arial" w:hAnsi="Arial" w:cs="Arial"/>
        </w:rPr>
        <w:t xml:space="preserve">s treated with 140 and 280 mg/kg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8267D0">
        <w:rPr>
          <w:rFonts w:ascii="Arial" w:hAnsi="Arial" w:cs="Arial"/>
        </w:rPr>
        <w:t xml:space="preserve">extract, respectively </w:t>
      </w:r>
      <w:r w:rsidRPr="008267D0">
        <w:rPr>
          <w:rFonts w:ascii="Arial" w:hAnsi="Arial" w:cs="Arial"/>
          <w:b/>
          <w:bCs/>
        </w:rPr>
        <w:t>(Table 3)</w:t>
      </w:r>
      <w:r w:rsidRPr="008267D0">
        <w:rPr>
          <w:rFonts w:ascii="Arial" w:hAnsi="Arial" w:cs="Arial"/>
        </w:rPr>
        <w:t>. Sodium v</w:t>
      </w:r>
      <w:r w:rsidR="00CC55DB">
        <w:rPr>
          <w:rFonts w:ascii="Arial" w:hAnsi="Arial" w:cs="Arial"/>
        </w:rPr>
        <w:t>al</w:t>
      </w:r>
      <w:r w:rsidRPr="008267D0">
        <w:rPr>
          <w:rFonts w:ascii="Arial" w:hAnsi="Arial" w:cs="Arial"/>
        </w:rPr>
        <w:t xml:space="preserve">proate and piracetam </w:t>
      </w:r>
      <w:r w:rsidR="00CC55DB">
        <w:rPr>
          <w:rFonts w:ascii="Arial" w:hAnsi="Arial" w:cs="Arial"/>
        </w:rPr>
        <w:t>al</w:t>
      </w:r>
      <w:r w:rsidRPr="008267D0">
        <w:rPr>
          <w:rFonts w:ascii="Arial" w:hAnsi="Arial" w:cs="Arial"/>
        </w:rPr>
        <w:t xml:space="preserve">so increased the number of "grooming" to 3.67 ± 0.78 (p &lt;0.001) and 2.83 ± 0.83 (p &lt;0.05) respectively </w:t>
      </w:r>
      <w:r w:rsidRPr="008267D0">
        <w:rPr>
          <w:rFonts w:ascii="Arial" w:hAnsi="Arial" w:cs="Arial"/>
          <w:b/>
          <w:bCs/>
        </w:rPr>
        <w:t>(Table 3)</w:t>
      </w:r>
      <w:r w:rsidRPr="008267D0">
        <w:rPr>
          <w:rFonts w:ascii="Arial" w:hAnsi="Arial" w:cs="Arial"/>
        </w:rPr>
        <w:t>.</w:t>
      </w:r>
    </w:p>
    <w:p w14:paraId="65DF0ECE" w14:textId="39E2A825" w:rsidR="008267D0" w:rsidRPr="008267D0" w:rsidRDefault="008267D0" w:rsidP="008267D0">
      <w:pPr>
        <w:pStyle w:val="Body"/>
        <w:rPr>
          <w:rFonts w:ascii="Arial" w:hAnsi="Arial" w:cs="Arial"/>
        </w:rPr>
      </w:pPr>
      <w:r w:rsidRPr="008267D0">
        <w:rPr>
          <w:rFonts w:ascii="Arial" w:hAnsi="Arial" w:cs="Arial"/>
        </w:rPr>
        <w:t>The time spent in the center of the open field was significantly decreased in the negative control (2.50 ± 0.50 s) compared to the norm</w:t>
      </w:r>
      <w:r w:rsidR="00CC55DB">
        <w:rPr>
          <w:rFonts w:ascii="Arial" w:hAnsi="Arial" w:cs="Arial"/>
        </w:rPr>
        <w:t>al</w:t>
      </w:r>
      <w:r w:rsidRPr="008267D0">
        <w:rPr>
          <w:rFonts w:ascii="Arial" w:hAnsi="Arial" w:cs="Arial"/>
        </w:rPr>
        <w:t xml:space="preserve"> control (4.83 ± 0.89 s).</w:t>
      </w:r>
      <w:r w:rsidRPr="008267D0">
        <w:rPr>
          <w:rFonts w:ascii="Arial" w:hAnsi="Arial" w:cs="Arial"/>
          <w:b/>
          <w:bCs/>
        </w:rPr>
        <w:t xml:space="preserve"> (Table 3)</w:t>
      </w:r>
      <w:r w:rsidRPr="008267D0">
        <w:rPr>
          <w:rFonts w:ascii="Arial" w:hAnsi="Arial" w:cs="Arial"/>
        </w:rPr>
        <w:t xml:space="preserve">.  Mice treated with the different doses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4A119E">
        <w:rPr>
          <w:rFonts w:ascii="Arial" w:hAnsi="Arial" w:cs="Arial"/>
          <w:i/>
          <w:iCs/>
        </w:rPr>
        <w:t xml:space="preserve"> </w:t>
      </w:r>
      <w:r w:rsidRPr="008267D0">
        <w:rPr>
          <w:rFonts w:ascii="Arial" w:hAnsi="Arial" w:cs="Arial"/>
        </w:rPr>
        <w:t xml:space="preserve">showed a significant increase [F (7, 40) = 94,2, </w:t>
      </w:r>
      <w:r w:rsidRPr="008267D0">
        <w:rPr>
          <w:rFonts w:ascii="Arial" w:hAnsi="Arial" w:cs="Arial"/>
          <w:i/>
        </w:rPr>
        <w:t>P</w:t>
      </w:r>
      <w:r w:rsidRPr="008267D0">
        <w:rPr>
          <w:rFonts w:ascii="Arial" w:hAnsi="Arial" w:cs="Arial"/>
        </w:rPr>
        <w:t>&lt;0.001]. in time spent in the center of, 18.16 ± 1.22 sec (p &lt;0.001) and 21.16 ± 0.83 s (p &lt;0.001) respectively in those treated with the140 and 280 mg/kg doses of the extract. The time spent in the center increased in mice treated with sodium v</w:t>
      </w:r>
      <w:r w:rsidR="00CC55DB">
        <w:rPr>
          <w:rFonts w:ascii="Arial" w:hAnsi="Arial" w:cs="Arial"/>
        </w:rPr>
        <w:t>al</w:t>
      </w:r>
      <w:r w:rsidRPr="008267D0">
        <w:rPr>
          <w:rFonts w:ascii="Arial" w:hAnsi="Arial" w:cs="Arial"/>
        </w:rPr>
        <w:t xml:space="preserve">proate and piracetam to 24.67 ± 1.67 s (p &lt;0.001) and 30.67 ± 5.22 s (p &lt;0.001), respectively </w:t>
      </w:r>
      <w:r w:rsidRPr="008267D0">
        <w:rPr>
          <w:rFonts w:ascii="Arial" w:hAnsi="Arial" w:cs="Arial"/>
          <w:b/>
          <w:bCs/>
        </w:rPr>
        <w:t>(Table 3)</w:t>
      </w:r>
      <w:r w:rsidRPr="008267D0">
        <w:rPr>
          <w:rFonts w:ascii="Arial" w:hAnsi="Arial" w:cs="Arial"/>
        </w:rPr>
        <w:t>.</w:t>
      </w:r>
    </w:p>
    <w:p w14:paraId="5AD17BD6" w14:textId="086918B4" w:rsidR="0004576F" w:rsidRPr="008267D0" w:rsidRDefault="0004576F" w:rsidP="008267D0">
      <w:pPr>
        <w:pStyle w:val="Body"/>
        <w:spacing w:after="0"/>
        <w:rPr>
          <w:rFonts w:ascii="Arial" w:hAnsi="Arial" w:cs="Arial"/>
        </w:rPr>
      </w:pPr>
    </w:p>
    <w:p w14:paraId="3B6D5A03" w14:textId="77777777" w:rsidR="001D24BF" w:rsidRDefault="001D24BF" w:rsidP="008267D0">
      <w:pPr>
        <w:pStyle w:val="Body"/>
        <w:rPr>
          <w:rFonts w:ascii="Arial" w:hAnsi="Arial" w:cs="Arial"/>
          <w:b/>
          <w:iCs/>
        </w:rPr>
        <w:sectPr w:rsidR="001D24BF" w:rsidSect="00010DA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2A23D4BB" w14:textId="49557C46" w:rsidR="008267D0" w:rsidRDefault="008267D0" w:rsidP="008267D0">
      <w:pPr>
        <w:pStyle w:val="Body"/>
        <w:rPr>
          <w:rFonts w:ascii="Arial" w:hAnsi="Arial" w:cs="Arial"/>
          <w:iCs/>
        </w:rPr>
      </w:pPr>
      <w:r w:rsidRPr="008267D0">
        <w:rPr>
          <w:rFonts w:ascii="Arial" w:hAnsi="Arial" w:cs="Arial"/>
          <w:b/>
          <w:iCs/>
        </w:rPr>
        <w:lastRenderedPageBreak/>
        <w:t>Table 3</w:t>
      </w:r>
      <w:r w:rsidRPr="008267D0">
        <w:rPr>
          <w:rFonts w:ascii="Arial" w:hAnsi="Arial" w:cs="Arial"/>
          <w:iCs/>
        </w:rPr>
        <w:t xml:space="preserve">: </w:t>
      </w:r>
      <w:r w:rsidRPr="00F06439">
        <w:rPr>
          <w:rFonts w:ascii="Arial" w:hAnsi="Arial" w:cs="Arial"/>
          <w:b/>
          <w:bCs/>
          <w:iCs/>
        </w:rPr>
        <w:t xml:space="preserve">Effects of </w:t>
      </w:r>
      <w:r w:rsidRPr="00F06439">
        <w:rPr>
          <w:rFonts w:ascii="Arial" w:hAnsi="Arial" w:cs="Arial"/>
          <w:b/>
          <w:bCs/>
          <w:i/>
        </w:rPr>
        <w:t>Crassoceph</w:t>
      </w:r>
      <w:r w:rsidR="00CC55DB">
        <w:rPr>
          <w:rFonts w:ascii="Arial" w:hAnsi="Arial" w:cs="Arial"/>
          <w:b/>
          <w:bCs/>
          <w:i/>
        </w:rPr>
        <w:t>al</w:t>
      </w:r>
      <w:r w:rsidRPr="00F06439">
        <w:rPr>
          <w:rFonts w:ascii="Arial" w:hAnsi="Arial" w:cs="Arial"/>
          <w:b/>
          <w:bCs/>
          <w:i/>
        </w:rPr>
        <w:t>um bauchiense</w:t>
      </w:r>
      <w:r w:rsidRPr="00F06439">
        <w:rPr>
          <w:rFonts w:ascii="Arial" w:hAnsi="Arial" w:cs="Arial"/>
          <w:b/>
          <w:bCs/>
          <w:iCs/>
        </w:rPr>
        <w:t xml:space="preserve"> on the open field</w:t>
      </w:r>
    </w:p>
    <w:tbl>
      <w:tblPr>
        <w:tblW w:w="10348" w:type="dxa"/>
        <w:tblInd w:w="108" w:type="dxa"/>
        <w:tblBorders>
          <w:top w:val="single" w:sz="4" w:space="0" w:color="auto"/>
          <w:bottom w:val="single" w:sz="4" w:space="0" w:color="auto"/>
        </w:tblBorders>
        <w:tblLook w:val="0620" w:firstRow="1" w:lastRow="0" w:firstColumn="0" w:lastColumn="0" w:noHBand="1" w:noVBand="1"/>
      </w:tblPr>
      <w:tblGrid>
        <w:gridCol w:w="1604"/>
        <w:gridCol w:w="1088"/>
        <w:gridCol w:w="1844"/>
        <w:gridCol w:w="1966"/>
        <w:gridCol w:w="1819"/>
        <w:gridCol w:w="2027"/>
      </w:tblGrid>
      <w:tr w:rsidR="001D24BF" w:rsidRPr="008267D0" w14:paraId="221A8909" w14:textId="77777777" w:rsidTr="004216CB">
        <w:trPr>
          <w:trHeight w:val="516"/>
        </w:trPr>
        <w:tc>
          <w:tcPr>
            <w:tcW w:w="1604" w:type="dxa"/>
            <w:tcBorders>
              <w:top w:val="single" w:sz="4" w:space="0" w:color="auto"/>
              <w:bottom w:val="single" w:sz="4" w:space="0" w:color="auto"/>
            </w:tcBorders>
            <w:hideMark/>
          </w:tcPr>
          <w:p w14:paraId="15449BC3" w14:textId="77777777" w:rsidR="001D24BF" w:rsidRPr="008267D0" w:rsidRDefault="001D24BF" w:rsidP="001D24BF">
            <w:pPr>
              <w:pStyle w:val="Body"/>
              <w:spacing w:after="0"/>
              <w:rPr>
                <w:rFonts w:ascii="Arial" w:hAnsi="Arial" w:cs="Arial"/>
                <w:b/>
                <w:bCs/>
                <w:lang w:val="fr-FR"/>
              </w:rPr>
            </w:pPr>
            <w:r w:rsidRPr="008267D0">
              <w:rPr>
                <w:rFonts w:ascii="Arial" w:hAnsi="Arial" w:cs="Arial"/>
                <w:b/>
                <w:bCs/>
                <w:lang w:val="fr-FR"/>
              </w:rPr>
              <w:t xml:space="preserve">Groups     </w:t>
            </w:r>
          </w:p>
        </w:tc>
        <w:tc>
          <w:tcPr>
            <w:tcW w:w="1088" w:type="dxa"/>
            <w:tcBorders>
              <w:top w:val="single" w:sz="4" w:space="0" w:color="auto"/>
              <w:bottom w:val="single" w:sz="4" w:space="0" w:color="auto"/>
            </w:tcBorders>
            <w:hideMark/>
          </w:tcPr>
          <w:p w14:paraId="041849B5" w14:textId="77777777" w:rsidR="001D24BF" w:rsidRPr="008267D0" w:rsidRDefault="001D24BF" w:rsidP="001D24BF">
            <w:pPr>
              <w:pStyle w:val="Body"/>
              <w:spacing w:after="0"/>
              <w:rPr>
                <w:rFonts w:ascii="Arial" w:hAnsi="Arial" w:cs="Arial"/>
                <w:b/>
                <w:bCs/>
                <w:lang w:val="fr-FR"/>
              </w:rPr>
            </w:pPr>
            <w:r w:rsidRPr="008267D0">
              <w:rPr>
                <w:rFonts w:ascii="Arial" w:hAnsi="Arial" w:cs="Arial"/>
                <w:b/>
                <w:bCs/>
                <w:lang w:val="fr-FR"/>
              </w:rPr>
              <w:t>Doses (mg/kg)</w:t>
            </w:r>
          </w:p>
        </w:tc>
        <w:tc>
          <w:tcPr>
            <w:tcW w:w="1844" w:type="dxa"/>
            <w:tcBorders>
              <w:top w:val="single" w:sz="4" w:space="0" w:color="auto"/>
              <w:bottom w:val="single" w:sz="4" w:space="0" w:color="auto"/>
            </w:tcBorders>
            <w:hideMark/>
          </w:tcPr>
          <w:p w14:paraId="32D04B45" w14:textId="77777777" w:rsidR="001D24BF" w:rsidRPr="008267D0" w:rsidRDefault="001D24BF" w:rsidP="001D24BF">
            <w:pPr>
              <w:pStyle w:val="Body"/>
              <w:spacing w:after="0"/>
              <w:rPr>
                <w:rFonts w:ascii="Arial" w:hAnsi="Arial" w:cs="Arial"/>
                <w:b/>
                <w:bCs/>
                <w:lang w:val="fr-FR"/>
              </w:rPr>
            </w:pPr>
            <w:proofErr w:type="spellStart"/>
            <w:r w:rsidRPr="008267D0">
              <w:rPr>
                <w:rFonts w:ascii="Arial" w:hAnsi="Arial" w:cs="Arial"/>
                <w:b/>
                <w:bCs/>
                <w:lang w:val="fr-FR"/>
              </w:rPr>
              <w:t>Number</w:t>
            </w:r>
            <w:proofErr w:type="spellEnd"/>
            <w:r w:rsidRPr="008267D0">
              <w:rPr>
                <w:rFonts w:ascii="Arial" w:hAnsi="Arial" w:cs="Arial"/>
                <w:b/>
                <w:bCs/>
                <w:lang w:val="fr-FR"/>
              </w:rPr>
              <w:t xml:space="preserve"> of "</w:t>
            </w:r>
            <w:proofErr w:type="spellStart"/>
            <w:r w:rsidRPr="008267D0">
              <w:rPr>
                <w:rFonts w:ascii="Arial" w:hAnsi="Arial" w:cs="Arial"/>
                <w:b/>
                <w:bCs/>
                <w:lang w:val="fr-FR"/>
              </w:rPr>
              <w:t>rearing</w:t>
            </w:r>
            <w:proofErr w:type="spellEnd"/>
            <w:r w:rsidRPr="008267D0">
              <w:rPr>
                <w:rFonts w:ascii="Arial" w:hAnsi="Arial" w:cs="Arial"/>
                <w:b/>
                <w:bCs/>
                <w:lang w:val="fr-FR"/>
              </w:rPr>
              <w:t>"</w:t>
            </w:r>
          </w:p>
        </w:tc>
        <w:tc>
          <w:tcPr>
            <w:tcW w:w="1966" w:type="dxa"/>
            <w:tcBorders>
              <w:top w:val="single" w:sz="4" w:space="0" w:color="auto"/>
              <w:bottom w:val="single" w:sz="4" w:space="0" w:color="auto"/>
            </w:tcBorders>
            <w:hideMark/>
          </w:tcPr>
          <w:p w14:paraId="7BE4577A" w14:textId="77777777" w:rsidR="001D24BF" w:rsidRPr="008267D0" w:rsidRDefault="001D24BF" w:rsidP="001D24BF">
            <w:pPr>
              <w:pStyle w:val="Body"/>
              <w:spacing w:after="0"/>
              <w:rPr>
                <w:rFonts w:ascii="Arial" w:hAnsi="Arial" w:cs="Arial"/>
                <w:b/>
                <w:bCs/>
                <w:lang w:val="fr-FR"/>
              </w:rPr>
            </w:pPr>
            <w:proofErr w:type="spellStart"/>
            <w:r w:rsidRPr="008267D0">
              <w:rPr>
                <w:rFonts w:ascii="Arial" w:hAnsi="Arial" w:cs="Arial"/>
                <w:b/>
                <w:bCs/>
                <w:lang w:val="fr-FR"/>
              </w:rPr>
              <w:t>Number</w:t>
            </w:r>
            <w:proofErr w:type="spellEnd"/>
            <w:r w:rsidRPr="008267D0">
              <w:rPr>
                <w:rFonts w:ascii="Arial" w:hAnsi="Arial" w:cs="Arial"/>
                <w:b/>
                <w:bCs/>
                <w:lang w:val="fr-FR"/>
              </w:rPr>
              <w:t xml:space="preserve"> of "</w:t>
            </w:r>
            <w:proofErr w:type="spellStart"/>
            <w:r w:rsidRPr="008267D0">
              <w:rPr>
                <w:rFonts w:ascii="Arial" w:hAnsi="Arial" w:cs="Arial"/>
                <w:b/>
                <w:bCs/>
                <w:lang w:val="fr-FR"/>
              </w:rPr>
              <w:t>crossing</w:t>
            </w:r>
            <w:proofErr w:type="spellEnd"/>
            <w:r w:rsidRPr="008267D0">
              <w:rPr>
                <w:rFonts w:ascii="Arial" w:hAnsi="Arial" w:cs="Arial"/>
                <w:b/>
                <w:bCs/>
                <w:lang w:val="fr-FR"/>
              </w:rPr>
              <w:t>"</w:t>
            </w:r>
          </w:p>
        </w:tc>
        <w:tc>
          <w:tcPr>
            <w:tcW w:w="1819" w:type="dxa"/>
            <w:tcBorders>
              <w:top w:val="single" w:sz="4" w:space="0" w:color="auto"/>
              <w:bottom w:val="single" w:sz="4" w:space="0" w:color="auto"/>
            </w:tcBorders>
            <w:hideMark/>
          </w:tcPr>
          <w:p w14:paraId="01FCD31E" w14:textId="77777777" w:rsidR="001D24BF" w:rsidRPr="008267D0" w:rsidRDefault="001D24BF" w:rsidP="001D24BF">
            <w:pPr>
              <w:pStyle w:val="Body"/>
              <w:spacing w:after="0"/>
              <w:rPr>
                <w:rFonts w:ascii="Arial" w:hAnsi="Arial" w:cs="Arial"/>
                <w:b/>
                <w:bCs/>
                <w:lang w:val="fr-FR"/>
              </w:rPr>
            </w:pPr>
            <w:proofErr w:type="spellStart"/>
            <w:r w:rsidRPr="008267D0">
              <w:rPr>
                <w:rFonts w:ascii="Arial" w:hAnsi="Arial" w:cs="Arial"/>
                <w:b/>
                <w:bCs/>
                <w:lang w:val="fr-FR"/>
              </w:rPr>
              <w:t>Number</w:t>
            </w:r>
            <w:proofErr w:type="spellEnd"/>
            <w:r w:rsidRPr="008267D0">
              <w:rPr>
                <w:rFonts w:ascii="Arial" w:hAnsi="Arial" w:cs="Arial"/>
                <w:b/>
                <w:bCs/>
                <w:lang w:val="fr-FR"/>
              </w:rPr>
              <w:t xml:space="preserve"> of "grooming                                                        </w:t>
            </w:r>
          </w:p>
        </w:tc>
        <w:tc>
          <w:tcPr>
            <w:tcW w:w="2027" w:type="dxa"/>
            <w:tcBorders>
              <w:top w:val="single" w:sz="4" w:space="0" w:color="auto"/>
              <w:bottom w:val="single" w:sz="4" w:space="0" w:color="auto"/>
            </w:tcBorders>
            <w:hideMark/>
          </w:tcPr>
          <w:p w14:paraId="5B3BD9AC" w14:textId="77777777" w:rsidR="001D24BF" w:rsidRPr="008267D0" w:rsidRDefault="001D24BF" w:rsidP="001D24BF">
            <w:pPr>
              <w:pStyle w:val="Body"/>
              <w:spacing w:after="0"/>
              <w:rPr>
                <w:rFonts w:ascii="Arial" w:hAnsi="Arial" w:cs="Arial"/>
                <w:b/>
                <w:bCs/>
              </w:rPr>
            </w:pPr>
            <w:r w:rsidRPr="008267D0">
              <w:rPr>
                <w:rFonts w:ascii="Arial" w:hAnsi="Arial" w:cs="Arial"/>
                <w:b/>
                <w:bCs/>
              </w:rPr>
              <w:t>Time spent in the center (s)</w:t>
            </w:r>
          </w:p>
        </w:tc>
      </w:tr>
      <w:tr w:rsidR="001D24BF" w:rsidRPr="008267D0" w14:paraId="027137BA" w14:textId="77777777" w:rsidTr="004216CB">
        <w:trPr>
          <w:trHeight w:val="119"/>
        </w:trPr>
        <w:tc>
          <w:tcPr>
            <w:tcW w:w="1604" w:type="dxa"/>
            <w:tcBorders>
              <w:top w:val="single" w:sz="4" w:space="0" w:color="auto"/>
            </w:tcBorders>
            <w:hideMark/>
          </w:tcPr>
          <w:p w14:paraId="6F07D7D0"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DW+DW</w:t>
            </w:r>
          </w:p>
        </w:tc>
        <w:tc>
          <w:tcPr>
            <w:tcW w:w="1088" w:type="dxa"/>
            <w:tcBorders>
              <w:top w:val="single" w:sz="4" w:space="0" w:color="auto"/>
            </w:tcBorders>
            <w:hideMark/>
          </w:tcPr>
          <w:p w14:paraId="1AEF3396"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w:t>
            </w:r>
          </w:p>
        </w:tc>
        <w:tc>
          <w:tcPr>
            <w:tcW w:w="1844" w:type="dxa"/>
            <w:tcBorders>
              <w:top w:val="single" w:sz="4" w:space="0" w:color="auto"/>
            </w:tcBorders>
            <w:hideMark/>
          </w:tcPr>
          <w:p w14:paraId="659AC00E" w14:textId="72C5F36C" w:rsidR="001D24BF" w:rsidRPr="008267D0" w:rsidRDefault="001D24BF" w:rsidP="001D24BF">
            <w:pPr>
              <w:pStyle w:val="Body"/>
              <w:spacing w:after="0"/>
              <w:rPr>
                <w:rFonts w:ascii="Arial" w:hAnsi="Arial" w:cs="Arial"/>
                <w:lang w:val="fr-FR"/>
              </w:rPr>
            </w:pPr>
            <w:r w:rsidRPr="008267D0">
              <w:rPr>
                <w:rFonts w:ascii="Arial" w:hAnsi="Arial" w:cs="Arial"/>
                <w:bCs/>
              </w:rPr>
              <w:t>8</w:t>
            </w:r>
            <w:r w:rsidR="00EE2DD6">
              <w:rPr>
                <w:rFonts w:ascii="Arial" w:hAnsi="Arial" w:cs="Arial"/>
                <w:bCs/>
              </w:rPr>
              <w:t>.</w:t>
            </w:r>
            <w:r w:rsidRPr="008267D0">
              <w:rPr>
                <w:rFonts w:ascii="Arial" w:hAnsi="Arial" w:cs="Arial"/>
                <w:bCs/>
              </w:rPr>
              <w:t>16 ±</w:t>
            </w:r>
            <w:r w:rsidR="00EE2DD6">
              <w:rPr>
                <w:rFonts w:ascii="Arial" w:hAnsi="Arial" w:cs="Arial"/>
                <w:bCs/>
              </w:rPr>
              <w:t xml:space="preserve"> </w:t>
            </w:r>
            <w:r w:rsidRPr="008267D0">
              <w:rPr>
                <w:rFonts w:ascii="Arial" w:hAnsi="Arial" w:cs="Arial"/>
                <w:bCs/>
              </w:rPr>
              <w:t>1</w:t>
            </w:r>
            <w:r w:rsidR="00EE2DD6">
              <w:rPr>
                <w:rFonts w:ascii="Arial" w:hAnsi="Arial" w:cs="Arial"/>
                <w:bCs/>
              </w:rPr>
              <w:t>.</w:t>
            </w:r>
            <w:r w:rsidRPr="008267D0">
              <w:rPr>
                <w:rFonts w:ascii="Arial" w:hAnsi="Arial" w:cs="Arial"/>
                <w:bCs/>
              </w:rPr>
              <w:t>15</w:t>
            </w:r>
          </w:p>
        </w:tc>
        <w:tc>
          <w:tcPr>
            <w:tcW w:w="1966" w:type="dxa"/>
            <w:tcBorders>
              <w:top w:val="single" w:sz="4" w:space="0" w:color="auto"/>
            </w:tcBorders>
            <w:hideMark/>
          </w:tcPr>
          <w:p w14:paraId="7CC6CC9F" w14:textId="3009227A" w:rsidR="001D24BF" w:rsidRPr="008267D0" w:rsidRDefault="001D24BF" w:rsidP="001D24BF">
            <w:pPr>
              <w:pStyle w:val="Body"/>
              <w:spacing w:after="0"/>
              <w:rPr>
                <w:rFonts w:ascii="Arial" w:hAnsi="Arial" w:cs="Arial"/>
                <w:lang w:val="fr-FR"/>
              </w:rPr>
            </w:pPr>
            <w:r w:rsidRPr="008267D0">
              <w:rPr>
                <w:rFonts w:ascii="Arial" w:hAnsi="Arial" w:cs="Arial"/>
                <w:bCs/>
                <w:lang w:val="fr-FR"/>
              </w:rPr>
              <w:t>10,33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11</w:t>
            </w:r>
          </w:p>
        </w:tc>
        <w:tc>
          <w:tcPr>
            <w:tcW w:w="1819" w:type="dxa"/>
            <w:tcBorders>
              <w:top w:val="single" w:sz="4" w:space="0" w:color="auto"/>
            </w:tcBorders>
            <w:hideMark/>
          </w:tcPr>
          <w:p w14:paraId="71A4F368" w14:textId="30082152" w:rsidR="001D24BF" w:rsidRPr="008267D0" w:rsidRDefault="001D24BF" w:rsidP="001D24BF">
            <w:pPr>
              <w:pStyle w:val="Body"/>
              <w:spacing w:after="0"/>
              <w:rPr>
                <w:rFonts w:ascii="Arial" w:hAnsi="Arial" w:cs="Arial"/>
                <w:lang w:val="fr-FR"/>
              </w:rPr>
            </w:pPr>
            <w:r w:rsidRPr="008267D0">
              <w:rPr>
                <w:rFonts w:ascii="Arial" w:hAnsi="Arial" w:cs="Arial"/>
                <w:bCs/>
              </w:rPr>
              <w:t>2</w:t>
            </w:r>
            <w:r w:rsidR="00EE2DD6">
              <w:rPr>
                <w:rFonts w:ascii="Arial" w:hAnsi="Arial" w:cs="Arial"/>
                <w:bCs/>
              </w:rPr>
              <w:t>.</w:t>
            </w:r>
            <w:r w:rsidRPr="008267D0">
              <w:rPr>
                <w:rFonts w:ascii="Arial" w:hAnsi="Arial" w:cs="Arial"/>
                <w:bCs/>
              </w:rPr>
              <w:t>50 ± 0</w:t>
            </w:r>
            <w:r w:rsidR="00EE2DD6">
              <w:rPr>
                <w:rFonts w:ascii="Arial" w:hAnsi="Arial" w:cs="Arial"/>
                <w:bCs/>
              </w:rPr>
              <w:t>.</w:t>
            </w:r>
            <w:r w:rsidRPr="008267D0">
              <w:rPr>
                <w:rFonts w:ascii="Arial" w:hAnsi="Arial" w:cs="Arial"/>
                <w:bCs/>
              </w:rPr>
              <w:t>83</w:t>
            </w:r>
          </w:p>
        </w:tc>
        <w:tc>
          <w:tcPr>
            <w:tcW w:w="2027" w:type="dxa"/>
            <w:tcBorders>
              <w:top w:val="single" w:sz="4" w:space="0" w:color="auto"/>
            </w:tcBorders>
            <w:hideMark/>
          </w:tcPr>
          <w:p w14:paraId="601AE287" w14:textId="22BD1206" w:rsidR="001D24BF" w:rsidRPr="008267D0" w:rsidRDefault="001D24BF" w:rsidP="001D24BF">
            <w:pPr>
              <w:pStyle w:val="Body"/>
              <w:spacing w:after="0"/>
              <w:rPr>
                <w:rFonts w:ascii="Arial" w:hAnsi="Arial" w:cs="Arial"/>
                <w:lang w:val="fr-FR"/>
              </w:rPr>
            </w:pPr>
            <w:r w:rsidRPr="008267D0">
              <w:rPr>
                <w:rFonts w:ascii="Arial" w:hAnsi="Arial" w:cs="Arial"/>
                <w:bCs/>
                <w:lang w:val="de-DE"/>
              </w:rPr>
              <w:t>4</w:t>
            </w:r>
            <w:r w:rsidR="00EE2DD6">
              <w:rPr>
                <w:rFonts w:ascii="Arial" w:hAnsi="Arial" w:cs="Arial"/>
                <w:bCs/>
                <w:lang w:val="de-DE"/>
              </w:rPr>
              <w:t>.</w:t>
            </w:r>
            <w:r w:rsidRPr="008267D0">
              <w:rPr>
                <w:rFonts w:ascii="Arial" w:hAnsi="Arial" w:cs="Arial"/>
                <w:bCs/>
                <w:lang w:val="de-DE"/>
              </w:rPr>
              <w:t>83 ± 0</w:t>
            </w:r>
            <w:r w:rsidR="00EE2DD6">
              <w:rPr>
                <w:rFonts w:ascii="Arial" w:hAnsi="Arial" w:cs="Arial"/>
                <w:bCs/>
                <w:lang w:val="de-DE"/>
              </w:rPr>
              <w:t>.</w:t>
            </w:r>
            <w:r w:rsidRPr="008267D0">
              <w:rPr>
                <w:rFonts w:ascii="Arial" w:hAnsi="Arial" w:cs="Arial"/>
                <w:bCs/>
                <w:lang w:val="de-DE"/>
              </w:rPr>
              <w:t>89</w:t>
            </w:r>
          </w:p>
        </w:tc>
      </w:tr>
      <w:tr w:rsidR="001D24BF" w:rsidRPr="008267D0" w14:paraId="29CCBF28" w14:textId="77777777" w:rsidTr="004216CB">
        <w:trPr>
          <w:trHeight w:val="65"/>
        </w:trPr>
        <w:tc>
          <w:tcPr>
            <w:tcW w:w="1604" w:type="dxa"/>
            <w:hideMark/>
          </w:tcPr>
          <w:p w14:paraId="4C739683" w14:textId="77777777" w:rsidR="001D24BF" w:rsidRPr="008267D0" w:rsidRDefault="001D24BF" w:rsidP="001D24BF">
            <w:pPr>
              <w:pStyle w:val="Body"/>
              <w:spacing w:after="0"/>
              <w:rPr>
                <w:rFonts w:ascii="Arial" w:hAnsi="Arial" w:cs="Arial"/>
                <w:bCs/>
                <w:lang w:val="fr-FR"/>
              </w:rPr>
            </w:pPr>
            <w:proofErr w:type="spellStart"/>
            <w:r w:rsidRPr="008267D0">
              <w:rPr>
                <w:rFonts w:ascii="Arial" w:hAnsi="Arial" w:cs="Arial"/>
                <w:bCs/>
                <w:lang w:val="fr-FR"/>
              </w:rPr>
              <w:t>DW+Pilo</w:t>
            </w:r>
            <w:proofErr w:type="spellEnd"/>
          </w:p>
        </w:tc>
        <w:tc>
          <w:tcPr>
            <w:tcW w:w="1088" w:type="dxa"/>
            <w:hideMark/>
          </w:tcPr>
          <w:p w14:paraId="0962056C"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w:t>
            </w:r>
          </w:p>
        </w:tc>
        <w:tc>
          <w:tcPr>
            <w:tcW w:w="1844" w:type="dxa"/>
            <w:hideMark/>
          </w:tcPr>
          <w:p w14:paraId="1076C4F2" w14:textId="71F58396" w:rsidR="001D24BF" w:rsidRPr="008267D0" w:rsidRDefault="001D24BF" w:rsidP="001D24BF">
            <w:pPr>
              <w:pStyle w:val="Body"/>
              <w:spacing w:after="0"/>
              <w:rPr>
                <w:rFonts w:ascii="Arial" w:hAnsi="Arial" w:cs="Arial"/>
                <w:lang w:val="fr-FR"/>
              </w:rPr>
            </w:pPr>
            <w:r w:rsidRPr="008267D0">
              <w:rPr>
                <w:rFonts w:ascii="Arial" w:hAnsi="Arial" w:cs="Arial"/>
                <w:bCs/>
                <w:lang w:val="fr-FR"/>
              </w:rPr>
              <w:t>11</w:t>
            </w:r>
            <w:r w:rsidR="00EE2DD6">
              <w:rPr>
                <w:rFonts w:ascii="Arial" w:hAnsi="Arial" w:cs="Arial"/>
                <w:bCs/>
                <w:lang w:val="fr-FR"/>
              </w:rPr>
              <w:t>.</w:t>
            </w:r>
            <w:r w:rsidRPr="008267D0">
              <w:rPr>
                <w:rFonts w:ascii="Arial" w:hAnsi="Arial" w:cs="Arial"/>
                <w:bCs/>
                <w:lang w:val="fr-FR"/>
              </w:rPr>
              <w:t>50 ±</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67 </w:t>
            </w:r>
            <w:r w:rsidRPr="008267D0">
              <w:rPr>
                <w:rFonts w:ascii="Arial" w:hAnsi="Arial" w:cs="Arial"/>
                <w:bCs/>
                <w:vertAlign w:val="superscript"/>
                <w:lang w:val="fr-FR"/>
              </w:rPr>
              <w:t>£££</w:t>
            </w:r>
          </w:p>
        </w:tc>
        <w:tc>
          <w:tcPr>
            <w:tcW w:w="1966" w:type="dxa"/>
            <w:hideMark/>
          </w:tcPr>
          <w:p w14:paraId="376E410C" w14:textId="5AF5B235" w:rsidR="001D24BF" w:rsidRPr="008267D0" w:rsidRDefault="001D24BF" w:rsidP="001D24BF">
            <w:pPr>
              <w:pStyle w:val="Body"/>
              <w:spacing w:after="0"/>
              <w:rPr>
                <w:rFonts w:ascii="Arial" w:hAnsi="Arial" w:cs="Arial"/>
                <w:lang w:val="fr-FR"/>
              </w:rPr>
            </w:pPr>
            <w:r w:rsidRPr="008267D0">
              <w:rPr>
                <w:rFonts w:ascii="Arial" w:hAnsi="Arial" w:cs="Arial"/>
                <w:bCs/>
                <w:lang w:val="fr-FR"/>
              </w:rPr>
              <w:t>6</w:t>
            </w:r>
            <w:r w:rsidR="00EE2DD6">
              <w:rPr>
                <w:rFonts w:ascii="Arial" w:hAnsi="Arial" w:cs="Arial"/>
                <w:bCs/>
                <w:lang w:val="fr-FR"/>
              </w:rPr>
              <w:t>.</w:t>
            </w:r>
            <w:r w:rsidRPr="008267D0">
              <w:rPr>
                <w:rFonts w:ascii="Arial" w:hAnsi="Arial" w:cs="Arial"/>
                <w:bCs/>
                <w:lang w:val="fr-FR"/>
              </w:rPr>
              <w:t>5</w:t>
            </w:r>
            <w:r w:rsidR="00EE2DD6">
              <w:rPr>
                <w:rFonts w:ascii="Arial" w:hAnsi="Arial" w:cs="Arial"/>
                <w:bCs/>
                <w:lang w:val="fr-FR"/>
              </w:rPr>
              <w:t xml:space="preserve">0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17 </w:t>
            </w:r>
          </w:p>
        </w:tc>
        <w:tc>
          <w:tcPr>
            <w:tcW w:w="1819" w:type="dxa"/>
            <w:hideMark/>
          </w:tcPr>
          <w:p w14:paraId="1BC227A1" w14:textId="5AC00531" w:rsidR="001D24BF" w:rsidRPr="008267D0" w:rsidRDefault="001D24BF" w:rsidP="001D24BF">
            <w:pPr>
              <w:pStyle w:val="Body"/>
              <w:spacing w:after="0"/>
              <w:rPr>
                <w:rFonts w:ascii="Arial" w:hAnsi="Arial" w:cs="Arial"/>
                <w:lang w:val="fr-FR"/>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00 ± 0</w:t>
            </w:r>
            <w:r w:rsidR="00EE2DD6">
              <w:rPr>
                <w:rFonts w:ascii="Arial" w:hAnsi="Arial" w:cs="Arial"/>
                <w:bCs/>
                <w:lang w:val="fr-FR"/>
              </w:rPr>
              <w:t>.</w:t>
            </w:r>
            <w:r w:rsidRPr="008267D0">
              <w:rPr>
                <w:rFonts w:ascii="Arial" w:hAnsi="Arial" w:cs="Arial"/>
                <w:bCs/>
                <w:lang w:val="fr-FR"/>
              </w:rPr>
              <w:t>33</w:t>
            </w:r>
          </w:p>
        </w:tc>
        <w:tc>
          <w:tcPr>
            <w:tcW w:w="2027" w:type="dxa"/>
            <w:hideMark/>
          </w:tcPr>
          <w:p w14:paraId="0276FCCC" w14:textId="1D5844EF" w:rsidR="001D24BF" w:rsidRPr="008267D0" w:rsidRDefault="001D24BF" w:rsidP="001D24BF">
            <w:pPr>
              <w:pStyle w:val="Body"/>
              <w:spacing w:after="0"/>
              <w:rPr>
                <w:rFonts w:ascii="Arial" w:hAnsi="Arial" w:cs="Arial"/>
                <w:bCs/>
                <w:vertAlign w:val="superscript"/>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50 ± 0</w:t>
            </w:r>
            <w:r w:rsidR="00EE2DD6">
              <w:rPr>
                <w:rFonts w:ascii="Arial" w:hAnsi="Arial" w:cs="Arial"/>
                <w:bCs/>
                <w:lang w:val="fr-FR"/>
              </w:rPr>
              <w:t>.</w:t>
            </w:r>
            <w:r w:rsidRPr="008267D0">
              <w:rPr>
                <w:rFonts w:ascii="Arial" w:hAnsi="Arial" w:cs="Arial"/>
                <w:bCs/>
                <w:lang w:val="fr-FR"/>
              </w:rPr>
              <w:t xml:space="preserve">5 </w:t>
            </w:r>
            <w:r w:rsidRPr="008267D0">
              <w:rPr>
                <w:rFonts w:ascii="Arial" w:hAnsi="Arial" w:cs="Arial"/>
                <w:bCs/>
                <w:vertAlign w:val="superscript"/>
                <w:lang w:val="fr-FR"/>
              </w:rPr>
              <w:t>£</w:t>
            </w:r>
          </w:p>
        </w:tc>
      </w:tr>
      <w:tr w:rsidR="001D24BF" w:rsidRPr="008267D0" w14:paraId="7EFCB9E7" w14:textId="77777777" w:rsidTr="004216CB">
        <w:trPr>
          <w:trHeight w:val="255"/>
        </w:trPr>
        <w:tc>
          <w:tcPr>
            <w:tcW w:w="1604" w:type="dxa"/>
            <w:hideMark/>
          </w:tcPr>
          <w:p w14:paraId="2ECE18FB"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Cb28+Pilo</w:t>
            </w:r>
          </w:p>
        </w:tc>
        <w:tc>
          <w:tcPr>
            <w:tcW w:w="1088" w:type="dxa"/>
            <w:hideMark/>
          </w:tcPr>
          <w:p w14:paraId="33A12F8C"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28</w:t>
            </w:r>
          </w:p>
        </w:tc>
        <w:tc>
          <w:tcPr>
            <w:tcW w:w="1844" w:type="dxa"/>
            <w:hideMark/>
          </w:tcPr>
          <w:p w14:paraId="49A9E9F2" w14:textId="73A0915D" w:rsidR="001D24BF" w:rsidRPr="008267D0" w:rsidRDefault="001D24BF" w:rsidP="001D24BF">
            <w:pPr>
              <w:pStyle w:val="Body"/>
              <w:spacing w:after="0"/>
              <w:rPr>
                <w:rFonts w:ascii="Arial" w:hAnsi="Arial" w:cs="Arial"/>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83 ±</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55 </w:t>
            </w:r>
            <w:r w:rsidRPr="008267D0">
              <w:rPr>
                <w:rFonts w:ascii="Arial" w:hAnsi="Arial" w:cs="Arial"/>
                <w:bCs/>
                <w:vertAlign w:val="superscript"/>
                <w:lang w:val="fr-FR"/>
              </w:rPr>
              <w:t>£££***</w:t>
            </w:r>
          </w:p>
        </w:tc>
        <w:tc>
          <w:tcPr>
            <w:tcW w:w="1966" w:type="dxa"/>
            <w:hideMark/>
          </w:tcPr>
          <w:p w14:paraId="1680CBD2" w14:textId="29D2D4B0" w:rsidR="001D24BF" w:rsidRPr="008267D0" w:rsidRDefault="001D24BF" w:rsidP="001D24BF">
            <w:pPr>
              <w:pStyle w:val="Body"/>
              <w:spacing w:after="0"/>
              <w:rPr>
                <w:rFonts w:ascii="Arial" w:hAnsi="Arial" w:cs="Arial"/>
                <w:lang w:val="fr-FR"/>
              </w:rPr>
            </w:pPr>
            <w:r w:rsidRPr="008267D0">
              <w:rPr>
                <w:rFonts w:ascii="Arial" w:hAnsi="Arial" w:cs="Arial"/>
                <w:bCs/>
                <w:lang w:val="fr-FR"/>
              </w:rPr>
              <w:t>16,83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89 </w:t>
            </w:r>
            <w:r w:rsidRPr="008267D0">
              <w:rPr>
                <w:rFonts w:ascii="Arial" w:hAnsi="Arial" w:cs="Arial"/>
                <w:bCs/>
                <w:vertAlign w:val="superscript"/>
                <w:lang w:val="fr-FR"/>
              </w:rPr>
              <w:t>***</w:t>
            </w:r>
          </w:p>
        </w:tc>
        <w:tc>
          <w:tcPr>
            <w:tcW w:w="1819" w:type="dxa"/>
            <w:hideMark/>
          </w:tcPr>
          <w:p w14:paraId="66180822" w14:textId="537E597B" w:rsidR="001D24BF" w:rsidRPr="008267D0" w:rsidRDefault="001D24BF" w:rsidP="001D24BF">
            <w:pPr>
              <w:pStyle w:val="Body"/>
              <w:spacing w:after="0"/>
              <w:rPr>
                <w:rFonts w:ascii="Arial" w:hAnsi="Arial" w:cs="Arial"/>
                <w:vertAlign w:val="superscript"/>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67 ± 0</w:t>
            </w:r>
            <w:r w:rsidR="00EE2DD6">
              <w:rPr>
                <w:rFonts w:ascii="Arial" w:hAnsi="Arial" w:cs="Arial"/>
                <w:bCs/>
                <w:lang w:val="fr-FR"/>
              </w:rPr>
              <w:t>.</w:t>
            </w:r>
            <w:r w:rsidRPr="008267D0">
              <w:rPr>
                <w:rFonts w:ascii="Arial" w:hAnsi="Arial" w:cs="Arial"/>
                <w:bCs/>
                <w:lang w:val="fr-FR"/>
              </w:rPr>
              <w:t>44</w:t>
            </w:r>
            <w:r w:rsidRPr="008267D0">
              <w:rPr>
                <w:rFonts w:ascii="Arial" w:hAnsi="Arial" w:cs="Arial"/>
                <w:bCs/>
                <w:vertAlign w:val="superscript"/>
                <w:lang w:val="fr-FR"/>
              </w:rPr>
              <w:t>*</w:t>
            </w:r>
          </w:p>
        </w:tc>
        <w:tc>
          <w:tcPr>
            <w:tcW w:w="2027" w:type="dxa"/>
            <w:hideMark/>
          </w:tcPr>
          <w:p w14:paraId="42FD002E" w14:textId="57BD394A" w:rsidR="001D24BF" w:rsidRPr="008267D0" w:rsidRDefault="001D24BF" w:rsidP="001D24BF">
            <w:pPr>
              <w:pStyle w:val="Body"/>
              <w:spacing w:after="0"/>
              <w:rPr>
                <w:rFonts w:ascii="Arial" w:hAnsi="Arial" w:cs="Arial"/>
                <w:lang w:val="fr-FR"/>
              </w:rPr>
            </w:pPr>
            <w:r w:rsidRPr="008267D0">
              <w:rPr>
                <w:rFonts w:ascii="Arial" w:hAnsi="Arial" w:cs="Arial"/>
                <w:bCs/>
                <w:lang w:val="fr-FR"/>
              </w:rPr>
              <w:t>4</w:t>
            </w:r>
            <w:r w:rsidR="00EE2DD6">
              <w:rPr>
                <w:rFonts w:ascii="Arial" w:hAnsi="Arial" w:cs="Arial"/>
                <w:bCs/>
                <w:lang w:val="fr-FR"/>
              </w:rPr>
              <w:t>.</w:t>
            </w:r>
            <w:r w:rsidRPr="008267D0">
              <w:rPr>
                <w:rFonts w:ascii="Arial" w:hAnsi="Arial" w:cs="Arial"/>
                <w:bCs/>
                <w:lang w:val="fr-FR"/>
              </w:rPr>
              <w:t>50 ± 0</w:t>
            </w:r>
            <w:r w:rsidR="00EE2DD6">
              <w:rPr>
                <w:rFonts w:ascii="Arial" w:hAnsi="Arial" w:cs="Arial"/>
                <w:bCs/>
                <w:lang w:val="fr-FR"/>
              </w:rPr>
              <w:t>.</w:t>
            </w:r>
            <w:r w:rsidRPr="008267D0">
              <w:rPr>
                <w:rFonts w:ascii="Arial" w:hAnsi="Arial" w:cs="Arial"/>
                <w:bCs/>
                <w:lang w:val="fr-FR"/>
              </w:rPr>
              <w:t xml:space="preserve">83 </w:t>
            </w:r>
          </w:p>
        </w:tc>
      </w:tr>
      <w:tr w:rsidR="001D24BF" w:rsidRPr="008267D0" w14:paraId="712D70BD" w14:textId="77777777" w:rsidTr="004216CB">
        <w:trPr>
          <w:trHeight w:val="247"/>
        </w:trPr>
        <w:tc>
          <w:tcPr>
            <w:tcW w:w="1604" w:type="dxa"/>
            <w:hideMark/>
          </w:tcPr>
          <w:p w14:paraId="4074C0EA"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Cb70+Pilo</w:t>
            </w:r>
          </w:p>
        </w:tc>
        <w:tc>
          <w:tcPr>
            <w:tcW w:w="1088" w:type="dxa"/>
            <w:hideMark/>
          </w:tcPr>
          <w:p w14:paraId="5A199D5C"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70</w:t>
            </w:r>
          </w:p>
        </w:tc>
        <w:tc>
          <w:tcPr>
            <w:tcW w:w="1844" w:type="dxa"/>
            <w:hideMark/>
          </w:tcPr>
          <w:p w14:paraId="23B6AFC9" w14:textId="2F185FA9" w:rsidR="001D24BF" w:rsidRPr="008267D0" w:rsidRDefault="001D24BF" w:rsidP="001D24BF">
            <w:pPr>
              <w:pStyle w:val="Body"/>
              <w:spacing w:after="0"/>
              <w:rPr>
                <w:rFonts w:ascii="Arial" w:hAnsi="Arial" w:cs="Arial"/>
                <w:lang w:val="fr-FR"/>
              </w:rPr>
            </w:pPr>
            <w:r w:rsidRPr="008267D0">
              <w:rPr>
                <w:rFonts w:ascii="Arial" w:hAnsi="Arial" w:cs="Arial"/>
                <w:bCs/>
              </w:rPr>
              <w:t>1</w:t>
            </w:r>
            <w:r w:rsidR="00EE2DD6">
              <w:rPr>
                <w:rFonts w:ascii="Arial" w:hAnsi="Arial" w:cs="Arial"/>
                <w:bCs/>
              </w:rPr>
              <w:t>.</w:t>
            </w:r>
            <w:r w:rsidRPr="008267D0">
              <w:rPr>
                <w:rFonts w:ascii="Arial" w:hAnsi="Arial" w:cs="Arial"/>
                <w:bCs/>
              </w:rPr>
              <w:t>83 ±</w:t>
            </w:r>
            <w:r w:rsidR="00EE2DD6">
              <w:rPr>
                <w:rFonts w:ascii="Arial" w:hAnsi="Arial" w:cs="Arial"/>
                <w:bCs/>
              </w:rPr>
              <w:t xml:space="preserve"> </w:t>
            </w:r>
            <w:r w:rsidRPr="008267D0">
              <w:rPr>
                <w:rFonts w:ascii="Arial" w:hAnsi="Arial" w:cs="Arial"/>
                <w:bCs/>
              </w:rPr>
              <w:t>0</w:t>
            </w:r>
            <w:r w:rsidR="00EE2DD6">
              <w:rPr>
                <w:rFonts w:ascii="Arial" w:hAnsi="Arial" w:cs="Arial"/>
                <w:bCs/>
              </w:rPr>
              <w:t>.</w:t>
            </w:r>
            <w:r w:rsidRPr="008267D0">
              <w:rPr>
                <w:rFonts w:ascii="Arial" w:hAnsi="Arial" w:cs="Arial"/>
                <w:bCs/>
              </w:rPr>
              <w:t xml:space="preserve">83 </w:t>
            </w:r>
            <w:r w:rsidRPr="008267D0">
              <w:rPr>
                <w:rFonts w:ascii="Arial" w:hAnsi="Arial" w:cs="Arial"/>
                <w:bCs/>
                <w:vertAlign w:val="superscript"/>
              </w:rPr>
              <w:t>£££***</w:t>
            </w:r>
          </w:p>
        </w:tc>
        <w:tc>
          <w:tcPr>
            <w:tcW w:w="1966" w:type="dxa"/>
            <w:hideMark/>
          </w:tcPr>
          <w:p w14:paraId="328271EF" w14:textId="7154CAD6" w:rsidR="001D24BF" w:rsidRPr="008267D0" w:rsidRDefault="001D24BF" w:rsidP="001D24BF">
            <w:pPr>
              <w:pStyle w:val="Body"/>
              <w:spacing w:after="0"/>
              <w:rPr>
                <w:rFonts w:ascii="Arial" w:hAnsi="Arial" w:cs="Arial"/>
                <w:lang w:val="fr-FR"/>
              </w:rPr>
            </w:pPr>
            <w:r w:rsidRPr="008267D0">
              <w:rPr>
                <w:rFonts w:ascii="Arial" w:hAnsi="Arial" w:cs="Arial"/>
                <w:bCs/>
              </w:rPr>
              <w:t>23</w:t>
            </w:r>
            <w:r w:rsidR="00EE2DD6">
              <w:rPr>
                <w:rFonts w:ascii="Arial" w:hAnsi="Arial" w:cs="Arial"/>
                <w:bCs/>
              </w:rPr>
              <w:t>.</w:t>
            </w:r>
            <w:r w:rsidRPr="008267D0">
              <w:rPr>
                <w:rFonts w:ascii="Arial" w:hAnsi="Arial" w:cs="Arial"/>
                <w:bCs/>
              </w:rPr>
              <w:t>33</w:t>
            </w:r>
            <w:r w:rsidR="00EE2DD6">
              <w:rPr>
                <w:rFonts w:ascii="Arial" w:hAnsi="Arial" w:cs="Arial"/>
                <w:bCs/>
              </w:rPr>
              <w:t xml:space="preserve"> </w:t>
            </w:r>
            <w:r w:rsidRPr="008267D0">
              <w:rPr>
                <w:rFonts w:ascii="Arial" w:hAnsi="Arial" w:cs="Arial"/>
                <w:bCs/>
              </w:rPr>
              <w:t>±</w:t>
            </w:r>
            <w:r w:rsidR="00EE2DD6">
              <w:rPr>
                <w:rFonts w:ascii="Arial" w:hAnsi="Arial" w:cs="Arial"/>
                <w:bCs/>
              </w:rPr>
              <w:t xml:space="preserve"> </w:t>
            </w:r>
            <w:r w:rsidRPr="008267D0">
              <w:rPr>
                <w:rFonts w:ascii="Arial" w:hAnsi="Arial" w:cs="Arial"/>
                <w:bCs/>
              </w:rPr>
              <w:t>2</w:t>
            </w:r>
            <w:r w:rsidR="00EE2DD6">
              <w:rPr>
                <w:rFonts w:ascii="Arial" w:hAnsi="Arial" w:cs="Arial"/>
                <w:bCs/>
              </w:rPr>
              <w:t>.</w:t>
            </w:r>
            <w:r w:rsidRPr="008267D0">
              <w:rPr>
                <w:rFonts w:ascii="Arial" w:hAnsi="Arial" w:cs="Arial"/>
                <w:bCs/>
              </w:rPr>
              <w:t>11 </w:t>
            </w:r>
            <w:r w:rsidRPr="008267D0">
              <w:rPr>
                <w:rFonts w:ascii="Arial" w:hAnsi="Arial" w:cs="Arial"/>
                <w:bCs/>
                <w:vertAlign w:val="superscript"/>
              </w:rPr>
              <w:t>£££***</w:t>
            </w:r>
          </w:p>
        </w:tc>
        <w:tc>
          <w:tcPr>
            <w:tcW w:w="1819" w:type="dxa"/>
            <w:hideMark/>
          </w:tcPr>
          <w:p w14:paraId="5159B557" w14:textId="41FBE85E" w:rsidR="001D24BF" w:rsidRPr="008267D0" w:rsidRDefault="001D24BF" w:rsidP="001D24BF">
            <w:pPr>
              <w:pStyle w:val="Body"/>
              <w:spacing w:after="0"/>
              <w:rPr>
                <w:rFonts w:ascii="Arial" w:hAnsi="Arial" w:cs="Arial"/>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33 ± 0</w:t>
            </w:r>
            <w:r w:rsidR="00EE2DD6">
              <w:rPr>
                <w:rFonts w:ascii="Arial" w:hAnsi="Arial" w:cs="Arial"/>
                <w:bCs/>
                <w:lang w:val="fr-FR"/>
              </w:rPr>
              <w:t>.</w:t>
            </w:r>
            <w:r w:rsidRPr="008267D0">
              <w:rPr>
                <w:rFonts w:ascii="Arial" w:hAnsi="Arial" w:cs="Arial"/>
                <w:bCs/>
                <w:lang w:val="fr-FR"/>
              </w:rPr>
              <w:t>66</w:t>
            </w:r>
          </w:p>
        </w:tc>
        <w:tc>
          <w:tcPr>
            <w:tcW w:w="2027" w:type="dxa"/>
            <w:hideMark/>
          </w:tcPr>
          <w:p w14:paraId="798EAA70" w14:textId="67BD2E5B" w:rsidR="001D24BF" w:rsidRPr="008267D0" w:rsidRDefault="001D24BF" w:rsidP="001D24BF">
            <w:pPr>
              <w:pStyle w:val="Body"/>
              <w:spacing w:after="0"/>
              <w:rPr>
                <w:rFonts w:ascii="Arial" w:hAnsi="Arial" w:cs="Arial"/>
                <w:lang w:val="fr-FR"/>
              </w:rPr>
            </w:pPr>
            <w:r w:rsidRPr="008267D0">
              <w:rPr>
                <w:rFonts w:ascii="Arial" w:hAnsi="Arial" w:cs="Arial"/>
                <w:bCs/>
                <w:lang w:val="fr-FR"/>
              </w:rPr>
              <w:t>11</w:t>
            </w:r>
            <w:r w:rsidR="00EE2DD6">
              <w:rPr>
                <w:rFonts w:ascii="Arial" w:hAnsi="Arial" w:cs="Arial"/>
                <w:bCs/>
                <w:lang w:val="fr-FR"/>
              </w:rPr>
              <w:t>.</w:t>
            </w:r>
            <w:r w:rsidRPr="008267D0">
              <w:rPr>
                <w:rFonts w:ascii="Arial" w:hAnsi="Arial" w:cs="Arial"/>
                <w:bCs/>
                <w:lang w:val="fr-FR"/>
              </w:rPr>
              <w:t>50 ± 1</w:t>
            </w:r>
            <w:r w:rsidR="00EE2DD6">
              <w:rPr>
                <w:rFonts w:ascii="Arial" w:hAnsi="Arial" w:cs="Arial"/>
                <w:bCs/>
                <w:lang w:val="fr-FR"/>
              </w:rPr>
              <w:t>.</w:t>
            </w:r>
            <w:r w:rsidRPr="008267D0">
              <w:rPr>
                <w:rFonts w:ascii="Arial" w:hAnsi="Arial" w:cs="Arial"/>
                <w:bCs/>
                <w:lang w:val="fr-FR"/>
              </w:rPr>
              <w:t xml:space="preserve">16 </w:t>
            </w:r>
            <w:r w:rsidRPr="008267D0">
              <w:rPr>
                <w:rFonts w:ascii="Arial" w:hAnsi="Arial" w:cs="Arial"/>
                <w:bCs/>
                <w:vertAlign w:val="superscript"/>
                <w:lang w:val="fr-FR"/>
              </w:rPr>
              <w:t>££***</w:t>
            </w:r>
          </w:p>
        </w:tc>
      </w:tr>
      <w:tr w:rsidR="001D24BF" w:rsidRPr="008267D0" w14:paraId="175DAA67" w14:textId="77777777" w:rsidTr="004216CB">
        <w:trPr>
          <w:trHeight w:val="255"/>
        </w:trPr>
        <w:tc>
          <w:tcPr>
            <w:tcW w:w="1604" w:type="dxa"/>
            <w:hideMark/>
          </w:tcPr>
          <w:p w14:paraId="774AEBC8"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Cb140+Pilo</w:t>
            </w:r>
          </w:p>
        </w:tc>
        <w:tc>
          <w:tcPr>
            <w:tcW w:w="1088" w:type="dxa"/>
            <w:hideMark/>
          </w:tcPr>
          <w:p w14:paraId="104451DE"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140</w:t>
            </w:r>
          </w:p>
        </w:tc>
        <w:tc>
          <w:tcPr>
            <w:tcW w:w="1844" w:type="dxa"/>
            <w:hideMark/>
          </w:tcPr>
          <w:p w14:paraId="28056F04" w14:textId="796F5BEB" w:rsidR="001D24BF" w:rsidRPr="008267D0" w:rsidRDefault="001D24BF" w:rsidP="001D24BF">
            <w:pPr>
              <w:pStyle w:val="Body"/>
              <w:spacing w:after="0"/>
              <w:rPr>
                <w:rFonts w:ascii="Arial" w:hAnsi="Arial" w:cs="Arial"/>
                <w:lang w:val="fr-FR"/>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83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55 </w:t>
            </w:r>
            <w:r w:rsidRPr="008267D0">
              <w:rPr>
                <w:rFonts w:ascii="Arial" w:hAnsi="Arial" w:cs="Arial"/>
                <w:bCs/>
                <w:vertAlign w:val="superscript"/>
                <w:lang w:val="fr-FR"/>
              </w:rPr>
              <w:t>£££***</w:t>
            </w:r>
          </w:p>
        </w:tc>
        <w:tc>
          <w:tcPr>
            <w:tcW w:w="1966" w:type="dxa"/>
            <w:hideMark/>
          </w:tcPr>
          <w:p w14:paraId="7380BD39" w14:textId="74A889CB" w:rsidR="001D24BF" w:rsidRPr="008267D0" w:rsidRDefault="001D24BF" w:rsidP="001D24BF">
            <w:pPr>
              <w:pStyle w:val="Body"/>
              <w:spacing w:after="0"/>
              <w:rPr>
                <w:rFonts w:ascii="Arial" w:hAnsi="Arial" w:cs="Arial"/>
                <w:lang w:val="fr-FR"/>
              </w:rPr>
            </w:pPr>
            <w:r w:rsidRPr="008267D0">
              <w:rPr>
                <w:rFonts w:ascii="Arial" w:hAnsi="Arial" w:cs="Arial"/>
                <w:bCs/>
                <w:lang w:val="fr-FR"/>
              </w:rPr>
              <w:t>32</w:t>
            </w:r>
            <w:r w:rsidR="00EE2DD6">
              <w:rPr>
                <w:rFonts w:ascii="Arial" w:hAnsi="Arial" w:cs="Arial"/>
                <w:bCs/>
                <w:lang w:val="fr-FR"/>
              </w:rPr>
              <w:t>.</w:t>
            </w:r>
            <w:r w:rsidRPr="008267D0">
              <w:rPr>
                <w:rFonts w:ascii="Arial" w:hAnsi="Arial" w:cs="Arial"/>
                <w:bCs/>
                <w:lang w:val="fr-FR"/>
              </w:rPr>
              <w:t>16</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 xml:space="preserve">3,22 </w:t>
            </w:r>
            <w:r w:rsidRPr="008267D0">
              <w:rPr>
                <w:rFonts w:ascii="Arial" w:hAnsi="Arial" w:cs="Arial"/>
                <w:bCs/>
                <w:vertAlign w:val="superscript"/>
                <w:lang w:val="fr-FR"/>
              </w:rPr>
              <w:t>£££***</w:t>
            </w:r>
          </w:p>
        </w:tc>
        <w:tc>
          <w:tcPr>
            <w:tcW w:w="1819" w:type="dxa"/>
            <w:hideMark/>
          </w:tcPr>
          <w:p w14:paraId="2CE82C91" w14:textId="243E36A7" w:rsidR="001D24BF" w:rsidRPr="008267D0" w:rsidRDefault="001D24BF" w:rsidP="001D24BF">
            <w:pPr>
              <w:pStyle w:val="Body"/>
              <w:spacing w:after="0"/>
              <w:rPr>
                <w:rFonts w:ascii="Arial" w:hAnsi="Arial" w:cs="Arial"/>
                <w:lang w:val="fr-FR"/>
              </w:rPr>
            </w:pPr>
            <w:r w:rsidRPr="008267D0">
              <w:rPr>
                <w:rFonts w:ascii="Arial" w:hAnsi="Arial" w:cs="Arial"/>
                <w:bCs/>
                <w:lang w:val="fr-FR"/>
              </w:rPr>
              <w:t>4</w:t>
            </w:r>
            <w:r w:rsidR="00EE2DD6">
              <w:rPr>
                <w:rFonts w:ascii="Arial" w:hAnsi="Arial" w:cs="Arial"/>
                <w:bCs/>
                <w:lang w:val="fr-FR"/>
              </w:rPr>
              <w:t>.</w:t>
            </w:r>
            <w:r w:rsidRPr="008267D0">
              <w:rPr>
                <w:rFonts w:ascii="Arial" w:hAnsi="Arial" w:cs="Arial"/>
                <w:bCs/>
                <w:lang w:val="fr-FR"/>
              </w:rPr>
              <w:t>83 ± 0</w:t>
            </w:r>
            <w:r w:rsidR="00EE2DD6">
              <w:rPr>
                <w:rFonts w:ascii="Arial" w:hAnsi="Arial" w:cs="Arial"/>
                <w:bCs/>
                <w:lang w:val="fr-FR"/>
              </w:rPr>
              <w:t>.</w:t>
            </w:r>
            <w:r w:rsidRPr="008267D0">
              <w:rPr>
                <w:rFonts w:ascii="Arial" w:hAnsi="Arial" w:cs="Arial"/>
                <w:bCs/>
                <w:lang w:val="fr-FR"/>
              </w:rPr>
              <w:t xml:space="preserve">56 </w:t>
            </w:r>
            <w:r w:rsidRPr="008267D0">
              <w:rPr>
                <w:rFonts w:ascii="Arial" w:hAnsi="Arial" w:cs="Arial"/>
                <w:bCs/>
                <w:vertAlign w:val="superscript"/>
                <w:lang w:val="fr-FR"/>
              </w:rPr>
              <w:t>*</w:t>
            </w:r>
          </w:p>
        </w:tc>
        <w:tc>
          <w:tcPr>
            <w:tcW w:w="2027" w:type="dxa"/>
            <w:hideMark/>
          </w:tcPr>
          <w:p w14:paraId="62029010" w14:textId="61CDECA3" w:rsidR="001D24BF" w:rsidRPr="008267D0" w:rsidRDefault="001D24BF" w:rsidP="001D24BF">
            <w:pPr>
              <w:pStyle w:val="Body"/>
              <w:spacing w:after="0"/>
              <w:rPr>
                <w:rFonts w:ascii="Arial" w:hAnsi="Arial" w:cs="Arial"/>
                <w:lang w:val="fr-FR"/>
              </w:rPr>
            </w:pPr>
            <w:r w:rsidRPr="008267D0">
              <w:rPr>
                <w:rFonts w:ascii="Arial" w:hAnsi="Arial" w:cs="Arial"/>
                <w:bCs/>
                <w:lang w:val="fr-FR"/>
              </w:rPr>
              <w:t>18</w:t>
            </w:r>
            <w:r w:rsidR="00EE2DD6">
              <w:rPr>
                <w:rFonts w:ascii="Arial" w:hAnsi="Arial" w:cs="Arial"/>
                <w:bCs/>
                <w:lang w:val="fr-FR"/>
              </w:rPr>
              <w:t>.</w:t>
            </w:r>
            <w:r w:rsidRPr="008267D0">
              <w:rPr>
                <w:rFonts w:ascii="Arial" w:hAnsi="Arial" w:cs="Arial"/>
                <w:bCs/>
                <w:lang w:val="fr-FR"/>
              </w:rPr>
              <w:t>17</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22 </w:t>
            </w:r>
            <w:r w:rsidRPr="008267D0">
              <w:rPr>
                <w:rFonts w:ascii="Arial" w:hAnsi="Arial" w:cs="Arial"/>
                <w:bCs/>
                <w:vertAlign w:val="superscript"/>
                <w:lang w:val="fr-FR"/>
              </w:rPr>
              <w:t>£££***</w:t>
            </w:r>
          </w:p>
        </w:tc>
      </w:tr>
      <w:tr w:rsidR="001D24BF" w:rsidRPr="008267D0" w14:paraId="73DBA397" w14:textId="77777777" w:rsidTr="004216CB">
        <w:trPr>
          <w:trHeight w:val="161"/>
        </w:trPr>
        <w:tc>
          <w:tcPr>
            <w:tcW w:w="1604" w:type="dxa"/>
            <w:hideMark/>
          </w:tcPr>
          <w:p w14:paraId="7F5EFD2B"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Cb280+Pilo</w:t>
            </w:r>
          </w:p>
        </w:tc>
        <w:tc>
          <w:tcPr>
            <w:tcW w:w="1088" w:type="dxa"/>
            <w:hideMark/>
          </w:tcPr>
          <w:p w14:paraId="7A234CF5"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280</w:t>
            </w:r>
          </w:p>
        </w:tc>
        <w:tc>
          <w:tcPr>
            <w:tcW w:w="1844" w:type="dxa"/>
            <w:hideMark/>
          </w:tcPr>
          <w:p w14:paraId="374C5A66" w14:textId="1540A03E" w:rsidR="001D24BF" w:rsidRPr="008267D0" w:rsidRDefault="001D24BF" w:rsidP="001D24BF">
            <w:pPr>
              <w:pStyle w:val="Body"/>
              <w:spacing w:after="0"/>
              <w:rPr>
                <w:rFonts w:ascii="Arial" w:hAnsi="Arial" w:cs="Arial"/>
                <w:lang w:val="fr-FR"/>
              </w:rPr>
            </w:pPr>
            <w:r w:rsidRPr="008267D0">
              <w:rPr>
                <w:rFonts w:ascii="Arial" w:hAnsi="Arial" w:cs="Arial"/>
                <w:bCs/>
              </w:rPr>
              <w:t>1</w:t>
            </w:r>
            <w:r w:rsidR="00EE2DD6">
              <w:rPr>
                <w:rFonts w:ascii="Arial" w:hAnsi="Arial" w:cs="Arial"/>
                <w:bCs/>
              </w:rPr>
              <w:t>.</w:t>
            </w:r>
            <w:r w:rsidRPr="008267D0">
              <w:rPr>
                <w:rFonts w:ascii="Arial" w:hAnsi="Arial" w:cs="Arial"/>
                <w:bCs/>
              </w:rPr>
              <w:t>83</w:t>
            </w:r>
            <w:r w:rsidR="00EE2DD6">
              <w:rPr>
                <w:rFonts w:ascii="Arial" w:hAnsi="Arial" w:cs="Arial"/>
                <w:bCs/>
              </w:rPr>
              <w:t xml:space="preserve"> </w:t>
            </w:r>
            <w:r w:rsidRPr="008267D0">
              <w:rPr>
                <w:rFonts w:ascii="Arial" w:hAnsi="Arial" w:cs="Arial"/>
                <w:bCs/>
              </w:rPr>
              <w:t>±</w:t>
            </w:r>
            <w:r w:rsidR="00EE2DD6">
              <w:rPr>
                <w:rFonts w:ascii="Arial" w:hAnsi="Arial" w:cs="Arial"/>
                <w:bCs/>
              </w:rPr>
              <w:t xml:space="preserve"> </w:t>
            </w:r>
            <w:r w:rsidRPr="008267D0">
              <w:rPr>
                <w:rFonts w:ascii="Arial" w:hAnsi="Arial" w:cs="Arial"/>
                <w:bCs/>
              </w:rPr>
              <w:t>0</w:t>
            </w:r>
            <w:r w:rsidR="00EE2DD6">
              <w:rPr>
                <w:rFonts w:ascii="Arial" w:hAnsi="Arial" w:cs="Arial"/>
                <w:bCs/>
              </w:rPr>
              <w:t>.</w:t>
            </w:r>
            <w:r w:rsidRPr="008267D0">
              <w:rPr>
                <w:rFonts w:ascii="Arial" w:hAnsi="Arial" w:cs="Arial"/>
                <w:bCs/>
              </w:rPr>
              <w:t xml:space="preserve">55 </w:t>
            </w:r>
            <w:r w:rsidRPr="008267D0">
              <w:rPr>
                <w:rFonts w:ascii="Arial" w:hAnsi="Arial" w:cs="Arial"/>
                <w:bCs/>
                <w:vertAlign w:val="superscript"/>
              </w:rPr>
              <w:t>£££***</w:t>
            </w:r>
          </w:p>
        </w:tc>
        <w:tc>
          <w:tcPr>
            <w:tcW w:w="1966" w:type="dxa"/>
            <w:hideMark/>
          </w:tcPr>
          <w:p w14:paraId="0734DD97" w14:textId="2979BEC8" w:rsidR="001D24BF" w:rsidRPr="008267D0" w:rsidRDefault="001D24BF" w:rsidP="001D24BF">
            <w:pPr>
              <w:pStyle w:val="Body"/>
              <w:spacing w:after="0"/>
              <w:rPr>
                <w:rFonts w:ascii="Arial" w:hAnsi="Arial" w:cs="Arial"/>
                <w:lang w:val="fr-FR"/>
              </w:rPr>
            </w:pPr>
            <w:r w:rsidRPr="008267D0">
              <w:rPr>
                <w:rFonts w:ascii="Arial" w:hAnsi="Arial" w:cs="Arial"/>
                <w:bCs/>
              </w:rPr>
              <w:t>33</w:t>
            </w:r>
            <w:r w:rsidR="00EE2DD6">
              <w:rPr>
                <w:rFonts w:ascii="Arial" w:hAnsi="Arial" w:cs="Arial"/>
                <w:bCs/>
              </w:rPr>
              <w:t>.</w:t>
            </w:r>
            <w:r w:rsidRPr="008267D0">
              <w:rPr>
                <w:rFonts w:ascii="Arial" w:hAnsi="Arial" w:cs="Arial"/>
                <w:bCs/>
              </w:rPr>
              <w:t>16</w:t>
            </w:r>
            <w:r w:rsidR="00EE2DD6">
              <w:rPr>
                <w:rFonts w:ascii="Arial" w:hAnsi="Arial" w:cs="Arial"/>
                <w:bCs/>
              </w:rPr>
              <w:t xml:space="preserve"> </w:t>
            </w:r>
            <w:r w:rsidRPr="008267D0">
              <w:rPr>
                <w:rFonts w:ascii="Arial" w:hAnsi="Arial" w:cs="Arial"/>
                <w:bCs/>
              </w:rPr>
              <w:t>±</w:t>
            </w:r>
            <w:r w:rsidR="00EE2DD6">
              <w:rPr>
                <w:rFonts w:ascii="Arial" w:hAnsi="Arial" w:cs="Arial"/>
                <w:bCs/>
              </w:rPr>
              <w:t xml:space="preserve"> </w:t>
            </w:r>
            <w:r w:rsidRPr="008267D0">
              <w:rPr>
                <w:rFonts w:ascii="Arial" w:hAnsi="Arial" w:cs="Arial"/>
                <w:bCs/>
              </w:rPr>
              <w:t>1</w:t>
            </w:r>
            <w:r w:rsidR="00EE2DD6">
              <w:rPr>
                <w:rFonts w:ascii="Arial" w:hAnsi="Arial" w:cs="Arial"/>
                <w:bCs/>
              </w:rPr>
              <w:t>.</w:t>
            </w:r>
            <w:r w:rsidRPr="008267D0">
              <w:rPr>
                <w:rFonts w:ascii="Arial" w:hAnsi="Arial" w:cs="Arial"/>
                <w:bCs/>
              </w:rPr>
              <w:t xml:space="preserve">17 </w:t>
            </w:r>
            <w:r w:rsidRPr="008267D0">
              <w:rPr>
                <w:rFonts w:ascii="Arial" w:hAnsi="Arial" w:cs="Arial"/>
                <w:bCs/>
                <w:vertAlign w:val="superscript"/>
              </w:rPr>
              <w:t>£££***</w:t>
            </w:r>
          </w:p>
        </w:tc>
        <w:tc>
          <w:tcPr>
            <w:tcW w:w="1819" w:type="dxa"/>
            <w:hideMark/>
          </w:tcPr>
          <w:p w14:paraId="122597DD" w14:textId="43001184" w:rsidR="001D24BF" w:rsidRPr="008267D0" w:rsidRDefault="001D24BF" w:rsidP="001D24BF">
            <w:pPr>
              <w:pStyle w:val="Body"/>
              <w:spacing w:after="0"/>
              <w:rPr>
                <w:rFonts w:ascii="Arial" w:hAnsi="Arial" w:cs="Arial"/>
                <w:lang w:val="fr-FR"/>
              </w:rPr>
            </w:pPr>
            <w:r w:rsidRPr="008267D0">
              <w:rPr>
                <w:rFonts w:ascii="Arial" w:hAnsi="Arial" w:cs="Arial"/>
                <w:bCs/>
                <w:lang w:val="fr-FR"/>
              </w:rPr>
              <w:t>3</w:t>
            </w:r>
            <w:r w:rsidR="00EE2DD6">
              <w:rPr>
                <w:rFonts w:ascii="Arial" w:hAnsi="Arial" w:cs="Arial"/>
                <w:bCs/>
                <w:lang w:val="fr-FR"/>
              </w:rPr>
              <w:t>.</w:t>
            </w:r>
            <w:r w:rsidRPr="008267D0">
              <w:rPr>
                <w:rFonts w:ascii="Arial" w:hAnsi="Arial" w:cs="Arial"/>
                <w:bCs/>
                <w:lang w:val="fr-FR"/>
              </w:rPr>
              <w:t>50 ± 0</w:t>
            </w:r>
            <w:r w:rsidR="00EE2DD6">
              <w:rPr>
                <w:rFonts w:ascii="Arial" w:hAnsi="Arial" w:cs="Arial"/>
                <w:bCs/>
                <w:lang w:val="fr-FR"/>
              </w:rPr>
              <w:t>.</w:t>
            </w:r>
            <w:r w:rsidRPr="008267D0">
              <w:rPr>
                <w:rFonts w:ascii="Arial" w:hAnsi="Arial" w:cs="Arial"/>
                <w:bCs/>
                <w:lang w:val="fr-FR"/>
              </w:rPr>
              <w:t xml:space="preserve">83 </w:t>
            </w:r>
            <w:r w:rsidRPr="008267D0">
              <w:rPr>
                <w:rFonts w:ascii="Arial" w:hAnsi="Arial" w:cs="Arial"/>
                <w:bCs/>
                <w:vertAlign w:val="superscript"/>
                <w:lang w:val="fr-FR"/>
              </w:rPr>
              <w:t>***</w:t>
            </w:r>
          </w:p>
        </w:tc>
        <w:tc>
          <w:tcPr>
            <w:tcW w:w="2027" w:type="dxa"/>
            <w:hideMark/>
          </w:tcPr>
          <w:p w14:paraId="473FC0FE" w14:textId="522C0392" w:rsidR="001D24BF" w:rsidRPr="008267D0" w:rsidRDefault="001D24BF" w:rsidP="001D24BF">
            <w:pPr>
              <w:pStyle w:val="Body"/>
              <w:spacing w:after="0"/>
              <w:rPr>
                <w:rFonts w:ascii="Arial" w:hAnsi="Arial" w:cs="Arial"/>
                <w:lang w:val="fr-FR"/>
              </w:rPr>
            </w:pPr>
            <w:r w:rsidRPr="008267D0">
              <w:rPr>
                <w:rFonts w:ascii="Arial" w:hAnsi="Arial" w:cs="Arial"/>
                <w:bCs/>
                <w:lang w:val="fr-FR"/>
              </w:rPr>
              <w:t>21</w:t>
            </w:r>
            <w:r w:rsidR="00EE2DD6">
              <w:rPr>
                <w:rFonts w:ascii="Arial" w:hAnsi="Arial" w:cs="Arial"/>
                <w:bCs/>
                <w:lang w:val="fr-FR"/>
              </w:rPr>
              <w:t>.</w:t>
            </w:r>
            <w:r w:rsidRPr="008267D0">
              <w:rPr>
                <w:rFonts w:ascii="Arial" w:hAnsi="Arial" w:cs="Arial"/>
                <w:bCs/>
                <w:lang w:val="fr-FR"/>
              </w:rPr>
              <w:t>17 ±</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83 </w:t>
            </w:r>
            <w:r w:rsidRPr="008267D0">
              <w:rPr>
                <w:rFonts w:ascii="Arial" w:hAnsi="Arial" w:cs="Arial"/>
                <w:bCs/>
                <w:vertAlign w:val="superscript"/>
                <w:lang w:val="fr-FR"/>
              </w:rPr>
              <w:t>£££***</w:t>
            </w:r>
          </w:p>
        </w:tc>
      </w:tr>
      <w:tr w:rsidR="001D24BF" w:rsidRPr="008267D0" w14:paraId="249F33CA" w14:textId="77777777" w:rsidTr="004216CB">
        <w:trPr>
          <w:trHeight w:val="161"/>
        </w:trPr>
        <w:tc>
          <w:tcPr>
            <w:tcW w:w="1604" w:type="dxa"/>
          </w:tcPr>
          <w:p w14:paraId="4C1FD775" w14:textId="77777777" w:rsidR="001D24BF" w:rsidRPr="008267D0" w:rsidRDefault="001D24BF" w:rsidP="001D24BF">
            <w:pPr>
              <w:pStyle w:val="Body"/>
              <w:spacing w:after="0"/>
              <w:rPr>
                <w:rFonts w:ascii="Arial" w:hAnsi="Arial" w:cs="Arial"/>
                <w:bCs/>
                <w:iCs/>
                <w:lang w:val="fr-FR"/>
              </w:rPr>
            </w:pPr>
            <w:proofErr w:type="spellStart"/>
            <w:r w:rsidRPr="008267D0">
              <w:rPr>
                <w:rFonts w:ascii="Arial" w:hAnsi="Arial" w:cs="Arial"/>
                <w:bCs/>
                <w:iCs/>
                <w:lang w:val="fr-FR"/>
              </w:rPr>
              <w:t>SV+Pilo</w:t>
            </w:r>
            <w:proofErr w:type="spellEnd"/>
          </w:p>
        </w:tc>
        <w:tc>
          <w:tcPr>
            <w:tcW w:w="1088" w:type="dxa"/>
          </w:tcPr>
          <w:p w14:paraId="7C998A3A"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300</w:t>
            </w:r>
          </w:p>
        </w:tc>
        <w:tc>
          <w:tcPr>
            <w:tcW w:w="1844" w:type="dxa"/>
          </w:tcPr>
          <w:p w14:paraId="2958D466" w14:textId="7BAA1706" w:rsidR="001D24BF" w:rsidRPr="008267D0" w:rsidRDefault="001D24BF" w:rsidP="001D24BF">
            <w:pPr>
              <w:pStyle w:val="Body"/>
              <w:spacing w:after="0"/>
              <w:rPr>
                <w:rFonts w:ascii="Arial" w:hAnsi="Arial" w:cs="Arial"/>
                <w:bCs/>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16</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28 </w:t>
            </w:r>
            <w:r w:rsidRPr="008267D0">
              <w:rPr>
                <w:rFonts w:ascii="Arial" w:hAnsi="Arial" w:cs="Arial"/>
                <w:bCs/>
                <w:vertAlign w:val="superscript"/>
                <w:lang w:val="fr-FR"/>
              </w:rPr>
              <w:t>£££***</w:t>
            </w:r>
          </w:p>
        </w:tc>
        <w:tc>
          <w:tcPr>
            <w:tcW w:w="1966" w:type="dxa"/>
          </w:tcPr>
          <w:p w14:paraId="4FD91450" w14:textId="049D2C85" w:rsidR="001D24BF" w:rsidRPr="008267D0" w:rsidRDefault="001D24BF" w:rsidP="001D24BF">
            <w:pPr>
              <w:pStyle w:val="Body"/>
              <w:spacing w:after="0"/>
              <w:rPr>
                <w:rFonts w:ascii="Arial" w:hAnsi="Arial" w:cs="Arial"/>
                <w:bCs/>
              </w:rPr>
            </w:pPr>
            <w:r w:rsidRPr="008267D0">
              <w:rPr>
                <w:rFonts w:ascii="Arial" w:hAnsi="Arial" w:cs="Arial"/>
                <w:bCs/>
                <w:lang w:val="fr-FR"/>
              </w:rPr>
              <w:t>37</w:t>
            </w:r>
            <w:r w:rsidR="00EE2DD6">
              <w:rPr>
                <w:rFonts w:ascii="Arial" w:hAnsi="Arial" w:cs="Arial"/>
                <w:bCs/>
                <w:lang w:val="fr-FR"/>
              </w:rPr>
              <w:t>.</w:t>
            </w:r>
            <w:r w:rsidRPr="008267D0">
              <w:rPr>
                <w:rFonts w:ascii="Arial" w:hAnsi="Arial" w:cs="Arial"/>
                <w:bCs/>
                <w:lang w:val="fr-FR"/>
              </w:rPr>
              <w:t>67</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67 </w:t>
            </w:r>
            <w:r w:rsidRPr="008267D0">
              <w:rPr>
                <w:rFonts w:ascii="Arial" w:hAnsi="Arial" w:cs="Arial"/>
                <w:bCs/>
                <w:vertAlign w:val="superscript"/>
                <w:lang w:val="fr-FR"/>
              </w:rPr>
              <w:t>£££***</w:t>
            </w:r>
          </w:p>
        </w:tc>
        <w:tc>
          <w:tcPr>
            <w:tcW w:w="1819" w:type="dxa"/>
          </w:tcPr>
          <w:p w14:paraId="55ED10EF" w14:textId="6BE4C69F" w:rsidR="001D24BF" w:rsidRPr="008267D0" w:rsidRDefault="001D24BF" w:rsidP="001D24BF">
            <w:pPr>
              <w:pStyle w:val="Body"/>
              <w:spacing w:after="0"/>
              <w:rPr>
                <w:rFonts w:ascii="Arial" w:hAnsi="Arial" w:cs="Arial"/>
                <w:bCs/>
                <w:lang w:val="fr-FR"/>
              </w:rPr>
            </w:pPr>
            <w:r w:rsidRPr="008267D0">
              <w:rPr>
                <w:rFonts w:ascii="Arial" w:hAnsi="Arial" w:cs="Arial"/>
                <w:bCs/>
                <w:lang w:val="fr-FR"/>
              </w:rPr>
              <w:t>3</w:t>
            </w:r>
            <w:r w:rsidR="00EE2DD6">
              <w:rPr>
                <w:rFonts w:ascii="Arial" w:hAnsi="Arial" w:cs="Arial"/>
                <w:bCs/>
                <w:lang w:val="fr-FR"/>
              </w:rPr>
              <w:t>.</w:t>
            </w:r>
            <w:r w:rsidRPr="008267D0">
              <w:rPr>
                <w:rFonts w:ascii="Arial" w:hAnsi="Arial" w:cs="Arial"/>
                <w:bCs/>
                <w:lang w:val="fr-FR"/>
              </w:rPr>
              <w:t>67 ± 0</w:t>
            </w:r>
            <w:r w:rsidR="00EE2DD6">
              <w:rPr>
                <w:rFonts w:ascii="Arial" w:hAnsi="Arial" w:cs="Arial"/>
                <w:bCs/>
                <w:lang w:val="fr-FR"/>
              </w:rPr>
              <w:t>.</w:t>
            </w:r>
            <w:r w:rsidRPr="008267D0">
              <w:rPr>
                <w:rFonts w:ascii="Arial" w:hAnsi="Arial" w:cs="Arial"/>
                <w:bCs/>
                <w:lang w:val="fr-FR"/>
              </w:rPr>
              <w:t xml:space="preserve">78 </w:t>
            </w:r>
            <w:r w:rsidRPr="008267D0">
              <w:rPr>
                <w:rFonts w:ascii="Arial" w:hAnsi="Arial" w:cs="Arial"/>
                <w:bCs/>
                <w:vertAlign w:val="superscript"/>
                <w:lang w:val="fr-FR"/>
              </w:rPr>
              <w:t>***</w:t>
            </w:r>
          </w:p>
        </w:tc>
        <w:tc>
          <w:tcPr>
            <w:tcW w:w="2027" w:type="dxa"/>
          </w:tcPr>
          <w:p w14:paraId="02AF92CB" w14:textId="5CB954E6" w:rsidR="001D24BF" w:rsidRPr="008267D0" w:rsidRDefault="001D24BF" w:rsidP="001D24BF">
            <w:pPr>
              <w:pStyle w:val="Body"/>
              <w:spacing w:after="0"/>
              <w:rPr>
                <w:rFonts w:ascii="Arial" w:hAnsi="Arial" w:cs="Arial"/>
                <w:bCs/>
                <w:lang w:val="fr-FR"/>
              </w:rPr>
            </w:pPr>
            <w:r w:rsidRPr="008267D0">
              <w:rPr>
                <w:rFonts w:ascii="Arial" w:hAnsi="Arial" w:cs="Arial"/>
                <w:bCs/>
                <w:lang w:val="fr-FR"/>
              </w:rPr>
              <w:t>24</w:t>
            </w:r>
            <w:r w:rsidR="00EE2DD6">
              <w:rPr>
                <w:rFonts w:ascii="Arial" w:hAnsi="Arial" w:cs="Arial"/>
                <w:bCs/>
                <w:lang w:val="fr-FR"/>
              </w:rPr>
              <w:t>.</w:t>
            </w:r>
            <w:r w:rsidRPr="008267D0">
              <w:rPr>
                <w:rFonts w:ascii="Arial" w:hAnsi="Arial" w:cs="Arial"/>
                <w:bCs/>
                <w:lang w:val="fr-FR"/>
              </w:rPr>
              <w:t>67</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67 </w:t>
            </w:r>
            <w:r w:rsidRPr="008267D0">
              <w:rPr>
                <w:rFonts w:ascii="Arial" w:hAnsi="Arial" w:cs="Arial"/>
                <w:bCs/>
                <w:vertAlign w:val="superscript"/>
                <w:lang w:val="fr-FR"/>
              </w:rPr>
              <w:t>£££***</w:t>
            </w:r>
          </w:p>
        </w:tc>
      </w:tr>
      <w:tr w:rsidR="001D24BF" w:rsidRPr="008267D0" w14:paraId="607BA097" w14:textId="77777777" w:rsidTr="004216CB">
        <w:trPr>
          <w:trHeight w:val="65"/>
        </w:trPr>
        <w:tc>
          <w:tcPr>
            <w:tcW w:w="1604" w:type="dxa"/>
            <w:hideMark/>
          </w:tcPr>
          <w:p w14:paraId="0A928F26" w14:textId="77777777" w:rsidR="001D24BF" w:rsidRPr="008267D0" w:rsidRDefault="001D24BF" w:rsidP="001D24BF">
            <w:pPr>
              <w:pStyle w:val="Body"/>
              <w:spacing w:after="0"/>
              <w:rPr>
                <w:rFonts w:ascii="Arial" w:hAnsi="Arial" w:cs="Arial"/>
                <w:bCs/>
                <w:lang w:val="fr-FR"/>
              </w:rPr>
            </w:pPr>
            <w:proofErr w:type="spellStart"/>
            <w:r w:rsidRPr="008267D0">
              <w:rPr>
                <w:rFonts w:ascii="Arial" w:hAnsi="Arial" w:cs="Arial"/>
                <w:bCs/>
                <w:lang w:val="fr-FR"/>
              </w:rPr>
              <w:t>Pira</w:t>
            </w:r>
            <w:proofErr w:type="spellEnd"/>
          </w:p>
        </w:tc>
        <w:tc>
          <w:tcPr>
            <w:tcW w:w="1088" w:type="dxa"/>
            <w:hideMark/>
          </w:tcPr>
          <w:p w14:paraId="338A6937" w14:textId="4A7B604E" w:rsidR="001D24BF" w:rsidRPr="008267D0" w:rsidRDefault="00EF435A" w:rsidP="001D24BF">
            <w:pPr>
              <w:pStyle w:val="Body"/>
              <w:spacing w:after="0"/>
              <w:rPr>
                <w:rFonts w:ascii="Arial" w:hAnsi="Arial" w:cs="Arial"/>
                <w:lang w:val="fr-FR"/>
              </w:rPr>
            </w:pPr>
            <w:r>
              <w:rPr>
                <w:rFonts w:ascii="Arial" w:hAnsi="Arial" w:cs="Arial"/>
                <w:lang w:val="fr-FR"/>
              </w:rPr>
              <w:t>200</w:t>
            </w:r>
          </w:p>
        </w:tc>
        <w:tc>
          <w:tcPr>
            <w:tcW w:w="1844" w:type="dxa"/>
            <w:hideMark/>
          </w:tcPr>
          <w:p w14:paraId="5FF33699" w14:textId="483C4B4E" w:rsidR="001D24BF" w:rsidRPr="008267D0" w:rsidRDefault="001D24BF" w:rsidP="001D24BF">
            <w:pPr>
              <w:pStyle w:val="Body"/>
              <w:spacing w:after="0"/>
              <w:rPr>
                <w:rFonts w:ascii="Arial" w:hAnsi="Arial" w:cs="Arial"/>
                <w:lang w:val="fr-FR"/>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50</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50 </w:t>
            </w:r>
            <w:r w:rsidRPr="008267D0">
              <w:rPr>
                <w:rFonts w:ascii="Arial" w:hAnsi="Arial" w:cs="Arial"/>
                <w:bCs/>
                <w:vertAlign w:val="superscript"/>
                <w:lang w:val="fr-FR"/>
              </w:rPr>
              <w:t>£££***</w:t>
            </w:r>
          </w:p>
        </w:tc>
        <w:tc>
          <w:tcPr>
            <w:tcW w:w="1966" w:type="dxa"/>
            <w:hideMark/>
          </w:tcPr>
          <w:p w14:paraId="108280B3" w14:textId="6FAA61C4" w:rsidR="001D24BF" w:rsidRPr="008267D0" w:rsidRDefault="001D24BF" w:rsidP="001D24BF">
            <w:pPr>
              <w:pStyle w:val="Body"/>
              <w:spacing w:after="0"/>
              <w:rPr>
                <w:rFonts w:ascii="Arial" w:hAnsi="Arial" w:cs="Arial"/>
                <w:lang w:val="fr-FR"/>
              </w:rPr>
            </w:pPr>
            <w:r w:rsidRPr="008267D0">
              <w:rPr>
                <w:rFonts w:ascii="Arial" w:hAnsi="Arial" w:cs="Arial"/>
                <w:bCs/>
                <w:lang w:val="fr-FR"/>
              </w:rPr>
              <w:t>39</w:t>
            </w:r>
            <w:r w:rsidR="00EE2DD6">
              <w:rPr>
                <w:rFonts w:ascii="Arial" w:hAnsi="Arial" w:cs="Arial"/>
                <w:bCs/>
                <w:lang w:val="fr-FR"/>
              </w:rPr>
              <w:t>.</w:t>
            </w:r>
            <w:r w:rsidRPr="008267D0">
              <w:rPr>
                <w:rFonts w:ascii="Arial" w:hAnsi="Arial" w:cs="Arial"/>
                <w:bCs/>
                <w:lang w:val="fr-FR"/>
              </w:rPr>
              <w:t>83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5</w:t>
            </w:r>
            <w:r w:rsidR="00EE2DD6">
              <w:rPr>
                <w:rFonts w:ascii="Arial" w:hAnsi="Arial" w:cs="Arial"/>
                <w:bCs/>
                <w:lang w:val="fr-FR"/>
              </w:rPr>
              <w:t>.</w:t>
            </w:r>
            <w:r w:rsidRPr="008267D0">
              <w:rPr>
                <w:rFonts w:ascii="Arial" w:hAnsi="Arial" w:cs="Arial"/>
                <w:bCs/>
                <w:lang w:val="fr-FR"/>
              </w:rPr>
              <w:t xml:space="preserve">89 </w:t>
            </w:r>
            <w:r w:rsidRPr="008267D0">
              <w:rPr>
                <w:rFonts w:ascii="Arial" w:hAnsi="Arial" w:cs="Arial"/>
                <w:bCs/>
                <w:vertAlign w:val="superscript"/>
                <w:lang w:val="fr-FR"/>
              </w:rPr>
              <w:t>£££***</w:t>
            </w:r>
          </w:p>
        </w:tc>
        <w:tc>
          <w:tcPr>
            <w:tcW w:w="1819" w:type="dxa"/>
            <w:hideMark/>
          </w:tcPr>
          <w:p w14:paraId="799002D4" w14:textId="4CA41CEE" w:rsidR="001D24BF" w:rsidRPr="008267D0" w:rsidRDefault="001D24BF" w:rsidP="001D24BF">
            <w:pPr>
              <w:pStyle w:val="Body"/>
              <w:spacing w:after="0"/>
              <w:rPr>
                <w:rFonts w:ascii="Arial" w:hAnsi="Arial" w:cs="Arial"/>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83 ± 0</w:t>
            </w:r>
            <w:r w:rsidR="00EE2DD6">
              <w:rPr>
                <w:rFonts w:ascii="Arial" w:hAnsi="Arial" w:cs="Arial"/>
                <w:bCs/>
                <w:lang w:val="fr-FR"/>
              </w:rPr>
              <w:t>.</w:t>
            </w:r>
            <w:r w:rsidRPr="008267D0">
              <w:rPr>
                <w:rFonts w:ascii="Arial" w:hAnsi="Arial" w:cs="Arial"/>
                <w:bCs/>
                <w:lang w:val="fr-FR"/>
              </w:rPr>
              <w:t xml:space="preserve">83 </w:t>
            </w:r>
            <w:r w:rsidRPr="008267D0">
              <w:rPr>
                <w:rFonts w:ascii="Arial" w:hAnsi="Arial" w:cs="Arial"/>
                <w:bCs/>
                <w:vertAlign w:val="superscript"/>
                <w:lang w:val="fr-FR"/>
              </w:rPr>
              <w:t>***</w:t>
            </w:r>
          </w:p>
        </w:tc>
        <w:tc>
          <w:tcPr>
            <w:tcW w:w="2027" w:type="dxa"/>
            <w:hideMark/>
          </w:tcPr>
          <w:p w14:paraId="24C97AE0" w14:textId="1BDA0C9C" w:rsidR="001D24BF" w:rsidRPr="008267D0" w:rsidRDefault="001D24BF" w:rsidP="001D24BF">
            <w:pPr>
              <w:pStyle w:val="Body"/>
              <w:spacing w:after="0"/>
              <w:rPr>
                <w:rFonts w:ascii="Arial" w:hAnsi="Arial" w:cs="Arial"/>
                <w:lang w:val="fr-FR"/>
              </w:rPr>
            </w:pPr>
            <w:r w:rsidRPr="008267D0">
              <w:rPr>
                <w:rFonts w:ascii="Arial" w:hAnsi="Arial" w:cs="Arial"/>
                <w:bCs/>
                <w:lang w:val="fr-FR"/>
              </w:rPr>
              <w:t>30</w:t>
            </w:r>
            <w:r w:rsidR="00EE2DD6">
              <w:rPr>
                <w:rFonts w:ascii="Arial" w:hAnsi="Arial" w:cs="Arial"/>
                <w:bCs/>
                <w:lang w:val="fr-FR"/>
              </w:rPr>
              <w:t>.</w:t>
            </w:r>
            <w:r w:rsidRPr="008267D0">
              <w:rPr>
                <w:rFonts w:ascii="Arial" w:hAnsi="Arial" w:cs="Arial"/>
                <w:bCs/>
                <w:lang w:val="fr-FR"/>
              </w:rPr>
              <w:t>66</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5</w:t>
            </w:r>
            <w:r w:rsidR="00EE2DD6">
              <w:rPr>
                <w:rFonts w:ascii="Arial" w:hAnsi="Arial" w:cs="Arial"/>
                <w:bCs/>
                <w:lang w:val="fr-FR"/>
              </w:rPr>
              <w:t>.</w:t>
            </w:r>
            <w:r w:rsidRPr="008267D0">
              <w:rPr>
                <w:rFonts w:ascii="Arial" w:hAnsi="Arial" w:cs="Arial"/>
                <w:bCs/>
                <w:lang w:val="fr-FR"/>
              </w:rPr>
              <w:t xml:space="preserve">22 </w:t>
            </w:r>
            <w:r w:rsidRPr="008267D0">
              <w:rPr>
                <w:rFonts w:ascii="Arial" w:hAnsi="Arial" w:cs="Arial"/>
                <w:bCs/>
                <w:vertAlign w:val="superscript"/>
                <w:lang w:val="fr-FR"/>
              </w:rPr>
              <w:t>£££***</w:t>
            </w:r>
          </w:p>
        </w:tc>
      </w:tr>
    </w:tbl>
    <w:p w14:paraId="752E0CF6" w14:textId="77777777" w:rsidR="004216CB" w:rsidRDefault="004216CB" w:rsidP="004216CB">
      <w:pPr>
        <w:pStyle w:val="Body"/>
        <w:spacing w:after="0"/>
        <w:rPr>
          <w:rFonts w:ascii="Arial" w:hAnsi="Arial" w:cs="Arial"/>
        </w:rPr>
      </w:pPr>
    </w:p>
    <w:p w14:paraId="6211A9C4" w14:textId="659FE1CC" w:rsidR="004216CB" w:rsidRPr="008267D0" w:rsidRDefault="004216CB" w:rsidP="004216CB">
      <w:pPr>
        <w:pStyle w:val="Body"/>
        <w:spacing w:after="0"/>
        <w:jc w:val="center"/>
        <w:rPr>
          <w:rFonts w:ascii="Arial" w:hAnsi="Arial" w:cs="Arial"/>
          <w:i/>
          <w:iCs/>
          <w:sz w:val="18"/>
          <w:szCs w:val="18"/>
        </w:rPr>
      </w:pPr>
      <w:r w:rsidRPr="008267D0">
        <w:rPr>
          <w:rFonts w:ascii="Arial" w:hAnsi="Arial" w:cs="Arial"/>
          <w:i/>
          <w:iCs/>
          <w:sz w:val="18"/>
          <w:szCs w:val="18"/>
        </w:rPr>
        <w:t>Results are expressed as means ± S.E.M n = 6. The data were an</w:t>
      </w:r>
      <w:r w:rsidR="00CC55DB">
        <w:rPr>
          <w:rFonts w:ascii="Arial" w:hAnsi="Arial" w:cs="Arial"/>
          <w:i/>
          <w:iCs/>
          <w:sz w:val="18"/>
          <w:szCs w:val="18"/>
        </w:rPr>
        <w:t>al</w:t>
      </w:r>
      <w:r w:rsidRPr="008267D0">
        <w:rPr>
          <w:rFonts w:ascii="Arial" w:hAnsi="Arial" w:cs="Arial"/>
          <w:i/>
          <w:iCs/>
          <w:sz w:val="18"/>
          <w:szCs w:val="18"/>
        </w:rPr>
        <w:t>yzed by the one-way ANOVA, followed by the Tukey test. *p &lt; 0.05</w:t>
      </w:r>
      <w:r w:rsidR="0075025B">
        <w:rPr>
          <w:rFonts w:ascii="Arial" w:hAnsi="Arial" w:cs="Arial"/>
          <w:i/>
          <w:iCs/>
          <w:sz w:val="18"/>
          <w:szCs w:val="18"/>
        </w:rPr>
        <w:t xml:space="preserve"> </w:t>
      </w:r>
      <w:r w:rsidRPr="008267D0">
        <w:rPr>
          <w:rFonts w:ascii="Arial" w:hAnsi="Arial" w:cs="Arial"/>
          <w:i/>
          <w:iCs/>
          <w:sz w:val="18"/>
          <w:szCs w:val="18"/>
        </w:rPr>
        <w:t xml:space="preserve">; ***p &lt; 0.001; significant difference compared to the negative control (DW+DW). </w:t>
      </w:r>
      <w:r w:rsidRPr="008267D0">
        <w:rPr>
          <w:rFonts w:ascii="Arial" w:hAnsi="Arial" w:cs="Arial"/>
          <w:b/>
          <w:bCs/>
          <w:i/>
          <w:iCs/>
          <w:sz w:val="18"/>
          <w:szCs w:val="18"/>
          <w:vertAlign w:val="superscript"/>
        </w:rPr>
        <w:t>£</w:t>
      </w:r>
      <w:r w:rsidRPr="008267D0">
        <w:rPr>
          <w:rFonts w:ascii="Arial" w:hAnsi="Arial" w:cs="Arial"/>
          <w:i/>
          <w:iCs/>
          <w:sz w:val="18"/>
          <w:szCs w:val="18"/>
        </w:rPr>
        <w:t xml:space="preserve">p&lt;0.05; </w:t>
      </w:r>
      <w:r w:rsidRPr="008267D0">
        <w:rPr>
          <w:rFonts w:ascii="Arial" w:hAnsi="Arial" w:cs="Arial"/>
          <w:b/>
          <w:bCs/>
          <w:i/>
          <w:iCs/>
          <w:sz w:val="18"/>
          <w:szCs w:val="18"/>
          <w:vertAlign w:val="superscript"/>
        </w:rPr>
        <w:t>££</w:t>
      </w:r>
      <w:r w:rsidRPr="008267D0">
        <w:rPr>
          <w:rFonts w:ascii="Arial" w:hAnsi="Arial" w:cs="Arial"/>
          <w:i/>
          <w:iCs/>
          <w:sz w:val="18"/>
          <w:szCs w:val="18"/>
        </w:rPr>
        <w:t xml:space="preserve">p&lt;0.01; </w:t>
      </w:r>
      <w:r w:rsidRPr="008267D0">
        <w:rPr>
          <w:rFonts w:ascii="Arial" w:hAnsi="Arial" w:cs="Arial"/>
          <w:b/>
          <w:bCs/>
          <w:i/>
          <w:iCs/>
          <w:sz w:val="18"/>
          <w:szCs w:val="18"/>
          <w:vertAlign w:val="superscript"/>
        </w:rPr>
        <w:t>£££</w:t>
      </w:r>
      <w:r w:rsidRPr="008267D0">
        <w:rPr>
          <w:rFonts w:ascii="Arial" w:hAnsi="Arial" w:cs="Arial"/>
          <w:i/>
          <w:iCs/>
          <w:sz w:val="18"/>
          <w:szCs w:val="18"/>
        </w:rPr>
        <w:t>p&lt;0.001; significant difference compared to the norm</w:t>
      </w:r>
      <w:r w:rsidR="00CC55DB">
        <w:rPr>
          <w:rFonts w:ascii="Arial" w:hAnsi="Arial" w:cs="Arial"/>
          <w:i/>
          <w:iCs/>
          <w:sz w:val="18"/>
          <w:szCs w:val="18"/>
        </w:rPr>
        <w:t>al</w:t>
      </w:r>
      <w:r w:rsidRPr="008267D0">
        <w:rPr>
          <w:rFonts w:ascii="Arial" w:hAnsi="Arial" w:cs="Arial"/>
          <w:i/>
          <w:iCs/>
          <w:sz w:val="18"/>
          <w:szCs w:val="18"/>
        </w:rPr>
        <w:t xml:space="preserve"> control (DW+DW). </w:t>
      </w:r>
      <w:bookmarkStart w:id="21" w:name="_Hlk184232657"/>
      <w:r w:rsidRPr="008267D0">
        <w:rPr>
          <w:rFonts w:ascii="Arial" w:hAnsi="Arial" w:cs="Arial"/>
          <w:i/>
          <w:iCs/>
          <w:sz w:val="18"/>
          <w:szCs w:val="18"/>
        </w:rPr>
        <w:t xml:space="preserve">DW: Distilled Water (10 mL/kg); Pilo: Pilocarpine; </w:t>
      </w:r>
      <w:proofErr w:type="spellStart"/>
      <w:r w:rsidRPr="008267D0">
        <w:rPr>
          <w:rFonts w:ascii="Arial" w:hAnsi="Arial" w:cs="Arial"/>
          <w:i/>
          <w:iCs/>
          <w:sz w:val="18"/>
          <w:szCs w:val="18"/>
        </w:rPr>
        <w:t>Cb</w:t>
      </w:r>
      <w:proofErr w:type="spellEnd"/>
      <w:r w:rsidRPr="008267D0">
        <w:rPr>
          <w:rFonts w:ascii="Arial" w:hAnsi="Arial" w:cs="Arial"/>
          <w:i/>
          <w:iCs/>
          <w:sz w:val="18"/>
          <w:szCs w:val="18"/>
        </w:rPr>
        <w:t>: C. bauchiense; SV: Sodium V</w:t>
      </w:r>
      <w:r w:rsidR="00CC55DB">
        <w:rPr>
          <w:rFonts w:ascii="Arial" w:hAnsi="Arial" w:cs="Arial"/>
          <w:i/>
          <w:iCs/>
          <w:sz w:val="18"/>
          <w:szCs w:val="18"/>
        </w:rPr>
        <w:t>al</w:t>
      </w:r>
      <w:r w:rsidRPr="008267D0">
        <w:rPr>
          <w:rFonts w:ascii="Arial" w:hAnsi="Arial" w:cs="Arial"/>
          <w:i/>
          <w:iCs/>
          <w:sz w:val="18"/>
          <w:szCs w:val="18"/>
        </w:rPr>
        <w:t>proate (300 mg/kg); Pira: Piracetam (15 mg/kg).</w:t>
      </w:r>
    </w:p>
    <w:bookmarkEnd w:id="21"/>
    <w:p w14:paraId="58B27F8C" w14:textId="08B7DA73" w:rsidR="001D24BF" w:rsidRDefault="001D24BF" w:rsidP="008267D0">
      <w:pPr>
        <w:pStyle w:val="Body"/>
        <w:rPr>
          <w:rFonts w:ascii="Arial" w:hAnsi="Arial" w:cs="Arial"/>
        </w:rPr>
      </w:pPr>
    </w:p>
    <w:p w14:paraId="104417AA" w14:textId="37738095" w:rsidR="001D24BF" w:rsidRDefault="001D24BF" w:rsidP="008267D0">
      <w:pPr>
        <w:pStyle w:val="Body"/>
        <w:rPr>
          <w:rFonts w:ascii="Arial" w:hAnsi="Arial" w:cs="Arial"/>
        </w:rPr>
      </w:pPr>
    </w:p>
    <w:p w14:paraId="6518A02E" w14:textId="0A028845" w:rsidR="001D24BF" w:rsidRDefault="001D24BF" w:rsidP="008267D0">
      <w:pPr>
        <w:pStyle w:val="Body"/>
        <w:rPr>
          <w:rFonts w:ascii="Arial" w:hAnsi="Arial" w:cs="Arial"/>
        </w:rPr>
      </w:pPr>
    </w:p>
    <w:p w14:paraId="1E328580" w14:textId="1FB6AD8F" w:rsidR="001D24BF" w:rsidRDefault="001D24BF" w:rsidP="008267D0">
      <w:pPr>
        <w:pStyle w:val="Body"/>
        <w:rPr>
          <w:rFonts w:ascii="Arial" w:hAnsi="Arial" w:cs="Arial"/>
        </w:rPr>
      </w:pPr>
    </w:p>
    <w:p w14:paraId="3E2D0836" w14:textId="1518643E" w:rsidR="001D24BF" w:rsidRDefault="001D24BF" w:rsidP="008267D0">
      <w:pPr>
        <w:pStyle w:val="Body"/>
        <w:rPr>
          <w:rFonts w:ascii="Arial" w:hAnsi="Arial" w:cs="Arial"/>
        </w:rPr>
      </w:pPr>
    </w:p>
    <w:p w14:paraId="63CA5D89" w14:textId="2A592892" w:rsidR="001D24BF" w:rsidRDefault="001D24BF" w:rsidP="008267D0">
      <w:pPr>
        <w:pStyle w:val="Body"/>
        <w:rPr>
          <w:rFonts w:ascii="Arial" w:hAnsi="Arial" w:cs="Arial"/>
        </w:rPr>
      </w:pPr>
    </w:p>
    <w:p w14:paraId="3976249C" w14:textId="4923CCC5" w:rsidR="001D24BF" w:rsidRDefault="001D24BF" w:rsidP="008267D0">
      <w:pPr>
        <w:pStyle w:val="Body"/>
        <w:rPr>
          <w:rFonts w:ascii="Arial" w:hAnsi="Arial" w:cs="Arial"/>
        </w:rPr>
      </w:pPr>
    </w:p>
    <w:p w14:paraId="7D737362" w14:textId="0D2DF0EA" w:rsidR="001D24BF" w:rsidRDefault="001D24BF" w:rsidP="008267D0">
      <w:pPr>
        <w:pStyle w:val="Body"/>
        <w:rPr>
          <w:rFonts w:ascii="Arial" w:hAnsi="Arial" w:cs="Arial"/>
        </w:rPr>
      </w:pPr>
    </w:p>
    <w:p w14:paraId="367FEF3D" w14:textId="77777777" w:rsidR="001D24BF" w:rsidRPr="008267D0" w:rsidRDefault="001D24BF" w:rsidP="008267D0">
      <w:pPr>
        <w:pStyle w:val="Body"/>
        <w:rPr>
          <w:rFonts w:ascii="Arial" w:hAnsi="Arial" w:cs="Arial"/>
        </w:rPr>
      </w:pPr>
    </w:p>
    <w:p w14:paraId="6EF1AC4A" w14:textId="77777777" w:rsidR="001D24BF" w:rsidRDefault="001D24BF" w:rsidP="008267D0">
      <w:pPr>
        <w:pStyle w:val="Body"/>
        <w:spacing w:after="0"/>
        <w:rPr>
          <w:rFonts w:ascii="Arial" w:hAnsi="Arial" w:cs="Arial"/>
        </w:rPr>
        <w:sectPr w:rsidR="001D24BF" w:rsidSect="00010DA0">
          <w:type w:val="continuous"/>
          <w:pgSz w:w="15840" w:h="12240" w:orient="landscape"/>
          <w:pgMar w:top="2019" w:right="1440" w:bottom="2019" w:left="2019" w:header="720" w:footer="1123" w:gutter="0"/>
          <w:cols w:space="720"/>
          <w:docGrid w:linePitch="272"/>
        </w:sectPr>
      </w:pPr>
    </w:p>
    <w:p w14:paraId="42E56850" w14:textId="6D22E680" w:rsidR="0004576F" w:rsidRDefault="0004576F" w:rsidP="008267D0">
      <w:pPr>
        <w:pStyle w:val="Body"/>
        <w:spacing w:after="0"/>
        <w:rPr>
          <w:rFonts w:ascii="Arial" w:hAnsi="Arial" w:cs="Arial"/>
        </w:rPr>
      </w:pPr>
    </w:p>
    <w:p w14:paraId="65BF7134" w14:textId="7A2D7020" w:rsidR="004216CB" w:rsidRPr="004216CB" w:rsidRDefault="004216CB" w:rsidP="004216CB">
      <w:pPr>
        <w:pStyle w:val="Body"/>
        <w:spacing w:after="0"/>
        <w:rPr>
          <w:rFonts w:ascii="Arial" w:hAnsi="Arial" w:cs="Arial"/>
          <w:i/>
        </w:rPr>
      </w:pPr>
      <w:r w:rsidRPr="004216CB">
        <w:rPr>
          <w:rFonts w:ascii="Arial" w:hAnsi="Arial" w:cs="Arial"/>
          <w:b/>
          <w:bCs/>
        </w:rPr>
        <w:t>3.</w:t>
      </w:r>
      <w:r w:rsidR="00D23863">
        <w:rPr>
          <w:rFonts w:ascii="Arial" w:hAnsi="Arial" w:cs="Arial"/>
          <w:b/>
          <w:bCs/>
        </w:rPr>
        <w:t>9</w:t>
      </w:r>
      <w:r w:rsidRPr="004216CB">
        <w:rPr>
          <w:rFonts w:ascii="Arial" w:hAnsi="Arial" w:cs="Arial"/>
          <w:b/>
          <w:bCs/>
        </w:rPr>
        <w:t xml:space="preserve">. Effect of aqueous extract of </w:t>
      </w:r>
      <w:r w:rsidRPr="00586EDF">
        <w:rPr>
          <w:rFonts w:ascii="Arial" w:hAnsi="Arial" w:cs="Arial"/>
          <w:b/>
          <w:i/>
        </w:rPr>
        <w:t>Crassoceph</w:t>
      </w:r>
      <w:r w:rsidR="00CC55DB">
        <w:rPr>
          <w:rFonts w:ascii="Arial" w:hAnsi="Arial" w:cs="Arial"/>
          <w:b/>
          <w:i/>
        </w:rPr>
        <w:t>al</w:t>
      </w:r>
      <w:r w:rsidRPr="00586EDF">
        <w:rPr>
          <w:rFonts w:ascii="Arial" w:hAnsi="Arial" w:cs="Arial"/>
          <w:b/>
          <w:i/>
        </w:rPr>
        <w:t>um bauchiense</w:t>
      </w:r>
      <w:r w:rsidRPr="004216CB">
        <w:rPr>
          <w:rFonts w:ascii="Arial" w:hAnsi="Arial" w:cs="Arial"/>
          <w:b/>
          <w:bCs/>
        </w:rPr>
        <w:t xml:space="preserve"> on GABA metabolism in the hippocampus</w:t>
      </w:r>
    </w:p>
    <w:p w14:paraId="7C66B865" w14:textId="0E02A63E" w:rsidR="004216CB" w:rsidRPr="004216CB" w:rsidRDefault="004216CB" w:rsidP="004216CB">
      <w:pPr>
        <w:pStyle w:val="Body"/>
        <w:rPr>
          <w:rFonts w:ascii="Arial" w:hAnsi="Arial" w:cs="Arial"/>
        </w:rPr>
      </w:pPr>
      <w:r w:rsidRPr="004216CB">
        <w:rPr>
          <w:rFonts w:ascii="Arial" w:hAnsi="Arial" w:cs="Arial"/>
        </w:rPr>
        <w:t>The GABA concentration reve</w:t>
      </w:r>
      <w:r w:rsidR="00CC55DB">
        <w:rPr>
          <w:rFonts w:ascii="Arial" w:hAnsi="Arial" w:cs="Arial"/>
        </w:rPr>
        <w:t>al</w:t>
      </w:r>
      <w:r w:rsidRPr="004216CB">
        <w:rPr>
          <w:rFonts w:ascii="Arial" w:hAnsi="Arial" w:cs="Arial"/>
        </w:rPr>
        <w:t xml:space="preserve">s a significant decrease (p &lt;0.001) in the negative control (263.5 ± 9.33 </w:t>
      </w:r>
      <w:r w:rsidRPr="004216CB">
        <w:rPr>
          <w:rFonts w:ascii="Arial" w:hAnsi="Arial" w:cs="Arial"/>
          <w:lang w:val="fr-FR"/>
        </w:rPr>
        <w:t>μ</w:t>
      </w:r>
      <w:r w:rsidRPr="004216CB">
        <w:rPr>
          <w:rFonts w:ascii="Arial" w:hAnsi="Arial" w:cs="Arial"/>
        </w:rPr>
        <w:t>g/g tissue) compared to the norm</w:t>
      </w:r>
      <w:r w:rsidR="00CC55DB">
        <w:rPr>
          <w:rFonts w:ascii="Arial" w:hAnsi="Arial" w:cs="Arial"/>
        </w:rPr>
        <w:t>al</w:t>
      </w:r>
      <w:r w:rsidRPr="004216CB">
        <w:rPr>
          <w:rFonts w:ascii="Arial" w:hAnsi="Arial" w:cs="Arial"/>
        </w:rPr>
        <w:t xml:space="preserve"> control (392.16 </w:t>
      </w:r>
      <w:r w:rsidRPr="004216CB">
        <w:rPr>
          <w:rFonts w:ascii="Arial" w:hAnsi="Arial" w:cs="Arial"/>
          <w:lang w:val="fr-FR"/>
        </w:rPr>
        <w:t>μ</w:t>
      </w:r>
      <w:r w:rsidRPr="004216CB">
        <w:rPr>
          <w:rFonts w:ascii="Arial" w:hAnsi="Arial" w:cs="Arial"/>
        </w:rPr>
        <w:t xml:space="preserve">g/g tissue)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xml:space="preserve">. The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586EDF">
        <w:rPr>
          <w:rFonts w:ascii="Arial" w:hAnsi="Arial" w:cs="Arial"/>
          <w:i/>
          <w:iCs/>
        </w:rPr>
        <w:t xml:space="preserve"> </w:t>
      </w:r>
      <w:r w:rsidRPr="004216CB">
        <w:rPr>
          <w:rFonts w:ascii="Arial" w:hAnsi="Arial" w:cs="Arial"/>
        </w:rPr>
        <w:t xml:space="preserve">led to an increase [(F (7, 40) = 223, </w:t>
      </w:r>
      <w:r w:rsidRPr="004216CB">
        <w:rPr>
          <w:rFonts w:ascii="Arial" w:hAnsi="Arial" w:cs="Arial"/>
          <w:i/>
        </w:rPr>
        <w:t>P</w:t>
      </w:r>
      <w:r w:rsidRPr="004216CB">
        <w:rPr>
          <w:rFonts w:ascii="Arial" w:hAnsi="Arial" w:cs="Arial"/>
        </w:rPr>
        <w:t xml:space="preserve">&lt;0.001] in GABA concentration in mice in the test groups, 302.16 ± 1.88 µg/g (p &lt;0.001), 379.16 ± 7.83 µg/g (p &lt;0.001) and 387.66 ± 8.77 µg/g (p &lt;0.001) respectively in those treated with the 70, 140 and 280 mg/kg doses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The same is true for sodium v</w:t>
      </w:r>
      <w:r w:rsidR="00CC55DB">
        <w:rPr>
          <w:rFonts w:ascii="Arial" w:hAnsi="Arial" w:cs="Arial"/>
        </w:rPr>
        <w:t>al</w:t>
      </w:r>
      <w:r w:rsidRPr="004216CB">
        <w:rPr>
          <w:rFonts w:ascii="Arial" w:hAnsi="Arial" w:cs="Arial"/>
        </w:rPr>
        <w:t xml:space="preserve">proate (300 mg/kg) and piracetam induced a significant increase in GABA level 387.33 ± 5.11 </w:t>
      </w:r>
      <w:r w:rsidRPr="004216CB">
        <w:rPr>
          <w:rFonts w:ascii="Arial" w:hAnsi="Arial" w:cs="Arial"/>
          <w:lang w:val="fr-FR"/>
        </w:rPr>
        <w:t>μ</w:t>
      </w:r>
      <w:r w:rsidRPr="004216CB">
        <w:rPr>
          <w:rFonts w:ascii="Arial" w:hAnsi="Arial" w:cs="Arial"/>
        </w:rPr>
        <w:t xml:space="preserve">g/g tissue (p &lt;0.001) and 389.50 ± 6.83 </w:t>
      </w:r>
      <w:r w:rsidRPr="004216CB">
        <w:rPr>
          <w:rFonts w:ascii="Arial" w:hAnsi="Arial" w:cs="Arial"/>
          <w:lang w:val="fr-FR"/>
        </w:rPr>
        <w:t>μ</w:t>
      </w:r>
      <w:r w:rsidRPr="004216CB">
        <w:rPr>
          <w:rFonts w:ascii="Arial" w:hAnsi="Arial" w:cs="Arial"/>
        </w:rPr>
        <w:t xml:space="preserve">g/g (p &lt;0.001), respectively, compared with the negative control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w:t>
      </w:r>
    </w:p>
    <w:p w14:paraId="0BBCF919" w14:textId="0CFED722" w:rsidR="004216CB" w:rsidRPr="004216CB" w:rsidRDefault="004216CB" w:rsidP="004216CB">
      <w:pPr>
        <w:pStyle w:val="Body"/>
        <w:rPr>
          <w:rFonts w:ascii="Arial" w:hAnsi="Arial" w:cs="Arial"/>
        </w:rPr>
      </w:pPr>
      <w:r w:rsidRPr="004216CB">
        <w:rPr>
          <w:rFonts w:ascii="Arial" w:hAnsi="Arial" w:cs="Arial"/>
        </w:rPr>
        <w:t xml:space="preserve">There was a significant increase in GABA-transaminase activity, in mice of the negative control group (115.66 ± 8.33 </w:t>
      </w:r>
      <w:proofErr w:type="spellStart"/>
      <w:r w:rsidRPr="004216CB">
        <w:rPr>
          <w:rFonts w:ascii="Arial" w:hAnsi="Arial" w:cs="Arial"/>
        </w:rPr>
        <w:t>pg</w:t>
      </w:r>
      <w:proofErr w:type="spellEnd"/>
      <w:r w:rsidRPr="004216CB">
        <w:rPr>
          <w:rFonts w:ascii="Arial" w:hAnsi="Arial" w:cs="Arial"/>
        </w:rPr>
        <w:t>/min/mg of tissue) compared to the norm</w:t>
      </w:r>
      <w:r w:rsidR="00CC55DB">
        <w:rPr>
          <w:rFonts w:ascii="Arial" w:hAnsi="Arial" w:cs="Arial"/>
        </w:rPr>
        <w:t>al</w:t>
      </w:r>
      <w:r w:rsidRPr="004216CB">
        <w:rPr>
          <w:rFonts w:ascii="Arial" w:hAnsi="Arial" w:cs="Arial"/>
        </w:rPr>
        <w:t xml:space="preserve"> control (44.16 </w:t>
      </w:r>
      <w:proofErr w:type="spellStart"/>
      <w:r w:rsidRPr="004216CB">
        <w:rPr>
          <w:rFonts w:ascii="Arial" w:hAnsi="Arial" w:cs="Arial"/>
        </w:rPr>
        <w:t>pg</w:t>
      </w:r>
      <w:proofErr w:type="spellEnd"/>
      <w:r w:rsidRPr="004216CB">
        <w:rPr>
          <w:rFonts w:ascii="Arial" w:hAnsi="Arial" w:cs="Arial"/>
        </w:rPr>
        <w:t xml:space="preserve">/min/mg of tissue)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xml:space="preserve">.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586EDF">
        <w:rPr>
          <w:rFonts w:ascii="Arial" w:hAnsi="Arial" w:cs="Arial"/>
          <w:i/>
          <w:iCs/>
        </w:rPr>
        <w:t xml:space="preserve"> </w:t>
      </w:r>
      <w:r w:rsidRPr="004216CB">
        <w:rPr>
          <w:rFonts w:ascii="Arial" w:hAnsi="Arial" w:cs="Arial"/>
        </w:rPr>
        <w:t xml:space="preserve">extract led to a decrease [F (7, 40) = 146, </w:t>
      </w:r>
      <w:r w:rsidRPr="004216CB">
        <w:rPr>
          <w:rFonts w:ascii="Arial" w:hAnsi="Arial" w:cs="Arial"/>
          <w:i/>
        </w:rPr>
        <w:t>P</w:t>
      </w:r>
      <w:r w:rsidRPr="004216CB">
        <w:rPr>
          <w:rFonts w:ascii="Arial" w:hAnsi="Arial" w:cs="Arial"/>
        </w:rPr>
        <w:t xml:space="preserve">&lt;0.001]. In this concentration of 95.50 ± 2.00 </w:t>
      </w:r>
      <w:proofErr w:type="spellStart"/>
      <w:r w:rsidRPr="004216CB">
        <w:rPr>
          <w:rFonts w:ascii="Arial" w:hAnsi="Arial" w:cs="Arial"/>
        </w:rPr>
        <w:t>pg</w:t>
      </w:r>
      <w:proofErr w:type="spellEnd"/>
      <w:r w:rsidRPr="004216CB">
        <w:rPr>
          <w:rFonts w:ascii="Arial" w:hAnsi="Arial" w:cs="Arial"/>
        </w:rPr>
        <w:t xml:space="preserve">/min/mg (p &lt;0.001), 81.16 ± 4.50 </w:t>
      </w:r>
      <w:proofErr w:type="spellStart"/>
      <w:r w:rsidRPr="004216CB">
        <w:rPr>
          <w:rFonts w:ascii="Arial" w:hAnsi="Arial" w:cs="Arial"/>
        </w:rPr>
        <w:t>pg</w:t>
      </w:r>
      <w:proofErr w:type="spellEnd"/>
      <w:r w:rsidRPr="004216CB">
        <w:rPr>
          <w:rFonts w:ascii="Arial" w:hAnsi="Arial" w:cs="Arial"/>
        </w:rPr>
        <w:t xml:space="preserve">/min/mg (p &lt;0.001), 49.66 ± 4.00 </w:t>
      </w:r>
      <w:proofErr w:type="spellStart"/>
      <w:r w:rsidRPr="004216CB">
        <w:rPr>
          <w:rFonts w:ascii="Arial" w:hAnsi="Arial" w:cs="Arial"/>
        </w:rPr>
        <w:t>pg</w:t>
      </w:r>
      <w:proofErr w:type="spellEnd"/>
      <w:r w:rsidRPr="004216CB">
        <w:rPr>
          <w:rFonts w:ascii="Arial" w:hAnsi="Arial" w:cs="Arial"/>
        </w:rPr>
        <w:t xml:space="preserve">/min/mg (p &lt;0.001), and 41.33 ± 2.11 </w:t>
      </w:r>
      <w:proofErr w:type="spellStart"/>
      <w:r w:rsidRPr="004216CB">
        <w:rPr>
          <w:rFonts w:ascii="Arial" w:hAnsi="Arial" w:cs="Arial"/>
        </w:rPr>
        <w:t>pg</w:t>
      </w:r>
      <w:proofErr w:type="spellEnd"/>
      <w:r w:rsidRPr="004216CB">
        <w:rPr>
          <w:rFonts w:ascii="Arial" w:hAnsi="Arial" w:cs="Arial"/>
        </w:rPr>
        <w:t xml:space="preserve">/min/mg (p &lt;0.001) respectively in mice treated with 28, 70, 140, and 280 mg/kg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Sodium v</w:t>
      </w:r>
      <w:r w:rsidR="00CC55DB">
        <w:rPr>
          <w:rFonts w:ascii="Arial" w:hAnsi="Arial" w:cs="Arial"/>
        </w:rPr>
        <w:t>al</w:t>
      </w:r>
      <w:r w:rsidRPr="004216CB">
        <w:rPr>
          <w:rFonts w:ascii="Arial" w:hAnsi="Arial" w:cs="Arial"/>
        </w:rPr>
        <w:t xml:space="preserve">proate and piracetam significantly decreased this activity to 42.16 ± 2.28 </w:t>
      </w:r>
      <w:proofErr w:type="spellStart"/>
      <w:r w:rsidRPr="004216CB">
        <w:rPr>
          <w:rFonts w:ascii="Arial" w:hAnsi="Arial" w:cs="Arial"/>
        </w:rPr>
        <w:t>pg</w:t>
      </w:r>
      <w:proofErr w:type="spellEnd"/>
      <w:r w:rsidRPr="004216CB">
        <w:rPr>
          <w:rFonts w:ascii="Arial" w:hAnsi="Arial" w:cs="Arial"/>
        </w:rPr>
        <w:t xml:space="preserve">/min/mg tissue (p &lt;0.001) and 41.50 ± 3.66 </w:t>
      </w:r>
      <w:proofErr w:type="spellStart"/>
      <w:r w:rsidRPr="004216CB">
        <w:rPr>
          <w:rFonts w:ascii="Arial" w:hAnsi="Arial" w:cs="Arial"/>
        </w:rPr>
        <w:t>pg</w:t>
      </w:r>
      <w:proofErr w:type="spellEnd"/>
      <w:r w:rsidRPr="004216CB">
        <w:rPr>
          <w:rFonts w:ascii="Arial" w:hAnsi="Arial" w:cs="Arial"/>
        </w:rPr>
        <w:t xml:space="preserve">/min/mg tissue (p &lt;0.001), respectively, compared with the negative control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xml:space="preserve">. </w:t>
      </w:r>
      <w:bookmarkStart w:id="22" w:name="_Hlk98229277"/>
    </w:p>
    <w:p w14:paraId="6BACF80A" w14:textId="77777777" w:rsidR="004216CB" w:rsidRPr="004216CB" w:rsidRDefault="004216CB" w:rsidP="004216CB">
      <w:pPr>
        <w:pStyle w:val="Body"/>
        <w:rPr>
          <w:rFonts w:ascii="Arial" w:hAnsi="Arial" w:cs="Arial"/>
          <w:b/>
          <w:iCs/>
        </w:rPr>
      </w:pPr>
    </w:p>
    <w:p w14:paraId="65B48E2B" w14:textId="067BC138" w:rsidR="004216CB" w:rsidRPr="004216CB" w:rsidRDefault="004216CB" w:rsidP="004216CB">
      <w:pPr>
        <w:pStyle w:val="Body"/>
        <w:spacing w:after="0"/>
        <w:rPr>
          <w:rFonts w:ascii="Arial" w:hAnsi="Arial" w:cs="Arial"/>
        </w:rPr>
      </w:pPr>
      <w:r w:rsidRPr="004216CB">
        <w:rPr>
          <w:rFonts w:ascii="Arial" w:hAnsi="Arial" w:cs="Arial"/>
          <w:b/>
          <w:iCs/>
        </w:rPr>
        <w:t xml:space="preserve">Table </w:t>
      </w:r>
      <w:r w:rsidR="00F83EF1">
        <w:rPr>
          <w:rFonts w:ascii="Arial" w:hAnsi="Arial" w:cs="Arial"/>
          <w:b/>
          <w:iCs/>
        </w:rPr>
        <w:t>4</w:t>
      </w:r>
      <w:r w:rsidRPr="004216CB">
        <w:rPr>
          <w:rFonts w:ascii="Arial" w:hAnsi="Arial" w:cs="Arial"/>
          <w:b/>
          <w:iCs/>
        </w:rPr>
        <w:t>:</w:t>
      </w:r>
      <w:r w:rsidRPr="004216CB">
        <w:rPr>
          <w:rFonts w:ascii="Arial" w:hAnsi="Arial" w:cs="Arial"/>
          <w:b/>
          <w:bCs/>
          <w:i/>
          <w:iCs/>
        </w:rPr>
        <w:t xml:space="preserve"> </w:t>
      </w:r>
      <w:r w:rsidRPr="004216CB">
        <w:rPr>
          <w:rFonts w:ascii="Arial" w:hAnsi="Arial" w:cs="Arial"/>
          <w:b/>
          <w:bCs/>
        </w:rPr>
        <w:t xml:space="preserve">Effect of </w:t>
      </w:r>
      <w:r w:rsidRPr="00586EDF">
        <w:rPr>
          <w:rFonts w:ascii="Arial" w:hAnsi="Arial" w:cs="Arial"/>
          <w:b/>
          <w:bCs/>
          <w:i/>
          <w:iCs/>
        </w:rPr>
        <w:t>Crassoceph</w:t>
      </w:r>
      <w:r w:rsidR="00CC55DB">
        <w:rPr>
          <w:rFonts w:ascii="Arial" w:hAnsi="Arial" w:cs="Arial"/>
          <w:b/>
          <w:bCs/>
          <w:i/>
          <w:iCs/>
        </w:rPr>
        <w:t>al</w:t>
      </w:r>
      <w:r w:rsidRPr="00586EDF">
        <w:rPr>
          <w:rFonts w:ascii="Arial" w:hAnsi="Arial" w:cs="Arial"/>
          <w:b/>
          <w:bCs/>
          <w:i/>
          <w:iCs/>
        </w:rPr>
        <w:t>um bauchiense</w:t>
      </w:r>
      <w:r w:rsidRPr="004216CB">
        <w:rPr>
          <w:rFonts w:ascii="Arial" w:hAnsi="Arial" w:cs="Arial"/>
          <w:b/>
          <w:bCs/>
        </w:rPr>
        <w:t xml:space="preserve"> on the GABA metabolism in the hippocampu</w:t>
      </w:r>
      <w:r w:rsidRPr="004216CB">
        <w:rPr>
          <w:rFonts w:ascii="Arial" w:hAnsi="Arial" w:cs="Arial"/>
        </w:rPr>
        <w:t>s</w:t>
      </w:r>
    </w:p>
    <w:p w14:paraId="5ABEEF3F" w14:textId="77777777" w:rsidR="004216CB" w:rsidRPr="004216CB" w:rsidRDefault="004216CB" w:rsidP="004216CB">
      <w:pPr>
        <w:pStyle w:val="Body"/>
        <w:spacing w:after="0"/>
        <w:rPr>
          <w:rFonts w:ascii="Arial" w:hAnsi="Arial" w:cs="Arial"/>
        </w:rPr>
      </w:pPr>
    </w:p>
    <w:tbl>
      <w:tblPr>
        <w:tblpPr w:leftFromText="141" w:rightFromText="141" w:vertAnchor="text" w:horzAnchor="margin" w:tblpY="-5"/>
        <w:tblW w:w="8914" w:type="dxa"/>
        <w:tblBorders>
          <w:top w:val="single" w:sz="4" w:space="0" w:color="auto"/>
          <w:bottom w:val="single" w:sz="4" w:space="0" w:color="auto"/>
        </w:tblBorders>
        <w:tblLook w:val="04A0" w:firstRow="1" w:lastRow="0" w:firstColumn="1" w:lastColumn="0" w:noHBand="0" w:noVBand="1"/>
      </w:tblPr>
      <w:tblGrid>
        <w:gridCol w:w="1782"/>
        <w:gridCol w:w="1570"/>
        <w:gridCol w:w="2424"/>
        <w:gridCol w:w="3138"/>
      </w:tblGrid>
      <w:tr w:rsidR="004216CB" w:rsidRPr="0075025B" w14:paraId="40E1E90F" w14:textId="77777777" w:rsidTr="00C1559B">
        <w:trPr>
          <w:trHeight w:val="278"/>
        </w:trPr>
        <w:tc>
          <w:tcPr>
            <w:tcW w:w="1782" w:type="dxa"/>
            <w:tcBorders>
              <w:top w:val="single" w:sz="4" w:space="0" w:color="auto"/>
              <w:bottom w:val="single" w:sz="4" w:space="0" w:color="auto"/>
            </w:tcBorders>
            <w:noWrap/>
            <w:hideMark/>
          </w:tcPr>
          <w:p w14:paraId="69ED25BE"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 xml:space="preserve">Groups     </w:t>
            </w:r>
          </w:p>
        </w:tc>
        <w:tc>
          <w:tcPr>
            <w:tcW w:w="1570" w:type="dxa"/>
            <w:tcBorders>
              <w:top w:val="single" w:sz="4" w:space="0" w:color="auto"/>
              <w:bottom w:val="single" w:sz="4" w:space="0" w:color="auto"/>
            </w:tcBorders>
            <w:noWrap/>
            <w:hideMark/>
          </w:tcPr>
          <w:p w14:paraId="49CDCC67"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Doses (mg/kg)</w:t>
            </w:r>
          </w:p>
        </w:tc>
        <w:tc>
          <w:tcPr>
            <w:tcW w:w="2424" w:type="dxa"/>
            <w:tcBorders>
              <w:top w:val="single" w:sz="4" w:space="0" w:color="auto"/>
              <w:bottom w:val="single" w:sz="4" w:space="0" w:color="auto"/>
            </w:tcBorders>
            <w:noWrap/>
            <w:hideMark/>
          </w:tcPr>
          <w:p w14:paraId="77277836"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 xml:space="preserve">GABA </w:t>
            </w:r>
          </w:p>
          <w:p w14:paraId="403BA5EE"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 xml:space="preserve">(μg/g de tissu)  </w:t>
            </w:r>
          </w:p>
        </w:tc>
        <w:tc>
          <w:tcPr>
            <w:tcW w:w="3138" w:type="dxa"/>
            <w:tcBorders>
              <w:top w:val="single" w:sz="4" w:space="0" w:color="auto"/>
              <w:bottom w:val="single" w:sz="4" w:space="0" w:color="auto"/>
            </w:tcBorders>
            <w:noWrap/>
            <w:hideMark/>
          </w:tcPr>
          <w:p w14:paraId="4B596E1B"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GABA-Transaminase (</w:t>
            </w:r>
            <w:proofErr w:type="spellStart"/>
            <w:r w:rsidRPr="004216CB">
              <w:rPr>
                <w:rFonts w:ascii="Arial" w:hAnsi="Arial" w:cs="Arial"/>
                <w:b/>
                <w:bCs/>
                <w:lang w:val="fr-FR"/>
              </w:rPr>
              <w:t>pg</w:t>
            </w:r>
            <w:proofErr w:type="spellEnd"/>
            <w:r w:rsidRPr="004216CB">
              <w:rPr>
                <w:rFonts w:ascii="Arial" w:hAnsi="Arial" w:cs="Arial"/>
                <w:b/>
                <w:bCs/>
                <w:lang w:val="fr-FR"/>
              </w:rPr>
              <w:t xml:space="preserve">/min/mg de tissu)  </w:t>
            </w:r>
          </w:p>
        </w:tc>
      </w:tr>
      <w:tr w:rsidR="004216CB" w:rsidRPr="004216CB" w14:paraId="5C16FDF0" w14:textId="77777777" w:rsidTr="00C1559B">
        <w:trPr>
          <w:trHeight w:val="278"/>
        </w:trPr>
        <w:tc>
          <w:tcPr>
            <w:tcW w:w="1782" w:type="dxa"/>
            <w:tcBorders>
              <w:top w:val="single" w:sz="4" w:space="0" w:color="auto"/>
            </w:tcBorders>
            <w:shd w:val="clear" w:color="auto" w:fill="FFFFFF"/>
            <w:noWrap/>
            <w:hideMark/>
          </w:tcPr>
          <w:p w14:paraId="35B6C9D4" w14:textId="77777777" w:rsidR="004216CB" w:rsidRPr="004216CB" w:rsidRDefault="004216CB" w:rsidP="004216CB">
            <w:pPr>
              <w:pStyle w:val="Body"/>
              <w:spacing w:after="0"/>
              <w:rPr>
                <w:rFonts w:ascii="Arial" w:hAnsi="Arial" w:cs="Arial"/>
                <w:bCs/>
                <w:lang w:val="fr-FR"/>
              </w:rPr>
            </w:pPr>
            <w:r w:rsidRPr="004216CB">
              <w:rPr>
                <w:rFonts w:ascii="Arial" w:hAnsi="Arial" w:cs="Arial"/>
                <w:bCs/>
                <w:lang w:val="fr-FR"/>
              </w:rPr>
              <w:t>DW+DW</w:t>
            </w:r>
          </w:p>
        </w:tc>
        <w:tc>
          <w:tcPr>
            <w:tcW w:w="1570" w:type="dxa"/>
            <w:tcBorders>
              <w:top w:val="single" w:sz="4" w:space="0" w:color="auto"/>
            </w:tcBorders>
            <w:shd w:val="clear" w:color="auto" w:fill="auto"/>
            <w:noWrap/>
            <w:hideMark/>
          </w:tcPr>
          <w:p w14:paraId="40699AA4"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w:t>
            </w:r>
          </w:p>
        </w:tc>
        <w:tc>
          <w:tcPr>
            <w:tcW w:w="2424" w:type="dxa"/>
            <w:tcBorders>
              <w:top w:val="single" w:sz="4" w:space="0" w:color="auto"/>
            </w:tcBorders>
            <w:shd w:val="clear" w:color="auto" w:fill="auto"/>
            <w:noWrap/>
            <w:hideMark/>
          </w:tcPr>
          <w:p w14:paraId="2E5E4A24" w14:textId="161C2E97" w:rsidR="004216CB" w:rsidRPr="004216CB" w:rsidRDefault="004216CB" w:rsidP="004216CB">
            <w:pPr>
              <w:pStyle w:val="Body"/>
              <w:spacing w:after="0"/>
              <w:rPr>
                <w:rFonts w:ascii="Arial" w:hAnsi="Arial" w:cs="Arial"/>
                <w:lang w:val="fr-FR"/>
              </w:rPr>
            </w:pPr>
            <w:r w:rsidRPr="004216CB">
              <w:rPr>
                <w:rFonts w:ascii="Arial" w:hAnsi="Arial" w:cs="Arial"/>
              </w:rPr>
              <w:t>392</w:t>
            </w:r>
            <w:r>
              <w:rPr>
                <w:rFonts w:ascii="Arial" w:hAnsi="Arial" w:cs="Arial"/>
              </w:rPr>
              <w:t>.</w:t>
            </w:r>
            <w:r w:rsidRPr="004216CB">
              <w:rPr>
                <w:rFonts w:ascii="Arial" w:hAnsi="Arial" w:cs="Arial"/>
              </w:rPr>
              <w:t>16 ± 2</w:t>
            </w:r>
            <w:r>
              <w:rPr>
                <w:rFonts w:ascii="Arial" w:hAnsi="Arial" w:cs="Arial"/>
              </w:rPr>
              <w:t>.</w:t>
            </w:r>
            <w:r w:rsidRPr="004216CB">
              <w:rPr>
                <w:rFonts w:ascii="Arial" w:hAnsi="Arial" w:cs="Arial"/>
              </w:rPr>
              <w:t>83</w:t>
            </w:r>
          </w:p>
        </w:tc>
        <w:tc>
          <w:tcPr>
            <w:tcW w:w="3138" w:type="dxa"/>
            <w:tcBorders>
              <w:top w:val="single" w:sz="4" w:space="0" w:color="auto"/>
            </w:tcBorders>
            <w:shd w:val="clear" w:color="auto" w:fill="auto"/>
            <w:noWrap/>
            <w:hideMark/>
          </w:tcPr>
          <w:p w14:paraId="724F0245" w14:textId="33B558E2" w:rsidR="004216CB" w:rsidRPr="004216CB" w:rsidRDefault="004216CB" w:rsidP="004216CB">
            <w:pPr>
              <w:pStyle w:val="Body"/>
              <w:spacing w:after="0"/>
              <w:rPr>
                <w:rFonts w:ascii="Arial" w:hAnsi="Arial" w:cs="Arial"/>
                <w:lang w:val="fr-FR"/>
              </w:rPr>
            </w:pPr>
            <w:r w:rsidRPr="004216CB">
              <w:rPr>
                <w:rFonts w:ascii="Arial" w:hAnsi="Arial" w:cs="Arial"/>
              </w:rPr>
              <w:t>44</w:t>
            </w:r>
            <w:r>
              <w:rPr>
                <w:rFonts w:ascii="Arial" w:hAnsi="Arial" w:cs="Arial"/>
              </w:rPr>
              <w:t>.</w:t>
            </w:r>
            <w:r w:rsidRPr="004216CB">
              <w:rPr>
                <w:rFonts w:ascii="Arial" w:hAnsi="Arial" w:cs="Arial"/>
              </w:rPr>
              <w:t>16 ± 6</w:t>
            </w:r>
            <w:r>
              <w:rPr>
                <w:rFonts w:ascii="Arial" w:hAnsi="Arial" w:cs="Arial"/>
              </w:rPr>
              <w:t>.</w:t>
            </w:r>
            <w:r w:rsidRPr="004216CB">
              <w:rPr>
                <w:rFonts w:ascii="Arial" w:hAnsi="Arial" w:cs="Arial"/>
              </w:rPr>
              <w:t>16</w:t>
            </w:r>
          </w:p>
        </w:tc>
      </w:tr>
      <w:tr w:rsidR="004216CB" w:rsidRPr="004216CB" w14:paraId="60DD0764" w14:textId="77777777" w:rsidTr="00C1559B">
        <w:trPr>
          <w:trHeight w:val="278"/>
        </w:trPr>
        <w:tc>
          <w:tcPr>
            <w:tcW w:w="1782" w:type="dxa"/>
            <w:shd w:val="clear" w:color="auto" w:fill="FFFFFF"/>
            <w:noWrap/>
            <w:hideMark/>
          </w:tcPr>
          <w:p w14:paraId="7918B72D" w14:textId="77777777" w:rsidR="004216CB" w:rsidRPr="004216CB" w:rsidRDefault="004216CB" w:rsidP="004216CB">
            <w:pPr>
              <w:pStyle w:val="Body"/>
              <w:spacing w:after="0"/>
              <w:rPr>
                <w:rFonts w:ascii="Arial" w:hAnsi="Arial" w:cs="Arial"/>
                <w:bCs/>
                <w:lang w:val="fr-FR"/>
              </w:rPr>
            </w:pPr>
            <w:proofErr w:type="spellStart"/>
            <w:r w:rsidRPr="004216CB">
              <w:rPr>
                <w:rFonts w:ascii="Arial" w:hAnsi="Arial" w:cs="Arial"/>
                <w:bCs/>
                <w:lang w:val="fr-FR"/>
              </w:rPr>
              <w:t>DW+Pilo</w:t>
            </w:r>
            <w:proofErr w:type="spellEnd"/>
          </w:p>
        </w:tc>
        <w:tc>
          <w:tcPr>
            <w:tcW w:w="1570" w:type="dxa"/>
            <w:shd w:val="clear" w:color="auto" w:fill="auto"/>
            <w:noWrap/>
            <w:hideMark/>
          </w:tcPr>
          <w:p w14:paraId="44383521"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w:t>
            </w:r>
          </w:p>
        </w:tc>
        <w:tc>
          <w:tcPr>
            <w:tcW w:w="2424" w:type="dxa"/>
            <w:shd w:val="clear" w:color="auto" w:fill="auto"/>
            <w:noWrap/>
            <w:hideMark/>
          </w:tcPr>
          <w:p w14:paraId="3B5B0F86" w14:textId="58CE494E" w:rsidR="004216CB" w:rsidRPr="004216CB" w:rsidRDefault="004216CB" w:rsidP="004216CB">
            <w:pPr>
              <w:pStyle w:val="Body"/>
              <w:spacing w:after="0"/>
              <w:rPr>
                <w:rFonts w:ascii="Arial" w:hAnsi="Arial" w:cs="Arial"/>
                <w:lang w:val="fr-FR"/>
              </w:rPr>
            </w:pPr>
            <w:r w:rsidRPr="004216CB">
              <w:rPr>
                <w:rFonts w:ascii="Arial" w:hAnsi="Arial" w:cs="Arial"/>
              </w:rPr>
              <w:t>263</w:t>
            </w:r>
            <w:r>
              <w:rPr>
                <w:rFonts w:ascii="Arial" w:hAnsi="Arial" w:cs="Arial"/>
              </w:rPr>
              <w:t>.</w:t>
            </w:r>
            <w:r w:rsidRPr="004216CB">
              <w:rPr>
                <w:rFonts w:ascii="Arial" w:hAnsi="Arial" w:cs="Arial"/>
              </w:rPr>
              <w:t>50 ± 9</w:t>
            </w:r>
            <w:r>
              <w:rPr>
                <w:rFonts w:ascii="Arial" w:hAnsi="Arial" w:cs="Arial"/>
              </w:rPr>
              <w:t>.</w:t>
            </w:r>
            <w:r w:rsidRPr="004216CB">
              <w:rPr>
                <w:rFonts w:ascii="Arial" w:hAnsi="Arial" w:cs="Arial"/>
              </w:rPr>
              <w:t xml:space="preserve">33 </w:t>
            </w:r>
            <w:r w:rsidRPr="004216CB">
              <w:rPr>
                <w:rFonts w:ascii="Arial" w:hAnsi="Arial" w:cs="Arial"/>
                <w:vertAlign w:val="superscript"/>
              </w:rPr>
              <w:t>£££</w:t>
            </w:r>
          </w:p>
        </w:tc>
        <w:tc>
          <w:tcPr>
            <w:tcW w:w="3138" w:type="dxa"/>
            <w:shd w:val="clear" w:color="auto" w:fill="auto"/>
            <w:noWrap/>
            <w:hideMark/>
          </w:tcPr>
          <w:p w14:paraId="2F6F6E08" w14:textId="18DCFEC0" w:rsidR="004216CB" w:rsidRPr="004216CB" w:rsidRDefault="004216CB" w:rsidP="004216CB">
            <w:pPr>
              <w:pStyle w:val="Body"/>
              <w:spacing w:after="0"/>
              <w:rPr>
                <w:rFonts w:ascii="Arial" w:hAnsi="Arial" w:cs="Arial"/>
                <w:vertAlign w:val="superscript"/>
                <w:lang w:val="fr-FR"/>
              </w:rPr>
            </w:pPr>
            <w:r w:rsidRPr="004216CB">
              <w:rPr>
                <w:rFonts w:ascii="Arial" w:hAnsi="Arial" w:cs="Arial"/>
              </w:rPr>
              <w:t>115</w:t>
            </w:r>
            <w:r>
              <w:rPr>
                <w:rFonts w:ascii="Arial" w:hAnsi="Arial" w:cs="Arial"/>
              </w:rPr>
              <w:t>.</w:t>
            </w:r>
            <w:r w:rsidRPr="004216CB">
              <w:rPr>
                <w:rFonts w:ascii="Arial" w:hAnsi="Arial" w:cs="Arial"/>
              </w:rPr>
              <w:t>66 ± 8</w:t>
            </w:r>
            <w:r>
              <w:rPr>
                <w:rFonts w:ascii="Arial" w:hAnsi="Arial" w:cs="Arial"/>
              </w:rPr>
              <w:t>.</w:t>
            </w:r>
            <w:r w:rsidRPr="004216CB">
              <w:rPr>
                <w:rFonts w:ascii="Arial" w:hAnsi="Arial" w:cs="Arial"/>
              </w:rPr>
              <w:t xml:space="preserve">33 </w:t>
            </w:r>
            <w:r w:rsidRPr="004216CB">
              <w:rPr>
                <w:rFonts w:ascii="Arial" w:hAnsi="Arial" w:cs="Arial"/>
                <w:vertAlign w:val="superscript"/>
              </w:rPr>
              <w:t>£££</w:t>
            </w:r>
          </w:p>
        </w:tc>
      </w:tr>
      <w:tr w:rsidR="004216CB" w:rsidRPr="004216CB" w14:paraId="3D91F807" w14:textId="77777777" w:rsidTr="00C1559B">
        <w:trPr>
          <w:trHeight w:val="278"/>
        </w:trPr>
        <w:tc>
          <w:tcPr>
            <w:tcW w:w="1782" w:type="dxa"/>
            <w:shd w:val="clear" w:color="auto" w:fill="FFFFFF"/>
            <w:noWrap/>
            <w:hideMark/>
          </w:tcPr>
          <w:p w14:paraId="1A71630B"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Cb28+Pilo</w:t>
            </w:r>
          </w:p>
        </w:tc>
        <w:tc>
          <w:tcPr>
            <w:tcW w:w="1570" w:type="dxa"/>
            <w:shd w:val="clear" w:color="auto" w:fill="auto"/>
            <w:noWrap/>
            <w:hideMark/>
          </w:tcPr>
          <w:p w14:paraId="0AF15D10"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28</w:t>
            </w:r>
          </w:p>
        </w:tc>
        <w:tc>
          <w:tcPr>
            <w:tcW w:w="2424" w:type="dxa"/>
            <w:shd w:val="clear" w:color="auto" w:fill="auto"/>
            <w:noWrap/>
            <w:hideMark/>
          </w:tcPr>
          <w:p w14:paraId="688BEDE6" w14:textId="18A36D8E" w:rsidR="004216CB" w:rsidRPr="004216CB" w:rsidRDefault="004216CB" w:rsidP="004216CB">
            <w:pPr>
              <w:pStyle w:val="Body"/>
              <w:spacing w:after="0"/>
              <w:rPr>
                <w:rFonts w:ascii="Arial" w:hAnsi="Arial" w:cs="Arial"/>
                <w:lang w:val="fr-FR"/>
              </w:rPr>
            </w:pPr>
            <w:r w:rsidRPr="004216CB">
              <w:rPr>
                <w:rFonts w:ascii="Arial" w:hAnsi="Arial" w:cs="Arial"/>
              </w:rPr>
              <w:t>258</w:t>
            </w:r>
            <w:r>
              <w:rPr>
                <w:rFonts w:ascii="Arial" w:hAnsi="Arial" w:cs="Arial"/>
              </w:rPr>
              <w:t>.</w:t>
            </w:r>
            <w:r w:rsidRPr="004216CB">
              <w:rPr>
                <w:rFonts w:ascii="Arial" w:hAnsi="Arial" w:cs="Arial"/>
              </w:rPr>
              <w:t>16 ± 8</w:t>
            </w:r>
            <w:r>
              <w:rPr>
                <w:rFonts w:ascii="Arial" w:hAnsi="Arial" w:cs="Arial"/>
              </w:rPr>
              <w:t>.</w:t>
            </w:r>
            <w:r w:rsidRPr="004216CB">
              <w:rPr>
                <w:rFonts w:ascii="Arial" w:hAnsi="Arial" w:cs="Arial"/>
              </w:rPr>
              <w:t xml:space="preserve">61 </w:t>
            </w:r>
            <w:r w:rsidRPr="004216CB">
              <w:rPr>
                <w:rFonts w:ascii="Arial" w:hAnsi="Arial" w:cs="Arial"/>
                <w:vertAlign w:val="superscript"/>
              </w:rPr>
              <w:t>£££</w:t>
            </w:r>
          </w:p>
        </w:tc>
        <w:tc>
          <w:tcPr>
            <w:tcW w:w="3138" w:type="dxa"/>
            <w:shd w:val="clear" w:color="auto" w:fill="auto"/>
            <w:noWrap/>
            <w:hideMark/>
          </w:tcPr>
          <w:p w14:paraId="5B328E82" w14:textId="5458F560" w:rsidR="004216CB" w:rsidRPr="004216CB" w:rsidRDefault="004216CB" w:rsidP="004216CB">
            <w:pPr>
              <w:pStyle w:val="Body"/>
              <w:spacing w:after="0"/>
              <w:rPr>
                <w:rFonts w:ascii="Arial" w:hAnsi="Arial" w:cs="Arial"/>
                <w:lang w:val="fr-FR"/>
              </w:rPr>
            </w:pPr>
            <w:r w:rsidRPr="004216CB">
              <w:rPr>
                <w:rFonts w:ascii="Arial" w:hAnsi="Arial" w:cs="Arial"/>
              </w:rPr>
              <w:t>95</w:t>
            </w:r>
            <w:r>
              <w:rPr>
                <w:rFonts w:ascii="Arial" w:hAnsi="Arial" w:cs="Arial"/>
              </w:rPr>
              <w:t>.</w:t>
            </w:r>
            <w:r w:rsidRPr="004216CB">
              <w:rPr>
                <w:rFonts w:ascii="Arial" w:hAnsi="Arial" w:cs="Arial"/>
              </w:rPr>
              <w:t>50 ± 2</w:t>
            </w:r>
            <w:r>
              <w:rPr>
                <w:rFonts w:ascii="Arial" w:hAnsi="Arial" w:cs="Arial"/>
              </w:rPr>
              <w:t>.</w:t>
            </w:r>
            <w:r w:rsidRPr="004216CB">
              <w:rPr>
                <w:rFonts w:ascii="Arial" w:hAnsi="Arial" w:cs="Arial"/>
              </w:rPr>
              <w:t xml:space="preserve">00 </w:t>
            </w:r>
            <w:r w:rsidRPr="004216CB">
              <w:rPr>
                <w:rFonts w:ascii="Arial" w:hAnsi="Arial" w:cs="Arial"/>
                <w:vertAlign w:val="superscript"/>
              </w:rPr>
              <w:t>£££ ***</w:t>
            </w:r>
          </w:p>
        </w:tc>
      </w:tr>
      <w:tr w:rsidR="004216CB" w:rsidRPr="004216CB" w14:paraId="09BC4690" w14:textId="77777777" w:rsidTr="00C1559B">
        <w:trPr>
          <w:trHeight w:val="278"/>
        </w:trPr>
        <w:tc>
          <w:tcPr>
            <w:tcW w:w="1782" w:type="dxa"/>
            <w:shd w:val="clear" w:color="auto" w:fill="FFFFFF"/>
            <w:noWrap/>
            <w:hideMark/>
          </w:tcPr>
          <w:p w14:paraId="23E5067A"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Cb70+Pilo</w:t>
            </w:r>
          </w:p>
        </w:tc>
        <w:tc>
          <w:tcPr>
            <w:tcW w:w="1570" w:type="dxa"/>
            <w:shd w:val="clear" w:color="auto" w:fill="auto"/>
            <w:noWrap/>
            <w:hideMark/>
          </w:tcPr>
          <w:p w14:paraId="2436394F"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70</w:t>
            </w:r>
          </w:p>
        </w:tc>
        <w:tc>
          <w:tcPr>
            <w:tcW w:w="2424" w:type="dxa"/>
            <w:shd w:val="clear" w:color="auto" w:fill="auto"/>
            <w:noWrap/>
            <w:hideMark/>
          </w:tcPr>
          <w:p w14:paraId="4F414E03" w14:textId="52A2BB8F" w:rsidR="004216CB" w:rsidRPr="004216CB" w:rsidRDefault="004216CB" w:rsidP="004216CB">
            <w:pPr>
              <w:pStyle w:val="Body"/>
              <w:spacing w:after="0"/>
              <w:rPr>
                <w:rFonts w:ascii="Arial" w:hAnsi="Arial" w:cs="Arial"/>
                <w:lang w:val="fr-FR"/>
              </w:rPr>
            </w:pPr>
            <w:r w:rsidRPr="004216CB">
              <w:rPr>
                <w:rFonts w:ascii="Arial" w:hAnsi="Arial" w:cs="Arial"/>
              </w:rPr>
              <w:t>302</w:t>
            </w:r>
            <w:r>
              <w:rPr>
                <w:rFonts w:ascii="Arial" w:hAnsi="Arial" w:cs="Arial"/>
              </w:rPr>
              <w:t>.</w:t>
            </w:r>
            <w:r w:rsidRPr="004216CB">
              <w:rPr>
                <w:rFonts w:ascii="Arial" w:hAnsi="Arial" w:cs="Arial"/>
              </w:rPr>
              <w:t>16 ± 1</w:t>
            </w:r>
            <w:r>
              <w:rPr>
                <w:rFonts w:ascii="Arial" w:hAnsi="Arial" w:cs="Arial"/>
              </w:rPr>
              <w:t>.</w:t>
            </w:r>
            <w:r w:rsidRPr="004216CB">
              <w:rPr>
                <w:rFonts w:ascii="Arial" w:hAnsi="Arial" w:cs="Arial"/>
              </w:rPr>
              <w:t xml:space="preserve">88 </w:t>
            </w:r>
            <w:r w:rsidRPr="004216CB">
              <w:rPr>
                <w:rFonts w:ascii="Arial" w:hAnsi="Arial" w:cs="Arial"/>
                <w:vertAlign w:val="superscript"/>
              </w:rPr>
              <w:t>£££ ***</w:t>
            </w:r>
          </w:p>
        </w:tc>
        <w:tc>
          <w:tcPr>
            <w:tcW w:w="3138" w:type="dxa"/>
            <w:shd w:val="clear" w:color="auto" w:fill="auto"/>
            <w:noWrap/>
            <w:hideMark/>
          </w:tcPr>
          <w:p w14:paraId="175A996A" w14:textId="6C47405D" w:rsidR="004216CB" w:rsidRPr="004216CB" w:rsidRDefault="004216CB" w:rsidP="004216CB">
            <w:pPr>
              <w:pStyle w:val="Body"/>
              <w:spacing w:after="0"/>
              <w:rPr>
                <w:rFonts w:ascii="Arial" w:hAnsi="Arial" w:cs="Arial"/>
                <w:lang w:val="fr-FR"/>
              </w:rPr>
            </w:pPr>
            <w:r w:rsidRPr="004216CB">
              <w:rPr>
                <w:rFonts w:ascii="Arial" w:hAnsi="Arial" w:cs="Arial"/>
              </w:rPr>
              <w:t>81</w:t>
            </w:r>
            <w:r>
              <w:rPr>
                <w:rFonts w:ascii="Arial" w:hAnsi="Arial" w:cs="Arial"/>
              </w:rPr>
              <w:t>.</w:t>
            </w:r>
            <w:r w:rsidRPr="004216CB">
              <w:rPr>
                <w:rFonts w:ascii="Arial" w:hAnsi="Arial" w:cs="Arial"/>
              </w:rPr>
              <w:t>16 ± 4</w:t>
            </w:r>
            <w:r>
              <w:rPr>
                <w:rFonts w:ascii="Arial" w:hAnsi="Arial" w:cs="Arial"/>
              </w:rPr>
              <w:t>.</w:t>
            </w:r>
            <w:r w:rsidRPr="004216CB">
              <w:rPr>
                <w:rFonts w:ascii="Arial" w:hAnsi="Arial" w:cs="Arial"/>
              </w:rPr>
              <w:t xml:space="preserve">50 </w:t>
            </w:r>
            <w:r w:rsidRPr="004216CB">
              <w:rPr>
                <w:rFonts w:ascii="Arial" w:hAnsi="Arial" w:cs="Arial"/>
                <w:vertAlign w:val="superscript"/>
              </w:rPr>
              <w:t>£££ ***</w:t>
            </w:r>
          </w:p>
        </w:tc>
      </w:tr>
      <w:tr w:rsidR="004216CB" w:rsidRPr="004216CB" w14:paraId="5668FDDF" w14:textId="77777777" w:rsidTr="00C1559B">
        <w:trPr>
          <w:trHeight w:val="278"/>
        </w:trPr>
        <w:tc>
          <w:tcPr>
            <w:tcW w:w="1782" w:type="dxa"/>
            <w:shd w:val="clear" w:color="auto" w:fill="FFFFFF"/>
            <w:noWrap/>
            <w:hideMark/>
          </w:tcPr>
          <w:p w14:paraId="16EBA7A1"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Cb140+Pilo</w:t>
            </w:r>
          </w:p>
        </w:tc>
        <w:tc>
          <w:tcPr>
            <w:tcW w:w="1570" w:type="dxa"/>
            <w:shd w:val="clear" w:color="auto" w:fill="auto"/>
            <w:noWrap/>
            <w:hideMark/>
          </w:tcPr>
          <w:p w14:paraId="698A907F"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140</w:t>
            </w:r>
          </w:p>
        </w:tc>
        <w:tc>
          <w:tcPr>
            <w:tcW w:w="2424" w:type="dxa"/>
            <w:shd w:val="clear" w:color="auto" w:fill="auto"/>
            <w:noWrap/>
            <w:hideMark/>
          </w:tcPr>
          <w:p w14:paraId="03D63D25" w14:textId="09B48AA2" w:rsidR="004216CB" w:rsidRPr="004216CB" w:rsidRDefault="004216CB" w:rsidP="004216CB">
            <w:pPr>
              <w:pStyle w:val="Body"/>
              <w:spacing w:after="0"/>
              <w:rPr>
                <w:rFonts w:ascii="Arial" w:hAnsi="Arial" w:cs="Arial"/>
                <w:lang w:val="fr-FR"/>
              </w:rPr>
            </w:pPr>
            <w:r w:rsidRPr="004216CB">
              <w:rPr>
                <w:rFonts w:ascii="Arial" w:hAnsi="Arial" w:cs="Arial"/>
                <w:lang w:val="de-DE"/>
              </w:rPr>
              <w:t>379</w:t>
            </w:r>
            <w:r>
              <w:rPr>
                <w:rFonts w:ascii="Arial" w:hAnsi="Arial" w:cs="Arial"/>
                <w:lang w:val="de-DE"/>
              </w:rPr>
              <w:t>.</w:t>
            </w:r>
            <w:r w:rsidRPr="004216CB">
              <w:rPr>
                <w:rFonts w:ascii="Arial" w:hAnsi="Arial" w:cs="Arial"/>
                <w:lang w:val="de-DE"/>
              </w:rPr>
              <w:t>16 ± 7</w:t>
            </w:r>
            <w:r>
              <w:rPr>
                <w:rFonts w:ascii="Arial" w:hAnsi="Arial" w:cs="Arial"/>
                <w:lang w:val="de-DE"/>
              </w:rPr>
              <w:t>.</w:t>
            </w:r>
            <w:r w:rsidRPr="004216CB">
              <w:rPr>
                <w:rFonts w:ascii="Arial" w:hAnsi="Arial" w:cs="Arial"/>
                <w:lang w:val="de-DE"/>
              </w:rPr>
              <w:t xml:space="preserve">83 </w:t>
            </w:r>
            <w:r w:rsidRPr="004216CB">
              <w:rPr>
                <w:rFonts w:ascii="Arial" w:hAnsi="Arial" w:cs="Arial"/>
                <w:vertAlign w:val="superscript"/>
                <w:lang w:val="de-DE"/>
              </w:rPr>
              <w:t>***</w:t>
            </w:r>
          </w:p>
        </w:tc>
        <w:tc>
          <w:tcPr>
            <w:tcW w:w="3138" w:type="dxa"/>
            <w:shd w:val="clear" w:color="auto" w:fill="auto"/>
            <w:noWrap/>
            <w:hideMark/>
          </w:tcPr>
          <w:p w14:paraId="4CF46239" w14:textId="47C2C48F" w:rsidR="004216CB" w:rsidRPr="004216CB" w:rsidRDefault="004216CB" w:rsidP="004216CB">
            <w:pPr>
              <w:pStyle w:val="Body"/>
              <w:spacing w:after="0"/>
              <w:rPr>
                <w:rFonts w:ascii="Arial" w:hAnsi="Arial" w:cs="Arial"/>
                <w:lang w:val="fr-FR"/>
              </w:rPr>
            </w:pPr>
            <w:r w:rsidRPr="004216CB">
              <w:rPr>
                <w:rFonts w:ascii="Arial" w:hAnsi="Arial" w:cs="Arial"/>
                <w:lang w:val="de-DE"/>
              </w:rPr>
              <w:t>49</w:t>
            </w:r>
            <w:r>
              <w:rPr>
                <w:rFonts w:ascii="Arial" w:hAnsi="Arial" w:cs="Arial"/>
                <w:lang w:val="de-DE"/>
              </w:rPr>
              <w:t>.</w:t>
            </w:r>
            <w:r w:rsidRPr="004216CB">
              <w:rPr>
                <w:rFonts w:ascii="Arial" w:hAnsi="Arial" w:cs="Arial"/>
                <w:lang w:val="de-DE"/>
              </w:rPr>
              <w:t>66 ± 4</w:t>
            </w:r>
            <w:r>
              <w:rPr>
                <w:rFonts w:ascii="Arial" w:hAnsi="Arial" w:cs="Arial"/>
                <w:lang w:val="de-DE"/>
              </w:rPr>
              <w:t>.</w:t>
            </w:r>
            <w:r w:rsidRPr="004216CB">
              <w:rPr>
                <w:rFonts w:ascii="Arial" w:hAnsi="Arial" w:cs="Arial"/>
                <w:lang w:val="de-DE"/>
              </w:rPr>
              <w:t xml:space="preserve">00 </w:t>
            </w:r>
            <w:r w:rsidRPr="004216CB">
              <w:rPr>
                <w:rFonts w:ascii="Arial" w:hAnsi="Arial" w:cs="Arial"/>
                <w:vertAlign w:val="superscript"/>
                <w:lang w:val="de-DE"/>
              </w:rPr>
              <w:t>***</w:t>
            </w:r>
          </w:p>
        </w:tc>
      </w:tr>
      <w:tr w:rsidR="004216CB" w:rsidRPr="004216CB" w14:paraId="7B10F253" w14:textId="77777777" w:rsidTr="00C1559B">
        <w:trPr>
          <w:trHeight w:val="278"/>
        </w:trPr>
        <w:tc>
          <w:tcPr>
            <w:tcW w:w="1782" w:type="dxa"/>
            <w:shd w:val="clear" w:color="auto" w:fill="FFFFFF"/>
            <w:noWrap/>
            <w:hideMark/>
          </w:tcPr>
          <w:p w14:paraId="14E033B3"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Cb280+Pilo</w:t>
            </w:r>
          </w:p>
        </w:tc>
        <w:tc>
          <w:tcPr>
            <w:tcW w:w="1570" w:type="dxa"/>
            <w:shd w:val="clear" w:color="auto" w:fill="auto"/>
            <w:noWrap/>
            <w:hideMark/>
          </w:tcPr>
          <w:p w14:paraId="782C0BC7"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280</w:t>
            </w:r>
          </w:p>
        </w:tc>
        <w:tc>
          <w:tcPr>
            <w:tcW w:w="2424" w:type="dxa"/>
            <w:shd w:val="clear" w:color="auto" w:fill="auto"/>
            <w:noWrap/>
            <w:hideMark/>
          </w:tcPr>
          <w:p w14:paraId="4CCCC282" w14:textId="2583037C" w:rsidR="004216CB" w:rsidRPr="004216CB" w:rsidRDefault="004216CB" w:rsidP="004216CB">
            <w:pPr>
              <w:pStyle w:val="Body"/>
              <w:spacing w:after="0"/>
              <w:rPr>
                <w:rFonts w:ascii="Arial" w:hAnsi="Arial" w:cs="Arial"/>
                <w:lang w:val="fr-FR"/>
              </w:rPr>
            </w:pPr>
            <w:r w:rsidRPr="004216CB">
              <w:rPr>
                <w:rFonts w:ascii="Arial" w:hAnsi="Arial" w:cs="Arial"/>
                <w:lang w:val="de-DE"/>
              </w:rPr>
              <w:t>387</w:t>
            </w:r>
            <w:r>
              <w:rPr>
                <w:rFonts w:ascii="Arial" w:hAnsi="Arial" w:cs="Arial"/>
                <w:lang w:val="de-DE"/>
              </w:rPr>
              <w:t>.</w:t>
            </w:r>
            <w:r w:rsidRPr="004216CB">
              <w:rPr>
                <w:rFonts w:ascii="Arial" w:hAnsi="Arial" w:cs="Arial"/>
                <w:lang w:val="de-DE"/>
              </w:rPr>
              <w:t>66 ± 8</w:t>
            </w:r>
            <w:r>
              <w:rPr>
                <w:rFonts w:ascii="Arial" w:hAnsi="Arial" w:cs="Arial"/>
                <w:lang w:val="de-DE"/>
              </w:rPr>
              <w:t>.</w:t>
            </w:r>
            <w:r w:rsidRPr="004216CB">
              <w:rPr>
                <w:rFonts w:ascii="Arial" w:hAnsi="Arial" w:cs="Arial"/>
                <w:lang w:val="de-DE"/>
              </w:rPr>
              <w:t xml:space="preserve">77 </w:t>
            </w:r>
            <w:r w:rsidRPr="004216CB">
              <w:rPr>
                <w:rFonts w:ascii="Arial" w:hAnsi="Arial" w:cs="Arial"/>
                <w:vertAlign w:val="superscript"/>
                <w:lang w:val="de-DE"/>
              </w:rPr>
              <w:t>***</w:t>
            </w:r>
          </w:p>
        </w:tc>
        <w:tc>
          <w:tcPr>
            <w:tcW w:w="3138" w:type="dxa"/>
            <w:shd w:val="clear" w:color="auto" w:fill="auto"/>
            <w:noWrap/>
            <w:hideMark/>
          </w:tcPr>
          <w:p w14:paraId="664EE0BF" w14:textId="1B169CA0" w:rsidR="004216CB" w:rsidRPr="004216CB" w:rsidRDefault="004216CB" w:rsidP="004216CB">
            <w:pPr>
              <w:pStyle w:val="Body"/>
              <w:spacing w:after="0"/>
              <w:rPr>
                <w:rFonts w:ascii="Arial" w:hAnsi="Arial" w:cs="Arial"/>
                <w:lang w:val="fr-FR"/>
              </w:rPr>
            </w:pPr>
            <w:r w:rsidRPr="004216CB">
              <w:rPr>
                <w:rFonts w:ascii="Arial" w:hAnsi="Arial" w:cs="Arial"/>
                <w:lang w:val="de-DE"/>
              </w:rPr>
              <w:t>41</w:t>
            </w:r>
            <w:r>
              <w:rPr>
                <w:rFonts w:ascii="Arial" w:hAnsi="Arial" w:cs="Arial"/>
                <w:lang w:val="de-DE"/>
              </w:rPr>
              <w:t>.</w:t>
            </w:r>
            <w:r w:rsidRPr="004216CB">
              <w:rPr>
                <w:rFonts w:ascii="Arial" w:hAnsi="Arial" w:cs="Arial"/>
                <w:lang w:val="de-DE"/>
              </w:rPr>
              <w:t>33 ± 2</w:t>
            </w:r>
            <w:r>
              <w:rPr>
                <w:rFonts w:ascii="Arial" w:hAnsi="Arial" w:cs="Arial"/>
                <w:lang w:val="de-DE"/>
              </w:rPr>
              <w:t>.</w:t>
            </w:r>
            <w:r w:rsidRPr="004216CB">
              <w:rPr>
                <w:rFonts w:ascii="Arial" w:hAnsi="Arial" w:cs="Arial"/>
                <w:lang w:val="de-DE"/>
              </w:rPr>
              <w:t xml:space="preserve">11 </w:t>
            </w:r>
            <w:r w:rsidRPr="004216CB">
              <w:rPr>
                <w:rFonts w:ascii="Arial" w:hAnsi="Arial" w:cs="Arial"/>
                <w:vertAlign w:val="superscript"/>
                <w:lang w:val="de-DE"/>
              </w:rPr>
              <w:t>***</w:t>
            </w:r>
          </w:p>
        </w:tc>
      </w:tr>
      <w:tr w:rsidR="004216CB" w:rsidRPr="004216CB" w14:paraId="4C0585A3" w14:textId="77777777" w:rsidTr="00C1559B">
        <w:trPr>
          <w:trHeight w:val="278"/>
        </w:trPr>
        <w:tc>
          <w:tcPr>
            <w:tcW w:w="1782" w:type="dxa"/>
            <w:shd w:val="clear" w:color="auto" w:fill="FFFFFF"/>
            <w:noWrap/>
          </w:tcPr>
          <w:p w14:paraId="542D4C6B" w14:textId="77777777" w:rsidR="004216CB" w:rsidRPr="004216CB" w:rsidRDefault="004216CB" w:rsidP="004216CB">
            <w:pPr>
              <w:pStyle w:val="Body"/>
              <w:spacing w:after="0"/>
              <w:rPr>
                <w:rFonts w:ascii="Arial" w:hAnsi="Arial" w:cs="Arial"/>
                <w:bCs/>
                <w:iCs/>
                <w:lang w:val="fr-FR"/>
              </w:rPr>
            </w:pPr>
            <w:r w:rsidRPr="004216CB">
              <w:rPr>
                <w:rFonts w:ascii="Arial" w:hAnsi="Arial" w:cs="Arial"/>
                <w:bCs/>
                <w:lang w:val="fr-FR"/>
              </w:rPr>
              <w:t xml:space="preserve"> </w:t>
            </w:r>
            <w:proofErr w:type="spellStart"/>
            <w:r w:rsidRPr="004216CB">
              <w:rPr>
                <w:rFonts w:ascii="Arial" w:hAnsi="Arial" w:cs="Arial"/>
                <w:bCs/>
                <w:lang w:val="fr-FR"/>
              </w:rPr>
              <w:t>SV+Pilo</w:t>
            </w:r>
            <w:proofErr w:type="spellEnd"/>
          </w:p>
        </w:tc>
        <w:tc>
          <w:tcPr>
            <w:tcW w:w="1570" w:type="dxa"/>
            <w:shd w:val="clear" w:color="auto" w:fill="auto"/>
            <w:noWrap/>
          </w:tcPr>
          <w:p w14:paraId="68D97EDC"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300</w:t>
            </w:r>
          </w:p>
        </w:tc>
        <w:tc>
          <w:tcPr>
            <w:tcW w:w="2424" w:type="dxa"/>
            <w:shd w:val="clear" w:color="auto" w:fill="auto"/>
            <w:noWrap/>
          </w:tcPr>
          <w:p w14:paraId="7AE49D87" w14:textId="1E94DCD4" w:rsidR="004216CB" w:rsidRPr="004216CB" w:rsidRDefault="004216CB" w:rsidP="004216CB">
            <w:pPr>
              <w:pStyle w:val="Body"/>
              <w:spacing w:after="0"/>
              <w:rPr>
                <w:rFonts w:ascii="Arial" w:hAnsi="Arial" w:cs="Arial"/>
                <w:lang w:val="de-DE"/>
              </w:rPr>
            </w:pPr>
            <w:r w:rsidRPr="004216CB">
              <w:rPr>
                <w:rFonts w:ascii="Arial" w:hAnsi="Arial" w:cs="Arial"/>
                <w:lang w:val="fr-FR"/>
              </w:rPr>
              <w:t>387</w:t>
            </w:r>
            <w:r>
              <w:rPr>
                <w:rFonts w:ascii="Arial" w:hAnsi="Arial" w:cs="Arial"/>
                <w:lang w:val="fr-FR"/>
              </w:rPr>
              <w:t>.</w:t>
            </w:r>
            <w:r w:rsidRPr="004216CB">
              <w:rPr>
                <w:rFonts w:ascii="Arial" w:hAnsi="Arial" w:cs="Arial"/>
                <w:lang w:val="fr-FR"/>
              </w:rPr>
              <w:t>33 ± 5</w:t>
            </w:r>
            <w:r>
              <w:rPr>
                <w:rFonts w:ascii="Arial" w:hAnsi="Arial" w:cs="Arial"/>
                <w:lang w:val="fr-FR"/>
              </w:rPr>
              <w:t>.</w:t>
            </w:r>
            <w:r w:rsidRPr="004216CB">
              <w:rPr>
                <w:rFonts w:ascii="Arial" w:hAnsi="Arial" w:cs="Arial"/>
                <w:lang w:val="fr-FR"/>
              </w:rPr>
              <w:t xml:space="preserve">11 </w:t>
            </w:r>
            <w:r w:rsidRPr="004216CB">
              <w:rPr>
                <w:rFonts w:ascii="Arial" w:hAnsi="Arial" w:cs="Arial"/>
                <w:vertAlign w:val="superscript"/>
                <w:lang w:val="fr-FR"/>
              </w:rPr>
              <w:t>***</w:t>
            </w:r>
          </w:p>
        </w:tc>
        <w:tc>
          <w:tcPr>
            <w:tcW w:w="3138" w:type="dxa"/>
            <w:shd w:val="clear" w:color="auto" w:fill="auto"/>
            <w:noWrap/>
          </w:tcPr>
          <w:p w14:paraId="2F7C3B8E" w14:textId="4BF726EC" w:rsidR="004216CB" w:rsidRPr="004216CB" w:rsidRDefault="004216CB" w:rsidP="004216CB">
            <w:pPr>
              <w:pStyle w:val="Body"/>
              <w:spacing w:after="0"/>
              <w:rPr>
                <w:rFonts w:ascii="Arial" w:hAnsi="Arial" w:cs="Arial"/>
                <w:lang w:val="de-DE"/>
              </w:rPr>
            </w:pPr>
            <w:r w:rsidRPr="004216CB">
              <w:rPr>
                <w:rFonts w:ascii="Arial" w:hAnsi="Arial" w:cs="Arial"/>
                <w:lang w:val="fr-FR"/>
              </w:rPr>
              <w:t>42</w:t>
            </w:r>
            <w:r>
              <w:rPr>
                <w:rFonts w:ascii="Arial" w:hAnsi="Arial" w:cs="Arial"/>
                <w:lang w:val="fr-FR"/>
              </w:rPr>
              <w:t>.</w:t>
            </w:r>
            <w:r w:rsidRPr="004216CB">
              <w:rPr>
                <w:rFonts w:ascii="Arial" w:hAnsi="Arial" w:cs="Arial"/>
                <w:lang w:val="fr-FR"/>
              </w:rPr>
              <w:t>16 ± 2</w:t>
            </w:r>
            <w:r>
              <w:rPr>
                <w:rFonts w:ascii="Arial" w:hAnsi="Arial" w:cs="Arial"/>
                <w:lang w:val="fr-FR"/>
              </w:rPr>
              <w:t>.</w:t>
            </w:r>
            <w:r w:rsidRPr="004216CB">
              <w:rPr>
                <w:rFonts w:ascii="Arial" w:hAnsi="Arial" w:cs="Arial"/>
                <w:lang w:val="fr-FR"/>
              </w:rPr>
              <w:t xml:space="preserve">27 </w:t>
            </w:r>
            <w:r w:rsidRPr="004216CB">
              <w:rPr>
                <w:rFonts w:ascii="Arial" w:hAnsi="Arial" w:cs="Arial"/>
                <w:vertAlign w:val="superscript"/>
                <w:lang w:val="fr-FR"/>
              </w:rPr>
              <w:t>***</w:t>
            </w:r>
          </w:p>
        </w:tc>
      </w:tr>
      <w:tr w:rsidR="004216CB" w:rsidRPr="004216CB" w14:paraId="72231376" w14:textId="77777777" w:rsidTr="00C1559B">
        <w:trPr>
          <w:trHeight w:val="278"/>
        </w:trPr>
        <w:tc>
          <w:tcPr>
            <w:tcW w:w="1782" w:type="dxa"/>
            <w:shd w:val="clear" w:color="auto" w:fill="FFFFFF"/>
            <w:noWrap/>
            <w:hideMark/>
          </w:tcPr>
          <w:p w14:paraId="0AE489E5" w14:textId="77777777" w:rsidR="004216CB" w:rsidRPr="004216CB" w:rsidRDefault="004216CB" w:rsidP="004216CB">
            <w:pPr>
              <w:pStyle w:val="Body"/>
              <w:spacing w:after="0"/>
              <w:rPr>
                <w:rFonts w:ascii="Arial" w:hAnsi="Arial" w:cs="Arial"/>
                <w:bCs/>
                <w:lang w:val="fr-FR"/>
              </w:rPr>
            </w:pPr>
            <w:proofErr w:type="spellStart"/>
            <w:r w:rsidRPr="004216CB">
              <w:rPr>
                <w:rFonts w:ascii="Arial" w:hAnsi="Arial" w:cs="Arial"/>
                <w:bCs/>
                <w:lang w:val="fr-FR"/>
              </w:rPr>
              <w:t>Pira</w:t>
            </w:r>
            <w:proofErr w:type="spellEnd"/>
          </w:p>
        </w:tc>
        <w:tc>
          <w:tcPr>
            <w:tcW w:w="1570" w:type="dxa"/>
            <w:shd w:val="clear" w:color="auto" w:fill="auto"/>
            <w:noWrap/>
            <w:hideMark/>
          </w:tcPr>
          <w:p w14:paraId="7C8ADB32" w14:textId="45CDA6B9" w:rsidR="004216CB" w:rsidRPr="004216CB" w:rsidRDefault="00EF435A" w:rsidP="004216CB">
            <w:pPr>
              <w:pStyle w:val="Body"/>
              <w:spacing w:after="0"/>
              <w:rPr>
                <w:rFonts w:ascii="Arial" w:hAnsi="Arial" w:cs="Arial"/>
                <w:lang w:val="fr-FR"/>
              </w:rPr>
            </w:pPr>
            <w:r>
              <w:rPr>
                <w:rFonts w:ascii="Arial" w:hAnsi="Arial" w:cs="Arial"/>
                <w:lang w:val="fr-FR"/>
              </w:rPr>
              <w:t>200</w:t>
            </w:r>
          </w:p>
        </w:tc>
        <w:tc>
          <w:tcPr>
            <w:tcW w:w="2424" w:type="dxa"/>
            <w:shd w:val="clear" w:color="auto" w:fill="auto"/>
            <w:noWrap/>
            <w:hideMark/>
          </w:tcPr>
          <w:p w14:paraId="76081887" w14:textId="3FFA525C" w:rsidR="004216CB" w:rsidRPr="004216CB" w:rsidRDefault="004216CB" w:rsidP="004216CB">
            <w:pPr>
              <w:pStyle w:val="Body"/>
              <w:spacing w:after="0"/>
              <w:rPr>
                <w:rFonts w:ascii="Arial" w:hAnsi="Arial" w:cs="Arial"/>
                <w:lang w:val="fr-FR"/>
              </w:rPr>
            </w:pPr>
            <w:r w:rsidRPr="004216CB">
              <w:rPr>
                <w:rFonts w:ascii="Arial" w:hAnsi="Arial" w:cs="Arial"/>
                <w:lang w:val="fr-FR"/>
              </w:rPr>
              <w:t>389</w:t>
            </w:r>
            <w:r>
              <w:rPr>
                <w:rFonts w:ascii="Arial" w:hAnsi="Arial" w:cs="Arial"/>
                <w:lang w:val="fr-FR"/>
              </w:rPr>
              <w:t>.</w:t>
            </w:r>
            <w:r w:rsidRPr="004216CB">
              <w:rPr>
                <w:rFonts w:ascii="Arial" w:hAnsi="Arial" w:cs="Arial"/>
                <w:lang w:val="fr-FR"/>
              </w:rPr>
              <w:t>50 ± 6</w:t>
            </w:r>
            <w:r>
              <w:rPr>
                <w:rFonts w:ascii="Arial" w:hAnsi="Arial" w:cs="Arial"/>
                <w:lang w:val="fr-FR"/>
              </w:rPr>
              <w:t>.</w:t>
            </w:r>
            <w:r w:rsidRPr="004216CB">
              <w:rPr>
                <w:rFonts w:ascii="Arial" w:hAnsi="Arial" w:cs="Arial"/>
                <w:lang w:val="fr-FR"/>
              </w:rPr>
              <w:t xml:space="preserve">83 </w:t>
            </w:r>
            <w:r w:rsidRPr="004216CB">
              <w:rPr>
                <w:rFonts w:ascii="Arial" w:hAnsi="Arial" w:cs="Arial"/>
                <w:vertAlign w:val="superscript"/>
                <w:lang w:val="fr-FR"/>
              </w:rPr>
              <w:t>***</w:t>
            </w:r>
          </w:p>
        </w:tc>
        <w:tc>
          <w:tcPr>
            <w:tcW w:w="3138" w:type="dxa"/>
            <w:shd w:val="clear" w:color="auto" w:fill="auto"/>
            <w:noWrap/>
            <w:hideMark/>
          </w:tcPr>
          <w:p w14:paraId="2FA1ED8D" w14:textId="624DFE4B" w:rsidR="004216CB" w:rsidRPr="004216CB" w:rsidRDefault="004216CB" w:rsidP="004216CB">
            <w:pPr>
              <w:pStyle w:val="Body"/>
              <w:spacing w:after="0"/>
              <w:rPr>
                <w:rFonts w:ascii="Arial" w:hAnsi="Arial" w:cs="Arial"/>
                <w:lang w:val="fr-FR"/>
              </w:rPr>
            </w:pPr>
            <w:r w:rsidRPr="004216CB">
              <w:rPr>
                <w:rFonts w:ascii="Arial" w:hAnsi="Arial" w:cs="Arial"/>
                <w:lang w:val="fr-FR"/>
              </w:rPr>
              <w:t>41</w:t>
            </w:r>
            <w:r>
              <w:rPr>
                <w:rFonts w:ascii="Arial" w:hAnsi="Arial" w:cs="Arial"/>
                <w:lang w:val="fr-FR"/>
              </w:rPr>
              <w:t>.</w:t>
            </w:r>
            <w:r w:rsidRPr="004216CB">
              <w:rPr>
                <w:rFonts w:ascii="Arial" w:hAnsi="Arial" w:cs="Arial"/>
                <w:lang w:val="fr-FR"/>
              </w:rPr>
              <w:t>50 ± 3</w:t>
            </w:r>
            <w:r>
              <w:rPr>
                <w:rFonts w:ascii="Arial" w:hAnsi="Arial" w:cs="Arial"/>
                <w:lang w:val="fr-FR"/>
              </w:rPr>
              <w:t>.</w:t>
            </w:r>
            <w:r w:rsidRPr="004216CB">
              <w:rPr>
                <w:rFonts w:ascii="Arial" w:hAnsi="Arial" w:cs="Arial"/>
                <w:lang w:val="fr-FR"/>
              </w:rPr>
              <w:t xml:space="preserve">66 </w:t>
            </w:r>
            <w:r w:rsidRPr="004216CB">
              <w:rPr>
                <w:rFonts w:ascii="Arial" w:hAnsi="Arial" w:cs="Arial"/>
                <w:vertAlign w:val="superscript"/>
                <w:lang w:val="fr-FR"/>
              </w:rPr>
              <w:t>***</w:t>
            </w:r>
          </w:p>
        </w:tc>
      </w:tr>
    </w:tbl>
    <w:bookmarkEnd w:id="22"/>
    <w:p w14:paraId="46AE7C85" w14:textId="2EC7754C" w:rsidR="004216CB" w:rsidRPr="004502B1" w:rsidRDefault="004216CB" w:rsidP="004502B1">
      <w:pPr>
        <w:pStyle w:val="Body"/>
        <w:spacing w:after="0"/>
        <w:jc w:val="center"/>
        <w:rPr>
          <w:rFonts w:ascii="Arial" w:hAnsi="Arial" w:cs="Arial"/>
          <w:i/>
          <w:iCs/>
          <w:sz w:val="18"/>
          <w:szCs w:val="18"/>
        </w:rPr>
      </w:pPr>
      <w:r w:rsidRPr="004216CB">
        <w:rPr>
          <w:rFonts w:ascii="Arial" w:hAnsi="Arial" w:cs="Arial"/>
          <w:i/>
          <w:iCs/>
          <w:sz w:val="18"/>
          <w:szCs w:val="18"/>
        </w:rPr>
        <w:t>Results are expressed as means ± S.E.M n = 6. The data were an</w:t>
      </w:r>
      <w:r w:rsidR="00CC55DB">
        <w:rPr>
          <w:rFonts w:ascii="Arial" w:hAnsi="Arial" w:cs="Arial"/>
          <w:i/>
          <w:iCs/>
          <w:sz w:val="18"/>
          <w:szCs w:val="18"/>
        </w:rPr>
        <w:t>al</w:t>
      </w:r>
      <w:r w:rsidRPr="004216CB">
        <w:rPr>
          <w:rFonts w:ascii="Arial" w:hAnsi="Arial" w:cs="Arial"/>
          <w:i/>
          <w:iCs/>
          <w:sz w:val="18"/>
          <w:szCs w:val="18"/>
        </w:rPr>
        <w:t xml:space="preserve">yzed by the one-way ANOVA, followed by the Tukey test. *p &lt; 0.05; **p &lt; 0.01; ***p &lt; 0.001; significant difference compared to the negative control (DW+DW).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p&lt;0.05;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p&lt;0.01; </w:t>
      </w:r>
      <w:r w:rsidRPr="004216CB">
        <w:rPr>
          <w:rFonts w:ascii="Arial" w:hAnsi="Arial" w:cs="Arial"/>
          <w:b/>
          <w:bCs/>
          <w:i/>
          <w:iCs/>
          <w:sz w:val="18"/>
          <w:szCs w:val="18"/>
          <w:vertAlign w:val="superscript"/>
        </w:rPr>
        <w:t>£££</w:t>
      </w:r>
      <w:r w:rsidRPr="004216CB">
        <w:rPr>
          <w:rFonts w:ascii="Arial" w:hAnsi="Arial" w:cs="Arial"/>
          <w:i/>
          <w:iCs/>
          <w:sz w:val="18"/>
          <w:szCs w:val="18"/>
        </w:rPr>
        <w:t>p&lt;0.001; significant difference compared to the norm</w:t>
      </w:r>
      <w:r w:rsidR="00CC55DB">
        <w:rPr>
          <w:rFonts w:ascii="Arial" w:hAnsi="Arial" w:cs="Arial"/>
          <w:i/>
          <w:iCs/>
          <w:sz w:val="18"/>
          <w:szCs w:val="18"/>
        </w:rPr>
        <w:t>al</w:t>
      </w:r>
      <w:r w:rsidRPr="004216CB">
        <w:rPr>
          <w:rFonts w:ascii="Arial" w:hAnsi="Arial" w:cs="Arial"/>
          <w:i/>
          <w:iCs/>
          <w:sz w:val="18"/>
          <w:szCs w:val="18"/>
        </w:rPr>
        <w:t xml:space="preserve"> control (</w:t>
      </w:r>
      <w:proofErr w:type="spellStart"/>
      <w:r w:rsidRPr="004216CB">
        <w:rPr>
          <w:rFonts w:ascii="Arial" w:hAnsi="Arial" w:cs="Arial"/>
          <w:i/>
          <w:iCs/>
          <w:sz w:val="18"/>
          <w:szCs w:val="18"/>
        </w:rPr>
        <w:t>DW+Pilo</w:t>
      </w:r>
      <w:proofErr w:type="spellEnd"/>
      <w:r w:rsidRPr="004216CB">
        <w:rPr>
          <w:rFonts w:ascii="Arial" w:hAnsi="Arial" w:cs="Arial"/>
          <w:i/>
          <w:iCs/>
          <w:sz w:val="18"/>
          <w:szCs w:val="18"/>
        </w:rPr>
        <w:t xml:space="preserve">). DW: Distilled Water (10 mL/kg); Pilo: Pilocarpine; </w:t>
      </w:r>
      <w:proofErr w:type="spellStart"/>
      <w:r w:rsidRPr="004216CB">
        <w:rPr>
          <w:rFonts w:ascii="Arial" w:hAnsi="Arial" w:cs="Arial"/>
          <w:i/>
          <w:iCs/>
          <w:sz w:val="18"/>
          <w:szCs w:val="18"/>
        </w:rPr>
        <w:t>Cb</w:t>
      </w:r>
      <w:proofErr w:type="spellEnd"/>
      <w:r w:rsidRPr="004216CB">
        <w:rPr>
          <w:rFonts w:ascii="Arial" w:hAnsi="Arial" w:cs="Arial"/>
          <w:i/>
          <w:iCs/>
          <w:sz w:val="18"/>
          <w:szCs w:val="18"/>
        </w:rPr>
        <w:t>: C. bauchiense; SV: Sodium V</w:t>
      </w:r>
      <w:r w:rsidR="00CC55DB">
        <w:rPr>
          <w:rFonts w:ascii="Arial" w:hAnsi="Arial" w:cs="Arial"/>
          <w:i/>
          <w:iCs/>
          <w:sz w:val="18"/>
          <w:szCs w:val="18"/>
        </w:rPr>
        <w:t>al</w:t>
      </w:r>
      <w:r w:rsidRPr="004216CB">
        <w:rPr>
          <w:rFonts w:ascii="Arial" w:hAnsi="Arial" w:cs="Arial"/>
          <w:i/>
          <w:iCs/>
          <w:sz w:val="18"/>
          <w:szCs w:val="18"/>
        </w:rPr>
        <w:t>proate (300 mg/kg); Pira: Piracetam (15 mg/kg).</w:t>
      </w:r>
    </w:p>
    <w:p w14:paraId="593005F0" w14:textId="77777777" w:rsidR="004502B1" w:rsidRPr="004216CB" w:rsidRDefault="004502B1" w:rsidP="004216CB">
      <w:pPr>
        <w:pStyle w:val="Body"/>
        <w:spacing w:after="0"/>
        <w:rPr>
          <w:rFonts w:ascii="Arial" w:hAnsi="Arial" w:cs="Arial"/>
        </w:rPr>
      </w:pPr>
    </w:p>
    <w:p w14:paraId="2EEBCE76" w14:textId="3822889F" w:rsidR="004216CB" w:rsidRPr="004216CB" w:rsidRDefault="004216CB" w:rsidP="004216CB">
      <w:pPr>
        <w:pStyle w:val="Body"/>
        <w:spacing w:after="0"/>
        <w:rPr>
          <w:rFonts w:ascii="Arial" w:hAnsi="Arial" w:cs="Arial"/>
          <w:b/>
          <w:bCs/>
        </w:rPr>
      </w:pPr>
      <w:r w:rsidRPr="004216CB">
        <w:rPr>
          <w:rFonts w:ascii="Arial" w:hAnsi="Arial" w:cs="Arial"/>
          <w:b/>
          <w:bCs/>
        </w:rPr>
        <w:t>3.1</w:t>
      </w:r>
      <w:r w:rsidR="00D23863">
        <w:rPr>
          <w:rFonts w:ascii="Arial" w:hAnsi="Arial" w:cs="Arial"/>
          <w:b/>
          <w:bCs/>
        </w:rPr>
        <w:t>0</w:t>
      </w:r>
      <w:r w:rsidRPr="004216CB">
        <w:rPr>
          <w:rFonts w:ascii="Arial" w:hAnsi="Arial" w:cs="Arial"/>
          <w:b/>
          <w:bCs/>
        </w:rPr>
        <w:t xml:space="preserve">. Effect of aqueous extract of </w:t>
      </w:r>
      <w:proofErr w:type="spellStart"/>
      <w:r w:rsidRPr="004216CB">
        <w:rPr>
          <w:rFonts w:ascii="Arial" w:hAnsi="Arial" w:cs="Arial"/>
          <w:b/>
          <w:bCs/>
          <w:i/>
          <w:iCs/>
        </w:rPr>
        <w:t>Crassoceph</w:t>
      </w:r>
      <w:r w:rsidR="00CC55DB">
        <w:rPr>
          <w:rFonts w:ascii="Arial" w:hAnsi="Arial" w:cs="Arial"/>
          <w:b/>
          <w:bCs/>
          <w:i/>
          <w:iCs/>
        </w:rPr>
        <w:t>al</w:t>
      </w:r>
      <w:r w:rsidRPr="004216CB">
        <w:rPr>
          <w:rFonts w:ascii="Arial" w:hAnsi="Arial" w:cs="Arial"/>
          <w:b/>
          <w:bCs/>
          <w:i/>
          <w:iCs/>
        </w:rPr>
        <w:t>um</w:t>
      </w:r>
      <w:proofErr w:type="spellEnd"/>
      <w:r w:rsidRPr="004216CB">
        <w:rPr>
          <w:rFonts w:ascii="Arial" w:hAnsi="Arial" w:cs="Arial"/>
          <w:b/>
          <w:bCs/>
          <w:i/>
          <w:iCs/>
        </w:rPr>
        <w:t xml:space="preserve"> </w:t>
      </w:r>
      <w:proofErr w:type="spellStart"/>
      <w:r w:rsidRPr="004216CB">
        <w:rPr>
          <w:rFonts w:ascii="Arial" w:hAnsi="Arial" w:cs="Arial"/>
          <w:b/>
          <w:bCs/>
          <w:i/>
          <w:iCs/>
        </w:rPr>
        <w:t>bauchiense</w:t>
      </w:r>
      <w:proofErr w:type="spellEnd"/>
      <w:r w:rsidRPr="004216CB">
        <w:rPr>
          <w:rFonts w:ascii="Arial" w:hAnsi="Arial" w:cs="Arial"/>
          <w:b/>
          <w:bCs/>
        </w:rPr>
        <w:t xml:space="preserve"> on hippocamp</w:t>
      </w:r>
      <w:r w:rsidR="00CC55DB">
        <w:rPr>
          <w:rFonts w:ascii="Arial" w:hAnsi="Arial" w:cs="Arial"/>
          <w:b/>
          <w:bCs/>
        </w:rPr>
        <w:t>al</w:t>
      </w:r>
      <w:r w:rsidRPr="004216CB">
        <w:rPr>
          <w:rFonts w:ascii="Arial" w:hAnsi="Arial" w:cs="Arial"/>
          <w:b/>
          <w:bCs/>
        </w:rPr>
        <w:t xml:space="preserve"> </w:t>
      </w:r>
      <w:proofErr w:type="spellStart"/>
      <w:r w:rsidRPr="004216CB">
        <w:rPr>
          <w:rFonts w:ascii="Arial" w:hAnsi="Arial" w:cs="Arial"/>
          <w:b/>
          <w:bCs/>
        </w:rPr>
        <w:t>AchE</w:t>
      </w:r>
      <w:proofErr w:type="spellEnd"/>
      <w:r w:rsidRPr="004216CB">
        <w:rPr>
          <w:rFonts w:ascii="Arial" w:hAnsi="Arial" w:cs="Arial"/>
          <w:b/>
          <w:bCs/>
        </w:rPr>
        <w:t xml:space="preserve"> activity </w:t>
      </w:r>
    </w:p>
    <w:p w14:paraId="275C5E09" w14:textId="1584F9E7" w:rsidR="004216CB" w:rsidRPr="004216CB" w:rsidRDefault="004216CB" w:rsidP="004216CB">
      <w:pPr>
        <w:pStyle w:val="Body"/>
        <w:spacing w:after="0"/>
        <w:rPr>
          <w:rFonts w:ascii="Arial" w:hAnsi="Arial" w:cs="Arial"/>
        </w:rPr>
      </w:pPr>
      <w:r w:rsidRPr="004216CB">
        <w:rPr>
          <w:rFonts w:ascii="Arial" w:hAnsi="Arial" w:cs="Arial"/>
        </w:rPr>
        <w:t>The hippocamp</w:t>
      </w:r>
      <w:r w:rsidR="00CC55DB">
        <w:rPr>
          <w:rFonts w:ascii="Arial" w:hAnsi="Arial" w:cs="Arial"/>
        </w:rPr>
        <w:t>al</w:t>
      </w:r>
      <w:r w:rsidRPr="004216CB">
        <w:rPr>
          <w:rFonts w:ascii="Arial" w:hAnsi="Arial" w:cs="Arial"/>
        </w:rPr>
        <w:t xml:space="preserve"> </w:t>
      </w:r>
      <w:proofErr w:type="spellStart"/>
      <w:r w:rsidRPr="004216CB">
        <w:rPr>
          <w:rFonts w:ascii="Arial" w:hAnsi="Arial" w:cs="Arial"/>
        </w:rPr>
        <w:t>AchE</w:t>
      </w:r>
      <w:proofErr w:type="spellEnd"/>
      <w:r w:rsidRPr="004216CB">
        <w:rPr>
          <w:rFonts w:ascii="Arial" w:hAnsi="Arial" w:cs="Arial"/>
        </w:rPr>
        <w:t xml:space="preserve"> activity increased (p &lt;0.001) in mice of the negative control group (14.58 ± 0.44 µmol/min/mg tissue) compared to the norm</w:t>
      </w:r>
      <w:r w:rsidR="00CC55DB">
        <w:rPr>
          <w:rFonts w:ascii="Arial" w:hAnsi="Arial" w:cs="Arial"/>
        </w:rPr>
        <w:t>al</w:t>
      </w:r>
      <w:r w:rsidRPr="004216CB">
        <w:rPr>
          <w:rFonts w:ascii="Arial" w:hAnsi="Arial" w:cs="Arial"/>
        </w:rPr>
        <w:t xml:space="preserve"> control (10.34 ± 0.58 µmol/min/mg tissue) </w:t>
      </w:r>
      <w:r w:rsidRPr="004216CB">
        <w:rPr>
          <w:rFonts w:ascii="Arial" w:hAnsi="Arial" w:cs="Arial"/>
          <w:b/>
          <w:bCs/>
        </w:rPr>
        <w:t>(Fig.</w:t>
      </w:r>
      <w:r w:rsidR="00DC2DDC">
        <w:rPr>
          <w:rFonts w:ascii="Arial" w:hAnsi="Arial" w:cs="Arial"/>
          <w:b/>
          <w:bCs/>
        </w:rPr>
        <w:t>5</w:t>
      </w:r>
      <w:r w:rsidRPr="004216CB">
        <w:rPr>
          <w:rFonts w:ascii="Arial" w:hAnsi="Arial" w:cs="Arial"/>
          <w:b/>
          <w:bCs/>
        </w:rPr>
        <w:t>)</w:t>
      </w:r>
      <w:r w:rsidRPr="004216CB">
        <w:rPr>
          <w:rFonts w:ascii="Arial" w:hAnsi="Arial" w:cs="Arial"/>
        </w:rPr>
        <w:t xml:space="preserve">.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586EDF">
        <w:rPr>
          <w:rFonts w:ascii="Arial" w:hAnsi="Arial" w:cs="Arial"/>
          <w:i/>
          <w:iCs/>
        </w:rPr>
        <w:t xml:space="preserve"> </w:t>
      </w:r>
      <w:r w:rsidRPr="004216CB">
        <w:rPr>
          <w:rFonts w:ascii="Arial" w:hAnsi="Arial" w:cs="Arial"/>
        </w:rPr>
        <w:t xml:space="preserve">extract led to a decrease [F (7, 40) = 14,9 </w:t>
      </w:r>
      <w:r w:rsidRPr="004216CB">
        <w:rPr>
          <w:rFonts w:ascii="Arial" w:hAnsi="Arial" w:cs="Arial"/>
          <w:i/>
        </w:rPr>
        <w:t>P</w:t>
      </w:r>
      <w:r w:rsidRPr="004216CB">
        <w:rPr>
          <w:rFonts w:ascii="Arial" w:hAnsi="Arial" w:cs="Arial"/>
        </w:rPr>
        <w:t xml:space="preserve">&lt;0.001].  in this activity of 12.01 ± 1.03 µmol/min/mg of tissue, 11.78 ± 0.63 µmol/min/mg of tissue, 10.81 ± 0.95 µmol/min/mg of tissue, and 10.67 ± 0.59 µmol/min/mg of tissue respectively in mice treated with 28, 70, 140 and 280 mg/kg </w:t>
      </w:r>
      <w:r w:rsidRPr="004216CB">
        <w:rPr>
          <w:rFonts w:ascii="Arial" w:hAnsi="Arial" w:cs="Arial"/>
          <w:b/>
          <w:bCs/>
        </w:rPr>
        <w:t>(Fig.</w:t>
      </w:r>
      <w:r w:rsidR="00DC2DDC">
        <w:rPr>
          <w:rFonts w:ascii="Arial" w:hAnsi="Arial" w:cs="Arial"/>
          <w:b/>
          <w:bCs/>
        </w:rPr>
        <w:t>5</w:t>
      </w:r>
      <w:r w:rsidRPr="004216CB">
        <w:rPr>
          <w:rFonts w:ascii="Arial" w:hAnsi="Arial" w:cs="Arial"/>
          <w:b/>
          <w:bCs/>
        </w:rPr>
        <w:t>)</w:t>
      </w:r>
      <w:r w:rsidRPr="004216CB">
        <w:rPr>
          <w:rFonts w:ascii="Arial" w:hAnsi="Arial" w:cs="Arial"/>
        </w:rPr>
        <w:t>. Sodium v</w:t>
      </w:r>
      <w:r w:rsidR="00CC55DB">
        <w:rPr>
          <w:rFonts w:ascii="Arial" w:hAnsi="Arial" w:cs="Arial"/>
        </w:rPr>
        <w:t>al</w:t>
      </w:r>
      <w:r w:rsidRPr="004216CB">
        <w:rPr>
          <w:rFonts w:ascii="Arial" w:hAnsi="Arial" w:cs="Arial"/>
        </w:rPr>
        <w:t xml:space="preserve">proate and piracetam significantly (p&lt;0.001) decreased this activity, respectively 9.92 ± 0.39 µmol/min/mg tissue and 10.70 ± 0.61 µmol/min/mg tissue compared to the negative control </w:t>
      </w:r>
      <w:r w:rsidRPr="004216CB">
        <w:rPr>
          <w:rFonts w:ascii="Arial" w:hAnsi="Arial" w:cs="Arial"/>
          <w:b/>
          <w:bCs/>
        </w:rPr>
        <w:t>(Fig.</w:t>
      </w:r>
      <w:r w:rsidR="00DC2DDC">
        <w:rPr>
          <w:rFonts w:ascii="Arial" w:hAnsi="Arial" w:cs="Arial"/>
          <w:b/>
          <w:bCs/>
        </w:rPr>
        <w:t>5</w:t>
      </w:r>
      <w:r w:rsidRPr="004216CB">
        <w:rPr>
          <w:rFonts w:ascii="Arial" w:hAnsi="Arial" w:cs="Arial"/>
          <w:b/>
          <w:bCs/>
        </w:rPr>
        <w:t>)</w:t>
      </w:r>
      <w:r w:rsidRPr="004216CB">
        <w:rPr>
          <w:rFonts w:ascii="Arial" w:hAnsi="Arial" w:cs="Arial"/>
        </w:rPr>
        <w:t>.</w:t>
      </w:r>
    </w:p>
    <w:p w14:paraId="1D903898" w14:textId="5D88F96B" w:rsidR="004216CB" w:rsidRPr="004216CB" w:rsidRDefault="004845DA" w:rsidP="004845DA">
      <w:pPr>
        <w:pStyle w:val="Body"/>
        <w:spacing w:after="0"/>
        <w:jc w:val="center"/>
        <w:rPr>
          <w:rFonts w:ascii="Arial" w:hAnsi="Arial" w:cs="Arial"/>
          <w:b/>
          <w:bCs/>
        </w:rPr>
      </w:pPr>
      <w:r>
        <w:object w:dxaOrig="5719" w:dyaOrig="5299" w14:anchorId="3351A08C">
          <v:shape id="_x0000_i1026" type="#_x0000_t75" style="width:243.75pt;height:208.5pt" o:ole="">
            <v:imagedata r:id="rId23" o:title=""/>
          </v:shape>
          <o:OLEObject Type="Embed" ProgID="Prism8.Document" ShapeID="_x0000_i1026" DrawAspect="Content" ObjectID="_1804513653" r:id="rId24"/>
        </w:object>
      </w:r>
    </w:p>
    <w:p w14:paraId="3278AB50" w14:textId="56B12EC4" w:rsidR="004216CB" w:rsidRPr="004216CB" w:rsidRDefault="004216CB" w:rsidP="004216CB">
      <w:pPr>
        <w:pStyle w:val="Body"/>
        <w:spacing w:after="0"/>
        <w:rPr>
          <w:rFonts w:ascii="Arial" w:hAnsi="Arial" w:cs="Arial"/>
          <w:b/>
          <w:bCs/>
        </w:rPr>
      </w:pPr>
    </w:p>
    <w:p w14:paraId="243AACC8" w14:textId="7FCD5301" w:rsidR="004216CB" w:rsidRPr="004216CB" w:rsidRDefault="004216CB" w:rsidP="00D31267">
      <w:pPr>
        <w:pStyle w:val="Body"/>
        <w:spacing w:after="0"/>
        <w:jc w:val="center"/>
        <w:rPr>
          <w:rFonts w:ascii="Arial" w:hAnsi="Arial" w:cs="Arial"/>
          <w:b/>
          <w:bCs/>
        </w:rPr>
      </w:pPr>
      <w:r w:rsidRPr="004216CB">
        <w:rPr>
          <w:rFonts w:ascii="Arial" w:hAnsi="Arial" w:cs="Arial"/>
          <w:b/>
          <w:bCs/>
        </w:rPr>
        <w:t>Fig.</w:t>
      </w:r>
      <w:r w:rsidR="00BF7A8A">
        <w:rPr>
          <w:rFonts w:ascii="Arial" w:hAnsi="Arial" w:cs="Arial"/>
          <w:b/>
          <w:bCs/>
        </w:rPr>
        <w:t>5</w:t>
      </w:r>
      <w:r w:rsidRPr="004216CB">
        <w:rPr>
          <w:rFonts w:ascii="Arial" w:hAnsi="Arial" w:cs="Arial"/>
          <w:b/>
          <w:bCs/>
        </w:rPr>
        <w:t xml:space="preserve">. Effect of </w:t>
      </w:r>
      <w:proofErr w:type="spellStart"/>
      <w:r w:rsidR="000D3B21">
        <w:rPr>
          <w:rFonts w:ascii="Arial" w:hAnsi="Arial" w:cs="Arial"/>
          <w:b/>
          <w:bCs/>
          <w:i/>
          <w:iCs/>
        </w:rPr>
        <w:t>Crassoceph</w:t>
      </w:r>
      <w:r w:rsidR="00CC55DB">
        <w:rPr>
          <w:rFonts w:ascii="Arial" w:hAnsi="Arial" w:cs="Arial"/>
          <w:b/>
          <w:bCs/>
          <w:i/>
          <w:iCs/>
        </w:rPr>
        <w:t>al</w:t>
      </w:r>
      <w:r w:rsidR="000D3B21">
        <w:rPr>
          <w:rFonts w:ascii="Arial" w:hAnsi="Arial" w:cs="Arial"/>
          <w:b/>
          <w:bCs/>
          <w:i/>
          <w:iCs/>
        </w:rPr>
        <w:t>um</w:t>
      </w:r>
      <w:proofErr w:type="spellEnd"/>
      <w:r w:rsidR="000D3B21">
        <w:rPr>
          <w:rFonts w:ascii="Arial" w:hAnsi="Arial" w:cs="Arial"/>
          <w:b/>
          <w:bCs/>
          <w:i/>
          <w:iCs/>
        </w:rPr>
        <w:t xml:space="preserve"> </w:t>
      </w:r>
      <w:proofErr w:type="spellStart"/>
      <w:r w:rsidR="000D3B21">
        <w:rPr>
          <w:rFonts w:ascii="Arial" w:hAnsi="Arial" w:cs="Arial"/>
          <w:b/>
          <w:bCs/>
          <w:i/>
          <w:iCs/>
        </w:rPr>
        <w:t>bauchiense</w:t>
      </w:r>
      <w:proofErr w:type="spellEnd"/>
      <w:r w:rsidR="00CD428B">
        <w:rPr>
          <w:rFonts w:ascii="Arial" w:hAnsi="Arial" w:cs="Arial"/>
          <w:b/>
          <w:bCs/>
          <w:i/>
          <w:iCs/>
        </w:rPr>
        <w:t xml:space="preserve"> </w:t>
      </w:r>
      <w:r w:rsidRPr="004216CB">
        <w:rPr>
          <w:rFonts w:ascii="Arial" w:hAnsi="Arial" w:cs="Arial"/>
          <w:b/>
          <w:bCs/>
        </w:rPr>
        <w:t xml:space="preserve">on the </w:t>
      </w:r>
      <w:proofErr w:type="spellStart"/>
      <w:r w:rsidRPr="004216CB">
        <w:rPr>
          <w:rFonts w:ascii="Arial" w:hAnsi="Arial" w:cs="Arial"/>
          <w:b/>
          <w:bCs/>
        </w:rPr>
        <w:t>AchE</w:t>
      </w:r>
      <w:proofErr w:type="spellEnd"/>
      <w:r w:rsidRPr="004216CB">
        <w:rPr>
          <w:rFonts w:ascii="Arial" w:hAnsi="Arial" w:cs="Arial"/>
          <w:b/>
          <w:bCs/>
        </w:rPr>
        <w:t xml:space="preserve"> activity</w:t>
      </w:r>
    </w:p>
    <w:p w14:paraId="7A032EB9" w14:textId="03188480" w:rsidR="004216CB" w:rsidRPr="004216CB" w:rsidRDefault="004216CB" w:rsidP="00D31267">
      <w:pPr>
        <w:pStyle w:val="Body"/>
        <w:spacing w:after="0"/>
        <w:jc w:val="center"/>
        <w:rPr>
          <w:rFonts w:ascii="Arial" w:hAnsi="Arial" w:cs="Arial"/>
          <w:i/>
          <w:iCs/>
          <w:sz w:val="18"/>
          <w:szCs w:val="18"/>
        </w:rPr>
      </w:pPr>
      <w:r w:rsidRPr="004216CB">
        <w:rPr>
          <w:rFonts w:ascii="Arial" w:hAnsi="Arial" w:cs="Arial"/>
          <w:i/>
          <w:iCs/>
          <w:sz w:val="18"/>
          <w:szCs w:val="18"/>
        </w:rPr>
        <w:t>Each bar represents the mean ± ESM, n = 6. The data were an</w:t>
      </w:r>
      <w:r w:rsidR="00CC55DB">
        <w:rPr>
          <w:rFonts w:ascii="Arial" w:hAnsi="Arial" w:cs="Arial"/>
          <w:i/>
          <w:iCs/>
          <w:sz w:val="18"/>
          <w:szCs w:val="18"/>
        </w:rPr>
        <w:t>al</w:t>
      </w:r>
      <w:r w:rsidRPr="004216CB">
        <w:rPr>
          <w:rFonts w:ascii="Arial" w:hAnsi="Arial" w:cs="Arial"/>
          <w:i/>
          <w:iCs/>
          <w:sz w:val="18"/>
          <w:szCs w:val="18"/>
        </w:rPr>
        <w:t>yzed by the one-way ANOVA, followed by the Tukey test. *p &lt; 0.05; **p &lt; 0.01; ***p &lt; 0.001; significant difference compared to the negative control (</w:t>
      </w:r>
      <w:proofErr w:type="spellStart"/>
      <w:r w:rsidRPr="004216CB">
        <w:rPr>
          <w:rFonts w:ascii="Arial" w:hAnsi="Arial" w:cs="Arial"/>
          <w:i/>
          <w:iCs/>
          <w:sz w:val="18"/>
          <w:szCs w:val="18"/>
        </w:rPr>
        <w:t>DW+Pilo</w:t>
      </w:r>
      <w:proofErr w:type="spellEnd"/>
      <w:r w:rsidRPr="004216CB">
        <w:rPr>
          <w:rFonts w:ascii="Arial" w:hAnsi="Arial" w:cs="Arial"/>
          <w:i/>
          <w:iCs/>
          <w:sz w:val="18"/>
          <w:szCs w:val="18"/>
        </w:rPr>
        <w:t xml:space="preserve">).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p&lt;0.05;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p&lt;0.01; </w:t>
      </w:r>
      <w:r w:rsidRPr="004216CB">
        <w:rPr>
          <w:rFonts w:ascii="Arial" w:hAnsi="Arial" w:cs="Arial"/>
          <w:b/>
          <w:bCs/>
          <w:i/>
          <w:iCs/>
          <w:sz w:val="18"/>
          <w:szCs w:val="18"/>
          <w:vertAlign w:val="superscript"/>
        </w:rPr>
        <w:t>£££</w:t>
      </w:r>
      <w:r w:rsidRPr="004216CB">
        <w:rPr>
          <w:rFonts w:ascii="Arial" w:hAnsi="Arial" w:cs="Arial"/>
          <w:i/>
          <w:iCs/>
          <w:sz w:val="18"/>
          <w:szCs w:val="18"/>
        </w:rPr>
        <w:t>p&lt;0.001; significant difference compared to the norm</w:t>
      </w:r>
      <w:r w:rsidR="00CC55DB">
        <w:rPr>
          <w:rFonts w:ascii="Arial" w:hAnsi="Arial" w:cs="Arial"/>
          <w:i/>
          <w:iCs/>
          <w:sz w:val="18"/>
          <w:szCs w:val="18"/>
        </w:rPr>
        <w:t>al</w:t>
      </w:r>
      <w:r w:rsidRPr="004216CB">
        <w:rPr>
          <w:rFonts w:ascii="Arial" w:hAnsi="Arial" w:cs="Arial"/>
          <w:i/>
          <w:iCs/>
          <w:sz w:val="18"/>
          <w:szCs w:val="18"/>
        </w:rPr>
        <w:t xml:space="preserve"> control (DW+DW). DW: Distilled Water (10 mL/kg); Pilo: Pilocarpine; </w:t>
      </w:r>
      <w:proofErr w:type="spellStart"/>
      <w:r w:rsidRPr="004216CB">
        <w:rPr>
          <w:rFonts w:ascii="Arial" w:hAnsi="Arial" w:cs="Arial"/>
          <w:i/>
          <w:iCs/>
          <w:sz w:val="18"/>
          <w:szCs w:val="18"/>
        </w:rPr>
        <w:t>Cb</w:t>
      </w:r>
      <w:proofErr w:type="spellEnd"/>
      <w:r w:rsidRPr="004216CB">
        <w:rPr>
          <w:rFonts w:ascii="Arial" w:hAnsi="Arial" w:cs="Arial"/>
          <w:i/>
          <w:iCs/>
          <w:sz w:val="18"/>
          <w:szCs w:val="18"/>
        </w:rPr>
        <w:t>: C. bauchiense; SV: Sodium V</w:t>
      </w:r>
      <w:r w:rsidR="00CC55DB">
        <w:rPr>
          <w:rFonts w:ascii="Arial" w:hAnsi="Arial" w:cs="Arial"/>
          <w:i/>
          <w:iCs/>
          <w:sz w:val="18"/>
          <w:szCs w:val="18"/>
        </w:rPr>
        <w:t>al</w:t>
      </w:r>
      <w:r w:rsidRPr="004216CB">
        <w:rPr>
          <w:rFonts w:ascii="Arial" w:hAnsi="Arial" w:cs="Arial"/>
          <w:i/>
          <w:iCs/>
          <w:sz w:val="18"/>
          <w:szCs w:val="18"/>
        </w:rPr>
        <w:t>proate (300 mg/kg); Pira: Piracetam (15 mg/kg).</w:t>
      </w:r>
    </w:p>
    <w:p w14:paraId="605CFAD2" w14:textId="76A561AA" w:rsidR="001D24BF" w:rsidRDefault="001D24BF" w:rsidP="008267D0">
      <w:pPr>
        <w:pStyle w:val="Body"/>
        <w:spacing w:after="0"/>
        <w:rPr>
          <w:rFonts w:ascii="Arial" w:hAnsi="Arial" w:cs="Arial"/>
        </w:rPr>
      </w:pPr>
    </w:p>
    <w:p w14:paraId="7D1ADE98" w14:textId="0E5451A7" w:rsidR="004845DA" w:rsidRPr="004845DA" w:rsidRDefault="00D23863" w:rsidP="004845DA">
      <w:pPr>
        <w:pStyle w:val="Body"/>
        <w:spacing w:after="0"/>
        <w:rPr>
          <w:rFonts w:ascii="Arial" w:hAnsi="Arial" w:cs="Arial"/>
          <w:b/>
          <w:bCs/>
        </w:rPr>
      </w:pPr>
      <w:r>
        <w:rPr>
          <w:rFonts w:ascii="Arial" w:hAnsi="Arial" w:cs="Arial"/>
          <w:b/>
          <w:bCs/>
        </w:rPr>
        <w:t xml:space="preserve">4. </w:t>
      </w:r>
      <w:r w:rsidR="00CB0E94" w:rsidRPr="004845DA">
        <w:rPr>
          <w:rFonts w:ascii="Arial" w:hAnsi="Arial" w:cs="Arial"/>
          <w:b/>
          <w:bCs/>
        </w:rPr>
        <w:t xml:space="preserve">DISCUSSION </w:t>
      </w:r>
    </w:p>
    <w:p w14:paraId="0ADA79DD" w14:textId="6681F10A" w:rsidR="004845DA" w:rsidRPr="004845DA" w:rsidRDefault="00797ECD" w:rsidP="004845DA">
      <w:pPr>
        <w:pStyle w:val="Body"/>
        <w:spacing w:after="0"/>
        <w:rPr>
          <w:rFonts w:ascii="Arial" w:hAnsi="Arial" w:cs="Arial"/>
        </w:rPr>
      </w:pPr>
      <w:r>
        <w:rPr>
          <w:rFonts w:ascii="Arial" w:hAnsi="Arial" w:cs="Arial"/>
        </w:rPr>
        <w:t>“</w:t>
      </w:r>
      <w:r w:rsidR="004845DA" w:rsidRPr="004845DA">
        <w:rPr>
          <w:rFonts w:ascii="Arial" w:hAnsi="Arial" w:cs="Arial"/>
        </w:rPr>
        <w:t>The objective of the present study was to ev</w:t>
      </w:r>
      <w:r w:rsidR="00CC55DB">
        <w:rPr>
          <w:rFonts w:ascii="Arial" w:hAnsi="Arial" w:cs="Arial"/>
        </w:rPr>
        <w:t>al</w:t>
      </w:r>
      <w:r w:rsidR="004845DA" w:rsidRPr="004845DA">
        <w:rPr>
          <w:rFonts w:ascii="Arial" w:hAnsi="Arial" w:cs="Arial"/>
        </w:rPr>
        <w:t xml:space="preserve">uate the effects of a decoction of leafy stems of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AE029F">
        <w:rPr>
          <w:rFonts w:ascii="Arial" w:hAnsi="Arial" w:cs="Arial"/>
          <w:i/>
        </w:rPr>
        <w:t xml:space="preserve"> </w:t>
      </w:r>
      <w:r w:rsidR="004845DA" w:rsidRPr="004845DA">
        <w:rPr>
          <w:rFonts w:ascii="Arial" w:hAnsi="Arial" w:cs="Arial"/>
        </w:rPr>
        <w:t xml:space="preserve">on seizures, learning and memory during pilocarpine-induced </w:t>
      </w:r>
      <w:proofErr w:type="spellStart"/>
      <w:r w:rsidR="004845DA" w:rsidRPr="004845DA">
        <w:rPr>
          <w:rFonts w:ascii="Arial" w:hAnsi="Arial" w:cs="Arial"/>
        </w:rPr>
        <w:t>epileptogenesis</w:t>
      </w:r>
      <w:proofErr w:type="spellEnd"/>
      <w:r w:rsidR="004845DA" w:rsidRPr="004845DA">
        <w:rPr>
          <w:rFonts w:ascii="Arial" w:hAnsi="Arial" w:cs="Arial"/>
        </w:rPr>
        <w:t xml:space="preserve"> in mice. The initi</w:t>
      </w:r>
      <w:r w:rsidR="00CC55DB">
        <w:rPr>
          <w:rFonts w:ascii="Arial" w:hAnsi="Arial" w:cs="Arial"/>
        </w:rPr>
        <w:t>al</w:t>
      </w:r>
      <w:r w:rsidR="004845DA" w:rsidRPr="004845DA">
        <w:rPr>
          <w:rFonts w:ascii="Arial" w:hAnsi="Arial" w:cs="Arial"/>
        </w:rPr>
        <w:t xml:space="preserve"> </w:t>
      </w:r>
      <w:r w:rsidR="004845DA" w:rsidRPr="004845DA">
        <w:rPr>
          <w:rFonts w:ascii="Arial" w:hAnsi="Arial" w:cs="Arial"/>
          <w:i/>
          <w:iCs/>
        </w:rPr>
        <w:t>status epilepticus</w:t>
      </w:r>
      <w:r w:rsidR="004845DA" w:rsidRPr="004845DA">
        <w:rPr>
          <w:rFonts w:ascii="Arial" w:hAnsi="Arial" w:cs="Arial"/>
        </w:rPr>
        <w:t xml:space="preserve"> induced by pilocarpine is characterized by tonic-</w:t>
      </w:r>
      <w:proofErr w:type="spellStart"/>
      <w:r w:rsidR="004845DA" w:rsidRPr="004845DA">
        <w:rPr>
          <w:rFonts w:ascii="Arial" w:hAnsi="Arial" w:cs="Arial"/>
        </w:rPr>
        <w:t>clonic</w:t>
      </w:r>
      <w:proofErr w:type="spellEnd"/>
      <w:r w:rsidR="004845DA" w:rsidRPr="004845DA">
        <w:rPr>
          <w:rFonts w:ascii="Arial" w:hAnsi="Arial" w:cs="Arial"/>
        </w:rPr>
        <w:t xml:space="preserve"> seizures, which leads to a gener</w:t>
      </w:r>
      <w:r w:rsidR="00CC55DB">
        <w:rPr>
          <w:rFonts w:ascii="Arial" w:hAnsi="Arial" w:cs="Arial"/>
        </w:rPr>
        <w:t>al</w:t>
      </w:r>
      <w:r w:rsidR="004845DA" w:rsidRPr="004845DA">
        <w:rPr>
          <w:rFonts w:ascii="Arial" w:hAnsi="Arial" w:cs="Arial"/>
        </w:rPr>
        <w:t>ized and severe loss of neuron</w:t>
      </w:r>
      <w:r w:rsidR="00CC55DB">
        <w:rPr>
          <w:rFonts w:ascii="Arial" w:hAnsi="Arial" w:cs="Arial"/>
        </w:rPr>
        <w:t>al</w:t>
      </w:r>
      <w:r w:rsidR="004845DA" w:rsidRPr="004845DA">
        <w:rPr>
          <w:rFonts w:ascii="Arial" w:hAnsi="Arial" w:cs="Arial"/>
        </w:rPr>
        <w:t xml:space="preserve"> cells in the hippocampus</w:t>
      </w:r>
      <w:r>
        <w:rPr>
          <w:rFonts w:ascii="Arial" w:hAnsi="Arial" w:cs="Arial"/>
        </w:rPr>
        <w:t>”</w:t>
      </w:r>
      <w:r w:rsidR="004845DA" w:rsidRPr="004845DA">
        <w:rPr>
          <w:rFonts w:ascii="Arial" w:hAnsi="Arial" w:cs="Arial"/>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{"citationItems":[{"id":"ITEM-1","itemData":{"DOI":"10.1016/j.expneurol.2012.08.022","ISSN":"00144886","abstract":"Temporal lobe epilepsy (TLE) is the most common form of drug-resistant epilepsy and several rodent models allow studying the pathophysiology of this disorder. One of the best characterized models of TLE is the pilocarpine model. The model has been widely used in rats, but relatively few studies report data obtained with mice. This triggered the present study to perform a comprehensive characterization of the mouse pilocarpine model. We used male NMRI mice (28-32. g) and first established the dose-response relationship for pilocarpine (250-400. mg/kg; ip) to induce status epilepticus (SE). This enabled to define the optimal dose (300. mg/kg) producing the highest SE response (50%) associated with the best survival rate of the animals (90%). The impact of different durations of SE (0.5-3.0. h) on the time to the onset of the first spontaneous recurrent seizures (SRS) was recorded during 5-day continuous video monitoring following the SE. Virtually no \"latent\" period was observed as the seizures appeared already within 24-48. h after the pilocarpine-induced SE and 0.5. h duration of the SE was sufficient to trigger SRS. Pharmacokinetics assessment showed that these seizures were not associated with residual pilocarpine exposure as it was cleared from the blood and brain already within 24. h post-injection. Consistent with previous reports from the rat pilocarpine model we observed that the extent of hippocampal reorganization and neuronal loss correlates with the duration of SE. However, the shorter durations of SE (0.5-2.0. h) appeared to produce cell loss restricted mainly to the hilus of the dentate gyrus. Interestingly, we also observed that the number of seizures occurring within 5. days after SE appeared to correlate with the degree of hippocampal damage. Continuous 7-week video-EEG monitoring after the SE revealed that SRS were expressed in a particular pattern of clusters. Taken together, the current study provides an in-depth characterization of the mouse pilocarpine model and confirms several features of the epileptogenesis process previously reported from the rat pilocarpine model. However, the mouse pilocarpine model differs by the rapid onset of seizures and an apparent correlation between their numbers and the degree of histopathological changes. Our findings highlight that the pilocarpine model of TLE in mice is associated with brain pathology akin to different stages of human disease and may provide a valuable tool for the discovery of futu…","author":[{"dropping-particle":"","family":"Mazzuferi","given":"Manuela","non-dropping-particle":"","parse-names":false,"suffix":""},{"dropping-particle":"","family":"Kumar","given":"Gaurav","non-dropping-particle":"","parse-names":false,"suffix":""},{"dropping-particle":"","family":"Rospo","given":"Chiara","non-dropping-particle":"","parse-names":false,"suffix":""},{"dropping-particle":"","family":"Kaminski","given":"Rafal M.","non-dropping-particle":"","parse-names":false,"suffix":""}],"container-title":"Experimental Neurology","id":"ITEM-1","issue":"2","issued":{"date-parts":[["2012"]]},"title":"Rapid epileptogenesis in the mouse pilocarpine model: Video-EEG, pharmacokinetic and histopathological characterization","type":"article-journal","volume":"238"},"uris":["http://www.mendeley.com/documents/?uuid=4c47bd75-11b2-3d07-b45d-c680e7a3f209"]}],"mendeley":{"formattedCitation":"(Mazzuferi et al., 2012)","plainTextFormattedCitation":"(Mazzuferi et al., 2012)","previouslyFormattedCitation":"(Mazzuferi et al., 2012)"},"properties":{"noteIndex":0},"schema":"https://github.com/citation-style-language/schema/raw/master/csl-citation.json"}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w:t>
      </w:r>
      <w:proofErr w:type="spellStart"/>
      <w:r w:rsidR="004845DA" w:rsidRPr="004845DA">
        <w:rPr>
          <w:rFonts w:ascii="Arial" w:hAnsi="Arial" w:cs="Arial"/>
        </w:rPr>
        <w:t>Mazzuferi</w:t>
      </w:r>
      <w:proofErr w:type="spellEnd"/>
      <w:r w:rsidR="004845DA" w:rsidRPr="004845DA">
        <w:rPr>
          <w:rFonts w:ascii="Arial" w:hAnsi="Arial" w:cs="Arial"/>
        </w:rPr>
        <w:t xml:space="preserve"> et </w:t>
      </w:r>
      <w:r w:rsidR="00CC55DB" w:rsidRPr="003F09D2">
        <w:rPr>
          <w:rFonts w:ascii="Arial" w:hAnsi="Arial" w:cs="Arial"/>
        </w:rPr>
        <w:t>al</w:t>
      </w:r>
      <w:r w:rsidR="004845DA" w:rsidRPr="003F09D2">
        <w:rPr>
          <w:rFonts w:ascii="Arial" w:hAnsi="Arial" w:cs="Arial"/>
        </w:rPr>
        <w:t>.</w:t>
      </w:r>
      <w:r w:rsidR="004845DA" w:rsidRPr="004845DA">
        <w:rPr>
          <w:rFonts w:ascii="Arial" w:hAnsi="Arial" w:cs="Arial"/>
        </w:rPr>
        <w:t>, 2012)</w:t>
      </w:r>
      <w:r w:rsidR="004845DA" w:rsidRPr="004845DA">
        <w:rPr>
          <w:rFonts w:ascii="Arial" w:hAnsi="Arial" w:cs="Arial"/>
        </w:rPr>
        <w:fldChar w:fldCharType="end"/>
      </w:r>
      <w:r w:rsidR="004845DA" w:rsidRPr="004845DA">
        <w:rPr>
          <w:rFonts w:ascii="Arial" w:hAnsi="Arial" w:cs="Arial"/>
        </w:rPr>
        <w:t xml:space="preserve">. </w:t>
      </w:r>
      <w:r>
        <w:rPr>
          <w:rFonts w:ascii="Arial" w:hAnsi="Arial" w:cs="Arial"/>
        </w:rPr>
        <w:t>“</w:t>
      </w:r>
      <w:r w:rsidR="004845DA" w:rsidRPr="004845DA">
        <w:rPr>
          <w:rFonts w:ascii="Arial" w:hAnsi="Arial" w:cs="Arial"/>
        </w:rPr>
        <w:t xml:space="preserve">Indeed, during status epilepticus, pilocarpine acts on the muscarinic M1 receptor by activating phospholipase C which produces diacylglycerol and inositol triphosphate which will </w:t>
      </w:r>
      <w:r w:rsidR="00CC55DB">
        <w:rPr>
          <w:rFonts w:ascii="Arial" w:hAnsi="Arial" w:cs="Arial"/>
        </w:rPr>
        <w:t>al</w:t>
      </w:r>
      <w:r w:rsidR="004845DA" w:rsidRPr="004845DA">
        <w:rPr>
          <w:rFonts w:ascii="Arial" w:hAnsi="Arial" w:cs="Arial"/>
        </w:rPr>
        <w:t>low the entry of Ca</w:t>
      </w:r>
      <w:r w:rsidR="004845DA" w:rsidRPr="004845DA">
        <w:rPr>
          <w:rFonts w:ascii="Arial" w:hAnsi="Arial" w:cs="Arial"/>
          <w:vertAlign w:val="superscript"/>
        </w:rPr>
        <w:t>2+</w:t>
      </w:r>
      <w:r w:rsidR="004845DA" w:rsidRPr="004845DA">
        <w:rPr>
          <w:rFonts w:ascii="Arial" w:hAnsi="Arial" w:cs="Arial"/>
        </w:rPr>
        <w:t xml:space="preserve"> ions into the cell and the increase of the brain excitability</w:t>
      </w:r>
      <w:r>
        <w:rPr>
          <w:rFonts w:ascii="Arial" w:hAnsi="Arial" w:cs="Arial"/>
        </w:rPr>
        <w:t>”</w:t>
      </w:r>
      <w:r w:rsidR="004845DA" w:rsidRPr="004845DA">
        <w:rPr>
          <w:rFonts w:ascii="Arial" w:hAnsi="Arial" w:cs="Arial"/>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{"citationItems":[{"id":"ITEM-1","itemData":{"DOI":"10.1016/0006-8993(88)90011-X","ISSN":"00068993","PMID":"3401751","abstract":"Tetanic stimulation of the basal dendritic field (stratum oriens) of CA1 area of rat hippocampal slice can produce a slow depolarization associated with an increase in input resistance, decrease in accomodating properties of the cell to a depolarizing drive and an increase in synaptic activity. These effects are enhanced by an acetylcholinesterase inhibitor, eserine, and blocked by the muscarinic antagonists, pirenzepine and atropine. The accommodating property of the cell is more sensitive to the stimulation than the membrane potential or input resistance. The effects of oriens stimulation can be obtained also in fornix-fimbria transected hippocampal slice indicating that it may activate a local cholinergic or non-cholinergic pathway. The stimulation causes a heterosynaptic enhancement of reactivity of neurons to afferent stimulation indicating that acetylcholine may cause an enhanced excitability of hippocampal neurons. © 1988 Elsevier Science Publishers B.V. (Biomedical Division).","author":[{"dropping-particle":"","family":"Segal","given":"Menahem","non-dropping-particle":"","parse-names":false,"suffix":""}],"container-title":"Brain Research","id":"ITEM-1","issue":"1-2","issued":{"date-parts":[["1988"]]},"page":"79-86","title":"Synaptic activation of a cholinergic receptor in rat hippocampus","type":"article-journal","volume":"452"},"uris":["http://www.mendeley.com/documents/?uuid=4a1042da-8bce-464d-9486-ff2f8253cda7"]}],"mendeley":{"formattedCitation":"(Segal, 1988)","plainTextFormattedCitation":"(Segal, 1988)","previouslyFormattedCitation":"(Segal, 1988)"},"properties":{"noteIndex":0},"schema":"https://github.com/citation-style-language/schema/raw/master/csl-citation.json"}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(Seg</w:t>
      </w:r>
      <w:r w:rsidR="00CC55DB">
        <w:rPr>
          <w:rFonts w:ascii="Arial" w:hAnsi="Arial" w:cs="Arial"/>
        </w:rPr>
        <w:t>al</w:t>
      </w:r>
      <w:r w:rsidR="004845DA" w:rsidRPr="004845DA">
        <w:rPr>
          <w:rFonts w:ascii="Arial" w:hAnsi="Arial" w:cs="Arial"/>
        </w:rPr>
        <w:t>, 1988)</w:t>
      </w:r>
      <w:r w:rsidR="004845DA" w:rsidRPr="004845DA">
        <w:rPr>
          <w:rFonts w:ascii="Arial" w:hAnsi="Arial" w:cs="Arial"/>
        </w:rPr>
        <w:fldChar w:fldCharType="end"/>
      </w:r>
      <w:r w:rsidR="004845DA" w:rsidRPr="004845DA">
        <w:rPr>
          <w:rFonts w:ascii="Arial" w:hAnsi="Arial" w:cs="Arial"/>
        </w:rPr>
        <w:t xml:space="preserve">. </w:t>
      </w:r>
      <w:r>
        <w:rPr>
          <w:rFonts w:ascii="Arial" w:hAnsi="Arial" w:cs="Arial"/>
        </w:rPr>
        <w:t>“</w:t>
      </w:r>
      <w:r w:rsidR="004845DA" w:rsidRPr="004845DA">
        <w:rPr>
          <w:rFonts w:ascii="Arial" w:hAnsi="Arial" w:cs="Arial"/>
        </w:rPr>
        <w:t>The high concentration of Ca</w:t>
      </w:r>
      <w:r w:rsidR="004845DA" w:rsidRPr="004845DA">
        <w:rPr>
          <w:rFonts w:ascii="Arial" w:hAnsi="Arial" w:cs="Arial"/>
          <w:vertAlign w:val="superscript"/>
        </w:rPr>
        <w:t>2+</w:t>
      </w:r>
      <w:r w:rsidR="004845DA" w:rsidRPr="004845DA">
        <w:rPr>
          <w:rFonts w:ascii="Arial" w:hAnsi="Arial" w:cs="Arial"/>
        </w:rPr>
        <w:t xml:space="preserve"> favors the release of glutamate inducing the status epilepticus with consequent activation of lipases, proteases and nucleases that will cause the death of nerve cells by necrosis or apoptosis</w:t>
      </w:r>
      <w:r>
        <w:rPr>
          <w:rFonts w:ascii="Arial" w:hAnsi="Arial" w:cs="Arial"/>
        </w:rPr>
        <w:t>”</w:t>
      </w:r>
      <w:r w:rsidR="004845DA" w:rsidRPr="004845DA">
        <w:rPr>
          <w:rFonts w:ascii="Arial" w:hAnsi="Arial" w:cs="Arial"/>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{"citationItems":[{"id":"ITEM-1","itemData":{"DOI":"10.1590/S0001-37652009000300003","ISSN":"16782690","abstract":"The systemic administration of a potent muscarinic agonist pilocarpine in rats promotes sequential behavioral and electrographic changes that can be divided into 3 distinct periods: (a) an acute period that built up progressively into a limbic status epilepticus and that lasts 24 h, (b) a silent period with a progressive normalization of EEG and behavior which varies from 4 to 44 days, and (c) a chronic period with spontaneous recurrent seizures (SRSs). The main features of the SRSs observed during the long-term period resemble those of human complex partial seizures and recurs 2-3 times per week per animal. Therefore, the pilocarpine model of epilepsy is a valuable tool not only to study the pathogenesis of temporal lobe epilepsy in human condition, but also to evaluate potential antiepileptogenic drugs. This review concentrates on data from pilocarpine model of epilepsy.","author":[{"dropping-particle":"","family":"Scorza","given":"Fulvio A.","non-dropping-particle":"","parse-names":false,"suffix":""},{"dropping-particle":"","family":"Arida","given":"Ricardo M.","non-dropping-particle":"","parse-names":false,"suffix":""},{"dropping-particle":"","family":"Naffah-Mazzacoratti","given":"Maria da Graça","non-dropping-particle":"","parse-names":false,"suffix":""},{"dropping-particle":"","family":"Scerni","given":"Débora A.","non-dropping-particle":"","parse-names":false,"suffix":""},{"dropping-particle":"","family":"Calderazzo","given":"Lineu","non-dropping-particle":"","parse-names":false,"suffix":""},{"dropping-particle":"","family":"Cavalheiro","given":"Esper A.","non-dropping-particle":"","parse-names":false,"suffix":""}],"container-title":"Anais da Academia Brasileira de Ciencias","id":"ITEM-1","issue":"3","issued":{"date-parts":[["2009"]]},"title":"The pilocarpine model of epilepsy: What have we learned?","type":"article","volume":"81"},"uris":["http://www.mendeley.com/documents/?uuid=c19ff2fa-1d19-39c3-b8ba-f7d3699214ec"]}],"mendeley":{"formattedCitation":"(Scorza et al., 2009)","plainTextFormattedCitation":"(Scorza et al., 2009)","previouslyFormattedCitation":"(Scorza et al., 2009)"},"properties":{"noteIndex":0},"schema":"https://github.com/citation-style-language/schema/raw/master/csl-citation.json"}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 xml:space="preserve">(Scorza et </w:t>
      </w:r>
      <w:r w:rsidR="00CC55DB" w:rsidRPr="003F09D2">
        <w:rPr>
          <w:rFonts w:ascii="Arial" w:hAnsi="Arial" w:cs="Arial"/>
        </w:rPr>
        <w:t>al</w:t>
      </w:r>
      <w:r w:rsidR="004845DA" w:rsidRPr="004845DA">
        <w:rPr>
          <w:rFonts w:ascii="Arial" w:hAnsi="Arial" w:cs="Arial"/>
        </w:rPr>
        <w:t>., 2009)</w:t>
      </w:r>
      <w:r w:rsidR="004845DA" w:rsidRPr="004845DA">
        <w:rPr>
          <w:rFonts w:ascii="Arial" w:hAnsi="Arial" w:cs="Arial"/>
        </w:rPr>
        <w:fldChar w:fldCharType="end"/>
      </w:r>
      <w:r w:rsidR="004845DA" w:rsidRPr="004845DA">
        <w:rPr>
          <w:rFonts w:ascii="Arial" w:hAnsi="Arial" w:cs="Arial"/>
        </w:rPr>
        <w:t xml:space="preserve">. </w:t>
      </w:r>
      <w:r>
        <w:rPr>
          <w:rFonts w:ascii="Arial" w:hAnsi="Arial" w:cs="Arial"/>
        </w:rPr>
        <w:t>“</w:t>
      </w:r>
      <w:r w:rsidR="004845DA" w:rsidRPr="004845DA">
        <w:rPr>
          <w:rFonts w:ascii="Arial" w:hAnsi="Arial" w:cs="Arial"/>
        </w:rPr>
        <w:t>Pretreatment with clonazepam, phenobarbit</w:t>
      </w:r>
      <w:r w:rsidR="00CC55DB">
        <w:rPr>
          <w:rFonts w:ascii="Arial" w:hAnsi="Arial" w:cs="Arial"/>
        </w:rPr>
        <w:t>al</w:t>
      </w:r>
      <w:r w:rsidR="004845DA" w:rsidRPr="004845DA">
        <w:rPr>
          <w:rFonts w:ascii="Arial" w:hAnsi="Arial" w:cs="Arial"/>
        </w:rPr>
        <w:t>, or sodium v</w:t>
      </w:r>
      <w:r w:rsidR="00CC55DB">
        <w:rPr>
          <w:rFonts w:ascii="Arial" w:hAnsi="Arial" w:cs="Arial"/>
        </w:rPr>
        <w:t>al</w:t>
      </w:r>
      <w:r w:rsidR="004845DA" w:rsidRPr="004845DA">
        <w:rPr>
          <w:rFonts w:ascii="Arial" w:hAnsi="Arial" w:cs="Arial"/>
        </w:rPr>
        <w:t xml:space="preserve">proate has been shown to prevent limbic seizures and to protect against SE-related cellular damage.  In the present study, pretreatment of mice with the aqueous extract of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AE029F">
        <w:rPr>
          <w:rFonts w:ascii="Arial" w:hAnsi="Arial" w:cs="Arial"/>
          <w:i/>
        </w:rPr>
        <w:t xml:space="preserve"> </w:t>
      </w:r>
      <w:r w:rsidR="004845DA" w:rsidRPr="004845DA">
        <w:rPr>
          <w:rFonts w:ascii="Arial" w:hAnsi="Arial" w:cs="Arial"/>
        </w:rPr>
        <w:t xml:space="preserve">(140 and 280 mg/kg) significantly protected them from the effects of SE. The results show that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AE029F">
        <w:rPr>
          <w:rFonts w:ascii="Arial" w:hAnsi="Arial" w:cs="Arial"/>
          <w:i/>
          <w:iCs/>
        </w:rPr>
        <w:t xml:space="preserve"> </w:t>
      </w:r>
      <w:r w:rsidR="004845DA" w:rsidRPr="004845DA">
        <w:rPr>
          <w:rFonts w:ascii="Arial" w:hAnsi="Arial" w:cs="Arial"/>
        </w:rPr>
        <w:t>significantly decreased the onset of seizures by increasing SE latency, first tonic-</w:t>
      </w:r>
      <w:proofErr w:type="spellStart"/>
      <w:r w:rsidR="004845DA" w:rsidRPr="004845DA">
        <w:rPr>
          <w:rFonts w:ascii="Arial" w:hAnsi="Arial" w:cs="Arial"/>
        </w:rPr>
        <w:t>clonic</w:t>
      </w:r>
      <w:proofErr w:type="spellEnd"/>
      <w:r w:rsidR="004845DA" w:rsidRPr="004845DA">
        <w:rPr>
          <w:rFonts w:ascii="Arial" w:hAnsi="Arial" w:cs="Arial"/>
        </w:rPr>
        <w:t xml:space="preserve"> seizure latency and seizure score. Such a reduction in seizure severity and sensitivity to a convulsant suggests that the extract antagonizes or modifies the epileptogenic process induced by pilocarpine</w:t>
      </w:r>
      <w:r>
        <w:rPr>
          <w:rFonts w:ascii="Arial" w:hAnsi="Arial" w:cs="Arial"/>
        </w:rPr>
        <w:t>”</w:t>
      </w:r>
      <w:r w:rsidR="004845DA" w:rsidRPr="004845DA">
        <w:rPr>
          <w:rFonts w:ascii="Arial" w:hAnsi="Arial" w:cs="Arial"/>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{"citationItems":[{"id":"ITEM-1","itemData":{"DOI":"10.1016/j.eplepsyres.2004.10.003","ISSN":"09201211","abstract":"Prevention of epileptogenesis after brain insults, such as status epilepticus (SE), head trauma, or stroke, remains a challenge. Even if epilepsy cannot be prevented, it would be beneficial if the pathologic process could be modified to result in a less severe disease. We examined whether early discontinuation of SE reduces the risk of epilepsy or results in milder disease. Epileptogenesis was triggered with SE induced by electrical stimulation of the amygdala. Animals (n = 72) were treated with vehicle or diazepam (DZP, 20 mg/kg) 2 h or 3 h after the beginning of SE. Electrode-implanted non-stimulated rats served as controls for histology. All animals underwent continuous long-term video-electroencephalography monitoring 7-9 weeks and 11-15 weeks later to detect the occurrence and severity of spontaneous seizures. As another outcome measure, the severity of hippocampal damage was assessed in histologic sections. In the vehicle group, 94% of animals developed epilepsy. DZP treatment reduced the percentage of epileptic animals to 42% in the 2-h DZP group and to 71% in the 3-h DZP group (p &lt; 0.001 and p &lt; 0.05 compared to the vehicle group, respectively). If epilepsy developed, t</w:instrText>
      </w:r>
      <w:r w:rsidR="004845DA" w:rsidRPr="004845DA">
        <w:rPr>
          <w:rFonts w:ascii="Arial" w:hAnsi="Arial" w:cs="Arial"/>
          <w:lang w:val="fr-FR"/>
        </w:rPr>
        <w:instrText>he seizures were less frequent in DZP-treated animals compared to the vehicle group (median 16.4 seizures/day), particularly in the 2-h DZP group (median 0.4 seizures/day). Finally, if DZP treatment was started 2 h, but not 3 h after SE, the severity of hippocampal cell loss was milder and the density of mossy-fiber sprouting was lower than in the vehicle group. These data indicate that treatment of SE with DZP within 2 h reduces the risk of epilepsy later in life, and if epilepsy develops, it is milder. © 2004 Elsevier B.V. All rights reserved.","author":[{"dropping-particle":"","family":"Pitkänen","given":"Asla","non-dropping-particle":"","parse-names":false,"suffix":""},{"dropping-particle":"","family":"Kharatishvili","given":"Irina","non-dropping-particle":"","parse-names":false,"suffix":""},{"dropping-particle":"","family":"Narkilahti","given":"Susanna","non-dropping-particle":"","parse-names":false,"suffix":""},{"dropping-particle":"","family":"Lukasiuk","given":"Katarzyna","non-dropping-particle":"","parse-names":false,"suffix":""},{"dropping-particle":"","family":"Nissinen","given":"Jari","non-dropping-particle":"","parse-names":false,"suffix":""}],"container-title":"Epilepsy Research","id":"ITEM-1","issue":"1","issued":{"date-parts":[["2005"]]},"title":"Administration of diazepam during status epilepticus reduces development and severity of epilepsy in rat","type":"article-journal","volume":"63"},"uris":["http://www.mendeley.com/documents/?uuid=f72787ae-ca4e-39f4-a3bb-cfc479a39fe0"]}],"mendeley":{"formattedCitation":"(Pitkänen et al., 2005)","plainTextFormattedCitation":"(Pitkänen et al., 2005)","previouslyFormattedCitation":"(Pitkänen et al., 2005)"},"properties":{"noteIndex":0},"schema":"https://github.com/citation-style-language/schema/raw/master/csl-citation.json"}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lang w:val="fr-FR"/>
        </w:rPr>
        <w:t>(</w:t>
      </w:r>
      <w:proofErr w:type="spellStart"/>
      <w:r w:rsidR="004845DA" w:rsidRPr="004845DA">
        <w:rPr>
          <w:rFonts w:ascii="Arial" w:hAnsi="Arial" w:cs="Arial"/>
          <w:lang w:val="fr-FR"/>
        </w:rPr>
        <w:t>Pitkänen</w:t>
      </w:r>
      <w:proofErr w:type="spellEnd"/>
      <w:r w:rsidR="004845DA" w:rsidRPr="004845DA">
        <w:rPr>
          <w:rFonts w:ascii="Arial" w:hAnsi="Arial" w:cs="Arial"/>
          <w:lang w:val="fr-FR"/>
        </w:rPr>
        <w:t xml:space="preserve"> et </w:t>
      </w:r>
      <w:r w:rsidR="00CC55DB">
        <w:rPr>
          <w:rFonts w:ascii="Arial" w:hAnsi="Arial" w:cs="Arial"/>
          <w:lang w:val="fr-FR"/>
        </w:rPr>
        <w:t>al</w:t>
      </w:r>
      <w:r w:rsidR="004845DA" w:rsidRPr="004845DA">
        <w:rPr>
          <w:rFonts w:ascii="Arial" w:hAnsi="Arial" w:cs="Arial"/>
          <w:lang w:val="fr-FR"/>
        </w:rPr>
        <w:t>., 2005</w:t>
      </w:r>
      <w:r w:rsidR="004845DA" w:rsidRPr="004845DA">
        <w:rPr>
          <w:rFonts w:ascii="Arial" w:hAnsi="Arial" w:cs="Arial"/>
        </w:rPr>
        <w:fldChar w:fldCharType="end"/>
      </w:r>
      <w:r w:rsidR="004845DA" w:rsidRPr="004845DA">
        <w:rPr>
          <w:rFonts w:ascii="Arial" w:hAnsi="Arial" w:cs="Arial"/>
          <w:lang w:val="fr-FR"/>
        </w:rPr>
        <w:t xml:space="preserve">; </w:t>
      </w:r>
      <w:r w:rsidR="004845DA" w:rsidRPr="004845DA">
        <w:rPr>
          <w:rFonts w:ascii="Arial" w:hAnsi="Arial" w:cs="Arial"/>
          <w:lang w:val="fr-FR"/>
        </w:rPr>
        <w:fldChar w:fldCharType="begin"/>
      </w:r>
      <w:r w:rsidR="004845DA" w:rsidRPr="004845DA">
        <w:rPr>
          <w:rFonts w:ascii="Arial" w:hAnsi="Arial" w:cs="Arial"/>
          <w:lang w:val="fr-FR"/>
        </w:rPr>
        <w:instrText>ADDIN CSL_CITATION {"citationItems":[{"id":"ITEM-1","itemData":{"DOI":"10.3389/fphar.2017.00440","ISSN":"16639812","abstract":"In this study, we investigated antiepileptogenic and neuroprotective effects of the aqueous extract of Pergularia daemia roots (PDR) using in vivo and in vitro experimental models. In in vivo studies, status epilepticus caused by pilocarpine injection triggers epileptogenesis which evolves during about 1-2 weeks. After 2 h of status epilepticus, mice were treated during the epileptogenesis period for 7 days with sodium valproate and vitamin C (standards which demonstrated to alter epileptogenesis), or Pergularia daemia. The animals were then, 1 week after status epilepticus, challenged with acute pentylenetetrazole (PTZ) administration to test behaviorally the susceptibility to a convulsant agent of animals treated or not with the plan extract. Memory was assessed after PTZ administration in the elevated plus maze and T-maze paradigms at 24 and 48 h. Antioxidant and acetylcholinesterase activities were determined in the hippocampus after sacrifice, in vitro studies were conducted using embryonic rat primary cortical cultures exposed to L-glutamate. Cell survival rate was measured and apoptotic and necrotic cell death determined. The results showed that chronic oral administration of PDR significantly and dose-dependently increased the latency to myoclonic jerks, clonic seizures and generalized tonic-clonic seizures, and the seizure score. In addition, PDR at all doses (from 4.9 to 49 mg/kg) significantly decreased the initial and retention transfer latencies in the elevated plus maze. Interestingly PDR at the same doses significantly increased the time spent and the number of entries in T-maze novel arm. PDR significantly increased the activities of acetylcholinesterase and antioxidant enzymes superoxide dismutase, catalase, and total glutathione and proteins, and decreased malondialdehyde level. Furthermore, PDR increased viability rate of primary cortical neurons after L-glutamate-induced excitotoxicity, in a dose dependent manner. Altogether these results suggest that PDR has antiepileptogenic and neuroprotective effects, which could be mediated by antioxidant and antiapoptotic activities.","author":[{"dropping-particle":"","family":"Kandeda","given":"Antoine K.","non-dropping-particle":"","parse-names":false,"suffix":""},{"dropping-particle":"","family":"Taiwe","given":"Germain S.","non-dropping-particle":"","parse-names":false,"suffix":""},{"dropping-particle":"","family":"Moto","given":"Fleur C.O.","non-dropping-particle":"","parse-names":false,"suffix":""},{"dropping-par</w:instrText>
      </w:r>
      <w:r w:rsidR="004845DA" w:rsidRPr="004845DA">
        <w:rPr>
          <w:rFonts w:ascii="Arial" w:hAnsi="Arial" w:cs="Arial"/>
        </w:rPr>
        <w:instrText>ticle":"","family":"Ngoupaye","given":"Gwladys T.","non-dropping-particle":"","parse-names":false,"suffix":""},{"dropping-particle":"","family":"Nkantchoua","given":"Gisele C.N.","non-dropping-particle":"","parse-names":false,"suffix":""},{"dropping-particle":"","family":"Njapdounke","given":"Jacqueline S.K.","non-dropping-particle":"","parse-names":false,"suffix":""},{"dropping-particle":"","family":"Omam","given":"Jean P.O.","non-dropping-particle":"","parse-names":false,"suffix":""},{"dropping-particle":"","family":"Pale","given":"Simon","non-dropping-particle":"","parse-names":false,"suffix":""},{"dropping-particle":"","family":"Kouemou","given":"Nadege","non-dropping-particle":"","parse-names":false,"suffix":""},{"dropping-particle":"","family":"Bum","given":"Elisabeth Ngo","non-dropping-particle":"","parse-names":false,"suffix":""}],"container-title":"Frontiers in Pharmacology","id":"ITEM-1","issue":"JUN","issued":{"date-parts":[["2017"]]},"page":"1-14","title":"Antiepileptogenic and neuroprotective effects of Pergularia daemia on pilocarpine model of epilepsy","type":"article-journal","volume":"8"},"uris":["http://www.mendeley.com/documents/?uuid=c4c87c50-a69f-4088-bd1d-9d4da28d4076"]}],"mendeley":{"formattedCitation":"(Kandeda et al., 2017)","plainTextFormattedCitation":"(Kandeda et al., 2017)","previouslyFormattedCitation":"(Kandeda et al., 2017)"},"properties":{"noteIndex":0},"schema":"https://github.com/citation-style-language/schema/raw/master/csl-citation.json"}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 xml:space="preserve">Kandeda et </w:t>
      </w:r>
      <w:r w:rsidR="00CC55DB">
        <w:rPr>
          <w:rFonts w:ascii="Arial" w:hAnsi="Arial" w:cs="Arial"/>
        </w:rPr>
        <w:t>al</w:t>
      </w:r>
      <w:r w:rsidR="004845DA" w:rsidRPr="004845DA">
        <w:rPr>
          <w:rFonts w:ascii="Arial" w:hAnsi="Arial" w:cs="Arial"/>
        </w:rPr>
        <w:t>., 2017)</w:t>
      </w:r>
      <w:r w:rsidR="004845DA" w:rsidRPr="004845DA">
        <w:rPr>
          <w:rFonts w:ascii="Arial" w:hAnsi="Arial" w:cs="Arial"/>
        </w:rPr>
        <w:fldChar w:fldCharType="end"/>
      </w:r>
      <w:r w:rsidR="004845DA" w:rsidRPr="004845DA">
        <w:rPr>
          <w:rFonts w:ascii="Arial" w:hAnsi="Arial" w:cs="Arial"/>
        </w:rPr>
        <w:t xml:space="preserve">. </w:t>
      </w:r>
      <w:r>
        <w:rPr>
          <w:rFonts w:ascii="Arial" w:hAnsi="Arial" w:cs="Arial"/>
        </w:rPr>
        <w:t>“</w:t>
      </w:r>
      <w:r w:rsidR="004845DA" w:rsidRPr="004845DA">
        <w:rPr>
          <w:rFonts w:ascii="Arial" w:hAnsi="Arial" w:cs="Arial"/>
        </w:rPr>
        <w:t xml:space="preserve">The effects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bauchiense</w:t>
      </w:r>
      <w:r w:rsidR="00AE029F">
        <w:rPr>
          <w:rFonts w:ascii="Arial" w:hAnsi="Arial" w:cs="Arial"/>
          <w:i/>
          <w:iCs/>
        </w:rPr>
        <w:t xml:space="preserve"> </w:t>
      </w:r>
      <w:r w:rsidR="004845DA" w:rsidRPr="004845DA">
        <w:rPr>
          <w:rFonts w:ascii="Arial" w:hAnsi="Arial" w:cs="Arial"/>
        </w:rPr>
        <w:t>at high doses (280 mg/kg) are similar to those of sodium v</w:t>
      </w:r>
      <w:r w:rsidR="00CC55DB">
        <w:rPr>
          <w:rFonts w:ascii="Arial" w:hAnsi="Arial" w:cs="Arial"/>
        </w:rPr>
        <w:t>al</w:t>
      </w:r>
      <w:r w:rsidR="004845DA" w:rsidRPr="004845DA">
        <w:rPr>
          <w:rFonts w:ascii="Arial" w:hAnsi="Arial" w:cs="Arial"/>
        </w:rPr>
        <w:t>proate, a reference antiepileptic drug. The primary mechanisms of sodium v</w:t>
      </w:r>
      <w:r w:rsidR="00CC55DB">
        <w:rPr>
          <w:rFonts w:ascii="Arial" w:hAnsi="Arial" w:cs="Arial"/>
        </w:rPr>
        <w:t>al</w:t>
      </w:r>
      <w:r w:rsidR="004845DA" w:rsidRPr="004845DA">
        <w:rPr>
          <w:rFonts w:ascii="Arial" w:hAnsi="Arial" w:cs="Arial"/>
        </w:rPr>
        <w:t xml:space="preserve">proate include an increase in </w:t>
      </w:r>
      <w:proofErr w:type="spellStart"/>
      <w:r w:rsidR="004845DA" w:rsidRPr="004845DA">
        <w:rPr>
          <w:rFonts w:ascii="Arial" w:hAnsi="Arial" w:cs="Arial"/>
        </w:rPr>
        <w:t>gabaergic</w:t>
      </w:r>
      <w:proofErr w:type="spellEnd"/>
      <w:r w:rsidR="004845DA" w:rsidRPr="004845DA">
        <w:rPr>
          <w:rFonts w:ascii="Arial" w:hAnsi="Arial" w:cs="Arial"/>
        </w:rPr>
        <w:t xml:space="preserve"> activity, a reduction in excitatory neurotransmission, and a modification of monoamines</w:t>
      </w:r>
      <w:r>
        <w:rPr>
          <w:rFonts w:ascii="Arial" w:hAnsi="Arial" w:cs="Arial"/>
        </w:rPr>
        <w:t>”</w:t>
      </w:r>
      <w:r w:rsidR="004845DA" w:rsidRPr="004845DA">
        <w:rPr>
          <w:rFonts w:ascii="Arial" w:hAnsi="Arial" w:cs="Arial"/>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{"citationItems":[{"id":"ITEM-1","itemData":{"DOI":"10.1016/j.neulet.2007.04.056","ISSN":"03043940","abstract":"Vitamin C (VIT C) is an exogenous antioxidant able to alter the brain oxidative stress. Antioxidant properties have been showed in seizures and status epilepticus (SE) induced by pilocarpine in adult rats. This present study was aimed at was investigating the VIT C effects on latency to first seizure, in percentage of seizures, mortality rate, as well as hippocampal lipid peroxidation levels and catalase activity after seizures and SE. The VIT C effects were investigated after the pretreatment with dose 250 mg/kg, i.p., 30 min before pilocarpine administration (400 mg/kg, s.c., pilocarpine group (P400)). The VIT C increase the latency to first seizure and decrease the mortality rate and lipid peroxidation levels. In P400 + VIT C and VIT C groups were observed an increase in hippocampal catalase activity. Our results suggests that the vitamin C can exert antioxidant and anticonvulsive effects in adult rats, suggesting that this vitamin can be able by reduction of lipid peroxidation content and increased of catalase enzymatic activity which cerebral compensatory mechanisms in free radical formation during SE. © 2007.","author":[{"dropping-particle":"","family":"Xavier","given":"S. M.","non-dropping-particle":"","parse-names":false,"suffix":""},{"dropping-particle":"","family":"Barbosa","given":"C. O.","non-dropping-particle":"","parse-names":false,"suffix":""},{"dropping-particle":"","family":"Barros","given":"D. O.","non-dropping-particle":"","parse-names":false,"suffix":""},{"dropping-particle":"","family":"Silva","given":"R. F.","non-dropping-particle":"","parse-names":false,"suffix":""},{"dropping-particle":"","family":"Oliveira","given":"A. A.","non-dropping-particle":"","parse-names":false,"suffix":""},{"dropping-particle":"","family":"Freitas","given":"R. M.","non-dropping-particle":"","parse-names":false,"suffix":""}],"container-title":"Neuroscience Letters","id":"ITEM-1","issue":"1","issued":{"date-parts":[["2007"]]},"title":"Vitamin C antioxidant effects in hippocampus of adult Wistar rats after seizures and status epilepticus induced by pilocarpine","type":"article-journal","volume":"420"},"uris":["http://www.mendeley.com/documents/?uuid=c0409d9c-6395-3fc9-9cb7-40eb51748ec5"]}],"mendeley":{"formattedCitation":"(Xavier et al., 2007)","manualFormatting":"(Xavier et al., 2007","plainTextFormattedCitation":"(Xavier et al., 2007)","previouslyFormattedCitation":"(Xavier et al., 2007)"},"properties":{"noteIndex":0},"schema":"https://github.com/citation-style-language/schema/raw/master/csl-citation.json"}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lang w:val="fr-FR"/>
        </w:rPr>
        <w:t xml:space="preserve">(Xavier et </w:t>
      </w:r>
      <w:r w:rsidR="00CC55DB">
        <w:rPr>
          <w:rFonts w:ascii="Arial" w:hAnsi="Arial" w:cs="Arial"/>
          <w:i/>
          <w:iCs/>
          <w:lang w:val="fr-FR"/>
        </w:rPr>
        <w:t>al</w:t>
      </w:r>
      <w:r w:rsidR="004845DA" w:rsidRPr="004845DA">
        <w:rPr>
          <w:rFonts w:ascii="Arial" w:hAnsi="Arial" w:cs="Arial"/>
          <w:iCs/>
          <w:lang w:val="fr-FR"/>
        </w:rPr>
        <w:t>.</w:t>
      </w:r>
      <w:r w:rsidR="004845DA" w:rsidRPr="004845DA">
        <w:rPr>
          <w:rFonts w:ascii="Arial" w:hAnsi="Arial" w:cs="Arial"/>
          <w:lang w:val="fr-FR"/>
        </w:rPr>
        <w:t>, 2007</w:t>
      </w:r>
      <w:r w:rsidR="004845DA" w:rsidRPr="004845DA">
        <w:rPr>
          <w:rFonts w:ascii="Arial" w:hAnsi="Arial" w:cs="Arial"/>
        </w:rPr>
        <w:fldChar w:fldCharType="end"/>
      </w:r>
      <w:r w:rsidR="004845DA" w:rsidRPr="004845DA">
        <w:rPr>
          <w:rFonts w:ascii="Arial" w:hAnsi="Arial" w:cs="Arial"/>
          <w:lang w:val="fr-FR"/>
        </w:rPr>
        <w:t xml:space="preserve"> ; </w:t>
      </w:r>
      <w:r w:rsidR="004845DA" w:rsidRPr="004845DA">
        <w:rPr>
          <w:rFonts w:ascii="Arial" w:hAnsi="Arial" w:cs="Arial"/>
          <w:lang w:val="fr-FR"/>
        </w:rPr>
        <w:fldChar w:fldCharType="begin"/>
      </w:r>
      <w:r w:rsidR="004845DA" w:rsidRPr="004845DA">
        <w:rPr>
          <w:rFonts w:ascii="Arial" w:hAnsi="Arial" w:cs="Arial"/>
          <w:lang w:val="fr-FR"/>
        </w:rPr>
        <w:instrText>ADDIN CSL_CITATION {"citationItems":[{"id":"ITEM-1","itemData":{"DOI":"10.1016/j.jep.2013.04.004","ISSN":"03788741","abstract":"Ethnopharmacological relevance Repeated application of Lavandula officinalis (L. officinalis) has been recommended for a long time in Iranian traditional medicine for some of nervous disorders like epilepsy and dementia. However, there is no available report for the effect of chronic administration of Lavandula extract in development (acquisition) of epilepsy. Therefore, this study was designed to investigate the anti-epileptogenic and antioxidant activity of repeated administration of Lavandula officinalis extract on pentylenetetrazol (PTZ) kindling seizures in mice model. Materials and methods Lavandula officinalis was tested for its ability (i) to suppress the seizure intensity and lethal effects of PTZ in kindled mice (anti-epileptogenic effect), (ii) to attenuate the PTZ-induced oxidative injury in the brain tissue (antioxidant effect) when given as a pretreatment prior to each PTZ injection during kindling development. Valproate (Val), a major antiepileptic drug, was also tested for comparison. Results Val and Lavandula officinalis extract showed anti-epileptogenic properties as they reduced seizure score of kindled mice and PTZ-induced mortality. In this regard, Lavandula officinalis was more effective than Val. Both Lavandula officinalis and Val suppressed brain nitric oxide (NO) level of kindled mice in comparison with the control and PTZ group. Meanwhile, Lavandula officinalis suppressed NO level more than Val and Lavandula officinalis also decreased brain MDA level relative to PTZ group. Conclusion This is the first report to demonstrate NO suppressing and anti-epileptogenic effect of chronic administration of Lavandula officinalis extract on acquisition of epilepsy in PTZ kindling mice model. In this regard, Lavandula officinalis extract was more effective than Val, possibly and in part via brain NO suppression. © 2013 Elsevier Ireland Ltd. All rights reserved.","author":[{"dropping-particle":"","family":"Rahmati","given":"Batool","non-dropping-particle":"","parse-names":false,"suffix":""},{"dropping-particle":"","family":"Khalili","given":"Mohsen","non-dropping-particle":"","parse-names":false,"suffix":""},{"dropping-particle":"","family":"Roghani","given":"Mehrdad","non-dropping-particle":"","parse-names":false,"suffix":""},{"dropping-particle":"","family":"Ahghari","given":"Parisa","non-dropping-particle":"","parse-names":false,"suffix":""}],"container-title":"Journal of Ethnopharmacology","id":"ITEM-1","issue":"1","issued":{"date-parts":[["2013"]]},"title":"Anti-epileptogenic and antioxidant effect of Lavandula officinalis aerial part extract against pentylenetetrazol-induced kindling in male mice","type":"article-journal","volume":"148"},"uris":["http://www.mendeley.com/documents/?uuid=dc9805a0-91c1-3813-a2b8-c376eee2fa6f"]}],"mendeley":{"formattedCitation":"(Rahmati et al., 2013)","manualFormatting":"Rahmati et al., 2013","plainTextFormattedCitation":"(Rahmati et al., 2013)","previouslyFormattedCitation":"(Rahmati et al., 2013)"},"properties":{"noteIndex":0},"schema":"https://github.com/citation-style-language/schema/raw/master/csl-citation.json"}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lang w:val="fr-FR"/>
        </w:rPr>
        <w:t xml:space="preserve">Rahmati et </w:t>
      </w:r>
      <w:r w:rsidR="00CC55DB">
        <w:rPr>
          <w:rFonts w:ascii="Arial" w:hAnsi="Arial" w:cs="Arial"/>
          <w:i/>
          <w:iCs/>
          <w:lang w:val="fr-FR"/>
        </w:rPr>
        <w:t>al</w:t>
      </w:r>
      <w:r w:rsidR="004845DA" w:rsidRPr="004845DA">
        <w:rPr>
          <w:rFonts w:ascii="Arial" w:hAnsi="Arial" w:cs="Arial"/>
          <w:iCs/>
          <w:lang w:val="fr-FR"/>
        </w:rPr>
        <w:t>.</w:t>
      </w:r>
      <w:r w:rsidR="004845DA" w:rsidRPr="004845DA">
        <w:rPr>
          <w:rFonts w:ascii="Arial" w:hAnsi="Arial" w:cs="Arial"/>
          <w:lang w:val="fr-FR"/>
        </w:rPr>
        <w:t>, 2013</w:t>
      </w:r>
      <w:r w:rsidR="004845DA" w:rsidRPr="004845DA">
        <w:rPr>
          <w:rFonts w:ascii="Arial" w:hAnsi="Arial" w:cs="Arial"/>
        </w:rPr>
        <w:fldChar w:fldCharType="end"/>
      </w:r>
      <w:r w:rsidR="004845DA" w:rsidRPr="004845DA">
        <w:rPr>
          <w:rFonts w:ascii="Arial" w:hAnsi="Arial" w:cs="Arial"/>
          <w:lang w:val="fr-FR"/>
        </w:rPr>
        <w:t xml:space="preserve"> ; </w:t>
      </w:r>
      <w:r w:rsidR="004845DA" w:rsidRPr="004845DA">
        <w:rPr>
          <w:rFonts w:ascii="Arial" w:hAnsi="Arial" w:cs="Arial"/>
          <w:lang w:val="fr-FR"/>
        </w:rPr>
        <w:fldChar w:fldCharType="begin"/>
      </w:r>
      <w:r w:rsidR="004845DA" w:rsidRPr="004845DA">
        <w:rPr>
          <w:rFonts w:ascii="Arial" w:hAnsi="Arial" w:cs="Arial"/>
          <w:lang w:val="fr-FR"/>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w:instrText>
      </w:r>
      <w:r w:rsidR="004845DA" w:rsidRPr="004845DA">
        <w:rPr>
          <w:rFonts w:ascii="Arial" w:hAnsi="Arial" w:cs="Arial"/>
        </w:rPr>
        <w:instrText>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2015)","manualFormatting":"Taiwe et al., 2015)","plainTextFormattedCitation":"(Taiwe et al., 2015)","previouslyFormattedCitation":"(Taiwe et al., 2015)"},"properties":{"noteIndex":0},"schema":"https://github.com/citation-style-language/schema/raw/master/csl-citation.json"}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 xml:space="preserve">Taiwe et </w:t>
      </w:r>
      <w:r w:rsidR="00CC55DB" w:rsidRPr="003F09D2">
        <w:rPr>
          <w:rFonts w:ascii="Arial" w:hAnsi="Arial" w:cs="Arial"/>
        </w:rPr>
        <w:t>al</w:t>
      </w:r>
      <w:r w:rsidR="004845DA" w:rsidRPr="003F09D2">
        <w:rPr>
          <w:rFonts w:ascii="Arial" w:hAnsi="Arial" w:cs="Arial"/>
        </w:rPr>
        <w:t>.</w:t>
      </w:r>
      <w:r w:rsidR="004845DA" w:rsidRPr="004845DA">
        <w:rPr>
          <w:rFonts w:ascii="Arial" w:hAnsi="Arial" w:cs="Arial"/>
        </w:rPr>
        <w:t>, 2015)</w:t>
      </w:r>
      <w:r w:rsidR="004845DA" w:rsidRPr="004845DA">
        <w:rPr>
          <w:rFonts w:ascii="Arial" w:hAnsi="Arial" w:cs="Arial"/>
        </w:rPr>
        <w:fldChar w:fldCharType="end"/>
      </w:r>
      <w:r w:rsidR="004845DA" w:rsidRPr="004845DA">
        <w:rPr>
          <w:rFonts w:ascii="Arial" w:hAnsi="Arial" w:cs="Arial"/>
        </w:rPr>
        <w:t xml:space="preserve">. </w:t>
      </w:r>
      <w:r>
        <w:rPr>
          <w:rFonts w:ascii="Arial" w:hAnsi="Arial" w:cs="Arial"/>
        </w:rPr>
        <w:t>“</w:t>
      </w:r>
      <w:r w:rsidR="004845DA" w:rsidRPr="004845DA">
        <w:rPr>
          <w:rFonts w:ascii="Arial" w:hAnsi="Arial" w:cs="Arial"/>
        </w:rPr>
        <w:t xml:space="preserve">These observations suggest that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AE029F">
        <w:rPr>
          <w:rFonts w:ascii="Arial" w:hAnsi="Arial" w:cs="Arial"/>
          <w:i/>
          <w:iCs/>
        </w:rPr>
        <w:t xml:space="preserve"> </w:t>
      </w:r>
      <w:r w:rsidR="004845DA" w:rsidRPr="004845DA">
        <w:rPr>
          <w:rFonts w:ascii="Arial" w:hAnsi="Arial" w:cs="Arial"/>
        </w:rPr>
        <w:t>extract may have modified the epileptogenic process by increasing GABAergic activity and reducing excitatory neurotransmission. Phytochemic</w:t>
      </w:r>
      <w:r w:rsidR="00CC55DB">
        <w:rPr>
          <w:rFonts w:ascii="Arial" w:hAnsi="Arial" w:cs="Arial"/>
        </w:rPr>
        <w:t>al</w:t>
      </w:r>
      <w:r w:rsidR="004845DA" w:rsidRPr="004845DA">
        <w:rPr>
          <w:rFonts w:ascii="Arial" w:hAnsi="Arial" w:cs="Arial"/>
        </w:rPr>
        <w:t xml:space="preserve"> screening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AE029F">
        <w:rPr>
          <w:rFonts w:ascii="Arial" w:hAnsi="Arial" w:cs="Arial"/>
          <w:i/>
          <w:iCs/>
        </w:rPr>
        <w:t xml:space="preserve"> </w:t>
      </w:r>
      <w:r w:rsidR="004845DA" w:rsidRPr="004845DA">
        <w:rPr>
          <w:rFonts w:ascii="Arial" w:hAnsi="Arial" w:cs="Arial"/>
        </w:rPr>
        <w:t>extract reve</w:t>
      </w:r>
      <w:r w:rsidR="00CC55DB">
        <w:rPr>
          <w:rFonts w:ascii="Arial" w:hAnsi="Arial" w:cs="Arial"/>
        </w:rPr>
        <w:t>al</w:t>
      </w:r>
      <w:r w:rsidR="004845DA" w:rsidRPr="004845DA">
        <w:rPr>
          <w:rFonts w:ascii="Arial" w:hAnsi="Arial" w:cs="Arial"/>
        </w:rPr>
        <w:t>ed the presence of chemic</w:t>
      </w:r>
      <w:r w:rsidR="00CC55DB">
        <w:rPr>
          <w:rFonts w:ascii="Arial" w:hAnsi="Arial" w:cs="Arial"/>
        </w:rPr>
        <w:t>al</w:t>
      </w:r>
      <w:r w:rsidR="004845DA" w:rsidRPr="004845DA">
        <w:rPr>
          <w:rFonts w:ascii="Arial" w:hAnsi="Arial" w:cs="Arial"/>
        </w:rPr>
        <w:t xml:space="preserve"> compounds such as </w:t>
      </w:r>
      <w:r w:rsidR="00CC55DB">
        <w:rPr>
          <w:rFonts w:ascii="Arial" w:hAnsi="Arial" w:cs="Arial"/>
        </w:rPr>
        <w:t>al</w:t>
      </w:r>
      <w:r w:rsidR="004845DA" w:rsidRPr="004845DA">
        <w:rPr>
          <w:rFonts w:ascii="Arial" w:hAnsi="Arial" w:cs="Arial"/>
        </w:rPr>
        <w:t>k</w:t>
      </w:r>
      <w:r w:rsidR="00CC55DB">
        <w:rPr>
          <w:rFonts w:ascii="Arial" w:hAnsi="Arial" w:cs="Arial"/>
        </w:rPr>
        <w:t>al</w:t>
      </w:r>
      <w:r w:rsidR="004845DA" w:rsidRPr="004845DA">
        <w:rPr>
          <w:rFonts w:ascii="Arial" w:hAnsi="Arial" w:cs="Arial"/>
        </w:rPr>
        <w:t>oids, flavonoids, saponins, polyphenols, triterpenes and tannins which would possess pharmacologic</w:t>
      </w:r>
      <w:r w:rsidR="00CC55DB">
        <w:rPr>
          <w:rFonts w:ascii="Arial" w:hAnsi="Arial" w:cs="Arial"/>
        </w:rPr>
        <w:t>al</w:t>
      </w:r>
      <w:r w:rsidR="004845DA" w:rsidRPr="004845DA">
        <w:rPr>
          <w:rFonts w:ascii="Arial" w:hAnsi="Arial" w:cs="Arial"/>
        </w:rPr>
        <w:t xml:space="preserve"> properties. Flavonoids and </w:t>
      </w:r>
      <w:r w:rsidR="00CC55DB">
        <w:rPr>
          <w:rFonts w:ascii="Arial" w:hAnsi="Arial" w:cs="Arial"/>
        </w:rPr>
        <w:t>al</w:t>
      </w:r>
      <w:r w:rsidR="004845DA" w:rsidRPr="004845DA">
        <w:rPr>
          <w:rFonts w:ascii="Arial" w:hAnsi="Arial" w:cs="Arial"/>
        </w:rPr>
        <w:t>k</w:t>
      </w:r>
      <w:r w:rsidR="00CC55DB">
        <w:rPr>
          <w:rFonts w:ascii="Arial" w:hAnsi="Arial" w:cs="Arial"/>
        </w:rPr>
        <w:t>al</w:t>
      </w:r>
      <w:r w:rsidR="004845DA" w:rsidRPr="004845DA">
        <w:rPr>
          <w:rFonts w:ascii="Arial" w:hAnsi="Arial" w:cs="Arial"/>
        </w:rPr>
        <w:t>oids are compounds that act on the nervous system as anticonvulsants</w:t>
      </w:r>
      <w:r>
        <w:rPr>
          <w:rFonts w:ascii="Arial" w:hAnsi="Arial" w:cs="Arial"/>
        </w:rPr>
        <w:t>”</w:t>
      </w:r>
      <w:r w:rsidR="004845DA" w:rsidRPr="004845DA">
        <w:rPr>
          <w:rFonts w:ascii="Arial" w:hAnsi="Arial" w:cs="Arial"/>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{"citationItems":[{"id":"ITEM-1","itemData":{"DOI":"10.1016/s0031-9422(00)97054-7","ISSN":"00319422","abstract":"Cette quatrième édition de Pharmacognosie, phytochimie, plantes médicinales a été profondément revue, restructurée et augmentée de 150 pages. Elle s'est enrichie des connaissances accumulées en une décennie sur les plantes et leurs produits d'usage récent ou confirmé. Comme les précédentes, la présente édition est construite sur les filiations biosynthétiques et évoque les différentes classes de métabolites primaires et secondaires des végétaux. Elle actualise les données botaniques, chimiques, analytiques, pharmacologiques et cliniques des plantes utilisées à des fins thérapeutiques aussi bien que l'évolution de la réglementation. Intégrant les données de l'édition 2008 de la Pharmacopée européenne et de ses quatre premiers suppléments (07/2009), elle inclut les conclusions des travaux du Comité européen des médicaments à base de plante mis en place après 2004 au sein de l'Agence européenne du médicament. Pour permettre aux professionnels de santé et aux utilisateurs de plantes de bien utiliser les plantes en situation de soins, cette quatrième édition privilégie les données factuelles leur permettant d'évaluer, au cas par cas, la balance bénéfices-risques. C'est ainsi qu'une place majeure est désormais accordée à l'évaluation clinique, aux effets indésirables et aux conditions d'emploi des plantes médicinales. Sans négliger pour autant les substances chimiquement définies obtenues à partir de ces plantes, ni leurs homologues hémisynthétiques ou synthétiques. Prenant en compte l'importance d'une alimentation riche en végétaux dans le maintien d'un bon état de santé, cette nouvelle édition aborde en détail le possible rôle préventif des micronutriments apportés par cette alimentation : fibres, polyphénols, composés soufrés, phyto-oestrogènes, tocophérols, carotènes et autres. Les informations présentées et commentées s'appuient sur une abondante bibliographie : une sélection de 1600 références reflétant la production scientifique des années 2000-2009 propose au lecteur, étudiant ou professionnel, des pistes choisies d'approfondissement.","author":[{"dropping-particle":"","family":"Massiot","given":"G.","non-dropping-particle":"","parse-names":false,"suffix":""}],"container-title":"Phytochemistry","id":"ITEM-1","issue":"1","issued":{"date-parts":[["1994"]]},"page":"258","title":"Pharmacognosie: Phytochimie, Plantes Médicinales:","type":"article-journal","volume":"36"},"uris":["http://www.mendeley.com/documents/?uuid=3301bd4b-ecab-4a12-9d23-cb3a6ce4e9c5"]}],"mendeley":{"formattedCitation":"(Massiot, 1994)","plainTextFormattedCitation":"(Massiot, 1994)","previouslyFormattedCitation":"(Massiot, 1994)"},"properties":{"noteIndex":0},"schema":"https://github.com/citation-style-language/schema/raw/master/csl-citation.json"}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w:t>
      </w:r>
      <w:proofErr w:type="spellStart"/>
      <w:r w:rsidR="004845DA" w:rsidRPr="004845DA">
        <w:rPr>
          <w:rFonts w:ascii="Arial" w:hAnsi="Arial" w:cs="Arial"/>
        </w:rPr>
        <w:t>Massiot</w:t>
      </w:r>
      <w:proofErr w:type="spellEnd"/>
      <w:r w:rsidR="004845DA" w:rsidRPr="004845DA">
        <w:rPr>
          <w:rFonts w:ascii="Arial" w:hAnsi="Arial" w:cs="Arial"/>
        </w:rPr>
        <w:t>, 1994)</w:t>
      </w:r>
      <w:r w:rsidR="004845DA" w:rsidRPr="004845DA">
        <w:rPr>
          <w:rFonts w:ascii="Arial" w:hAnsi="Arial" w:cs="Arial"/>
        </w:rPr>
        <w:fldChar w:fldCharType="end"/>
      </w:r>
      <w:r w:rsidR="004845DA" w:rsidRPr="004845DA">
        <w:rPr>
          <w:rFonts w:ascii="Arial" w:hAnsi="Arial" w:cs="Arial"/>
        </w:rPr>
        <w:t xml:space="preserve">. </w:t>
      </w:r>
      <w:r>
        <w:rPr>
          <w:rFonts w:ascii="Arial" w:hAnsi="Arial" w:cs="Arial"/>
        </w:rPr>
        <w:t>“</w:t>
      </w:r>
      <w:r w:rsidR="004845DA" w:rsidRPr="004845DA">
        <w:rPr>
          <w:rFonts w:ascii="Arial" w:hAnsi="Arial" w:cs="Arial"/>
        </w:rPr>
        <w:t>Saponins and flavonoids have been shown to inhibit epileptic seizures by antagonizing glutamatergic receptors or potentiating the GABAA receptor complex in vivo and in vitro models of seizures</w:t>
      </w:r>
      <w:r>
        <w:rPr>
          <w:rFonts w:ascii="Arial" w:hAnsi="Arial" w:cs="Arial"/>
        </w:rPr>
        <w:t>”</w:t>
      </w:r>
      <w:r w:rsidR="004845DA" w:rsidRPr="004845DA">
        <w:rPr>
          <w:rFonts w:ascii="Arial" w:hAnsi="Arial" w:cs="Arial"/>
        </w:rPr>
        <w:t xml:space="preserve"> (Penda et </w:t>
      </w:r>
      <w:r w:rsidR="00CC55DB" w:rsidRPr="003F09D2">
        <w:rPr>
          <w:rFonts w:ascii="Arial" w:hAnsi="Arial" w:cs="Arial"/>
          <w:iCs/>
        </w:rPr>
        <w:t>al</w:t>
      </w:r>
      <w:r w:rsidR="004845DA" w:rsidRPr="003F09D2">
        <w:rPr>
          <w:rFonts w:ascii="Arial" w:hAnsi="Arial" w:cs="Arial"/>
          <w:iCs/>
        </w:rPr>
        <w:t>.</w:t>
      </w:r>
      <w:r w:rsidR="004845DA" w:rsidRPr="004845DA">
        <w:rPr>
          <w:rFonts w:ascii="Arial" w:hAnsi="Arial" w:cs="Arial"/>
        </w:rPr>
        <w:t>, 2024).Such substances have been shown to have anticonvulsant and antiepileptic properties in sever</w:t>
      </w:r>
      <w:r w:rsidR="00CC55DB">
        <w:rPr>
          <w:rFonts w:ascii="Arial" w:hAnsi="Arial" w:cs="Arial"/>
        </w:rPr>
        <w:t>al</w:t>
      </w:r>
      <w:r w:rsidR="004845DA" w:rsidRPr="004845DA">
        <w:rPr>
          <w:rFonts w:ascii="Arial" w:hAnsi="Arial" w:cs="Arial"/>
        </w:rPr>
        <w:t xml:space="preserve"> anim</w:t>
      </w:r>
      <w:r w:rsidR="00CC55DB">
        <w:rPr>
          <w:rFonts w:ascii="Arial" w:hAnsi="Arial" w:cs="Arial"/>
        </w:rPr>
        <w:t>al</w:t>
      </w:r>
      <w:r w:rsidR="004845DA" w:rsidRPr="004845DA">
        <w:rPr>
          <w:rFonts w:ascii="Arial" w:hAnsi="Arial" w:cs="Arial"/>
        </w:rPr>
        <w:t xml:space="preserve"> models of epilepsy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{"citationItems":[{"id":"ITEM-1","itemData":{"DOI":"10.1016/j.yebeh.2009.05.014","ISSN":"15255050","abstract":"Root bark of Nauclea latifolia Smith (Rubiaceae) was evaluated for its anticonvulsant, anxiolytic, and sedative activity in mice. Animal models (maximal electroshock-, pentylenetetrazol-, and strychnine-induced convulsions; N-methyl-d-aspartate-induced turning behavior; elevated plus maze; stress-induced hyperthermia; open field; and diazepam-induced sleep) were used. The decoction from the bark of the roots of N. latifolia strongly increased the total sleep time induced by diazepam. It also protected mice against maximal electroshock-, pentylenetetrazol-, and strychnine-induced seizures. In addition, turning behavior induced by N-methyl-d-aspartate was inhibited. N. latifolia antagonized, in a dose-dependent manner, stress-induced hyperthermia and reduced body temperature. In the elevated plus maze, N. latifolia increased the number of entries into, percentage of entries into, and percentage of time in open arms, and reduced rearing, head dipping, and percentage of time in closed arms. In the open field test, N. latifolia increased crossing and reduced rearing and defecation. It could be concluded that the decoction of N. latifolia, used in traditional medicine in Cameroon in the treatment of fever, malaria, insomnia, anxiety a</w:instrText>
      </w:r>
      <w:r w:rsidR="004845DA" w:rsidRPr="004845DA">
        <w:rPr>
          <w:rFonts w:ascii="Arial" w:hAnsi="Arial" w:cs="Arial"/>
          <w:lang w:val="fr-FR"/>
        </w:rPr>
        <w:instrText>nd epilepsy seemed to possess, sedative, anticonvulsant, anxiolytic and antipyretic properties in mice. Crown Copyright © 2009.","author":[{"dropping-particle":"","family":"Ngo Bum","given":"E.","non-dropping-particle":"","parse-names":false,"suffix":""},{"dropping-particle":"","family":"Taiwe","given":"G. S.","non-dropping-particle":"","parse-names":false,"suffix":""},{"dropping-particle":"","family":"Moto","given":"F. C.O.","non-dropping-particle":"","parse-names":false,"suffix":""},{"dropping-particle":"","family":"Ngoupaye","given":"G. T.","non-dropping-particle":"","parse-names":false,"suffix":""},{"dropping-particle":"","family":"Nkantchoua","given":"G. C.N.","non-dropping-particle":"","parse-names":false,"suffix":""},{"dropping-particle":"","family":"Pelanken","given":"M. M.","non-dropping-particle":"","parse-names":false,"suffix":""},{"dropping-particle":"V.","family":"Rakotonirina","given":"S.","non-dropping-particle":"","parse-names":false,"suffix":""},{"dropping-particle":"","family":"Rakotonirina","given":"A.","non-dropping-particle":"","parse-names":false,"suffix":""}],"container-title":"Epilepsy and Behavior","id":"ITEM-1","issue":"4","issued":{"date-parts":[["2009"]]},"title":"Anticonvulsant, anxiolytic, and sedative properties of the roots of Nauclea latifolia Smith in mice","type":"article-journal","volume":"15"},"uris":["http://www.mendeley.com/documents/?uuid=1f77ed72-97ca-3f04-928e-f03532af7dfb"]}],"mendeley":{"formattedCitation":"(Ngo Bum et al., 2009)","plainTextFormattedCitation":"(Ngo Bum et al., 2009)","previouslyFormattedCitation":"(Ngo Bum et al., 2009)"},"properties":{"noteIndex":0},"schema":"https://github.com/citation-style-language/schema/raw/master/csl-citation.json"}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lang w:val="fr-FR"/>
        </w:rPr>
        <w:t xml:space="preserve">(Ngo Bum et </w:t>
      </w:r>
      <w:r w:rsidR="00CC55DB" w:rsidRPr="003F09D2">
        <w:rPr>
          <w:rFonts w:ascii="Arial" w:hAnsi="Arial" w:cs="Arial"/>
          <w:lang w:val="fr-FR"/>
        </w:rPr>
        <w:t>al</w:t>
      </w:r>
      <w:r w:rsidR="004845DA" w:rsidRPr="003F09D2">
        <w:rPr>
          <w:rFonts w:ascii="Arial" w:hAnsi="Arial" w:cs="Arial"/>
          <w:lang w:val="fr-FR"/>
        </w:rPr>
        <w:t>.</w:t>
      </w:r>
      <w:r w:rsidR="004845DA" w:rsidRPr="004845DA">
        <w:rPr>
          <w:rFonts w:ascii="Arial" w:hAnsi="Arial" w:cs="Arial"/>
          <w:lang w:val="fr-FR"/>
        </w:rPr>
        <w:t>, 2009)</w:t>
      </w:r>
      <w:r w:rsidR="004845DA" w:rsidRPr="004845DA">
        <w:rPr>
          <w:rFonts w:ascii="Arial" w:hAnsi="Arial" w:cs="Arial"/>
        </w:rPr>
        <w:fldChar w:fldCharType="end"/>
      </w:r>
      <w:r w:rsidR="004845DA" w:rsidRPr="004845DA">
        <w:rPr>
          <w:rFonts w:ascii="Arial" w:hAnsi="Arial" w:cs="Arial"/>
          <w:lang w:val="fr-FR"/>
        </w:rPr>
        <w:t xml:space="preserve"> and </w:t>
      </w:r>
      <w:proofErr w:type="spellStart"/>
      <w:r w:rsidR="004845DA" w:rsidRPr="004845DA">
        <w:rPr>
          <w:rFonts w:ascii="Arial" w:hAnsi="Arial" w:cs="Arial"/>
          <w:lang w:val="fr-FR"/>
        </w:rPr>
        <w:t>particularly</w:t>
      </w:r>
      <w:proofErr w:type="spellEnd"/>
      <w:r w:rsidR="004845DA" w:rsidRPr="004845DA">
        <w:rPr>
          <w:rFonts w:ascii="Arial" w:hAnsi="Arial" w:cs="Arial"/>
          <w:lang w:val="fr-FR"/>
        </w:rPr>
        <w:t xml:space="preserve"> tempor</w:t>
      </w:r>
      <w:r w:rsidR="00CC55DB">
        <w:rPr>
          <w:rFonts w:ascii="Arial" w:hAnsi="Arial" w:cs="Arial"/>
          <w:lang w:val="fr-FR"/>
        </w:rPr>
        <w:t>al</w:t>
      </w:r>
      <w:r w:rsidR="004845DA" w:rsidRPr="004845DA">
        <w:rPr>
          <w:rFonts w:ascii="Arial" w:hAnsi="Arial" w:cs="Arial"/>
          <w:lang w:val="fr-FR"/>
        </w:rPr>
        <w:t xml:space="preserve"> lobe </w:t>
      </w:r>
      <w:proofErr w:type="spellStart"/>
      <w:r w:rsidR="004845DA" w:rsidRPr="004845DA">
        <w:rPr>
          <w:rFonts w:ascii="Arial" w:hAnsi="Arial" w:cs="Arial"/>
          <w:lang w:val="fr-FR"/>
        </w:rPr>
        <w:t>epilepsy</w:t>
      </w:r>
      <w:proofErr w:type="spellEnd"/>
      <w:r>
        <w:rPr>
          <w:rFonts w:ascii="Arial" w:hAnsi="Arial" w:cs="Arial"/>
          <w:lang w:val="fr-FR"/>
        </w:rPr>
        <w:t> </w:t>
      </w:r>
      <w:r w:rsidR="004845DA" w:rsidRPr="004845DA">
        <w:rPr>
          <w:rFonts w:ascii="Arial" w:hAnsi="Arial" w:cs="Arial"/>
          <w:lang w:val="fr-FR"/>
        </w:rPr>
        <w:t xml:space="preserve"> </w:t>
      </w:r>
      <w:r w:rsidR="004845DA" w:rsidRPr="004845DA">
        <w:rPr>
          <w:rFonts w:ascii="Arial" w:hAnsi="Arial" w:cs="Arial"/>
          <w:lang w:val="fr-FR"/>
        </w:rPr>
        <w:fldChar w:fldCharType="begin"/>
      </w:r>
      <w:r w:rsidR="004845DA" w:rsidRPr="004845DA">
        <w:rPr>
          <w:rFonts w:ascii="Arial" w:hAnsi="Arial" w:cs="Arial"/>
          <w:lang w:val="fr-FR"/>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w:instrText>
      </w:r>
      <w:r w:rsidR="004845DA" w:rsidRPr="004845DA">
        <w:rPr>
          <w:rFonts w:ascii="Arial" w:hAnsi="Arial" w:cs="Arial"/>
        </w:rPr>
        <w:instrText>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2015)","plainTextFormattedCitation":"(Taiwe et al., 2015)","previouslyFormattedCitation":"(Taiwe et al., 2015)"},"properties":{"noteIndex":0},"schema":"https://github.com/citation-style-language/schema/raw/master/csl-citation.json"}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 xml:space="preserve">(Taiwe et </w:t>
      </w:r>
      <w:r w:rsidR="00CC55DB" w:rsidRPr="003F09D2">
        <w:rPr>
          <w:rFonts w:ascii="Arial" w:hAnsi="Arial" w:cs="Arial"/>
        </w:rPr>
        <w:t>al</w:t>
      </w:r>
      <w:r w:rsidR="004845DA" w:rsidRPr="003F09D2">
        <w:rPr>
          <w:rFonts w:ascii="Arial" w:hAnsi="Arial" w:cs="Arial"/>
        </w:rPr>
        <w:t>.</w:t>
      </w:r>
      <w:r w:rsidR="004845DA" w:rsidRPr="004845DA">
        <w:rPr>
          <w:rFonts w:ascii="Arial" w:hAnsi="Arial" w:cs="Arial"/>
        </w:rPr>
        <w:t>, 2015)</w:t>
      </w:r>
      <w:r w:rsidR="004845DA" w:rsidRPr="004845DA">
        <w:rPr>
          <w:rFonts w:ascii="Arial" w:hAnsi="Arial" w:cs="Arial"/>
        </w:rPr>
        <w:fldChar w:fldCharType="end"/>
      </w:r>
      <w:r w:rsidR="004845DA" w:rsidRPr="004845DA">
        <w:rPr>
          <w:rFonts w:ascii="Arial" w:hAnsi="Arial" w:cs="Arial"/>
        </w:rPr>
        <w:t>.</w:t>
      </w:r>
    </w:p>
    <w:p w14:paraId="7A81C483" w14:textId="0895B29B" w:rsidR="004845DA" w:rsidRPr="004845DA" w:rsidRDefault="00797ECD" w:rsidP="004845DA">
      <w:pPr>
        <w:pStyle w:val="Body"/>
        <w:spacing w:before="240"/>
        <w:rPr>
          <w:rFonts w:ascii="Arial" w:hAnsi="Arial" w:cs="Arial"/>
          <w:lang w:val="fr-FR"/>
        </w:rPr>
      </w:pPr>
      <w:r>
        <w:rPr>
          <w:rFonts w:ascii="Arial" w:hAnsi="Arial" w:cs="Arial"/>
        </w:rPr>
        <w:t>“</w:t>
      </w:r>
      <w:r w:rsidR="004845DA" w:rsidRPr="004845DA">
        <w:rPr>
          <w:rFonts w:ascii="Arial" w:hAnsi="Arial" w:cs="Arial"/>
        </w:rPr>
        <w:t xml:space="preserve">During </w:t>
      </w:r>
      <w:proofErr w:type="spellStart"/>
      <w:r w:rsidR="004845DA" w:rsidRPr="004845DA">
        <w:rPr>
          <w:rFonts w:ascii="Arial" w:hAnsi="Arial" w:cs="Arial"/>
        </w:rPr>
        <w:t>epileptogenesis</w:t>
      </w:r>
      <w:proofErr w:type="spellEnd"/>
      <w:r w:rsidR="004845DA" w:rsidRPr="004845DA">
        <w:rPr>
          <w:rFonts w:ascii="Arial" w:hAnsi="Arial" w:cs="Arial"/>
        </w:rPr>
        <w:t>, there is a decrease in the GABAergic inhibitory sign</w:t>
      </w:r>
      <w:r w:rsidR="00CC55DB">
        <w:rPr>
          <w:rFonts w:ascii="Arial" w:hAnsi="Arial" w:cs="Arial"/>
        </w:rPr>
        <w:t>al</w:t>
      </w:r>
      <w:r w:rsidR="004845DA" w:rsidRPr="004845DA">
        <w:rPr>
          <w:rFonts w:ascii="Arial" w:hAnsi="Arial" w:cs="Arial"/>
        </w:rPr>
        <w:t xml:space="preserve"> to the detriment of the glutamatergic excitatory sign</w:t>
      </w:r>
      <w:r w:rsidR="00CC55DB">
        <w:rPr>
          <w:rFonts w:ascii="Arial" w:hAnsi="Arial" w:cs="Arial"/>
        </w:rPr>
        <w:t>al</w:t>
      </w:r>
      <w:r w:rsidR="004845DA" w:rsidRPr="004845DA">
        <w:rPr>
          <w:rFonts w:ascii="Arial" w:hAnsi="Arial" w:cs="Arial"/>
        </w:rPr>
        <w:t>. Pilocarpine increases GABA transaminase activity and decreases GABA levels in the brain as well as GABA receptor density in the striatum, front</w:t>
      </w:r>
      <w:r w:rsidR="00CC55DB">
        <w:rPr>
          <w:rFonts w:ascii="Arial" w:hAnsi="Arial" w:cs="Arial"/>
        </w:rPr>
        <w:t>al</w:t>
      </w:r>
      <w:r w:rsidR="004845DA" w:rsidRPr="004845DA">
        <w:rPr>
          <w:rFonts w:ascii="Arial" w:hAnsi="Arial" w:cs="Arial"/>
        </w:rPr>
        <w:t xml:space="preserve"> cortex, and hippocampus</w:t>
      </w:r>
      <w:r>
        <w:rPr>
          <w:rFonts w:ascii="Arial" w:hAnsi="Arial" w:cs="Arial"/>
        </w:rPr>
        <w:t>”</w:t>
      </w:r>
      <w:r w:rsidR="004845DA" w:rsidRPr="004845DA">
        <w:rPr>
          <w:rFonts w:ascii="Arial" w:hAnsi="Arial" w:cs="Arial"/>
        </w:rPr>
        <w:t xml:space="preserve"> (Abel et </w:t>
      </w:r>
      <w:r w:rsidR="00CC55DB" w:rsidRPr="001E53C9">
        <w:rPr>
          <w:rFonts w:ascii="Arial" w:hAnsi="Arial" w:cs="Arial"/>
        </w:rPr>
        <w:t>al</w:t>
      </w:r>
      <w:r w:rsidR="004845DA" w:rsidRPr="001E53C9">
        <w:rPr>
          <w:rFonts w:ascii="Arial" w:hAnsi="Arial" w:cs="Arial"/>
        </w:rPr>
        <w:t>.</w:t>
      </w:r>
      <w:r w:rsidR="004845DA" w:rsidRPr="004845DA">
        <w:rPr>
          <w:rFonts w:ascii="Arial" w:hAnsi="Arial" w:cs="Arial"/>
        </w:rPr>
        <w:t xml:space="preserve">, 1999). </w:t>
      </w:r>
      <w:r>
        <w:rPr>
          <w:rFonts w:ascii="Arial" w:hAnsi="Arial" w:cs="Arial"/>
        </w:rPr>
        <w:t>“</w:t>
      </w:r>
      <w:r w:rsidR="004845DA" w:rsidRPr="004845DA">
        <w:rPr>
          <w:rFonts w:ascii="Arial" w:hAnsi="Arial" w:cs="Arial"/>
        </w:rPr>
        <w:t xml:space="preserve">The significant decrease in GABA concentration in the hippocampus of epileptic mice that received distilled water suggests a greater use of this amino acid in an attempt to counteract the hyperexcitability of surrounding tissues. This decrease in GABA levels could </w:t>
      </w:r>
      <w:r w:rsidR="00CC55DB">
        <w:rPr>
          <w:rFonts w:ascii="Arial" w:hAnsi="Arial" w:cs="Arial"/>
        </w:rPr>
        <w:t>al</w:t>
      </w:r>
      <w:r w:rsidR="004845DA" w:rsidRPr="004845DA">
        <w:rPr>
          <w:rFonts w:ascii="Arial" w:hAnsi="Arial" w:cs="Arial"/>
        </w:rPr>
        <w:t>so be explained by the increase in GABA-T activity during this phase</w:t>
      </w:r>
      <w:r>
        <w:rPr>
          <w:rFonts w:ascii="Arial" w:hAnsi="Arial" w:cs="Arial"/>
        </w:rPr>
        <w:t>”</w:t>
      </w:r>
      <w:r w:rsidR="004845DA" w:rsidRPr="004845DA">
        <w:rPr>
          <w:rFonts w:ascii="Arial" w:hAnsi="Arial" w:cs="Arial"/>
        </w:rPr>
        <w:t xml:space="preserve"> (Cav</w:t>
      </w:r>
      <w:r w:rsidR="00CC55DB">
        <w:rPr>
          <w:rFonts w:ascii="Arial" w:hAnsi="Arial" w:cs="Arial"/>
        </w:rPr>
        <w:t>al</w:t>
      </w:r>
      <w:r w:rsidR="004845DA" w:rsidRPr="004845DA">
        <w:rPr>
          <w:rFonts w:ascii="Arial" w:hAnsi="Arial" w:cs="Arial"/>
        </w:rPr>
        <w:t xml:space="preserve">heiro et </w:t>
      </w:r>
      <w:r w:rsidR="00CC55DB" w:rsidRPr="001E53C9">
        <w:rPr>
          <w:rFonts w:ascii="Arial" w:hAnsi="Arial" w:cs="Arial"/>
        </w:rPr>
        <w:t>al</w:t>
      </w:r>
      <w:r w:rsidR="004845DA" w:rsidRPr="001E53C9">
        <w:rPr>
          <w:rFonts w:ascii="Arial" w:hAnsi="Arial" w:cs="Arial"/>
        </w:rPr>
        <w:t>.</w:t>
      </w:r>
      <w:r w:rsidR="004845DA" w:rsidRPr="004845DA">
        <w:rPr>
          <w:rFonts w:ascii="Arial" w:hAnsi="Arial" w:cs="Arial"/>
        </w:rPr>
        <w:t xml:space="preserve">, 2006). </w:t>
      </w:r>
      <w:r>
        <w:rPr>
          <w:rFonts w:ascii="Arial" w:hAnsi="Arial" w:cs="Arial"/>
        </w:rPr>
        <w:t>“</w:t>
      </w:r>
      <w:r w:rsidR="004845DA" w:rsidRPr="004845DA">
        <w:rPr>
          <w:rFonts w:ascii="Arial" w:hAnsi="Arial" w:cs="Arial"/>
        </w:rPr>
        <w:t xml:space="preserve">Our results show a significant increase in GABA levels in the hippocampus of mice from test batches. Thus, the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F37D0E">
        <w:rPr>
          <w:rFonts w:ascii="Arial" w:hAnsi="Arial" w:cs="Arial"/>
          <w:i/>
          <w:iCs/>
        </w:rPr>
        <w:t xml:space="preserve"> </w:t>
      </w:r>
      <w:r w:rsidR="004845DA" w:rsidRPr="004845DA">
        <w:rPr>
          <w:rFonts w:ascii="Arial" w:hAnsi="Arial" w:cs="Arial"/>
        </w:rPr>
        <w:t xml:space="preserve">showed increasing concentrations of GABA and a significant decrease in GABA-T. However, since GABA </w:t>
      </w:r>
      <w:r w:rsidR="004845DA" w:rsidRPr="004845DA">
        <w:rPr>
          <w:rFonts w:ascii="Arial" w:hAnsi="Arial" w:cs="Arial"/>
        </w:rPr>
        <w:lastRenderedPageBreak/>
        <w:t>cannot cross the blood-brain barrier, the increase in cerebr</w:t>
      </w:r>
      <w:r w:rsidR="00CC55DB">
        <w:rPr>
          <w:rFonts w:ascii="Arial" w:hAnsi="Arial" w:cs="Arial"/>
        </w:rPr>
        <w:t>al</w:t>
      </w:r>
      <w:r w:rsidR="004845DA" w:rsidRPr="004845DA">
        <w:rPr>
          <w:rFonts w:ascii="Arial" w:hAnsi="Arial" w:cs="Arial"/>
        </w:rPr>
        <w:t xml:space="preserve"> GABA would be due to the presence in the extract of certain compounds that can interact with GABAergic neurotransmission</w:t>
      </w:r>
      <w:r>
        <w:rPr>
          <w:rFonts w:ascii="Arial" w:hAnsi="Arial" w:cs="Arial"/>
        </w:rPr>
        <w:t>”</w:t>
      </w:r>
      <w:r w:rsidR="004845DA" w:rsidRPr="004845DA">
        <w:rPr>
          <w:rFonts w:ascii="Arial" w:hAnsi="Arial" w:cs="Arial"/>
        </w:rPr>
        <w:t xml:space="preserve"> (Ngo Bum et </w:t>
      </w:r>
      <w:r w:rsidR="00CC55DB" w:rsidRPr="001E53C9">
        <w:rPr>
          <w:rFonts w:ascii="Arial" w:hAnsi="Arial" w:cs="Arial"/>
        </w:rPr>
        <w:t>al</w:t>
      </w:r>
      <w:r w:rsidR="004845DA" w:rsidRPr="001E53C9">
        <w:rPr>
          <w:rFonts w:ascii="Arial" w:hAnsi="Arial" w:cs="Arial"/>
        </w:rPr>
        <w:t>.</w:t>
      </w:r>
      <w:r w:rsidR="004845DA" w:rsidRPr="004845DA">
        <w:rPr>
          <w:rFonts w:ascii="Arial" w:hAnsi="Arial" w:cs="Arial"/>
        </w:rPr>
        <w:t xml:space="preserve">, 2001). </w:t>
      </w:r>
      <w:r>
        <w:rPr>
          <w:rFonts w:ascii="Arial" w:hAnsi="Arial" w:cs="Arial"/>
        </w:rPr>
        <w:t>“</w:t>
      </w:r>
      <w:r w:rsidR="004845DA" w:rsidRPr="004845DA">
        <w:rPr>
          <w:rFonts w:ascii="Arial" w:hAnsi="Arial" w:cs="Arial"/>
        </w:rPr>
        <w:t xml:space="preserve">Indeed, saponins, </w:t>
      </w:r>
      <w:r w:rsidR="00CC55DB">
        <w:rPr>
          <w:rFonts w:ascii="Arial" w:hAnsi="Arial" w:cs="Arial"/>
        </w:rPr>
        <w:t>al</w:t>
      </w:r>
      <w:r w:rsidR="004845DA" w:rsidRPr="004845DA">
        <w:rPr>
          <w:rFonts w:ascii="Arial" w:hAnsi="Arial" w:cs="Arial"/>
        </w:rPr>
        <w:t>k</w:t>
      </w:r>
      <w:r w:rsidR="00CC55DB">
        <w:rPr>
          <w:rFonts w:ascii="Arial" w:hAnsi="Arial" w:cs="Arial"/>
        </w:rPr>
        <w:t>al</w:t>
      </w:r>
      <w:r w:rsidR="004845DA" w:rsidRPr="004845DA">
        <w:rPr>
          <w:rFonts w:ascii="Arial" w:hAnsi="Arial" w:cs="Arial"/>
        </w:rPr>
        <w:t>oids and flavonoids are known to increase the activity of the GABAergic system through different interactions including potentiation of the GABA receptor complex, increase in GABA concentration</w:t>
      </w:r>
      <w:r>
        <w:rPr>
          <w:rFonts w:ascii="Arial" w:hAnsi="Arial" w:cs="Arial"/>
        </w:rPr>
        <w:t>”</w:t>
      </w:r>
      <w:r w:rsidR="004845DA" w:rsidRPr="004845DA">
        <w:rPr>
          <w:rFonts w:ascii="Arial" w:hAnsi="Arial" w:cs="Arial"/>
        </w:rPr>
        <w:t xml:space="preserve"> (</w:t>
      </w:r>
      <w:proofErr w:type="spellStart"/>
      <w:r w:rsidR="004845DA" w:rsidRPr="004845DA">
        <w:rPr>
          <w:rFonts w:ascii="Arial" w:hAnsi="Arial" w:cs="Arial"/>
        </w:rPr>
        <w:t>Singab</w:t>
      </w:r>
      <w:proofErr w:type="spellEnd"/>
      <w:r w:rsidR="004845DA" w:rsidRPr="004845DA">
        <w:rPr>
          <w:rFonts w:ascii="Arial" w:hAnsi="Arial" w:cs="Arial"/>
        </w:rPr>
        <w:t xml:space="preserve"> et </w:t>
      </w:r>
      <w:r w:rsidR="00CC55DB" w:rsidRPr="001E53C9">
        <w:rPr>
          <w:rFonts w:ascii="Arial" w:hAnsi="Arial" w:cs="Arial"/>
        </w:rPr>
        <w:t>al</w:t>
      </w:r>
      <w:r w:rsidR="004845DA" w:rsidRPr="001E53C9">
        <w:rPr>
          <w:rFonts w:ascii="Arial" w:hAnsi="Arial" w:cs="Arial"/>
        </w:rPr>
        <w:t>.</w:t>
      </w:r>
      <w:r w:rsidR="004845DA" w:rsidRPr="004845DA">
        <w:rPr>
          <w:rFonts w:ascii="Arial" w:hAnsi="Arial" w:cs="Arial"/>
        </w:rPr>
        <w:t xml:space="preserve">, 2015). </w:t>
      </w:r>
      <w:r>
        <w:rPr>
          <w:rFonts w:ascii="Arial" w:hAnsi="Arial" w:cs="Arial"/>
        </w:rPr>
        <w:t>“</w:t>
      </w:r>
      <w:r w:rsidR="004845DA" w:rsidRPr="004845DA">
        <w:rPr>
          <w:rFonts w:ascii="Arial" w:hAnsi="Arial" w:cs="Arial"/>
        </w:rPr>
        <w:t xml:space="preserve">In addition, flavonoids act on the GABAA complex as the </w:t>
      </w:r>
      <w:r w:rsidR="00CC55DB">
        <w:rPr>
          <w:rFonts w:ascii="Arial" w:hAnsi="Arial" w:cs="Arial"/>
        </w:rPr>
        <w:t>al</w:t>
      </w:r>
      <w:r w:rsidR="004845DA" w:rsidRPr="004845DA">
        <w:rPr>
          <w:rFonts w:ascii="Arial" w:hAnsi="Arial" w:cs="Arial"/>
        </w:rPr>
        <w:t>k</w:t>
      </w:r>
      <w:r w:rsidR="00CC55DB">
        <w:rPr>
          <w:rFonts w:ascii="Arial" w:hAnsi="Arial" w:cs="Arial"/>
        </w:rPr>
        <w:t>al</w:t>
      </w:r>
      <w:r w:rsidR="004845DA" w:rsidRPr="004845DA">
        <w:rPr>
          <w:rFonts w:ascii="Arial" w:hAnsi="Arial" w:cs="Arial"/>
        </w:rPr>
        <w:t>oids interact with the voltage-gated Na+ channel causing a blockage, responsible for reducing neuron</w:t>
      </w:r>
      <w:r w:rsidR="00CC55DB">
        <w:rPr>
          <w:rFonts w:ascii="Arial" w:hAnsi="Arial" w:cs="Arial"/>
        </w:rPr>
        <w:t>al</w:t>
      </w:r>
      <w:r w:rsidR="004845DA" w:rsidRPr="004845DA">
        <w:rPr>
          <w:rFonts w:ascii="Arial" w:hAnsi="Arial" w:cs="Arial"/>
        </w:rPr>
        <w:t xml:space="preserve"> excitability</w:t>
      </w:r>
      <w:r>
        <w:rPr>
          <w:rFonts w:ascii="Arial" w:hAnsi="Arial" w:cs="Arial"/>
        </w:rPr>
        <w:t>”</w:t>
      </w:r>
      <w:r w:rsidR="004845DA" w:rsidRPr="004845DA">
        <w:rPr>
          <w:rFonts w:ascii="Arial" w:hAnsi="Arial" w:cs="Arial"/>
        </w:rPr>
        <w:t xml:space="preserve"> (Zhu et </w:t>
      </w:r>
      <w:r w:rsidR="00CC55DB" w:rsidRPr="001E53C9">
        <w:rPr>
          <w:rFonts w:ascii="Arial" w:hAnsi="Arial" w:cs="Arial"/>
        </w:rPr>
        <w:t>al</w:t>
      </w:r>
      <w:r w:rsidR="004845DA" w:rsidRPr="001E53C9">
        <w:rPr>
          <w:rFonts w:ascii="Arial" w:hAnsi="Arial" w:cs="Arial"/>
        </w:rPr>
        <w:t>.</w:t>
      </w:r>
      <w:r w:rsidR="004845DA" w:rsidRPr="004845DA">
        <w:rPr>
          <w:rFonts w:ascii="Arial" w:hAnsi="Arial" w:cs="Arial"/>
        </w:rPr>
        <w:t>, 2014</w:t>
      </w:r>
      <w:r w:rsidR="00656566">
        <w:rPr>
          <w:rFonts w:ascii="Arial" w:hAnsi="Arial" w:cs="Arial"/>
        </w:rPr>
        <w:t>;</w:t>
      </w:r>
      <w:r w:rsidR="006938FF">
        <w:rPr>
          <w:rFonts w:ascii="Arial" w:hAnsi="Arial" w:cs="Arial"/>
        </w:rPr>
        <w:t xml:space="preserve"> </w:t>
      </w:r>
      <w:proofErr w:type="spellStart"/>
      <w:r w:rsidR="00656566" w:rsidRPr="00656566">
        <w:rPr>
          <w:rFonts w:ascii="Arial" w:hAnsi="Arial" w:cs="Arial"/>
        </w:rPr>
        <w:t>Ngaibi</w:t>
      </w:r>
      <w:proofErr w:type="spellEnd"/>
      <w:r w:rsidR="00656566">
        <w:rPr>
          <w:rFonts w:ascii="Arial" w:hAnsi="Arial" w:cs="Arial"/>
        </w:rPr>
        <w:t xml:space="preserve"> et al., 2024</w:t>
      </w:r>
      <w:r w:rsidR="004845DA" w:rsidRPr="004845DA">
        <w:rPr>
          <w:rFonts w:ascii="Arial" w:hAnsi="Arial" w:cs="Arial"/>
        </w:rPr>
        <w:t xml:space="preserve">). </w:t>
      </w:r>
      <w:r>
        <w:rPr>
          <w:rFonts w:ascii="Arial" w:hAnsi="Arial" w:cs="Arial"/>
        </w:rPr>
        <w:t>“</w:t>
      </w:r>
      <w:r w:rsidR="004845DA" w:rsidRPr="004845DA">
        <w:rPr>
          <w:rFonts w:ascii="Arial" w:hAnsi="Arial" w:cs="Arial"/>
        </w:rPr>
        <w:t>Saponins and phenolic compounds have an inhibitory action on different Ca</w:t>
      </w:r>
      <w:r w:rsidR="004845DA" w:rsidRPr="004845DA">
        <w:rPr>
          <w:rFonts w:ascii="Arial" w:hAnsi="Arial" w:cs="Arial"/>
          <w:vertAlign w:val="superscript"/>
        </w:rPr>
        <w:t>+</w:t>
      </w:r>
      <w:r w:rsidR="004845DA" w:rsidRPr="004845DA">
        <w:rPr>
          <w:rFonts w:ascii="Arial" w:hAnsi="Arial" w:cs="Arial"/>
        </w:rPr>
        <w:t xml:space="preserve"> channels, reducing their opening times and prolonging their closing times</w:t>
      </w:r>
      <w:r>
        <w:rPr>
          <w:rFonts w:ascii="Arial" w:hAnsi="Arial" w:cs="Arial"/>
        </w:rPr>
        <w:t>”</w:t>
      </w:r>
      <w:r w:rsidR="004845DA" w:rsidRPr="004845DA">
        <w:rPr>
          <w:rFonts w:ascii="Arial" w:hAnsi="Arial" w:cs="Arial"/>
        </w:rPr>
        <w:t xml:space="preserve"> (Zhong et </w:t>
      </w:r>
      <w:r w:rsidR="00CC55DB">
        <w:rPr>
          <w:rFonts w:ascii="Arial" w:hAnsi="Arial" w:cs="Arial"/>
          <w:i/>
          <w:iCs/>
        </w:rPr>
        <w:t>al</w:t>
      </w:r>
      <w:r w:rsidR="004845DA" w:rsidRPr="004845DA">
        <w:rPr>
          <w:rFonts w:ascii="Arial" w:hAnsi="Arial" w:cs="Arial"/>
        </w:rPr>
        <w:t xml:space="preserve">., 1995; Kim et </w:t>
      </w:r>
      <w:r w:rsidR="00CC55DB" w:rsidRPr="001E53C9">
        <w:rPr>
          <w:rFonts w:ascii="Arial" w:hAnsi="Arial" w:cs="Arial"/>
        </w:rPr>
        <w:t>al</w:t>
      </w:r>
      <w:r w:rsidR="004845DA" w:rsidRPr="001E53C9">
        <w:rPr>
          <w:rFonts w:ascii="Arial" w:hAnsi="Arial" w:cs="Arial"/>
        </w:rPr>
        <w:t>.</w:t>
      </w:r>
      <w:r w:rsidR="004845DA" w:rsidRPr="004845DA">
        <w:rPr>
          <w:rFonts w:ascii="Arial" w:hAnsi="Arial" w:cs="Arial"/>
        </w:rPr>
        <w:t xml:space="preserve">, 2008). </w:t>
      </w:r>
      <w:r>
        <w:rPr>
          <w:rFonts w:ascii="Arial" w:hAnsi="Arial" w:cs="Arial"/>
        </w:rPr>
        <w:t>“</w:t>
      </w:r>
      <w:proofErr w:type="spellStart"/>
      <w:r w:rsidR="004845DA" w:rsidRPr="004845DA">
        <w:rPr>
          <w:rFonts w:ascii="Arial" w:hAnsi="Arial" w:cs="Arial"/>
          <w:i/>
        </w:rPr>
        <w:t>Crasoceph</w:t>
      </w:r>
      <w:r w:rsidR="00CC55DB">
        <w:rPr>
          <w:rFonts w:ascii="Arial" w:hAnsi="Arial" w:cs="Arial"/>
          <w:i/>
        </w:rPr>
        <w:t>al</w:t>
      </w:r>
      <w:r w:rsidR="004845DA" w:rsidRPr="004845DA">
        <w:rPr>
          <w:rFonts w:ascii="Arial" w:hAnsi="Arial" w:cs="Arial"/>
          <w:i/>
        </w:rPr>
        <w:t>um</w:t>
      </w:r>
      <w:proofErr w:type="spellEnd"/>
      <w:r w:rsidR="004845DA" w:rsidRPr="004845DA">
        <w:rPr>
          <w:rFonts w:ascii="Arial" w:hAnsi="Arial" w:cs="Arial"/>
          <w:i/>
        </w:rPr>
        <w:t xml:space="preserve"> </w:t>
      </w:r>
      <w:proofErr w:type="spellStart"/>
      <w:r w:rsidR="004845DA" w:rsidRPr="004845DA">
        <w:rPr>
          <w:rFonts w:ascii="Arial" w:hAnsi="Arial" w:cs="Arial"/>
          <w:i/>
        </w:rPr>
        <w:t>bauchiense</w:t>
      </w:r>
      <w:proofErr w:type="spellEnd"/>
      <w:r w:rsidR="004845DA" w:rsidRPr="004845DA">
        <w:rPr>
          <w:rFonts w:ascii="Arial" w:hAnsi="Arial" w:cs="Arial"/>
          <w:iCs/>
        </w:rPr>
        <w:t xml:space="preserve"> seems to produce its anticonvulsant effects by enhancing </w:t>
      </w:r>
      <w:proofErr w:type="spellStart"/>
      <w:r w:rsidR="004845DA" w:rsidRPr="004845DA">
        <w:rPr>
          <w:rFonts w:ascii="Arial" w:hAnsi="Arial" w:cs="Arial"/>
          <w:iCs/>
        </w:rPr>
        <w:t>gabaergic</w:t>
      </w:r>
      <w:proofErr w:type="spellEnd"/>
      <w:r w:rsidR="004845DA" w:rsidRPr="004845DA">
        <w:rPr>
          <w:rFonts w:ascii="Arial" w:hAnsi="Arial" w:cs="Arial"/>
          <w:iCs/>
        </w:rPr>
        <w:t xml:space="preserve"> neurotransmission through the benzodiazepine receptor site. Its action on the benzodiazepine receptor site would increase the entry of chloride ions into the postsynaptic membrane, which would increase brain inhibition, by increasing the frequency of opening of ion channels in response to GABA</w:t>
      </w:r>
      <w:r>
        <w:rPr>
          <w:rFonts w:ascii="Arial" w:hAnsi="Arial" w:cs="Arial"/>
          <w:iCs/>
        </w:rPr>
        <w:t>”</w:t>
      </w:r>
      <w:r w:rsidR="004845DA" w:rsidRPr="004845DA">
        <w:rPr>
          <w:rFonts w:ascii="Arial" w:hAnsi="Arial" w:cs="Arial"/>
          <w:i/>
        </w:rPr>
        <w:t xml:space="preserve">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{"citationItems":[{"id":"ITEM-1","itemData":{"DOI":"10.4267/10608/4234","ISSN":"0767-0974","abstract":"L'acide ? aminobutyrique (GABA) est le principal neurotransmetteur inhibiteur du système nerveux central. Il exerce ses effets biologiques par l'intermédiaire de plusieurs types de récepteurs, dont les mieux caractérisés sont appelés récepteur GABA A et GABA B. Le premier est directement associé à un canal de chlore, alors qu le second est indirectement couplé à un canal cationique. Le récepteur GABA A, dont il existe plusieurs sous-types, est également associé à un récepteur pour les benzodiazépines. Le clonage des ADNc codant pour les différentes sous-unités du récepteur GABA A a permis d'identifier quatre types de sous-unités ?, ????? et ?. La forme active semble constituée de cinq sous-unités: deux sous-unités ?, deux sous- unités ??et, soit une sousunité ??? soit une sous-unité ?. Seul le pentamère incluant ?? semble capable de fixer les benzodiazépines. La multiplicité des isoformes de récepteur GABA permet d'expliquer la diversité des effets biologiques de ce neurotransmetteur en différentes zones du cerveau.","author":[{"dropping-particle":"","family":"Bacon","given":"E","non-dropping-particle":"","parse-names":false,"suffix":""},{"dropping-particle":"","family":"Viennot","given":"F","non-dropping-particle":"","parse-names":false,"suffix":""}],"container-title":"Médecine/Sciences","id":"ITEM-1","issue":"8","issued":{"date-parts":[["1990"]]},"page":"770","title":"Le système complexe des récepteurs GABA-benzodiazépine","type":"article-journal","volume":"6"},"uris":["http://www.mendeley.com/documents/?uuid=afb252cd-ec54-4703-8f09-d9125416c56a"]}],"mendeley":{"formattedCitation":"(Bacon and Viennot, 1990)","manualFormatting":"(Bacon and Viennot, 1990","plainTextFormattedCitation":"(Bacon and Viennot, 1990)","previouslyFormattedCitation":"(Bacon and Viennot, 1990)"},"properties":{"noteIndex":0},"schema":"https://github.com/citation-style-language/schema/raw/master/csl-citation.json"}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rPr>
        <w:t xml:space="preserve">(Bacon and </w:t>
      </w:r>
      <w:proofErr w:type="spellStart"/>
      <w:r w:rsidR="004845DA" w:rsidRPr="004845DA">
        <w:rPr>
          <w:rFonts w:ascii="Arial" w:hAnsi="Arial" w:cs="Arial"/>
        </w:rPr>
        <w:t>Viennot</w:t>
      </w:r>
      <w:proofErr w:type="spellEnd"/>
      <w:r w:rsidR="004845DA" w:rsidRPr="004845DA">
        <w:rPr>
          <w:rFonts w:ascii="Arial" w:hAnsi="Arial" w:cs="Arial"/>
        </w:rPr>
        <w:t>, 1990</w:t>
      </w:r>
      <w:r w:rsidR="004845DA" w:rsidRPr="004845DA">
        <w:rPr>
          <w:rFonts w:ascii="Arial" w:hAnsi="Arial" w:cs="Arial"/>
        </w:rPr>
        <w:fldChar w:fldCharType="end"/>
      </w:r>
      <w:r w:rsidR="004845DA" w:rsidRPr="004845DA">
        <w:rPr>
          <w:rFonts w:ascii="Arial" w:hAnsi="Arial" w:cs="Arial"/>
        </w:rPr>
        <w:t xml:space="preserve"> ; </w:t>
      </w:r>
      <w:r w:rsidR="004845DA" w:rsidRPr="004845DA">
        <w:rPr>
          <w:rFonts w:ascii="Arial" w:hAnsi="Arial" w:cs="Arial"/>
          <w:lang w:val="fr-FR"/>
        </w:rPr>
        <w:fldChar w:fldCharType="begin"/>
      </w:r>
      <w:r w:rsidR="004845DA" w:rsidRPr="004845DA">
        <w:rPr>
          <w:rFonts w:ascii="Arial" w:hAnsi="Arial" w:cs="Arial"/>
        </w:rPr>
        <w:instrText>ADDIN CSL_CITATION {"citationItems":[{"id":"ITEM-1","itemData":{"DOI":"10.1016/S0378-8741(01)00192-1","ISSN":"03788741","PMID":"11390127","abstract":"The methanolic extract of rhizomes of Cyperus articulatus, a plant used in traditional medicine in Africa and Latin America for many diseases, possesses anticonvulsant activity in mice. This extract protected mice against maximal electroshock (MES)- and pentylenetetrazol (PTZ)-induced seizures. It also delayed the onset of seizures induced by isonicotinic acid hydrazide and strongly antag</w:instrText>
      </w:r>
      <w:r w:rsidR="004845DA" w:rsidRPr="004845DA">
        <w:rPr>
          <w:rFonts w:ascii="Arial" w:hAnsi="Arial" w:cs="Arial"/>
          <w:lang w:val="fr-FR"/>
        </w:rPr>
        <w:instrText>onized N-methyl-D-aspartate-induced turning behavior. The ED50 for protection against seizures was 306 (154-541) mg/kg intraperitoneally (i.p.) for the PTZ test and 1005 (797-1200) mg/kg i.p. for the MES test. The ED50 of methanolic extract against N-methyl-D-aspartate-induced turning behavior was 875 (623-1123) mg/kg i.p. C. articulatus L. methanolic extract protected 54% of mice from seizures induced by strychnine at the dose of 1000 mg/kg i.p. but had no or a moderate effect only against picrotoxin- or bicuculline-induced seizures. With these effects, the rhizome of C. articulatus L. possesses anticonvulsant properties in animals that might explain its use as a traditional medicine for epilepsy in Africa. Copyright © 2001 Elsevier Science Ireland Ltd.","author":[{"dropping-particle":"","family":"Ngo Bum","given":"E.","non-dropping-particle":"","parse-names":false,"suffix":""},{"dropping-particle":"","family":"Schmutz","given":"M.","non-dropping-particle":"","parse-names":false,"suffix":""},{"dropping-particle":"","family":"Meyer","given":"C.","non-dropping-particle":"","parse-names":false,"suffix":""},{"dropping-particle":"","family":"Rakotonirina","given":"A.","non-dropping-particle":"","parse-names":false,"suffix":""},{"dropping-particle":"","family":"Bopelet","given":"M.","non-dropping-particle":"","parse-names":false,"suffix":""},{"dropping-particle":"","family":"Portet","given":"C.","non-dropping-particle":"","parse-names":false,"suffix":""},{"dropping-particle":"","family":"Jeker","given":"A.","non-dropping-particle":"","parse-names":false,"suffix":""},{"dropping-particle":"V.","family":"Rakotonirina","given":"S.","non-dropping-particle":"","parse-names":false,"suffix":""},{"dropping-particle":"","family":"Olpe","given":"H. R.","non-dropping-particle":"","parse-names":false,"suffix":""},{"dropping-particle":"","family":"Herrling","given":"P.","non-dropping-particle":"","parse-names":false,"suffix":""}],"container-title":"Journal of Ethnopharmacology","id":"ITEM-1","issue":"2","issued":{"date-parts":[["2001"]]},"page":"145-150","title":"Anticonvulsant properties of the methanolic extract of Cyperus articulatus (Cyperaceae)","type":"article-journal","volume":"76"},"uris":["http://www.mendeley.com/documents/?uuid=018ae650-5a53-4f66-8c69-1ea120dd9156"]}],"mendeley":{"formattedCitation":"(Ngo Bum et al., 2001)","manualFormatting":"Ngo Bum et al., 2001","plainTextFormattedCitation":"(Ngo Bum et al., 2001)","previouslyFormattedCitation":"(Ngo Bum et al., 2001)"},"properties":{"noteIndex":0},"schema":"https://github.com/citation-style-language/schema/raw/master/csl-citation.json"}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lang w:val="fr-FR"/>
        </w:rPr>
        <w:t xml:space="preserve">Ngo Bum et </w:t>
      </w:r>
      <w:r w:rsidR="00CC55DB" w:rsidRPr="001E53C9">
        <w:rPr>
          <w:rFonts w:ascii="Arial" w:hAnsi="Arial" w:cs="Arial"/>
          <w:lang w:val="fr-FR"/>
        </w:rPr>
        <w:t>al</w:t>
      </w:r>
      <w:r w:rsidR="004845DA" w:rsidRPr="001E53C9">
        <w:rPr>
          <w:rFonts w:ascii="Arial" w:hAnsi="Arial" w:cs="Arial"/>
          <w:lang w:val="fr-FR"/>
        </w:rPr>
        <w:t>.</w:t>
      </w:r>
      <w:r w:rsidR="004845DA" w:rsidRPr="004845DA">
        <w:rPr>
          <w:rFonts w:ascii="Arial" w:hAnsi="Arial" w:cs="Arial"/>
          <w:lang w:val="fr-FR"/>
        </w:rPr>
        <w:t>, 2001</w:t>
      </w:r>
      <w:r w:rsidR="004845DA" w:rsidRPr="004845DA">
        <w:rPr>
          <w:rFonts w:ascii="Arial" w:hAnsi="Arial" w:cs="Arial"/>
        </w:rPr>
        <w:fldChar w:fldCharType="end"/>
      </w:r>
      <w:r w:rsidR="004845DA" w:rsidRPr="004845DA">
        <w:rPr>
          <w:rFonts w:ascii="Arial" w:hAnsi="Arial" w:cs="Arial"/>
          <w:lang w:val="fr-FR"/>
        </w:rPr>
        <w:t xml:space="preserve"> ; </w:t>
      </w:r>
      <w:r w:rsidR="004845DA" w:rsidRPr="004845DA">
        <w:rPr>
          <w:rFonts w:ascii="Arial" w:hAnsi="Arial" w:cs="Arial"/>
          <w:lang w:val="fr-FR"/>
        </w:rPr>
        <w:fldChar w:fldCharType="begin"/>
      </w:r>
      <w:r w:rsidR="004845DA" w:rsidRPr="004845DA">
        <w:rPr>
          <w:rFonts w:ascii="Arial" w:hAnsi="Arial" w:cs="Arial"/>
          <w:lang w:val="fr-FR"/>
        </w:rPr>
        <w:instrText>ADDIN CSL_CITATION {"citationItems":[{"id":"ITEM-1","itemData":{"author":[{"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Dawe","given":"Amadou","non-dropping-particle":"","parse-names":false,"suffix":""},{"dropping-particle":"","family":"Moto","given":"Clarisse Okomolo","non-dropping-particle":"","parse-names":false,"suffix":""},{"dropping-particle":"","family":"Sidiki","given":"N","non-dropping-particle":"","parse-names":false,"suffix":""},{"dropping-particle":"","family":"Désiré","given":"Paul","non-dropping-particle":"","parse-names":false,"suffix":""},{"dropping-particle":"De","family":"Waard","given":"Michel","non-dropping-particle":"","parse-names":false,"suffix":""},{"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Weiss","given":"Norbert","non-dropping-particle":"","parse-names":false,"suffix":""}],"container-title":"International Journal of Pharmacology","id":"ITEM-1","issue":"4","issued":{"date-parts":[["2011"]]},"page":"364-371","title":"Effects of Nauclea latifolia Smith ( Rubiaceae ) Roots Extract in Murine Models To cite this version : HAL Id : inserm-00644849","type":"article-journal","volume":"6"},"uris":["http://www.mendeley.com/documents/?uuid=985a6e4a-fda2-49cb-a8b4-59fce2fe8261"]}],"mendeley":{"formattedCitation":"(Taïwe et al., 2011)","manualFormatting":"Taïwe et al., 2011)","plainTextFormattedCitation":"(Taïwe et al., 2011)","previouslyFormattedCitation":"(Taïwe et al., 2011)"},"properties":{"noteIndex":0},"schema":"https://github.com/citation-style-language/schema/raw/master/csl-citation.json"}</w:instrText>
      </w:r>
      <w:r w:rsidR="004845DA" w:rsidRPr="004845DA">
        <w:rPr>
          <w:rFonts w:ascii="Arial" w:hAnsi="Arial" w:cs="Arial"/>
          <w:lang w:val="fr-FR"/>
        </w:rPr>
        <w:fldChar w:fldCharType="separate"/>
      </w:r>
      <w:r w:rsidR="004845DA" w:rsidRPr="004845DA">
        <w:rPr>
          <w:rFonts w:ascii="Arial" w:hAnsi="Arial" w:cs="Arial"/>
          <w:lang w:val="fr-FR"/>
        </w:rPr>
        <w:t xml:space="preserve">Taïwe et </w:t>
      </w:r>
      <w:r w:rsidR="00CC55DB" w:rsidRPr="001E53C9">
        <w:rPr>
          <w:rFonts w:ascii="Arial" w:hAnsi="Arial" w:cs="Arial"/>
          <w:lang w:val="fr-FR"/>
        </w:rPr>
        <w:t>al</w:t>
      </w:r>
      <w:r w:rsidR="004845DA" w:rsidRPr="001E53C9">
        <w:rPr>
          <w:rFonts w:ascii="Arial" w:hAnsi="Arial" w:cs="Arial"/>
          <w:lang w:val="fr-FR"/>
        </w:rPr>
        <w:t>.</w:t>
      </w:r>
      <w:r w:rsidR="004845DA" w:rsidRPr="004845DA">
        <w:rPr>
          <w:rFonts w:ascii="Arial" w:hAnsi="Arial" w:cs="Arial"/>
          <w:lang w:val="fr-FR"/>
        </w:rPr>
        <w:t>, 2011)</w:t>
      </w:r>
      <w:r w:rsidR="004845DA" w:rsidRPr="004845DA">
        <w:rPr>
          <w:rFonts w:ascii="Arial" w:hAnsi="Arial" w:cs="Arial"/>
        </w:rPr>
        <w:fldChar w:fldCharType="end"/>
      </w:r>
      <w:r w:rsidR="004845DA" w:rsidRPr="004845DA">
        <w:rPr>
          <w:rFonts w:ascii="Arial" w:hAnsi="Arial" w:cs="Arial"/>
          <w:lang w:val="fr-FR"/>
        </w:rPr>
        <w:t>.</w:t>
      </w:r>
    </w:p>
    <w:p w14:paraId="5F5CBC64" w14:textId="14970E4C" w:rsidR="004845DA" w:rsidRDefault="004845DA" w:rsidP="004845DA">
      <w:pPr>
        <w:pStyle w:val="Body"/>
        <w:spacing w:after="0"/>
        <w:rPr>
          <w:rFonts w:ascii="Arial" w:hAnsi="Arial" w:cs="Arial"/>
        </w:rPr>
      </w:pPr>
      <w:proofErr w:type="spellStart"/>
      <w:r w:rsidRPr="00A27DF1">
        <w:rPr>
          <w:rFonts w:ascii="Arial" w:hAnsi="Arial" w:cs="Arial"/>
          <w:lang w:val="fr-FR"/>
        </w:rPr>
        <w:t>Since</w:t>
      </w:r>
      <w:proofErr w:type="spellEnd"/>
      <w:r w:rsidRPr="00A27DF1">
        <w:rPr>
          <w:rFonts w:ascii="Arial" w:hAnsi="Arial" w:cs="Arial"/>
          <w:lang w:val="fr-FR"/>
        </w:rPr>
        <w:t xml:space="preserve"> cognitive </w:t>
      </w:r>
      <w:proofErr w:type="spellStart"/>
      <w:r w:rsidRPr="00A27DF1">
        <w:rPr>
          <w:rFonts w:ascii="Arial" w:hAnsi="Arial" w:cs="Arial"/>
          <w:lang w:val="fr-FR"/>
        </w:rPr>
        <w:t>impairment</w:t>
      </w:r>
      <w:proofErr w:type="spellEnd"/>
      <w:r w:rsidRPr="00A27DF1">
        <w:rPr>
          <w:rFonts w:ascii="Arial" w:hAnsi="Arial" w:cs="Arial"/>
          <w:lang w:val="fr-FR"/>
        </w:rPr>
        <w:t xml:space="preserve"> or </w:t>
      </w:r>
      <w:proofErr w:type="spellStart"/>
      <w:r w:rsidRPr="00A27DF1">
        <w:rPr>
          <w:rFonts w:ascii="Arial" w:hAnsi="Arial" w:cs="Arial"/>
          <w:lang w:val="fr-FR"/>
        </w:rPr>
        <w:t>decline</w:t>
      </w:r>
      <w:proofErr w:type="spellEnd"/>
      <w:r w:rsidRPr="00A27DF1">
        <w:rPr>
          <w:rFonts w:ascii="Arial" w:hAnsi="Arial" w:cs="Arial"/>
          <w:lang w:val="fr-FR"/>
        </w:rPr>
        <w:t xml:space="preserve"> </w:t>
      </w:r>
      <w:proofErr w:type="spellStart"/>
      <w:r w:rsidRPr="00A27DF1">
        <w:rPr>
          <w:rFonts w:ascii="Arial" w:hAnsi="Arial" w:cs="Arial"/>
          <w:lang w:val="fr-FR"/>
        </w:rPr>
        <w:t>may</w:t>
      </w:r>
      <w:proofErr w:type="spellEnd"/>
      <w:r w:rsidRPr="00A27DF1">
        <w:rPr>
          <w:rFonts w:ascii="Arial" w:hAnsi="Arial" w:cs="Arial"/>
          <w:lang w:val="fr-FR"/>
        </w:rPr>
        <w:t xml:space="preserve"> </w:t>
      </w:r>
      <w:proofErr w:type="spellStart"/>
      <w:r w:rsidR="00CC55DB" w:rsidRPr="00A27DF1">
        <w:rPr>
          <w:rFonts w:ascii="Arial" w:hAnsi="Arial" w:cs="Arial"/>
          <w:lang w:val="fr-FR"/>
        </w:rPr>
        <w:t>al</w:t>
      </w:r>
      <w:r w:rsidRPr="00A27DF1">
        <w:rPr>
          <w:rFonts w:ascii="Arial" w:hAnsi="Arial" w:cs="Arial"/>
          <w:lang w:val="fr-FR"/>
        </w:rPr>
        <w:t>so</w:t>
      </w:r>
      <w:proofErr w:type="spellEnd"/>
      <w:r w:rsidRPr="00A27DF1">
        <w:rPr>
          <w:rFonts w:ascii="Arial" w:hAnsi="Arial" w:cs="Arial"/>
          <w:lang w:val="fr-FR"/>
        </w:rPr>
        <w:t xml:space="preserve"> </w:t>
      </w:r>
      <w:proofErr w:type="spellStart"/>
      <w:r w:rsidRPr="00A27DF1">
        <w:rPr>
          <w:rFonts w:ascii="Arial" w:hAnsi="Arial" w:cs="Arial"/>
          <w:lang w:val="fr-FR"/>
        </w:rPr>
        <w:t>be</w:t>
      </w:r>
      <w:proofErr w:type="spellEnd"/>
      <w:r w:rsidRPr="00A27DF1">
        <w:rPr>
          <w:rFonts w:ascii="Arial" w:hAnsi="Arial" w:cs="Arial"/>
          <w:lang w:val="fr-FR"/>
        </w:rPr>
        <w:t xml:space="preserve"> </w:t>
      </w:r>
      <w:proofErr w:type="spellStart"/>
      <w:r w:rsidRPr="00A27DF1">
        <w:rPr>
          <w:rFonts w:ascii="Arial" w:hAnsi="Arial" w:cs="Arial"/>
          <w:lang w:val="fr-FR"/>
        </w:rPr>
        <w:t>associated</w:t>
      </w:r>
      <w:proofErr w:type="spellEnd"/>
      <w:r w:rsidRPr="00A27DF1">
        <w:rPr>
          <w:rFonts w:ascii="Arial" w:hAnsi="Arial" w:cs="Arial"/>
          <w:lang w:val="fr-FR"/>
        </w:rPr>
        <w:t xml:space="preserve"> </w:t>
      </w:r>
      <w:proofErr w:type="spellStart"/>
      <w:r w:rsidRPr="00A27DF1">
        <w:rPr>
          <w:rFonts w:ascii="Arial" w:hAnsi="Arial" w:cs="Arial"/>
          <w:lang w:val="fr-FR"/>
        </w:rPr>
        <w:t>with</w:t>
      </w:r>
      <w:proofErr w:type="spellEnd"/>
      <w:r w:rsidRPr="00A27DF1">
        <w:rPr>
          <w:rFonts w:ascii="Arial" w:hAnsi="Arial" w:cs="Arial"/>
          <w:lang w:val="fr-FR"/>
        </w:rPr>
        <w:t xml:space="preserve"> </w:t>
      </w:r>
      <w:proofErr w:type="spellStart"/>
      <w:r w:rsidRPr="00A27DF1">
        <w:rPr>
          <w:rFonts w:ascii="Arial" w:hAnsi="Arial" w:cs="Arial"/>
          <w:lang w:val="fr-FR"/>
        </w:rPr>
        <w:t>epileptogenesis</w:t>
      </w:r>
      <w:proofErr w:type="spellEnd"/>
      <w:r w:rsidRPr="00A27DF1">
        <w:rPr>
          <w:rFonts w:ascii="Arial" w:hAnsi="Arial" w:cs="Arial"/>
          <w:lang w:val="fr-FR"/>
        </w:rPr>
        <w:t xml:space="preserve"> in tempor</w:t>
      </w:r>
      <w:r w:rsidR="00CC55DB" w:rsidRPr="00A27DF1">
        <w:rPr>
          <w:rFonts w:ascii="Arial" w:hAnsi="Arial" w:cs="Arial"/>
          <w:lang w:val="fr-FR"/>
        </w:rPr>
        <w:t>al</w:t>
      </w:r>
      <w:r w:rsidRPr="00A27DF1">
        <w:rPr>
          <w:rFonts w:ascii="Arial" w:hAnsi="Arial" w:cs="Arial"/>
          <w:lang w:val="fr-FR"/>
        </w:rPr>
        <w:t xml:space="preserve"> lobe </w:t>
      </w:r>
      <w:proofErr w:type="spellStart"/>
      <w:r w:rsidRPr="00A27DF1">
        <w:rPr>
          <w:rFonts w:ascii="Arial" w:hAnsi="Arial" w:cs="Arial"/>
          <w:lang w:val="fr-FR"/>
        </w:rPr>
        <w:t>epilepsy</w:t>
      </w:r>
      <w:proofErr w:type="spellEnd"/>
      <w:r w:rsidRPr="00A27DF1">
        <w:rPr>
          <w:rFonts w:ascii="Arial" w:hAnsi="Arial" w:cs="Arial"/>
          <w:lang w:val="fr-FR"/>
        </w:rPr>
        <w:t xml:space="preserve"> </w:t>
      </w:r>
      <w:r w:rsidRPr="004845DA">
        <w:rPr>
          <w:rFonts w:ascii="Arial" w:hAnsi="Arial" w:cs="Arial"/>
        </w:rPr>
        <w:fldChar w:fldCharType="begin"/>
      </w:r>
      <w:r w:rsidRPr="00A27DF1">
        <w:rPr>
          <w:rFonts w:ascii="Arial" w:hAnsi="Arial" w:cs="Arial"/>
          <w:lang w:val="fr-FR"/>
        </w:rPr>
        <w:instrText>ADDIN CSL_CITATION {"citationItems":[{"id":"ITEM-1","itemData":{"DOI":"10.1016/S0920-1211(02)00157-2","ISSN":"09201211","abstract":"Topiramate, an antiepileptic drug with a number of mechanisms of action including inhibition of glutamate activity at the AMPA and KA receptors, was assessed as a neuroprotective agent following seizures. We administered topiramate, 80 mg/kg, or saline for 4 weeks following a series of 25 neonatal seizures or status epilepticus (SE) induced by lithium-pilocarpine in postnatal day 20 rats. Age-matched control rats without a history of seizures were administered topiramate or saline. Following completion of the topiramate injections, animals were tested in the water maze for spatial learning and the brains examined for cell loss and sprouting of mossy fibers. While there was a trend for improved visual-spatial performance in the water maze following topiramate therapy in rats with neonatal seizures, no differences were found in the histological examination of the hippocampus. Neonatal rats exposed to 4 weeks of topiramate did not differ from non-treated controls in water maze performance or histological examination. In weanling rats subjected to SE, topiramate provided a moderate degree of neuroprotection, with topiramate-treated rats performing better in the water maze than rats receiving saline. However, no differences in cell loss or mossy fiber sprouting were found in the histological examination of the brains. These findings demonstrate that chronic treatment with topiramate following SE improves cognitive function. In addition, long-term administration of high-dose topiramate in the normal developing rat brain does not appear to impair cognitive performance. © 2002 Elsevier Science B.V. All rights reserved.","author":[{"dropping-particle":"","family":"Cha","given":"Byung Ho","non-dropping-particle":"","parse-names":false,"suffix":""},{"dropping-particle":"","family":"Silveira","given":"Diosely C.","non-dropping-particle":"","parse-names":false,"suffix":""},{"dropping-particle":"","family":"Liu","given":"Xianzeng","non-dropping-particle":"","parse-names":false,"suffix":""},{"dropping-particle":"","family":"Hu","given":"Yingchun","non-dropping-particle":"","parse-names":false,"suffix":""},{"dropping-particle":"","family":"Holmes","given":"Gregory L.","non-dropping-particle":"","parse-names":false,"suffix":""}],"container-title":"Epilepsy Research","id":"ITEM-1","issue":"3","issued":{"date-parts":[["2002"]]},"title":"Effect of topiramate following recurrent and prolonged seizures during early development","type":"article-journal","volume":"51"},"uris":["http://www.mendeley.com/documents/?uuid=8a457074-fc67-352d-8c46-d039581bf6d0"]}],"mendeley":{"formattedCitation":"(Cha et al., 2002)","manualFormatting":"(Cha et al., 2002 ;","plainTextFormattedCitation":"(Cha et al., 2002)","previouslyFormattedCitation":"(Cha</w:instrText>
      </w:r>
      <w:r w:rsidRPr="004845DA">
        <w:rPr>
          <w:rFonts w:ascii="Arial" w:hAnsi="Arial" w:cs="Arial"/>
        </w:rPr>
        <w:instrText xml:space="preserve"> et al., 2002)"},"properties":{"noteIndex":0},"schema":"https://github.com/citation-style-language/schema/raw/master/csl-citation.json"}</w:instrText>
      </w:r>
      <w:r w:rsidRPr="004845DA">
        <w:rPr>
          <w:rFonts w:ascii="Arial" w:hAnsi="Arial" w:cs="Arial"/>
        </w:rPr>
        <w:fldChar w:fldCharType="separate"/>
      </w:r>
      <w:r w:rsidRPr="004845DA">
        <w:rPr>
          <w:rFonts w:ascii="Arial" w:hAnsi="Arial" w:cs="Arial"/>
        </w:rPr>
        <w:t xml:space="preserve">(Cha et </w:t>
      </w:r>
      <w:r w:rsidR="00CC55DB" w:rsidRPr="005E5741">
        <w:rPr>
          <w:rFonts w:ascii="Arial" w:hAnsi="Arial" w:cs="Arial"/>
        </w:rPr>
        <w:t>al</w:t>
      </w:r>
      <w:r w:rsidRPr="005E5741">
        <w:rPr>
          <w:rFonts w:ascii="Arial" w:hAnsi="Arial" w:cs="Arial"/>
        </w:rPr>
        <w:t>.</w:t>
      </w:r>
      <w:r w:rsidRPr="004845DA">
        <w:rPr>
          <w:rFonts w:ascii="Arial" w:hAnsi="Arial" w:cs="Arial"/>
        </w:rPr>
        <w:t>, 2002 ;</w:t>
      </w:r>
      <w:r w:rsidRPr="004845DA">
        <w:rPr>
          <w:rFonts w:ascii="Arial" w:hAnsi="Arial" w:cs="Arial"/>
        </w:rPr>
        <w:fldChar w:fldCharType="end"/>
      </w:r>
      <w:r w:rsidRPr="004845DA">
        <w:rPr>
          <w:rFonts w:ascii="Arial" w:hAnsi="Arial" w:cs="Arial"/>
        </w:rPr>
        <w:t xml:space="preserve"> </w:t>
      </w:r>
      <w:r w:rsidRPr="004845DA">
        <w:rPr>
          <w:rFonts w:ascii="Arial" w:hAnsi="Arial" w:cs="Arial"/>
        </w:rPr>
        <w:fldChar w:fldCharType="begin"/>
      </w:r>
      <w:r w:rsidRPr="004845DA">
        <w:rPr>
          <w:rFonts w:ascii="Arial" w:hAnsi="Arial" w:cs="Arial"/>
        </w:rPr>
        <w:instrText>ADDIN CSL_CITATION {"citationItems":[{"id":"ITEM-1","itemData":{"DOI":"10.1002/ptr.2454","ISSN":"0951418X","abstract":"Intracerebroventricular (i.c.v.) administration of colchicine, a microtubule-disrupting agent, causes cognitive dysfunction and oxidative stress. The present study was designed to investigate the protective effects of quercetin against colchicine-induced memory impairment and oxidative damage in rats. An i.c.v. cannula was implanted in the lateral ventricle of male Wistar rats. Colchicine was administered at dose of 15 μg/rat. Morris water maze and plus-maze performance tests were used to assess memory tasks. Various biochemical parameters such as lipid peroxidation, reduced glutathione, nitrite level, acetylcholinesterase and proteins were also assessed. Central administration of colchicine (15 μg/rat) showed poor retention of memory. Chronic treatment with quercetin (20 and 40 mg/kg, p.o.) twice daily for a period of 25 days beginning 4 days prior to colchicine injection significantly improved the colchicine-induced cognitive impairment. Biochemical analysis revealed that i.c.v. colchicine injection significantly increased lipid peroxidation, nitrite and depleted reduced glutathione activity in the brains of rats. Chronic administration of quercetin significantly attenuated elevated lipid peroxidation and restored the depleted reduced glutathione, acetylcholinesterase activity and nitrite activity. The results of the present study clearly indicated that quercetin has a neuroprotective effect against colchicine-induced cognitive dysfunctions and oxidative damage. Copyright © 2008 John Wiley &amp; Sons, Ltd.","author":[{"dropping-particle":"","family":"Kumar","given":"Anil","non-dropping-particle":"","parse-names":false,"suffix":""},{"dropping-particle":"","family":"Sehgal","given":"Neha","non-dropping-particle":"","parse-names":false,"suffix":""},{"dropping-particle":"","family":"Kumar","given":"Puneet","non-dropping-particle":"","parse-names":false,"suffix":""},{"dropping-particle":"","family":"Padi","given":"S. S.V.","non-dropping-particle":"","parse-names":false,"suffix":""},{"dropping-particle":"","family":"Naidu","given":"P. S.","non-dropping-particle":"","parse-names":false,"suffix":""}],"container-title":"Phytotherapy Research","id":"ITEM-1","issue":"12","issued":{"date-parts":[["2008"]]},"title":"Protective effect of quercetin against ICV colchicine-induced cognitive dysfunctions and oxidative damage in rats","type":"article-journal","volume":"22"},"uris":["http://www.mendeley.com/documents/?uuid=6b3f10f0-5c57-3613-bb70-c5761799a2fa"]}],"mendeley":{"formattedCitation":"(Kumar et al., 2008)","manualFormatting":"Kumar et al., 2008","plainTextFormattedCitation":"(Kumar et al., 2008)","previouslyFormattedCitation":"(Kumar et al., 2008)"},"properties":{"noteIndex":0},"schema":"https://github.com/citation-style-language/schema/raw/master/csl-citation.json"}</w:instrText>
      </w:r>
      <w:r w:rsidRPr="004845DA">
        <w:rPr>
          <w:rFonts w:ascii="Arial" w:hAnsi="Arial" w:cs="Arial"/>
        </w:rPr>
        <w:fldChar w:fldCharType="separate"/>
      </w:r>
      <w:r w:rsidRPr="004845DA">
        <w:rPr>
          <w:rFonts w:ascii="Arial" w:hAnsi="Arial" w:cs="Arial"/>
        </w:rPr>
        <w:t xml:space="preserve">Kumar et </w:t>
      </w:r>
      <w:r w:rsidR="00CC55DB" w:rsidRPr="005E5741">
        <w:rPr>
          <w:rFonts w:ascii="Arial" w:hAnsi="Arial" w:cs="Arial"/>
        </w:rPr>
        <w:t>al</w:t>
      </w:r>
      <w:r w:rsidRPr="005E5741">
        <w:rPr>
          <w:rFonts w:ascii="Arial" w:hAnsi="Arial" w:cs="Arial"/>
        </w:rPr>
        <w:t>.</w:t>
      </w:r>
      <w:r w:rsidRPr="004845DA">
        <w:rPr>
          <w:rFonts w:ascii="Arial" w:hAnsi="Arial" w:cs="Arial"/>
        </w:rPr>
        <w:t>, 2008</w:t>
      </w:r>
      <w:r w:rsidRPr="004845DA">
        <w:rPr>
          <w:rFonts w:ascii="Arial" w:hAnsi="Arial" w:cs="Arial"/>
        </w:rPr>
        <w:fldChar w:fldCharType="end"/>
      </w:r>
      <w:r w:rsidRPr="004845DA">
        <w:rPr>
          <w:rFonts w:ascii="Arial" w:hAnsi="Arial" w:cs="Arial"/>
        </w:rPr>
        <w:t xml:space="preserve"> ; </w:t>
      </w:r>
      <w:r w:rsidRPr="004845DA">
        <w:rPr>
          <w:rFonts w:ascii="Arial" w:hAnsi="Arial" w:cs="Arial"/>
        </w:rPr>
        <w:fldChar w:fldCharType="begin"/>
      </w:r>
      <w:r w:rsidRPr="004845DA">
        <w:rPr>
          <w:rFonts w:ascii="Arial" w:hAnsi="Arial" w:cs="Arial"/>
        </w:rPr>
        <w:instrText>ADDIN CSL_CITATION {"citationItems":[{"id":"ITEM-1","itemData":{"DOI":"10.1016/j.lfs.2010.09.006","ISSN":"00243205","PMID":"20840851","abstract":"Aim: Epilepsy as well as chronic use of most antiepileptic drugs predisposes to cognitive impairment. Curcumin has been reported to possess antioxidant, anticonvulsant as well as neuroprotective potential. Hence, this study was conducted to evaluate the effect of curcumin against seizures, cognitive impairment and oxidative stress in pentylenetetrazole-induced kindling in rats. Main methods: The effect of pretreatment with curcumin (100, 200 and 300 mg/kg, orally) on pentylenetetrazole (PTZ)-induced kindling, kindling-induced cognitive impairment and oxidative stress was evaluated. Male Wistar rats were injected PTZ (30 mg/kg, i.p.) once every alternate day (48±1 h) until the development of kindling. Cognitive impairment was assessed using elevated plus maze and passive avoidance test while the oxidative stress parameters (malondialdehyde and glutathione) were estimated in the whole brain at the end of experiments. Key findings: PTZ, 30 mg/kg, induced kindling in rats after 31.0±1.4 days. Curcumin showed dose-dependent anti-seizure effect. Curcumin (300 mg/kg) significantly increased the latency to myoclonic jerks, clonic seizures as well as generalized tonic-clonic seizures, improved the seizure score and decreased the number of myoclonic jerks. PTZ kindling induced a significant oxidative stress and cognitive impairment which was reversed by pretreatment with curcumin in a dose-dependent manner. Significance: The results indicate that pretreatment with curcumin ameliorates seizures, oxidative stress and cognitive impairment in PTZ induced kindling in rats. These results thus suggest the potential of curcumin as an adjuvant in epilepsy both to prevent seizures as well as to protect against seizure induced memory impairment. © 2010 Elsevier Inc.","author":[{"dropping-particle":"","family":"Mehla","given":"Jogender","non-dropping-particle":"","parse-names":false,"suffix":""},{"dropping-particle":"","family":"Reeta","given":"K. H.","non-dropping-particle":"","parse-names":false,"suffix":""},{"dropping-particle":"","family":"Gupta","given":"Pooja","non-dropping-particle":"","parse-names":false,"suffix":""},{"dropping-particle":"","family":"Gupta","given":"Yogendra Kumar","non-dropping-particle":"","parse-names":false,"suffix":""}],"container-title":"Life Sciences","id":"ITEM-1","issue":"19-22","issued":{"date-parts":[["2010"]]},"page":"596-603","publisher":"Elsevier Inc.","title":"Protective effect of curcumin against seizures and cognitive impairment in a pentylenetetrazole-kindled epileptic rat model","type":"article-journal","volume":"87"},"uris":["http://www.mendeley.com/documents/?uuid=8054447f-0592-41cc-9a0d-500ff5bb1b05"]}],"mendeley":{"formattedCitation":"(Mehla et al., 2010)","manualFormatting":"Mehla et al., 2010)","plainTextFormattedCitation":"(Mehla et al., 2010)","previouslyFormattedCitation":"(Mehla et al., 2010)"},"properties":{"noteIndex":0},"schema":"https://github.com/citation-style-language/schema/raw/master/csl-citation.json"}</w:instrText>
      </w:r>
      <w:r w:rsidRPr="004845DA">
        <w:rPr>
          <w:rFonts w:ascii="Arial" w:hAnsi="Arial" w:cs="Arial"/>
        </w:rPr>
        <w:fldChar w:fldCharType="separate"/>
      </w:r>
      <w:r w:rsidRPr="004845DA">
        <w:rPr>
          <w:rFonts w:ascii="Arial" w:hAnsi="Arial" w:cs="Arial"/>
        </w:rPr>
        <w:t xml:space="preserve">Mehla et </w:t>
      </w:r>
      <w:r w:rsidR="00CC55DB" w:rsidRPr="005E5741">
        <w:rPr>
          <w:rFonts w:ascii="Arial" w:hAnsi="Arial" w:cs="Arial"/>
        </w:rPr>
        <w:t>al</w:t>
      </w:r>
      <w:r w:rsidRPr="005E5741">
        <w:rPr>
          <w:rFonts w:ascii="Arial" w:hAnsi="Arial" w:cs="Arial"/>
        </w:rPr>
        <w:t>.</w:t>
      </w:r>
      <w:r w:rsidRPr="004845DA">
        <w:rPr>
          <w:rFonts w:ascii="Arial" w:hAnsi="Arial" w:cs="Arial"/>
        </w:rPr>
        <w:t>, 2010)</w:t>
      </w:r>
      <w:r w:rsidRPr="004845DA">
        <w:rPr>
          <w:rFonts w:ascii="Arial" w:hAnsi="Arial" w:cs="Arial"/>
        </w:rPr>
        <w:fldChar w:fldCharType="end"/>
      </w:r>
      <w:r w:rsidRPr="004845DA">
        <w:rPr>
          <w:rFonts w:ascii="Arial" w:hAnsi="Arial" w:cs="Arial"/>
        </w:rPr>
        <w:t>. It has been shown that the anim</w:t>
      </w:r>
      <w:r w:rsidR="00CC55DB">
        <w:rPr>
          <w:rFonts w:ascii="Arial" w:hAnsi="Arial" w:cs="Arial"/>
        </w:rPr>
        <w:t>al</w:t>
      </w:r>
      <w:r w:rsidRPr="004845DA">
        <w:rPr>
          <w:rFonts w:ascii="Arial" w:hAnsi="Arial" w:cs="Arial"/>
        </w:rPr>
        <w:t xml:space="preserve"> model of pilocarpine-induced tempor</w:t>
      </w:r>
      <w:r w:rsidR="00CC55DB">
        <w:rPr>
          <w:rFonts w:ascii="Arial" w:hAnsi="Arial" w:cs="Arial"/>
        </w:rPr>
        <w:t>al</w:t>
      </w:r>
      <w:r w:rsidRPr="004845DA">
        <w:rPr>
          <w:rFonts w:ascii="Arial" w:hAnsi="Arial" w:cs="Arial"/>
        </w:rPr>
        <w:t xml:space="preserve"> lobe epilepsy can promote the change in </w:t>
      </w:r>
      <w:proofErr w:type="spellStart"/>
      <w:r w:rsidRPr="004845DA">
        <w:rPr>
          <w:rFonts w:ascii="Arial" w:hAnsi="Arial" w:cs="Arial"/>
        </w:rPr>
        <w:t>AchE</w:t>
      </w:r>
      <w:proofErr w:type="spellEnd"/>
      <w:r w:rsidRPr="004845DA">
        <w:rPr>
          <w:rFonts w:ascii="Arial" w:hAnsi="Arial" w:cs="Arial"/>
        </w:rPr>
        <w:t xml:space="preserve"> activity (Furtado et </w:t>
      </w:r>
      <w:r w:rsidR="00CC55DB" w:rsidRPr="005E5741">
        <w:rPr>
          <w:rFonts w:ascii="Arial" w:hAnsi="Arial" w:cs="Arial"/>
        </w:rPr>
        <w:t>al</w:t>
      </w:r>
      <w:r w:rsidRPr="005E5741">
        <w:rPr>
          <w:rFonts w:ascii="Arial" w:hAnsi="Arial" w:cs="Arial"/>
        </w:rPr>
        <w:t>.</w:t>
      </w:r>
      <w:r w:rsidRPr="004845DA">
        <w:rPr>
          <w:rFonts w:ascii="Arial" w:hAnsi="Arial" w:cs="Arial"/>
          <w:i/>
          <w:iCs/>
        </w:rPr>
        <w:t>,</w:t>
      </w:r>
      <w:r w:rsidRPr="004845DA">
        <w:rPr>
          <w:rFonts w:ascii="Arial" w:hAnsi="Arial" w:cs="Arial"/>
        </w:rPr>
        <w:t xml:space="preserve"> 2002; De S</w:t>
      </w:r>
      <w:r w:rsidR="00CC55DB">
        <w:rPr>
          <w:rFonts w:ascii="Arial" w:hAnsi="Arial" w:cs="Arial"/>
        </w:rPr>
        <w:t>al</w:t>
      </w:r>
      <w:r w:rsidRPr="004845DA">
        <w:rPr>
          <w:rFonts w:ascii="Arial" w:hAnsi="Arial" w:cs="Arial"/>
        </w:rPr>
        <w:t xml:space="preserve">es Santos et </w:t>
      </w:r>
      <w:r w:rsidR="00CC55DB" w:rsidRPr="005E5741">
        <w:rPr>
          <w:rFonts w:ascii="Arial" w:hAnsi="Arial" w:cs="Arial"/>
        </w:rPr>
        <w:t>al</w:t>
      </w:r>
      <w:r w:rsidRPr="005E5741">
        <w:rPr>
          <w:rFonts w:ascii="Arial" w:hAnsi="Arial" w:cs="Arial"/>
        </w:rPr>
        <w:t>.</w:t>
      </w:r>
      <w:r w:rsidRPr="004845DA">
        <w:rPr>
          <w:rFonts w:ascii="Arial" w:hAnsi="Arial" w:cs="Arial"/>
        </w:rPr>
        <w:t xml:space="preserve">, 2010). Thus, in the damaged parts of the brains of mice that received a neurotoxic substance, there is a significant loss of cholinergic neurons associated with low concentrations of acetylcholine in the hippocampus (Zhou et </w:t>
      </w:r>
      <w:r w:rsidR="00CC55DB" w:rsidRPr="005E5741">
        <w:rPr>
          <w:rFonts w:ascii="Arial" w:hAnsi="Arial" w:cs="Arial"/>
        </w:rPr>
        <w:t>al</w:t>
      </w:r>
      <w:r w:rsidRPr="004845DA">
        <w:rPr>
          <w:rFonts w:ascii="Arial" w:hAnsi="Arial" w:cs="Arial"/>
        </w:rPr>
        <w:t xml:space="preserve">., 2007). This deficit results in a decrease in cognitive functions. The aqueous of extract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F37D0E">
        <w:rPr>
          <w:rFonts w:ascii="Arial" w:hAnsi="Arial" w:cs="Arial"/>
          <w:i/>
        </w:rPr>
        <w:t xml:space="preserve"> </w:t>
      </w:r>
      <w:r w:rsidRPr="004845DA">
        <w:rPr>
          <w:rFonts w:ascii="Arial" w:hAnsi="Arial" w:cs="Arial"/>
        </w:rPr>
        <w:t xml:space="preserve">improved the learning and memory process in mice in the T-maze test. Mice given a decoction of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F37D0E">
        <w:rPr>
          <w:rFonts w:ascii="Arial" w:hAnsi="Arial" w:cs="Arial"/>
          <w:i/>
        </w:rPr>
        <w:t xml:space="preserve"> </w:t>
      </w:r>
      <w:r w:rsidRPr="004845DA">
        <w:rPr>
          <w:rFonts w:ascii="Arial" w:hAnsi="Arial" w:cs="Arial"/>
        </w:rPr>
        <w:t>showed both, a decrease in the latency time to choose the preferred arm, a decrease in the time spent in the discriminated arm and a decrease in the number of returns to the starting arm on the one hand and on the other hand an increase in the number of entries and the time spent in the preferred arm, an increase in the number of entries in the discriminated arm. This decrease in latency to retrieve food suggests an improvement in reference memory (</w:t>
      </w:r>
      <w:proofErr w:type="spellStart"/>
      <w:r w:rsidRPr="004845DA">
        <w:rPr>
          <w:rFonts w:ascii="Arial" w:hAnsi="Arial" w:cs="Arial"/>
        </w:rPr>
        <w:t>Taah</w:t>
      </w:r>
      <w:proofErr w:type="spellEnd"/>
      <w:r w:rsidRPr="004845DA">
        <w:rPr>
          <w:rFonts w:ascii="Arial" w:hAnsi="Arial" w:cs="Arial"/>
        </w:rPr>
        <w:t xml:space="preserve"> </w:t>
      </w:r>
      <w:proofErr w:type="spellStart"/>
      <w:r w:rsidRPr="004845DA">
        <w:rPr>
          <w:rFonts w:ascii="Arial" w:hAnsi="Arial" w:cs="Arial"/>
        </w:rPr>
        <w:t>Yamndou</w:t>
      </w:r>
      <w:proofErr w:type="spellEnd"/>
      <w:r w:rsidRPr="004845DA">
        <w:rPr>
          <w:rFonts w:ascii="Arial" w:hAnsi="Arial" w:cs="Arial"/>
        </w:rPr>
        <w:t xml:space="preserve"> </w:t>
      </w:r>
      <w:r w:rsidRPr="004845DA">
        <w:rPr>
          <w:rFonts w:ascii="Arial" w:hAnsi="Arial" w:cs="Arial"/>
          <w:iCs/>
        </w:rPr>
        <w:t xml:space="preserve">et </w:t>
      </w:r>
      <w:r w:rsidR="00CC55DB" w:rsidRPr="005E5741">
        <w:rPr>
          <w:rFonts w:ascii="Arial" w:hAnsi="Arial" w:cs="Arial"/>
          <w:iCs/>
        </w:rPr>
        <w:t>al</w:t>
      </w:r>
      <w:r w:rsidRPr="005E5741">
        <w:rPr>
          <w:rFonts w:ascii="Arial" w:hAnsi="Arial" w:cs="Arial"/>
          <w:iCs/>
        </w:rPr>
        <w:t>.</w:t>
      </w:r>
      <w:r w:rsidRPr="004845DA">
        <w:rPr>
          <w:rFonts w:ascii="Arial" w:hAnsi="Arial" w:cs="Arial"/>
          <w:iCs/>
        </w:rPr>
        <w:t>,</w:t>
      </w:r>
      <w:r w:rsidRPr="004845DA">
        <w:rPr>
          <w:rFonts w:ascii="Arial" w:hAnsi="Arial" w:cs="Arial"/>
        </w:rPr>
        <w:t xml:space="preserve"> 2021). These results indicate an increase in cognitive performance (Koto-te-Nyiwa et </w:t>
      </w:r>
      <w:r w:rsidR="00CC55DB" w:rsidRPr="005E5741">
        <w:rPr>
          <w:rFonts w:ascii="Arial" w:hAnsi="Arial" w:cs="Arial"/>
        </w:rPr>
        <w:t>al</w:t>
      </w:r>
      <w:r w:rsidRPr="004845DA">
        <w:rPr>
          <w:rFonts w:ascii="Arial" w:hAnsi="Arial" w:cs="Arial"/>
        </w:rPr>
        <w:t xml:space="preserve">., 2014). The elevated plus maze test and the open field test </w:t>
      </w:r>
      <w:r w:rsidR="00CC55DB">
        <w:rPr>
          <w:rFonts w:ascii="Arial" w:hAnsi="Arial" w:cs="Arial"/>
        </w:rPr>
        <w:t>al</w:t>
      </w:r>
      <w:r w:rsidRPr="004845DA">
        <w:rPr>
          <w:rFonts w:ascii="Arial" w:hAnsi="Arial" w:cs="Arial"/>
        </w:rPr>
        <w:t>lowed us to reassure ourselves that the potenti</w:t>
      </w:r>
      <w:r w:rsidR="00CC55DB">
        <w:rPr>
          <w:rFonts w:ascii="Arial" w:hAnsi="Arial" w:cs="Arial"/>
        </w:rPr>
        <w:t>al</w:t>
      </w:r>
      <w:r w:rsidRPr="004845DA">
        <w:rPr>
          <w:rFonts w:ascii="Arial" w:hAnsi="Arial" w:cs="Arial"/>
        </w:rPr>
        <w:t xml:space="preserve"> deficits observed during cognitive tests are not related to dysfunctions in sensorimotor abilities that could affect the navigation of mice (Schmitt, 2018). Neuron loss in the hippocampus is the first event characterizing </w:t>
      </w:r>
      <w:proofErr w:type="spellStart"/>
      <w:r w:rsidRPr="004845DA">
        <w:rPr>
          <w:rFonts w:ascii="Arial" w:hAnsi="Arial" w:cs="Arial"/>
        </w:rPr>
        <w:t>epileptogenesis</w:t>
      </w:r>
      <w:proofErr w:type="spellEnd"/>
      <w:r w:rsidRPr="004845DA">
        <w:rPr>
          <w:rFonts w:ascii="Arial" w:hAnsi="Arial" w:cs="Arial"/>
        </w:rPr>
        <w:t xml:space="preserve"> </w:t>
      </w:r>
      <w:r w:rsidRPr="004845DA">
        <w:rPr>
          <w:rFonts w:ascii="Arial" w:hAnsi="Arial" w:cs="Arial"/>
          <w:lang w:val="fr-FR"/>
        </w:rPr>
        <w:fldChar w:fldCharType="begin"/>
      </w:r>
      <w:r w:rsidRPr="004845DA">
        <w:rPr>
          <w:rFonts w:ascii="Arial" w:hAnsi="Arial" w:cs="Arial"/>
        </w:rPr>
        <w:instrText>ADDIN CSL_CITATION {"citationItems":[{"id":"ITEM-1","itemData":{"DOI":"10.3389/fphar.2017.00440","ISSN":"16639812","abstract":"In this study, we investigated antiepileptogenic and neuroprotective effects of the aqueous extract of Pergularia daemia roots (PDR) using in vivo and in vitro experimental models. In in vivo studies, status epilepticus caused by pilocarpine injection triggers epileptogenesis which evolves during about 1-2 weeks. After 2 h of status epilepticus, mice were treated during the epileptogenesis period for 7 days with sodium valproate and vitamin C (standards which demonstrated to alter epileptogenesis), or Pergularia daemia. The animals were then, 1 week after status epilepticus, challenged with acute pentylenetetrazole (PTZ) administration to test behaviorally the susceptibility to a convulsant agent of animals treated or not with the plan extract. Memory was assessed after PTZ administration in the elevated plus maze and T-maze paradigms at 24 and 48 h. Antioxidant and acetylcholinesterase activities were determined in the hippocampus after sacrifice, in vitro studies were conducted using embryonic rat primary cortical cultures exposed to L-glutamate. Cell survival rate was measured and apoptotic and necrotic cell death determined. The results showed that chronic oral administration of PDR significantly and dose-dependently increased the latency to myoclonic jerks, clonic seizures and generalized tonic-clonic seizures, and the seizure score. In addition, PDR at all doses (from 4.9 to 49 mg/kg) significantly decreased the initial and retention transfer latencies in the elevated plus maze. Interestingly PDR at the same doses significantly increased the time spent and the number of entries in T-maze novel arm. PDR significantly increased the activities of acetylcholinesterase and antioxidant enzymes superoxide dismutase, catalase, and total glutathione and proteins, and decreased malondialdehyde level. Furthermore, PDR increased viability rate of primary cortical neurons after L-glutamate-induced excitotoxicity, in a dose dependent manner. Altogether these results suggest that PDR has antiepileptogenic and neuroprotective effects, which could be mediated by antioxidant and antiapoptotic activities.","author":[{"dropping-particle":"","family":"Kandeda","given":"Antoine K.","non-dropping-particle":"","parse-names":false,"suffix":""},{"dropping-particle":"","family":"Taiwe","given":"Germain S.","non-dropping-particle":"","parse-names":false,"suffix":""},{"dropping-particle":"","family":"Moto","given":"Fleur C.O.","non-dropping-particle":"","parse-names":false,"suffix":""},{"dropping-particle":"","family":"Ngoupaye","given":"Gwladys T.","non-dropping-particle":"","parse-names":false,"suffix":""},{"dropping-particle":"","family":"Nkantchoua","given":"Gisele C.N.","non-dropping-particle":"","parse-names":false,"suffix":""},{"dropping-particle":"","family":"Njapdounke","given":"Jacqueline S.K.","non-dropping-particle":"","parse-names":false,"suffix":""},{"dropping-particle":"","family":"Omam","given":"Jean P.O.","non-dropping-particle":"","parse-names":false,"suffix":""},{"dropping-particle":"","family":"Pale","given":"Simon","non-dropping-particle":"","parse-names":false,"suffix":""},{"dropping-particle":"","family":"Kouemou","given":"Nadege","non-dropping-particle":"","parse-names":false,"suffix":""},{"dropping-particle":"","family":"Bum","given":"Elisabeth Ngo","non-dropping-particle":"","parse-names":false,"suffix":""}],"container-title":"Frontiers in Pharmacology","id":"ITEM-1","issue":"JUN","issued":{"date-parts":[["2017"]]},"page":"1-14","title":"Antiepileptogenic and neuroprotective effects of Pergularia daemia on pilocarpine model of epilepsy","type":"article-journal","volume":"8"},"uris":["http://www.mendeley.com/documents/?uuid=c4c87c50-a69f-4088-bd1d-9d4da28d4076"]}],"mendeley":{"formattedCitation":"(Kandeda et al., 2017)","plainTextFormattedCitation":"(Kandeda et al., 2017)","previouslyFormattedCitation":"(Kandeda et al., 2017)"},"properties":{"noteIndex":0},"schema":"https://github.com/citation-style-language/schema/raw/master/csl-citation.json"}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w:t>
      </w:r>
      <w:proofErr w:type="spellStart"/>
      <w:r w:rsidRPr="004845DA">
        <w:rPr>
          <w:rFonts w:ascii="Arial" w:hAnsi="Arial" w:cs="Arial"/>
        </w:rPr>
        <w:t>Kandeda</w:t>
      </w:r>
      <w:proofErr w:type="spellEnd"/>
      <w:r w:rsidRPr="004845DA">
        <w:rPr>
          <w:rFonts w:ascii="Arial" w:hAnsi="Arial" w:cs="Arial"/>
        </w:rPr>
        <w:t xml:space="preserve"> et </w:t>
      </w:r>
      <w:r w:rsidR="00CC55DB" w:rsidRPr="005E5741">
        <w:rPr>
          <w:rFonts w:ascii="Arial" w:hAnsi="Arial" w:cs="Arial"/>
        </w:rPr>
        <w:t>al</w:t>
      </w:r>
      <w:r w:rsidRPr="005E5741">
        <w:rPr>
          <w:rFonts w:ascii="Arial" w:hAnsi="Arial" w:cs="Arial"/>
        </w:rPr>
        <w:t>.</w:t>
      </w:r>
      <w:r w:rsidRPr="004845DA">
        <w:rPr>
          <w:rFonts w:ascii="Arial" w:hAnsi="Arial" w:cs="Arial"/>
        </w:rPr>
        <w:t>, 2017)</w:t>
      </w:r>
      <w:r w:rsidRPr="004845DA">
        <w:rPr>
          <w:rFonts w:ascii="Arial" w:hAnsi="Arial" w:cs="Arial"/>
        </w:rPr>
        <w:fldChar w:fldCharType="end"/>
      </w:r>
      <w:r w:rsidRPr="004845DA">
        <w:rPr>
          <w:rFonts w:ascii="Arial" w:hAnsi="Arial" w:cs="Arial"/>
        </w:rPr>
        <w:t xml:space="preserve">.  Aqueous extract of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F37D0E">
        <w:rPr>
          <w:rFonts w:ascii="Arial" w:hAnsi="Arial" w:cs="Arial"/>
          <w:i/>
        </w:rPr>
        <w:t xml:space="preserve"> </w:t>
      </w:r>
      <w:r w:rsidRPr="004845DA">
        <w:rPr>
          <w:rFonts w:ascii="Arial" w:hAnsi="Arial" w:cs="Arial"/>
        </w:rPr>
        <w:t xml:space="preserve">significantly decreased the activity of </w:t>
      </w:r>
      <w:proofErr w:type="spellStart"/>
      <w:r w:rsidRPr="004845DA">
        <w:rPr>
          <w:rFonts w:ascii="Arial" w:hAnsi="Arial" w:cs="Arial"/>
        </w:rPr>
        <w:t>AchE</w:t>
      </w:r>
      <w:proofErr w:type="spellEnd"/>
      <w:r w:rsidRPr="004845DA">
        <w:rPr>
          <w:rFonts w:ascii="Arial" w:hAnsi="Arial" w:cs="Arial"/>
        </w:rPr>
        <w:t>, a marker of neuron</w:t>
      </w:r>
      <w:r w:rsidR="00CC55DB">
        <w:rPr>
          <w:rFonts w:ascii="Arial" w:hAnsi="Arial" w:cs="Arial"/>
        </w:rPr>
        <w:t>al</w:t>
      </w:r>
      <w:r w:rsidRPr="004845DA">
        <w:rPr>
          <w:rFonts w:ascii="Arial" w:hAnsi="Arial" w:cs="Arial"/>
        </w:rPr>
        <w:t xml:space="preserve"> loss </w:t>
      </w:r>
      <w:r w:rsidRPr="004845DA">
        <w:rPr>
          <w:rFonts w:ascii="Arial" w:hAnsi="Arial" w:cs="Arial"/>
          <w:lang w:val="fr-FR"/>
        </w:rPr>
        <w:fldChar w:fldCharType="begin"/>
      </w:r>
      <w:r w:rsidRPr="004845DA">
        <w:rPr>
          <w:rFonts w:ascii="Arial" w:hAnsi="Arial" w:cs="Arial"/>
        </w:rPr>
        <w:instrText>ADDIN CSL_CITATION {"citationItems":[{"id":"ITEM-1","itemData":{"DOI":"10.1016/S0165-3806(02)00367-X","ISSN":"01653806","abstract":"Acetylcholinesterase (AChE, EC3.1.1.7) functions in nerve impulse transmission, and possibly as a cell adhesion factor during neurite outgrowth. These functions predicted that a mouse with zero AChE activity would be unable to live. It was a surprise to find that AChE -/- mice were born alive and survived an average of 14 days. The emaciated appearance of AChE -/- mice suggested an inability to obtain sufficient nutrition and experiments were undertaken to increase caloric intake. Pregnant and lactating dams (+/-) were fed 11% high fat chow supplemented with liquid Ensure®. AChE -/- pups were weaned early, on day 15, and fed liquid Ensure. Although nullizygous animals showed slow but steady weight gain with survival over 1 year (average 100 days), they remained small at all ages compared to littermates. They demonstrated delays in temperature regulation (day 22 vs. 15), eye opening (day 13 vs. 12), righting reflex (day 18 vs. 12), descent of testes (week 7-8 vs. 4), and estrous (week 15-16 vs. 6-7). Significant physical findings in adult AChE -/- mice included body tremors, abnormal gait and posture, absent grip strength, inability to eat solid food, pinpoint pupils, decreased pain response, vocalization, and early death caused by seizures or gastrointestinal tract ileus. Behavioral deficits included urination and defecation in the nest, lack of aggression, reduced pain perception, and sexual dysfunction. These findings support the classical role for AChE in nerve impulse</w:instrText>
      </w:r>
      <w:r w:rsidRPr="004845DA">
        <w:rPr>
          <w:rFonts w:ascii="Arial" w:hAnsi="Arial" w:cs="Arial"/>
          <w:lang w:val="fr-FR"/>
        </w:rPr>
        <w:instrText xml:space="preserve"> conduction and further suggest that AChE is essential for timely physical development and higher brain function. © 2002 Elsevier Science B.V. All rights reserved.","author":[{"dropping-particle":"","family":"Duysen","given":"Ellen G.","non-dropping-particle":"","parse-names":false,"suffix":""},{"dropping-particle":"","family":"Stribley","given":"Judith A.","non-dropping-particle":"","parse-names":false,"suffix":""},{"dropping-particle":"","family":"Fry","given":"Debra L.","non-dropping-particle":"","parse-names":false,"suffix":""},{"dropping-particle":"","family":"Hinrichs","given":"Steven H.","non-dropping-particle":"","parse-names":false,"suffix":""},{"dropping-particle":"","family":"Lockridge","given":"Oksana","non-dropping-particle":"","parse-names":false,"suffix":""}],"container-title":"Developmental Brain Research","id":"ITEM-1","issue":"1","issued":{"date-parts":[["2002"]]},"title":"Rescue of the acetylcholinesterase knockout mouse by feeding a liquid diet; phenotype of the adult acetylcholinesterase deficient mouse","type":"article-journal","volume":"137"},"uris":["http://www.mendeley.com/documents/?uuid=73bee7e1-b9ff-348c-9c3f-8136afbced32"]}],"mendeley":{"formattedCitation":"(Duysen et al., 2002)","manualFormatting":"(Duysen et al., 20</w:instrText>
      </w:r>
      <w:r w:rsidRPr="004845DA">
        <w:rPr>
          <w:rFonts w:ascii="Arial" w:hAnsi="Arial" w:cs="Arial"/>
          <w:lang w:val="fr-CM"/>
        </w:rPr>
        <w:instrText>02 ;","plainTextFormattedCitation":"(Duysen et al., 2002)","previouslyFormattedCitation":"(Duysen et al., 2002)"},"properties":{"noteIndex":0},"schema":"https://github.com/citation-style-language/schema/raw/master/csl-citation.json"}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(Duysen et </w:t>
      </w:r>
      <w:r w:rsidR="00CC55DB" w:rsidRPr="005E5741">
        <w:rPr>
          <w:rFonts w:ascii="Arial" w:hAnsi="Arial" w:cs="Arial"/>
          <w:lang w:val="fr-FR"/>
        </w:rPr>
        <w:t>al</w:t>
      </w:r>
      <w:r w:rsidRPr="005E5741">
        <w:rPr>
          <w:rFonts w:ascii="Arial" w:hAnsi="Arial" w:cs="Arial"/>
          <w:lang w:val="fr-FR"/>
        </w:rPr>
        <w:t>.,</w:t>
      </w:r>
      <w:r w:rsidRPr="004845DA">
        <w:rPr>
          <w:rFonts w:ascii="Arial" w:hAnsi="Arial" w:cs="Arial"/>
          <w:lang w:val="fr-FR"/>
        </w:rPr>
        <w:t xml:space="preserve"> 2002 ;</w:t>
      </w:r>
      <w:r w:rsidRPr="004845DA">
        <w:rPr>
          <w:rFonts w:ascii="Arial" w:hAnsi="Arial" w:cs="Arial"/>
        </w:rPr>
        <w:fldChar w:fldCharType="end"/>
      </w:r>
      <w:r w:rsidRPr="004845DA">
        <w:rPr>
          <w:rFonts w:ascii="Arial" w:hAnsi="Arial" w:cs="Arial"/>
          <w:lang w:val="fr-FR"/>
        </w:rPr>
        <w:t xml:space="preserve"> </w:t>
      </w:r>
      <w:r w:rsidRPr="004845DA">
        <w:rPr>
          <w:rFonts w:ascii="Arial" w:hAnsi="Arial" w:cs="Arial"/>
          <w:lang w:val="fr-FR"/>
        </w:rPr>
        <w:fldChar w:fldCharType="begin"/>
      </w:r>
      <w:r w:rsidRPr="004845DA">
        <w:rPr>
          <w:rFonts w:ascii="Arial" w:hAnsi="Arial" w:cs="Arial"/>
          <w:lang w:val="fr-FR"/>
        </w:rPr>
        <w:instrText>ADDIN CSL_CITATION {"citationItems":[{"id":"ITEM-1","itemData":{"DOI":"10.1111/j.1742-4658.2004.04537.x","ISSN":"1742464X","abstract":"The role of oxidative stress in pilocarpine-induced status epilepticus was investigated by measuring lipid peroxidation level, nitrite content, GSH concentration, and superoxide dismutase and catalase activities in the hippocampus of Wistar rats. The control group was subcutaneously injected with 0.9% saline. The experimental group received pilocarpine (400 mg-kg -1, subcutaneous). Both groups were killed 24 h after treatment. After the induction of status epilepticus, there were significant increases (77% and 51%, respectively) in lipid peroxidation and nitrite concentration, but a 55% decrease in GSH content. Catalase activity was augmented 88%, but superoxide dismutase activity remained unaltered. These results show evidence of neuronal damage in the hippocampus due to a decrease in GSH concentration and an increase in lipid peroxidation and nitrite content. GSH and catalase activity are involved in mechanisms responsible for eliminating oxygen free radicals during the establishment of status epilepticus in the hippocampus. In contrast, no correlations between superoxide dismutase and catalase activities were observed. Our results suggest that GSH and catalase activity play an antioxidant role in the hippocampus during status epilepticus. © 2005 FEBS.","author":[{"dropping-particle":"","family":"Freitas","given":"Rivelilson M.","non-dropping-particle":"","parse-names":false,"suffix":""},{"dropping-particle":"","family":"Vasconcelos","given":"Silvânia M.M.","non-dropping-particle":"","parse-names":false,"suffix":""},{"dropping-particle":"","family":"Souza","given":"Francisca C.F.","non-dropping-particle":"","parse-names":false,"suffix":""},{"dropping-particle":"","family":"Viana","given":"Glauce S.B.","non-dropping-particle":"","parse-names":false,"suffix":""},{"dropping-particle":"","family":"Fonteles","given":"Marta M.F.","non-dropping-particle":"","parse-names":false,"suffix":""}],"container-title":"FEBS Journal","id":"ITEM-1","issue":"6","issued":{"date-parts":[["2005"]]},"title":"Oxidative stress in the hippocampus after pilocarpine-induced status epilepticus in Wistar rats","type":"article-journal","volume":"272"},"uris":["http://www.mendeley.com/documents/?uuid=3113eb89-0e43-341d-8ae7-c392d253d603"]}],"mendeley":{"formattedCitation":"(Freitas et al., 2005)","manualFormatting":"Freitas et al., 2005)","plainTextFormattedCitation":"(Freitas et al., 2005)","previouslyFormattedCitation":"(Freitas et al., 2005)"},"properties":{"noteIndex":0},"schema":"https://github.com/citation-style-language/schema/raw/master/csl-citation.json"}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Freitas et </w:t>
      </w:r>
      <w:r w:rsidR="00CC55DB" w:rsidRPr="005E5741">
        <w:rPr>
          <w:rFonts w:ascii="Arial" w:hAnsi="Arial" w:cs="Arial"/>
          <w:lang w:val="fr-FR"/>
        </w:rPr>
        <w:t>al</w:t>
      </w:r>
      <w:r w:rsidRPr="005E5741">
        <w:rPr>
          <w:rFonts w:ascii="Arial" w:hAnsi="Arial" w:cs="Arial"/>
          <w:lang w:val="fr-FR"/>
        </w:rPr>
        <w:t>.</w:t>
      </w:r>
      <w:r w:rsidRPr="004845DA">
        <w:rPr>
          <w:rFonts w:ascii="Arial" w:hAnsi="Arial" w:cs="Arial"/>
          <w:lang w:val="fr-FR"/>
        </w:rPr>
        <w:t>, 2005)</w:t>
      </w:r>
      <w:r w:rsidRPr="004845DA">
        <w:rPr>
          <w:rFonts w:ascii="Arial" w:hAnsi="Arial" w:cs="Arial"/>
        </w:rPr>
        <w:fldChar w:fldCharType="end"/>
      </w:r>
      <w:r w:rsidRPr="004845DA">
        <w:rPr>
          <w:rFonts w:ascii="Arial" w:hAnsi="Arial" w:cs="Arial"/>
          <w:lang w:val="fr-FR"/>
        </w:rPr>
        <w:t xml:space="preserve">. </w:t>
      </w:r>
      <w:proofErr w:type="spellStart"/>
      <w:r w:rsidRPr="00A27DF1">
        <w:rPr>
          <w:rFonts w:ascii="Arial" w:hAnsi="Arial" w:cs="Arial"/>
          <w:lang w:val="fr-FR"/>
        </w:rPr>
        <w:t>Reduced</w:t>
      </w:r>
      <w:proofErr w:type="spellEnd"/>
      <w:r w:rsidRPr="00A27DF1">
        <w:rPr>
          <w:rFonts w:ascii="Arial" w:hAnsi="Arial" w:cs="Arial"/>
          <w:lang w:val="fr-FR"/>
        </w:rPr>
        <w:t xml:space="preserve"> </w:t>
      </w:r>
      <w:proofErr w:type="spellStart"/>
      <w:r w:rsidRPr="00A27DF1">
        <w:rPr>
          <w:rFonts w:ascii="Arial" w:hAnsi="Arial" w:cs="Arial"/>
          <w:lang w:val="fr-FR"/>
        </w:rPr>
        <w:t>AchE</w:t>
      </w:r>
      <w:proofErr w:type="spellEnd"/>
      <w:r w:rsidRPr="00A27DF1">
        <w:rPr>
          <w:rFonts w:ascii="Arial" w:hAnsi="Arial" w:cs="Arial"/>
          <w:lang w:val="fr-FR"/>
        </w:rPr>
        <w:t xml:space="preserve"> </w:t>
      </w:r>
      <w:proofErr w:type="spellStart"/>
      <w:r w:rsidRPr="00A27DF1">
        <w:rPr>
          <w:rFonts w:ascii="Arial" w:hAnsi="Arial" w:cs="Arial"/>
          <w:lang w:val="fr-FR"/>
        </w:rPr>
        <w:t>activity</w:t>
      </w:r>
      <w:proofErr w:type="spellEnd"/>
      <w:r w:rsidRPr="00A27DF1">
        <w:rPr>
          <w:rFonts w:ascii="Arial" w:hAnsi="Arial" w:cs="Arial"/>
          <w:lang w:val="fr-FR"/>
        </w:rPr>
        <w:t xml:space="preserve"> leads to </w:t>
      </w:r>
      <w:proofErr w:type="spellStart"/>
      <w:r w:rsidRPr="00A27DF1">
        <w:rPr>
          <w:rFonts w:ascii="Arial" w:hAnsi="Arial" w:cs="Arial"/>
          <w:lang w:val="fr-FR"/>
        </w:rPr>
        <w:t>increased</w:t>
      </w:r>
      <w:proofErr w:type="spellEnd"/>
      <w:r w:rsidRPr="00A27DF1">
        <w:rPr>
          <w:rFonts w:ascii="Arial" w:hAnsi="Arial" w:cs="Arial"/>
          <w:lang w:val="fr-FR"/>
        </w:rPr>
        <w:t xml:space="preserve"> </w:t>
      </w:r>
      <w:proofErr w:type="spellStart"/>
      <w:r w:rsidRPr="00A27DF1">
        <w:rPr>
          <w:rFonts w:ascii="Arial" w:hAnsi="Arial" w:cs="Arial"/>
          <w:lang w:val="fr-FR"/>
        </w:rPr>
        <w:t>acetylcholine</w:t>
      </w:r>
      <w:proofErr w:type="spellEnd"/>
      <w:r w:rsidRPr="00A27DF1">
        <w:rPr>
          <w:rFonts w:ascii="Arial" w:hAnsi="Arial" w:cs="Arial"/>
          <w:lang w:val="fr-FR"/>
        </w:rPr>
        <w:t xml:space="preserve"> </w:t>
      </w:r>
      <w:proofErr w:type="spellStart"/>
      <w:r w:rsidRPr="00A27DF1">
        <w:rPr>
          <w:rFonts w:ascii="Arial" w:hAnsi="Arial" w:cs="Arial"/>
          <w:lang w:val="fr-FR"/>
        </w:rPr>
        <w:t>levels</w:t>
      </w:r>
      <w:proofErr w:type="spellEnd"/>
      <w:r w:rsidRPr="00A27DF1">
        <w:rPr>
          <w:rFonts w:ascii="Arial" w:hAnsi="Arial" w:cs="Arial"/>
          <w:lang w:val="fr-FR"/>
        </w:rPr>
        <w:t xml:space="preserve"> and </w:t>
      </w:r>
      <w:proofErr w:type="spellStart"/>
      <w:r w:rsidRPr="00A27DF1">
        <w:rPr>
          <w:rFonts w:ascii="Arial" w:hAnsi="Arial" w:cs="Arial"/>
          <w:lang w:val="fr-FR"/>
        </w:rPr>
        <w:t>improved</w:t>
      </w:r>
      <w:proofErr w:type="spellEnd"/>
      <w:r w:rsidRPr="00A27DF1">
        <w:rPr>
          <w:rFonts w:ascii="Arial" w:hAnsi="Arial" w:cs="Arial"/>
          <w:lang w:val="fr-FR"/>
        </w:rPr>
        <w:t xml:space="preserve"> </w:t>
      </w:r>
      <w:proofErr w:type="spellStart"/>
      <w:r w:rsidRPr="00A27DF1">
        <w:rPr>
          <w:rFonts w:ascii="Arial" w:hAnsi="Arial" w:cs="Arial"/>
          <w:lang w:val="fr-FR"/>
        </w:rPr>
        <w:t>cholinergic</w:t>
      </w:r>
      <w:proofErr w:type="spellEnd"/>
      <w:r w:rsidRPr="00A27DF1">
        <w:rPr>
          <w:rFonts w:ascii="Arial" w:hAnsi="Arial" w:cs="Arial"/>
          <w:lang w:val="fr-FR"/>
        </w:rPr>
        <w:t xml:space="preserve"> transmission (</w:t>
      </w:r>
      <w:proofErr w:type="spellStart"/>
      <w:r w:rsidRPr="00A27DF1">
        <w:rPr>
          <w:rFonts w:ascii="Arial" w:hAnsi="Arial" w:cs="Arial"/>
          <w:lang w:val="fr-FR"/>
        </w:rPr>
        <w:t>Cibelle</w:t>
      </w:r>
      <w:proofErr w:type="spellEnd"/>
      <w:r w:rsidRPr="00A27DF1">
        <w:rPr>
          <w:rFonts w:ascii="Arial" w:hAnsi="Arial" w:cs="Arial"/>
          <w:lang w:val="fr-FR"/>
        </w:rPr>
        <w:t xml:space="preserve"> de Melo Bastos et </w:t>
      </w:r>
      <w:r w:rsidR="00CC55DB" w:rsidRPr="00A27DF1">
        <w:rPr>
          <w:rFonts w:ascii="Arial" w:hAnsi="Arial" w:cs="Arial"/>
          <w:lang w:val="fr-FR"/>
        </w:rPr>
        <w:t>al</w:t>
      </w:r>
      <w:r w:rsidRPr="00A27DF1">
        <w:rPr>
          <w:rFonts w:ascii="Arial" w:hAnsi="Arial" w:cs="Arial"/>
          <w:lang w:val="fr-FR"/>
        </w:rPr>
        <w:t xml:space="preserve">., 2024). </w:t>
      </w:r>
      <w:r w:rsidRPr="004845DA">
        <w:rPr>
          <w:rFonts w:ascii="Arial" w:hAnsi="Arial" w:cs="Arial"/>
        </w:rPr>
        <w:t xml:space="preserve">These results suggest that the extract has </w:t>
      </w:r>
      <w:r w:rsidR="001C209A" w:rsidRPr="009059DF">
        <w:rPr>
          <w:rFonts w:ascii="Arial" w:eastAsia="Calibri" w:hAnsi="Arial" w:cs="Arial"/>
          <w:bCs/>
          <w:szCs w:val="22"/>
          <w:lang w:val="en-GB"/>
        </w:rPr>
        <w:t xml:space="preserve">anti-amnesic </w:t>
      </w:r>
      <w:r w:rsidRPr="004845DA">
        <w:rPr>
          <w:rFonts w:ascii="Arial" w:hAnsi="Arial" w:cs="Arial"/>
        </w:rPr>
        <w:t xml:space="preserve">properties and acts on </w:t>
      </w:r>
      <w:proofErr w:type="spellStart"/>
      <w:r w:rsidRPr="004845DA">
        <w:rPr>
          <w:rFonts w:ascii="Arial" w:hAnsi="Arial" w:cs="Arial"/>
        </w:rPr>
        <w:t>epileptogenesis</w:t>
      </w:r>
      <w:proofErr w:type="spellEnd"/>
      <w:r w:rsidRPr="004845DA">
        <w:rPr>
          <w:rFonts w:ascii="Arial" w:hAnsi="Arial" w:cs="Arial"/>
        </w:rPr>
        <w:t xml:space="preserve">. </w:t>
      </w:r>
    </w:p>
    <w:p w14:paraId="464AB16A" w14:textId="77777777" w:rsidR="004845DA" w:rsidRPr="004845DA" w:rsidRDefault="004845DA" w:rsidP="004845DA">
      <w:pPr>
        <w:pStyle w:val="Body"/>
        <w:spacing w:after="0"/>
        <w:rPr>
          <w:rFonts w:ascii="Arial" w:hAnsi="Arial" w:cs="Arial"/>
        </w:rPr>
      </w:pPr>
    </w:p>
    <w:p w14:paraId="03B42A43" w14:textId="7FFFA0FC" w:rsidR="004845DA" w:rsidRPr="004845DA" w:rsidRDefault="00D23863" w:rsidP="004845DA">
      <w:pPr>
        <w:pStyle w:val="Body"/>
        <w:spacing w:after="0"/>
        <w:rPr>
          <w:rFonts w:ascii="Arial" w:hAnsi="Arial" w:cs="Arial"/>
        </w:rPr>
      </w:pPr>
      <w:r>
        <w:rPr>
          <w:rFonts w:ascii="Arial" w:hAnsi="Arial" w:cs="Arial"/>
          <w:b/>
          <w:bCs/>
        </w:rPr>
        <w:t xml:space="preserve">5. </w:t>
      </w:r>
      <w:r w:rsidR="00CB0E94" w:rsidRPr="004845DA">
        <w:rPr>
          <w:rFonts w:ascii="Arial" w:hAnsi="Arial" w:cs="Arial"/>
          <w:b/>
          <w:bCs/>
        </w:rPr>
        <w:t xml:space="preserve">CONCLUSION </w:t>
      </w:r>
    </w:p>
    <w:p w14:paraId="31C60F54" w14:textId="4F649983" w:rsidR="004845DA" w:rsidRDefault="004845DA" w:rsidP="004845DA">
      <w:pPr>
        <w:pStyle w:val="Body"/>
        <w:spacing w:after="0"/>
        <w:rPr>
          <w:rFonts w:ascii="Arial" w:hAnsi="Arial" w:cs="Arial"/>
          <w:iCs/>
        </w:rPr>
      </w:pPr>
      <w:r w:rsidRPr="004845DA">
        <w:rPr>
          <w:rFonts w:ascii="Arial" w:hAnsi="Arial" w:cs="Arial"/>
          <w:iCs/>
        </w:rPr>
        <w:t>In summary, we ev</w:t>
      </w:r>
      <w:r w:rsidR="00CC55DB">
        <w:rPr>
          <w:rFonts w:ascii="Arial" w:hAnsi="Arial" w:cs="Arial"/>
          <w:iCs/>
        </w:rPr>
        <w:t>al</w:t>
      </w:r>
      <w:r w:rsidRPr="004845DA">
        <w:rPr>
          <w:rFonts w:ascii="Arial" w:hAnsi="Arial" w:cs="Arial"/>
          <w:iCs/>
        </w:rPr>
        <w:t xml:space="preserve">uated the anticonvulsant and </w:t>
      </w:r>
      <w:r w:rsidR="001C209A" w:rsidRPr="009059DF">
        <w:rPr>
          <w:rFonts w:ascii="Arial" w:eastAsia="Calibri" w:hAnsi="Arial" w:cs="Arial"/>
          <w:bCs/>
          <w:szCs w:val="22"/>
          <w:lang w:val="en-GB"/>
        </w:rPr>
        <w:t xml:space="preserve">anti-amnesic </w:t>
      </w:r>
      <w:r w:rsidRPr="004845DA">
        <w:rPr>
          <w:rFonts w:ascii="Arial" w:hAnsi="Arial" w:cs="Arial"/>
          <w:iCs/>
        </w:rPr>
        <w:t xml:space="preserve">effects of the aqueous extract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F37D0E">
        <w:rPr>
          <w:rFonts w:ascii="Arial" w:hAnsi="Arial" w:cs="Arial"/>
          <w:i/>
          <w:iCs/>
        </w:rPr>
        <w:t xml:space="preserve"> </w:t>
      </w:r>
      <w:r w:rsidRPr="004845DA">
        <w:rPr>
          <w:rFonts w:ascii="Arial" w:hAnsi="Arial" w:cs="Arial"/>
          <w:iCs/>
        </w:rPr>
        <w:t>on a pilocarpine-induced tempor</w:t>
      </w:r>
      <w:r w:rsidR="00CC55DB">
        <w:rPr>
          <w:rFonts w:ascii="Arial" w:hAnsi="Arial" w:cs="Arial"/>
          <w:iCs/>
        </w:rPr>
        <w:t>al</w:t>
      </w:r>
      <w:r w:rsidRPr="004845DA">
        <w:rPr>
          <w:rFonts w:ascii="Arial" w:hAnsi="Arial" w:cs="Arial"/>
          <w:iCs/>
        </w:rPr>
        <w:t xml:space="preserve"> lobe epilepsy model in mice. Or</w:t>
      </w:r>
      <w:r w:rsidR="00CC55DB">
        <w:rPr>
          <w:rFonts w:ascii="Arial" w:hAnsi="Arial" w:cs="Arial"/>
          <w:iCs/>
        </w:rPr>
        <w:t>al</w:t>
      </w:r>
      <w:r w:rsidRPr="004845DA">
        <w:rPr>
          <w:rFonts w:ascii="Arial" w:hAnsi="Arial" w:cs="Arial"/>
          <w:iCs/>
        </w:rPr>
        <w:t xml:space="preserve"> pretreatment with the extract resulted in a reduction in seizure severity and an improvement in cognitive function in mice. Over</w:t>
      </w:r>
      <w:r w:rsidR="00CC55DB">
        <w:rPr>
          <w:rFonts w:ascii="Arial" w:hAnsi="Arial" w:cs="Arial"/>
          <w:iCs/>
        </w:rPr>
        <w:t>al</w:t>
      </w:r>
      <w:r w:rsidRPr="004845DA">
        <w:rPr>
          <w:rFonts w:ascii="Arial" w:hAnsi="Arial" w:cs="Arial"/>
          <w:iCs/>
        </w:rPr>
        <w:t xml:space="preserve">l and taking into account the activity of </w:t>
      </w:r>
      <w:proofErr w:type="spellStart"/>
      <w:r w:rsidRPr="004845DA">
        <w:rPr>
          <w:rFonts w:ascii="Arial" w:hAnsi="Arial" w:cs="Arial"/>
          <w:iCs/>
        </w:rPr>
        <w:t>AchE</w:t>
      </w:r>
      <w:proofErr w:type="spellEnd"/>
      <w:r w:rsidRPr="004845DA">
        <w:rPr>
          <w:rFonts w:ascii="Arial" w:hAnsi="Arial" w:cs="Arial"/>
          <w:iCs/>
        </w:rPr>
        <w:t xml:space="preserve">, these results indicate that the aqueous extract of </w:t>
      </w:r>
      <w:r w:rsidR="000D3B21">
        <w:rPr>
          <w:rFonts w:ascii="Arial" w:hAnsi="Arial" w:cs="Arial"/>
          <w:i/>
        </w:rPr>
        <w:t>Crassoceph</w:t>
      </w:r>
      <w:r w:rsidR="00CC55DB">
        <w:rPr>
          <w:rFonts w:ascii="Arial" w:hAnsi="Arial" w:cs="Arial"/>
          <w:i/>
        </w:rPr>
        <w:t>al</w:t>
      </w:r>
      <w:r w:rsidR="000D3B21">
        <w:rPr>
          <w:rFonts w:ascii="Arial" w:hAnsi="Arial" w:cs="Arial"/>
          <w:i/>
        </w:rPr>
        <w:t>um bauchiense</w:t>
      </w:r>
      <w:r w:rsidR="00F37D0E">
        <w:rPr>
          <w:rFonts w:ascii="Arial" w:hAnsi="Arial" w:cs="Arial"/>
          <w:i/>
        </w:rPr>
        <w:t xml:space="preserve"> </w:t>
      </w:r>
      <w:r w:rsidRPr="004845DA">
        <w:rPr>
          <w:rFonts w:ascii="Arial" w:hAnsi="Arial" w:cs="Arial"/>
          <w:iCs/>
        </w:rPr>
        <w:t xml:space="preserve">has anticonvulsant and </w:t>
      </w:r>
      <w:r w:rsidR="00E6709A" w:rsidRPr="009059DF">
        <w:rPr>
          <w:rFonts w:ascii="Arial" w:eastAsia="Calibri" w:hAnsi="Arial" w:cs="Arial"/>
          <w:bCs/>
          <w:szCs w:val="22"/>
          <w:lang w:val="en-GB"/>
        </w:rPr>
        <w:t xml:space="preserve">anti-amnesic </w:t>
      </w:r>
      <w:r w:rsidRPr="004845DA">
        <w:rPr>
          <w:rFonts w:ascii="Arial" w:hAnsi="Arial" w:cs="Arial"/>
          <w:iCs/>
        </w:rPr>
        <w:t>effects. Considering the therapeutic potenti</w:t>
      </w:r>
      <w:r w:rsidR="00CC55DB">
        <w:rPr>
          <w:rFonts w:ascii="Arial" w:hAnsi="Arial" w:cs="Arial"/>
          <w:iCs/>
        </w:rPr>
        <w:t>al</w:t>
      </w:r>
      <w:r w:rsidRPr="004845DA">
        <w:rPr>
          <w:rFonts w:ascii="Arial" w:hAnsi="Arial" w:cs="Arial"/>
          <w:iCs/>
        </w:rPr>
        <w:t xml:space="preserve"> of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F37D0E">
        <w:rPr>
          <w:rFonts w:ascii="Arial" w:hAnsi="Arial" w:cs="Arial"/>
          <w:i/>
          <w:iCs/>
        </w:rPr>
        <w:t xml:space="preserve"> </w:t>
      </w:r>
      <w:r w:rsidRPr="004845DA">
        <w:rPr>
          <w:rFonts w:ascii="Arial" w:hAnsi="Arial" w:cs="Arial"/>
          <w:iCs/>
        </w:rPr>
        <w:t>extract through this study, future experiments to ev</w:t>
      </w:r>
      <w:r w:rsidR="00CC55DB">
        <w:rPr>
          <w:rFonts w:ascii="Arial" w:hAnsi="Arial" w:cs="Arial"/>
          <w:iCs/>
        </w:rPr>
        <w:t>al</w:t>
      </w:r>
      <w:r w:rsidRPr="004845DA">
        <w:rPr>
          <w:rFonts w:ascii="Arial" w:hAnsi="Arial" w:cs="Arial"/>
          <w:iCs/>
        </w:rPr>
        <w:t>uate the antiepileptogenic effects will be developed.  The benefici</w:t>
      </w:r>
      <w:r w:rsidR="00CC55DB">
        <w:rPr>
          <w:rFonts w:ascii="Arial" w:hAnsi="Arial" w:cs="Arial"/>
          <w:iCs/>
        </w:rPr>
        <w:t>al</w:t>
      </w:r>
      <w:r w:rsidRPr="004845DA">
        <w:rPr>
          <w:rFonts w:ascii="Arial" w:hAnsi="Arial" w:cs="Arial"/>
          <w:iCs/>
        </w:rPr>
        <w:t xml:space="preserve"> effects of this extract observed in the present study suggest that </w:t>
      </w:r>
      <w:r w:rsidR="000D3B21">
        <w:rPr>
          <w:rFonts w:ascii="Arial" w:hAnsi="Arial" w:cs="Arial"/>
          <w:i/>
          <w:iCs/>
        </w:rPr>
        <w:t>Crassoceph</w:t>
      </w:r>
      <w:r w:rsidR="00CC55DB">
        <w:rPr>
          <w:rFonts w:ascii="Arial" w:hAnsi="Arial" w:cs="Arial"/>
          <w:i/>
          <w:iCs/>
        </w:rPr>
        <w:t>al</w:t>
      </w:r>
      <w:r w:rsidR="000D3B21">
        <w:rPr>
          <w:rFonts w:ascii="Arial" w:hAnsi="Arial" w:cs="Arial"/>
          <w:i/>
          <w:iCs/>
        </w:rPr>
        <w:t>um bauchiense</w:t>
      </w:r>
      <w:r w:rsidR="00F37D0E">
        <w:rPr>
          <w:rFonts w:ascii="Arial" w:hAnsi="Arial" w:cs="Arial"/>
          <w:i/>
          <w:iCs/>
        </w:rPr>
        <w:t xml:space="preserve"> </w:t>
      </w:r>
      <w:r w:rsidRPr="004845DA">
        <w:rPr>
          <w:rFonts w:ascii="Arial" w:hAnsi="Arial" w:cs="Arial"/>
          <w:iCs/>
        </w:rPr>
        <w:t xml:space="preserve">could </w:t>
      </w:r>
      <w:r w:rsidR="00CC55DB">
        <w:rPr>
          <w:rFonts w:ascii="Arial" w:hAnsi="Arial" w:cs="Arial"/>
          <w:iCs/>
        </w:rPr>
        <w:t>al</w:t>
      </w:r>
      <w:r w:rsidRPr="004845DA">
        <w:rPr>
          <w:rFonts w:ascii="Arial" w:hAnsi="Arial" w:cs="Arial"/>
          <w:iCs/>
        </w:rPr>
        <w:t>so be used to prevent epilepsy, especi</w:t>
      </w:r>
      <w:r w:rsidR="00CC55DB">
        <w:rPr>
          <w:rFonts w:ascii="Arial" w:hAnsi="Arial" w:cs="Arial"/>
          <w:iCs/>
        </w:rPr>
        <w:t>al</w:t>
      </w:r>
      <w:r w:rsidRPr="004845DA">
        <w:rPr>
          <w:rFonts w:ascii="Arial" w:hAnsi="Arial" w:cs="Arial"/>
          <w:iCs/>
        </w:rPr>
        <w:t>ly tempor</w:t>
      </w:r>
      <w:r w:rsidR="00CC55DB">
        <w:rPr>
          <w:rFonts w:ascii="Arial" w:hAnsi="Arial" w:cs="Arial"/>
          <w:iCs/>
        </w:rPr>
        <w:t>al</w:t>
      </w:r>
      <w:r w:rsidRPr="004845DA">
        <w:rPr>
          <w:rFonts w:ascii="Arial" w:hAnsi="Arial" w:cs="Arial"/>
          <w:iCs/>
        </w:rPr>
        <w:t xml:space="preserve"> lobe epilepsy and cognitive disorders.</w:t>
      </w:r>
    </w:p>
    <w:p w14:paraId="271EA5A1" w14:textId="1915DB6C" w:rsidR="00CB0E94" w:rsidRDefault="00CB0E94" w:rsidP="00CB0E94">
      <w:pPr>
        <w:pStyle w:val="Body"/>
        <w:spacing w:after="0"/>
        <w:rPr>
          <w:rFonts w:ascii="Arial" w:hAnsi="Arial" w:cs="Arial"/>
          <w:iCs/>
        </w:rPr>
      </w:pPr>
    </w:p>
    <w:p w14:paraId="1F29C68D" w14:textId="77777777" w:rsidR="00CB0E94" w:rsidRPr="00CB0E94" w:rsidRDefault="00CB0E94" w:rsidP="00CB0E94">
      <w:pPr>
        <w:pStyle w:val="Body"/>
        <w:spacing w:after="0"/>
        <w:rPr>
          <w:rFonts w:ascii="Arial" w:hAnsi="Arial" w:cs="Arial"/>
          <w:iCs/>
        </w:rPr>
      </w:pPr>
    </w:p>
    <w:p w14:paraId="533E4C8D" w14:textId="02F953D5" w:rsidR="00CB0E94" w:rsidRPr="00CB0E94" w:rsidRDefault="00CB0E94" w:rsidP="00CB0E94">
      <w:pPr>
        <w:pStyle w:val="Body"/>
        <w:spacing w:after="0"/>
        <w:rPr>
          <w:rFonts w:ascii="Arial" w:hAnsi="Arial" w:cs="Arial"/>
          <w:iCs/>
        </w:rPr>
      </w:pPr>
      <w:r w:rsidRPr="00CB0E94">
        <w:rPr>
          <w:rFonts w:ascii="Arial" w:hAnsi="Arial" w:cs="Arial"/>
          <w:b/>
          <w:bCs/>
          <w:iCs/>
        </w:rPr>
        <w:t>STATEMENT OF ETHIC</w:t>
      </w:r>
      <w:r w:rsidR="00CC55DB">
        <w:rPr>
          <w:rFonts w:ascii="Arial" w:hAnsi="Arial" w:cs="Arial"/>
          <w:b/>
          <w:bCs/>
          <w:iCs/>
        </w:rPr>
        <w:t>AL</w:t>
      </w:r>
      <w:r w:rsidRPr="00CB0E94">
        <w:rPr>
          <w:rFonts w:ascii="Arial" w:hAnsi="Arial" w:cs="Arial"/>
          <w:b/>
          <w:bCs/>
          <w:iCs/>
        </w:rPr>
        <w:t xml:space="preserve"> APPROV</w:t>
      </w:r>
      <w:r w:rsidR="00CC55DB">
        <w:rPr>
          <w:rFonts w:ascii="Arial" w:hAnsi="Arial" w:cs="Arial"/>
          <w:b/>
          <w:bCs/>
          <w:iCs/>
        </w:rPr>
        <w:t>AL</w:t>
      </w:r>
      <w:r w:rsidRPr="00CB0E94">
        <w:rPr>
          <w:rFonts w:ascii="Arial" w:hAnsi="Arial" w:cs="Arial"/>
          <w:b/>
          <w:bCs/>
          <w:iCs/>
        </w:rPr>
        <w:t xml:space="preserve"> </w:t>
      </w:r>
    </w:p>
    <w:p w14:paraId="4FA2F058" w14:textId="024C23EC" w:rsidR="00CB0E94" w:rsidRDefault="00CB0E94" w:rsidP="00CB0E94">
      <w:pPr>
        <w:pStyle w:val="Body"/>
        <w:spacing w:after="0"/>
        <w:rPr>
          <w:rFonts w:ascii="Arial" w:hAnsi="Arial" w:cs="Arial"/>
          <w:iCs/>
        </w:rPr>
      </w:pPr>
      <w:r w:rsidRPr="00CB0E94">
        <w:rPr>
          <w:rFonts w:ascii="Arial" w:hAnsi="Arial" w:cs="Arial"/>
          <w:iCs/>
        </w:rPr>
        <w:t>The protocols were performed in concordance with the Internation</w:t>
      </w:r>
      <w:r w:rsidR="00CC55DB">
        <w:rPr>
          <w:rFonts w:ascii="Arial" w:hAnsi="Arial" w:cs="Arial"/>
          <w:iCs/>
        </w:rPr>
        <w:t>al</w:t>
      </w:r>
      <w:r w:rsidRPr="00CB0E94">
        <w:rPr>
          <w:rFonts w:ascii="Arial" w:hAnsi="Arial" w:cs="Arial"/>
          <w:iCs/>
        </w:rPr>
        <w:t xml:space="preserve"> Guide for the Care and Use of Laboratory Anim</w:t>
      </w:r>
      <w:r w:rsidR="00CC55DB">
        <w:rPr>
          <w:rFonts w:ascii="Arial" w:hAnsi="Arial" w:cs="Arial"/>
          <w:iCs/>
        </w:rPr>
        <w:t>al</w:t>
      </w:r>
      <w:r w:rsidRPr="00CB0E94">
        <w:rPr>
          <w:rFonts w:ascii="Arial" w:hAnsi="Arial" w:cs="Arial"/>
          <w:iCs/>
        </w:rPr>
        <w:t xml:space="preserve"> (Nation</w:t>
      </w:r>
      <w:r w:rsidR="00CC55DB">
        <w:rPr>
          <w:rFonts w:ascii="Arial" w:hAnsi="Arial" w:cs="Arial"/>
          <w:iCs/>
        </w:rPr>
        <w:t>al</w:t>
      </w:r>
      <w:r w:rsidRPr="00CB0E94">
        <w:rPr>
          <w:rFonts w:ascii="Arial" w:hAnsi="Arial" w:cs="Arial"/>
          <w:iCs/>
        </w:rPr>
        <w:t xml:space="preserve"> Institute of He</w:t>
      </w:r>
      <w:r w:rsidR="00CC55DB">
        <w:rPr>
          <w:rFonts w:ascii="Arial" w:hAnsi="Arial" w:cs="Arial"/>
          <w:iCs/>
        </w:rPr>
        <w:t>al</w:t>
      </w:r>
      <w:r w:rsidRPr="00CB0E94">
        <w:rPr>
          <w:rFonts w:ascii="Arial" w:hAnsi="Arial" w:cs="Arial"/>
          <w:iCs/>
        </w:rPr>
        <w:t>th;</w:t>
      </w:r>
      <w:r>
        <w:rPr>
          <w:rFonts w:ascii="Arial" w:hAnsi="Arial" w:cs="Arial"/>
          <w:iCs/>
        </w:rPr>
        <w:t xml:space="preserve"> </w:t>
      </w:r>
      <w:r w:rsidRPr="00CB0E94">
        <w:rPr>
          <w:rFonts w:ascii="Arial" w:hAnsi="Arial" w:cs="Arial"/>
          <w:iCs/>
        </w:rPr>
        <w:t>publication No. 85-23, revised 1996) and the Cameroon Nation</w:t>
      </w:r>
      <w:r w:rsidR="00CC55DB">
        <w:rPr>
          <w:rFonts w:ascii="Arial" w:hAnsi="Arial" w:cs="Arial"/>
          <w:iCs/>
        </w:rPr>
        <w:t>al</w:t>
      </w:r>
      <w:r w:rsidRPr="00CB0E94">
        <w:rPr>
          <w:rFonts w:ascii="Arial" w:hAnsi="Arial" w:cs="Arial"/>
          <w:iCs/>
        </w:rPr>
        <w:t xml:space="preserve"> Ethic</w:t>
      </w:r>
      <w:r w:rsidR="00CC55DB">
        <w:rPr>
          <w:rFonts w:ascii="Arial" w:hAnsi="Arial" w:cs="Arial"/>
          <w:iCs/>
        </w:rPr>
        <w:t>al</w:t>
      </w:r>
      <w:r w:rsidRPr="00CB0E94">
        <w:rPr>
          <w:rFonts w:ascii="Arial" w:hAnsi="Arial" w:cs="Arial"/>
          <w:iCs/>
        </w:rPr>
        <w:t xml:space="preserve"> Committee, Yaoundé (No. FW-IRB00001954). </w:t>
      </w:r>
    </w:p>
    <w:p w14:paraId="1067424D" w14:textId="77777777" w:rsidR="00CB0E94" w:rsidRPr="00CB0E94" w:rsidRDefault="00CB0E94" w:rsidP="00CB0E94">
      <w:pPr>
        <w:pStyle w:val="Body"/>
        <w:spacing w:after="0"/>
        <w:rPr>
          <w:rFonts w:ascii="Arial" w:hAnsi="Arial" w:cs="Arial"/>
          <w:iCs/>
        </w:rPr>
      </w:pPr>
    </w:p>
    <w:p w14:paraId="38EB3A09" w14:textId="3EA131F0" w:rsidR="00CB0E94" w:rsidRPr="00CB0E94" w:rsidRDefault="00CB0E94" w:rsidP="00CB0E94">
      <w:pPr>
        <w:pStyle w:val="Body"/>
        <w:spacing w:after="0"/>
        <w:rPr>
          <w:rFonts w:ascii="Arial" w:hAnsi="Arial" w:cs="Arial"/>
          <w:iCs/>
        </w:rPr>
      </w:pPr>
      <w:r w:rsidRPr="00CB0E94">
        <w:rPr>
          <w:rFonts w:ascii="Arial" w:hAnsi="Arial" w:cs="Arial"/>
          <w:b/>
          <w:bCs/>
          <w:iCs/>
        </w:rPr>
        <w:t>DISCLAIMER (ARTIFICI</w:t>
      </w:r>
      <w:r w:rsidR="00CC55DB">
        <w:rPr>
          <w:rFonts w:ascii="Arial" w:hAnsi="Arial" w:cs="Arial"/>
          <w:b/>
          <w:bCs/>
          <w:iCs/>
        </w:rPr>
        <w:t>AL</w:t>
      </w:r>
      <w:r w:rsidRPr="00CB0E94">
        <w:rPr>
          <w:rFonts w:ascii="Arial" w:hAnsi="Arial" w:cs="Arial"/>
          <w:b/>
          <w:bCs/>
          <w:iCs/>
        </w:rPr>
        <w:t xml:space="preserve"> INTELLIGENCE) </w:t>
      </w:r>
    </w:p>
    <w:p w14:paraId="331E2B7C" w14:textId="09106E92" w:rsidR="00CB0E94" w:rsidRDefault="00CB0E94" w:rsidP="00CB0E94">
      <w:pPr>
        <w:pStyle w:val="Body"/>
        <w:spacing w:after="0"/>
        <w:rPr>
          <w:rFonts w:ascii="Arial" w:hAnsi="Arial" w:cs="Arial"/>
          <w:iCs/>
        </w:rPr>
      </w:pPr>
      <w:r w:rsidRPr="00CB0E94">
        <w:rPr>
          <w:rFonts w:ascii="Arial" w:hAnsi="Arial" w:cs="Arial"/>
          <w:iCs/>
        </w:rPr>
        <w:t xml:space="preserve">Author(s) hereby declare that NO generative AI technologies such as Large Language Models (ChatGPT, COPILOT, </w:t>
      </w:r>
      <w:proofErr w:type="spellStart"/>
      <w:r w:rsidRPr="00CB0E94">
        <w:rPr>
          <w:rFonts w:ascii="Arial" w:hAnsi="Arial" w:cs="Arial"/>
          <w:iCs/>
        </w:rPr>
        <w:t>etc</w:t>
      </w:r>
      <w:proofErr w:type="spellEnd"/>
      <w:r w:rsidRPr="00CB0E94">
        <w:rPr>
          <w:rFonts w:ascii="Arial" w:hAnsi="Arial" w:cs="Arial"/>
          <w:iCs/>
        </w:rPr>
        <w:t xml:space="preserve">) and text-to-image generators have been used during writing or editing of manuscripts. </w:t>
      </w:r>
    </w:p>
    <w:p w14:paraId="566E7E27" w14:textId="77777777" w:rsidR="00CB0E94" w:rsidRPr="00CB0E94" w:rsidRDefault="00CB0E94" w:rsidP="00CB0E94">
      <w:pPr>
        <w:pStyle w:val="Body"/>
        <w:spacing w:after="0"/>
        <w:rPr>
          <w:rFonts w:ascii="Arial" w:hAnsi="Arial" w:cs="Arial"/>
          <w:iCs/>
        </w:rPr>
      </w:pPr>
    </w:p>
    <w:p w14:paraId="1646CBD4" w14:textId="77777777" w:rsidR="004845DA" w:rsidRPr="004845DA" w:rsidRDefault="004845DA" w:rsidP="004845DA">
      <w:pPr>
        <w:pStyle w:val="Body"/>
        <w:spacing w:after="0"/>
        <w:rPr>
          <w:rFonts w:ascii="Arial" w:hAnsi="Arial" w:cs="Arial"/>
          <w:b/>
          <w:bCs/>
        </w:rPr>
      </w:pPr>
    </w:p>
    <w:p w14:paraId="35065457" w14:textId="4BA81424" w:rsidR="004845DA" w:rsidRPr="004845DA" w:rsidRDefault="004845DA" w:rsidP="004845DA">
      <w:pPr>
        <w:pStyle w:val="Body"/>
        <w:spacing w:after="0"/>
        <w:rPr>
          <w:rFonts w:ascii="Arial" w:hAnsi="Arial" w:cs="Arial"/>
          <w:b/>
          <w:bCs/>
        </w:rPr>
      </w:pPr>
      <w:r w:rsidRPr="004845DA">
        <w:rPr>
          <w:rFonts w:ascii="Arial" w:hAnsi="Arial" w:cs="Arial"/>
          <w:b/>
          <w:bCs/>
        </w:rPr>
        <w:t>REFERENCES</w:t>
      </w:r>
    </w:p>
    <w:p w14:paraId="439564B5" w14:textId="0B6FAF15" w:rsidR="004845DA" w:rsidRPr="00BD4998" w:rsidRDefault="004845DA" w:rsidP="00C30B7A">
      <w:pPr>
        <w:pStyle w:val="Body"/>
        <w:spacing w:after="0"/>
        <w:ind w:left="567" w:hanging="567"/>
        <w:rPr>
          <w:rFonts w:ascii="Arial" w:hAnsi="Arial" w:cs="Arial"/>
          <w:lang w:val="fr-FR"/>
        </w:rPr>
      </w:pPr>
      <w:r w:rsidRPr="00C30B7A">
        <w:rPr>
          <w:rFonts w:ascii="Arial" w:hAnsi="Arial" w:cs="Arial"/>
        </w:rPr>
        <w:t>Abel, M.S &amp; Kohli, N.</w:t>
      </w:r>
      <w:r w:rsidR="00656566" w:rsidRPr="00C30B7A">
        <w:rPr>
          <w:rFonts w:ascii="Arial" w:hAnsi="Arial" w:cs="Arial"/>
        </w:rPr>
        <w:t xml:space="preserve"> (</w:t>
      </w:r>
      <w:r w:rsidRPr="00C30B7A">
        <w:rPr>
          <w:rFonts w:ascii="Arial" w:hAnsi="Arial" w:cs="Arial"/>
        </w:rPr>
        <w:t>1999</w:t>
      </w:r>
      <w:r w:rsidR="00656566" w:rsidRPr="00C30B7A">
        <w:rPr>
          <w:rFonts w:ascii="Arial" w:hAnsi="Arial" w:cs="Arial"/>
        </w:rPr>
        <w:t>)</w:t>
      </w:r>
      <w:r w:rsidRPr="00C30B7A">
        <w:rPr>
          <w:rFonts w:ascii="Arial" w:hAnsi="Arial" w:cs="Arial"/>
        </w:rPr>
        <w:t xml:space="preserve">.GABA-transaminase antisense oligodeoxynucleotide modulates cocaine-and pentylenetetrazol-induced seizures in mice, </w:t>
      </w:r>
      <w:proofErr w:type="spellStart"/>
      <w:r w:rsidRPr="00C30B7A">
        <w:rPr>
          <w:rFonts w:ascii="Arial" w:hAnsi="Arial" w:cs="Arial"/>
        </w:rPr>
        <w:t>Metab</w:t>
      </w:r>
      <w:proofErr w:type="spellEnd"/>
      <w:r w:rsidRPr="00C30B7A">
        <w:rPr>
          <w:rFonts w:ascii="Arial" w:hAnsi="Arial" w:cs="Arial"/>
        </w:rPr>
        <w:t xml:space="preserve">. </w:t>
      </w:r>
      <w:r w:rsidRPr="00BD4998">
        <w:rPr>
          <w:rFonts w:ascii="Arial" w:hAnsi="Arial" w:cs="Arial"/>
          <w:lang w:val="fr-FR"/>
        </w:rPr>
        <w:t>Brain Dis. 14 (4) 253–263.</w:t>
      </w:r>
      <w:r w:rsidRPr="004845DA">
        <w:rPr>
          <w:rFonts w:ascii="Arial" w:hAnsi="Arial" w:cs="Arial"/>
          <w:b/>
          <w:bCs/>
        </w:rPr>
        <w:fldChar w:fldCharType="begin" w:fldLock="1"/>
      </w:r>
      <w:r w:rsidRPr="00BD4998">
        <w:rPr>
          <w:rFonts w:ascii="Arial" w:hAnsi="Arial" w:cs="Arial"/>
          <w:b/>
          <w:bCs/>
          <w:lang w:val="fr-FR"/>
        </w:rPr>
        <w:instrText xml:space="preserve">ADDIN Mendeley Bibliography CSL_BIBLIOGRAPHY </w:instrText>
      </w:r>
      <w:r w:rsidRPr="004845DA">
        <w:rPr>
          <w:rFonts w:ascii="Arial" w:hAnsi="Arial" w:cs="Arial"/>
          <w:b/>
          <w:bCs/>
        </w:rPr>
        <w:fldChar w:fldCharType="separate"/>
      </w:r>
    </w:p>
    <w:p w14:paraId="55455F20" w14:textId="0B9BF6A5" w:rsidR="004845DA" w:rsidRPr="00A27DF1" w:rsidRDefault="004845DA" w:rsidP="004845DA">
      <w:pPr>
        <w:pStyle w:val="Body"/>
        <w:spacing w:after="0"/>
        <w:ind w:left="567" w:hanging="567"/>
        <w:rPr>
          <w:rFonts w:ascii="Arial" w:hAnsi="Arial" w:cs="Arial"/>
          <w:lang w:val="fr-FR"/>
        </w:rPr>
      </w:pPr>
      <w:r w:rsidRPr="004845DA">
        <w:rPr>
          <w:rFonts w:ascii="Arial" w:hAnsi="Arial" w:cs="Arial"/>
          <w:lang w:val="fr-FR"/>
        </w:rPr>
        <w:t>Bacon, E., Viennot, F.</w:t>
      </w:r>
      <w:r w:rsidR="00656566">
        <w:rPr>
          <w:rFonts w:ascii="Arial" w:hAnsi="Arial" w:cs="Arial"/>
          <w:lang w:val="fr-FR"/>
        </w:rPr>
        <w:t xml:space="preserve"> (</w:t>
      </w:r>
      <w:r w:rsidRPr="004845DA">
        <w:rPr>
          <w:rFonts w:ascii="Arial" w:hAnsi="Arial" w:cs="Arial"/>
          <w:lang w:val="fr-FR"/>
        </w:rPr>
        <w:t>1990</w:t>
      </w:r>
      <w:r w:rsidR="00656566">
        <w:rPr>
          <w:rFonts w:ascii="Arial" w:hAnsi="Arial" w:cs="Arial"/>
          <w:lang w:val="fr-FR"/>
        </w:rPr>
        <w:t>)</w:t>
      </w:r>
      <w:r w:rsidRPr="004845DA">
        <w:rPr>
          <w:rFonts w:ascii="Arial" w:hAnsi="Arial" w:cs="Arial"/>
          <w:lang w:val="fr-FR"/>
        </w:rPr>
        <w:t xml:space="preserve">. Le système complexe des récepteurs GABA-benzodiazépine. </w:t>
      </w:r>
      <w:r w:rsidRPr="00A27DF1">
        <w:rPr>
          <w:rFonts w:ascii="Arial" w:hAnsi="Arial" w:cs="Arial"/>
          <w:lang w:val="fr-FR"/>
        </w:rPr>
        <w:t>Médecine/Sciences 6, 770. https://doi.org/10.4267/10608/4234</w:t>
      </w:r>
    </w:p>
    <w:p w14:paraId="3445D300" w14:textId="422ABC85" w:rsidR="0076283E" w:rsidRPr="004845DA" w:rsidRDefault="0076283E" w:rsidP="004845DA">
      <w:pPr>
        <w:pStyle w:val="Body"/>
        <w:spacing w:after="0"/>
        <w:ind w:left="567" w:hanging="567"/>
        <w:rPr>
          <w:rFonts w:ascii="Arial" w:hAnsi="Arial" w:cs="Arial"/>
        </w:rPr>
      </w:pPr>
      <w:r w:rsidRPr="00A27DF1">
        <w:rPr>
          <w:rFonts w:ascii="Arial" w:hAnsi="Arial" w:cs="Arial"/>
          <w:lang w:val="fr-FR"/>
        </w:rPr>
        <w:t>Bayhan, I</w:t>
      </w:r>
      <w:r w:rsidR="00AD0A20" w:rsidRPr="00A27DF1">
        <w:rPr>
          <w:rFonts w:ascii="Arial" w:hAnsi="Arial" w:cs="Arial"/>
          <w:lang w:val="fr-FR"/>
        </w:rPr>
        <w:t>.</w:t>
      </w:r>
      <w:r w:rsidRPr="00A27DF1">
        <w:rPr>
          <w:rFonts w:ascii="Arial" w:hAnsi="Arial" w:cs="Arial"/>
          <w:lang w:val="fr-FR"/>
        </w:rPr>
        <w:t>, Turtay</w:t>
      </w:r>
      <w:r w:rsidR="00AD0A20" w:rsidRPr="00A27DF1">
        <w:rPr>
          <w:rFonts w:ascii="Arial" w:hAnsi="Arial" w:cs="Arial"/>
          <w:lang w:val="fr-FR"/>
        </w:rPr>
        <w:t>,</w:t>
      </w:r>
      <w:r w:rsidRPr="00A27DF1">
        <w:rPr>
          <w:rFonts w:ascii="Arial" w:hAnsi="Arial" w:cs="Arial"/>
          <w:lang w:val="fr-FR"/>
        </w:rPr>
        <w:t xml:space="preserve"> M</w:t>
      </w:r>
      <w:r w:rsidR="00AD0A20" w:rsidRPr="00A27DF1">
        <w:rPr>
          <w:rFonts w:ascii="Arial" w:hAnsi="Arial" w:cs="Arial"/>
          <w:lang w:val="fr-FR"/>
        </w:rPr>
        <w:t>.</w:t>
      </w:r>
      <w:r w:rsidRPr="00A27DF1">
        <w:rPr>
          <w:rFonts w:ascii="Arial" w:hAnsi="Arial" w:cs="Arial"/>
          <w:lang w:val="fr-FR"/>
        </w:rPr>
        <w:t>G</w:t>
      </w:r>
      <w:r w:rsidR="00AD0A20" w:rsidRPr="00A27DF1">
        <w:rPr>
          <w:rFonts w:ascii="Arial" w:hAnsi="Arial" w:cs="Arial"/>
          <w:lang w:val="fr-FR"/>
        </w:rPr>
        <w:t>.</w:t>
      </w:r>
      <w:r w:rsidRPr="00A27DF1">
        <w:rPr>
          <w:rFonts w:ascii="Arial" w:hAnsi="Arial" w:cs="Arial"/>
          <w:lang w:val="fr-FR"/>
        </w:rPr>
        <w:t>, Ciftci</w:t>
      </w:r>
      <w:r w:rsidR="00AD0A20" w:rsidRPr="00A27DF1">
        <w:rPr>
          <w:rFonts w:ascii="Arial" w:hAnsi="Arial" w:cs="Arial"/>
          <w:lang w:val="fr-FR"/>
        </w:rPr>
        <w:t>,</w:t>
      </w:r>
      <w:r w:rsidRPr="00A27DF1">
        <w:rPr>
          <w:rFonts w:ascii="Arial" w:hAnsi="Arial" w:cs="Arial"/>
          <w:lang w:val="fr-FR"/>
        </w:rPr>
        <w:t xml:space="preserve"> O</w:t>
      </w:r>
      <w:r w:rsidR="00AD0A20" w:rsidRPr="00A27DF1">
        <w:rPr>
          <w:rFonts w:ascii="Arial" w:hAnsi="Arial" w:cs="Arial"/>
          <w:lang w:val="fr-FR"/>
        </w:rPr>
        <w:t>.</w:t>
      </w:r>
      <w:r w:rsidRPr="00A27DF1">
        <w:rPr>
          <w:rFonts w:ascii="Arial" w:hAnsi="Arial" w:cs="Arial"/>
          <w:lang w:val="fr-FR"/>
        </w:rPr>
        <w:t>, Cetin</w:t>
      </w:r>
      <w:r w:rsidR="00AD0A20" w:rsidRPr="00A27DF1">
        <w:rPr>
          <w:rFonts w:ascii="Arial" w:hAnsi="Arial" w:cs="Arial"/>
          <w:lang w:val="fr-FR"/>
        </w:rPr>
        <w:t>,</w:t>
      </w:r>
      <w:r w:rsidRPr="00A27DF1">
        <w:rPr>
          <w:rFonts w:ascii="Arial" w:hAnsi="Arial" w:cs="Arial"/>
          <w:lang w:val="fr-FR"/>
        </w:rPr>
        <w:t xml:space="preserve"> A</w:t>
      </w:r>
      <w:r w:rsidR="00AD0A20" w:rsidRPr="00A27DF1">
        <w:rPr>
          <w:rFonts w:ascii="Arial" w:hAnsi="Arial" w:cs="Arial"/>
          <w:lang w:val="fr-FR"/>
        </w:rPr>
        <w:t>.</w:t>
      </w:r>
      <w:r w:rsidRPr="00A27DF1">
        <w:rPr>
          <w:rFonts w:ascii="Arial" w:hAnsi="Arial" w:cs="Arial"/>
          <w:lang w:val="fr-FR"/>
        </w:rPr>
        <w:t>, Basak</w:t>
      </w:r>
      <w:r w:rsidR="00AD0A20" w:rsidRPr="00A27DF1">
        <w:rPr>
          <w:rFonts w:ascii="Arial" w:hAnsi="Arial" w:cs="Arial"/>
          <w:lang w:val="fr-FR"/>
        </w:rPr>
        <w:t>,</w:t>
      </w:r>
      <w:r w:rsidRPr="00A27DF1">
        <w:rPr>
          <w:rFonts w:ascii="Arial" w:hAnsi="Arial" w:cs="Arial"/>
          <w:lang w:val="fr-FR"/>
        </w:rPr>
        <w:t xml:space="preserve"> N</w:t>
      </w:r>
      <w:r w:rsidR="00AD0A20" w:rsidRPr="00A27DF1">
        <w:rPr>
          <w:rFonts w:ascii="Arial" w:hAnsi="Arial" w:cs="Arial"/>
          <w:lang w:val="fr-FR"/>
        </w:rPr>
        <w:t>.</w:t>
      </w:r>
      <w:r w:rsidRPr="00A27DF1">
        <w:rPr>
          <w:rFonts w:ascii="Arial" w:hAnsi="Arial" w:cs="Arial"/>
          <w:lang w:val="fr-FR"/>
        </w:rPr>
        <w:t>, Namık</w:t>
      </w:r>
      <w:r w:rsidR="00AD0A20" w:rsidRPr="00A27DF1">
        <w:rPr>
          <w:rFonts w:ascii="Arial" w:hAnsi="Arial" w:cs="Arial"/>
          <w:lang w:val="fr-FR"/>
        </w:rPr>
        <w:t xml:space="preserve"> </w:t>
      </w:r>
      <w:r w:rsidRPr="00A27DF1">
        <w:rPr>
          <w:rFonts w:ascii="Arial" w:hAnsi="Arial" w:cs="Arial"/>
          <w:lang w:val="fr-FR"/>
        </w:rPr>
        <w:t>Oztanır M</w:t>
      </w:r>
      <w:r w:rsidR="00AD0A20" w:rsidRPr="00A27DF1">
        <w:rPr>
          <w:rFonts w:ascii="Arial" w:hAnsi="Arial" w:cs="Arial"/>
          <w:lang w:val="fr-FR"/>
        </w:rPr>
        <w:t>.</w:t>
      </w:r>
      <w:r w:rsidRPr="00A27DF1">
        <w:rPr>
          <w:rFonts w:ascii="Arial" w:hAnsi="Arial" w:cs="Arial"/>
          <w:lang w:val="fr-FR"/>
        </w:rPr>
        <w:t>, Oguzturk</w:t>
      </w:r>
      <w:r w:rsidR="00AD0A20" w:rsidRPr="00A27DF1">
        <w:rPr>
          <w:rFonts w:ascii="Arial" w:hAnsi="Arial" w:cs="Arial"/>
          <w:lang w:val="fr-FR"/>
        </w:rPr>
        <w:t>,</w:t>
      </w:r>
      <w:r w:rsidRPr="00A27DF1">
        <w:rPr>
          <w:rFonts w:ascii="Arial" w:hAnsi="Arial" w:cs="Arial"/>
          <w:lang w:val="fr-FR"/>
        </w:rPr>
        <w:t xml:space="preserve"> H</w:t>
      </w:r>
      <w:r w:rsidR="00AD0A20" w:rsidRPr="00A27DF1">
        <w:rPr>
          <w:rFonts w:ascii="Arial" w:hAnsi="Arial" w:cs="Arial"/>
          <w:lang w:val="fr-FR"/>
        </w:rPr>
        <w:t>.</w:t>
      </w:r>
      <w:r w:rsidRPr="00A27DF1">
        <w:rPr>
          <w:rFonts w:ascii="Arial" w:hAnsi="Arial" w:cs="Arial"/>
          <w:lang w:val="fr-FR"/>
        </w:rPr>
        <w:t>, Gurbuz</w:t>
      </w:r>
      <w:r w:rsidR="00AD0A20" w:rsidRPr="00A27DF1">
        <w:rPr>
          <w:rFonts w:ascii="Arial" w:hAnsi="Arial" w:cs="Arial"/>
          <w:lang w:val="fr-FR"/>
        </w:rPr>
        <w:t>,</w:t>
      </w:r>
      <w:r w:rsidRPr="00A27DF1">
        <w:rPr>
          <w:rFonts w:ascii="Arial" w:hAnsi="Arial" w:cs="Arial"/>
          <w:lang w:val="fr-FR"/>
        </w:rPr>
        <w:t xml:space="preserve"> S</w:t>
      </w:r>
      <w:r w:rsidR="00AD0A20" w:rsidRPr="00A27DF1">
        <w:rPr>
          <w:rFonts w:ascii="Arial" w:hAnsi="Arial" w:cs="Arial"/>
          <w:lang w:val="fr-FR"/>
        </w:rPr>
        <w:t>.</w:t>
      </w:r>
      <w:r w:rsidRPr="00A27DF1">
        <w:rPr>
          <w:rFonts w:ascii="Arial" w:hAnsi="Arial" w:cs="Arial"/>
          <w:lang w:val="fr-FR"/>
        </w:rPr>
        <w:t>, Guven T.</w:t>
      </w:r>
      <w:r w:rsidR="00AD0A20" w:rsidRPr="00A27DF1">
        <w:rPr>
          <w:rFonts w:ascii="Arial" w:hAnsi="Arial" w:cs="Arial"/>
          <w:lang w:val="fr-FR"/>
        </w:rPr>
        <w:t xml:space="preserve"> (2020).</w:t>
      </w:r>
      <w:r w:rsidRPr="00A27DF1">
        <w:rPr>
          <w:rFonts w:ascii="Arial" w:hAnsi="Arial" w:cs="Arial"/>
          <w:lang w:val="fr-FR"/>
        </w:rPr>
        <w:t xml:space="preserve"> </w:t>
      </w:r>
      <w:r w:rsidRPr="00AD0A20">
        <w:rPr>
          <w:rFonts w:ascii="Arial" w:hAnsi="Arial" w:cs="Arial"/>
        </w:rPr>
        <w:t xml:space="preserve">Comparison of immunological, histological and oxidative effects of felbamate and levetiracetam in traumatic brain injury. Eur Rev Med Pharmacol Sci.Jun;24(12):7083-7091. </w:t>
      </w:r>
    </w:p>
    <w:p w14:paraId="615F33A0" w14:textId="53D79717" w:rsidR="004845DA" w:rsidRPr="004845DA" w:rsidRDefault="004845DA" w:rsidP="004845DA">
      <w:pPr>
        <w:pStyle w:val="Body"/>
        <w:spacing w:after="0"/>
        <w:ind w:left="567" w:hanging="567"/>
        <w:rPr>
          <w:rFonts w:ascii="Arial" w:hAnsi="Arial" w:cs="Arial"/>
        </w:rPr>
      </w:pPr>
      <w:r w:rsidRPr="004845DA">
        <w:rPr>
          <w:rFonts w:ascii="Arial" w:hAnsi="Arial" w:cs="Arial"/>
        </w:rPr>
        <w:lastRenderedPageBreak/>
        <w:t>Belzung, C.</w:t>
      </w:r>
      <w:r w:rsidR="00656566">
        <w:rPr>
          <w:rFonts w:ascii="Arial" w:hAnsi="Arial" w:cs="Arial"/>
        </w:rPr>
        <w:t xml:space="preserve"> (</w:t>
      </w:r>
      <w:r w:rsidRPr="004845DA">
        <w:rPr>
          <w:rFonts w:ascii="Arial" w:hAnsi="Arial" w:cs="Arial"/>
        </w:rPr>
        <w:t>1999</w:t>
      </w:r>
      <w:r w:rsidR="00656566">
        <w:rPr>
          <w:rFonts w:ascii="Arial" w:hAnsi="Arial" w:cs="Arial"/>
        </w:rPr>
        <w:t>)</w:t>
      </w:r>
      <w:r w:rsidRPr="004845DA">
        <w:rPr>
          <w:rFonts w:ascii="Arial" w:hAnsi="Arial" w:cs="Arial"/>
        </w:rPr>
        <w:t>. Chapter 4.11 Measuring rodent exploratory behavior. Tech. Behav. Neur</w:t>
      </w:r>
      <w:r w:rsidR="00CC55DB">
        <w:rPr>
          <w:rFonts w:ascii="Arial" w:hAnsi="Arial" w:cs="Arial"/>
        </w:rPr>
        <w:t>al</w:t>
      </w:r>
      <w:r w:rsidRPr="004845DA">
        <w:rPr>
          <w:rFonts w:ascii="Arial" w:hAnsi="Arial" w:cs="Arial"/>
        </w:rPr>
        <w:t xml:space="preserve"> Sci. 13. https://doi.org/10.1016/S0921-0709(99)80057-1</w:t>
      </w:r>
    </w:p>
    <w:p w14:paraId="1C4C7BA3" w14:textId="1C40721E" w:rsidR="004845DA" w:rsidRPr="004845DA" w:rsidRDefault="004845DA" w:rsidP="004845DA">
      <w:pPr>
        <w:pStyle w:val="Body"/>
        <w:spacing w:after="0"/>
        <w:ind w:left="567" w:hanging="567"/>
        <w:rPr>
          <w:rFonts w:ascii="Arial" w:hAnsi="Arial" w:cs="Arial"/>
        </w:rPr>
      </w:pPr>
      <w:r w:rsidRPr="004845DA">
        <w:rPr>
          <w:rFonts w:ascii="Arial" w:hAnsi="Arial" w:cs="Arial"/>
        </w:rPr>
        <w:t xml:space="preserve">Blanco, M.M., Dos Santos, J.G., Perez-Mendes, P., Kohek, S.R.B., Cavarsan, C.F., Hummel, M., </w:t>
      </w:r>
      <w:r w:rsidR="00CC55DB">
        <w:rPr>
          <w:rFonts w:ascii="Arial" w:hAnsi="Arial" w:cs="Arial"/>
        </w:rPr>
        <w:t>Al</w:t>
      </w:r>
      <w:r w:rsidRPr="004845DA">
        <w:rPr>
          <w:rFonts w:ascii="Arial" w:hAnsi="Arial" w:cs="Arial"/>
        </w:rPr>
        <w:t>buquerque, C., Mello, L.E.</w:t>
      </w:r>
      <w:r w:rsidR="00656566">
        <w:rPr>
          <w:rFonts w:ascii="Arial" w:hAnsi="Arial" w:cs="Arial"/>
        </w:rPr>
        <w:t xml:space="preserve"> (</w:t>
      </w:r>
      <w:r w:rsidRPr="004845DA">
        <w:rPr>
          <w:rFonts w:ascii="Arial" w:hAnsi="Arial" w:cs="Arial"/>
        </w:rPr>
        <w:t>2009</w:t>
      </w:r>
      <w:r w:rsidR="00656566">
        <w:rPr>
          <w:rFonts w:ascii="Arial" w:hAnsi="Arial" w:cs="Arial"/>
        </w:rPr>
        <w:t>)</w:t>
      </w:r>
      <w:r w:rsidRPr="004845DA">
        <w:rPr>
          <w:rFonts w:ascii="Arial" w:hAnsi="Arial" w:cs="Arial"/>
        </w:rPr>
        <w:t>. Assessment of seizure susceptibility in pilocarpine epileptic and nonepileptic Wistar rats and of seizure reinduction with pentylenetetrazole and electroshock models. Epilepsia 50, 824–831. https://doi.org/10.1111/j.1528-1167.2008.01797.x</w:t>
      </w:r>
    </w:p>
    <w:p w14:paraId="6E25AC22" w14:textId="38C49E25" w:rsidR="004845DA" w:rsidRPr="004845DA" w:rsidRDefault="004845DA" w:rsidP="004845DA">
      <w:pPr>
        <w:pStyle w:val="Body"/>
        <w:spacing w:after="0"/>
        <w:ind w:left="567" w:hanging="567"/>
        <w:rPr>
          <w:rFonts w:ascii="Arial" w:hAnsi="Arial" w:cs="Arial"/>
          <w:lang w:val="fr-FR"/>
        </w:rPr>
      </w:pPr>
      <w:r w:rsidRPr="004845DA">
        <w:rPr>
          <w:rFonts w:ascii="Arial" w:hAnsi="Arial" w:cs="Arial"/>
        </w:rPr>
        <w:t>Bressand, K., Roucard, C., Depaulis, A</w:t>
      </w:r>
      <w:r w:rsidR="00656566">
        <w:rPr>
          <w:rFonts w:ascii="Arial" w:hAnsi="Arial" w:cs="Arial"/>
        </w:rPr>
        <w:t>. (</w:t>
      </w:r>
      <w:r w:rsidRPr="004845DA">
        <w:rPr>
          <w:rFonts w:ascii="Arial" w:hAnsi="Arial" w:cs="Arial"/>
        </w:rPr>
        <w:t>2009</w:t>
      </w:r>
      <w:r w:rsidR="00656566">
        <w:rPr>
          <w:rFonts w:ascii="Arial" w:hAnsi="Arial" w:cs="Arial"/>
        </w:rPr>
        <w:t>)</w:t>
      </w:r>
      <w:r w:rsidRPr="004845DA">
        <w:rPr>
          <w:rFonts w:ascii="Arial" w:hAnsi="Arial" w:cs="Arial"/>
        </w:rPr>
        <w:t xml:space="preserve">. </w:t>
      </w:r>
      <w:r w:rsidRPr="004845DA">
        <w:rPr>
          <w:rFonts w:ascii="Arial" w:hAnsi="Arial" w:cs="Arial"/>
          <w:lang w:val="fr-FR"/>
        </w:rPr>
        <w:t>La souris MTLE: Un modèle v</w:t>
      </w:r>
      <w:r w:rsidR="00CC55DB">
        <w:rPr>
          <w:rFonts w:ascii="Arial" w:hAnsi="Arial" w:cs="Arial"/>
          <w:lang w:val="fr-FR"/>
        </w:rPr>
        <w:t>al</w:t>
      </w:r>
      <w:r w:rsidRPr="004845DA">
        <w:rPr>
          <w:rFonts w:ascii="Arial" w:hAnsi="Arial" w:cs="Arial"/>
          <w:lang w:val="fr-FR"/>
        </w:rPr>
        <w:t>idé pour l’év</w:t>
      </w:r>
      <w:r w:rsidR="00CC55DB">
        <w:rPr>
          <w:rFonts w:ascii="Arial" w:hAnsi="Arial" w:cs="Arial"/>
          <w:lang w:val="fr-FR"/>
        </w:rPr>
        <w:t>al</w:t>
      </w:r>
      <w:r w:rsidRPr="004845DA">
        <w:rPr>
          <w:rFonts w:ascii="Arial" w:hAnsi="Arial" w:cs="Arial"/>
          <w:lang w:val="fr-FR"/>
        </w:rPr>
        <w:t>uation de molécules anti-épileptiques pour le traitement de l’épilepsie mésiotempor</w:t>
      </w:r>
      <w:r w:rsidR="00CC55DB">
        <w:rPr>
          <w:rFonts w:ascii="Arial" w:hAnsi="Arial" w:cs="Arial"/>
          <w:lang w:val="fr-FR"/>
        </w:rPr>
        <w:t>al</w:t>
      </w:r>
      <w:r w:rsidRPr="004845DA">
        <w:rPr>
          <w:rFonts w:ascii="Arial" w:hAnsi="Arial" w:cs="Arial"/>
          <w:lang w:val="fr-FR"/>
        </w:rPr>
        <w:t>e. Epilepsies 21, 184–192. https://doi.org/10.1684/epi.2009.0228</w:t>
      </w:r>
    </w:p>
    <w:p w14:paraId="364992D5" w14:textId="307836D3" w:rsidR="004845DA" w:rsidRPr="004845DA" w:rsidRDefault="004845DA" w:rsidP="004845DA">
      <w:pPr>
        <w:pStyle w:val="Body"/>
        <w:spacing w:after="0"/>
        <w:ind w:left="567" w:hanging="567"/>
        <w:rPr>
          <w:rFonts w:ascii="Arial" w:hAnsi="Arial" w:cs="Arial"/>
        </w:rPr>
      </w:pPr>
      <w:r w:rsidRPr="004845DA">
        <w:rPr>
          <w:rFonts w:ascii="Arial" w:hAnsi="Arial" w:cs="Arial"/>
          <w:lang w:val="fr-FR"/>
        </w:rPr>
        <w:t>Cav</w:t>
      </w:r>
      <w:r w:rsidR="00CC55DB">
        <w:rPr>
          <w:rFonts w:ascii="Arial" w:hAnsi="Arial" w:cs="Arial"/>
          <w:lang w:val="fr-FR"/>
        </w:rPr>
        <w:t>al</w:t>
      </w:r>
      <w:r w:rsidRPr="004845DA">
        <w:rPr>
          <w:rFonts w:ascii="Arial" w:hAnsi="Arial" w:cs="Arial"/>
          <w:lang w:val="fr-FR"/>
        </w:rPr>
        <w:t>heiro, E.A., Naffah-Mazzacoratti, M.G., Mello, L.E., Leite, J.P.</w:t>
      </w:r>
      <w:r w:rsidR="009D5799">
        <w:rPr>
          <w:rFonts w:ascii="Arial" w:hAnsi="Arial" w:cs="Arial"/>
          <w:lang w:val="fr-FR"/>
        </w:rPr>
        <w:t xml:space="preserve"> (</w:t>
      </w:r>
      <w:r w:rsidRPr="004845DA">
        <w:rPr>
          <w:rFonts w:ascii="Arial" w:hAnsi="Arial" w:cs="Arial"/>
          <w:lang w:val="fr-FR"/>
        </w:rPr>
        <w:t>2006</w:t>
      </w:r>
      <w:r w:rsidR="009D5799">
        <w:rPr>
          <w:rFonts w:ascii="Arial" w:hAnsi="Arial" w:cs="Arial"/>
          <w:lang w:val="fr-FR"/>
        </w:rPr>
        <w:t>)</w:t>
      </w:r>
      <w:r w:rsidRPr="004845DA">
        <w:rPr>
          <w:rFonts w:ascii="Arial" w:hAnsi="Arial" w:cs="Arial"/>
          <w:lang w:val="fr-FR"/>
        </w:rPr>
        <w:t xml:space="preserve">. </w:t>
      </w:r>
      <w:r w:rsidRPr="004845DA">
        <w:rPr>
          <w:rFonts w:ascii="Arial" w:hAnsi="Arial" w:cs="Arial"/>
        </w:rPr>
        <w:t>The Pilocarpine Model of Seizures. Model. Seizures Epilepsy 433–448. https://doi.org/10.1016/B978-012088554-1/50037-2</w:t>
      </w:r>
    </w:p>
    <w:p w14:paraId="3F92C03C" w14:textId="718F9720" w:rsidR="004845DA" w:rsidRPr="004845DA" w:rsidRDefault="004845DA" w:rsidP="004845DA">
      <w:pPr>
        <w:pStyle w:val="Body"/>
        <w:spacing w:after="0"/>
        <w:ind w:left="567" w:hanging="567"/>
        <w:rPr>
          <w:rFonts w:ascii="Arial" w:hAnsi="Arial" w:cs="Arial"/>
        </w:rPr>
      </w:pPr>
      <w:r w:rsidRPr="004845DA">
        <w:rPr>
          <w:rFonts w:ascii="Arial" w:hAnsi="Arial" w:cs="Arial"/>
        </w:rPr>
        <w:t>Cha, B.H., Silveira, D.C., Liu, X., Hu, Y., Holmes, G.L.</w:t>
      </w:r>
      <w:r w:rsidR="009D5799">
        <w:rPr>
          <w:rFonts w:ascii="Arial" w:hAnsi="Arial" w:cs="Arial"/>
        </w:rPr>
        <w:t xml:space="preserve"> (</w:t>
      </w:r>
      <w:r w:rsidRPr="004845DA">
        <w:rPr>
          <w:rFonts w:ascii="Arial" w:hAnsi="Arial" w:cs="Arial"/>
        </w:rPr>
        <w:t>2002</w:t>
      </w:r>
      <w:r w:rsidR="009D5799">
        <w:rPr>
          <w:rFonts w:ascii="Arial" w:hAnsi="Arial" w:cs="Arial"/>
        </w:rPr>
        <w:t>)</w:t>
      </w:r>
      <w:r w:rsidRPr="004845DA">
        <w:rPr>
          <w:rFonts w:ascii="Arial" w:hAnsi="Arial" w:cs="Arial"/>
        </w:rPr>
        <w:t>. Effect of topiramate following recurrent and prolonged seizures during early development. Epilepsy Res. 51. https://doi.org/10.1016/S0920-1211(02)00157-2</w:t>
      </w:r>
    </w:p>
    <w:p w14:paraId="7BE582E1" w14:textId="7E0375B3" w:rsidR="004845DA" w:rsidRPr="004845DA" w:rsidRDefault="004845DA" w:rsidP="004845DA">
      <w:pPr>
        <w:pStyle w:val="Body"/>
        <w:spacing w:after="0"/>
        <w:ind w:left="567" w:hanging="567"/>
        <w:rPr>
          <w:rFonts w:ascii="Arial" w:hAnsi="Arial" w:cs="Arial"/>
          <w:lang w:val="fr-FR"/>
        </w:rPr>
      </w:pPr>
      <w:bookmarkStart w:id="23" w:name="_Hlk185410420"/>
      <w:r w:rsidRPr="004845DA">
        <w:rPr>
          <w:rFonts w:ascii="Arial" w:hAnsi="Arial" w:cs="Arial"/>
        </w:rPr>
        <w:t xml:space="preserve">Cibelle de Melo Bastos, </w:t>
      </w:r>
      <w:bookmarkEnd w:id="23"/>
      <w:r w:rsidRPr="004845DA">
        <w:rPr>
          <w:rFonts w:ascii="Arial" w:hAnsi="Arial" w:cs="Arial"/>
        </w:rPr>
        <w:t>Cav</w:t>
      </w:r>
      <w:r w:rsidR="00CC55DB">
        <w:rPr>
          <w:rFonts w:ascii="Arial" w:hAnsi="Arial" w:cs="Arial"/>
        </w:rPr>
        <w:t>al</w:t>
      </w:r>
      <w:r w:rsidRPr="004845DA">
        <w:rPr>
          <w:rFonts w:ascii="Arial" w:hAnsi="Arial" w:cs="Arial"/>
        </w:rPr>
        <w:t>cante., Kellysson, Bruno Oliveira., Fernanda, Maria Araújo de Souza., Milenna Maria, Jatobá Hasten Reiter., Bianca Rodrigues, Melo da Silva., Keylla Lavínia, da Silva Oliveira., Marcos Vinicius, dos Santos S</w:t>
      </w:r>
      <w:r w:rsidR="00CC55DB">
        <w:rPr>
          <w:rFonts w:ascii="Arial" w:hAnsi="Arial" w:cs="Arial"/>
        </w:rPr>
        <w:t>al</w:t>
      </w:r>
      <w:r w:rsidRPr="004845DA">
        <w:rPr>
          <w:rFonts w:ascii="Arial" w:hAnsi="Arial" w:cs="Arial"/>
        </w:rPr>
        <w:t>es., Amanda Larissa, Dias Pacheco., Edite Santos, Siqueira., Maisa de Araújo, Costa., José Gomes, dos Santos Neto., Rayssa Gabriely, Duarte Torres., Ana Catarina, R., Leite Igor, Santana de Melo., Sônia S</w:t>
      </w:r>
      <w:r w:rsidR="00CC55DB">
        <w:rPr>
          <w:rFonts w:ascii="Arial" w:hAnsi="Arial" w:cs="Arial"/>
        </w:rPr>
        <w:t>al</w:t>
      </w:r>
      <w:r w:rsidRPr="004845DA">
        <w:rPr>
          <w:rFonts w:ascii="Arial" w:hAnsi="Arial" w:cs="Arial"/>
        </w:rPr>
        <w:t xml:space="preserve">gueiro, Machado., Marcelo, Duzzioni., Daniel Leite, Góes Gitaí., Olagide, Wagner de Castro. </w:t>
      </w:r>
      <w:r w:rsidR="009D5799">
        <w:rPr>
          <w:rFonts w:ascii="Arial" w:hAnsi="Arial" w:cs="Arial"/>
        </w:rPr>
        <w:t>(</w:t>
      </w:r>
      <w:r w:rsidRPr="004845DA">
        <w:rPr>
          <w:rFonts w:ascii="Arial" w:hAnsi="Arial" w:cs="Arial"/>
        </w:rPr>
        <w:t>2024</w:t>
      </w:r>
      <w:r w:rsidR="009D5799">
        <w:rPr>
          <w:rFonts w:ascii="Arial" w:hAnsi="Arial" w:cs="Arial"/>
        </w:rPr>
        <w:t>)</w:t>
      </w:r>
      <w:r w:rsidRPr="004845DA">
        <w:rPr>
          <w:rFonts w:ascii="Arial" w:hAnsi="Arial" w:cs="Arial"/>
        </w:rPr>
        <w:t>.Crack cocaine inh</w:t>
      </w:r>
      <w:r w:rsidR="00CC55DB">
        <w:rPr>
          <w:rFonts w:ascii="Arial" w:hAnsi="Arial" w:cs="Arial"/>
        </w:rPr>
        <w:t>al</w:t>
      </w:r>
      <w:r w:rsidRPr="004845DA">
        <w:rPr>
          <w:rFonts w:ascii="Arial" w:hAnsi="Arial" w:cs="Arial"/>
        </w:rPr>
        <w:t>ation increases seizure susceptibility by reducing acetylcholinesterase activity, Epilepsy &amp; Behavior, Volume 156, 109832, ISSN 1525-5050,</w:t>
      </w:r>
      <w:r w:rsidRPr="00C052D4">
        <w:rPr>
          <w:rFonts w:ascii="Arial" w:hAnsi="Arial" w:cs="Arial"/>
        </w:rPr>
        <w:t>https://doi.org/10.1016/j.yebeh.2024.109832</w:t>
      </w:r>
      <w:r w:rsidRPr="004845DA">
        <w:rPr>
          <w:rFonts w:ascii="Arial" w:hAnsi="Arial" w:cs="Arial"/>
        </w:rPr>
        <w:t xml:space="preserve">. </w:t>
      </w:r>
      <w:r w:rsidRPr="004845DA">
        <w:rPr>
          <w:rFonts w:ascii="Arial" w:hAnsi="Arial" w:cs="Arial"/>
          <w:lang w:val="fr-FR"/>
        </w:rPr>
        <w:t>(https://www.sciencedirect.com/science/article/pii/S1525505024002130)</w:t>
      </w:r>
    </w:p>
    <w:p w14:paraId="2EDADDB6" w14:textId="5A4EBBA1" w:rsidR="004845DA" w:rsidRPr="004845DA" w:rsidRDefault="004845DA" w:rsidP="004845DA">
      <w:pPr>
        <w:pStyle w:val="Body"/>
        <w:spacing w:after="0"/>
        <w:ind w:left="567" w:hanging="567"/>
        <w:rPr>
          <w:rFonts w:ascii="Arial" w:hAnsi="Arial" w:cs="Arial"/>
        </w:rPr>
      </w:pPr>
      <w:r w:rsidRPr="004845DA">
        <w:rPr>
          <w:rFonts w:ascii="Arial" w:hAnsi="Arial" w:cs="Arial"/>
          <w:lang w:val="fr-FR"/>
        </w:rPr>
        <w:t>Curia, G., Longo, D., Biagini, G., Jones, R.S.G., Avoli, M.</w:t>
      </w:r>
      <w:r w:rsidR="009D5799">
        <w:rPr>
          <w:rFonts w:ascii="Arial" w:hAnsi="Arial" w:cs="Arial"/>
          <w:lang w:val="fr-FR"/>
        </w:rPr>
        <w:t xml:space="preserve"> (</w:t>
      </w:r>
      <w:r w:rsidRPr="004845DA">
        <w:rPr>
          <w:rFonts w:ascii="Arial" w:hAnsi="Arial" w:cs="Arial"/>
          <w:lang w:val="fr-FR"/>
        </w:rPr>
        <w:t>2008</w:t>
      </w:r>
      <w:r w:rsidR="009D5799">
        <w:rPr>
          <w:rFonts w:ascii="Arial" w:hAnsi="Arial" w:cs="Arial"/>
          <w:lang w:val="fr-FR"/>
        </w:rPr>
        <w:t>)</w:t>
      </w:r>
      <w:r w:rsidRPr="004845DA">
        <w:rPr>
          <w:rFonts w:ascii="Arial" w:hAnsi="Arial" w:cs="Arial"/>
          <w:lang w:val="fr-FR"/>
        </w:rPr>
        <w:t xml:space="preserve">. </w:t>
      </w:r>
      <w:r w:rsidRPr="004845DA">
        <w:rPr>
          <w:rFonts w:ascii="Arial" w:hAnsi="Arial" w:cs="Arial"/>
        </w:rPr>
        <w:t>The pilocarpine model of tempor</w:t>
      </w:r>
      <w:r w:rsidR="00CC55DB">
        <w:rPr>
          <w:rFonts w:ascii="Arial" w:hAnsi="Arial" w:cs="Arial"/>
        </w:rPr>
        <w:t>al</w:t>
      </w:r>
      <w:r w:rsidRPr="004845DA">
        <w:rPr>
          <w:rFonts w:ascii="Arial" w:hAnsi="Arial" w:cs="Arial"/>
        </w:rPr>
        <w:t xml:space="preserve"> lobe epilepsy. J. Neurosci. Methods 172, 143–157. https://doi.org/10.1016/j.jneumeth.2008.04.019</w:t>
      </w:r>
    </w:p>
    <w:p w14:paraId="2DE9A17D" w14:textId="3DDCA38C" w:rsidR="004845DA" w:rsidRPr="004845DA" w:rsidRDefault="004845DA" w:rsidP="004845DA">
      <w:pPr>
        <w:pStyle w:val="Body"/>
        <w:spacing w:after="0"/>
        <w:ind w:left="567" w:hanging="567"/>
        <w:rPr>
          <w:rFonts w:ascii="Arial" w:hAnsi="Arial" w:cs="Arial"/>
        </w:rPr>
      </w:pPr>
      <w:r w:rsidRPr="00922EB3">
        <w:rPr>
          <w:rFonts w:ascii="Arial" w:hAnsi="Arial" w:cs="Arial"/>
        </w:rPr>
        <w:t>Deacon, R.M.J., Rawlins, J.N.P.</w:t>
      </w:r>
      <w:r w:rsidR="009D5799" w:rsidRPr="00922EB3">
        <w:rPr>
          <w:rFonts w:ascii="Arial" w:hAnsi="Arial" w:cs="Arial"/>
        </w:rPr>
        <w:t xml:space="preserve"> (</w:t>
      </w:r>
      <w:r w:rsidRPr="00922EB3">
        <w:rPr>
          <w:rFonts w:ascii="Arial" w:hAnsi="Arial" w:cs="Arial"/>
        </w:rPr>
        <w:t>2006</w:t>
      </w:r>
      <w:r w:rsidR="009D5799" w:rsidRPr="00922EB3">
        <w:rPr>
          <w:rFonts w:ascii="Arial" w:hAnsi="Arial" w:cs="Arial"/>
        </w:rPr>
        <w:t>)</w:t>
      </w:r>
      <w:r w:rsidRPr="00922EB3">
        <w:rPr>
          <w:rFonts w:ascii="Arial" w:hAnsi="Arial" w:cs="Arial"/>
        </w:rPr>
        <w:t xml:space="preserve">. </w:t>
      </w:r>
      <w:r w:rsidRPr="004845DA">
        <w:rPr>
          <w:rFonts w:ascii="Arial" w:hAnsi="Arial" w:cs="Arial"/>
        </w:rPr>
        <w:t xml:space="preserve">T-maze </w:t>
      </w:r>
      <w:r w:rsidR="00CC55DB">
        <w:rPr>
          <w:rFonts w:ascii="Arial" w:hAnsi="Arial" w:cs="Arial"/>
        </w:rPr>
        <w:t>al</w:t>
      </w:r>
      <w:r w:rsidRPr="004845DA">
        <w:rPr>
          <w:rFonts w:ascii="Arial" w:hAnsi="Arial" w:cs="Arial"/>
        </w:rPr>
        <w:t>ternation in the rodent. Nat. Protoc. 1. https://doi.org/10.1038/nprot.2006.2</w:t>
      </w:r>
    </w:p>
    <w:p w14:paraId="76E51073" w14:textId="07D8ACB1" w:rsidR="004845DA" w:rsidRPr="004845DA" w:rsidRDefault="004845DA" w:rsidP="004845DA">
      <w:pPr>
        <w:pStyle w:val="Body"/>
        <w:spacing w:after="0"/>
        <w:ind w:left="567" w:hanging="567"/>
        <w:rPr>
          <w:rFonts w:ascii="Arial" w:hAnsi="Arial" w:cs="Arial"/>
        </w:rPr>
      </w:pPr>
      <w:bookmarkStart w:id="24" w:name="_Hlk185410613"/>
      <w:r w:rsidRPr="004845DA">
        <w:rPr>
          <w:rFonts w:ascii="Arial" w:hAnsi="Arial" w:cs="Arial"/>
        </w:rPr>
        <w:t>De S</w:t>
      </w:r>
      <w:r w:rsidR="00CC55DB">
        <w:rPr>
          <w:rFonts w:ascii="Arial" w:hAnsi="Arial" w:cs="Arial"/>
        </w:rPr>
        <w:t>al</w:t>
      </w:r>
      <w:r w:rsidRPr="004845DA">
        <w:rPr>
          <w:rFonts w:ascii="Arial" w:hAnsi="Arial" w:cs="Arial"/>
        </w:rPr>
        <w:t xml:space="preserve">es Santos, </w:t>
      </w:r>
      <w:bookmarkEnd w:id="24"/>
      <w:r w:rsidRPr="004845DA">
        <w:rPr>
          <w:rFonts w:ascii="Arial" w:hAnsi="Arial" w:cs="Arial"/>
        </w:rPr>
        <w:t>IM., Feitosa, CM., De Freitas, RM.</w:t>
      </w:r>
      <w:r w:rsidR="009D5799">
        <w:rPr>
          <w:rFonts w:ascii="Arial" w:hAnsi="Arial" w:cs="Arial"/>
        </w:rPr>
        <w:t xml:space="preserve"> (</w:t>
      </w:r>
      <w:r w:rsidRPr="004845DA">
        <w:rPr>
          <w:rFonts w:ascii="Arial" w:hAnsi="Arial" w:cs="Arial"/>
        </w:rPr>
        <w:t>2010</w:t>
      </w:r>
      <w:r w:rsidR="009D5799">
        <w:rPr>
          <w:rFonts w:ascii="Arial" w:hAnsi="Arial" w:cs="Arial"/>
        </w:rPr>
        <w:t>).</w:t>
      </w:r>
      <w:r w:rsidRPr="004845DA">
        <w:rPr>
          <w:rFonts w:ascii="Arial" w:hAnsi="Arial" w:cs="Arial"/>
        </w:rPr>
        <w:t xml:space="preserve"> Pilocarpine-induced seizures produce </w:t>
      </w:r>
      <w:r w:rsidR="00CC55DB">
        <w:rPr>
          <w:rFonts w:ascii="Arial" w:hAnsi="Arial" w:cs="Arial"/>
        </w:rPr>
        <w:t>al</w:t>
      </w:r>
      <w:r w:rsidRPr="004845DA">
        <w:rPr>
          <w:rFonts w:ascii="Arial" w:hAnsi="Arial" w:cs="Arial"/>
        </w:rPr>
        <w:t>terations on choline acetyltransferase and acetylcholinesterase activities and deficit memory in rats. Cell Mol Neurobiol. May;30(4):569-75. doi: 10.1007/s10571-009-9481-4. Epub 2009 Nov 26. PMID: 19941057</w:t>
      </w:r>
    </w:p>
    <w:p w14:paraId="4CB4F606" w14:textId="0D389511" w:rsidR="004845DA" w:rsidRPr="004845DA" w:rsidRDefault="004845DA" w:rsidP="004845DA">
      <w:pPr>
        <w:pStyle w:val="Body"/>
        <w:spacing w:after="0"/>
        <w:ind w:left="567" w:hanging="567"/>
        <w:rPr>
          <w:rFonts w:ascii="Arial" w:hAnsi="Arial" w:cs="Arial"/>
        </w:rPr>
      </w:pPr>
      <w:r w:rsidRPr="00BD4998">
        <w:rPr>
          <w:rFonts w:ascii="Arial" w:hAnsi="Arial" w:cs="Arial"/>
        </w:rPr>
        <w:t>Devinsky, O., Vezzani, A., Najjar, S., De Lanerolle, N.C., Rogawski, M.A.</w:t>
      </w:r>
      <w:r w:rsidR="009D5799" w:rsidRPr="00BD4998">
        <w:rPr>
          <w:rFonts w:ascii="Arial" w:hAnsi="Arial" w:cs="Arial"/>
        </w:rPr>
        <w:t xml:space="preserve"> (</w:t>
      </w:r>
      <w:r w:rsidRPr="00BD4998">
        <w:rPr>
          <w:rFonts w:ascii="Arial" w:hAnsi="Arial" w:cs="Arial"/>
        </w:rPr>
        <w:t>2013</w:t>
      </w:r>
      <w:r w:rsidR="009D5799" w:rsidRPr="00BD4998">
        <w:rPr>
          <w:rFonts w:ascii="Arial" w:hAnsi="Arial" w:cs="Arial"/>
        </w:rPr>
        <w:t>)</w:t>
      </w:r>
      <w:r w:rsidRPr="00BD4998">
        <w:rPr>
          <w:rFonts w:ascii="Arial" w:hAnsi="Arial" w:cs="Arial"/>
        </w:rPr>
        <w:t xml:space="preserve">. </w:t>
      </w:r>
      <w:r w:rsidRPr="004845DA">
        <w:rPr>
          <w:rFonts w:ascii="Arial" w:hAnsi="Arial" w:cs="Arial"/>
        </w:rPr>
        <w:t>Glia and epilepsy: Excitability and inflammation. Trends Neurosci. https://doi.org/10.1016/j.tins.2012.11.008</w:t>
      </w:r>
    </w:p>
    <w:p w14:paraId="554F33E6" w14:textId="54E61100" w:rsidR="004845DA" w:rsidRPr="004845DA" w:rsidRDefault="004845DA" w:rsidP="004845DA">
      <w:pPr>
        <w:pStyle w:val="Body"/>
        <w:spacing w:after="0"/>
        <w:ind w:left="567" w:hanging="567"/>
        <w:rPr>
          <w:rFonts w:ascii="Arial" w:hAnsi="Arial" w:cs="Arial"/>
        </w:rPr>
      </w:pPr>
      <w:r w:rsidRPr="004845DA">
        <w:rPr>
          <w:rFonts w:ascii="Arial" w:hAnsi="Arial" w:cs="Arial"/>
        </w:rPr>
        <w:t>Dongmo, L., Druet-Cabanac, M., Moyou, S.R., Zebaze, D.R.M., Njamnshi, A.K., Sini, V., Mapoure, N., Echouffo, T.J.B., Djeumen, W.C., Ndumbe, P.M.</w:t>
      </w:r>
      <w:r w:rsidR="009D5799">
        <w:rPr>
          <w:rFonts w:ascii="Arial" w:hAnsi="Arial" w:cs="Arial"/>
        </w:rPr>
        <w:t xml:space="preserve"> (</w:t>
      </w:r>
      <w:r w:rsidRPr="004845DA">
        <w:rPr>
          <w:rFonts w:ascii="Arial" w:hAnsi="Arial" w:cs="Arial"/>
        </w:rPr>
        <w:t>2004</w:t>
      </w:r>
      <w:r w:rsidR="009D5799">
        <w:rPr>
          <w:rFonts w:ascii="Arial" w:hAnsi="Arial" w:cs="Arial"/>
        </w:rPr>
        <w:t>)</w:t>
      </w:r>
      <w:r w:rsidRPr="004845DA">
        <w:rPr>
          <w:rFonts w:ascii="Arial" w:hAnsi="Arial" w:cs="Arial"/>
        </w:rPr>
        <w:t>. [Cysticercosis and epilepsy: a case-control study in Mbam V</w:t>
      </w:r>
      <w:r w:rsidR="00CC55DB">
        <w:rPr>
          <w:rFonts w:ascii="Arial" w:hAnsi="Arial" w:cs="Arial"/>
        </w:rPr>
        <w:t>al</w:t>
      </w:r>
      <w:r w:rsidRPr="004845DA">
        <w:rPr>
          <w:rFonts w:ascii="Arial" w:hAnsi="Arial" w:cs="Arial"/>
        </w:rPr>
        <w:t>ley, Cameroon]. Bull. Soc. Pathol. Exot. 97, 105–8.</w:t>
      </w:r>
    </w:p>
    <w:p w14:paraId="5A86D1B9" w14:textId="35C52C36" w:rsidR="004845DA" w:rsidRPr="004845DA" w:rsidRDefault="004845DA" w:rsidP="004845DA">
      <w:pPr>
        <w:pStyle w:val="Body"/>
        <w:spacing w:after="0"/>
        <w:ind w:left="567" w:hanging="567"/>
        <w:rPr>
          <w:rFonts w:ascii="Arial" w:hAnsi="Arial" w:cs="Arial"/>
        </w:rPr>
      </w:pPr>
      <w:r w:rsidRPr="004845DA">
        <w:rPr>
          <w:rFonts w:ascii="Arial" w:hAnsi="Arial" w:cs="Arial"/>
        </w:rPr>
        <w:t>Duysen, E.G., Stribley, J.A., Fry, D.L., Hinrichs, S.H., Lockridge, O.</w:t>
      </w:r>
      <w:r w:rsidR="009D5799">
        <w:rPr>
          <w:rFonts w:ascii="Arial" w:hAnsi="Arial" w:cs="Arial"/>
        </w:rPr>
        <w:t xml:space="preserve"> (</w:t>
      </w:r>
      <w:r w:rsidRPr="004845DA">
        <w:rPr>
          <w:rFonts w:ascii="Arial" w:hAnsi="Arial" w:cs="Arial"/>
        </w:rPr>
        <w:t>2002</w:t>
      </w:r>
      <w:r w:rsidR="009D5799">
        <w:rPr>
          <w:rFonts w:ascii="Arial" w:hAnsi="Arial" w:cs="Arial"/>
        </w:rPr>
        <w:t>)</w:t>
      </w:r>
      <w:r w:rsidRPr="004845DA">
        <w:rPr>
          <w:rFonts w:ascii="Arial" w:hAnsi="Arial" w:cs="Arial"/>
        </w:rPr>
        <w:t>. Rescue of the acetylcholinesterase knockout mouse by feeding a liquid diet; phenotype of the adult acetylcholinesterase deficient mouse. Dev. Brain Res. 137. https://doi.org/10.1016/S0165-3806(02)00367-X</w:t>
      </w:r>
    </w:p>
    <w:p w14:paraId="012897E1" w14:textId="610FD2E8" w:rsidR="004845DA" w:rsidRPr="004845DA" w:rsidRDefault="004845DA" w:rsidP="004845DA">
      <w:pPr>
        <w:pStyle w:val="Body"/>
        <w:spacing w:after="0"/>
        <w:ind w:left="567" w:hanging="567"/>
        <w:rPr>
          <w:rFonts w:ascii="Arial" w:hAnsi="Arial" w:cs="Arial"/>
        </w:rPr>
      </w:pPr>
      <w:r w:rsidRPr="004845DA">
        <w:rPr>
          <w:rFonts w:ascii="Arial" w:hAnsi="Arial" w:cs="Arial"/>
        </w:rPr>
        <w:t>El Hil</w:t>
      </w:r>
      <w:r w:rsidR="00CC55DB">
        <w:rPr>
          <w:rFonts w:ascii="Arial" w:hAnsi="Arial" w:cs="Arial"/>
        </w:rPr>
        <w:t>al</w:t>
      </w:r>
      <w:r w:rsidRPr="004845DA">
        <w:rPr>
          <w:rFonts w:ascii="Arial" w:hAnsi="Arial" w:cs="Arial"/>
        </w:rPr>
        <w:t>y, J., Israili, Z.H., Lyoussi, B.</w:t>
      </w:r>
      <w:r w:rsidR="009D5799">
        <w:rPr>
          <w:rFonts w:ascii="Arial" w:hAnsi="Arial" w:cs="Arial"/>
        </w:rPr>
        <w:t xml:space="preserve"> (</w:t>
      </w:r>
      <w:r w:rsidRPr="004845DA">
        <w:rPr>
          <w:rFonts w:ascii="Arial" w:hAnsi="Arial" w:cs="Arial"/>
        </w:rPr>
        <w:t>2004</w:t>
      </w:r>
      <w:r w:rsidR="009D5799">
        <w:rPr>
          <w:rFonts w:ascii="Arial" w:hAnsi="Arial" w:cs="Arial"/>
        </w:rPr>
        <w:t>)</w:t>
      </w:r>
      <w:r w:rsidRPr="004845DA">
        <w:rPr>
          <w:rFonts w:ascii="Arial" w:hAnsi="Arial" w:cs="Arial"/>
        </w:rPr>
        <w:t>. Acute and chronic toxicologic</w:t>
      </w:r>
      <w:r w:rsidR="00CC55DB">
        <w:rPr>
          <w:rFonts w:ascii="Arial" w:hAnsi="Arial" w:cs="Arial"/>
        </w:rPr>
        <w:t>al</w:t>
      </w:r>
      <w:r w:rsidRPr="004845DA">
        <w:rPr>
          <w:rFonts w:ascii="Arial" w:hAnsi="Arial" w:cs="Arial"/>
        </w:rPr>
        <w:t xml:space="preserve"> studies of Ajuga iva in experiment</w:t>
      </w:r>
      <w:r w:rsidR="00CC55DB">
        <w:rPr>
          <w:rFonts w:ascii="Arial" w:hAnsi="Arial" w:cs="Arial"/>
        </w:rPr>
        <w:t>al</w:t>
      </w:r>
      <w:r w:rsidRPr="004845DA">
        <w:rPr>
          <w:rFonts w:ascii="Arial" w:hAnsi="Arial" w:cs="Arial"/>
        </w:rPr>
        <w:t xml:space="preserve"> anim</w:t>
      </w:r>
      <w:r w:rsidR="00CC55DB">
        <w:rPr>
          <w:rFonts w:ascii="Arial" w:hAnsi="Arial" w:cs="Arial"/>
        </w:rPr>
        <w:t>al</w:t>
      </w:r>
      <w:r w:rsidRPr="004845DA">
        <w:rPr>
          <w:rFonts w:ascii="Arial" w:hAnsi="Arial" w:cs="Arial"/>
        </w:rPr>
        <w:t>s. J. Ethnopharmacol. 91, 43–50. https://doi.org/10.1016/j.jep.2003.11.009</w:t>
      </w:r>
    </w:p>
    <w:p w14:paraId="0D5734E9" w14:textId="3FAA7FE7" w:rsidR="004845DA" w:rsidRPr="004845DA" w:rsidRDefault="004845DA" w:rsidP="004845DA">
      <w:pPr>
        <w:pStyle w:val="Body"/>
        <w:spacing w:after="0"/>
        <w:ind w:left="567" w:hanging="567"/>
        <w:rPr>
          <w:rFonts w:ascii="Arial" w:hAnsi="Arial" w:cs="Arial"/>
          <w:lang w:val="fr-FR"/>
        </w:rPr>
      </w:pPr>
      <w:r w:rsidRPr="004845DA">
        <w:rPr>
          <w:rFonts w:ascii="Arial" w:hAnsi="Arial" w:cs="Arial"/>
        </w:rPr>
        <w:t>Ellman, G.L., Courtney, K.D., Andres, V., Featherstone, R.M.</w:t>
      </w:r>
      <w:r w:rsidR="009D5799">
        <w:rPr>
          <w:rFonts w:ascii="Arial" w:hAnsi="Arial" w:cs="Arial"/>
        </w:rPr>
        <w:t xml:space="preserve"> (</w:t>
      </w:r>
      <w:r w:rsidRPr="004845DA">
        <w:rPr>
          <w:rFonts w:ascii="Arial" w:hAnsi="Arial" w:cs="Arial"/>
        </w:rPr>
        <w:t>1961</w:t>
      </w:r>
      <w:r w:rsidR="009D5799">
        <w:rPr>
          <w:rFonts w:ascii="Arial" w:hAnsi="Arial" w:cs="Arial"/>
        </w:rPr>
        <w:t>)</w:t>
      </w:r>
      <w:r w:rsidRPr="004845DA">
        <w:rPr>
          <w:rFonts w:ascii="Arial" w:hAnsi="Arial" w:cs="Arial"/>
        </w:rPr>
        <w:t xml:space="preserve">. A new and rapid colorimetric determination of acetylcholinesterase activity. Biochem. </w:t>
      </w:r>
      <w:r w:rsidRPr="004845DA">
        <w:rPr>
          <w:rFonts w:ascii="Arial" w:hAnsi="Arial" w:cs="Arial"/>
          <w:lang w:val="fr-FR"/>
        </w:rPr>
        <w:t>Pharmacol. 7. https://doi.org/10.1016/0006-2952(61)90145-9</w:t>
      </w:r>
    </w:p>
    <w:p w14:paraId="0ACFAC25" w14:textId="77777777" w:rsidR="00C052D4" w:rsidRDefault="004845DA" w:rsidP="004845DA">
      <w:pPr>
        <w:pStyle w:val="Body"/>
        <w:spacing w:after="0"/>
        <w:ind w:left="567" w:hanging="567"/>
        <w:rPr>
          <w:rFonts w:ascii="Arial" w:hAnsi="Arial" w:cs="Arial"/>
        </w:rPr>
      </w:pPr>
      <w:r w:rsidRPr="004845DA">
        <w:rPr>
          <w:rFonts w:ascii="Arial" w:hAnsi="Arial" w:cs="Arial"/>
          <w:lang w:val="fr-FR"/>
        </w:rPr>
        <w:t xml:space="preserve">Espinosa-Jove, Camilo., Toledano, Rafael., </w:t>
      </w:r>
      <w:r w:rsidR="00CC55DB">
        <w:rPr>
          <w:rFonts w:ascii="Arial" w:hAnsi="Arial" w:cs="Arial"/>
          <w:lang w:val="fr-FR"/>
        </w:rPr>
        <w:t>Al</w:t>
      </w:r>
      <w:r w:rsidRPr="004845DA">
        <w:rPr>
          <w:rFonts w:ascii="Arial" w:hAnsi="Arial" w:cs="Arial"/>
          <w:lang w:val="fr-FR"/>
        </w:rPr>
        <w:t>edo-Serrano, Ángel., García-Mor</w:t>
      </w:r>
      <w:r w:rsidR="00CC55DB">
        <w:rPr>
          <w:rFonts w:ascii="Arial" w:hAnsi="Arial" w:cs="Arial"/>
          <w:lang w:val="fr-FR"/>
        </w:rPr>
        <w:t>al</w:t>
      </w:r>
      <w:r w:rsidRPr="004845DA">
        <w:rPr>
          <w:rFonts w:ascii="Arial" w:hAnsi="Arial" w:cs="Arial"/>
          <w:lang w:val="fr-FR"/>
        </w:rPr>
        <w:t>es, Irene., Gil-Nagel, Antonio.</w:t>
      </w:r>
      <w:r w:rsidR="009D5799">
        <w:rPr>
          <w:rFonts w:ascii="Arial" w:hAnsi="Arial" w:cs="Arial"/>
          <w:lang w:val="fr-FR"/>
        </w:rPr>
        <w:t xml:space="preserve"> </w:t>
      </w:r>
      <w:r w:rsidR="009D5799" w:rsidRPr="00BD4998">
        <w:rPr>
          <w:rFonts w:ascii="Arial" w:hAnsi="Arial" w:cs="Arial"/>
        </w:rPr>
        <w:t>(</w:t>
      </w:r>
      <w:r w:rsidRPr="00BD4998">
        <w:rPr>
          <w:rFonts w:ascii="Arial" w:hAnsi="Arial" w:cs="Arial"/>
        </w:rPr>
        <w:t>2018</w:t>
      </w:r>
      <w:r w:rsidR="009D5799" w:rsidRPr="00BD4998">
        <w:rPr>
          <w:rFonts w:ascii="Arial" w:hAnsi="Arial" w:cs="Arial"/>
        </w:rPr>
        <w:t>)</w:t>
      </w:r>
      <w:r w:rsidRPr="00BD4998">
        <w:rPr>
          <w:rFonts w:ascii="Arial" w:hAnsi="Arial" w:cs="Arial"/>
        </w:rPr>
        <w:t xml:space="preserve">. </w:t>
      </w:r>
      <w:r w:rsidRPr="004845DA">
        <w:rPr>
          <w:rFonts w:ascii="Arial" w:hAnsi="Arial" w:cs="Arial"/>
        </w:rPr>
        <w:t>Epidemiologic</w:t>
      </w:r>
      <w:r w:rsidR="00CC55DB">
        <w:rPr>
          <w:rFonts w:ascii="Arial" w:hAnsi="Arial" w:cs="Arial"/>
        </w:rPr>
        <w:t>al</w:t>
      </w:r>
      <w:r w:rsidRPr="004845DA">
        <w:rPr>
          <w:rFonts w:ascii="Arial" w:hAnsi="Arial" w:cs="Arial"/>
        </w:rPr>
        <w:t xml:space="preserve"> profile of epilepsy in low income populations Seizure, Volume 56, 2018, Pages 67-72, ISSN 1059-1311,</w:t>
      </w:r>
      <w:r w:rsidR="00C052D4">
        <w:rPr>
          <w:rFonts w:ascii="Arial" w:hAnsi="Arial" w:cs="Arial"/>
        </w:rPr>
        <w:t xml:space="preserve"> </w:t>
      </w:r>
      <w:r w:rsidRPr="00C052D4">
        <w:rPr>
          <w:rFonts w:ascii="Arial" w:hAnsi="Arial" w:cs="Arial"/>
        </w:rPr>
        <w:t>https://doi.org/10.1016/j.seizure.2018.02.002</w:t>
      </w:r>
      <w:r w:rsidRPr="004845DA">
        <w:rPr>
          <w:rFonts w:ascii="Arial" w:hAnsi="Arial" w:cs="Arial"/>
        </w:rPr>
        <w:t>.</w:t>
      </w:r>
    </w:p>
    <w:p w14:paraId="32B0C7D1" w14:textId="3F4D63A9" w:rsidR="004845DA" w:rsidRPr="00BD4998" w:rsidRDefault="004845DA" w:rsidP="004845DA">
      <w:pPr>
        <w:pStyle w:val="Body"/>
        <w:spacing w:after="0"/>
        <w:ind w:left="567" w:hanging="567"/>
        <w:rPr>
          <w:rFonts w:ascii="Arial" w:hAnsi="Arial" w:cs="Arial"/>
        </w:rPr>
      </w:pPr>
      <w:r w:rsidRPr="004845DA">
        <w:rPr>
          <w:rFonts w:ascii="Arial" w:hAnsi="Arial" w:cs="Arial"/>
        </w:rPr>
        <w:t>Faure, J.B., Marques-Carneiro, J.E., Akimana, G., Cosquer, B., Ferrandon, A., Herbeaux, K., Koning, E., Barbelivien, A., Nehlig, A., Cassel, J.C.</w:t>
      </w:r>
      <w:r w:rsidR="009D5799">
        <w:rPr>
          <w:rFonts w:ascii="Arial" w:hAnsi="Arial" w:cs="Arial"/>
        </w:rPr>
        <w:t xml:space="preserve"> (</w:t>
      </w:r>
      <w:r w:rsidRPr="004845DA">
        <w:rPr>
          <w:rFonts w:ascii="Arial" w:hAnsi="Arial" w:cs="Arial"/>
        </w:rPr>
        <w:t>2014</w:t>
      </w:r>
      <w:r w:rsidR="009D5799">
        <w:rPr>
          <w:rFonts w:ascii="Arial" w:hAnsi="Arial" w:cs="Arial"/>
        </w:rPr>
        <w:t>)</w:t>
      </w:r>
      <w:r w:rsidRPr="004845DA">
        <w:rPr>
          <w:rFonts w:ascii="Arial" w:hAnsi="Arial" w:cs="Arial"/>
        </w:rPr>
        <w:t xml:space="preserve">. Attention and executive functions in a rat model of chronic epilepsy. </w:t>
      </w:r>
      <w:r w:rsidRPr="00BD4998">
        <w:rPr>
          <w:rFonts w:ascii="Arial" w:hAnsi="Arial" w:cs="Arial"/>
        </w:rPr>
        <w:t>Epilepsia 55, 644–653. https://doi.org/10.1111/epi.12549</w:t>
      </w:r>
    </w:p>
    <w:p w14:paraId="50497AA5" w14:textId="347BEEB6" w:rsidR="004845DA" w:rsidRPr="004845DA" w:rsidRDefault="004845DA" w:rsidP="004845DA">
      <w:pPr>
        <w:pStyle w:val="Body"/>
        <w:spacing w:after="0"/>
        <w:ind w:left="567" w:hanging="567"/>
        <w:rPr>
          <w:rFonts w:ascii="Arial" w:hAnsi="Arial" w:cs="Arial"/>
          <w:lang w:val="fr-FR"/>
        </w:rPr>
      </w:pPr>
      <w:r w:rsidRPr="00BD4998">
        <w:rPr>
          <w:rFonts w:ascii="Arial" w:hAnsi="Arial" w:cs="Arial"/>
        </w:rPr>
        <w:t>Freitas, R.M., Vasconcelos, S.M.M., Souza, F.C.F., Viana, G.S.B., Fonteles, M.M.F.</w:t>
      </w:r>
      <w:r w:rsidR="009D5799" w:rsidRPr="00BD4998">
        <w:rPr>
          <w:rFonts w:ascii="Arial" w:hAnsi="Arial" w:cs="Arial"/>
        </w:rPr>
        <w:t xml:space="preserve"> (</w:t>
      </w:r>
      <w:r w:rsidRPr="00BD4998">
        <w:rPr>
          <w:rFonts w:ascii="Arial" w:hAnsi="Arial" w:cs="Arial"/>
        </w:rPr>
        <w:t>2005</w:t>
      </w:r>
      <w:r w:rsidR="009D5799" w:rsidRPr="00BD4998">
        <w:rPr>
          <w:rFonts w:ascii="Arial" w:hAnsi="Arial" w:cs="Arial"/>
        </w:rPr>
        <w:t>)</w:t>
      </w:r>
      <w:r w:rsidRPr="00BD4998">
        <w:rPr>
          <w:rFonts w:ascii="Arial" w:hAnsi="Arial" w:cs="Arial"/>
        </w:rPr>
        <w:t xml:space="preserve">. </w:t>
      </w:r>
      <w:r w:rsidRPr="004845DA">
        <w:rPr>
          <w:rFonts w:ascii="Arial" w:hAnsi="Arial" w:cs="Arial"/>
        </w:rPr>
        <w:t xml:space="preserve">Oxidative stress in the hippocampus after pilocarpine-induced status epilepticus in Wistar rats. </w:t>
      </w:r>
      <w:r w:rsidRPr="004845DA">
        <w:rPr>
          <w:rFonts w:ascii="Arial" w:hAnsi="Arial" w:cs="Arial"/>
          <w:lang w:val="fr-FR"/>
        </w:rPr>
        <w:t>FEBS J. 272. https://doi.org/10.1111/j.1742-4658.2004.04537.x</w:t>
      </w:r>
    </w:p>
    <w:p w14:paraId="2DF2DCB7" w14:textId="794AF310" w:rsidR="004845DA" w:rsidRPr="004845DA" w:rsidRDefault="004845DA" w:rsidP="004845DA">
      <w:pPr>
        <w:pStyle w:val="Body"/>
        <w:spacing w:after="0"/>
        <w:ind w:left="567" w:hanging="567"/>
        <w:rPr>
          <w:rFonts w:ascii="Arial" w:hAnsi="Arial" w:cs="Arial"/>
        </w:rPr>
      </w:pPr>
      <w:bookmarkStart w:id="25" w:name="_Hlk185410680"/>
      <w:r w:rsidRPr="004845DA">
        <w:rPr>
          <w:rFonts w:ascii="Arial" w:hAnsi="Arial" w:cs="Arial"/>
          <w:lang w:val="fr-FR"/>
        </w:rPr>
        <w:t>Furtado</w:t>
      </w:r>
      <w:bookmarkEnd w:id="25"/>
      <w:r w:rsidRPr="004845DA">
        <w:rPr>
          <w:rFonts w:ascii="Arial" w:hAnsi="Arial" w:cs="Arial"/>
          <w:lang w:val="fr-FR"/>
        </w:rPr>
        <w:t>, Mde A., Braga, GK., Oliveira, JA., Del Vecchio, F., Garcia-Cairasco, N.</w:t>
      </w:r>
      <w:r w:rsidR="009D5799">
        <w:rPr>
          <w:rFonts w:ascii="Arial" w:hAnsi="Arial" w:cs="Arial"/>
          <w:lang w:val="fr-FR"/>
        </w:rPr>
        <w:t xml:space="preserve"> (</w:t>
      </w:r>
      <w:r w:rsidRPr="004845DA">
        <w:rPr>
          <w:rFonts w:ascii="Arial" w:hAnsi="Arial" w:cs="Arial"/>
          <w:lang w:val="fr-FR"/>
        </w:rPr>
        <w:t>2002</w:t>
      </w:r>
      <w:r w:rsidR="009D5799">
        <w:rPr>
          <w:rFonts w:ascii="Arial" w:hAnsi="Arial" w:cs="Arial"/>
          <w:lang w:val="fr-FR"/>
        </w:rPr>
        <w:t>)</w:t>
      </w:r>
      <w:r w:rsidRPr="004845DA">
        <w:rPr>
          <w:rFonts w:ascii="Arial" w:hAnsi="Arial" w:cs="Arial"/>
          <w:lang w:val="fr-FR"/>
        </w:rPr>
        <w:t xml:space="preserve">. </w:t>
      </w:r>
      <w:r w:rsidRPr="004845DA">
        <w:rPr>
          <w:rFonts w:ascii="Arial" w:hAnsi="Arial" w:cs="Arial"/>
        </w:rPr>
        <w:t>Behavior</w:t>
      </w:r>
      <w:r w:rsidR="00CC55DB">
        <w:rPr>
          <w:rFonts w:ascii="Arial" w:hAnsi="Arial" w:cs="Arial"/>
        </w:rPr>
        <w:t>al</w:t>
      </w:r>
      <w:r w:rsidRPr="004845DA">
        <w:rPr>
          <w:rFonts w:ascii="Arial" w:hAnsi="Arial" w:cs="Arial"/>
        </w:rPr>
        <w:t>, morphologic, and electroenceph</w:t>
      </w:r>
      <w:r w:rsidR="00CC55DB">
        <w:rPr>
          <w:rFonts w:ascii="Arial" w:hAnsi="Arial" w:cs="Arial"/>
        </w:rPr>
        <w:t>al</w:t>
      </w:r>
      <w:r w:rsidRPr="004845DA">
        <w:rPr>
          <w:rFonts w:ascii="Arial" w:hAnsi="Arial" w:cs="Arial"/>
        </w:rPr>
        <w:t>ographic ev</w:t>
      </w:r>
      <w:r w:rsidR="00CC55DB">
        <w:rPr>
          <w:rFonts w:ascii="Arial" w:hAnsi="Arial" w:cs="Arial"/>
        </w:rPr>
        <w:t>al</w:t>
      </w:r>
      <w:r w:rsidRPr="004845DA">
        <w:rPr>
          <w:rFonts w:ascii="Arial" w:hAnsi="Arial" w:cs="Arial"/>
        </w:rPr>
        <w:t>uation of seizures induced by intrahippocamp</w:t>
      </w:r>
      <w:r w:rsidR="00CC55DB">
        <w:rPr>
          <w:rFonts w:ascii="Arial" w:hAnsi="Arial" w:cs="Arial"/>
        </w:rPr>
        <w:t>al</w:t>
      </w:r>
      <w:r w:rsidRPr="004845DA">
        <w:rPr>
          <w:rFonts w:ascii="Arial" w:hAnsi="Arial" w:cs="Arial"/>
        </w:rPr>
        <w:t xml:space="preserve"> microinjection of pilocarpine. Epilepsia. 43 Suppl 5:37-9. doi: 10.1046/j.1528-1157.43.s.5.41.x. PMID</w:t>
      </w:r>
    </w:p>
    <w:p w14:paraId="590A2AFA" w14:textId="2CF6DB37" w:rsidR="004845DA" w:rsidRDefault="004845DA" w:rsidP="004845DA">
      <w:pPr>
        <w:pStyle w:val="Body"/>
        <w:spacing w:after="0"/>
        <w:ind w:left="567" w:hanging="567"/>
        <w:rPr>
          <w:rFonts w:ascii="Arial" w:hAnsi="Arial" w:cs="Arial"/>
        </w:rPr>
      </w:pPr>
      <w:r w:rsidRPr="004845DA">
        <w:rPr>
          <w:rFonts w:ascii="Arial" w:hAnsi="Arial" w:cs="Arial"/>
        </w:rPr>
        <w:t>Gröticke, I., Hoffmann, K., Löscher, W.</w:t>
      </w:r>
      <w:r w:rsidR="009D5799">
        <w:rPr>
          <w:rFonts w:ascii="Arial" w:hAnsi="Arial" w:cs="Arial"/>
        </w:rPr>
        <w:t xml:space="preserve"> (</w:t>
      </w:r>
      <w:r w:rsidRPr="004845DA">
        <w:rPr>
          <w:rFonts w:ascii="Arial" w:hAnsi="Arial" w:cs="Arial"/>
        </w:rPr>
        <w:t>2008</w:t>
      </w:r>
      <w:r w:rsidR="009D5799">
        <w:rPr>
          <w:rFonts w:ascii="Arial" w:hAnsi="Arial" w:cs="Arial"/>
        </w:rPr>
        <w:t>)</w:t>
      </w:r>
      <w:r w:rsidRPr="004845DA">
        <w:rPr>
          <w:rFonts w:ascii="Arial" w:hAnsi="Arial" w:cs="Arial"/>
        </w:rPr>
        <w:t>. Behavior</w:t>
      </w:r>
      <w:r w:rsidR="00CC55DB">
        <w:rPr>
          <w:rFonts w:ascii="Arial" w:hAnsi="Arial" w:cs="Arial"/>
        </w:rPr>
        <w:t>al</w:t>
      </w:r>
      <w:r w:rsidRPr="004845DA">
        <w:rPr>
          <w:rFonts w:ascii="Arial" w:hAnsi="Arial" w:cs="Arial"/>
        </w:rPr>
        <w:t xml:space="preserve"> </w:t>
      </w:r>
      <w:r w:rsidR="00CC55DB">
        <w:rPr>
          <w:rFonts w:ascii="Arial" w:hAnsi="Arial" w:cs="Arial"/>
        </w:rPr>
        <w:t>al</w:t>
      </w:r>
      <w:r w:rsidRPr="004845DA">
        <w:rPr>
          <w:rFonts w:ascii="Arial" w:hAnsi="Arial" w:cs="Arial"/>
        </w:rPr>
        <w:t>terations in a mouse model of tempor</w:t>
      </w:r>
      <w:r w:rsidR="00CC55DB">
        <w:rPr>
          <w:rFonts w:ascii="Arial" w:hAnsi="Arial" w:cs="Arial"/>
        </w:rPr>
        <w:t>al</w:t>
      </w:r>
      <w:r w:rsidRPr="004845DA">
        <w:rPr>
          <w:rFonts w:ascii="Arial" w:hAnsi="Arial" w:cs="Arial"/>
        </w:rPr>
        <w:t xml:space="preserve"> lobe epilepsy induced by intrahippocamp</w:t>
      </w:r>
      <w:r w:rsidR="00CC55DB">
        <w:rPr>
          <w:rFonts w:ascii="Arial" w:hAnsi="Arial" w:cs="Arial"/>
        </w:rPr>
        <w:t>al</w:t>
      </w:r>
      <w:r w:rsidRPr="004845DA">
        <w:rPr>
          <w:rFonts w:ascii="Arial" w:hAnsi="Arial" w:cs="Arial"/>
        </w:rPr>
        <w:t xml:space="preserve"> injection of kainate. Exp. Neurol. 213, 71–83. https://doi.org/10.1016/j.expneurol.2008.04.036</w:t>
      </w:r>
    </w:p>
    <w:p w14:paraId="23C70697" w14:textId="100F479B" w:rsidR="000B3F77" w:rsidRPr="003F7987" w:rsidRDefault="000B3F77" w:rsidP="000B3F77">
      <w:pPr>
        <w:ind w:left="567" w:hanging="567"/>
        <w:jc w:val="both"/>
        <w:rPr>
          <w:rFonts w:ascii="Arial" w:hAnsi="Arial" w:cs="Arial"/>
          <w:lang w:val="en-GB" w:eastAsia="fr-FR"/>
        </w:rPr>
      </w:pPr>
      <w:r w:rsidRPr="003F7987">
        <w:rPr>
          <w:rFonts w:ascii="Arial" w:hAnsi="Arial" w:cs="Arial"/>
          <w:bCs/>
          <w:lang w:val="en-GB" w:eastAsia="fr-FR"/>
        </w:rPr>
        <w:t>Harbone J. B.</w:t>
      </w:r>
      <w:r w:rsidRPr="000B3F77">
        <w:rPr>
          <w:rFonts w:ascii="Arial" w:hAnsi="Arial" w:cs="Arial"/>
          <w:bCs/>
          <w:lang w:val="en-GB" w:eastAsia="fr-FR"/>
        </w:rPr>
        <w:t xml:space="preserve"> (</w:t>
      </w:r>
      <w:r w:rsidRPr="003F7987">
        <w:rPr>
          <w:rFonts w:ascii="Arial" w:hAnsi="Arial" w:cs="Arial"/>
          <w:bCs/>
          <w:lang w:val="en-GB" w:eastAsia="fr-FR"/>
        </w:rPr>
        <w:t>1976</w:t>
      </w:r>
      <w:r w:rsidRPr="000B3F77">
        <w:rPr>
          <w:rFonts w:ascii="Arial" w:hAnsi="Arial" w:cs="Arial"/>
          <w:bCs/>
          <w:lang w:val="en-GB" w:eastAsia="fr-FR"/>
        </w:rPr>
        <w:t>)</w:t>
      </w:r>
      <w:r w:rsidRPr="003F7987">
        <w:rPr>
          <w:rFonts w:ascii="Arial" w:hAnsi="Arial" w:cs="Arial"/>
          <w:bCs/>
          <w:lang w:val="en-GB" w:eastAsia="fr-FR"/>
        </w:rPr>
        <w:t>.</w:t>
      </w:r>
      <w:r w:rsidRPr="003F7987">
        <w:rPr>
          <w:rFonts w:ascii="Arial" w:hAnsi="Arial" w:cs="Arial"/>
          <w:b/>
          <w:lang w:val="en-GB" w:eastAsia="fr-FR"/>
        </w:rPr>
        <w:t xml:space="preserve"> </w:t>
      </w:r>
      <w:r w:rsidRPr="003F7987">
        <w:rPr>
          <w:rFonts w:ascii="Arial" w:hAnsi="Arial" w:cs="Arial"/>
          <w:lang w:val="en-GB" w:eastAsia="fr-FR"/>
        </w:rPr>
        <w:t>Phytochemical methods. A guide to modern techniques of plant analysis. 1st ed. Champignon and Hall, London; pp: 1-50.</w:t>
      </w:r>
    </w:p>
    <w:p w14:paraId="059D8FFB" w14:textId="224954F9" w:rsidR="004845DA" w:rsidRPr="004845DA" w:rsidRDefault="004845DA" w:rsidP="004845DA">
      <w:pPr>
        <w:pStyle w:val="Body"/>
        <w:spacing w:after="0"/>
        <w:ind w:left="567" w:hanging="567"/>
        <w:rPr>
          <w:rFonts w:ascii="Arial" w:hAnsi="Arial" w:cs="Arial"/>
        </w:rPr>
      </w:pPr>
      <w:r w:rsidRPr="00922EB3">
        <w:rPr>
          <w:rFonts w:ascii="Arial" w:hAnsi="Arial" w:cs="Arial"/>
        </w:rPr>
        <w:t>Kandeda, A.K., Taiwe, G.S., Moto, F.C.O., Ngoupaye, G.T., Nkantchoua, G.C.N., Njapdounke, J.S.K., Omam, J.P.O., P</w:t>
      </w:r>
      <w:r w:rsidR="00CC55DB" w:rsidRPr="00922EB3">
        <w:rPr>
          <w:rFonts w:ascii="Arial" w:hAnsi="Arial" w:cs="Arial"/>
        </w:rPr>
        <w:t>al</w:t>
      </w:r>
      <w:r w:rsidRPr="00922EB3">
        <w:rPr>
          <w:rFonts w:ascii="Arial" w:hAnsi="Arial" w:cs="Arial"/>
        </w:rPr>
        <w:t>e, S., Kouemou, N., Bum, E.N.</w:t>
      </w:r>
      <w:r w:rsidR="00742BA7" w:rsidRPr="00922EB3">
        <w:rPr>
          <w:rFonts w:ascii="Arial" w:hAnsi="Arial" w:cs="Arial"/>
        </w:rPr>
        <w:t xml:space="preserve"> (</w:t>
      </w:r>
      <w:r w:rsidRPr="00922EB3">
        <w:rPr>
          <w:rFonts w:ascii="Arial" w:hAnsi="Arial" w:cs="Arial"/>
        </w:rPr>
        <w:t>2017</w:t>
      </w:r>
      <w:r w:rsidR="00742BA7" w:rsidRPr="00922EB3">
        <w:rPr>
          <w:rFonts w:ascii="Arial" w:hAnsi="Arial" w:cs="Arial"/>
        </w:rPr>
        <w:t>)</w:t>
      </w:r>
      <w:r w:rsidRPr="00922EB3">
        <w:rPr>
          <w:rFonts w:ascii="Arial" w:hAnsi="Arial" w:cs="Arial"/>
        </w:rPr>
        <w:t xml:space="preserve">. </w:t>
      </w:r>
      <w:r w:rsidRPr="004845DA">
        <w:rPr>
          <w:rFonts w:ascii="Arial" w:hAnsi="Arial" w:cs="Arial"/>
        </w:rPr>
        <w:t>Antiepileptogenic and neuroprotective effects of Pergularia daemia on pilocarpine model of epilepsy. Front. Pharmacol. 8, 1–14. https://doi.org/10.3389/fphar.2017.00440</w:t>
      </w:r>
    </w:p>
    <w:p w14:paraId="08A95353" w14:textId="264E70D0" w:rsidR="004845DA" w:rsidRPr="004845DA" w:rsidRDefault="004845DA" w:rsidP="004845DA">
      <w:pPr>
        <w:pStyle w:val="Body"/>
        <w:spacing w:after="0"/>
        <w:ind w:left="567" w:hanging="567"/>
        <w:rPr>
          <w:rFonts w:ascii="Arial" w:hAnsi="Arial" w:cs="Arial"/>
        </w:rPr>
      </w:pPr>
      <w:r w:rsidRPr="00922EB3">
        <w:rPr>
          <w:rFonts w:ascii="Arial" w:hAnsi="Arial" w:cs="Arial"/>
        </w:rPr>
        <w:lastRenderedPageBreak/>
        <w:t>Kavaye Kandeda, A., Okomolo Moto, F.C., Mbomo Ayissi, R.E., Omam Omam, J.P., Ojong, L., Ngo Bum, E.</w:t>
      </w:r>
      <w:r w:rsidR="00742BA7" w:rsidRPr="00922EB3">
        <w:rPr>
          <w:rFonts w:ascii="Arial" w:hAnsi="Arial" w:cs="Arial"/>
        </w:rPr>
        <w:t xml:space="preserve"> (</w:t>
      </w:r>
      <w:r w:rsidRPr="00922EB3">
        <w:rPr>
          <w:rFonts w:ascii="Arial" w:hAnsi="Arial" w:cs="Arial"/>
        </w:rPr>
        <w:t>2021</w:t>
      </w:r>
      <w:r w:rsidR="00742BA7" w:rsidRPr="00922EB3">
        <w:rPr>
          <w:rFonts w:ascii="Arial" w:hAnsi="Arial" w:cs="Arial"/>
        </w:rPr>
        <w:t>)</w:t>
      </w:r>
      <w:r w:rsidRPr="00922EB3">
        <w:rPr>
          <w:rFonts w:ascii="Arial" w:hAnsi="Arial" w:cs="Arial"/>
        </w:rPr>
        <w:t>. Pergularia daemia hydro-ethanolic extract protects against pentylenetetrazole kindling-induced seizures, oxidative stress, and neuroinflammation in mice. J. Ethnopharmacol. 279. https://doi.org/10.1016/j.jep.2021.114338</w:t>
      </w:r>
    </w:p>
    <w:p w14:paraId="1788D26B" w14:textId="215740B1" w:rsidR="00B13355" w:rsidRDefault="00B13355" w:rsidP="004845DA">
      <w:pPr>
        <w:pStyle w:val="Body"/>
        <w:spacing w:after="0"/>
        <w:ind w:left="567" w:hanging="567"/>
        <w:rPr>
          <w:rFonts w:ascii="Arial" w:hAnsi="Arial" w:cs="Arial"/>
        </w:rPr>
      </w:pPr>
      <w:r w:rsidRPr="00681EA4">
        <w:rPr>
          <w:rFonts w:ascii="Arial" w:hAnsi="Arial" w:cs="Arial"/>
          <w:lang w:val="en-GB"/>
        </w:rPr>
        <w:t>Katyayan, A</w:t>
      </w:r>
      <w:r w:rsidR="0054321C" w:rsidRPr="00681EA4">
        <w:rPr>
          <w:rFonts w:ascii="Arial" w:hAnsi="Arial" w:cs="Arial"/>
          <w:lang w:val="en-GB"/>
        </w:rPr>
        <w:t>.</w:t>
      </w:r>
      <w:r w:rsidRPr="00681EA4">
        <w:rPr>
          <w:rFonts w:ascii="Arial" w:hAnsi="Arial" w:cs="Arial"/>
          <w:lang w:val="en-GB"/>
        </w:rPr>
        <w:t xml:space="preserve"> </w:t>
      </w:r>
      <w:r w:rsidR="0054321C" w:rsidRPr="00681EA4">
        <w:rPr>
          <w:rFonts w:ascii="Arial" w:hAnsi="Arial" w:cs="Arial"/>
          <w:lang w:val="en-GB"/>
        </w:rPr>
        <w:t>&amp;</w:t>
      </w:r>
      <w:r w:rsidRPr="00681EA4">
        <w:rPr>
          <w:rFonts w:ascii="Arial" w:hAnsi="Arial" w:cs="Arial"/>
          <w:lang w:val="en-GB"/>
        </w:rPr>
        <w:t xml:space="preserve"> Diaz-Medina,</w:t>
      </w:r>
      <w:r>
        <w:rPr>
          <w:rFonts w:ascii="Arial" w:hAnsi="Arial" w:cs="Arial"/>
          <w:lang w:val="en-GB"/>
        </w:rPr>
        <w:t xml:space="preserve"> G. (2021). Epilepsy: Epileptic Syndromes and Treatment. Neurol Clin 39 (2021) 779-795. https://doi.org/10.10.16/j/ncl/2021.04.002.</w:t>
      </w:r>
    </w:p>
    <w:p w14:paraId="1FF01048" w14:textId="64D3419B" w:rsidR="004845DA" w:rsidRPr="004845DA" w:rsidRDefault="004845DA" w:rsidP="004845DA">
      <w:pPr>
        <w:pStyle w:val="Body"/>
        <w:spacing w:after="0"/>
        <w:ind w:left="567" w:hanging="567"/>
        <w:rPr>
          <w:rFonts w:ascii="Arial" w:hAnsi="Arial" w:cs="Arial"/>
        </w:rPr>
      </w:pPr>
      <w:r w:rsidRPr="005F128A">
        <w:rPr>
          <w:rFonts w:ascii="Arial" w:hAnsi="Arial" w:cs="Arial"/>
        </w:rPr>
        <w:t>Kim, Hee-Jae., Chung, Jee-In., Lee, Soo-Hwan., Jung, Yi-Sook</w:t>
      </w:r>
      <w:r w:rsidR="00742BA7" w:rsidRPr="005F128A">
        <w:rPr>
          <w:rFonts w:ascii="Arial" w:hAnsi="Arial" w:cs="Arial"/>
        </w:rPr>
        <w:t>., Moon</w:t>
      </w:r>
      <w:r w:rsidRPr="005F128A">
        <w:rPr>
          <w:rFonts w:ascii="Arial" w:hAnsi="Arial" w:cs="Arial"/>
        </w:rPr>
        <w:t>, Chang-Hyun</w:t>
      </w:r>
      <w:r w:rsidR="00742BA7" w:rsidRPr="005F128A">
        <w:rPr>
          <w:rFonts w:ascii="Arial" w:hAnsi="Arial" w:cs="Arial"/>
        </w:rPr>
        <w:t>., Baik</w:t>
      </w:r>
      <w:r w:rsidRPr="005F128A">
        <w:rPr>
          <w:rFonts w:ascii="Arial" w:hAnsi="Arial" w:cs="Arial"/>
        </w:rPr>
        <w:t>, Eun-Joo.</w:t>
      </w:r>
      <w:r w:rsidR="00742BA7" w:rsidRPr="005F128A">
        <w:rPr>
          <w:rFonts w:ascii="Arial" w:hAnsi="Arial" w:cs="Arial"/>
        </w:rPr>
        <w:t xml:space="preserve"> (</w:t>
      </w:r>
      <w:r w:rsidRPr="005F128A">
        <w:rPr>
          <w:rFonts w:ascii="Arial" w:hAnsi="Arial" w:cs="Arial"/>
        </w:rPr>
        <w:t>2008</w:t>
      </w:r>
      <w:r w:rsidR="00742BA7" w:rsidRPr="005F128A">
        <w:rPr>
          <w:rFonts w:ascii="Arial" w:hAnsi="Arial" w:cs="Arial"/>
        </w:rPr>
        <w:t>)</w:t>
      </w:r>
      <w:r w:rsidRPr="005F128A">
        <w:rPr>
          <w:rFonts w:ascii="Arial" w:hAnsi="Arial" w:cs="Arial"/>
        </w:rPr>
        <w:t>. Involvement of endogenous prostaglandin F2α on kainic acid-induced seizure activity through FP receptor: The mechanism of proconvulsant effects of COX-2 inhibitors, Brain Research, Volume 1193, Pages 153-161, ISSN 0006-8993,</w:t>
      </w:r>
      <w:r w:rsidR="00742BA7" w:rsidRPr="005F128A">
        <w:rPr>
          <w:rFonts w:ascii="Arial" w:hAnsi="Arial" w:cs="Arial"/>
        </w:rPr>
        <w:t xml:space="preserve"> </w:t>
      </w:r>
      <w:r w:rsidRPr="005F128A">
        <w:rPr>
          <w:rFonts w:ascii="Arial" w:hAnsi="Arial" w:cs="Arial"/>
        </w:rPr>
        <w:t>https://doi.org/10.1016/j.brainres.2007.12.017.(https://www.sciencedirect.com/science/article/pii/S0006899307028697).</w:t>
      </w:r>
    </w:p>
    <w:p w14:paraId="57AD5ECA" w14:textId="45062F3D" w:rsidR="004845DA" w:rsidRPr="004845DA" w:rsidRDefault="004845DA" w:rsidP="004845DA">
      <w:pPr>
        <w:pStyle w:val="Body"/>
        <w:spacing w:after="0"/>
        <w:ind w:left="567" w:hanging="567"/>
        <w:rPr>
          <w:rFonts w:ascii="Arial" w:hAnsi="Arial" w:cs="Arial"/>
        </w:rPr>
      </w:pPr>
      <w:r w:rsidRPr="004845DA">
        <w:rPr>
          <w:rFonts w:ascii="Arial" w:hAnsi="Arial" w:cs="Arial"/>
        </w:rPr>
        <w:t xml:space="preserve">Koto-te-Nyiwa N, Mubindukila REN, Mpiana PT, Masengo CA, Robijaona B, Fatiany PR, Takoy L, Ekutsu GE, Zoawe BG. </w:t>
      </w:r>
      <w:r w:rsidR="00742BA7">
        <w:rPr>
          <w:rFonts w:ascii="Arial" w:hAnsi="Arial" w:cs="Arial"/>
        </w:rPr>
        <w:t>(</w:t>
      </w:r>
      <w:r w:rsidR="00742BA7" w:rsidRPr="004845DA">
        <w:rPr>
          <w:rFonts w:ascii="Arial" w:hAnsi="Arial" w:cs="Arial"/>
        </w:rPr>
        <w:t>2014</w:t>
      </w:r>
      <w:r w:rsidR="00742BA7">
        <w:rPr>
          <w:rFonts w:ascii="Arial" w:hAnsi="Arial" w:cs="Arial"/>
        </w:rPr>
        <w:t xml:space="preserve">). </w:t>
      </w:r>
      <w:r w:rsidRPr="004845DA">
        <w:rPr>
          <w:rFonts w:ascii="Arial" w:hAnsi="Arial" w:cs="Arial"/>
        </w:rPr>
        <w:t>In vitro assessment of antibacteri</w:t>
      </w:r>
      <w:r w:rsidR="00CC55DB">
        <w:rPr>
          <w:rFonts w:ascii="Arial" w:hAnsi="Arial" w:cs="Arial"/>
        </w:rPr>
        <w:t>al</w:t>
      </w:r>
      <w:r w:rsidRPr="004845DA">
        <w:rPr>
          <w:rFonts w:ascii="Arial" w:hAnsi="Arial" w:cs="Arial"/>
        </w:rPr>
        <w:t xml:space="preserve"> and antioxidant activities of a Congolese medicin</w:t>
      </w:r>
      <w:r w:rsidR="00CC55DB">
        <w:rPr>
          <w:rFonts w:ascii="Arial" w:hAnsi="Arial" w:cs="Arial"/>
        </w:rPr>
        <w:t>al</w:t>
      </w:r>
      <w:r w:rsidRPr="004845DA">
        <w:rPr>
          <w:rFonts w:ascii="Arial" w:hAnsi="Arial" w:cs="Arial"/>
        </w:rPr>
        <w:t xml:space="preserve"> plant species Anthocleista schweinfurthii Gilg (Gentianaceae). Journ</w:t>
      </w:r>
      <w:r w:rsidR="00CC55DB">
        <w:rPr>
          <w:rFonts w:ascii="Arial" w:hAnsi="Arial" w:cs="Arial"/>
        </w:rPr>
        <w:t>al</w:t>
      </w:r>
      <w:r w:rsidRPr="004845DA">
        <w:rPr>
          <w:rFonts w:ascii="Arial" w:hAnsi="Arial" w:cs="Arial"/>
        </w:rPr>
        <w:t xml:space="preserve"> of Modern Drug Discovery and Drug Delivery Research; 6: 2348-3776. </w:t>
      </w:r>
    </w:p>
    <w:p w14:paraId="5A11D408" w14:textId="33B7F3D7" w:rsidR="004845DA" w:rsidRPr="004845DA" w:rsidRDefault="004845DA" w:rsidP="004845DA">
      <w:pPr>
        <w:pStyle w:val="Body"/>
        <w:spacing w:after="0"/>
        <w:ind w:left="567" w:hanging="567"/>
        <w:rPr>
          <w:rFonts w:ascii="Arial" w:hAnsi="Arial" w:cs="Arial"/>
          <w:lang w:val="fr-FR"/>
        </w:rPr>
      </w:pPr>
      <w:r w:rsidRPr="004845DA">
        <w:rPr>
          <w:rFonts w:ascii="Arial" w:hAnsi="Arial" w:cs="Arial"/>
        </w:rPr>
        <w:t>Kumar, A., Sehg</w:t>
      </w:r>
      <w:r w:rsidR="00CC55DB">
        <w:rPr>
          <w:rFonts w:ascii="Arial" w:hAnsi="Arial" w:cs="Arial"/>
        </w:rPr>
        <w:t>al</w:t>
      </w:r>
      <w:r w:rsidRPr="004845DA">
        <w:rPr>
          <w:rFonts w:ascii="Arial" w:hAnsi="Arial" w:cs="Arial"/>
        </w:rPr>
        <w:t>, N., Kumar, P., Padi, S.S.V., Naidu, P.S.</w:t>
      </w:r>
      <w:r w:rsidR="000D2179">
        <w:rPr>
          <w:rFonts w:ascii="Arial" w:hAnsi="Arial" w:cs="Arial"/>
        </w:rPr>
        <w:t xml:space="preserve"> (</w:t>
      </w:r>
      <w:r w:rsidRPr="004845DA">
        <w:rPr>
          <w:rFonts w:ascii="Arial" w:hAnsi="Arial" w:cs="Arial"/>
        </w:rPr>
        <w:t>2008</w:t>
      </w:r>
      <w:r w:rsidR="000D2179">
        <w:rPr>
          <w:rFonts w:ascii="Arial" w:hAnsi="Arial" w:cs="Arial"/>
        </w:rPr>
        <w:t>)</w:t>
      </w:r>
      <w:r w:rsidRPr="004845DA">
        <w:rPr>
          <w:rFonts w:ascii="Arial" w:hAnsi="Arial" w:cs="Arial"/>
        </w:rPr>
        <w:t xml:space="preserve">. Protective effect of quercetin against ICV colchicine-induced cognitive dysfunctions and oxidative damage in rats. </w:t>
      </w:r>
      <w:r w:rsidRPr="004845DA">
        <w:rPr>
          <w:rFonts w:ascii="Arial" w:hAnsi="Arial" w:cs="Arial"/>
          <w:lang w:val="fr-FR"/>
        </w:rPr>
        <w:t>Phyther. Res. 22. https://doi.org/10.1002/ptr.2454</w:t>
      </w:r>
    </w:p>
    <w:p w14:paraId="79000E32" w14:textId="7517E949" w:rsidR="004845DA" w:rsidRPr="00BD4998" w:rsidRDefault="004845DA" w:rsidP="004845DA">
      <w:pPr>
        <w:pStyle w:val="Body"/>
        <w:spacing w:after="0"/>
        <w:ind w:left="567" w:hanging="567"/>
        <w:rPr>
          <w:rFonts w:ascii="Arial" w:hAnsi="Arial" w:cs="Arial"/>
          <w:lang w:val="fr-FR"/>
        </w:rPr>
      </w:pPr>
      <w:r w:rsidRPr="004845DA">
        <w:rPr>
          <w:rFonts w:ascii="Arial" w:hAnsi="Arial" w:cs="Arial"/>
          <w:lang w:val="fr-FR"/>
        </w:rPr>
        <w:t>Leite, J.P., Garcia-Cairasco, N., Cav</w:t>
      </w:r>
      <w:r w:rsidR="00CC55DB">
        <w:rPr>
          <w:rFonts w:ascii="Arial" w:hAnsi="Arial" w:cs="Arial"/>
          <w:lang w:val="fr-FR"/>
        </w:rPr>
        <w:t>al</w:t>
      </w:r>
      <w:r w:rsidRPr="004845DA">
        <w:rPr>
          <w:rFonts w:ascii="Arial" w:hAnsi="Arial" w:cs="Arial"/>
          <w:lang w:val="fr-FR"/>
        </w:rPr>
        <w:t>heiro, E.A.</w:t>
      </w:r>
      <w:r w:rsidR="000D2179">
        <w:rPr>
          <w:rFonts w:ascii="Arial" w:hAnsi="Arial" w:cs="Arial"/>
          <w:lang w:val="fr-FR"/>
        </w:rPr>
        <w:t xml:space="preserve"> (</w:t>
      </w:r>
      <w:r w:rsidRPr="004845DA">
        <w:rPr>
          <w:rFonts w:ascii="Arial" w:hAnsi="Arial" w:cs="Arial"/>
          <w:lang w:val="fr-FR"/>
        </w:rPr>
        <w:t>2002</w:t>
      </w:r>
      <w:r w:rsidR="000D2179">
        <w:rPr>
          <w:rFonts w:ascii="Arial" w:hAnsi="Arial" w:cs="Arial"/>
          <w:lang w:val="fr-FR"/>
        </w:rPr>
        <w:t>)</w:t>
      </w:r>
      <w:r w:rsidRPr="004845DA">
        <w:rPr>
          <w:rFonts w:ascii="Arial" w:hAnsi="Arial" w:cs="Arial"/>
          <w:lang w:val="fr-FR"/>
        </w:rPr>
        <w:t xml:space="preserve">. </w:t>
      </w:r>
      <w:r w:rsidRPr="004845DA">
        <w:rPr>
          <w:rFonts w:ascii="Arial" w:hAnsi="Arial" w:cs="Arial"/>
        </w:rPr>
        <w:t xml:space="preserve">New insights from the use of pilocarpine and kainate models. </w:t>
      </w:r>
      <w:r w:rsidRPr="00BD4998">
        <w:rPr>
          <w:rFonts w:ascii="Arial" w:hAnsi="Arial" w:cs="Arial"/>
          <w:lang w:val="fr-FR"/>
        </w:rPr>
        <w:t>Epilepsy Res. 50, 93–103. https://doi.org/10.1016/S0920-1211(02)00072-4</w:t>
      </w:r>
    </w:p>
    <w:p w14:paraId="7765A58E" w14:textId="71616BCC" w:rsidR="004845DA" w:rsidRPr="004845DA" w:rsidRDefault="004845DA" w:rsidP="004845DA">
      <w:pPr>
        <w:pStyle w:val="Body"/>
        <w:spacing w:after="0"/>
        <w:ind w:left="567" w:hanging="567"/>
        <w:rPr>
          <w:rFonts w:ascii="Arial" w:hAnsi="Arial" w:cs="Arial"/>
          <w:lang w:val="fr-FR"/>
        </w:rPr>
      </w:pPr>
      <w:r w:rsidRPr="004845DA">
        <w:rPr>
          <w:rFonts w:ascii="Arial" w:hAnsi="Arial" w:cs="Arial"/>
          <w:lang w:val="fr-FR"/>
        </w:rPr>
        <w:t>Lignelet, R.</w:t>
      </w:r>
      <w:r w:rsidR="000D2179">
        <w:rPr>
          <w:rFonts w:ascii="Arial" w:hAnsi="Arial" w:cs="Arial"/>
          <w:lang w:val="fr-FR"/>
        </w:rPr>
        <w:t xml:space="preserve"> (</w:t>
      </w:r>
      <w:r w:rsidRPr="004845DA">
        <w:rPr>
          <w:rFonts w:ascii="Arial" w:hAnsi="Arial" w:cs="Arial"/>
          <w:lang w:val="fr-FR"/>
        </w:rPr>
        <w:t>2011</w:t>
      </w:r>
      <w:r w:rsidR="000D2179">
        <w:rPr>
          <w:rFonts w:ascii="Arial" w:hAnsi="Arial" w:cs="Arial"/>
          <w:lang w:val="fr-FR"/>
        </w:rPr>
        <w:t>)</w:t>
      </w:r>
      <w:r w:rsidRPr="004845DA">
        <w:rPr>
          <w:rFonts w:ascii="Arial" w:hAnsi="Arial" w:cs="Arial"/>
          <w:lang w:val="fr-FR"/>
        </w:rPr>
        <w:t xml:space="preserve">. </w:t>
      </w:r>
      <w:r w:rsidR="000D2179" w:rsidRPr="004845DA">
        <w:rPr>
          <w:rFonts w:ascii="Arial" w:hAnsi="Arial" w:cs="Arial"/>
          <w:lang w:val="fr-FR"/>
        </w:rPr>
        <w:t>L’épilepsie</w:t>
      </w:r>
      <w:r w:rsidRPr="004845DA">
        <w:rPr>
          <w:rFonts w:ascii="Arial" w:hAnsi="Arial" w:cs="Arial"/>
          <w:lang w:val="fr-FR"/>
        </w:rPr>
        <w:t xml:space="preserve"> et son traitement par les médicaments antiépileptiques 5.</w:t>
      </w:r>
    </w:p>
    <w:p w14:paraId="118D2071" w14:textId="01B563C6" w:rsidR="004845DA" w:rsidRPr="00BD4998" w:rsidRDefault="004845DA" w:rsidP="004845DA">
      <w:pPr>
        <w:pStyle w:val="Body"/>
        <w:spacing w:after="0"/>
        <w:ind w:left="567" w:hanging="567"/>
        <w:rPr>
          <w:rFonts w:ascii="Arial" w:hAnsi="Arial" w:cs="Arial"/>
          <w:lang w:val="fr-FR"/>
        </w:rPr>
      </w:pPr>
      <w:r w:rsidRPr="004845DA">
        <w:rPr>
          <w:rFonts w:ascii="Arial" w:hAnsi="Arial" w:cs="Arial"/>
        </w:rPr>
        <w:t>Löscher, W.</w:t>
      </w:r>
      <w:r w:rsidR="000D2179">
        <w:rPr>
          <w:rFonts w:ascii="Arial" w:hAnsi="Arial" w:cs="Arial"/>
        </w:rPr>
        <w:t xml:space="preserve"> (</w:t>
      </w:r>
      <w:r w:rsidRPr="004845DA">
        <w:rPr>
          <w:rFonts w:ascii="Arial" w:hAnsi="Arial" w:cs="Arial"/>
        </w:rPr>
        <w:t>1980</w:t>
      </w:r>
      <w:r w:rsidR="000D2179">
        <w:rPr>
          <w:rFonts w:ascii="Arial" w:hAnsi="Arial" w:cs="Arial"/>
        </w:rPr>
        <w:t>)</w:t>
      </w:r>
      <w:r w:rsidRPr="004845DA">
        <w:rPr>
          <w:rFonts w:ascii="Arial" w:hAnsi="Arial" w:cs="Arial"/>
        </w:rPr>
        <w:t xml:space="preserve">. Effect of Inhibitors of GABA Transaminase on the Synthesis, Binding, Uptake and Metabolism of GABA. J. Neurochem. </w:t>
      </w:r>
      <w:r w:rsidRPr="00BD4998">
        <w:rPr>
          <w:rFonts w:ascii="Arial" w:hAnsi="Arial" w:cs="Arial"/>
          <w:lang w:val="fr-FR"/>
        </w:rPr>
        <w:t>34. https://doi.org/10.1111/j.1471-4159.1980.tb11250.x</w:t>
      </w:r>
    </w:p>
    <w:p w14:paraId="31FA96C1" w14:textId="243EFF8B" w:rsidR="004845DA" w:rsidRPr="004845DA" w:rsidRDefault="004845DA" w:rsidP="004845DA">
      <w:pPr>
        <w:pStyle w:val="Body"/>
        <w:spacing w:after="0"/>
        <w:ind w:left="567" w:hanging="567"/>
        <w:rPr>
          <w:rFonts w:ascii="Arial" w:hAnsi="Arial" w:cs="Arial"/>
          <w:lang w:val="fr-FR"/>
        </w:rPr>
      </w:pPr>
      <w:r w:rsidRPr="004845DA">
        <w:rPr>
          <w:rFonts w:ascii="Arial" w:hAnsi="Arial" w:cs="Arial"/>
          <w:lang w:val="fr-FR"/>
        </w:rPr>
        <w:t>Magnin, E.</w:t>
      </w:r>
      <w:r w:rsidR="000D2179">
        <w:rPr>
          <w:rFonts w:ascii="Arial" w:hAnsi="Arial" w:cs="Arial"/>
          <w:lang w:val="fr-FR"/>
        </w:rPr>
        <w:t xml:space="preserve"> (</w:t>
      </w:r>
      <w:r w:rsidRPr="004845DA">
        <w:rPr>
          <w:rFonts w:ascii="Arial" w:hAnsi="Arial" w:cs="Arial"/>
          <w:lang w:val="fr-FR"/>
        </w:rPr>
        <w:t>2014</w:t>
      </w:r>
      <w:r w:rsidR="000D2179">
        <w:rPr>
          <w:rFonts w:ascii="Arial" w:hAnsi="Arial" w:cs="Arial"/>
          <w:lang w:val="fr-FR"/>
        </w:rPr>
        <w:t>)</w:t>
      </w:r>
      <w:r w:rsidRPr="004845DA">
        <w:rPr>
          <w:rFonts w:ascii="Arial" w:hAnsi="Arial" w:cs="Arial"/>
          <w:lang w:val="fr-FR"/>
        </w:rPr>
        <w:t xml:space="preserve">. Étude de l’expression de la sous-unité </w:t>
      </w:r>
      <w:r w:rsidR="00CC55DB">
        <w:rPr>
          <w:rFonts w:ascii="Arial" w:hAnsi="Arial" w:cs="Arial"/>
          <w:lang w:val="fr-FR"/>
        </w:rPr>
        <w:t>al</w:t>
      </w:r>
      <w:r w:rsidRPr="004845DA">
        <w:rPr>
          <w:rFonts w:ascii="Arial" w:hAnsi="Arial" w:cs="Arial"/>
          <w:lang w:val="fr-FR"/>
        </w:rPr>
        <w:t>pha 5 des récepteurs GABAA dans les interneurones de l’hippocampe et de sa diminution dans l’épilepsie du lobe tempor</w:t>
      </w:r>
      <w:r w:rsidR="00CC55DB">
        <w:rPr>
          <w:rFonts w:ascii="Arial" w:hAnsi="Arial" w:cs="Arial"/>
          <w:lang w:val="fr-FR"/>
        </w:rPr>
        <w:t>al</w:t>
      </w:r>
      <w:r w:rsidRPr="004845DA">
        <w:rPr>
          <w:rFonts w:ascii="Arial" w:hAnsi="Arial" w:cs="Arial"/>
          <w:lang w:val="fr-FR"/>
        </w:rPr>
        <w:t>.</w:t>
      </w:r>
    </w:p>
    <w:p w14:paraId="75762993" w14:textId="2F14C632" w:rsidR="004845DA" w:rsidRPr="004845DA" w:rsidRDefault="004845DA" w:rsidP="004845DA">
      <w:pPr>
        <w:pStyle w:val="Body"/>
        <w:spacing w:after="0"/>
        <w:ind w:left="567" w:hanging="567"/>
        <w:rPr>
          <w:rFonts w:ascii="Arial" w:hAnsi="Arial" w:cs="Arial"/>
          <w:lang w:val="fr-FR"/>
        </w:rPr>
      </w:pPr>
      <w:r w:rsidRPr="004845DA">
        <w:rPr>
          <w:rFonts w:ascii="Arial" w:hAnsi="Arial" w:cs="Arial"/>
          <w:lang w:val="fr-FR"/>
        </w:rPr>
        <w:t>Massiot, G</w:t>
      </w:r>
      <w:r w:rsidR="000D2179">
        <w:rPr>
          <w:rFonts w:ascii="Arial" w:hAnsi="Arial" w:cs="Arial"/>
          <w:lang w:val="fr-FR"/>
        </w:rPr>
        <w:t>. (</w:t>
      </w:r>
      <w:r w:rsidRPr="004845DA">
        <w:rPr>
          <w:rFonts w:ascii="Arial" w:hAnsi="Arial" w:cs="Arial"/>
          <w:lang w:val="fr-FR"/>
        </w:rPr>
        <w:t>1994</w:t>
      </w:r>
      <w:r w:rsidR="000D2179">
        <w:rPr>
          <w:rFonts w:ascii="Arial" w:hAnsi="Arial" w:cs="Arial"/>
          <w:lang w:val="fr-FR"/>
        </w:rPr>
        <w:t>)</w:t>
      </w:r>
      <w:r w:rsidRPr="004845DA">
        <w:rPr>
          <w:rFonts w:ascii="Arial" w:hAnsi="Arial" w:cs="Arial"/>
          <w:lang w:val="fr-FR"/>
        </w:rPr>
        <w:t>. Pharmacognosie: Phytochimie, Plantes Médicin</w:t>
      </w:r>
      <w:r w:rsidR="00CC55DB">
        <w:rPr>
          <w:rFonts w:ascii="Arial" w:hAnsi="Arial" w:cs="Arial"/>
          <w:lang w:val="fr-FR"/>
        </w:rPr>
        <w:t>al</w:t>
      </w:r>
      <w:r w:rsidRPr="004845DA">
        <w:rPr>
          <w:rFonts w:ascii="Arial" w:hAnsi="Arial" w:cs="Arial"/>
          <w:lang w:val="fr-FR"/>
        </w:rPr>
        <w:t>es: Phytochemistry 36, 258. https://doi.org/10.1016/s0031-9422(00)97054-7</w:t>
      </w:r>
    </w:p>
    <w:p w14:paraId="5125E6D6" w14:textId="00C18726" w:rsidR="004845DA" w:rsidRPr="004845DA" w:rsidRDefault="004845DA" w:rsidP="004845DA">
      <w:pPr>
        <w:pStyle w:val="Body"/>
        <w:spacing w:after="0"/>
        <w:ind w:left="567" w:hanging="567"/>
        <w:rPr>
          <w:rFonts w:ascii="Arial" w:hAnsi="Arial" w:cs="Arial"/>
        </w:rPr>
      </w:pPr>
      <w:r w:rsidRPr="004845DA">
        <w:rPr>
          <w:rFonts w:ascii="Arial" w:hAnsi="Arial" w:cs="Arial"/>
        </w:rPr>
        <w:t>Mazzuferi, M., Kumar, G., Rospo, C., Kaminski, R.M.</w:t>
      </w:r>
      <w:r w:rsidR="000D2179">
        <w:rPr>
          <w:rFonts w:ascii="Arial" w:hAnsi="Arial" w:cs="Arial"/>
        </w:rPr>
        <w:t xml:space="preserve"> (</w:t>
      </w:r>
      <w:r w:rsidRPr="004845DA">
        <w:rPr>
          <w:rFonts w:ascii="Arial" w:hAnsi="Arial" w:cs="Arial"/>
        </w:rPr>
        <w:t>2012</w:t>
      </w:r>
      <w:r w:rsidR="000D2179">
        <w:rPr>
          <w:rFonts w:ascii="Arial" w:hAnsi="Arial" w:cs="Arial"/>
        </w:rPr>
        <w:t>)</w:t>
      </w:r>
      <w:r w:rsidRPr="004845DA">
        <w:rPr>
          <w:rFonts w:ascii="Arial" w:hAnsi="Arial" w:cs="Arial"/>
        </w:rPr>
        <w:t>. Rapid epileptogenesis in the mouse pilocarpine model: Video-EEG, pharmacokinetic and histopathologic</w:t>
      </w:r>
      <w:r w:rsidR="00CC55DB">
        <w:rPr>
          <w:rFonts w:ascii="Arial" w:hAnsi="Arial" w:cs="Arial"/>
        </w:rPr>
        <w:t>al</w:t>
      </w:r>
      <w:r w:rsidRPr="004845DA">
        <w:rPr>
          <w:rFonts w:ascii="Arial" w:hAnsi="Arial" w:cs="Arial"/>
        </w:rPr>
        <w:t xml:space="preserve"> characterization. Exp. Neurol. 238. https://doi.org/10.1016/j.expneurol.2012.08.022</w:t>
      </w:r>
    </w:p>
    <w:p w14:paraId="36157217" w14:textId="289F8A1A" w:rsidR="004845DA" w:rsidRPr="004845DA" w:rsidRDefault="004845DA" w:rsidP="004845DA">
      <w:pPr>
        <w:pStyle w:val="Body"/>
        <w:spacing w:after="0"/>
        <w:ind w:left="567" w:hanging="567"/>
        <w:rPr>
          <w:rFonts w:ascii="Arial" w:hAnsi="Arial" w:cs="Arial"/>
        </w:rPr>
      </w:pPr>
      <w:r w:rsidRPr="005F128A">
        <w:rPr>
          <w:rFonts w:ascii="Arial" w:hAnsi="Arial" w:cs="Arial"/>
        </w:rPr>
        <w:t>Mehla, J., Reeta, K.H., Gupta, P., Gupta, Y.K.</w:t>
      </w:r>
      <w:r w:rsidR="000D2179" w:rsidRPr="005F128A">
        <w:rPr>
          <w:rFonts w:ascii="Arial" w:hAnsi="Arial" w:cs="Arial"/>
        </w:rPr>
        <w:t xml:space="preserve"> (</w:t>
      </w:r>
      <w:r w:rsidRPr="005F128A">
        <w:rPr>
          <w:rFonts w:ascii="Arial" w:hAnsi="Arial" w:cs="Arial"/>
        </w:rPr>
        <w:t>2010</w:t>
      </w:r>
      <w:r w:rsidR="000D2179" w:rsidRPr="005F128A">
        <w:rPr>
          <w:rFonts w:ascii="Arial" w:hAnsi="Arial" w:cs="Arial"/>
        </w:rPr>
        <w:t>)</w:t>
      </w:r>
      <w:r w:rsidRPr="005F128A">
        <w:rPr>
          <w:rFonts w:ascii="Arial" w:hAnsi="Arial" w:cs="Arial"/>
        </w:rPr>
        <w:t>. Protective effect of curcumin against seizures and cognitive impairment in a pentylenetetrazole-kindled epileptic rat model. Life Sci. 87, 596–603. https://doi.org/10.1016/j.lfs.2010.09.006</w:t>
      </w:r>
    </w:p>
    <w:p w14:paraId="6FC6A7BB" w14:textId="27D6693C" w:rsidR="004845DA" w:rsidRPr="004845DA" w:rsidRDefault="004845DA" w:rsidP="004845DA">
      <w:pPr>
        <w:pStyle w:val="Body"/>
        <w:spacing w:after="0"/>
        <w:ind w:left="567" w:hanging="567"/>
        <w:rPr>
          <w:rFonts w:ascii="Arial" w:hAnsi="Arial" w:cs="Arial"/>
        </w:rPr>
      </w:pPr>
      <w:r w:rsidRPr="004845DA">
        <w:rPr>
          <w:rFonts w:ascii="Arial" w:hAnsi="Arial" w:cs="Arial"/>
        </w:rPr>
        <w:t>Moto, F.C.O., Arsa’a, A., Ngoupaye, G.T., Taiwe, G.S., Njapdounke, J.S.K., Kandeda, A.K., Nkantchoua, G.C.N., Omam Omam, J.P., P</w:t>
      </w:r>
      <w:r w:rsidR="00CC55DB">
        <w:rPr>
          <w:rFonts w:ascii="Arial" w:hAnsi="Arial" w:cs="Arial"/>
        </w:rPr>
        <w:t>al</w:t>
      </w:r>
      <w:r w:rsidRPr="004845DA">
        <w:rPr>
          <w:rFonts w:ascii="Arial" w:hAnsi="Arial" w:cs="Arial"/>
        </w:rPr>
        <w:t>e, S., Kouemou, N.E., Mbomo, E.R.A., Pahaye, D.B., Ojong, L., Mairara, V., Bum, E.N.</w:t>
      </w:r>
      <w:r w:rsidR="000D2179">
        <w:rPr>
          <w:rFonts w:ascii="Arial" w:hAnsi="Arial" w:cs="Arial"/>
        </w:rPr>
        <w:t xml:space="preserve"> (</w:t>
      </w:r>
      <w:r w:rsidRPr="004845DA">
        <w:rPr>
          <w:rFonts w:ascii="Arial" w:hAnsi="Arial" w:cs="Arial"/>
        </w:rPr>
        <w:t>2018</w:t>
      </w:r>
      <w:r w:rsidR="000D2179">
        <w:rPr>
          <w:rFonts w:ascii="Arial" w:hAnsi="Arial" w:cs="Arial"/>
        </w:rPr>
        <w:t>)</w:t>
      </w:r>
      <w:r w:rsidRPr="004845DA">
        <w:rPr>
          <w:rFonts w:ascii="Arial" w:hAnsi="Arial" w:cs="Arial"/>
        </w:rPr>
        <w:t>. Anxiolytic and antiepileptic properties of the aqueous extract of Cissus quadrangularis (Vitaceae) in mice pilocarpine model of epilepsy. Front. Pharmacol. 9. https://doi.org/10.3389/fphar.2018.00751</w:t>
      </w:r>
    </w:p>
    <w:p w14:paraId="331DA6CC" w14:textId="5194B147" w:rsidR="004845DA" w:rsidRPr="004845DA" w:rsidRDefault="004845DA" w:rsidP="004845DA">
      <w:pPr>
        <w:pStyle w:val="Body"/>
        <w:spacing w:after="0"/>
        <w:ind w:left="567" w:hanging="567"/>
        <w:rPr>
          <w:rFonts w:ascii="Arial" w:hAnsi="Arial" w:cs="Arial"/>
        </w:rPr>
      </w:pPr>
      <w:r w:rsidRPr="004845DA">
        <w:rPr>
          <w:rFonts w:ascii="Arial" w:hAnsi="Arial" w:cs="Arial"/>
        </w:rPr>
        <w:t>Mouokeu, R.S., Ngono Ngane, R.A., Njateng, G.S.S., Kamtchueng, M.O., Kuiate, J.R.</w:t>
      </w:r>
      <w:r w:rsidR="000D2179">
        <w:rPr>
          <w:rFonts w:ascii="Arial" w:hAnsi="Arial" w:cs="Arial"/>
        </w:rPr>
        <w:t xml:space="preserve"> (</w:t>
      </w:r>
      <w:r w:rsidRPr="004845DA">
        <w:rPr>
          <w:rFonts w:ascii="Arial" w:hAnsi="Arial" w:cs="Arial"/>
        </w:rPr>
        <w:t>2014</w:t>
      </w:r>
      <w:r w:rsidR="000D2179">
        <w:rPr>
          <w:rFonts w:ascii="Arial" w:hAnsi="Arial" w:cs="Arial"/>
        </w:rPr>
        <w:t>)</w:t>
      </w:r>
      <w:r w:rsidRPr="004845DA">
        <w:rPr>
          <w:rFonts w:ascii="Arial" w:hAnsi="Arial" w:cs="Arial"/>
        </w:rPr>
        <w:t>. Antifung</w:t>
      </w:r>
      <w:r w:rsidR="00CC55DB">
        <w:rPr>
          <w:rFonts w:ascii="Arial" w:hAnsi="Arial" w:cs="Arial"/>
        </w:rPr>
        <w:t>al</w:t>
      </w:r>
      <w:r w:rsidRPr="004845DA">
        <w:rPr>
          <w:rFonts w:ascii="Arial" w:hAnsi="Arial" w:cs="Arial"/>
        </w:rPr>
        <w:t xml:space="preserve"> and antioxidant activity of Crassoceph</w:t>
      </w:r>
      <w:r w:rsidR="00CC55DB">
        <w:rPr>
          <w:rFonts w:ascii="Arial" w:hAnsi="Arial" w:cs="Arial"/>
        </w:rPr>
        <w:t>al</w:t>
      </w:r>
      <w:r w:rsidRPr="004845DA">
        <w:rPr>
          <w:rFonts w:ascii="Arial" w:hAnsi="Arial" w:cs="Arial"/>
        </w:rPr>
        <w:t>um bauchiense (Hutch.) Milne-Redh ethyl acetate extract and fractions (Asteraceae). BMC Res. Notes 7. https://doi.org/10.1186/1756-0500-7-244</w:t>
      </w:r>
    </w:p>
    <w:p w14:paraId="1394AF50" w14:textId="45E10B12" w:rsidR="004845DA" w:rsidRPr="004845DA" w:rsidRDefault="004845DA" w:rsidP="004845DA">
      <w:pPr>
        <w:pStyle w:val="Body"/>
        <w:spacing w:after="0"/>
        <w:ind w:left="567" w:hanging="567"/>
        <w:rPr>
          <w:rFonts w:ascii="Arial" w:hAnsi="Arial" w:cs="Arial"/>
        </w:rPr>
      </w:pPr>
      <w:r w:rsidRPr="004845DA">
        <w:rPr>
          <w:rFonts w:ascii="Arial" w:hAnsi="Arial" w:cs="Arial"/>
        </w:rPr>
        <w:t xml:space="preserve">Mouokeu, R.S., Ngono, R.A.N., Lunga, P.K., Koanga, M.M., Tiabou, A.T., Njateng, G.S.S., Tamokou, J.D.D., Kuiate, J.R. </w:t>
      </w:r>
      <w:r w:rsidR="000D2179">
        <w:rPr>
          <w:rFonts w:ascii="Arial" w:hAnsi="Arial" w:cs="Arial"/>
        </w:rPr>
        <w:t>(</w:t>
      </w:r>
      <w:r w:rsidRPr="004845DA">
        <w:rPr>
          <w:rFonts w:ascii="Arial" w:hAnsi="Arial" w:cs="Arial"/>
        </w:rPr>
        <w:t>2011</w:t>
      </w:r>
      <w:r w:rsidR="000D2179">
        <w:rPr>
          <w:rFonts w:ascii="Arial" w:hAnsi="Arial" w:cs="Arial"/>
        </w:rPr>
        <w:t>)</w:t>
      </w:r>
      <w:r w:rsidRPr="004845DA">
        <w:rPr>
          <w:rFonts w:ascii="Arial" w:hAnsi="Arial" w:cs="Arial"/>
        </w:rPr>
        <w:t>. Antibacteri</w:t>
      </w:r>
      <w:r w:rsidR="00CC55DB">
        <w:rPr>
          <w:rFonts w:ascii="Arial" w:hAnsi="Arial" w:cs="Arial"/>
        </w:rPr>
        <w:t>al</w:t>
      </w:r>
      <w:r w:rsidRPr="004845DA">
        <w:rPr>
          <w:rFonts w:ascii="Arial" w:hAnsi="Arial" w:cs="Arial"/>
        </w:rPr>
        <w:t xml:space="preserve"> and derm</w:t>
      </w:r>
      <w:r w:rsidR="00CC55DB">
        <w:rPr>
          <w:rFonts w:ascii="Arial" w:hAnsi="Arial" w:cs="Arial"/>
        </w:rPr>
        <w:t>al</w:t>
      </w:r>
      <w:r w:rsidRPr="004845DA">
        <w:rPr>
          <w:rFonts w:ascii="Arial" w:hAnsi="Arial" w:cs="Arial"/>
        </w:rPr>
        <w:t xml:space="preserve"> toxicologic</w:t>
      </w:r>
      <w:r w:rsidR="00CC55DB">
        <w:rPr>
          <w:rFonts w:ascii="Arial" w:hAnsi="Arial" w:cs="Arial"/>
        </w:rPr>
        <w:t>al</w:t>
      </w:r>
      <w:r w:rsidRPr="004845DA">
        <w:rPr>
          <w:rFonts w:ascii="Arial" w:hAnsi="Arial" w:cs="Arial"/>
        </w:rPr>
        <w:t xml:space="preserve"> profiles of ethyl acetate extract from Crassoceph</w:t>
      </w:r>
      <w:r w:rsidR="00CC55DB">
        <w:rPr>
          <w:rFonts w:ascii="Arial" w:hAnsi="Arial" w:cs="Arial"/>
        </w:rPr>
        <w:t>al</w:t>
      </w:r>
      <w:r w:rsidRPr="004845DA">
        <w:rPr>
          <w:rFonts w:ascii="Arial" w:hAnsi="Arial" w:cs="Arial"/>
        </w:rPr>
        <w:t xml:space="preserve">um bauchiense (Hutch.) Milne-Redh (Asteraceae). BMC Complement. </w:t>
      </w:r>
      <w:r w:rsidR="00CC55DB">
        <w:rPr>
          <w:rFonts w:ascii="Arial" w:hAnsi="Arial" w:cs="Arial"/>
        </w:rPr>
        <w:t>Al</w:t>
      </w:r>
      <w:r w:rsidRPr="004845DA">
        <w:rPr>
          <w:rFonts w:ascii="Arial" w:hAnsi="Arial" w:cs="Arial"/>
        </w:rPr>
        <w:t>tern. Med. 11. https://doi.org/10.1186/1472-6882-11-43</w:t>
      </w:r>
    </w:p>
    <w:p w14:paraId="4A164350" w14:textId="456C793F" w:rsidR="004845DA" w:rsidRPr="004845DA" w:rsidRDefault="004845DA" w:rsidP="004845DA">
      <w:pPr>
        <w:pStyle w:val="Body"/>
        <w:spacing w:after="0"/>
        <w:ind w:left="567" w:hanging="567"/>
        <w:rPr>
          <w:rFonts w:ascii="Arial" w:hAnsi="Arial" w:cs="Arial"/>
        </w:rPr>
      </w:pPr>
      <w:r w:rsidRPr="004845DA">
        <w:rPr>
          <w:rFonts w:ascii="Arial" w:hAnsi="Arial" w:cs="Arial"/>
        </w:rPr>
        <w:t>Mouokeu, R.S., Ngono, R.A.N., Tume, C., Kamtchueng, M.O., Njateng, G.S.S., Paul, D.J., Tamokou, J.D.D., Kuiate, J.-R., 2013. Immunomodulatory Activity of Ethyl Acetate Extract and Fractions from Leaves of Crassoceph</w:t>
      </w:r>
      <w:r w:rsidR="00CC55DB">
        <w:rPr>
          <w:rFonts w:ascii="Arial" w:hAnsi="Arial" w:cs="Arial"/>
        </w:rPr>
        <w:t>al</w:t>
      </w:r>
      <w:r w:rsidRPr="004845DA">
        <w:rPr>
          <w:rFonts w:ascii="Arial" w:hAnsi="Arial" w:cs="Arial"/>
        </w:rPr>
        <w:t>um bauchiense (Asteraceae). Pharmacologia 4. https://doi.org/10.5567/pharmacologia.2013.38.47</w:t>
      </w:r>
    </w:p>
    <w:p w14:paraId="53213731" w14:textId="7193270D" w:rsidR="004845DA" w:rsidRPr="004845DA" w:rsidRDefault="004845DA" w:rsidP="004845DA">
      <w:pPr>
        <w:pStyle w:val="Body"/>
        <w:spacing w:after="0"/>
        <w:ind w:left="567" w:hanging="567"/>
        <w:rPr>
          <w:rFonts w:ascii="Arial" w:hAnsi="Arial" w:cs="Arial"/>
        </w:rPr>
      </w:pPr>
      <w:r w:rsidRPr="004845DA">
        <w:rPr>
          <w:rFonts w:ascii="Arial" w:hAnsi="Arial" w:cs="Arial"/>
        </w:rPr>
        <w:t>Nayak, P., Chatterjee, A.K.</w:t>
      </w:r>
      <w:r w:rsidR="000D2179">
        <w:rPr>
          <w:rFonts w:ascii="Arial" w:hAnsi="Arial" w:cs="Arial"/>
        </w:rPr>
        <w:t xml:space="preserve"> (</w:t>
      </w:r>
      <w:r w:rsidRPr="004845DA">
        <w:rPr>
          <w:rFonts w:ascii="Arial" w:hAnsi="Arial" w:cs="Arial"/>
        </w:rPr>
        <w:t>2003</w:t>
      </w:r>
      <w:r w:rsidR="000D2179">
        <w:rPr>
          <w:rFonts w:ascii="Arial" w:hAnsi="Arial" w:cs="Arial"/>
        </w:rPr>
        <w:t>)</w:t>
      </w:r>
      <w:r w:rsidRPr="004845DA">
        <w:rPr>
          <w:rFonts w:ascii="Arial" w:hAnsi="Arial" w:cs="Arial"/>
        </w:rPr>
        <w:t>. Dietary protein restriction causes modification in brain 8, 1–8.</w:t>
      </w:r>
    </w:p>
    <w:p w14:paraId="3C4F388E" w14:textId="38CA233F" w:rsidR="004845DA" w:rsidRDefault="004845DA" w:rsidP="004845DA">
      <w:pPr>
        <w:pStyle w:val="Body"/>
        <w:spacing w:after="0"/>
        <w:ind w:left="567" w:hanging="567"/>
        <w:rPr>
          <w:rFonts w:ascii="Arial" w:hAnsi="Arial" w:cs="Arial"/>
        </w:rPr>
      </w:pPr>
      <w:r w:rsidRPr="004845DA">
        <w:rPr>
          <w:rFonts w:ascii="Arial" w:hAnsi="Arial" w:cs="Arial"/>
        </w:rPr>
        <w:t>Ngo Bum, E., Schmutz, M., Meyer, C., Rakotonirina, A., Bopelet, M., Portet, C., Jeker, A., Rakotonirina, S. V., Olpe, H.R., Herrling, P.</w:t>
      </w:r>
      <w:r w:rsidR="000D2179">
        <w:rPr>
          <w:rFonts w:ascii="Arial" w:hAnsi="Arial" w:cs="Arial"/>
        </w:rPr>
        <w:t xml:space="preserve"> (</w:t>
      </w:r>
      <w:r w:rsidRPr="004845DA">
        <w:rPr>
          <w:rFonts w:ascii="Arial" w:hAnsi="Arial" w:cs="Arial"/>
        </w:rPr>
        <w:t>2001</w:t>
      </w:r>
      <w:r w:rsidR="000D2179">
        <w:rPr>
          <w:rFonts w:ascii="Arial" w:hAnsi="Arial" w:cs="Arial"/>
        </w:rPr>
        <w:t>)</w:t>
      </w:r>
      <w:r w:rsidRPr="004845DA">
        <w:rPr>
          <w:rFonts w:ascii="Arial" w:hAnsi="Arial" w:cs="Arial"/>
        </w:rPr>
        <w:t>. Anticonvulsant properties of the methanolic extract of Cyperus articulatus (Cyperaceae). J. Ethnopharmacol. 76, 145–150. https://doi.org/10.1016/S0378-8741(01)00192-1</w:t>
      </w:r>
    </w:p>
    <w:p w14:paraId="756D90F2" w14:textId="06A23508" w:rsidR="00656566" w:rsidRPr="004845DA" w:rsidRDefault="00656566" w:rsidP="004845DA">
      <w:pPr>
        <w:pStyle w:val="Body"/>
        <w:spacing w:after="0"/>
        <w:ind w:left="567" w:hanging="567"/>
        <w:rPr>
          <w:rFonts w:ascii="Arial" w:hAnsi="Arial" w:cs="Arial"/>
        </w:rPr>
      </w:pPr>
      <w:r w:rsidRPr="00656566">
        <w:rPr>
          <w:rFonts w:ascii="Arial" w:hAnsi="Arial" w:cs="Arial"/>
        </w:rPr>
        <w:t xml:space="preserve">Ngaibi, J., Bigued, A., Kandeda, A. K., Nguezeye, Y., Wangbara, T. A., Gaoudji, L., Sotoing Taiwe, G., &amp; Ngo Bum, E. (2024). Antiepileptic and anti-inflammatory effects of </w:t>
      </w:r>
      <w:r w:rsidRPr="00656566">
        <w:rPr>
          <w:rFonts w:ascii="Arial" w:hAnsi="Arial" w:cs="Arial"/>
          <w:i/>
          <w:iCs/>
        </w:rPr>
        <w:t xml:space="preserve">Lippia multiflora Moldenke </w:t>
      </w:r>
      <w:r w:rsidRPr="00656566">
        <w:rPr>
          <w:rFonts w:ascii="Arial" w:hAnsi="Arial" w:cs="Arial"/>
        </w:rPr>
        <w:t xml:space="preserve">(Verbenaceae) in a mice model of chronic temporal lobe epilepsy induced by pilocarpine. </w:t>
      </w:r>
      <w:r w:rsidRPr="000D2179">
        <w:rPr>
          <w:rFonts w:ascii="Arial" w:hAnsi="Arial" w:cs="Arial"/>
          <w:i/>
          <w:iCs/>
        </w:rPr>
        <w:t>Heliyon, 10</w:t>
      </w:r>
      <w:r w:rsidRPr="000D2179">
        <w:rPr>
          <w:rFonts w:ascii="Arial" w:hAnsi="Arial" w:cs="Arial"/>
        </w:rPr>
        <w:t>, e39483. https://doi.org/10.1016/j.heliyon.2024.e39483</w:t>
      </w:r>
    </w:p>
    <w:p w14:paraId="46396CB0" w14:textId="1F5FCC8F" w:rsidR="004845DA" w:rsidRPr="004845DA" w:rsidRDefault="004845DA" w:rsidP="004845DA">
      <w:pPr>
        <w:pStyle w:val="Body"/>
        <w:spacing w:after="0"/>
        <w:ind w:left="567" w:hanging="567"/>
        <w:rPr>
          <w:rFonts w:ascii="Arial" w:hAnsi="Arial" w:cs="Arial"/>
        </w:rPr>
      </w:pPr>
      <w:r w:rsidRPr="004845DA">
        <w:rPr>
          <w:rFonts w:ascii="Arial" w:hAnsi="Arial" w:cs="Arial"/>
        </w:rPr>
        <w:t>Ngo Bum, E., Taiwe, G.S., Moto, F.C.O., Ngoupaye, G.T., Nkantchoua, G.C.N., Pelanken, M.M., Rakotonirina, S. V., Rakotonirina, A.</w:t>
      </w:r>
      <w:r w:rsidR="000D2179">
        <w:rPr>
          <w:rFonts w:ascii="Arial" w:hAnsi="Arial" w:cs="Arial"/>
        </w:rPr>
        <w:t xml:space="preserve"> (</w:t>
      </w:r>
      <w:r w:rsidRPr="004845DA">
        <w:rPr>
          <w:rFonts w:ascii="Arial" w:hAnsi="Arial" w:cs="Arial"/>
        </w:rPr>
        <w:t>2009</w:t>
      </w:r>
      <w:r w:rsidR="000D2179">
        <w:rPr>
          <w:rFonts w:ascii="Arial" w:hAnsi="Arial" w:cs="Arial"/>
        </w:rPr>
        <w:t>)</w:t>
      </w:r>
      <w:r w:rsidRPr="004845DA">
        <w:rPr>
          <w:rFonts w:ascii="Arial" w:hAnsi="Arial" w:cs="Arial"/>
        </w:rPr>
        <w:t>. Anticonvulsant, anxiolytic, and sedative properties of the roots of Nauclea latifolia Smith in mice. Epilepsy Behav. 15. https://doi.org/10.1016/j.yebeh.2009.05.014</w:t>
      </w:r>
    </w:p>
    <w:p w14:paraId="240B7242" w14:textId="79CED96E" w:rsidR="004845DA" w:rsidRPr="004845DA" w:rsidRDefault="004845DA" w:rsidP="004845DA">
      <w:pPr>
        <w:pStyle w:val="Body"/>
        <w:spacing w:after="0"/>
        <w:ind w:left="567" w:hanging="567"/>
        <w:rPr>
          <w:rFonts w:ascii="Arial" w:hAnsi="Arial" w:cs="Arial"/>
        </w:rPr>
      </w:pPr>
      <w:r w:rsidRPr="004845DA">
        <w:rPr>
          <w:rFonts w:ascii="Arial" w:hAnsi="Arial" w:cs="Arial"/>
        </w:rPr>
        <w:t>Ngugi, A.K., Bottomley, C., Kleinschmidt, I., Sander, J.W., Newton, C.R.</w:t>
      </w:r>
      <w:r w:rsidR="000D2179">
        <w:rPr>
          <w:rFonts w:ascii="Arial" w:hAnsi="Arial" w:cs="Arial"/>
        </w:rPr>
        <w:t xml:space="preserve"> (</w:t>
      </w:r>
      <w:r w:rsidRPr="004845DA">
        <w:rPr>
          <w:rFonts w:ascii="Arial" w:hAnsi="Arial" w:cs="Arial"/>
        </w:rPr>
        <w:t>2010</w:t>
      </w:r>
      <w:r w:rsidR="000D2179">
        <w:rPr>
          <w:rFonts w:ascii="Arial" w:hAnsi="Arial" w:cs="Arial"/>
        </w:rPr>
        <w:t>)</w:t>
      </w:r>
      <w:r w:rsidRPr="004845DA">
        <w:rPr>
          <w:rFonts w:ascii="Arial" w:hAnsi="Arial" w:cs="Arial"/>
        </w:rPr>
        <w:t>. Estimation of the burden of active and life-time epilepsy: A meta-an</w:t>
      </w:r>
      <w:r w:rsidR="00CC55DB">
        <w:rPr>
          <w:rFonts w:ascii="Arial" w:hAnsi="Arial" w:cs="Arial"/>
        </w:rPr>
        <w:t>al</w:t>
      </w:r>
      <w:r w:rsidRPr="004845DA">
        <w:rPr>
          <w:rFonts w:ascii="Arial" w:hAnsi="Arial" w:cs="Arial"/>
        </w:rPr>
        <w:t>ytic approach. Epilepsia 51, 883–890. https://doi.org/10.1111/j.1528-1167.2009.02481.x</w:t>
      </w:r>
    </w:p>
    <w:p w14:paraId="662B0B0B" w14:textId="6EE8327E" w:rsidR="004845DA" w:rsidRPr="004845DA" w:rsidRDefault="004845DA" w:rsidP="004845DA">
      <w:pPr>
        <w:pStyle w:val="Body"/>
        <w:spacing w:after="0"/>
        <w:ind w:left="567" w:hanging="567"/>
        <w:rPr>
          <w:rFonts w:ascii="Arial" w:hAnsi="Arial" w:cs="Arial"/>
        </w:rPr>
      </w:pPr>
      <w:r w:rsidRPr="004845DA">
        <w:rPr>
          <w:rFonts w:ascii="Arial" w:hAnsi="Arial" w:cs="Arial"/>
        </w:rPr>
        <w:t>Oddo, S., Solís, P., Cons</w:t>
      </w:r>
      <w:r w:rsidR="00CC55DB">
        <w:rPr>
          <w:rFonts w:ascii="Arial" w:hAnsi="Arial" w:cs="Arial"/>
        </w:rPr>
        <w:t>al</w:t>
      </w:r>
      <w:r w:rsidRPr="004845DA">
        <w:rPr>
          <w:rFonts w:ascii="Arial" w:hAnsi="Arial" w:cs="Arial"/>
        </w:rPr>
        <w:t>vo, D., Giagante, B., Silva, W., D’</w:t>
      </w:r>
      <w:r w:rsidR="00CC55DB">
        <w:rPr>
          <w:rFonts w:ascii="Arial" w:hAnsi="Arial" w:cs="Arial"/>
        </w:rPr>
        <w:t>Al</w:t>
      </w:r>
      <w:r w:rsidRPr="004845DA">
        <w:rPr>
          <w:rFonts w:ascii="Arial" w:hAnsi="Arial" w:cs="Arial"/>
        </w:rPr>
        <w:t>essio, L., Centurión, E., Saidón, P., Kochen, S.</w:t>
      </w:r>
      <w:r w:rsidR="00833242">
        <w:rPr>
          <w:rFonts w:ascii="Arial" w:hAnsi="Arial" w:cs="Arial"/>
        </w:rPr>
        <w:t xml:space="preserve"> (</w:t>
      </w:r>
      <w:r w:rsidRPr="004845DA">
        <w:rPr>
          <w:rFonts w:ascii="Arial" w:hAnsi="Arial" w:cs="Arial"/>
        </w:rPr>
        <w:t>2003</w:t>
      </w:r>
      <w:r w:rsidR="00833242">
        <w:rPr>
          <w:rFonts w:ascii="Arial" w:hAnsi="Arial" w:cs="Arial"/>
        </w:rPr>
        <w:t>)</w:t>
      </w:r>
      <w:r w:rsidRPr="004845DA">
        <w:rPr>
          <w:rFonts w:ascii="Arial" w:hAnsi="Arial" w:cs="Arial"/>
        </w:rPr>
        <w:t>. Mesi</w:t>
      </w:r>
      <w:r w:rsidR="00CC55DB">
        <w:rPr>
          <w:rFonts w:ascii="Arial" w:hAnsi="Arial" w:cs="Arial"/>
        </w:rPr>
        <w:t>al</w:t>
      </w:r>
      <w:r w:rsidRPr="004845DA">
        <w:rPr>
          <w:rFonts w:ascii="Arial" w:hAnsi="Arial" w:cs="Arial"/>
        </w:rPr>
        <w:t xml:space="preserve"> tempor</w:t>
      </w:r>
      <w:r w:rsidR="00CC55DB">
        <w:rPr>
          <w:rFonts w:ascii="Arial" w:hAnsi="Arial" w:cs="Arial"/>
        </w:rPr>
        <w:t>al</w:t>
      </w:r>
      <w:r w:rsidRPr="004845DA">
        <w:rPr>
          <w:rFonts w:ascii="Arial" w:hAnsi="Arial" w:cs="Arial"/>
        </w:rPr>
        <w:t xml:space="preserve"> lobe epilepsy and hippocamp</w:t>
      </w:r>
      <w:r w:rsidR="00CC55DB">
        <w:rPr>
          <w:rFonts w:ascii="Arial" w:hAnsi="Arial" w:cs="Arial"/>
        </w:rPr>
        <w:t>al</w:t>
      </w:r>
      <w:r w:rsidRPr="004845DA">
        <w:rPr>
          <w:rFonts w:ascii="Arial" w:hAnsi="Arial" w:cs="Arial"/>
        </w:rPr>
        <w:t xml:space="preserve"> sclerosis: Cognitive function assessment in Hispanic patients. Epilepsy Behav. 4, 717–722. https://doi.org/10.1016/j.yebeh.2003.09.008</w:t>
      </w:r>
    </w:p>
    <w:p w14:paraId="1C538043" w14:textId="40B6B8F2" w:rsidR="004845DA" w:rsidRPr="004845DA" w:rsidRDefault="004845DA" w:rsidP="004845DA">
      <w:pPr>
        <w:pStyle w:val="Body"/>
        <w:spacing w:after="0"/>
        <w:ind w:left="567" w:hanging="567"/>
        <w:rPr>
          <w:rFonts w:ascii="Arial" w:hAnsi="Arial" w:cs="Arial"/>
        </w:rPr>
      </w:pPr>
      <w:r w:rsidRPr="004845DA">
        <w:rPr>
          <w:rFonts w:ascii="Arial" w:hAnsi="Arial" w:cs="Arial"/>
        </w:rPr>
        <w:lastRenderedPageBreak/>
        <w:t>Penda, Marguerite Zizanie., Antoine, Kavaye Kandeda., Frida Longo., Livana Brinda Ateufack., Théophile Dimo.</w:t>
      </w:r>
      <w:r w:rsidR="00833242">
        <w:rPr>
          <w:rFonts w:ascii="Arial" w:hAnsi="Arial" w:cs="Arial"/>
        </w:rPr>
        <w:t xml:space="preserve"> (</w:t>
      </w:r>
      <w:r w:rsidRPr="004845DA">
        <w:rPr>
          <w:rFonts w:ascii="Arial" w:hAnsi="Arial" w:cs="Arial"/>
        </w:rPr>
        <w:t>2024</w:t>
      </w:r>
      <w:r w:rsidR="00833242">
        <w:rPr>
          <w:rFonts w:ascii="Arial" w:hAnsi="Arial" w:cs="Arial"/>
        </w:rPr>
        <w:t>)</w:t>
      </w:r>
      <w:r w:rsidRPr="004845DA">
        <w:rPr>
          <w:rFonts w:ascii="Arial" w:hAnsi="Arial" w:cs="Arial"/>
        </w:rPr>
        <w:t>. Sida corymbosa prevents seizures and memory deficit via inhibition of oxidative stress and neuron</w:t>
      </w:r>
      <w:r w:rsidR="00CC55DB">
        <w:rPr>
          <w:rFonts w:ascii="Arial" w:hAnsi="Arial" w:cs="Arial"/>
        </w:rPr>
        <w:t>al</w:t>
      </w:r>
      <w:r w:rsidRPr="004845DA">
        <w:rPr>
          <w:rFonts w:ascii="Arial" w:hAnsi="Arial" w:cs="Arial"/>
        </w:rPr>
        <w:t xml:space="preserve"> loss in the hippocampus. Heliyon 10 (2024) e39701.</w:t>
      </w:r>
    </w:p>
    <w:p w14:paraId="4A6C46F5" w14:textId="1F8CCD7C" w:rsidR="004845DA" w:rsidRPr="004845DA" w:rsidRDefault="004845DA" w:rsidP="004845DA">
      <w:pPr>
        <w:pStyle w:val="Body"/>
        <w:spacing w:after="0"/>
        <w:ind w:left="567" w:hanging="567"/>
        <w:rPr>
          <w:rFonts w:ascii="Arial" w:hAnsi="Arial" w:cs="Arial"/>
        </w:rPr>
      </w:pPr>
      <w:r w:rsidRPr="004845DA">
        <w:rPr>
          <w:rFonts w:ascii="Arial" w:hAnsi="Arial" w:cs="Arial"/>
        </w:rPr>
        <w:t>Pitkänen, A., Kharatishvili, I., Narkilahti, S., Lukasiuk, K., Nissinen, J.</w:t>
      </w:r>
      <w:r w:rsidR="00833242">
        <w:rPr>
          <w:rFonts w:ascii="Arial" w:hAnsi="Arial" w:cs="Arial"/>
        </w:rPr>
        <w:t xml:space="preserve"> (</w:t>
      </w:r>
      <w:r w:rsidRPr="004845DA">
        <w:rPr>
          <w:rFonts w:ascii="Arial" w:hAnsi="Arial" w:cs="Arial"/>
        </w:rPr>
        <w:t>2005</w:t>
      </w:r>
      <w:r w:rsidR="00833242">
        <w:rPr>
          <w:rFonts w:ascii="Arial" w:hAnsi="Arial" w:cs="Arial"/>
        </w:rPr>
        <w:t>)</w:t>
      </w:r>
      <w:r w:rsidRPr="004845DA">
        <w:rPr>
          <w:rFonts w:ascii="Arial" w:hAnsi="Arial" w:cs="Arial"/>
        </w:rPr>
        <w:t>. Administration of diazepam during status epilepticus reduces development and severity of epilepsy in rat. Epilepsy Res. 63. https://doi.org/10.1016/j.eplepsyres.2004.10.003</w:t>
      </w:r>
    </w:p>
    <w:p w14:paraId="36EAFCD2" w14:textId="666DFA0E" w:rsidR="004845DA" w:rsidRPr="004845DA" w:rsidRDefault="004845DA" w:rsidP="004845DA">
      <w:pPr>
        <w:pStyle w:val="Body"/>
        <w:spacing w:after="0"/>
        <w:ind w:left="567" w:hanging="567"/>
        <w:rPr>
          <w:rFonts w:ascii="Arial" w:hAnsi="Arial" w:cs="Arial"/>
        </w:rPr>
      </w:pPr>
      <w:r w:rsidRPr="004845DA">
        <w:rPr>
          <w:rFonts w:ascii="Arial" w:hAnsi="Arial" w:cs="Arial"/>
        </w:rPr>
        <w:t>Rahmati, B., Kh</w:t>
      </w:r>
      <w:r w:rsidR="00CC55DB">
        <w:rPr>
          <w:rFonts w:ascii="Arial" w:hAnsi="Arial" w:cs="Arial"/>
        </w:rPr>
        <w:t>al</w:t>
      </w:r>
      <w:r w:rsidRPr="004845DA">
        <w:rPr>
          <w:rFonts w:ascii="Arial" w:hAnsi="Arial" w:cs="Arial"/>
        </w:rPr>
        <w:t>ili, M., Roghani, M., Ahghari, P.</w:t>
      </w:r>
      <w:r w:rsidR="00833242">
        <w:rPr>
          <w:rFonts w:ascii="Arial" w:hAnsi="Arial" w:cs="Arial"/>
        </w:rPr>
        <w:t xml:space="preserve"> (</w:t>
      </w:r>
      <w:r w:rsidRPr="004845DA">
        <w:rPr>
          <w:rFonts w:ascii="Arial" w:hAnsi="Arial" w:cs="Arial"/>
        </w:rPr>
        <w:t>2013</w:t>
      </w:r>
      <w:r w:rsidR="00833242">
        <w:rPr>
          <w:rFonts w:ascii="Arial" w:hAnsi="Arial" w:cs="Arial"/>
        </w:rPr>
        <w:t>)</w:t>
      </w:r>
      <w:r w:rsidRPr="004845DA">
        <w:rPr>
          <w:rFonts w:ascii="Arial" w:hAnsi="Arial" w:cs="Arial"/>
        </w:rPr>
        <w:t>. Anti-epileptogenic and antioxidant effect of Lavandula officin</w:t>
      </w:r>
      <w:r w:rsidR="00CC55DB">
        <w:rPr>
          <w:rFonts w:ascii="Arial" w:hAnsi="Arial" w:cs="Arial"/>
        </w:rPr>
        <w:t>al</w:t>
      </w:r>
      <w:r w:rsidRPr="004845DA">
        <w:rPr>
          <w:rFonts w:ascii="Arial" w:hAnsi="Arial" w:cs="Arial"/>
        </w:rPr>
        <w:t>is aeri</w:t>
      </w:r>
      <w:r w:rsidR="00CC55DB">
        <w:rPr>
          <w:rFonts w:ascii="Arial" w:hAnsi="Arial" w:cs="Arial"/>
        </w:rPr>
        <w:t>al</w:t>
      </w:r>
      <w:r w:rsidRPr="004845DA">
        <w:rPr>
          <w:rFonts w:ascii="Arial" w:hAnsi="Arial" w:cs="Arial"/>
        </w:rPr>
        <w:t xml:space="preserve"> part extract against pentylenetetrazol-induced kindling in m</w:t>
      </w:r>
      <w:r w:rsidR="00CC55DB">
        <w:rPr>
          <w:rFonts w:ascii="Arial" w:hAnsi="Arial" w:cs="Arial"/>
        </w:rPr>
        <w:t>al</w:t>
      </w:r>
      <w:r w:rsidRPr="004845DA">
        <w:rPr>
          <w:rFonts w:ascii="Arial" w:hAnsi="Arial" w:cs="Arial"/>
        </w:rPr>
        <w:t>e mice. J. Ethnopharmacol. 148. https://doi.org/10.1016/j.jep.2013.04.004</w:t>
      </w:r>
    </w:p>
    <w:p w14:paraId="6FF1D9A1" w14:textId="3B2488B4" w:rsidR="004845DA" w:rsidRPr="004845DA" w:rsidRDefault="004845DA" w:rsidP="004845DA">
      <w:pPr>
        <w:pStyle w:val="Body"/>
        <w:spacing w:after="0"/>
        <w:ind w:left="567" w:hanging="567"/>
        <w:rPr>
          <w:rFonts w:ascii="Arial" w:hAnsi="Arial" w:cs="Arial"/>
        </w:rPr>
      </w:pPr>
      <w:r w:rsidRPr="004845DA">
        <w:rPr>
          <w:rFonts w:ascii="Arial" w:hAnsi="Arial" w:cs="Arial"/>
        </w:rPr>
        <w:t>Sankar, R., Auvin, S., Shin, D., Mazarati, A.</w:t>
      </w:r>
      <w:r w:rsidR="00833242">
        <w:rPr>
          <w:rFonts w:ascii="Arial" w:hAnsi="Arial" w:cs="Arial"/>
        </w:rPr>
        <w:t xml:space="preserve"> (</w:t>
      </w:r>
      <w:r w:rsidRPr="004845DA">
        <w:rPr>
          <w:rFonts w:ascii="Arial" w:hAnsi="Arial" w:cs="Arial"/>
        </w:rPr>
        <w:t>2007</w:t>
      </w:r>
      <w:r w:rsidR="00833242">
        <w:rPr>
          <w:rFonts w:ascii="Arial" w:hAnsi="Arial" w:cs="Arial"/>
        </w:rPr>
        <w:t>)</w:t>
      </w:r>
      <w:r w:rsidRPr="004845DA">
        <w:rPr>
          <w:rFonts w:ascii="Arial" w:hAnsi="Arial" w:cs="Arial"/>
        </w:rPr>
        <w:t>. Inflammation modifies status epilepticus-induced hippocamp</w:t>
      </w:r>
      <w:r w:rsidR="00CC55DB">
        <w:rPr>
          <w:rFonts w:ascii="Arial" w:hAnsi="Arial" w:cs="Arial"/>
        </w:rPr>
        <w:t>al</w:t>
      </w:r>
      <w:r w:rsidRPr="004845DA">
        <w:rPr>
          <w:rFonts w:ascii="Arial" w:hAnsi="Arial" w:cs="Arial"/>
        </w:rPr>
        <w:t xml:space="preserve"> injury during development, in: Epilepsia. https://doi.org/10.1111/j.1528-1167.2007.01338.x</w:t>
      </w:r>
    </w:p>
    <w:p w14:paraId="2C36F16C" w14:textId="57C07B6D" w:rsidR="004845DA" w:rsidRPr="004845DA" w:rsidRDefault="004845DA" w:rsidP="004845DA">
      <w:pPr>
        <w:pStyle w:val="Body"/>
        <w:spacing w:after="0"/>
        <w:ind w:left="567" w:hanging="567"/>
        <w:rPr>
          <w:rFonts w:ascii="Arial" w:hAnsi="Arial" w:cs="Arial"/>
        </w:rPr>
      </w:pPr>
      <w:r w:rsidRPr="004845DA">
        <w:rPr>
          <w:rFonts w:ascii="Arial" w:hAnsi="Arial" w:cs="Arial"/>
        </w:rPr>
        <w:t>Scorza, F.A., Arida, R.M., Naffah-Mazzacoratti, M. da G., Scerni, D.A., C</w:t>
      </w:r>
      <w:r w:rsidR="00CC55DB">
        <w:rPr>
          <w:rFonts w:ascii="Arial" w:hAnsi="Arial" w:cs="Arial"/>
        </w:rPr>
        <w:t>al</w:t>
      </w:r>
      <w:r w:rsidRPr="004845DA">
        <w:rPr>
          <w:rFonts w:ascii="Arial" w:hAnsi="Arial" w:cs="Arial"/>
        </w:rPr>
        <w:t>derazzo, L., Cav</w:t>
      </w:r>
      <w:r w:rsidR="00CC55DB">
        <w:rPr>
          <w:rFonts w:ascii="Arial" w:hAnsi="Arial" w:cs="Arial"/>
        </w:rPr>
        <w:t>al</w:t>
      </w:r>
      <w:r w:rsidRPr="004845DA">
        <w:rPr>
          <w:rFonts w:ascii="Arial" w:hAnsi="Arial" w:cs="Arial"/>
        </w:rPr>
        <w:t>heiro, E.A.</w:t>
      </w:r>
      <w:r w:rsidR="00833242">
        <w:rPr>
          <w:rFonts w:ascii="Arial" w:hAnsi="Arial" w:cs="Arial"/>
        </w:rPr>
        <w:t xml:space="preserve"> (</w:t>
      </w:r>
      <w:r w:rsidRPr="004845DA">
        <w:rPr>
          <w:rFonts w:ascii="Arial" w:hAnsi="Arial" w:cs="Arial"/>
        </w:rPr>
        <w:t>2009</w:t>
      </w:r>
      <w:r w:rsidR="00833242">
        <w:rPr>
          <w:rFonts w:ascii="Arial" w:hAnsi="Arial" w:cs="Arial"/>
        </w:rPr>
        <w:t>)</w:t>
      </w:r>
      <w:r w:rsidRPr="004845DA">
        <w:rPr>
          <w:rFonts w:ascii="Arial" w:hAnsi="Arial" w:cs="Arial"/>
        </w:rPr>
        <w:t>. The pilocarpine model of epilepsy: What have we learned? An. Acad. Bras. Cienc. https://doi.org/10.1590/S0001-37652009000300003</w:t>
      </w:r>
    </w:p>
    <w:p w14:paraId="52D8807E" w14:textId="12A82C14" w:rsidR="004845DA" w:rsidRPr="004845DA" w:rsidRDefault="004845DA" w:rsidP="004845DA">
      <w:pPr>
        <w:pStyle w:val="Body"/>
        <w:spacing w:after="0"/>
        <w:ind w:left="567" w:hanging="567"/>
        <w:rPr>
          <w:rFonts w:ascii="Arial" w:hAnsi="Arial" w:cs="Arial"/>
        </w:rPr>
      </w:pPr>
      <w:r w:rsidRPr="004845DA">
        <w:rPr>
          <w:rFonts w:ascii="Arial" w:hAnsi="Arial" w:cs="Arial"/>
        </w:rPr>
        <w:t>Seg</w:t>
      </w:r>
      <w:r w:rsidR="00CC55DB">
        <w:rPr>
          <w:rFonts w:ascii="Arial" w:hAnsi="Arial" w:cs="Arial"/>
        </w:rPr>
        <w:t>al</w:t>
      </w:r>
      <w:r w:rsidRPr="004845DA">
        <w:rPr>
          <w:rFonts w:ascii="Arial" w:hAnsi="Arial" w:cs="Arial"/>
        </w:rPr>
        <w:t>, M.</w:t>
      </w:r>
      <w:r w:rsidR="00833242">
        <w:rPr>
          <w:rFonts w:ascii="Arial" w:hAnsi="Arial" w:cs="Arial"/>
        </w:rPr>
        <w:t xml:space="preserve"> (</w:t>
      </w:r>
      <w:r w:rsidRPr="004845DA">
        <w:rPr>
          <w:rFonts w:ascii="Arial" w:hAnsi="Arial" w:cs="Arial"/>
        </w:rPr>
        <w:t>1988</w:t>
      </w:r>
      <w:r w:rsidR="00833242">
        <w:rPr>
          <w:rFonts w:ascii="Arial" w:hAnsi="Arial" w:cs="Arial"/>
        </w:rPr>
        <w:t>)</w:t>
      </w:r>
      <w:r w:rsidRPr="004845DA">
        <w:rPr>
          <w:rFonts w:ascii="Arial" w:hAnsi="Arial" w:cs="Arial"/>
        </w:rPr>
        <w:t>. Synaptic activation of a cholinergic receptor in rat hippocampus. Brain Res. 452, 79–86. https://doi.org/10.1016/0006-8993(88)90011-X</w:t>
      </w:r>
    </w:p>
    <w:p w14:paraId="10A44849" w14:textId="78743D0E" w:rsidR="004845DA" w:rsidRDefault="004845DA" w:rsidP="004845DA">
      <w:pPr>
        <w:pStyle w:val="Body"/>
        <w:spacing w:after="0"/>
        <w:ind w:left="567" w:hanging="567"/>
        <w:rPr>
          <w:rFonts w:ascii="Arial" w:hAnsi="Arial" w:cs="Arial"/>
        </w:rPr>
      </w:pPr>
      <w:r w:rsidRPr="004845DA">
        <w:rPr>
          <w:rFonts w:ascii="Arial" w:hAnsi="Arial" w:cs="Arial"/>
        </w:rPr>
        <w:t xml:space="preserve">Singab, A.,  Bahgat, D., </w:t>
      </w:r>
      <w:r w:rsidR="00CC55DB">
        <w:rPr>
          <w:rFonts w:ascii="Arial" w:hAnsi="Arial" w:cs="Arial"/>
        </w:rPr>
        <w:t>Al</w:t>
      </w:r>
      <w:r w:rsidRPr="004845DA">
        <w:rPr>
          <w:rFonts w:ascii="Arial" w:hAnsi="Arial" w:cs="Arial"/>
        </w:rPr>
        <w:t>-Sayed, E., Eldahshan, O.</w:t>
      </w:r>
      <w:r w:rsidR="00833242">
        <w:rPr>
          <w:rFonts w:ascii="Arial" w:hAnsi="Arial" w:cs="Arial"/>
        </w:rPr>
        <w:t xml:space="preserve"> (</w:t>
      </w:r>
      <w:r w:rsidRPr="004845DA">
        <w:rPr>
          <w:rFonts w:ascii="Arial" w:hAnsi="Arial" w:cs="Arial"/>
        </w:rPr>
        <w:t>2015</w:t>
      </w:r>
      <w:r w:rsidR="00833242">
        <w:rPr>
          <w:rFonts w:ascii="Arial" w:hAnsi="Arial" w:cs="Arial"/>
        </w:rPr>
        <w:t>)</w:t>
      </w:r>
      <w:r w:rsidRPr="004845DA">
        <w:rPr>
          <w:rFonts w:ascii="Arial" w:hAnsi="Arial" w:cs="Arial"/>
        </w:rPr>
        <w:t xml:space="preserve">. Saponins from genus </w:t>
      </w:r>
      <w:r w:rsidR="00CC55DB">
        <w:rPr>
          <w:rFonts w:ascii="Arial" w:hAnsi="Arial" w:cs="Arial"/>
        </w:rPr>
        <w:t>Al</w:t>
      </w:r>
      <w:r w:rsidRPr="004845DA">
        <w:rPr>
          <w:rFonts w:ascii="Arial" w:hAnsi="Arial" w:cs="Arial"/>
        </w:rPr>
        <w:t>bizia: phytochemic</w:t>
      </w:r>
      <w:r w:rsidR="00CC55DB">
        <w:rPr>
          <w:rFonts w:ascii="Arial" w:hAnsi="Arial" w:cs="Arial"/>
        </w:rPr>
        <w:t>al</w:t>
      </w:r>
      <w:r w:rsidRPr="004845DA">
        <w:rPr>
          <w:rFonts w:ascii="Arial" w:hAnsi="Arial" w:cs="Arial"/>
        </w:rPr>
        <w:t xml:space="preserve"> and biologic</w:t>
      </w:r>
      <w:r w:rsidR="00CC55DB">
        <w:rPr>
          <w:rFonts w:ascii="Arial" w:hAnsi="Arial" w:cs="Arial"/>
        </w:rPr>
        <w:t>al</w:t>
      </w:r>
      <w:r w:rsidRPr="004845DA">
        <w:rPr>
          <w:rFonts w:ascii="Arial" w:hAnsi="Arial" w:cs="Arial"/>
        </w:rPr>
        <w:t xml:space="preserve"> review, Med Aroma Plants S 3 (001).</w:t>
      </w:r>
    </w:p>
    <w:p w14:paraId="3CEE6F6E" w14:textId="77777777" w:rsidR="001D792D" w:rsidRDefault="001D792D" w:rsidP="001D792D">
      <w:pPr>
        <w:pStyle w:val="Body"/>
        <w:spacing w:after="0"/>
        <w:ind w:left="567" w:hanging="567"/>
        <w:rPr>
          <w:rFonts w:ascii="Arial" w:hAnsi="Arial" w:cs="Arial"/>
        </w:rPr>
      </w:pPr>
      <w:r w:rsidRPr="004845DA">
        <w:rPr>
          <w:rFonts w:ascii="Arial" w:hAnsi="Arial" w:cs="Arial"/>
        </w:rPr>
        <w:t>Sytinsky, I.A., Ggzikov, B.M., Gomanko, M. V</w:t>
      </w:r>
      <w:r>
        <w:rPr>
          <w:rFonts w:ascii="Arial" w:hAnsi="Arial" w:cs="Arial"/>
        </w:rPr>
        <w:t>. (</w:t>
      </w:r>
      <w:r w:rsidRPr="004845DA">
        <w:rPr>
          <w:rFonts w:ascii="Arial" w:hAnsi="Arial" w:cs="Arial"/>
        </w:rPr>
        <w:t>1991</w:t>
      </w:r>
      <w:r>
        <w:rPr>
          <w:rFonts w:ascii="Arial" w:hAnsi="Arial" w:cs="Arial"/>
        </w:rPr>
        <w:t>)</w:t>
      </w:r>
      <w:r w:rsidRPr="004845DA">
        <w:rPr>
          <w:rFonts w:ascii="Arial" w:hAnsi="Arial" w:cs="Arial"/>
        </w:rPr>
        <w:t>. SYSTEM IN BRAIN DURING ACUTE AND 2, 43–48.</w:t>
      </w:r>
    </w:p>
    <w:p w14:paraId="72E7A5BC" w14:textId="3995F0DC" w:rsidR="00F26444" w:rsidRPr="00F26444" w:rsidRDefault="001D792D" w:rsidP="00F26444">
      <w:pPr>
        <w:pStyle w:val="Body"/>
        <w:spacing w:after="0"/>
        <w:ind w:left="567" w:hanging="567"/>
        <w:rPr>
          <w:rFonts w:ascii="Arial" w:hAnsi="Arial" w:cs="Arial"/>
          <w:lang w:val="fr-FR"/>
        </w:rPr>
      </w:pPr>
      <w:r w:rsidRPr="004845DA">
        <w:rPr>
          <w:rFonts w:ascii="Arial" w:hAnsi="Arial" w:cs="Arial"/>
        </w:rPr>
        <w:t xml:space="preserve">Taah Yamndou S., Djedoubouyom Name E., Asta Madi, Nguedjo Wandji M., Mediesse Kengne F., Loabe Pahimi A., Ngo Bum E. &amp; Njan Nlôga A.M. (2021). </w:t>
      </w:r>
      <w:r w:rsidRPr="004845DA">
        <w:rPr>
          <w:rFonts w:ascii="Arial" w:hAnsi="Arial" w:cs="Arial"/>
          <w:lang w:val="fr-FR"/>
        </w:rPr>
        <w:t>Effets De Cyperus Articulatus L. (Cyperaceae) Sur La Memoire Des Souris Blanches Suisses (Mus Musculus Swiss.). European Scientific Journ</w:t>
      </w:r>
      <w:r>
        <w:rPr>
          <w:rFonts w:ascii="Arial" w:hAnsi="Arial" w:cs="Arial"/>
          <w:lang w:val="fr-FR"/>
        </w:rPr>
        <w:t>al</w:t>
      </w:r>
      <w:r w:rsidRPr="004845DA">
        <w:rPr>
          <w:rFonts w:ascii="Arial" w:hAnsi="Arial" w:cs="Arial"/>
          <w:lang w:val="fr-FR"/>
        </w:rPr>
        <w:t>, ESJ, 17(29), 184. https://doi.org/10.19044/esj.2021.v17n29p184</w:t>
      </w:r>
    </w:p>
    <w:p w14:paraId="5DC5BCCF" w14:textId="48460CC6" w:rsidR="001D792D" w:rsidRPr="00A27DF1" w:rsidRDefault="00F26444" w:rsidP="00F26444">
      <w:pPr>
        <w:pStyle w:val="Body"/>
        <w:spacing w:after="0"/>
        <w:ind w:left="567" w:hanging="567"/>
        <w:rPr>
          <w:rFonts w:ascii="Arial" w:hAnsi="Arial" w:cs="Arial"/>
        </w:rPr>
      </w:pPr>
      <w:r w:rsidRPr="00A27DF1">
        <w:rPr>
          <w:rFonts w:ascii="Arial" w:hAnsi="Arial" w:cs="Arial"/>
          <w:lang w:val="fr-FR"/>
        </w:rPr>
        <w:t xml:space="preserve">Taïwe, G., Bum, E., Dimo, T., Talla, E., Weiss, N., Dawe, A. (2010). </w:t>
      </w:r>
      <w:r w:rsidRPr="00F26444">
        <w:rPr>
          <w:rFonts w:ascii="Arial" w:hAnsi="Arial" w:cs="Arial"/>
        </w:rPr>
        <w:t xml:space="preserve">Antidepressant, myorelaxant and anti-anxiety-like effects of </w:t>
      </w:r>
      <w:r w:rsidRPr="00F26444">
        <w:rPr>
          <w:rFonts w:ascii="Arial" w:hAnsi="Arial" w:cs="Arial"/>
          <w:i/>
          <w:iCs/>
        </w:rPr>
        <w:t xml:space="preserve">Nauclea latifolia </w:t>
      </w:r>
      <w:r w:rsidRPr="00F26444">
        <w:rPr>
          <w:rFonts w:ascii="Arial" w:hAnsi="Arial" w:cs="Arial"/>
        </w:rPr>
        <w:t xml:space="preserve">smith (Rubiaceae) roots extract in murine models. </w:t>
      </w:r>
      <w:r w:rsidRPr="00A27DF1">
        <w:rPr>
          <w:rFonts w:ascii="Arial" w:hAnsi="Arial" w:cs="Arial"/>
        </w:rPr>
        <w:t xml:space="preserve">International journal of pharmacology; 6(4): 364-71. </w:t>
      </w:r>
    </w:p>
    <w:p w14:paraId="0975C794" w14:textId="26BB0580" w:rsidR="004845DA" w:rsidRPr="004845DA" w:rsidRDefault="004845DA" w:rsidP="004845DA">
      <w:pPr>
        <w:pStyle w:val="Body"/>
        <w:spacing w:after="0"/>
        <w:ind w:left="567" w:hanging="567"/>
        <w:rPr>
          <w:rFonts w:ascii="Arial" w:hAnsi="Arial" w:cs="Arial"/>
        </w:rPr>
      </w:pPr>
      <w:r w:rsidRPr="00A27DF1">
        <w:rPr>
          <w:rFonts w:ascii="Arial" w:hAnsi="Arial" w:cs="Arial"/>
        </w:rPr>
        <w:t>Taïwe, G.S, Bum, E.N., T</w:t>
      </w:r>
      <w:r w:rsidR="00CC55DB" w:rsidRPr="00A27DF1">
        <w:rPr>
          <w:rFonts w:ascii="Arial" w:hAnsi="Arial" w:cs="Arial"/>
        </w:rPr>
        <w:t>al</w:t>
      </w:r>
      <w:r w:rsidRPr="00A27DF1">
        <w:rPr>
          <w:rFonts w:ascii="Arial" w:hAnsi="Arial" w:cs="Arial"/>
        </w:rPr>
        <w:t>la, E., Dimo, T., Sidiki, N., Dawe, A., Nguimbou, R.M., Désiré, P., Dzeufiet, D., De Waard, M.</w:t>
      </w:r>
      <w:r w:rsidR="00833242" w:rsidRPr="00A27DF1">
        <w:rPr>
          <w:rFonts w:ascii="Arial" w:hAnsi="Arial" w:cs="Arial"/>
        </w:rPr>
        <w:t xml:space="preserve"> (</w:t>
      </w:r>
      <w:r w:rsidRPr="00A27DF1">
        <w:rPr>
          <w:rFonts w:ascii="Arial" w:hAnsi="Arial" w:cs="Arial"/>
        </w:rPr>
        <w:t>2012a</w:t>
      </w:r>
      <w:r w:rsidR="00833242" w:rsidRPr="00A27DF1">
        <w:rPr>
          <w:rFonts w:ascii="Arial" w:hAnsi="Arial" w:cs="Arial"/>
        </w:rPr>
        <w:t>)</w:t>
      </w:r>
      <w:r w:rsidRPr="00A27DF1">
        <w:rPr>
          <w:rFonts w:ascii="Arial" w:hAnsi="Arial" w:cs="Arial"/>
        </w:rPr>
        <w:t xml:space="preserve">. </w:t>
      </w:r>
      <w:r w:rsidRPr="004845DA">
        <w:rPr>
          <w:rFonts w:ascii="Arial" w:hAnsi="Arial" w:cs="Arial"/>
        </w:rPr>
        <w:t>Ev</w:t>
      </w:r>
      <w:r w:rsidR="00CC55DB">
        <w:rPr>
          <w:rFonts w:ascii="Arial" w:hAnsi="Arial" w:cs="Arial"/>
        </w:rPr>
        <w:t>al</w:t>
      </w:r>
      <w:r w:rsidRPr="004845DA">
        <w:rPr>
          <w:rFonts w:ascii="Arial" w:hAnsi="Arial" w:cs="Arial"/>
        </w:rPr>
        <w:t>uation of antinociceptive effects of Crassoceph</w:t>
      </w:r>
      <w:r w:rsidR="00CC55DB">
        <w:rPr>
          <w:rFonts w:ascii="Arial" w:hAnsi="Arial" w:cs="Arial"/>
        </w:rPr>
        <w:t>al</w:t>
      </w:r>
      <w:r w:rsidRPr="004845DA">
        <w:rPr>
          <w:rFonts w:ascii="Arial" w:hAnsi="Arial" w:cs="Arial"/>
        </w:rPr>
        <w:t>um bauchiense Hutch (Asteraceae) leaf extract in rodents.. Ev</w:t>
      </w:r>
      <w:r w:rsidR="00CC55DB">
        <w:rPr>
          <w:rFonts w:ascii="Arial" w:hAnsi="Arial" w:cs="Arial"/>
        </w:rPr>
        <w:t>al</w:t>
      </w:r>
      <w:r w:rsidRPr="004845DA">
        <w:rPr>
          <w:rFonts w:ascii="Arial" w:hAnsi="Arial" w:cs="Arial"/>
        </w:rPr>
        <w:t>uation of antinociceptive effects of Crassoceph</w:t>
      </w:r>
      <w:r w:rsidR="00CC55DB">
        <w:rPr>
          <w:rFonts w:ascii="Arial" w:hAnsi="Arial" w:cs="Arial"/>
        </w:rPr>
        <w:t>al</w:t>
      </w:r>
      <w:r w:rsidRPr="004845DA">
        <w:rPr>
          <w:rFonts w:ascii="Arial" w:hAnsi="Arial" w:cs="Arial"/>
        </w:rPr>
        <w:t>um bauchiense Hutch (Asteraceae) leaf extract in rodents. J. Ethnopharmacol. 141, 234–275. https://doi.org/10.1016/j.jep.2012.02.024ï</w:t>
      </w:r>
    </w:p>
    <w:p w14:paraId="06762EF1" w14:textId="26B9472F" w:rsidR="004845DA" w:rsidRPr="004845DA" w:rsidRDefault="004845DA" w:rsidP="004845DA">
      <w:pPr>
        <w:pStyle w:val="Body"/>
        <w:spacing w:after="0"/>
        <w:ind w:left="567" w:hanging="567"/>
        <w:rPr>
          <w:rFonts w:ascii="Arial" w:hAnsi="Arial" w:cs="Arial"/>
        </w:rPr>
      </w:pPr>
      <w:r w:rsidRPr="004845DA">
        <w:rPr>
          <w:rFonts w:ascii="Arial" w:hAnsi="Arial" w:cs="Arial"/>
        </w:rPr>
        <w:t>Taïwe, G.S, Ngo Bum, E., T</w:t>
      </w:r>
      <w:r w:rsidR="00CC55DB">
        <w:rPr>
          <w:rFonts w:ascii="Arial" w:hAnsi="Arial" w:cs="Arial"/>
        </w:rPr>
        <w:t>al</w:t>
      </w:r>
      <w:r w:rsidRPr="004845DA">
        <w:rPr>
          <w:rFonts w:ascii="Arial" w:hAnsi="Arial" w:cs="Arial"/>
        </w:rPr>
        <w:t>la, E., Dawe, A., Okomolo Moto, F.C., Temkou Ngoupaye, G., Sidiki, N., Dabole, B., Djomeni Dzeufiet, P.D., Dimo, T., De Waard, M.</w:t>
      </w:r>
      <w:r w:rsidR="00833242">
        <w:rPr>
          <w:rFonts w:ascii="Arial" w:hAnsi="Arial" w:cs="Arial"/>
        </w:rPr>
        <w:t xml:space="preserve"> (</w:t>
      </w:r>
      <w:r w:rsidRPr="004845DA">
        <w:rPr>
          <w:rFonts w:ascii="Arial" w:hAnsi="Arial" w:cs="Arial"/>
        </w:rPr>
        <w:t>2012b</w:t>
      </w:r>
      <w:r w:rsidR="00833242">
        <w:rPr>
          <w:rFonts w:ascii="Arial" w:hAnsi="Arial" w:cs="Arial"/>
        </w:rPr>
        <w:t>)</w:t>
      </w:r>
      <w:r w:rsidRPr="004845DA">
        <w:rPr>
          <w:rFonts w:ascii="Arial" w:hAnsi="Arial" w:cs="Arial"/>
        </w:rPr>
        <w:t>. Antipsychotic and sedative effects of the leaf extract of Crassoceph</w:t>
      </w:r>
      <w:r w:rsidR="00CC55DB">
        <w:rPr>
          <w:rFonts w:ascii="Arial" w:hAnsi="Arial" w:cs="Arial"/>
        </w:rPr>
        <w:t>al</w:t>
      </w:r>
      <w:r w:rsidRPr="004845DA">
        <w:rPr>
          <w:rFonts w:ascii="Arial" w:hAnsi="Arial" w:cs="Arial"/>
        </w:rPr>
        <w:t>um bauchiense (Hutch.) Milne-Redh (Asteraceae) in rodents. J. Ethnopharmacol. 143. https://doi.org/10.1016/j.jep.2012.06.026</w:t>
      </w:r>
    </w:p>
    <w:p w14:paraId="0E0C44EE" w14:textId="69BA927A" w:rsidR="004845DA" w:rsidRPr="004845DA" w:rsidRDefault="004845DA" w:rsidP="004845DA">
      <w:pPr>
        <w:pStyle w:val="Body"/>
        <w:spacing w:after="0"/>
        <w:ind w:left="567" w:hanging="567"/>
        <w:rPr>
          <w:rFonts w:ascii="Arial" w:hAnsi="Arial" w:cs="Arial"/>
        </w:rPr>
      </w:pPr>
      <w:r w:rsidRPr="001D792D">
        <w:rPr>
          <w:rFonts w:ascii="Arial" w:hAnsi="Arial" w:cs="Arial"/>
        </w:rPr>
        <w:t>Taïwe, G., Bum, E., Dimo, T., T</w:t>
      </w:r>
      <w:r w:rsidR="00CC55DB" w:rsidRPr="001D792D">
        <w:rPr>
          <w:rFonts w:ascii="Arial" w:hAnsi="Arial" w:cs="Arial"/>
        </w:rPr>
        <w:t>al</w:t>
      </w:r>
      <w:r w:rsidRPr="001D792D">
        <w:rPr>
          <w:rFonts w:ascii="Arial" w:hAnsi="Arial" w:cs="Arial"/>
        </w:rPr>
        <w:t>la, E., Dawe, A., Moto, C.O., Sidiki, N., Désiré, P., Waard, M. De, Taïwe, G., Bum, E., Dimo, T., T</w:t>
      </w:r>
      <w:r w:rsidR="00CC55DB" w:rsidRPr="001D792D">
        <w:rPr>
          <w:rFonts w:ascii="Arial" w:hAnsi="Arial" w:cs="Arial"/>
        </w:rPr>
        <w:t>al</w:t>
      </w:r>
      <w:r w:rsidRPr="001D792D">
        <w:rPr>
          <w:rFonts w:ascii="Arial" w:hAnsi="Arial" w:cs="Arial"/>
        </w:rPr>
        <w:t xml:space="preserve">la, E., Weiss, N. </w:t>
      </w:r>
      <w:r w:rsidR="00833242" w:rsidRPr="001D792D">
        <w:rPr>
          <w:rFonts w:ascii="Arial" w:hAnsi="Arial" w:cs="Arial"/>
        </w:rPr>
        <w:t>(</w:t>
      </w:r>
      <w:r w:rsidRPr="001D792D">
        <w:rPr>
          <w:rFonts w:ascii="Arial" w:hAnsi="Arial" w:cs="Arial"/>
        </w:rPr>
        <w:t>2011</w:t>
      </w:r>
      <w:r w:rsidR="00833242" w:rsidRPr="001D792D">
        <w:rPr>
          <w:rFonts w:ascii="Arial" w:hAnsi="Arial" w:cs="Arial"/>
        </w:rPr>
        <w:t>)</w:t>
      </w:r>
      <w:r w:rsidRPr="001D792D">
        <w:rPr>
          <w:rFonts w:ascii="Arial" w:hAnsi="Arial" w:cs="Arial"/>
        </w:rPr>
        <w:t xml:space="preserve">. </w:t>
      </w:r>
      <w:r w:rsidRPr="004845DA">
        <w:rPr>
          <w:rFonts w:ascii="Arial" w:hAnsi="Arial" w:cs="Arial"/>
        </w:rPr>
        <w:t>Effects of Nauclea latifolia Smith ( Rubiaceae ) Roots Extract in Murine Models To cite this version : H</w:t>
      </w:r>
      <w:r w:rsidR="00CC55DB">
        <w:rPr>
          <w:rFonts w:ascii="Arial" w:hAnsi="Arial" w:cs="Arial"/>
        </w:rPr>
        <w:t>AL</w:t>
      </w:r>
      <w:r w:rsidRPr="004845DA">
        <w:rPr>
          <w:rFonts w:ascii="Arial" w:hAnsi="Arial" w:cs="Arial"/>
        </w:rPr>
        <w:t xml:space="preserve"> Id : inserm-00644849. Int. J. Pharmacol. 6, 364–371.</w:t>
      </w:r>
    </w:p>
    <w:p w14:paraId="07BD1011" w14:textId="3ADE6AAB" w:rsidR="004845DA" w:rsidRPr="004845DA" w:rsidRDefault="004845DA" w:rsidP="004845DA">
      <w:pPr>
        <w:pStyle w:val="Body"/>
        <w:spacing w:after="0"/>
        <w:ind w:left="567" w:hanging="567"/>
        <w:rPr>
          <w:rFonts w:ascii="Arial" w:hAnsi="Arial" w:cs="Arial"/>
        </w:rPr>
      </w:pPr>
      <w:r w:rsidRPr="004845DA">
        <w:rPr>
          <w:rFonts w:ascii="Arial" w:hAnsi="Arial" w:cs="Arial"/>
        </w:rPr>
        <w:t>Taiwe, G.S., Moto, F.C.O., Ayissi, E.R.M., Ngoupaye, G.T., Njapdounke, J.S.K., Nkantchoua, G.C.N., Kouemou, N., Omam, J.P.O., Kandeda, A.K., P</w:t>
      </w:r>
      <w:r w:rsidR="00CC55DB">
        <w:rPr>
          <w:rFonts w:ascii="Arial" w:hAnsi="Arial" w:cs="Arial"/>
        </w:rPr>
        <w:t>al</w:t>
      </w:r>
      <w:r w:rsidRPr="004845DA">
        <w:rPr>
          <w:rFonts w:ascii="Arial" w:hAnsi="Arial" w:cs="Arial"/>
        </w:rPr>
        <w:t>e, S., Pahaye, D., Ngo Bum, E.</w:t>
      </w:r>
      <w:r w:rsidR="00833242">
        <w:rPr>
          <w:rFonts w:ascii="Arial" w:hAnsi="Arial" w:cs="Arial"/>
        </w:rPr>
        <w:t xml:space="preserve"> (</w:t>
      </w:r>
      <w:r w:rsidRPr="004845DA">
        <w:rPr>
          <w:rFonts w:ascii="Arial" w:hAnsi="Arial" w:cs="Arial"/>
        </w:rPr>
        <w:t>2015</w:t>
      </w:r>
      <w:r w:rsidR="00833242">
        <w:rPr>
          <w:rFonts w:ascii="Arial" w:hAnsi="Arial" w:cs="Arial"/>
        </w:rPr>
        <w:t>)</w:t>
      </w:r>
      <w:r w:rsidRPr="004845DA">
        <w:rPr>
          <w:rFonts w:ascii="Arial" w:hAnsi="Arial" w:cs="Arial"/>
        </w:rPr>
        <w:t>. Effects of a lyophilized aqueous extract of Feretia apodanthera Del. (Rubiaceae) on pentylenetetrazole-induced kindling, oxidative stress, and cognitive impairment in mice. Epilepsy Behav. 43. https://doi.org/10.1016/j.yebeh.2014.11.022</w:t>
      </w:r>
    </w:p>
    <w:p w14:paraId="4CB57B0B" w14:textId="53AA0DC3" w:rsidR="004845DA" w:rsidRPr="004845DA" w:rsidRDefault="004845DA" w:rsidP="004845DA">
      <w:pPr>
        <w:pStyle w:val="Body"/>
        <w:spacing w:after="0"/>
        <w:ind w:left="567" w:hanging="567"/>
        <w:rPr>
          <w:rFonts w:ascii="Arial" w:hAnsi="Arial" w:cs="Arial"/>
        </w:rPr>
      </w:pPr>
      <w:r w:rsidRPr="004845DA">
        <w:rPr>
          <w:rFonts w:ascii="Arial" w:hAnsi="Arial" w:cs="Arial"/>
        </w:rPr>
        <w:t>Turski, W.A., Cav</w:t>
      </w:r>
      <w:r w:rsidR="00CC55DB">
        <w:rPr>
          <w:rFonts w:ascii="Arial" w:hAnsi="Arial" w:cs="Arial"/>
        </w:rPr>
        <w:t>al</w:t>
      </w:r>
      <w:r w:rsidRPr="004845DA">
        <w:rPr>
          <w:rFonts w:ascii="Arial" w:hAnsi="Arial" w:cs="Arial"/>
        </w:rPr>
        <w:t>heiro, E.A., Schwarz, M., Czuczwar, S.J., Kleinrok, Z., Turski, L.</w:t>
      </w:r>
      <w:r w:rsidR="00833242">
        <w:rPr>
          <w:rFonts w:ascii="Arial" w:hAnsi="Arial" w:cs="Arial"/>
        </w:rPr>
        <w:t xml:space="preserve"> (</w:t>
      </w:r>
      <w:r w:rsidRPr="004845DA">
        <w:rPr>
          <w:rFonts w:ascii="Arial" w:hAnsi="Arial" w:cs="Arial"/>
        </w:rPr>
        <w:t>1983</w:t>
      </w:r>
      <w:r w:rsidR="00833242">
        <w:rPr>
          <w:rFonts w:ascii="Arial" w:hAnsi="Arial" w:cs="Arial"/>
        </w:rPr>
        <w:t>)</w:t>
      </w:r>
      <w:r w:rsidRPr="004845DA">
        <w:rPr>
          <w:rFonts w:ascii="Arial" w:hAnsi="Arial" w:cs="Arial"/>
        </w:rPr>
        <w:t>. Limbic seizures produced by pilocarpine in rats: Behaviour</w:t>
      </w:r>
      <w:r w:rsidR="00CC55DB">
        <w:rPr>
          <w:rFonts w:ascii="Arial" w:hAnsi="Arial" w:cs="Arial"/>
        </w:rPr>
        <w:t>al</w:t>
      </w:r>
      <w:r w:rsidRPr="004845DA">
        <w:rPr>
          <w:rFonts w:ascii="Arial" w:hAnsi="Arial" w:cs="Arial"/>
        </w:rPr>
        <w:t>, electroenceph</w:t>
      </w:r>
      <w:r w:rsidR="00CC55DB">
        <w:rPr>
          <w:rFonts w:ascii="Arial" w:hAnsi="Arial" w:cs="Arial"/>
        </w:rPr>
        <w:t>al</w:t>
      </w:r>
      <w:r w:rsidRPr="004845DA">
        <w:rPr>
          <w:rFonts w:ascii="Arial" w:hAnsi="Arial" w:cs="Arial"/>
        </w:rPr>
        <w:t>ographic and neuropathologic</w:t>
      </w:r>
      <w:r w:rsidR="00CC55DB">
        <w:rPr>
          <w:rFonts w:ascii="Arial" w:hAnsi="Arial" w:cs="Arial"/>
        </w:rPr>
        <w:t>al</w:t>
      </w:r>
      <w:r w:rsidRPr="004845DA">
        <w:rPr>
          <w:rFonts w:ascii="Arial" w:hAnsi="Arial" w:cs="Arial"/>
        </w:rPr>
        <w:t xml:space="preserve"> study. Behav. Brain Res. 9. https://doi.org/10.1016/0166-4328(83)90136-5</w:t>
      </w:r>
    </w:p>
    <w:p w14:paraId="14327B6A" w14:textId="15B67034" w:rsidR="004845DA" w:rsidRPr="004845DA" w:rsidRDefault="004845DA" w:rsidP="004845DA">
      <w:pPr>
        <w:pStyle w:val="Body"/>
        <w:spacing w:after="0"/>
        <w:ind w:left="567" w:hanging="567"/>
        <w:rPr>
          <w:rFonts w:ascii="Arial" w:hAnsi="Arial" w:cs="Arial"/>
        </w:rPr>
      </w:pPr>
      <w:r w:rsidRPr="004845DA">
        <w:rPr>
          <w:rFonts w:ascii="Arial" w:hAnsi="Arial" w:cs="Arial"/>
        </w:rPr>
        <w:t>Xavier, S.M., Barbosa, C.O., Barros, D.O., Silva, R.F., Oliveira, A.A., Freitas, R.M.</w:t>
      </w:r>
      <w:r w:rsidR="00833242">
        <w:rPr>
          <w:rFonts w:ascii="Arial" w:hAnsi="Arial" w:cs="Arial"/>
        </w:rPr>
        <w:t xml:space="preserve"> (</w:t>
      </w:r>
      <w:r w:rsidRPr="004845DA">
        <w:rPr>
          <w:rFonts w:ascii="Arial" w:hAnsi="Arial" w:cs="Arial"/>
        </w:rPr>
        <w:t>2007</w:t>
      </w:r>
      <w:r w:rsidR="00833242">
        <w:rPr>
          <w:rFonts w:ascii="Arial" w:hAnsi="Arial" w:cs="Arial"/>
        </w:rPr>
        <w:t>)</w:t>
      </w:r>
      <w:r w:rsidRPr="004845DA">
        <w:rPr>
          <w:rFonts w:ascii="Arial" w:hAnsi="Arial" w:cs="Arial"/>
        </w:rPr>
        <w:t>. Vitamin C antioxidant effects in hippocampus of adult Wistar rats after seizures and status epilepticus induced by pilocarpine. Neurosci. Lett. 420. https://doi.org/10.1016/j.neulet.2007.04.056</w:t>
      </w:r>
    </w:p>
    <w:p w14:paraId="6FB54787" w14:textId="432F2309" w:rsidR="004845DA" w:rsidRPr="004845DA" w:rsidRDefault="004845DA" w:rsidP="00283A7C">
      <w:pPr>
        <w:pStyle w:val="Body"/>
        <w:spacing w:after="0"/>
        <w:ind w:left="567" w:hanging="567"/>
        <w:rPr>
          <w:rFonts w:ascii="Arial" w:hAnsi="Arial" w:cs="Arial"/>
        </w:rPr>
      </w:pPr>
      <w:r w:rsidRPr="004845DA">
        <w:rPr>
          <w:rFonts w:ascii="Arial" w:hAnsi="Arial" w:cs="Arial"/>
        </w:rPr>
        <w:t>Zhong, G. G., Sun, C.W., Li, Y.Y., Qi, H., Jiang, Y., Wang, X.M., Yang, S.J., Li, H.</w:t>
      </w:r>
      <w:r w:rsidR="00283A7C">
        <w:rPr>
          <w:rFonts w:ascii="Arial" w:hAnsi="Arial" w:cs="Arial"/>
        </w:rPr>
        <w:t xml:space="preserve"> (</w:t>
      </w:r>
      <w:r w:rsidRPr="004845DA">
        <w:rPr>
          <w:rFonts w:ascii="Arial" w:hAnsi="Arial" w:cs="Arial"/>
        </w:rPr>
        <w:t>1995</w:t>
      </w:r>
      <w:r w:rsidR="00283A7C">
        <w:rPr>
          <w:rFonts w:ascii="Arial" w:hAnsi="Arial" w:cs="Arial"/>
        </w:rPr>
        <w:t>)</w:t>
      </w:r>
      <w:r w:rsidRPr="004845DA">
        <w:rPr>
          <w:rFonts w:ascii="Arial" w:hAnsi="Arial" w:cs="Arial"/>
        </w:rPr>
        <w:t>.  C</w:t>
      </w:r>
      <w:r w:rsidR="00CC55DB">
        <w:rPr>
          <w:rFonts w:ascii="Arial" w:hAnsi="Arial" w:cs="Arial"/>
        </w:rPr>
        <w:t>al</w:t>
      </w:r>
      <w:r w:rsidRPr="004845DA">
        <w:rPr>
          <w:rFonts w:ascii="Arial" w:hAnsi="Arial" w:cs="Arial"/>
        </w:rPr>
        <w:t>cium channel blockade and anti-free-radic</w:t>
      </w:r>
      <w:r w:rsidR="00CC55DB">
        <w:rPr>
          <w:rFonts w:ascii="Arial" w:hAnsi="Arial" w:cs="Arial"/>
        </w:rPr>
        <w:t>al</w:t>
      </w:r>
      <w:r w:rsidRPr="004845DA">
        <w:rPr>
          <w:rFonts w:ascii="Arial" w:hAnsi="Arial" w:cs="Arial"/>
        </w:rPr>
        <w:t xml:space="preserve"> actions of panaxadiol saponins Rb1, Rb2, Rb3, Rc, and Rd. Zhongguo Yao li xue Bao. May; 16(3): p. 255-260.Chinese. PMID : 7660823.</w:t>
      </w:r>
    </w:p>
    <w:p w14:paraId="6873D303" w14:textId="532F4285" w:rsidR="004845DA" w:rsidRPr="004845DA" w:rsidRDefault="004845DA" w:rsidP="004845DA">
      <w:pPr>
        <w:pStyle w:val="Body"/>
        <w:spacing w:after="0"/>
        <w:ind w:left="567" w:hanging="567"/>
        <w:rPr>
          <w:rFonts w:ascii="Arial" w:hAnsi="Arial" w:cs="Arial"/>
        </w:rPr>
      </w:pPr>
      <w:r w:rsidRPr="004845DA">
        <w:rPr>
          <w:rFonts w:ascii="Arial" w:hAnsi="Arial" w:cs="Arial"/>
        </w:rPr>
        <w:t>Zhu, H.L., Wan, J.B., Wang, Y.T., Li, B.C., Xiang, B.C., He-J, Li, P.</w:t>
      </w:r>
      <w:r w:rsidR="00283A7C">
        <w:rPr>
          <w:rFonts w:ascii="Arial" w:hAnsi="Arial" w:cs="Arial"/>
        </w:rPr>
        <w:t xml:space="preserve"> (</w:t>
      </w:r>
      <w:r w:rsidRPr="004845DA">
        <w:rPr>
          <w:rFonts w:ascii="Arial" w:hAnsi="Arial" w:cs="Arial"/>
        </w:rPr>
        <w:t>2014</w:t>
      </w:r>
      <w:r w:rsidR="00283A7C">
        <w:rPr>
          <w:rFonts w:ascii="Arial" w:hAnsi="Arial" w:cs="Arial"/>
        </w:rPr>
        <w:t>)</w:t>
      </w:r>
      <w:r w:rsidRPr="004845DA">
        <w:rPr>
          <w:rFonts w:ascii="Arial" w:hAnsi="Arial" w:cs="Arial"/>
        </w:rPr>
        <w:t>. Medicin</w:t>
      </w:r>
      <w:r w:rsidR="00CC55DB">
        <w:rPr>
          <w:rFonts w:ascii="Arial" w:hAnsi="Arial" w:cs="Arial"/>
        </w:rPr>
        <w:t>al</w:t>
      </w:r>
      <w:r w:rsidRPr="004845DA">
        <w:rPr>
          <w:rFonts w:ascii="Arial" w:hAnsi="Arial" w:cs="Arial"/>
        </w:rPr>
        <w:t xml:space="preserve"> compounds with antiepileptic/anticonvulsant activities. Epilepsia 2014. 55(1): p. 3-16. doi: 10.1111/epi.12463.Epub 2013 Dec 2.PMID: 2499155. </w:t>
      </w:r>
    </w:p>
    <w:p w14:paraId="3E731B6B" w14:textId="77777777" w:rsidR="004845DA" w:rsidRPr="004845DA" w:rsidRDefault="004845DA" w:rsidP="004845DA">
      <w:pPr>
        <w:pStyle w:val="Body"/>
        <w:ind w:left="567" w:hanging="567"/>
        <w:rPr>
          <w:rFonts w:ascii="Arial" w:hAnsi="Arial" w:cs="Arial"/>
        </w:rPr>
      </w:pPr>
    </w:p>
    <w:p w14:paraId="60EF9EFA" w14:textId="77777777" w:rsidR="004845DA" w:rsidRPr="004845DA" w:rsidRDefault="004845DA" w:rsidP="004845DA">
      <w:pPr>
        <w:pStyle w:val="Body"/>
        <w:spacing w:after="0"/>
        <w:ind w:left="567" w:hanging="567"/>
        <w:rPr>
          <w:rFonts w:ascii="Arial" w:hAnsi="Arial" w:cs="Arial"/>
        </w:rPr>
      </w:pPr>
      <w:r w:rsidRPr="004845DA">
        <w:rPr>
          <w:rFonts w:ascii="Arial" w:hAnsi="Arial" w:cs="Arial"/>
        </w:rPr>
        <w:fldChar w:fldCharType="end"/>
      </w:r>
      <w:r w:rsidRPr="004845DA">
        <w:rPr>
          <w:rFonts w:ascii="Arial" w:hAnsi="Arial" w:cs="Arial"/>
        </w:rPr>
        <w:t xml:space="preserve"> </w:t>
      </w:r>
    </w:p>
    <w:p w14:paraId="49214C89" w14:textId="2C94A557" w:rsidR="001D24BF" w:rsidRDefault="001D24BF" w:rsidP="008267D0">
      <w:pPr>
        <w:pStyle w:val="Body"/>
        <w:spacing w:after="0"/>
        <w:rPr>
          <w:rFonts w:ascii="Arial" w:hAnsi="Arial" w:cs="Arial"/>
        </w:rPr>
      </w:pPr>
    </w:p>
    <w:sectPr w:rsidR="001D24BF" w:rsidSect="00010D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6D35" w14:textId="77777777" w:rsidR="006C7031" w:rsidRDefault="006C7031" w:rsidP="00C37E61">
      <w:r>
        <w:separator/>
      </w:r>
    </w:p>
  </w:endnote>
  <w:endnote w:type="continuationSeparator" w:id="0">
    <w:p w14:paraId="6256B1F9" w14:textId="77777777" w:rsidR="006C7031" w:rsidRDefault="006C70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17F8" w14:textId="77777777" w:rsidR="00010DA0" w:rsidRDefault="0001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82F3" w14:textId="77777777" w:rsidR="00010DA0" w:rsidRDefault="00010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C0A7" w14:textId="4D7436E8" w:rsidR="00754C9A" w:rsidRPr="00690ABB" w:rsidRDefault="00754C9A" w:rsidP="00690A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360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4AF1" w14:textId="77777777" w:rsidR="006C7031" w:rsidRDefault="006C7031" w:rsidP="00C37E61">
      <w:r>
        <w:separator/>
      </w:r>
    </w:p>
  </w:footnote>
  <w:footnote w:type="continuationSeparator" w:id="0">
    <w:p w14:paraId="623D171A" w14:textId="77777777" w:rsidR="006C7031" w:rsidRDefault="006C70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205D" w14:textId="65543D67" w:rsidR="00010DA0" w:rsidRDefault="00797ECD">
    <w:pPr>
      <w:pStyle w:val="Header"/>
    </w:pPr>
    <w:r>
      <w:rPr>
        <w:noProof/>
      </w:rPr>
      <w:pict w14:anchorId="5BB90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C02B" w14:textId="50E1C5E4" w:rsidR="00010DA0" w:rsidRDefault="00797ECD">
    <w:pPr>
      <w:pStyle w:val="Header"/>
    </w:pPr>
    <w:r>
      <w:rPr>
        <w:noProof/>
      </w:rPr>
      <w:pict w14:anchorId="3426D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4ADF6" w14:textId="3A42C1B5" w:rsidR="00296529" w:rsidRPr="00296529" w:rsidRDefault="00797ECD" w:rsidP="00296529">
    <w:pPr>
      <w:ind w:left="2160"/>
      <w:jc w:val="center"/>
      <w:rPr>
        <w:rFonts w:ascii="Times New Roman" w:eastAsia="Calibri" w:hAnsi="Times New Roman"/>
        <w:i/>
        <w:sz w:val="18"/>
        <w:szCs w:val="22"/>
      </w:rPr>
    </w:pPr>
    <w:r>
      <w:rPr>
        <w:noProof/>
      </w:rPr>
      <w:pict w14:anchorId="796F3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C277D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7CDC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35790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70A2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1FF2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95717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50E1" w14:textId="280F8E40" w:rsidR="00010DA0" w:rsidRDefault="00797ECD">
    <w:pPr>
      <w:pStyle w:val="Header"/>
    </w:pPr>
    <w:r>
      <w:rPr>
        <w:noProof/>
      </w:rPr>
      <w:pict w14:anchorId="2B384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802C" w14:textId="2331D785" w:rsidR="00010DA0" w:rsidRDefault="00797ECD">
    <w:pPr>
      <w:pStyle w:val="Header"/>
    </w:pPr>
    <w:r>
      <w:rPr>
        <w:noProof/>
      </w:rPr>
      <w:pict w14:anchorId="51F79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39A6" w14:textId="1CB0D503" w:rsidR="00010DA0" w:rsidRDefault="00797ECD">
    <w:pPr>
      <w:pStyle w:val="Header"/>
    </w:pPr>
    <w:r>
      <w:rPr>
        <w:noProof/>
      </w:rPr>
      <w:pict w14:anchorId="2A9B2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hybridMultilevel"/>
    <w:tmpl w:val="6ABC4562"/>
    <w:lvl w:ilvl="0" w:tplc="D022601C">
      <w:start w:val="1"/>
      <w:numFmt w:val="bullet"/>
      <w:lvlText w:val="-"/>
      <w:lvlJc w:val="left"/>
      <w:pPr>
        <w:ind w:left="1491" w:hanging="360"/>
      </w:pPr>
      <w:rPr>
        <w:rFonts w:ascii="Arial" w:eastAsia="Times New Roman" w:hAnsi="Arial" w:cs="Arial" w:hint="default"/>
      </w:rPr>
    </w:lvl>
    <w:lvl w:ilvl="1" w:tplc="2C0C0003" w:tentative="1">
      <w:start w:val="1"/>
      <w:numFmt w:val="bullet"/>
      <w:lvlText w:val="o"/>
      <w:lvlJc w:val="left"/>
      <w:pPr>
        <w:ind w:left="2211" w:hanging="360"/>
      </w:pPr>
      <w:rPr>
        <w:rFonts w:ascii="Courier New" w:hAnsi="Courier New" w:cs="Courier New" w:hint="default"/>
      </w:rPr>
    </w:lvl>
    <w:lvl w:ilvl="2" w:tplc="2C0C0005" w:tentative="1">
      <w:start w:val="1"/>
      <w:numFmt w:val="bullet"/>
      <w:lvlText w:val=""/>
      <w:lvlJc w:val="left"/>
      <w:pPr>
        <w:ind w:left="2931" w:hanging="360"/>
      </w:pPr>
      <w:rPr>
        <w:rFonts w:ascii="Wingdings" w:hAnsi="Wingdings" w:hint="default"/>
      </w:rPr>
    </w:lvl>
    <w:lvl w:ilvl="3" w:tplc="2C0C0001" w:tentative="1">
      <w:start w:val="1"/>
      <w:numFmt w:val="bullet"/>
      <w:lvlText w:val=""/>
      <w:lvlJc w:val="left"/>
      <w:pPr>
        <w:ind w:left="3651" w:hanging="360"/>
      </w:pPr>
      <w:rPr>
        <w:rFonts w:ascii="Symbol" w:hAnsi="Symbol" w:hint="default"/>
      </w:rPr>
    </w:lvl>
    <w:lvl w:ilvl="4" w:tplc="2C0C0003" w:tentative="1">
      <w:start w:val="1"/>
      <w:numFmt w:val="bullet"/>
      <w:lvlText w:val="o"/>
      <w:lvlJc w:val="left"/>
      <w:pPr>
        <w:ind w:left="4371" w:hanging="360"/>
      </w:pPr>
      <w:rPr>
        <w:rFonts w:ascii="Courier New" w:hAnsi="Courier New" w:cs="Courier New" w:hint="default"/>
      </w:rPr>
    </w:lvl>
    <w:lvl w:ilvl="5" w:tplc="2C0C0005" w:tentative="1">
      <w:start w:val="1"/>
      <w:numFmt w:val="bullet"/>
      <w:lvlText w:val=""/>
      <w:lvlJc w:val="left"/>
      <w:pPr>
        <w:ind w:left="5091" w:hanging="360"/>
      </w:pPr>
      <w:rPr>
        <w:rFonts w:ascii="Wingdings" w:hAnsi="Wingdings" w:hint="default"/>
      </w:rPr>
    </w:lvl>
    <w:lvl w:ilvl="6" w:tplc="2C0C0001" w:tentative="1">
      <w:start w:val="1"/>
      <w:numFmt w:val="bullet"/>
      <w:lvlText w:val=""/>
      <w:lvlJc w:val="left"/>
      <w:pPr>
        <w:ind w:left="5811" w:hanging="360"/>
      </w:pPr>
      <w:rPr>
        <w:rFonts w:ascii="Symbol" w:hAnsi="Symbol" w:hint="default"/>
      </w:rPr>
    </w:lvl>
    <w:lvl w:ilvl="7" w:tplc="2C0C0003" w:tentative="1">
      <w:start w:val="1"/>
      <w:numFmt w:val="bullet"/>
      <w:lvlText w:val="o"/>
      <w:lvlJc w:val="left"/>
      <w:pPr>
        <w:ind w:left="6531" w:hanging="360"/>
      </w:pPr>
      <w:rPr>
        <w:rFonts w:ascii="Courier New" w:hAnsi="Courier New" w:cs="Courier New" w:hint="default"/>
      </w:rPr>
    </w:lvl>
    <w:lvl w:ilvl="8" w:tplc="2C0C0005" w:tentative="1">
      <w:start w:val="1"/>
      <w:numFmt w:val="bullet"/>
      <w:lvlText w:val=""/>
      <w:lvlJc w:val="left"/>
      <w:pPr>
        <w:ind w:left="7251"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624053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545477">
    <w:abstractNumId w:val="16"/>
  </w:num>
  <w:num w:numId="3" w16cid:durableId="1925604697">
    <w:abstractNumId w:val="24"/>
  </w:num>
  <w:num w:numId="4" w16cid:durableId="9985837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3814947">
    <w:abstractNumId w:val="8"/>
  </w:num>
  <w:num w:numId="6" w16cid:durableId="1556695382">
    <w:abstractNumId w:val="7"/>
  </w:num>
  <w:num w:numId="7" w16cid:durableId="1962414701">
    <w:abstractNumId w:val="2"/>
  </w:num>
  <w:num w:numId="8" w16cid:durableId="1875147332">
    <w:abstractNumId w:val="13"/>
  </w:num>
  <w:num w:numId="9" w16cid:durableId="1387097730">
    <w:abstractNumId w:val="26"/>
  </w:num>
  <w:num w:numId="10" w16cid:durableId="102767168">
    <w:abstractNumId w:val="3"/>
  </w:num>
  <w:num w:numId="11" w16cid:durableId="1898777615">
    <w:abstractNumId w:val="19"/>
  </w:num>
  <w:num w:numId="12" w16cid:durableId="1517504904">
    <w:abstractNumId w:val="4"/>
  </w:num>
  <w:num w:numId="13" w16cid:durableId="1310939516">
    <w:abstractNumId w:val="18"/>
  </w:num>
  <w:num w:numId="14" w16cid:durableId="1948195065">
    <w:abstractNumId w:val="9"/>
  </w:num>
  <w:num w:numId="15" w16cid:durableId="1918854684">
    <w:abstractNumId w:val="22"/>
  </w:num>
  <w:num w:numId="16" w16cid:durableId="1431508717">
    <w:abstractNumId w:val="6"/>
  </w:num>
  <w:num w:numId="17" w16cid:durableId="1061715748">
    <w:abstractNumId w:val="23"/>
  </w:num>
  <w:num w:numId="18" w16cid:durableId="2027828008">
    <w:abstractNumId w:val="15"/>
  </w:num>
  <w:num w:numId="19" w16cid:durableId="1518419686">
    <w:abstractNumId w:val="29"/>
  </w:num>
  <w:num w:numId="20" w16cid:durableId="87430393">
    <w:abstractNumId w:val="12"/>
  </w:num>
  <w:num w:numId="21" w16cid:durableId="1465076204">
    <w:abstractNumId w:val="10"/>
  </w:num>
  <w:num w:numId="22" w16cid:durableId="540091995">
    <w:abstractNumId w:val="14"/>
  </w:num>
  <w:num w:numId="23" w16cid:durableId="1836606069">
    <w:abstractNumId w:val="20"/>
  </w:num>
  <w:num w:numId="24" w16cid:durableId="943732898">
    <w:abstractNumId w:val="27"/>
  </w:num>
  <w:num w:numId="25" w16cid:durableId="6293952">
    <w:abstractNumId w:val="5"/>
  </w:num>
  <w:num w:numId="26" w16cid:durableId="1539321890">
    <w:abstractNumId w:val="17"/>
  </w:num>
  <w:num w:numId="27" w16cid:durableId="1979066863">
    <w:abstractNumId w:val="21"/>
  </w:num>
  <w:num w:numId="28" w16cid:durableId="1101991417">
    <w:abstractNumId w:val="28"/>
  </w:num>
  <w:num w:numId="29" w16cid:durableId="746197707">
    <w:abstractNumId w:val="25"/>
  </w:num>
  <w:num w:numId="30" w16cid:durableId="1848012182">
    <w:abstractNumId w:val="11"/>
  </w:num>
  <w:num w:numId="31" w16cid:durableId="21929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AA3"/>
    <w:rsid w:val="00010DA0"/>
    <w:rsid w:val="00011AD6"/>
    <w:rsid w:val="00020E4C"/>
    <w:rsid w:val="00030174"/>
    <w:rsid w:val="0004576F"/>
    <w:rsid w:val="0004579C"/>
    <w:rsid w:val="000571AE"/>
    <w:rsid w:val="000A47FA"/>
    <w:rsid w:val="000A65D3"/>
    <w:rsid w:val="000B1E33"/>
    <w:rsid w:val="000B3F77"/>
    <w:rsid w:val="000D2179"/>
    <w:rsid w:val="000D3B21"/>
    <w:rsid w:val="000D3B38"/>
    <w:rsid w:val="000D689F"/>
    <w:rsid w:val="000E7425"/>
    <w:rsid w:val="000E7B7B"/>
    <w:rsid w:val="000E7D62"/>
    <w:rsid w:val="000F6FF7"/>
    <w:rsid w:val="00103357"/>
    <w:rsid w:val="00103669"/>
    <w:rsid w:val="00114F76"/>
    <w:rsid w:val="00123C9F"/>
    <w:rsid w:val="00126190"/>
    <w:rsid w:val="00130F17"/>
    <w:rsid w:val="001320BF"/>
    <w:rsid w:val="00137255"/>
    <w:rsid w:val="00163BC4"/>
    <w:rsid w:val="001772DB"/>
    <w:rsid w:val="00191062"/>
    <w:rsid w:val="00192B72"/>
    <w:rsid w:val="001A29D8"/>
    <w:rsid w:val="001A5CAA"/>
    <w:rsid w:val="001B0427"/>
    <w:rsid w:val="001B2D5E"/>
    <w:rsid w:val="001C209A"/>
    <w:rsid w:val="001C3328"/>
    <w:rsid w:val="001C69BD"/>
    <w:rsid w:val="001D24BF"/>
    <w:rsid w:val="001D3A51"/>
    <w:rsid w:val="001D792D"/>
    <w:rsid w:val="001E10D2"/>
    <w:rsid w:val="001E25B4"/>
    <w:rsid w:val="001E44FE"/>
    <w:rsid w:val="001E53C9"/>
    <w:rsid w:val="00200595"/>
    <w:rsid w:val="00204835"/>
    <w:rsid w:val="002054BB"/>
    <w:rsid w:val="00231920"/>
    <w:rsid w:val="0023195C"/>
    <w:rsid w:val="0024282C"/>
    <w:rsid w:val="00243777"/>
    <w:rsid w:val="002460DC"/>
    <w:rsid w:val="00250985"/>
    <w:rsid w:val="002556F6"/>
    <w:rsid w:val="00283105"/>
    <w:rsid w:val="00283A7C"/>
    <w:rsid w:val="00284C4C"/>
    <w:rsid w:val="00287E68"/>
    <w:rsid w:val="00296529"/>
    <w:rsid w:val="002B27FB"/>
    <w:rsid w:val="002B685A"/>
    <w:rsid w:val="002C57D2"/>
    <w:rsid w:val="002E0D56"/>
    <w:rsid w:val="002E1B63"/>
    <w:rsid w:val="00305A57"/>
    <w:rsid w:val="00315186"/>
    <w:rsid w:val="00322A78"/>
    <w:rsid w:val="00326F8D"/>
    <w:rsid w:val="0033343E"/>
    <w:rsid w:val="003512C2"/>
    <w:rsid w:val="003569E5"/>
    <w:rsid w:val="00357D64"/>
    <w:rsid w:val="003604EC"/>
    <w:rsid w:val="00371FB6"/>
    <w:rsid w:val="003763C1"/>
    <w:rsid w:val="00376BBE"/>
    <w:rsid w:val="003826EE"/>
    <w:rsid w:val="0039224F"/>
    <w:rsid w:val="003A43A4"/>
    <w:rsid w:val="003A7E18"/>
    <w:rsid w:val="003C0797"/>
    <w:rsid w:val="003C160F"/>
    <w:rsid w:val="003C4C86"/>
    <w:rsid w:val="003C6258"/>
    <w:rsid w:val="003E2904"/>
    <w:rsid w:val="003F09D2"/>
    <w:rsid w:val="003F6EA3"/>
    <w:rsid w:val="003F7BFD"/>
    <w:rsid w:val="00401927"/>
    <w:rsid w:val="0041027F"/>
    <w:rsid w:val="00412475"/>
    <w:rsid w:val="00420D98"/>
    <w:rsid w:val="004216CB"/>
    <w:rsid w:val="00423789"/>
    <w:rsid w:val="00430751"/>
    <w:rsid w:val="00431ABA"/>
    <w:rsid w:val="00440F43"/>
    <w:rsid w:val="00441B6F"/>
    <w:rsid w:val="00446221"/>
    <w:rsid w:val="00446460"/>
    <w:rsid w:val="004502B1"/>
    <w:rsid w:val="00450E62"/>
    <w:rsid w:val="0045156F"/>
    <w:rsid w:val="004539DB"/>
    <w:rsid w:val="0046522C"/>
    <w:rsid w:val="00471A80"/>
    <w:rsid w:val="00477C2B"/>
    <w:rsid w:val="004845DA"/>
    <w:rsid w:val="004A119E"/>
    <w:rsid w:val="004A3110"/>
    <w:rsid w:val="004D305E"/>
    <w:rsid w:val="004D4277"/>
    <w:rsid w:val="004D774A"/>
    <w:rsid w:val="00502516"/>
    <w:rsid w:val="00505F06"/>
    <w:rsid w:val="00506828"/>
    <w:rsid w:val="0053056E"/>
    <w:rsid w:val="00537E0B"/>
    <w:rsid w:val="00542207"/>
    <w:rsid w:val="0054321C"/>
    <w:rsid w:val="00554333"/>
    <w:rsid w:val="00554FDA"/>
    <w:rsid w:val="00556BE0"/>
    <w:rsid w:val="00557830"/>
    <w:rsid w:val="00586EDF"/>
    <w:rsid w:val="00592F49"/>
    <w:rsid w:val="005B1400"/>
    <w:rsid w:val="005C784C"/>
    <w:rsid w:val="005D17F6"/>
    <w:rsid w:val="005E5539"/>
    <w:rsid w:val="005E5741"/>
    <w:rsid w:val="005E7BBF"/>
    <w:rsid w:val="005F128A"/>
    <w:rsid w:val="005F6FC5"/>
    <w:rsid w:val="00602BF5"/>
    <w:rsid w:val="00617FDD"/>
    <w:rsid w:val="00633614"/>
    <w:rsid w:val="00633F68"/>
    <w:rsid w:val="0063687E"/>
    <w:rsid w:val="00636EB2"/>
    <w:rsid w:val="006375B8"/>
    <w:rsid w:val="00642AC9"/>
    <w:rsid w:val="00656566"/>
    <w:rsid w:val="0066510A"/>
    <w:rsid w:val="00673F9F"/>
    <w:rsid w:val="00681EA4"/>
    <w:rsid w:val="00686953"/>
    <w:rsid w:val="00687DEA"/>
    <w:rsid w:val="00687E67"/>
    <w:rsid w:val="00690ABB"/>
    <w:rsid w:val="006938FF"/>
    <w:rsid w:val="006967F7"/>
    <w:rsid w:val="006A250C"/>
    <w:rsid w:val="006B21D3"/>
    <w:rsid w:val="006B57D0"/>
    <w:rsid w:val="006C7031"/>
    <w:rsid w:val="006C79C4"/>
    <w:rsid w:val="006D30FF"/>
    <w:rsid w:val="006D6940"/>
    <w:rsid w:val="006F11EC"/>
    <w:rsid w:val="0070082C"/>
    <w:rsid w:val="00704DD5"/>
    <w:rsid w:val="0071109A"/>
    <w:rsid w:val="00717A16"/>
    <w:rsid w:val="00725C22"/>
    <w:rsid w:val="007369E6"/>
    <w:rsid w:val="00742BA7"/>
    <w:rsid w:val="00746E59"/>
    <w:rsid w:val="0075025B"/>
    <w:rsid w:val="00754C9A"/>
    <w:rsid w:val="0075599A"/>
    <w:rsid w:val="00761D52"/>
    <w:rsid w:val="0076283E"/>
    <w:rsid w:val="0077749E"/>
    <w:rsid w:val="00790ADA"/>
    <w:rsid w:val="00797ECD"/>
    <w:rsid w:val="007C04B7"/>
    <w:rsid w:val="007D2288"/>
    <w:rsid w:val="007E088F"/>
    <w:rsid w:val="007E0F4B"/>
    <w:rsid w:val="007F7B32"/>
    <w:rsid w:val="00804BC2"/>
    <w:rsid w:val="00810E5D"/>
    <w:rsid w:val="0081431A"/>
    <w:rsid w:val="00816D89"/>
    <w:rsid w:val="008216EA"/>
    <w:rsid w:val="00822A31"/>
    <w:rsid w:val="008267D0"/>
    <w:rsid w:val="0083216F"/>
    <w:rsid w:val="00833242"/>
    <w:rsid w:val="00853F64"/>
    <w:rsid w:val="00860000"/>
    <w:rsid w:val="00863BD3"/>
    <w:rsid w:val="008641ED"/>
    <w:rsid w:val="00866D66"/>
    <w:rsid w:val="008671C6"/>
    <w:rsid w:val="00875803"/>
    <w:rsid w:val="008B459E"/>
    <w:rsid w:val="008E13AE"/>
    <w:rsid w:val="008E1506"/>
    <w:rsid w:val="008E710C"/>
    <w:rsid w:val="008F69D6"/>
    <w:rsid w:val="00902823"/>
    <w:rsid w:val="00903D49"/>
    <w:rsid w:val="009059DF"/>
    <w:rsid w:val="00912A28"/>
    <w:rsid w:val="00914022"/>
    <w:rsid w:val="00915CA6"/>
    <w:rsid w:val="00922EB3"/>
    <w:rsid w:val="00927834"/>
    <w:rsid w:val="009500A6"/>
    <w:rsid w:val="00957C18"/>
    <w:rsid w:val="009659BA"/>
    <w:rsid w:val="00983040"/>
    <w:rsid w:val="009B05F4"/>
    <w:rsid w:val="009B3FB9"/>
    <w:rsid w:val="009B4DF7"/>
    <w:rsid w:val="009C2465"/>
    <w:rsid w:val="009D35A0"/>
    <w:rsid w:val="009D5799"/>
    <w:rsid w:val="009D7EB7"/>
    <w:rsid w:val="009E048A"/>
    <w:rsid w:val="009E08E9"/>
    <w:rsid w:val="009E3DB9"/>
    <w:rsid w:val="009E6E35"/>
    <w:rsid w:val="009F044A"/>
    <w:rsid w:val="009F0EDA"/>
    <w:rsid w:val="009F426C"/>
    <w:rsid w:val="00A03B96"/>
    <w:rsid w:val="00A05B19"/>
    <w:rsid w:val="00A1134E"/>
    <w:rsid w:val="00A24E7E"/>
    <w:rsid w:val="00A258C3"/>
    <w:rsid w:val="00A27DF1"/>
    <w:rsid w:val="00A347C0"/>
    <w:rsid w:val="00A51431"/>
    <w:rsid w:val="00A539AD"/>
    <w:rsid w:val="00A57EFE"/>
    <w:rsid w:val="00A80DF9"/>
    <w:rsid w:val="00A94063"/>
    <w:rsid w:val="00AA6219"/>
    <w:rsid w:val="00AA74E0"/>
    <w:rsid w:val="00AB703F"/>
    <w:rsid w:val="00AC6BB8"/>
    <w:rsid w:val="00AD0A20"/>
    <w:rsid w:val="00AE008F"/>
    <w:rsid w:val="00AE029F"/>
    <w:rsid w:val="00B01FCD"/>
    <w:rsid w:val="00B07325"/>
    <w:rsid w:val="00B13355"/>
    <w:rsid w:val="00B1776C"/>
    <w:rsid w:val="00B218A6"/>
    <w:rsid w:val="00B52583"/>
    <w:rsid w:val="00B52896"/>
    <w:rsid w:val="00B664D3"/>
    <w:rsid w:val="00B76E5C"/>
    <w:rsid w:val="00B95236"/>
    <w:rsid w:val="00B96BD9"/>
    <w:rsid w:val="00BA1B01"/>
    <w:rsid w:val="00BA1B45"/>
    <w:rsid w:val="00BA2641"/>
    <w:rsid w:val="00BB37AA"/>
    <w:rsid w:val="00BC53A0"/>
    <w:rsid w:val="00BC6E00"/>
    <w:rsid w:val="00BC7A36"/>
    <w:rsid w:val="00BD4998"/>
    <w:rsid w:val="00BE62AD"/>
    <w:rsid w:val="00BF121F"/>
    <w:rsid w:val="00BF1322"/>
    <w:rsid w:val="00BF1F80"/>
    <w:rsid w:val="00BF7A8A"/>
    <w:rsid w:val="00C052D4"/>
    <w:rsid w:val="00C06B9D"/>
    <w:rsid w:val="00C1559B"/>
    <w:rsid w:val="00C166EF"/>
    <w:rsid w:val="00C17EB0"/>
    <w:rsid w:val="00C27F5F"/>
    <w:rsid w:val="00C30A0F"/>
    <w:rsid w:val="00C30B7A"/>
    <w:rsid w:val="00C37E61"/>
    <w:rsid w:val="00C46356"/>
    <w:rsid w:val="00C70F1B"/>
    <w:rsid w:val="00C71A47"/>
    <w:rsid w:val="00C7464C"/>
    <w:rsid w:val="00C85588"/>
    <w:rsid w:val="00C91184"/>
    <w:rsid w:val="00CA2F01"/>
    <w:rsid w:val="00CB0E94"/>
    <w:rsid w:val="00CC55DB"/>
    <w:rsid w:val="00CD428B"/>
    <w:rsid w:val="00CD6755"/>
    <w:rsid w:val="00CD6856"/>
    <w:rsid w:val="00CE0089"/>
    <w:rsid w:val="00CE793C"/>
    <w:rsid w:val="00CF193C"/>
    <w:rsid w:val="00CF6D4F"/>
    <w:rsid w:val="00D173F1"/>
    <w:rsid w:val="00D23863"/>
    <w:rsid w:val="00D2595A"/>
    <w:rsid w:val="00D31267"/>
    <w:rsid w:val="00D63568"/>
    <w:rsid w:val="00D73022"/>
    <w:rsid w:val="00D74CB0"/>
    <w:rsid w:val="00D821BC"/>
    <w:rsid w:val="00D8295D"/>
    <w:rsid w:val="00DA2500"/>
    <w:rsid w:val="00DA76EE"/>
    <w:rsid w:val="00DC2A65"/>
    <w:rsid w:val="00DC2DDC"/>
    <w:rsid w:val="00DE15F0"/>
    <w:rsid w:val="00DE5663"/>
    <w:rsid w:val="00DE6F71"/>
    <w:rsid w:val="00DE78AA"/>
    <w:rsid w:val="00E053D0"/>
    <w:rsid w:val="00E15994"/>
    <w:rsid w:val="00E171D6"/>
    <w:rsid w:val="00E2238B"/>
    <w:rsid w:val="00E3114E"/>
    <w:rsid w:val="00E31A70"/>
    <w:rsid w:val="00E35A24"/>
    <w:rsid w:val="00E35B02"/>
    <w:rsid w:val="00E66496"/>
    <w:rsid w:val="00E66B35"/>
    <w:rsid w:val="00E66E10"/>
    <w:rsid w:val="00E6709A"/>
    <w:rsid w:val="00E769F6"/>
    <w:rsid w:val="00E8407C"/>
    <w:rsid w:val="00E84F3C"/>
    <w:rsid w:val="00EA012C"/>
    <w:rsid w:val="00EB0D5B"/>
    <w:rsid w:val="00EC6A55"/>
    <w:rsid w:val="00ED0288"/>
    <w:rsid w:val="00EE2DD6"/>
    <w:rsid w:val="00EE52CB"/>
    <w:rsid w:val="00EF435A"/>
    <w:rsid w:val="00EF581D"/>
    <w:rsid w:val="00EF7FD8"/>
    <w:rsid w:val="00F06439"/>
    <w:rsid w:val="00F06F59"/>
    <w:rsid w:val="00F14E14"/>
    <w:rsid w:val="00F17988"/>
    <w:rsid w:val="00F26444"/>
    <w:rsid w:val="00F37D0E"/>
    <w:rsid w:val="00F469F0"/>
    <w:rsid w:val="00F53273"/>
    <w:rsid w:val="00F755E4"/>
    <w:rsid w:val="00F77D02"/>
    <w:rsid w:val="00F83EF1"/>
    <w:rsid w:val="00FB3A86"/>
    <w:rsid w:val="00FB4430"/>
    <w:rsid w:val="00FC2AA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7947C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3F7BFD"/>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6CC6-8A3E-49A2-B8A3-BB78F2A2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1098</TotalTime>
  <Pages>20</Pages>
  <Words>10525</Words>
  <Characters>228193</Characters>
  <Application>Microsoft Office Word</Application>
  <DocSecurity>0</DocSecurity>
  <Lines>1901</Lines>
  <Paragraphs>476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238242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52</cp:revision>
  <cp:lastPrinted>1999-07-06T11:00:00Z</cp:lastPrinted>
  <dcterms:created xsi:type="dcterms:W3CDTF">2025-03-09T22:41:00Z</dcterms:created>
  <dcterms:modified xsi:type="dcterms:W3CDTF">2025-03-26T11:30:00Z</dcterms:modified>
</cp:coreProperties>
</file>