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83EC3" w14:textId="46979398" w:rsidR="00BD0B49" w:rsidRPr="00186647" w:rsidRDefault="00BD0B49" w:rsidP="00511215">
      <w:pPr>
        <w:keepNext/>
        <w:keepLines/>
        <w:autoSpaceDE w:val="0"/>
        <w:autoSpaceDN w:val="0"/>
        <w:adjustRightInd w:val="0"/>
        <w:spacing w:after="0" w:line="240" w:lineRule="auto"/>
        <w:jc w:val="both"/>
        <w:rPr>
          <w:rFonts w:ascii="Arial" w:hAnsi="Arial" w:cs="Arial"/>
          <w:color w:val="000000"/>
          <w:sz w:val="24"/>
          <w:szCs w:val="24"/>
        </w:rPr>
      </w:pPr>
      <w:bookmarkStart w:id="0" w:name="_Hlk65532069"/>
      <w:bookmarkStart w:id="1" w:name="_Hlk71662449"/>
      <w:bookmarkEnd w:id="0"/>
      <w:r w:rsidRPr="00186647">
        <w:rPr>
          <w:rFonts w:ascii="Arial" w:hAnsi="Arial" w:cs="Arial"/>
          <w:color w:val="000000"/>
          <w:sz w:val="24"/>
          <w:szCs w:val="24"/>
        </w:rPr>
        <w:t xml:space="preserve">Assessing the Impact of Pre-Third-Party logistics (PRE-3PLS) and 3PLS on Viral Load Sample Turn-Around Time in the Management of HIV/AIDS Patients in Ekiti State, Nigeria: A </w:t>
      </w:r>
      <w:r w:rsidR="00511215" w:rsidRPr="00186647">
        <w:rPr>
          <w:rFonts w:ascii="Arial" w:hAnsi="Arial" w:cs="Arial"/>
          <w:color w:val="000000"/>
          <w:sz w:val="24"/>
          <w:szCs w:val="24"/>
        </w:rPr>
        <w:t xml:space="preserve">retrospective </w:t>
      </w:r>
      <w:r w:rsidRPr="00186647">
        <w:rPr>
          <w:rFonts w:ascii="Arial" w:hAnsi="Arial" w:cs="Arial"/>
          <w:color w:val="000000"/>
          <w:sz w:val="24"/>
          <w:szCs w:val="24"/>
        </w:rPr>
        <w:t xml:space="preserve">cross-sectional study </w:t>
      </w:r>
    </w:p>
    <w:bookmarkEnd w:id="1"/>
    <w:p w14:paraId="6D04E987" w14:textId="536C01D2" w:rsidR="00C42B89" w:rsidRPr="00186647" w:rsidRDefault="00C42B89">
      <w:pPr>
        <w:rPr>
          <w:rFonts w:ascii="Arial" w:hAnsi="Arial" w:cs="Arial"/>
          <w:b/>
          <w:sz w:val="24"/>
          <w:szCs w:val="24"/>
        </w:rPr>
      </w:pPr>
    </w:p>
    <w:p w14:paraId="718EB2A6" w14:textId="77777777" w:rsidR="00320ABE" w:rsidRPr="00186647" w:rsidRDefault="00320ABE">
      <w:pPr>
        <w:rPr>
          <w:rFonts w:ascii="Arial" w:hAnsi="Arial" w:cs="Arial"/>
          <w:b/>
          <w:sz w:val="24"/>
          <w:szCs w:val="24"/>
        </w:rPr>
      </w:pPr>
    </w:p>
    <w:p w14:paraId="5D853A34" w14:textId="77777777" w:rsidR="00C42B89" w:rsidRPr="00186647" w:rsidRDefault="00C42B89">
      <w:pPr>
        <w:rPr>
          <w:rFonts w:ascii="Arial" w:hAnsi="Arial" w:cs="Arial"/>
          <w:b/>
          <w:sz w:val="24"/>
          <w:szCs w:val="24"/>
        </w:rPr>
      </w:pPr>
    </w:p>
    <w:p w14:paraId="41168BAE" w14:textId="3CE851A4" w:rsidR="004527E3" w:rsidRPr="00186647" w:rsidRDefault="00C35899" w:rsidP="004527E3">
      <w:pPr>
        <w:rPr>
          <w:rFonts w:ascii="Arial" w:hAnsi="Arial" w:cs="Arial"/>
          <w:b/>
          <w:sz w:val="24"/>
          <w:szCs w:val="24"/>
        </w:rPr>
      </w:pPr>
      <w:r w:rsidRPr="00186647">
        <w:rPr>
          <w:rFonts w:ascii="Arial" w:hAnsi="Arial" w:cs="Arial"/>
          <w:b/>
          <w:sz w:val="24"/>
          <w:szCs w:val="24"/>
        </w:rPr>
        <w:t>Abstract</w:t>
      </w:r>
    </w:p>
    <w:p w14:paraId="21B1BF71" w14:textId="0C8A556D" w:rsidR="0029652B" w:rsidRPr="00186647" w:rsidRDefault="00C42B89"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Background</w:t>
      </w:r>
      <w:r w:rsidR="0029652B" w:rsidRPr="00186647">
        <w:rPr>
          <w:rFonts w:ascii="Arial" w:hAnsi="Arial" w:cs="Arial"/>
          <w:b/>
          <w:bCs/>
          <w:color w:val="000000"/>
          <w:sz w:val="24"/>
          <w:szCs w:val="24"/>
        </w:rPr>
        <w:t xml:space="preserve">: </w:t>
      </w:r>
      <w:r w:rsidR="0029652B" w:rsidRPr="00186647">
        <w:rPr>
          <w:rFonts w:ascii="Arial" w:hAnsi="Arial" w:cs="Arial"/>
          <w:color w:val="131413"/>
          <w:sz w:val="24"/>
          <w:szCs w:val="24"/>
        </w:rPr>
        <w:t>In 2014,</w:t>
      </w:r>
      <w:r w:rsidR="000601BE" w:rsidRPr="00186647">
        <w:rPr>
          <w:rFonts w:ascii="Arial" w:hAnsi="Arial" w:cs="Arial"/>
          <w:color w:val="000000"/>
          <w:sz w:val="24"/>
          <w:szCs w:val="24"/>
        </w:rPr>
        <w:t xml:space="preserve"> The </w:t>
      </w:r>
      <w:r w:rsidR="0029652B" w:rsidRPr="00186647">
        <w:rPr>
          <w:rFonts w:ascii="Arial" w:hAnsi="Arial" w:cs="Arial"/>
          <w:color w:val="000000"/>
          <w:sz w:val="24"/>
          <w:szCs w:val="24"/>
        </w:rPr>
        <w:t xml:space="preserve">Joint United Nations Program on HIV/AIDS and its partners launched </w:t>
      </w:r>
      <w:r w:rsidR="000601BE" w:rsidRPr="00186647">
        <w:rPr>
          <w:rFonts w:ascii="Arial" w:hAnsi="Arial" w:cs="Arial"/>
          <w:color w:val="000000"/>
          <w:sz w:val="24"/>
          <w:szCs w:val="24"/>
        </w:rPr>
        <w:t xml:space="preserve">the </w:t>
      </w:r>
      <w:r w:rsidR="0029652B" w:rsidRPr="00186647">
        <w:rPr>
          <w:rFonts w:ascii="Arial" w:hAnsi="Arial" w:cs="Arial"/>
          <w:color w:val="000000"/>
          <w:sz w:val="24"/>
          <w:szCs w:val="24"/>
        </w:rPr>
        <w:t>90–90–90 treatment targets</w:t>
      </w:r>
      <w:r w:rsidR="000601BE" w:rsidRPr="00186647">
        <w:rPr>
          <w:rFonts w:ascii="Arial" w:hAnsi="Arial" w:cs="Arial"/>
          <w:color w:val="000000"/>
          <w:sz w:val="24"/>
          <w:szCs w:val="24"/>
        </w:rPr>
        <w:t>, which</w:t>
      </w:r>
      <w:r w:rsidR="0029652B" w:rsidRPr="00186647">
        <w:rPr>
          <w:rFonts w:ascii="Arial" w:hAnsi="Arial" w:cs="Arial"/>
          <w:color w:val="000000"/>
          <w:sz w:val="24"/>
          <w:szCs w:val="24"/>
        </w:rPr>
        <w:t xml:space="preserve"> aimed to diagnose 90% of all people living with Human Immunodeficiency Virus (PLHIV), 90% of PLHIV should be on antiretroviral therapy (ART) and 90% of those on ART should achieve viral suppression </w:t>
      </w:r>
      <w:r w:rsidR="00B60BE0" w:rsidRPr="00186647">
        <w:rPr>
          <w:rFonts w:ascii="Arial" w:hAnsi="Arial" w:cs="Arial"/>
          <w:color w:val="000000"/>
          <w:sz w:val="24"/>
          <w:szCs w:val="24"/>
        </w:rPr>
        <w:t>by</w:t>
      </w:r>
      <w:r w:rsidR="0029652B" w:rsidRPr="00186647">
        <w:rPr>
          <w:rFonts w:ascii="Arial" w:hAnsi="Arial" w:cs="Arial"/>
          <w:color w:val="000000"/>
          <w:sz w:val="24"/>
          <w:szCs w:val="24"/>
        </w:rPr>
        <w:t xml:space="preserve"> 2020. Prompt HIV viral load testing and reporting is crucial to</w:t>
      </w:r>
      <w:r w:rsidR="00B60BE0" w:rsidRPr="00186647">
        <w:rPr>
          <w:rFonts w:ascii="Arial" w:hAnsi="Arial" w:cs="Arial"/>
          <w:color w:val="000000"/>
          <w:sz w:val="24"/>
          <w:szCs w:val="24"/>
        </w:rPr>
        <w:t xml:space="preserve"> </w:t>
      </w:r>
      <w:r w:rsidR="0029652B" w:rsidRPr="00186647">
        <w:rPr>
          <w:rFonts w:ascii="Arial" w:hAnsi="Arial" w:cs="Arial"/>
          <w:color w:val="000000"/>
          <w:sz w:val="24"/>
          <w:szCs w:val="24"/>
        </w:rPr>
        <w:t xml:space="preserve">achieving the third 90% component of the target. </w:t>
      </w:r>
      <w:r w:rsidR="0029652B" w:rsidRPr="00186647">
        <w:rPr>
          <w:rFonts w:ascii="Arial" w:hAnsi="Arial" w:cs="Arial"/>
          <w:color w:val="131413"/>
          <w:sz w:val="24"/>
          <w:szCs w:val="24"/>
        </w:rPr>
        <w:t xml:space="preserve">This study aims to </w:t>
      </w:r>
      <w:r w:rsidR="0029652B" w:rsidRPr="00186647">
        <w:rPr>
          <w:rFonts w:ascii="Arial" w:hAnsi="Arial" w:cs="Arial"/>
          <w:color w:val="000000"/>
          <w:sz w:val="24"/>
          <w:szCs w:val="24"/>
        </w:rPr>
        <w:t>assess impact of Pre-Third-Party Logistics (Pre-3PLs) and Third-Party Logistics (3PLs) on viral load sample Turn-around Time (TAT) in the management of HIV/AIDS patients in Ekiti State, Nigeria</w:t>
      </w:r>
    </w:p>
    <w:p w14:paraId="3B0A0F58" w14:textId="1C44431E" w:rsidR="0029652B" w:rsidRPr="00186647" w:rsidRDefault="0029652B"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 xml:space="preserve">Methods: </w:t>
      </w:r>
      <w:r w:rsidRPr="00186647">
        <w:rPr>
          <w:rFonts w:ascii="Arial" w:hAnsi="Arial" w:cs="Arial"/>
          <w:color w:val="000000"/>
          <w:sz w:val="24"/>
          <w:szCs w:val="24"/>
        </w:rPr>
        <w:t xml:space="preserve">A cross-sectional study was carried out in </w:t>
      </w:r>
      <w:r w:rsidR="000601BE" w:rsidRPr="00186647">
        <w:rPr>
          <w:rFonts w:ascii="Arial" w:hAnsi="Arial" w:cs="Arial"/>
          <w:color w:val="000000"/>
          <w:sz w:val="24"/>
          <w:szCs w:val="24"/>
        </w:rPr>
        <w:t>ten</w:t>
      </w:r>
      <w:r w:rsidRPr="00186647">
        <w:rPr>
          <w:rFonts w:ascii="Arial" w:hAnsi="Arial" w:cs="Arial"/>
          <w:color w:val="000000"/>
          <w:sz w:val="24"/>
          <w:szCs w:val="24"/>
        </w:rPr>
        <w:t xml:space="preserve"> health facilities.</w:t>
      </w:r>
      <w:r w:rsidR="000601BE" w:rsidRPr="00186647">
        <w:rPr>
          <w:rFonts w:ascii="Arial" w:hAnsi="Arial" w:cs="Arial"/>
          <w:color w:val="000000"/>
          <w:sz w:val="24"/>
          <w:szCs w:val="24"/>
        </w:rPr>
        <w:t xml:space="preserve"> Quantitative and qualitative data were collected and analyzed using the R statistical software.</w:t>
      </w:r>
      <w:r w:rsidRPr="00186647">
        <w:rPr>
          <w:rFonts w:ascii="Arial" w:hAnsi="Arial" w:cs="Arial"/>
          <w:color w:val="000000"/>
          <w:sz w:val="24"/>
          <w:szCs w:val="24"/>
        </w:rPr>
        <w:t xml:space="preserve"> </w:t>
      </w:r>
    </w:p>
    <w:p w14:paraId="0BFB6CC7" w14:textId="5FAEEDB5" w:rsidR="0029652B" w:rsidRPr="00186647" w:rsidRDefault="0029652B"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 xml:space="preserve">Results: </w:t>
      </w:r>
      <w:r w:rsidRPr="00186647">
        <w:rPr>
          <w:rFonts w:ascii="Arial" w:hAnsi="Arial" w:cs="Arial"/>
          <w:color w:val="000000"/>
          <w:sz w:val="24"/>
          <w:szCs w:val="24"/>
        </w:rPr>
        <w:t xml:space="preserve">High load facilities had a mean TAT of </w:t>
      </w:r>
      <w:r w:rsidRPr="00186647">
        <w:rPr>
          <w:rFonts w:ascii="Arial" w:hAnsi="Arial" w:cs="Arial"/>
          <w:sz w:val="24"/>
          <w:szCs w:val="24"/>
        </w:rPr>
        <w:t>83.68 and 30.76 days for pre-3PLs and 3PLs respectively with a mean difference of 52.92 days (95% CI:18.86-86.97, p&lt;0.05). Low load facilities had a mean TAT of 104.4 and 26.9 days for pre-3PLs and 3PLs respectively with a mean difference of 77.38 days (95% CI: 64.50-90.26, p&lt;0.05). Other than transportation, manpower, sample quality/integrity, reagent stockout and machine downtime, proximity, and human factors were also identified as factors associated with TAT.</w:t>
      </w:r>
    </w:p>
    <w:p w14:paraId="4788BE8C" w14:textId="77777777" w:rsidR="0029652B" w:rsidRPr="00186647" w:rsidRDefault="0029652B" w:rsidP="0029652B">
      <w:pPr>
        <w:autoSpaceDE w:val="0"/>
        <w:autoSpaceDN w:val="0"/>
        <w:adjustRightInd w:val="0"/>
        <w:spacing w:after="160"/>
        <w:jc w:val="both"/>
        <w:rPr>
          <w:rFonts w:ascii="Arial" w:hAnsi="Arial" w:cs="Arial"/>
          <w:b/>
          <w:bCs/>
          <w:color w:val="000000"/>
          <w:sz w:val="24"/>
          <w:szCs w:val="24"/>
        </w:rPr>
      </w:pPr>
      <w:r w:rsidRPr="00186647">
        <w:rPr>
          <w:rFonts w:ascii="Arial" w:hAnsi="Arial" w:cs="Arial"/>
          <w:b/>
          <w:bCs/>
          <w:color w:val="000000"/>
          <w:sz w:val="24"/>
          <w:szCs w:val="24"/>
        </w:rPr>
        <w:t xml:space="preserve">Conclusion: </w:t>
      </w:r>
      <w:r w:rsidRPr="00186647">
        <w:rPr>
          <w:rFonts w:ascii="Arial" w:hAnsi="Arial" w:cs="Arial"/>
          <w:sz w:val="24"/>
          <w:szCs w:val="24"/>
        </w:rPr>
        <w:t xml:space="preserve">The TAT reduced significantly from pre 3PLs to the present era of 3PLs. The continuous use of 3PLs should be encouraged as this could further ensure that more PLHIV will have their viral load tested with their results received on time. </w:t>
      </w:r>
    </w:p>
    <w:p w14:paraId="6402D9CC" w14:textId="77777777" w:rsidR="0029652B" w:rsidRPr="00186647" w:rsidRDefault="0029652B" w:rsidP="0029652B">
      <w:pPr>
        <w:autoSpaceDE w:val="0"/>
        <w:autoSpaceDN w:val="0"/>
        <w:adjustRightInd w:val="0"/>
        <w:spacing w:after="160"/>
        <w:jc w:val="both"/>
        <w:rPr>
          <w:rFonts w:ascii="Arial" w:hAnsi="Arial" w:cs="Arial"/>
          <w:sz w:val="24"/>
          <w:szCs w:val="24"/>
        </w:rPr>
      </w:pPr>
      <w:r w:rsidRPr="00186647">
        <w:rPr>
          <w:rFonts w:ascii="Arial" w:hAnsi="Arial" w:cs="Arial"/>
          <w:b/>
          <w:sz w:val="24"/>
          <w:szCs w:val="24"/>
        </w:rPr>
        <w:t>Keywords</w:t>
      </w:r>
      <w:r w:rsidRPr="00186647">
        <w:rPr>
          <w:rFonts w:ascii="Arial" w:hAnsi="Arial" w:cs="Arial"/>
          <w:sz w:val="24"/>
          <w:szCs w:val="24"/>
        </w:rPr>
        <w:t>:</w:t>
      </w:r>
      <w:r w:rsidRPr="00186647">
        <w:rPr>
          <w:rFonts w:ascii="Arial" w:hAnsi="Arial" w:cs="Arial"/>
          <w:color w:val="000000"/>
          <w:sz w:val="24"/>
          <w:szCs w:val="24"/>
        </w:rPr>
        <w:t xml:space="preserve"> Antiretroviral therapy, Turn-around Time, Third-party logistics, Human immunodeficiency virus</w:t>
      </w:r>
    </w:p>
    <w:p w14:paraId="13CFB079" w14:textId="77777777" w:rsidR="0029652B" w:rsidRPr="00186647" w:rsidRDefault="0029652B" w:rsidP="004527E3">
      <w:pPr>
        <w:rPr>
          <w:rFonts w:ascii="Arial" w:hAnsi="Arial" w:cs="Arial"/>
          <w:sz w:val="24"/>
          <w:szCs w:val="24"/>
        </w:rPr>
      </w:pPr>
    </w:p>
    <w:p w14:paraId="18F97079" w14:textId="77777777" w:rsidR="004527E3" w:rsidRPr="00186647" w:rsidRDefault="004527E3" w:rsidP="004527E3">
      <w:pPr>
        <w:rPr>
          <w:rFonts w:ascii="Arial" w:hAnsi="Arial" w:cs="Arial"/>
          <w:sz w:val="24"/>
          <w:szCs w:val="24"/>
        </w:rPr>
      </w:pPr>
    </w:p>
    <w:p w14:paraId="345C98C4" w14:textId="07C8BAEF" w:rsidR="004527E3" w:rsidRPr="00186647" w:rsidRDefault="004527E3" w:rsidP="004527E3">
      <w:pPr>
        <w:rPr>
          <w:rFonts w:ascii="Arial" w:hAnsi="Arial" w:cs="Arial"/>
          <w:sz w:val="24"/>
          <w:szCs w:val="24"/>
        </w:rPr>
      </w:pPr>
    </w:p>
    <w:p w14:paraId="3AB82463" w14:textId="7859EFB1" w:rsidR="00C42B89" w:rsidRPr="00186647" w:rsidRDefault="00C42B89" w:rsidP="004527E3">
      <w:pPr>
        <w:rPr>
          <w:rFonts w:ascii="Arial" w:hAnsi="Arial" w:cs="Arial"/>
          <w:sz w:val="24"/>
          <w:szCs w:val="24"/>
        </w:rPr>
      </w:pPr>
    </w:p>
    <w:p w14:paraId="2D4D4DAA" w14:textId="09A9500C" w:rsidR="004E5217" w:rsidRPr="00186647" w:rsidRDefault="004E5217" w:rsidP="004527E3">
      <w:pPr>
        <w:rPr>
          <w:rFonts w:ascii="Arial" w:hAnsi="Arial" w:cs="Arial"/>
          <w:sz w:val="24"/>
          <w:szCs w:val="24"/>
        </w:rPr>
      </w:pPr>
    </w:p>
    <w:p w14:paraId="3F70954E" w14:textId="375E33CA" w:rsidR="004E5217" w:rsidRPr="00186647" w:rsidRDefault="004E5217" w:rsidP="004527E3">
      <w:pPr>
        <w:rPr>
          <w:rFonts w:ascii="Arial" w:hAnsi="Arial" w:cs="Arial"/>
          <w:sz w:val="24"/>
          <w:szCs w:val="24"/>
        </w:rPr>
      </w:pPr>
    </w:p>
    <w:p w14:paraId="33F5AB2B" w14:textId="72B461D7" w:rsidR="00A408B0" w:rsidRPr="00186647" w:rsidRDefault="00A408B0" w:rsidP="004527E3">
      <w:pPr>
        <w:rPr>
          <w:rFonts w:ascii="Arial" w:hAnsi="Arial" w:cs="Arial"/>
          <w:sz w:val="24"/>
          <w:szCs w:val="24"/>
        </w:rPr>
      </w:pPr>
    </w:p>
    <w:p w14:paraId="27D5A7EF" w14:textId="77777777" w:rsidR="00C42B89" w:rsidRDefault="00C42B89">
      <w:pPr>
        <w:rPr>
          <w:rFonts w:ascii="Arial" w:hAnsi="Arial" w:cs="Arial"/>
          <w:sz w:val="24"/>
          <w:szCs w:val="24"/>
        </w:rPr>
      </w:pPr>
    </w:p>
    <w:p w14:paraId="04904BEA" w14:textId="77777777" w:rsidR="00186647" w:rsidRDefault="00186647">
      <w:pPr>
        <w:rPr>
          <w:rFonts w:ascii="Arial" w:hAnsi="Arial" w:cs="Arial"/>
          <w:sz w:val="24"/>
          <w:szCs w:val="24"/>
        </w:rPr>
      </w:pPr>
    </w:p>
    <w:p w14:paraId="2213968D" w14:textId="77777777" w:rsidR="00186647" w:rsidRDefault="00186647">
      <w:pPr>
        <w:rPr>
          <w:rFonts w:ascii="Arial" w:hAnsi="Arial" w:cs="Arial"/>
          <w:sz w:val="24"/>
          <w:szCs w:val="24"/>
        </w:rPr>
      </w:pPr>
    </w:p>
    <w:p w14:paraId="208F0618" w14:textId="77777777" w:rsidR="00186647" w:rsidRPr="00186647" w:rsidRDefault="00186647">
      <w:pPr>
        <w:rPr>
          <w:rFonts w:ascii="Arial" w:hAnsi="Arial" w:cs="Arial"/>
          <w:sz w:val="24"/>
          <w:szCs w:val="24"/>
        </w:rPr>
      </w:pPr>
    </w:p>
    <w:p w14:paraId="5F5D63A1" w14:textId="36B3B93A" w:rsidR="00D0343C" w:rsidRPr="00186647" w:rsidRDefault="004527E3">
      <w:pPr>
        <w:rPr>
          <w:rFonts w:ascii="Arial" w:hAnsi="Arial" w:cs="Arial"/>
          <w:b/>
          <w:sz w:val="24"/>
          <w:szCs w:val="24"/>
        </w:rPr>
      </w:pPr>
      <w:r w:rsidRPr="00186647">
        <w:rPr>
          <w:rFonts w:ascii="Arial" w:hAnsi="Arial" w:cs="Arial"/>
          <w:b/>
          <w:sz w:val="24"/>
          <w:szCs w:val="24"/>
        </w:rPr>
        <w:t>Introduction</w:t>
      </w:r>
    </w:p>
    <w:p w14:paraId="14FA59B0" w14:textId="6700CF3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Currently, there are about 3</w:t>
      </w:r>
      <w:r w:rsidR="00511215" w:rsidRPr="00186647">
        <w:rPr>
          <w:rFonts w:ascii="Arial" w:hAnsi="Arial" w:cs="Arial"/>
          <w:color w:val="000000"/>
          <w:sz w:val="24"/>
          <w:szCs w:val="24"/>
        </w:rPr>
        <w:t>9</w:t>
      </w:r>
      <w:r w:rsidRPr="00186647">
        <w:rPr>
          <w:rFonts w:ascii="Arial" w:hAnsi="Arial" w:cs="Arial"/>
          <w:color w:val="000000"/>
          <w:sz w:val="24"/>
          <w:szCs w:val="24"/>
        </w:rPr>
        <w:t>.9 million people living with Human Immunodeficiency Virus (PLHIV) globally</w:t>
      </w:r>
      <w:r w:rsidR="00735CB3" w:rsidRPr="00186647">
        <w:rPr>
          <w:rFonts w:ascii="Arial" w:hAnsi="Arial" w:cs="Arial"/>
          <w:color w:val="000000"/>
          <w:sz w:val="24"/>
          <w:szCs w:val="24"/>
        </w:rPr>
        <w:t xml:space="preserve"> </w:t>
      </w:r>
      <w:r w:rsidR="00735CB3" w:rsidRPr="00186647">
        <w:rPr>
          <w:rFonts w:ascii="Arial" w:hAnsi="Arial" w:cs="Arial"/>
          <w:color w:val="000000"/>
          <w:sz w:val="24"/>
          <w:szCs w:val="24"/>
        </w:rPr>
        <w:fldChar w:fldCharType="begin"/>
      </w:r>
      <w:r w:rsidR="00735CB3" w:rsidRPr="00186647">
        <w:rPr>
          <w:rFonts w:ascii="Arial" w:hAnsi="Arial" w:cs="Arial"/>
          <w:color w:val="000000"/>
          <w:sz w:val="24"/>
          <w:szCs w:val="24"/>
        </w:rPr>
        <w:instrText xml:space="preserve"> ADDIN ZOTERO_ITEM CSL_CITATION {"citationID":"eihXw4X3","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735CB3" w:rsidRPr="00186647">
        <w:rPr>
          <w:rFonts w:ascii="Arial" w:hAnsi="Arial" w:cs="Arial"/>
          <w:color w:val="000000"/>
          <w:sz w:val="24"/>
          <w:szCs w:val="24"/>
        </w:rPr>
        <w:fldChar w:fldCharType="separate"/>
      </w:r>
      <w:r w:rsidR="00735CB3" w:rsidRPr="00186647">
        <w:rPr>
          <w:rFonts w:ascii="Arial" w:hAnsi="Arial" w:cs="Arial"/>
          <w:sz w:val="24"/>
          <w:szCs w:val="24"/>
        </w:rPr>
        <w:t>[1]</w:t>
      </w:r>
      <w:r w:rsidR="00735CB3" w:rsidRPr="00186647">
        <w:rPr>
          <w:rFonts w:ascii="Arial" w:hAnsi="Arial" w:cs="Arial"/>
          <w:color w:val="000000"/>
          <w:sz w:val="24"/>
          <w:szCs w:val="24"/>
        </w:rPr>
        <w:fldChar w:fldCharType="end"/>
      </w:r>
      <w:r w:rsidRPr="00186647">
        <w:rPr>
          <w:rFonts w:ascii="Arial" w:hAnsi="Arial" w:cs="Arial"/>
          <w:color w:val="000000"/>
          <w:sz w:val="24"/>
          <w:szCs w:val="24"/>
        </w:rPr>
        <w:t xml:space="preserve"> with the </w:t>
      </w:r>
      <w:r w:rsidRPr="00186647">
        <w:rPr>
          <w:rFonts w:ascii="Arial" w:hAnsi="Arial" w:cs="Arial"/>
          <w:color w:val="000000"/>
          <w:sz w:val="24"/>
          <w:szCs w:val="24"/>
          <w:highlight w:val="white"/>
        </w:rPr>
        <w:t>majority living in low- and middle- income countries (LMIC). An estimated 6</w:t>
      </w:r>
      <w:r w:rsidR="00AF3C70" w:rsidRPr="00186647">
        <w:rPr>
          <w:rFonts w:ascii="Arial" w:hAnsi="Arial" w:cs="Arial"/>
          <w:color w:val="000000"/>
          <w:sz w:val="24"/>
          <w:szCs w:val="24"/>
          <w:highlight w:val="white"/>
        </w:rPr>
        <w:t>7</w:t>
      </w:r>
      <w:r w:rsidRPr="00186647">
        <w:rPr>
          <w:rFonts w:ascii="Arial" w:hAnsi="Arial" w:cs="Arial"/>
          <w:color w:val="000000"/>
          <w:sz w:val="24"/>
          <w:szCs w:val="24"/>
          <w:highlight w:val="white"/>
        </w:rPr>
        <w:t>% of this proportion resides in </w:t>
      </w:r>
      <w:hyperlink r:id="rId8" w:history="1">
        <w:r w:rsidRPr="00186647">
          <w:rPr>
            <w:rFonts w:ascii="Arial" w:hAnsi="Arial" w:cs="Arial"/>
            <w:color w:val="000000"/>
            <w:sz w:val="24"/>
            <w:szCs w:val="24"/>
            <w:highlight w:val="white"/>
          </w:rPr>
          <w:t>S</w:t>
        </w:r>
        <w:r w:rsidRPr="00186647">
          <w:rPr>
            <w:rFonts w:ascii="Arial" w:hAnsi="Arial" w:cs="Arial"/>
            <w:vanish/>
            <w:color w:val="000000"/>
            <w:sz w:val="24"/>
            <w:szCs w:val="24"/>
            <w:highlight w:val="white"/>
          </w:rPr>
          <w:t>HYPERLINK "https://www.avert.org/node/393"</w:t>
        </w:r>
        <w:r w:rsidRPr="00186647">
          <w:rPr>
            <w:rFonts w:ascii="Arial" w:hAnsi="Arial" w:cs="Arial"/>
            <w:color w:val="000000"/>
            <w:sz w:val="24"/>
            <w:szCs w:val="24"/>
            <w:highlight w:val="white"/>
          </w:rPr>
          <w:t>ub-Saharan Africa</w:t>
        </w:r>
      </w:hyperlink>
      <w:r w:rsidRPr="00186647">
        <w:rPr>
          <w:rFonts w:ascii="Arial" w:hAnsi="Arial" w:cs="Arial"/>
          <w:color w:val="000000"/>
          <w:sz w:val="24"/>
          <w:szCs w:val="24"/>
          <w:highlight w:val="white"/>
        </w:rPr>
        <w:t xml:space="preserve"> (SSA)</w:t>
      </w:r>
      <w:r w:rsidR="00735CB3" w:rsidRPr="00186647">
        <w:rPr>
          <w:rFonts w:ascii="Arial" w:hAnsi="Arial" w:cs="Arial"/>
          <w:color w:val="000000"/>
          <w:sz w:val="24"/>
          <w:szCs w:val="24"/>
        </w:rPr>
        <w:t xml:space="preserve"> </w:t>
      </w:r>
      <w:r w:rsidR="00735CB3"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pFMOgDiZ","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735CB3" w:rsidRPr="00186647">
        <w:rPr>
          <w:rFonts w:ascii="Arial" w:hAnsi="Arial" w:cs="Arial"/>
          <w:color w:val="000000"/>
          <w:sz w:val="24"/>
          <w:szCs w:val="24"/>
        </w:rPr>
        <w:fldChar w:fldCharType="separate"/>
      </w:r>
      <w:r w:rsidR="00735CB3" w:rsidRPr="00186647">
        <w:rPr>
          <w:rFonts w:ascii="Arial" w:hAnsi="Arial" w:cs="Arial"/>
          <w:sz w:val="24"/>
          <w:szCs w:val="24"/>
        </w:rPr>
        <w:t>[1]</w:t>
      </w:r>
      <w:r w:rsidR="00735CB3" w:rsidRPr="00186647">
        <w:rPr>
          <w:rFonts w:ascii="Arial" w:hAnsi="Arial" w:cs="Arial"/>
          <w:color w:val="000000"/>
          <w:sz w:val="24"/>
          <w:szCs w:val="24"/>
        </w:rPr>
        <w:fldChar w:fldCharType="end"/>
      </w:r>
      <w:r w:rsidRPr="00186647">
        <w:rPr>
          <w:rFonts w:ascii="Arial" w:hAnsi="Arial" w:cs="Arial"/>
          <w:color w:val="000000"/>
          <w:sz w:val="24"/>
          <w:szCs w:val="24"/>
        </w:rPr>
        <w:t>. Nigeria has the second largest HIV epidemic in the world and one of the highest rates of new infection in sub-Sahara Africa</w:t>
      </w:r>
      <w:r w:rsidR="00735CB3" w:rsidRPr="00186647">
        <w:rPr>
          <w:rFonts w:ascii="Arial" w:hAnsi="Arial" w:cs="Arial"/>
          <w:color w:val="000000"/>
          <w:sz w:val="24"/>
          <w:szCs w:val="24"/>
        </w:rPr>
        <w:t xml:space="preserve"> </w:t>
      </w:r>
      <w:r w:rsidR="00735CB3"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92PkGTGx","properties":{"formattedCitation":"(2)","plainCitation":"(2)","dontUpdate":true,"noteIndex":0},"citationItems":[{"id":38,"uris":["http://zotero.org/users/local/SeKuys62/items/7HB85RN4"],"uri":["http://zotero.org/users/local/SeKuys62/items/7HB85RN4"],"itemData":{"id":38,"type":"article-journal","abstract":"Nigeria realizes the devastating effects of HIV/AIDS on its people, health, economic, and social progress fairly recently. This paper analyses descriptively the HIV epidemiology in Nigeria based on the sentinel surveillance system in place. Recently, it is estimated that about 3, 229, 757 people live with HIV in Nigeria and about 220, 393 new HIV infections occurred in 2013 and 210,031 died from AIDS related cases. People practicing low-risk sex are the driving force of HIV epidemic in Nigeria while the high risk groups involving female sex workers, men who have sex with men and injecting drug users contribute substantially to new infections. In conclusion, HIV prevalence among adults in Nigeria is relatively low (3.2%), yet Nigeria is an enormous country where HIV infection remains an issue that demands a systematic and highly tailored intervention. Ó 2016 The Authors. Production and hosting by Elsevier B.V. on behalf of King Saud University. This is an open access article under the CC BY-NC-ND license (http://creativecommons.org/licenses/by-nc-nd/4.0/).","container-title":"Saudi Journal of Biological Sciences","DOI":"10.1016/j.sjbs.2016.03.006","ISSN":"1319562X","issue":"4","journalAbbreviation":"Saudi Journal of Biological Sciences","language":"en","page":"697-703","source":"DOI.org (Crossref)","title":"HIV epidemiology in Nigeria","volume":"25","author":[{"family":"Awofala","given":"Awoyemi Abayomi"},{"family":"Ogundele","given":"Olusegun Emmanuel"}],"issued":{"date-parts":[["2018",5]]}}}],"schema":"https://github.com/citation-style-language/schema/raw/master/csl-citation.json"} </w:instrText>
      </w:r>
      <w:r w:rsidR="00735CB3" w:rsidRPr="00186647">
        <w:rPr>
          <w:rFonts w:ascii="Arial" w:hAnsi="Arial" w:cs="Arial"/>
          <w:color w:val="000000"/>
          <w:sz w:val="24"/>
          <w:szCs w:val="24"/>
        </w:rPr>
        <w:fldChar w:fldCharType="separate"/>
      </w:r>
      <w:r w:rsidR="00735CB3" w:rsidRPr="00186647">
        <w:rPr>
          <w:rFonts w:ascii="Arial" w:hAnsi="Arial" w:cs="Arial"/>
          <w:sz w:val="24"/>
          <w:szCs w:val="24"/>
        </w:rPr>
        <w:t>[2]</w:t>
      </w:r>
      <w:r w:rsidR="00735CB3" w:rsidRPr="00186647">
        <w:rPr>
          <w:rFonts w:ascii="Arial" w:hAnsi="Arial" w:cs="Arial"/>
          <w:color w:val="000000"/>
          <w:sz w:val="24"/>
          <w:szCs w:val="24"/>
        </w:rPr>
        <w:fldChar w:fldCharType="end"/>
      </w:r>
      <w:r w:rsidRPr="00186647">
        <w:rPr>
          <w:rFonts w:ascii="Arial" w:hAnsi="Arial" w:cs="Arial"/>
          <w:color w:val="000000"/>
          <w:sz w:val="24"/>
          <w:szCs w:val="24"/>
        </w:rPr>
        <w:t>. According to UNAIDS, in 2014, 9% of PLHIV globally resided in Nigeria. In 2018, there were about 1.9 million PLHIV including adults and children.</w:t>
      </w:r>
      <w:r w:rsidR="007349C5" w:rsidRPr="00186647">
        <w:rPr>
          <w:rFonts w:ascii="Arial" w:hAnsi="Arial" w:cs="Arial"/>
          <w:color w:val="000000"/>
          <w:sz w:val="24"/>
          <w:szCs w:val="24"/>
        </w:rPr>
        <w:t xml:space="preserve"> However, the Nigeria National HIV/AIDS Indicator and Impact Survey (NAIIS) conducted in 2018–2019 revealed a lower prevalence rate than previously estimated, indicating that approximately 1.4% of adults aged 15–49 were living with HIV.</w:t>
      </w:r>
    </w:p>
    <w:p w14:paraId="634F615E" w14:textId="4010206C"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In the recent years, there have been tremendous improvements in the prevention, access to diagnosis, treatment, and care of HIV/AIDS globally, especially in LMICs. The percentage of new infections, morbidity and mortality associated with HIV has decreased significantly</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H7pYXsTS","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[1]</w:t>
      </w:r>
      <w:r w:rsidR="00B46098" w:rsidRPr="00186647">
        <w:rPr>
          <w:rFonts w:ascii="Arial" w:hAnsi="Arial" w:cs="Arial"/>
          <w:color w:val="000000"/>
          <w:sz w:val="24"/>
          <w:szCs w:val="24"/>
        </w:rPr>
        <w:fldChar w:fldCharType="end"/>
      </w:r>
      <w:r w:rsidRPr="00186647">
        <w:rPr>
          <w:rFonts w:ascii="Arial" w:hAnsi="Arial" w:cs="Arial"/>
          <w:color w:val="000000"/>
          <w:sz w:val="24"/>
          <w:szCs w:val="24"/>
        </w:rPr>
        <w:t>.  In 2014, the Joint United Nations Program on HIV/AIDS (UNAIDS) and its partners launched the new 90–90–90 treatment targets. These targets aimed to diagnose 90% of all PLHIV, 90% of PLHIV should be on antiretroviral therapy (ART) and 90% of those on ART should have achieved viral suppression by 2020. In 2018, approximately 62% of PLHIV globally, were on ART, and 53% of these had achieved viral load suppression. This accounted for 23.3 million PLHIV receiving ART in 2018 as compared to 7.7 million in 2010</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UdcVJnTv","properties":{"formattedCitation":"(3)","plainCitation":"(3)","noteIndex":0},"citationItems":[{"id":97,"uris":["http://zotero.org/users/local/SeKuys62/items/VZR3UYQ3"],"uri":["http://zotero.org/users/local/SeKuys62/items/VZR3UYQ3"],"itemData":{"id":97,"type":"webpage","abstract":"Latest AIDS data, HIV data. In 2018 (the latest data available)... 37.9 million [32.7 million–44.0 million] people globally were living with HIV. 23.3 million [20.5 million–24.3 million] people were accessing antiretroviral therapy. 1.7 million [1.4 million–2.3 million] people became newly infected with HIV. 770 000 [570 000–1.1 million] people died from AIDS-related illnesses. 74.9 million [58.3 million–98.1 million] people have become infected with HIV since the start of the epidemic. 32.0 million [23.6 million–43.8 million] people have died from AIDS-related illnesses since the start of the epidemic.. Read statistics about people living with HIV, people accessing antiretroviral therapy, AIDS-related deaths and the risks among key populations.","language":"en","note":"source: www.unaids.org","title":"Global HIV &amp; AIDS statistics — 2019 fact sheet","URL":"https://www.unaids.org/en/resources/fact-sheet","accessed":{"date-parts":[["2020",6,25]]}}}],"schema":"https://github.com/citation-style-language/schema/raw/master/csl-citation.json"}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(3)</w:t>
      </w:r>
      <w:r w:rsidR="00B46098" w:rsidRPr="00186647">
        <w:rPr>
          <w:rFonts w:ascii="Arial" w:hAnsi="Arial" w:cs="Arial"/>
          <w:color w:val="000000"/>
          <w:sz w:val="24"/>
          <w:szCs w:val="24"/>
        </w:rPr>
        <w:fldChar w:fldCharType="end"/>
      </w:r>
      <w:r w:rsidRPr="00186647">
        <w:rPr>
          <w:rFonts w:ascii="Arial" w:hAnsi="Arial" w:cs="Arial"/>
          <w:color w:val="000000"/>
          <w:sz w:val="24"/>
          <w:szCs w:val="24"/>
        </w:rPr>
        <w:t xml:space="preserve">. </w:t>
      </w:r>
    </w:p>
    <w:p w14:paraId="77574855" w14:textId="0B856D78" w:rsidR="00F022CF" w:rsidRPr="00186647" w:rsidRDefault="00F022CF" w:rsidP="00F022CF">
      <w:pPr>
        <w:autoSpaceDE w:val="0"/>
        <w:autoSpaceDN w:val="0"/>
        <w:adjustRightInd w:val="0"/>
        <w:spacing w:after="240" w:line="360" w:lineRule="auto"/>
        <w:jc w:val="both"/>
        <w:rPr>
          <w:rFonts w:ascii="Arial" w:hAnsi="Arial" w:cs="Arial"/>
          <w:color w:val="000000"/>
          <w:sz w:val="24"/>
          <w:szCs w:val="24"/>
          <w:highlight w:val="white"/>
        </w:rPr>
      </w:pPr>
      <w:r w:rsidRPr="00186647">
        <w:rPr>
          <w:rFonts w:ascii="Arial" w:hAnsi="Arial" w:cs="Arial"/>
          <w:color w:val="000000"/>
          <w:sz w:val="24"/>
          <w:szCs w:val="24"/>
        </w:rPr>
        <w:t xml:space="preserve">As per 2018 data, in Nigeria, 67% of PLHIV knew their status, 53% of PLHIV were on ART, and 42% of PLHIV achieved viral load suppression with respect to the 90-90-90 treatment target.  </w:t>
      </w:r>
      <w:r w:rsidRPr="00186647">
        <w:rPr>
          <w:rFonts w:ascii="Arial" w:hAnsi="Arial" w:cs="Arial"/>
          <w:color w:val="000000"/>
          <w:sz w:val="24"/>
          <w:szCs w:val="24"/>
          <w:highlight w:val="white"/>
        </w:rPr>
        <w:t>Nigeria has made great progress in the fight against HIV/AIDS in terms of absolute numbers, from 3.2 million (3.2%) PLHIV in 2004, to 1.9 million (1.4%) in 2019</w:t>
      </w:r>
      <w:r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iDP9rw1N","properties":{"formattedCitation":"(4)","plainCitation":"(4)","noteIndex":0},"citationItems":[{"id":108,"uris":["http://zotero.org/users/local/SeKuys62/items/BGTCCSAR"],"uri":["http://zotero.org/users/local/SeKuys62/items/BGTCCSAR"],"itemData":{"id":108,"type":"article-newspaper","abstract":"Nigeria HIV statistics. HIV prevalence is relatively low in Nigeria but its large population means that over 3 million people are living with HIV.","container-title":"Avert","language":"en","note":"source: www.avert.org","title":"HIV and AIDS in Nigeria","URL":"https://www.avert.org/professionals/hiv-around-world/sub-saharan-africa/nigeria","accessed":{"date-parts":[["2020",6,29]]},"issued":{"date-parts":[["2015",7,21]]}}}],"schema":"https://github.com/citation-style-language/schema/raw/master/csl-citation.json"}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(4)</w:t>
      </w:r>
      <w:r w:rsidR="00B46098" w:rsidRPr="00186647">
        <w:rPr>
          <w:rFonts w:ascii="Arial" w:hAnsi="Arial" w:cs="Arial"/>
          <w:color w:val="000000"/>
          <w:sz w:val="24"/>
          <w:szCs w:val="24"/>
        </w:rPr>
        <w:fldChar w:fldCharType="end"/>
      </w:r>
      <w:r w:rsidRPr="00186647">
        <w:rPr>
          <w:rFonts w:ascii="Arial" w:hAnsi="Arial" w:cs="Arial"/>
          <w:color w:val="000000"/>
          <w:sz w:val="24"/>
          <w:szCs w:val="24"/>
        </w:rPr>
        <w:t xml:space="preserve">. </w:t>
      </w:r>
      <w:r w:rsidRPr="00186647">
        <w:rPr>
          <w:rFonts w:ascii="Arial" w:hAnsi="Arial" w:cs="Arial"/>
          <w:color w:val="000000"/>
          <w:sz w:val="24"/>
          <w:szCs w:val="24"/>
          <w:highlight w:val="white"/>
        </w:rPr>
        <w:t>However,</w:t>
      </w:r>
      <w:r w:rsidRPr="00186647">
        <w:rPr>
          <w:rFonts w:ascii="Arial" w:hAnsi="Arial" w:cs="Arial"/>
          <w:color w:val="000000"/>
          <w:sz w:val="24"/>
          <w:szCs w:val="24"/>
        </w:rPr>
        <w:t xml:space="preserve"> this reduction is still low compared to the expected treatment </w:t>
      </w:r>
      <w:r w:rsidRPr="00186647">
        <w:rPr>
          <w:rFonts w:ascii="Arial" w:hAnsi="Arial" w:cs="Arial"/>
          <w:color w:val="000000"/>
          <w:sz w:val="24"/>
          <w:szCs w:val="24"/>
        </w:rPr>
        <w:lastRenderedPageBreak/>
        <w:t>target of the UNAIDS</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Dv5qCCaC","properties":{"formattedCitation":"(3)","plainCitation":"(3)","dontUpdate":true,"noteIndex":0},"citationItems":[{"id":97,"uris":["http://zotero.org/users/local/SeKuys62/items/VZR3UYQ3"],"uri":["http://zotero.org/users/local/SeKuys62/items/VZR3UYQ3"],"itemData":{"id":97,"type":"webpage","abstract":"Latest AIDS data, HIV data. In 2018 (the latest data available)... 37.9 million [32.7 million–44.0 million] people globally were living with HIV. 23.3 million [20.5 million–24.3 million] people were accessing antiretroviral therapy. 1.7 million [1.4 million–2.3 million] people became newly infected with HIV. 770 000 [570 000–1.1 million] people died from AIDS-related illnesses. 74.9 million [58.3 million–98.1 million] people have become infected with HIV since the start of the epidemic. 32.0 million [23.6 million–43.8 million] people have died from AIDS-related illnesses since the start of the epidemic.. Read statistics about people living with HIV, people accessing antiretroviral therapy, AIDS-related deaths and the risks among key populations.","language":"en","note":"source: www.unaids.org","title":"Global HIV &amp; AIDS statistics — 2019 fact sheet","URL":"https://www.unaids.org/en/resources/fact-sheet","accessed":{"date-parts":[["2020",6,25]]}}}],"schema":"https://github.com/citation-style-language/schema/raw/master/csl-citation.json"}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[3]</w:t>
      </w:r>
      <w:r w:rsidR="00B46098" w:rsidRPr="00186647">
        <w:rPr>
          <w:rFonts w:ascii="Arial" w:hAnsi="Arial" w:cs="Arial"/>
          <w:color w:val="000000"/>
          <w:sz w:val="24"/>
          <w:szCs w:val="24"/>
        </w:rPr>
        <w:fldChar w:fldCharType="end"/>
      </w:r>
      <w:r w:rsidRPr="00186647">
        <w:rPr>
          <w:rFonts w:ascii="Arial" w:hAnsi="Arial" w:cs="Arial"/>
          <w:color w:val="000000"/>
          <w:sz w:val="24"/>
          <w:szCs w:val="24"/>
        </w:rPr>
        <w:t>. If no action is taken, it would be difficult to meet the global target of 30 million people on treatment by the end of 2020 and ending the HIV/AIDS epidemic as a public health threat by 2030</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YVF5ppFY","properties":{"formattedCitation":"(3)","plainCitation":"(3)","dontUpdate":true,"noteIndex":0},"citationItems":[{"id":97,"uris":["http://zotero.org/users/local/SeKuys62/items/VZR3UYQ3"],"uri":["http://zotero.org/users/local/SeKuys62/items/VZR3UYQ3"],"itemData":{"id":97,"type":"webpage","abstract":"Latest AIDS data, HIV data. In 2018 (the latest data available)... 37.9 million [32.7 million–44.0 million] people globally were living with HIV. 23.3 million [20.5 million–24.3 million] people were accessing antiretroviral therapy. 1.7 million [1.4 million–2.3 million] people became newly infected with HIV. 770 000 [570 000–1.1 million] people died from AIDS-related illnesses. 74.9 million [58.3 million–98.1 million] people have become infected with HIV since the start of the epidemic. 32.0 million [23.6 million–43.8 million] people have died from AIDS-related illnesses since the start of the epidemic.. Read statistics about people living with HIV, people accessing antiretroviral therapy, AIDS-related deaths and the risks among key populations.","language":"en","note":"source: www.unaids.org","title":"Global HIV &amp; AIDS statistics — 2019 fact sheet","URL":"https://www.unaids.org/en/resources/fact-sheet","accessed":{"date-parts":[["2020",6,25]]}}}],"schema":"https://github.com/citation-style-language/schema/raw/master/csl-citation.json"}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[3]</w:t>
      </w:r>
      <w:r w:rsidR="00B46098" w:rsidRPr="00186647">
        <w:rPr>
          <w:rFonts w:ascii="Arial" w:hAnsi="Arial" w:cs="Arial"/>
          <w:color w:val="000000"/>
          <w:sz w:val="24"/>
          <w:szCs w:val="24"/>
        </w:rPr>
        <w:fldChar w:fldCharType="end"/>
      </w:r>
      <w:r w:rsidR="00B46098" w:rsidRPr="00186647">
        <w:rPr>
          <w:rFonts w:ascii="Arial" w:hAnsi="Arial" w:cs="Arial"/>
          <w:color w:val="000000"/>
          <w:sz w:val="24"/>
          <w:szCs w:val="24"/>
        </w:rPr>
        <w:t>.</w:t>
      </w:r>
      <w:r w:rsidR="00B46098" w:rsidRPr="00186647">
        <w:rPr>
          <w:rFonts w:ascii="Arial" w:hAnsi="Arial" w:cs="Arial"/>
          <w:sz w:val="24"/>
          <w:szCs w:val="24"/>
          <w:vertAlign w:val="superscript"/>
        </w:rPr>
        <w:t xml:space="preserve"> </w:t>
      </w:r>
      <w:r w:rsidRPr="00186647">
        <w:rPr>
          <w:rFonts w:ascii="Arial" w:hAnsi="Arial" w:cs="Arial"/>
          <w:color w:val="000000"/>
          <w:sz w:val="24"/>
          <w:szCs w:val="24"/>
        </w:rPr>
        <w:t xml:space="preserve"> </w:t>
      </w:r>
    </w:p>
    <w:p w14:paraId="6A7EE860" w14:textId="7489171B"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To achieve the third 90 target, a consistent and sustained use of ART and an ongoing virologic monitoring to ascertain treatment success are required</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xg5xuMYv","properties":{"formattedCitation":"(5)","plainCitation":"(5)","dontUpdate":true,"noteIndex":0},"citationItems":[{"id":14,"uris":["http://zotero.org/users/local/SeKuys62/items/Q8EHCFCK"],"uri":["http://zotero.org/users/local/SeKuys62/items/Q8EHCFCK"],"itemData":{"id":14,"type":"article-journal","language":"en","page":"40","source":"Zotero","title":"90-90-90: An ambitious treatment target to help end the AIDS epidemic"}}],"schema":"https://github.com/citation-style-language/schema/raw/master/csl-citation.json"}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[5]</w:t>
      </w:r>
      <w:r w:rsidR="00B46098" w:rsidRPr="00186647">
        <w:rPr>
          <w:rFonts w:ascii="Arial" w:hAnsi="Arial" w:cs="Arial"/>
          <w:color w:val="000000"/>
          <w:sz w:val="24"/>
          <w:szCs w:val="24"/>
        </w:rPr>
        <w:fldChar w:fldCharType="end"/>
      </w:r>
      <w:r w:rsidRPr="00186647">
        <w:rPr>
          <w:rFonts w:ascii="Arial" w:hAnsi="Arial" w:cs="Arial"/>
          <w:color w:val="000000"/>
          <w:sz w:val="24"/>
          <w:szCs w:val="24"/>
        </w:rPr>
        <w:t>. There is need to improve access to prompt and adequate viral load testing technologies</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09t0kh6L","properties":{"formattedCitation":"(1)","plainCitation":"(1)","dontUpdate":true,"noteIndex":0},"citationItems":[{"id":12,"uris":["http://zotero.org/users/local/SeKuys62/items/GR6YTRJQ"],"uri":["http://zotero.org/users/local/SeKuys62/items/GR6YTRJQ"],"itemData":{"id":12,"type":"article-journal","container-title":"BMJ Global Health","DOI":"10.1136/bmjgh-2016-000227","ISSN":"2059-7908","issue":"2","journalAbbreviation":"BMJ Glob Health","language":"en","page":"e000227","source":"DOI.org (Crossref)","title":"UNAIDS 90–90–90 targets to end the AIDS epidemic by 2020 are not realistic: comment on “Can the UNAIDS 90–90–90 target be achieved? A systematic analysis of national HIV treatment cascades”","title-short":"UNAIDS 90–90–90 targets to end the AIDS epidemic by 2020 are not realistic","volume":"2","author":[{"family":"Bain","given":"Luchuo Engelbert"},{"family":"Nkoke","given":"Clovis"},{"family":"Noubiap","given":"Jean Jacques N"}],"issued":{"date-parts":[["2017",3]]}}}],"schema":"https://github.com/citation-style-language/schema/raw/master/csl-citation.json"}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[1]</w:t>
      </w:r>
      <w:r w:rsidR="00B46098" w:rsidRPr="00186647">
        <w:rPr>
          <w:rFonts w:ascii="Arial" w:hAnsi="Arial" w:cs="Arial"/>
          <w:color w:val="000000"/>
          <w:sz w:val="24"/>
          <w:szCs w:val="24"/>
        </w:rPr>
        <w:fldChar w:fldCharType="end"/>
      </w:r>
      <w:r w:rsidRPr="00186647">
        <w:rPr>
          <w:rFonts w:ascii="Arial" w:hAnsi="Arial" w:cs="Arial"/>
          <w:color w:val="000000"/>
          <w:sz w:val="24"/>
          <w:szCs w:val="24"/>
        </w:rPr>
        <w:t>. Viral load informed care ensures optimal HIV clinical follow-up and resistance monitoring. Plasm viral load using Polymerase Chain Reaction (PCR) assay has been the popular method to ascertain the copies of HIV in the PLHIV. The rise in the number of viral resistance cases among those on ART makes it extremely important for the routine measurement of plasm viral load. The routine measurement helps to understand the progression of the disease, helps the patient and physicians establish if a therapy is effective or resistant and it helps ascertain when therapy must be changed</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2v3GD32t","properties":{"formattedCitation":"(6)","plainCitation":"(6)","noteIndex":0},"citationItems":[{"id":68,"uris":["http://zotero.org/users/local/SeKuys62/items/5Z4N3VEQ"],"uri":["http://zotero.org/users/local/SeKuys62/items/5Z4N3VEQ"],"itemData":{"id":68,"type":"article-journal","issue":"3","language":"en","page":"8","source":"Zotero","title":"Plasma Viral Load Testing in the Management of HIV Infection","volume":"63","author":[{"family":"Mylonakis","given":"Eleftherios"},{"family":"Paliou","given":"Maria"},{"family":"Rich","given":"Josiah D"}],"issued":{"date-parts":[["2001"]]}}}],"schema":"https://github.com/citation-style-language/schema/raw/master/csl-citation.json"}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(6)</w:t>
      </w:r>
      <w:r w:rsidR="00B46098" w:rsidRPr="00186647">
        <w:rPr>
          <w:rFonts w:ascii="Arial" w:hAnsi="Arial" w:cs="Arial"/>
          <w:color w:val="000000"/>
          <w:sz w:val="24"/>
          <w:szCs w:val="24"/>
        </w:rPr>
        <w:fldChar w:fldCharType="end"/>
      </w:r>
      <w:r w:rsidRPr="00186647">
        <w:rPr>
          <w:rFonts w:ascii="Arial" w:hAnsi="Arial" w:cs="Arial"/>
          <w:color w:val="000000"/>
          <w:sz w:val="24"/>
          <w:szCs w:val="24"/>
        </w:rPr>
        <w:t>.</w:t>
      </w:r>
    </w:p>
    <w:p w14:paraId="21A5A2B0" w14:textId="12A82FE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Unfortunately, the challenges being faced by many LMICs, make it impossible to achieve the 2020 targets. Many of these challenges are associated with complexities surrounding logistics of both systems and settings, leading to inefficiencies in providing quality services. The Global Health Security Agenda (GHSA) clearly highlights the critical role of laboratory systems and networks in diseases control and prevention</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qR8wwSty","properties":{"formattedCitation":"(7)","plainCitation":"(7)","noteIndex":0},"citationItems":[{"id":104,"uris":["http://zotero.org/users/local/SeKuys62/items/ASENMCMA"],"uri":["http://zotero.org/users/local/SeKuys62/items/ASENMCMA"],"itemData":{"id":104,"type":"post-weblog","abstract":"issue The continuing emergence of newly discovered pathogens and of previously undetected infectious diseases highlights the necessity of sustainable national laboratory systems and networks for th…","container-title":"Global Health Security Agenda","language":"en","note":"source: ghsagenda.org","title":"Laboratory Systems","URL":"https://ghsagenda.org/laboratory-systems/","accessed":{"date-parts":[["2020",6,29]]},"issued":{"date-parts":[["2020",6,17]]}}}],"schema":"https://github.com/citation-style-language/schema/raw/master/csl-citation.json"}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(7)</w:t>
      </w:r>
      <w:r w:rsidR="00B46098" w:rsidRPr="00186647">
        <w:rPr>
          <w:rFonts w:ascii="Arial" w:hAnsi="Arial" w:cs="Arial"/>
          <w:color w:val="000000"/>
          <w:sz w:val="24"/>
          <w:szCs w:val="24"/>
        </w:rPr>
        <w:fldChar w:fldCharType="end"/>
      </w:r>
      <w:r w:rsidRPr="00186647">
        <w:rPr>
          <w:rFonts w:ascii="Arial" w:hAnsi="Arial" w:cs="Arial"/>
          <w:color w:val="000000"/>
          <w:sz w:val="24"/>
          <w:szCs w:val="24"/>
        </w:rPr>
        <w:t>. The GHSA is an effort by nations, international organizations, and civil societies to accelerate progress towards a world safe and secure from the threats of infectious disease</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B46098" w:rsidRPr="00186647">
        <w:rPr>
          <w:rFonts w:ascii="Arial" w:hAnsi="Arial" w:cs="Arial"/>
          <w:color w:val="000000"/>
          <w:sz w:val="24"/>
          <w:szCs w:val="24"/>
        </w:rPr>
        <w:instrText xml:space="preserve"> ADDIN ZOTERO_ITEM CSL_CITATION {"citationID":"qdmqeqxR","properties":{"formattedCitation":"(8)","plainCitation":"(8)","dontUpdate":true,"noteIndex":0},"citationItems":[{"id":106,"uris":["http://zotero.org/users/local/SeKuys62/items/8TNI43R8"],"uri":["http://zotero.org/users/local/SeKuys62/items/8TNI43R8"],"itemData":{"id":106,"type":"webpage","abstract":"The","language":"en-us","note":"source: www.cdc.gov","title":"CDC Global Health - Global Health Security Agenda: Action Packages","title-short":"CDC Global Health - Global Health Security Agenda","URL":"https://www.cdc.gov/globalhealth/security/actionpackages/default.htm","accessed":{"date-parts":[["2020",6,29]]},"issued":{"date-parts":[["2019",1,23]]}}}],"schema":"https://github.com/citation-style-language/schema/raw/master/csl-citation.json"} </w:instrText>
      </w:r>
      <w:r w:rsidR="00B46098" w:rsidRPr="00186647">
        <w:rPr>
          <w:rFonts w:ascii="Arial" w:hAnsi="Arial" w:cs="Arial"/>
          <w:color w:val="000000"/>
          <w:sz w:val="24"/>
          <w:szCs w:val="24"/>
        </w:rPr>
        <w:fldChar w:fldCharType="separate"/>
      </w:r>
      <w:r w:rsidR="00B46098" w:rsidRPr="00186647">
        <w:rPr>
          <w:rFonts w:ascii="Arial" w:hAnsi="Arial" w:cs="Arial"/>
          <w:sz w:val="24"/>
          <w:szCs w:val="24"/>
        </w:rPr>
        <w:t>[8</w:t>
      </w:r>
      <w:r w:rsidR="00B46098" w:rsidRPr="00186647">
        <w:rPr>
          <w:rFonts w:ascii="Arial" w:hAnsi="Arial" w:cs="Arial"/>
          <w:color w:val="000000"/>
          <w:sz w:val="24"/>
          <w:szCs w:val="24"/>
        </w:rPr>
        <w:fldChar w:fldCharType="end"/>
      </w:r>
      <w:r w:rsidR="00B46098" w:rsidRPr="00186647">
        <w:rPr>
          <w:rFonts w:ascii="Arial" w:hAnsi="Arial" w:cs="Arial"/>
          <w:color w:val="000000"/>
          <w:sz w:val="24"/>
          <w:szCs w:val="24"/>
        </w:rPr>
        <w:t>]</w:t>
      </w:r>
      <w:r w:rsidRPr="00186647">
        <w:rPr>
          <w:rFonts w:ascii="Arial" w:hAnsi="Arial" w:cs="Arial"/>
          <w:color w:val="000000"/>
          <w:sz w:val="24"/>
          <w:szCs w:val="24"/>
        </w:rPr>
        <w:t>.  It is therefore critical to establish functional laboratories and strengthen specimen referral networks.</w:t>
      </w:r>
    </w:p>
    <w:p w14:paraId="6A5EFE6B" w14:textId="19F5FA5B"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In Nigeria, inadequate laboratories and standardized referral system for clinical samples have been identified as a critical causative factor for low performance of in country laboratory capacity</w:t>
      </w:r>
      <w:r w:rsidR="00B46098" w:rsidRPr="00186647">
        <w:rPr>
          <w:rFonts w:ascii="Arial" w:hAnsi="Arial" w:cs="Arial"/>
          <w:color w:val="000000"/>
          <w:sz w:val="24"/>
          <w:szCs w:val="24"/>
        </w:rPr>
        <w:t xml:space="preserve"> </w:t>
      </w:r>
      <w:r w:rsidR="00B46098"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ITUCmSlQ","properties":{"formattedCitation":"(9)","plainCitation":"(9)","dontUpdate":true,"noteIndex":0},"citationItems":[{"id":60,"uris":["http://zotero.org/users/local/SeKuys62/items/Z57DH642"],"uri":["http://zotero.org/users/local/SeKuys62/items/Z57DH642"],"itemData":{"id":60,"type":"article-journal","abstract":"Sample transportation remains a challenge in resource-limited countries. In Nigeria transport was conducted through non-standard, parallel systems, leading to long turnaround times and lack of visibility. A National Integrated Specimen Referral Network (NISRN) – established by the Nigeria Ministry of Health with donor support – as a cost-effective system currently being implemented by GHSC-PSM using third-party logistics (3PLs) providers to transport specimens from collection centers to testing laboratories. This study assesses impact of using the private sector to transport samples in the NISRN. A descriptive method was used to assess 3PL performance. Specimen quantities transported by the 3PLs providers over six months were compared to the quantities transported in the period prior to implementation. Using the 3PLs instead of health facility staff, specimens were moved from facilities with backlogs to laboratories with capacity to analyze specimens quickly through the enhanced laboratory network. Before the NISRN, 116,046 viral load samples were tested, and 6,459 packs of reagents were used to cover 1,700 facilities over six months. During a comparable six months of operationalizing the NISRN, 277,536 viral load samples were tested, and 10,369 packs of reagents used to cover 3,114 facilities, translating into a significant increase of 38% of samples tested, 21% of reagents used; and over 83% increase in the number of facilities receiving testing services. In conclusions, leveraging the private sector to transport samples enhanced testing laboratory network efficiencies. This resulted in substantial increases in viral load samples tested, reagents used, and facilities accessing testing. This approach led to an expansion of services, and a robust optimized sample referral network that can respond more easily to public health emergencies. Utilization of the private sector is a sustainable, costefficient framework. Utilizing 3PL providers increases patient access to services and allows facility staff to focus on their traditional role rather than transporting specimens.","language":"en","page":"13","source":"Zotero","title":"Leveraging private sector transportation/logistics services to improve the National Integrated Specimen Referral Network in Nigeria","author":[{"family":"Faruna","given":"Theophilus"},{"family":"Akintunde","given":"Ezekiel"},{"family":"Odelola","given":"Babatunji"}],"issued":{"date-parts":[["2019"]]}}}],"schema":"https://github.com/citation-style-language/schema/raw/master/csl-citation.json"} </w:instrText>
      </w:r>
      <w:r w:rsidR="00B46098" w:rsidRPr="00186647">
        <w:rPr>
          <w:rFonts w:ascii="Arial" w:hAnsi="Arial" w:cs="Arial"/>
          <w:color w:val="000000"/>
          <w:sz w:val="24"/>
          <w:szCs w:val="24"/>
        </w:rPr>
        <w:fldChar w:fldCharType="separate"/>
      </w:r>
      <w:r w:rsidR="0072185C" w:rsidRPr="00186647">
        <w:rPr>
          <w:rFonts w:ascii="Arial" w:hAnsi="Arial" w:cs="Arial"/>
          <w:sz w:val="24"/>
          <w:szCs w:val="24"/>
        </w:rPr>
        <w:t>[</w:t>
      </w:r>
      <w:r w:rsidR="00B46098" w:rsidRPr="00186647">
        <w:rPr>
          <w:rFonts w:ascii="Arial" w:hAnsi="Arial" w:cs="Arial"/>
          <w:sz w:val="24"/>
          <w:szCs w:val="24"/>
        </w:rPr>
        <w:t>9</w:t>
      </w:r>
      <w:r w:rsidR="00B46098" w:rsidRPr="00186647">
        <w:rPr>
          <w:rFonts w:ascii="Arial" w:hAnsi="Arial" w:cs="Arial"/>
          <w:color w:val="000000"/>
          <w:sz w:val="24"/>
          <w:szCs w:val="24"/>
        </w:rPr>
        <w:fldChar w:fldCharType="end"/>
      </w:r>
      <w:r w:rsidR="0072185C" w:rsidRPr="00186647">
        <w:rPr>
          <w:rFonts w:ascii="Arial" w:hAnsi="Arial" w:cs="Arial"/>
          <w:color w:val="000000"/>
          <w:sz w:val="24"/>
          <w:szCs w:val="24"/>
        </w:rPr>
        <w:t>]</w:t>
      </w:r>
      <w:r w:rsidRPr="00186647">
        <w:rPr>
          <w:rFonts w:ascii="Arial" w:hAnsi="Arial" w:cs="Arial"/>
          <w:color w:val="000000"/>
          <w:sz w:val="24"/>
          <w:szCs w:val="24"/>
        </w:rPr>
        <w:t>. These inadequacies have resulted in inefficiencies such as high-costs, long turnaround for results and disproportionate testing burden on laboratories</w:t>
      </w:r>
      <w:r w:rsidR="0072185C" w:rsidRPr="00186647">
        <w:rPr>
          <w:rFonts w:ascii="Arial" w:hAnsi="Arial" w:cs="Arial"/>
          <w:color w:val="000000"/>
          <w:sz w:val="24"/>
          <w:szCs w:val="24"/>
        </w:rPr>
        <w:t xml:space="preserve"> </w:t>
      </w:r>
      <w:r w:rsidR="0072185C"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QMKFEq5e","properties":{"formattedCitation":"(9)","plainCitation":"(9)","dontUpdate":true,"noteIndex":0},"citationItems":[{"id":60,"uris":["http://zotero.org/users/local/SeKuys62/items/Z57DH642"],"uri":["http://zotero.org/users/local/SeKuys62/items/Z57DH642"],"itemData":{"id":60,"type":"article-journal","abstract":"Sample transportation remains a challenge in resource-limited countries. In Nigeria transport was conducted through non-standard, parallel systems, leading to long turnaround times and lack of visibility. A National Integrated Specimen Referral Network (NISRN) – established by the Nigeria Ministry of Health with donor support – as a cost-effective system currently being implemented by GHSC-PSM using third-party logistics (3PLs) providers to transport specimens from collection centers to testing laboratories. This study assesses impact of using the private sector to transport samples in the NISRN. A descriptive method was used to assess 3PL performance. Specimen quantities transported by the 3PLs providers over six months were compared to the quantities transported in the period prior to implementation. Using the 3PLs instead of health facility staff, specimens were moved from facilities with backlogs to laboratories with capacity to analyze specimens quickly through the enhanced laboratory network. Before the NISRN, 116,046 viral load samples were tested, and 6,459 packs of reagents were used to cover 1,700 facilities over six months. During a comparable six months of operationalizing the NISRN, 277,536 viral load samples were tested, and 10,369 packs of reagents used to cover 3,114 facilities, translating into a significant increase of 38% of samples tested, 21% of reagents used; and over 83% increase in the number of facilities receiving testing services. In conclusions, leveraging the private sector to transport samples enhanced testing laboratory network efficiencies. This resulted in substantial increases in viral load samples tested, reagents used, and facilities accessing testing. This approach led to an expansion of services, and a robust optimized sample referral network that can respond more easily to public health emergencies. Utilization of the private sector is a sustainable, costefficient framework. Utilizing 3PL providers increases patient access to services and allows facility staff to focus on their traditional role rather than transporting specimens.","language":"en","page":"13","source":"Zotero","title":"Leveraging private sector transportation/logistics services to improve the National Integrated Specimen Referral Network in Nigeria","author":[{"family":"Faruna","given":"Theophilus"},{"family":"Akintunde","given":"Ezekiel"},{"family":"Odelola","given":"Babatunji"}],"issued":{"date-parts":[["2019"]]}}}],"schema":"https://github.com/citation-style-language/schema/raw/master/csl-citation.json"} </w:instrText>
      </w:r>
      <w:r w:rsidR="0072185C" w:rsidRPr="00186647">
        <w:rPr>
          <w:rFonts w:ascii="Arial" w:hAnsi="Arial" w:cs="Arial"/>
          <w:color w:val="000000"/>
          <w:sz w:val="24"/>
          <w:szCs w:val="24"/>
        </w:rPr>
        <w:fldChar w:fldCharType="separate"/>
      </w:r>
      <w:r w:rsidR="0072185C" w:rsidRPr="00186647">
        <w:rPr>
          <w:rFonts w:ascii="Arial" w:hAnsi="Arial" w:cs="Arial"/>
          <w:sz w:val="24"/>
          <w:szCs w:val="24"/>
        </w:rPr>
        <w:t>[9</w:t>
      </w:r>
      <w:r w:rsidR="0072185C" w:rsidRPr="00186647">
        <w:rPr>
          <w:rFonts w:ascii="Arial" w:hAnsi="Arial" w:cs="Arial"/>
          <w:color w:val="000000"/>
          <w:sz w:val="24"/>
          <w:szCs w:val="24"/>
        </w:rPr>
        <w:fldChar w:fldCharType="end"/>
      </w:r>
      <w:r w:rsidR="0072185C" w:rsidRPr="00186647">
        <w:rPr>
          <w:rFonts w:ascii="Arial" w:hAnsi="Arial" w:cs="Arial"/>
          <w:color w:val="000000"/>
          <w:sz w:val="24"/>
          <w:szCs w:val="24"/>
        </w:rPr>
        <w:t>]</w:t>
      </w:r>
      <w:r w:rsidRPr="00186647">
        <w:rPr>
          <w:rFonts w:ascii="Arial" w:hAnsi="Arial" w:cs="Arial"/>
          <w:color w:val="000000"/>
          <w:sz w:val="24"/>
          <w:szCs w:val="24"/>
        </w:rPr>
        <w:t xml:space="preserve">. Hence, to increase access to specialized tests such as HIV viral load testing, it is important to develop a reliable laboratory network with a strong specimen-referral system and strengthening of laboratory systems. Human resource and infrastructure development, quality management, supply chain management, specimen referral and results-reporting and laboratory information systems, in an integrated and coordinated laboratory network is also paramount </w:t>
      </w:r>
      <w:r w:rsidR="0072185C"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2bhfBGcZ","properties":{"formattedCitation":"(10)","plainCitation":"(10)","dontUpdate":true,"noteIndex":0},"citationItems":[{"id":53,"uris":["http://zotero.org/users/local/SeKuys62/items/CHKZG2LT"],"uri":["http://zotero.org/users/local/SeKuys62/items/CHKZG2LT"],"itemData":{"id":53,"type":"article-journal","abstract":"Strong laboratory services and systems are critical for delivering timely and quality health services that are vital to reduce patient attrition in the HIV treatment and prevention cascade. However, challenges exist in ensuring effective laboratory health systems strengthening and linkages. In particular, linkages and referrals between laboratory testing and other services need to be considered in the context of an integrated health system that includes prevention, treatment, and strategic information. Key components of laboratory health systems that are essential for effective linkages include an adequate workforce, appropriate point-of-care (POC) technology, available financing, supply chain management systems, and quality systems improvement, including accreditation. In this review, we highlight weaknesses of and gaps between laboratory testing and other program services. We propose a model for strengthening these systems to ensure effective linkages of laboratory services for improved access and retention in care of HIV/AIDS patients, particularly in low- and middle-income countries.","container-title":"AIDS Patient Care and STDs","DOI":"10.1089/apc.2013.0356","ISSN":"1087-2914, 1557-7449","issue":"5","journalAbbreviation":"AIDS Patient Care and STDs","language":"en","page":"268-273","source":"DOI.org (Crossref)","title":"The Centrality of Laboratory Services in the HIV Treatment and Prevention Cascade: The Need for Effective Linkages and Referrals in Resource-Limited Settings","title-short":"The Centrality of Laboratory Services in the HIV Treatment and Prevention Cascade","volume":"28","author":[{"family":"Alemnji","given":"George"},{"family":"Fonjungo","given":"Peter"},{"family":"Van Der Pol","given":"Barbara"},{"family":"Peter","given":"Trevor"},{"family":"Kantor","given":"Rami"},{"family":"Nkengasong","given":"John"}],"issued":{"date-parts":[["2014",5]]}}}],"schema":"https://github.com/citation-style-language/schema/raw/master/csl-citation.json"} </w:instrText>
      </w:r>
      <w:r w:rsidR="0072185C" w:rsidRPr="00186647">
        <w:rPr>
          <w:rFonts w:ascii="Arial" w:hAnsi="Arial" w:cs="Arial"/>
          <w:color w:val="000000"/>
          <w:sz w:val="24"/>
          <w:szCs w:val="24"/>
        </w:rPr>
        <w:fldChar w:fldCharType="separate"/>
      </w:r>
      <w:r w:rsidR="0072185C" w:rsidRPr="00186647">
        <w:rPr>
          <w:rFonts w:ascii="Arial" w:hAnsi="Arial" w:cs="Arial"/>
          <w:sz w:val="24"/>
          <w:szCs w:val="24"/>
        </w:rPr>
        <w:t>[10</w:t>
      </w:r>
      <w:r w:rsidR="0072185C" w:rsidRPr="00186647">
        <w:rPr>
          <w:rFonts w:ascii="Arial" w:hAnsi="Arial" w:cs="Arial"/>
          <w:color w:val="000000"/>
          <w:sz w:val="24"/>
          <w:szCs w:val="24"/>
        </w:rPr>
        <w:fldChar w:fldCharType="end"/>
      </w:r>
      <w:r w:rsidR="0072185C" w:rsidRPr="00186647">
        <w:rPr>
          <w:rFonts w:ascii="Arial" w:hAnsi="Arial" w:cs="Arial"/>
          <w:color w:val="000000"/>
          <w:sz w:val="24"/>
          <w:szCs w:val="24"/>
        </w:rPr>
        <w:t>]</w:t>
      </w:r>
      <w:r w:rsidRPr="00186647">
        <w:rPr>
          <w:rFonts w:ascii="Arial" w:hAnsi="Arial" w:cs="Arial"/>
          <w:color w:val="000000"/>
          <w:sz w:val="24"/>
          <w:szCs w:val="24"/>
        </w:rPr>
        <w:t xml:space="preserve">. </w:t>
      </w:r>
    </w:p>
    <w:p w14:paraId="59534FD2" w14:textId="0C85F9FA"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lastRenderedPageBreak/>
        <w:t>Improving the patient’s outcome, testing and access to results of test on time are crucial. To this effect, a national integrated specimen referral network (NISRN), currently being implemented by global health supply chain procurement supply management (GHSC-PSM) using third-party logistics (3PLs) providers to transport specimens from collection centers to testing laboratories was initiated</w:t>
      </w:r>
      <w:r w:rsidR="0072185C" w:rsidRPr="00186647">
        <w:rPr>
          <w:rFonts w:ascii="Arial" w:hAnsi="Arial" w:cs="Arial"/>
          <w:color w:val="000000"/>
          <w:sz w:val="24"/>
          <w:szCs w:val="24"/>
        </w:rPr>
        <w:t xml:space="preserve"> </w:t>
      </w:r>
      <w:r w:rsidR="0072185C" w:rsidRPr="00186647">
        <w:rPr>
          <w:rFonts w:ascii="Arial" w:hAnsi="Arial" w:cs="Arial"/>
          <w:color w:val="000000"/>
          <w:sz w:val="24"/>
          <w:szCs w:val="24"/>
        </w:rPr>
        <w:fldChar w:fldCharType="begin"/>
      </w:r>
      <w:r w:rsidR="0072185C" w:rsidRPr="00186647">
        <w:rPr>
          <w:rFonts w:ascii="Arial" w:hAnsi="Arial" w:cs="Arial"/>
          <w:color w:val="000000"/>
          <w:sz w:val="24"/>
          <w:szCs w:val="24"/>
        </w:rPr>
        <w:instrText xml:space="preserve"> ADDIN ZOTERO_ITEM CSL_CITATION {"citationID":"GQN98jYN","properties":{"formattedCitation":"(9)","plainCitation":"(9)","dontUpdate":true,"noteIndex":0},"citationItems":[{"id":60,"uris":["http://zotero.org/users/local/SeKuys62/items/Z57DH642"],"uri":["http://zotero.org/users/local/SeKuys62/items/Z57DH642"],"itemData":{"id":60,"type":"article-journal","abstract":"Sample transportation remains a challenge in resource-limited countries. In Nigeria transport was conducted through non-standard, parallel systems, leading to long turnaround times and lack of visibility. A National Integrated Specimen Referral Network (NISRN) – established by the Nigeria Ministry of Health with donor support – as a cost-effective system currently being implemented by GHSC-PSM using third-party logistics (3PLs) providers to transport specimens from collection centers to testing laboratories. This study assesses impact of using the private sector to transport samples in the NISRN. A descriptive method was used to assess 3PL performance. Specimen quantities transported by the 3PLs providers over six months were compared to the quantities transported in the period prior to implementation. Using the 3PLs instead of health facility staff, specimens were moved from facilities with backlogs to laboratories with capacity to analyze specimens quickly through the enhanced laboratory network. Before the NISRN, 116,046 viral load samples were tested, and 6,459 packs of reagents were used to cover 1,700 facilities over six months. During a comparable six months of operationalizing the NISRN, 277,536 viral load samples were tested, and 10,369 packs of reagents used to cover 3,114 facilities, translating into a significant increase of 38% of samples tested, 21% of reagents used; and over 83% increase in the number of facilities receiving testing services. In conclusions, leveraging the private sector to transport samples enhanced testing laboratory network efficiencies. This resulted in substantial increases in viral load samples tested, reagents used, and facilities accessing testing. This approach led to an expansion of services, and a robust optimized sample referral network that can respond more easily to public health emergencies. Utilization of the private sector is a sustainable, costefficient framework. Utilizing 3PL providers increases patient access to services and allows facility staff to focus on their traditional role rather than transporting specimens.","language":"en","page":"13","source":"Zotero","title":"Leveraging private sector transportation/logistics services to improve the National Integrated Specimen Referral Network in Nigeria","author":[{"family":"Faruna","given":"Theophilus"},{"family":"Akintunde","given":"Ezekiel"},{"family":"Odelola","given":"Babatunji"}],"issued":{"date-parts":[["2019"]]}}}],"schema":"https://github.com/citation-style-language/schema/raw/master/csl-citation.json"} </w:instrText>
      </w:r>
      <w:r w:rsidR="0072185C" w:rsidRPr="00186647">
        <w:rPr>
          <w:rFonts w:ascii="Arial" w:hAnsi="Arial" w:cs="Arial"/>
          <w:color w:val="000000"/>
          <w:sz w:val="24"/>
          <w:szCs w:val="24"/>
        </w:rPr>
        <w:fldChar w:fldCharType="separate"/>
      </w:r>
      <w:r w:rsidR="0072185C" w:rsidRPr="00186647">
        <w:rPr>
          <w:rFonts w:ascii="Arial" w:hAnsi="Arial" w:cs="Arial"/>
          <w:sz w:val="24"/>
          <w:szCs w:val="24"/>
        </w:rPr>
        <w:t>[9]</w:t>
      </w:r>
      <w:r w:rsidR="0072185C" w:rsidRPr="00186647">
        <w:rPr>
          <w:rFonts w:ascii="Arial" w:hAnsi="Arial" w:cs="Arial"/>
          <w:color w:val="000000"/>
          <w:sz w:val="24"/>
          <w:szCs w:val="24"/>
        </w:rPr>
        <w:fldChar w:fldCharType="end"/>
      </w:r>
      <w:r w:rsidRPr="00186647">
        <w:rPr>
          <w:rFonts w:ascii="Arial" w:hAnsi="Arial" w:cs="Arial"/>
          <w:color w:val="000000"/>
          <w:sz w:val="24"/>
          <w:szCs w:val="24"/>
        </w:rPr>
        <w:t xml:space="preserve">. With the introduction of the 3PLs it was expected that the average time from sample collection and return of results back to the health facilities would decrease when compared with the period before the 3PLs was introduced (NISRN SOP). </w:t>
      </w:r>
    </w:p>
    <w:p w14:paraId="766E2972" w14:textId="251A54F0" w:rsidR="004D5976" w:rsidRPr="00186647" w:rsidRDefault="00F022CF" w:rsidP="007349C5">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This study therefore aims at assessing the impact of Pre-Third-Party Logistics (Pre-3PLs) and 3PLs on viral load sample Turn-Around Time (TAT) in the management of HIV/AIDS patients in Ekiti State, Nigeria. By identifying the differences between Pre-3PLs and 3PLs on the Viral load sample TAT and identifying other factors that could be associated with viral load sample TAT. Also, the result from the study will help to ascertain whether the current use of 3PLs in NISRN will give findings that are similar to the existing evidence that TAT improved with the introduction of a 3PLs or other private organizations.</w:t>
      </w:r>
    </w:p>
    <w:p w14:paraId="1505F486" w14:textId="6CC9C441" w:rsidR="00D0343C" w:rsidRPr="00186647" w:rsidRDefault="00C35899">
      <w:pPr>
        <w:rPr>
          <w:rFonts w:ascii="Arial" w:hAnsi="Arial" w:cs="Arial"/>
          <w:b/>
          <w:sz w:val="24"/>
          <w:szCs w:val="24"/>
        </w:rPr>
      </w:pPr>
      <w:r w:rsidRPr="00186647">
        <w:rPr>
          <w:rFonts w:ascii="Arial" w:hAnsi="Arial" w:cs="Arial"/>
          <w:b/>
          <w:sz w:val="24"/>
          <w:szCs w:val="24"/>
        </w:rPr>
        <w:t>Methods</w:t>
      </w:r>
      <w:r w:rsidR="004527E3" w:rsidRPr="00186647">
        <w:rPr>
          <w:rFonts w:ascii="Arial" w:hAnsi="Arial" w:cs="Arial"/>
          <w:b/>
          <w:sz w:val="24"/>
          <w:szCs w:val="24"/>
        </w:rPr>
        <w:t xml:space="preserve"> </w:t>
      </w:r>
      <w:r w:rsidR="00D0343C" w:rsidRPr="00186647">
        <w:rPr>
          <w:rFonts w:ascii="Arial" w:hAnsi="Arial" w:cs="Arial"/>
          <w:b/>
          <w:sz w:val="24"/>
          <w:szCs w:val="24"/>
        </w:rPr>
        <w:t xml:space="preserve"> </w:t>
      </w:r>
    </w:p>
    <w:p w14:paraId="6F3CA96E"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Study Area</w:t>
      </w:r>
    </w:p>
    <w:p w14:paraId="565D9D67" w14:textId="57A8A38F" w:rsidR="00F022CF" w:rsidRPr="00186647" w:rsidRDefault="00F022CF" w:rsidP="00F022CF">
      <w:pPr>
        <w:autoSpaceDE w:val="0"/>
        <w:autoSpaceDN w:val="0"/>
        <w:adjustRightInd w:val="0"/>
        <w:spacing w:after="0" w:line="360" w:lineRule="auto"/>
        <w:jc w:val="both"/>
        <w:rPr>
          <w:rFonts w:ascii="Arial" w:hAnsi="Arial" w:cs="Arial"/>
          <w:color w:val="000000"/>
          <w:sz w:val="24"/>
          <w:szCs w:val="24"/>
        </w:rPr>
      </w:pPr>
      <w:r w:rsidRPr="00186647">
        <w:rPr>
          <w:rFonts w:ascii="Arial" w:hAnsi="Arial" w:cs="Arial"/>
          <w:sz w:val="24"/>
          <w:szCs w:val="24"/>
        </w:rPr>
        <w:t xml:space="preserve">The </w:t>
      </w:r>
      <w:r w:rsidR="007349C5" w:rsidRPr="00186647">
        <w:rPr>
          <w:rFonts w:ascii="Arial" w:hAnsi="Arial" w:cs="Arial"/>
          <w:sz w:val="24"/>
          <w:szCs w:val="24"/>
        </w:rPr>
        <w:t xml:space="preserve">retrospective </w:t>
      </w:r>
      <w:r w:rsidRPr="00186647">
        <w:rPr>
          <w:rFonts w:ascii="Arial" w:hAnsi="Arial" w:cs="Arial"/>
          <w:sz w:val="24"/>
          <w:szCs w:val="24"/>
        </w:rPr>
        <w:t xml:space="preserve">study was carried out in Ekiti State, Nigeria. </w:t>
      </w:r>
      <w:r w:rsidRPr="00186647">
        <w:rPr>
          <w:rFonts w:ascii="Arial" w:hAnsi="Arial" w:cs="Arial"/>
          <w:sz w:val="24"/>
          <w:szCs w:val="24"/>
          <w:highlight w:val="white"/>
        </w:rPr>
        <w:t>HIV Prevalence in Nigeria was 1.4% in 2019</w:t>
      </w:r>
      <w:r w:rsidRPr="00186647">
        <w:rPr>
          <w:rFonts w:ascii="Arial" w:hAnsi="Arial" w:cs="Arial"/>
          <w:b/>
          <w:bCs/>
          <w:sz w:val="24"/>
          <w:szCs w:val="24"/>
          <w:highlight w:val="white"/>
        </w:rPr>
        <w:t xml:space="preserve">, </w:t>
      </w:r>
      <w:r w:rsidRPr="00186647">
        <w:rPr>
          <w:rFonts w:ascii="Arial" w:hAnsi="Arial" w:cs="Arial"/>
          <w:sz w:val="24"/>
          <w:szCs w:val="24"/>
          <w:highlight w:val="white"/>
        </w:rPr>
        <w:t>according to the</w:t>
      </w:r>
      <w:r w:rsidRPr="00186647">
        <w:rPr>
          <w:rFonts w:ascii="Arial" w:hAnsi="Arial" w:cs="Arial"/>
          <w:b/>
          <w:bCs/>
          <w:sz w:val="24"/>
          <w:szCs w:val="24"/>
          <w:highlight w:val="white"/>
        </w:rPr>
        <w:t> </w:t>
      </w:r>
      <w:hyperlink r:id="rId9" w:history="1">
        <w:r w:rsidRPr="00186647">
          <w:rPr>
            <w:rFonts w:ascii="Arial" w:hAnsi="Arial" w:cs="Arial"/>
            <w:sz w:val="24"/>
            <w:szCs w:val="24"/>
            <w:highlight w:val="white"/>
          </w:rPr>
          <w:t>National Agency for the Control of AIDS (NACA)</w:t>
        </w:r>
      </w:hyperlink>
      <w:r w:rsidRPr="00186647">
        <w:rPr>
          <w:rFonts w:ascii="Arial" w:hAnsi="Arial" w:cs="Arial"/>
          <w:sz w:val="24"/>
          <w:szCs w:val="24"/>
        </w:rPr>
        <w:t xml:space="preserve"> </w:t>
      </w:r>
      <w:r w:rsidR="0072185C" w:rsidRPr="00186647">
        <w:rPr>
          <w:rFonts w:ascii="Arial" w:hAnsi="Arial" w:cs="Arial"/>
          <w:sz w:val="24"/>
          <w:szCs w:val="24"/>
        </w:rPr>
        <w:fldChar w:fldCharType="begin"/>
      </w:r>
      <w:r w:rsidR="004B660A" w:rsidRPr="00186647">
        <w:rPr>
          <w:rFonts w:ascii="Arial" w:hAnsi="Arial" w:cs="Arial"/>
          <w:sz w:val="24"/>
          <w:szCs w:val="24"/>
        </w:rPr>
        <w:instrText xml:space="preserve"> ADDIN ZOTERO_ITEM CSL_CITATION {"citationID":"c0dnjUSN","properties":{"formattedCitation":"(11)","plainCitation":"(11)","dontUpdate":true,"noteIndex":0},"citationItems":[{"id":101,"uris":["http://zotero.org/users/local/SeKuys62/items/5GMA2LXJ"],"uri":["http://zotero.org/users/local/SeKuys62/items/5GMA2LXJ"],"itemData":{"id":101,"type":"post-weblog","abstract":"HIV Prevalence Rate (By States) in Nigeria 2019/2020 on NigerianWiki as published by the National Agency for the control of AIDS (NACA).","container-title":"NigerianWiki","language":"en-US","note":"source: nigerianwiki.xyz\nsection: Health &amp; Wellness","title":"HIV Prevalence Rate (By States) in Nigeria (2019/2020)","URL":"https://nigerianwiki.xyz/hiv-prevalence-rate-by-states-nigeria-2019/","accessed":{"date-parts":[["2020",6,29]]},"issued":{"date-parts":[["2019",11,15]]}}}],"schema":"https://github.com/citation-style-language/schema/raw/master/csl-citation.json"} </w:instrText>
      </w:r>
      <w:r w:rsidR="0072185C" w:rsidRPr="00186647">
        <w:rPr>
          <w:rFonts w:ascii="Arial" w:hAnsi="Arial" w:cs="Arial"/>
          <w:sz w:val="24"/>
          <w:szCs w:val="24"/>
        </w:rPr>
        <w:fldChar w:fldCharType="separate"/>
      </w:r>
      <w:r w:rsidR="004D5976" w:rsidRPr="00186647">
        <w:rPr>
          <w:rFonts w:ascii="Arial" w:hAnsi="Arial" w:cs="Arial"/>
          <w:sz w:val="24"/>
          <w:szCs w:val="24"/>
        </w:rPr>
        <w:t>[</w:t>
      </w:r>
      <w:r w:rsidR="0072185C" w:rsidRPr="00186647">
        <w:rPr>
          <w:rFonts w:ascii="Arial" w:hAnsi="Arial" w:cs="Arial"/>
          <w:sz w:val="24"/>
          <w:szCs w:val="24"/>
        </w:rPr>
        <w:t>11</w:t>
      </w:r>
      <w:r w:rsidR="0072185C" w:rsidRPr="00186647">
        <w:rPr>
          <w:rFonts w:ascii="Arial" w:hAnsi="Arial" w:cs="Arial"/>
          <w:sz w:val="24"/>
          <w:szCs w:val="24"/>
        </w:rPr>
        <w:fldChar w:fldCharType="end"/>
      </w:r>
      <w:r w:rsidR="004D5976" w:rsidRPr="00186647">
        <w:rPr>
          <w:rFonts w:ascii="Arial" w:hAnsi="Arial" w:cs="Arial"/>
          <w:sz w:val="24"/>
          <w:szCs w:val="24"/>
        </w:rPr>
        <w:t>]</w:t>
      </w:r>
      <w:r w:rsidRPr="00186647">
        <w:rPr>
          <w:rFonts w:ascii="Arial" w:hAnsi="Arial" w:cs="Arial"/>
          <w:sz w:val="24"/>
          <w:szCs w:val="24"/>
          <w:highlight w:val="white"/>
        </w:rPr>
        <w:t>. Ekiti state is ranked the 29</w:t>
      </w:r>
      <w:r w:rsidRPr="00186647">
        <w:rPr>
          <w:rFonts w:ascii="Arial" w:hAnsi="Arial" w:cs="Arial"/>
          <w:sz w:val="24"/>
          <w:szCs w:val="24"/>
          <w:highlight w:val="white"/>
          <w:vertAlign w:val="superscript"/>
        </w:rPr>
        <w:t>th</w:t>
      </w:r>
      <w:r w:rsidRPr="00186647">
        <w:rPr>
          <w:rFonts w:ascii="Arial" w:hAnsi="Arial" w:cs="Arial"/>
          <w:sz w:val="24"/>
          <w:szCs w:val="24"/>
          <w:highlight w:val="white"/>
        </w:rPr>
        <w:t xml:space="preserve"> state with a HIV prevalence of 0.7%.</w:t>
      </w:r>
      <w:r w:rsidRPr="00186647">
        <w:rPr>
          <w:rFonts w:ascii="Arial" w:hAnsi="Arial" w:cs="Arial"/>
          <w:sz w:val="24"/>
          <w:szCs w:val="24"/>
        </w:rPr>
        <w:t xml:space="preserve"> </w:t>
      </w:r>
      <w:r w:rsidRPr="00186647">
        <w:rPr>
          <w:rFonts w:ascii="Arial" w:hAnsi="Arial" w:cs="Arial"/>
          <w:color w:val="000000"/>
          <w:sz w:val="24"/>
          <w:szCs w:val="24"/>
        </w:rPr>
        <w:t xml:space="preserve">Ekiti State is one of the 36 states (including the Federal Capital Territory, Abuja) that constitute the Federal Republic of Nigeria. According to the most recent census, its population is about 3 million accounting for 1.71% of the total population of Nigeria. There are 16 Local Government Areas (LGA) in the State. There are 23 </w:t>
      </w:r>
      <w:r w:rsidR="00FF2CD2" w:rsidRPr="00186647">
        <w:rPr>
          <w:rFonts w:ascii="Arial" w:hAnsi="Arial" w:cs="Arial"/>
          <w:color w:val="000000"/>
          <w:sz w:val="24"/>
          <w:szCs w:val="24"/>
        </w:rPr>
        <w:t xml:space="preserve">government </w:t>
      </w:r>
      <w:r w:rsidRPr="00186647">
        <w:rPr>
          <w:rFonts w:ascii="Arial" w:hAnsi="Arial" w:cs="Arial"/>
          <w:color w:val="000000"/>
          <w:sz w:val="24"/>
          <w:szCs w:val="24"/>
        </w:rPr>
        <w:t>health facilities spread across all LGAs of the State providing treatment, care, and support for PLHIV. Samples are collected from these facilities and sent to the regional PCR laboratory for viral load and early infant diagnosis. This PCR laboratory is in Obafemi Awolowo University Teaching Hospital, Ile-Ife, Osun State, and it is around 150 kilometers from Ado-Ekiti.</w:t>
      </w:r>
    </w:p>
    <w:p w14:paraId="55E87B4C"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color w:val="000000"/>
          <w:sz w:val="24"/>
          <w:szCs w:val="24"/>
        </w:rPr>
        <w:lastRenderedPageBreak/>
        <w:t xml:space="preserve">Sampling  </w:t>
      </w:r>
    </w:p>
    <w:p w14:paraId="52CF07CC"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All 23 HIV care facilities across the State and the referral laboratory were included in the sample frame. Both quantitative and qualitative data collection were conducted in 11 facilities including the referral laboratory. All 23 health facilities were arranged in ascending order, based on their workload. After arranging them, they were divided in to two groups, high and low load. One to thirteen were low load and 14-23 were high load. Five facilities were randomly picked from each group, giving a total of 10 facilities. We also ensured that these facilities were a representative of the three districts of the state. </w:t>
      </w:r>
    </w:p>
    <w:p w14:paraId="7F9E6F02" w14:textId="684DAD11"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Heterogeneity and representativeness of samples were ensured by randomly selecting facilities that were representative of all the geographical locations of the state and representative of their workload. Facilities were selected based on the senatorial districts of the state. There are three senatorial districts in the state, namely, Ekiti central, Ekiti North, and Ekiti South. From each district, one high and low load facility was randomly selected. Data were termed incomplete if it missed, date sample was collected, date sample was sent, and date result was returned, as these were the major predictors of TAT. Any sample that was incomplete was removed from the data set and not included for analysis. To further understand, if there are other factors affecting TAT other than transportation, semi-formal interviews were conducted using a semi-structed question guide. Verbal consent was sort from the respondents before administration of the question. The respondents were the focal persons at the facility laboratory.</w:t>
      </w:r>
    </w:p>
    <w:p w14:paraId="7C159F1A"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A facility is termed high load if it performs 50 and more samples per month and low load if it performs less than 50 samples per month. Unfortunately, we have more low load facilities across the State. Thus, during sampling, we ensured the selection of equal numbers for both groups. The selected facilities are shown in table 1.</w:t>
      </w:r>
    </w:p>
    <w:p w14:paraId="6E8162BC" w14:textId="77777777" w:rsidR="00F022CF" w:rsidRPr="00186647" w:rsidRDefault="00F022CF" w:rsidP="00F022CF">
      <w:pPr>
        <w:autoSpaceDE w:val="0"/>
        <w:autoSpaceDN w:val="0"/>
        <w:adjustRightInd w:val="0"/>
        <w:spacing w:after="0" w:line="360" w:lineRule="auto"/>
        <w:jc w:val="both"/>
        <w:rPr>
          <w:rFonts w:ascii="Arial" w:hAnsi="Arial" w:cs="Arial"/>
          <w:b/>
          <w:color w:val="000000"/>
          <w:sz w:val="24"/>
          <w:szCs w:val="24"/>
        </w:rPr>
      </w:pPr>
      <w:r w:rsidRPr="00186647">
        <w:rPr>
          <w:rFonts w:ascii="Arial" w:hAnsi="Arial" w:cs="Arial"/>
          <w:b/>
          <w:color w:val="000000"/>
          <w:sz w:val="24"/>
          <w:szCs w:val="24"/>
        </w:rPr>
        <w:t>Data Source</w:t>
      </w:r>
    </w:p>
    <w:p w14:paraId="74B5A89A"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sz w:val="24"/>
          <w:szCs w:val="24"/>
        </w:rPr>
        <w:t xml:space="preserve">This study utilized quantitative data from </w:t>
      </w:r>
      <w:r w:rsidRPr="00186647">
        <w:rPr>
          <w:rFonts w:ascii="Arial" w:hAnsi="Arial" w:cs="Arial"/>
          <w:color w:val="000000"/>
          <w:sz w:val="24"/>
          <w:szCs w:val="24"/>
        </w:rPr>
        <w:t>the laboratory viral load log in the facility. The data for each facility was divided into two, data available before July 2018 (pre 3PLs) and those after July 2018 to January 2020 (3PLs). For the qualitative component, respondents of the interview were the laboratory focal person for each of the facilities. To get the response from the 3PLs, the operators were also interviewed.</w:t>
      </w:r>
    </w:p>
    <w:p w14:paraId="66A2B7C6" w14:textId="77777777" w:rsidR="004D5976" w:rsidRPr="00186647" w:rsidRDefault="004D5976" w:rsidP="00F022CF">
      <w:pPr>
        <w:autoSpaceDE w:val="0"/>
        <w:autoSpaceDN w:val="0"/>
        <w:adjustRightInd w:val="0"/>
        <w:spacing w:after="0" w:line="360" w:lineRule="auto"/>
        <w:jc w:val="both"/>
        <w:rPr>
          <w:rFonts w:ascii="Arial" w:hAnsi="Arial" w:cs="Arial"/>
          <w:b/>
          <w:bCs/>
          <w:sz w:val="24"/>
          <w:szCs w:val="24"/>
        </w:rPr>
      </w:pPr>
    </w:p>
    <w:p w14:paraId="781201C5" w14:textId="712D0195" w:rsidR="00F022CF" w:rsidRPr="00186647" w:rsidRDefault="00F022CF" w:rsidP="00F022CF">
      <w:pPr>
        <w:autoSpaceDE w:val="0"/>
        <w:autoSpaceDN w:val="0"/>
        <w:adjustRightInd w:val="0"/>
        <w:spacing w:after="0" w:line="360" w:lineRule="auto"/>
        <w:jc w:val="both"/>
        <w:rPr>
          <w:rFonts w:ascii="Arial" w:hAnsi="Arial" w:cs="Arial"/>
          <w:color w:val="000000"/>
          <w:sz w:val="24"/>
          <w:szCs w:val="24"/>
        </w:rPr>
      </w:pPr>
      <w:r w:rsidRPr="00186647">
        <w:rPr>
          <w:rFonts w:ascii="Arial" w:hAnsi="Arial" w:cs="Arial"/>
          <w:b/>
          <w:bCs/>
          <w:sz w:val="24"/>
          <w:szCs w:val="24"/>
        </w:rPr>
        <w:t xml:space="preserve">Data collection </w:t>
      </w:r>
    </w:p>
    <w:p w14:paraId="65DADD12" w14:textId="77777777"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The extraction period for this analysis was for viral load test conducted pre-3PLs and 3PLs eras. The dates vary from one facility to the other, as they did not start viral load testing at the same time and the availability of data source also differ. Data was obtained from the laboratory viral load log in the facility. The data for each facility was divided into two, data available before July 2018 (pre 3PLs) and those after July 2018 to January 2020 (3PLs). For the qualitative component, respondents of the interview were the laboratory focal person for each of the facilities. To get the response from the 3PLs, the operators were also interviewed.</w:t>
      </w:r>
    </w:p>
    <w:p w14:paraId="6C9B2BED" w14:textId="77777777" w:rsidR="00F022CF" w:rsidRPr="00186647" w:rsidRDefault="00F022CF" w:rsidP="00F022CF">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 xml:space="preserve">Data analysis </w:t>
      </w:r>
    </w:p>
    <w:p w14:paraId="17F114B1" w14:textId="2B155CC1" w:rsidR="00F022CF" w:rsidRPr="00186647" w:rsidRDefault="00F022CF" w:rsidP="00F022CF">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 xml:space="preserve">For quantitative findings, total sample collection (by pre 3PLs and 3PLs) was 18 datasets, a pair of data for each facility. The date interval for which data were available and the number of samples collected within that time frame is recorded for both high and low load facilities separately. The total TAT for the facilities pre 3PLs and 3PLs were calculated. Mean TAT </w:t>
      </w:r>
      <w:r w:rsidR="004E5217" w:rsidRPr="00186647">
        <w:rPr>
          <w:rFonts w:ascii="Arial" w:hAnsi="Arial" w:cs="Arial"/>
          <w:color w:val="000000"/>
          <w:sz w:val="24"/>
          <w:szCs w:val="24"/>
        </w:rPr>
        <w:t>was</w:t>
      </w:r>
      <w:r w:rsidRPr="00186647">
        <w:rPr>
          <w:rFonts w:ascii="Arial" w:hAnsi="Arial" w:cs="Arial"/>
          <w:color w:val="000000"/>
          <w:sz w:val="24"/>
          <w:szCs w:val="24"/>
        </w:rPr>
        <w:t xml:space="preserve"> also estimated for high and low load facilities. To ascertain if there is a statistical difference in the mean TAT pre-3PLs and 3PLs era, we employ the R commander statistical software to determine the mean difference for high load facilities and low facilities differently. We used the paired t-test statistical test to analyze the pre- and post-mean TAT at 95% confidence interval (CI) to obtain the p-values. To get a complete picture of the TAT, the analytical time at the PCR lab was estimated as well to determine the mean TAT.</w:t>
      </w:r>
    </w:p>
    <w:p w14:paraId="63BC64F0" w14:textId="4D793FA0" w:rsidR="007349C5" w:rsidRPr="00186647" w:rsidRDefault="00F022CF" w:rsidP="007F57DD">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Cs/>
          <w:sz w:val="24"/>
          <w:szCs w:val="24"/>
        </w:rPr>
        <w:t xml:space="preserve">For qualitative findings, </w:t>
      </w:r>
      <w:r w:rsidRPr="00186647">
        <w:rPr>
          <w:rFonts w:ascii="Arial" w:hAnsi="Arial" w:cs="Arial"/>
          <w:color w:val="000000"/>
          <w:sz w:val="24"/>
          <w:szCs w:val="24"/>
        </w:rPr>
        <w:t xml:space="preserve">results are presented under the themes emerging from the semi-structured interviews and are reported using the Standards for Reporting Qualitative Research (SRQR). </w:t>
      </w:r>
      <w:r w:rsidRPr="00186647">
        <w:rPr>
          <w:rFonts w:ascii="Arial" w:hAnsi="Arial" w:cs="Arial"/>
          <w:sz w:val="24"/>
          <w:szCs w:val="24"/>
        </w:rPr>
        <w:t>To further understand the other factors that can affect TAT other than transportation, 11 semi-structured interviews were conducted. Of these 11, only 3 respondents consented to recoding their response. After the transcripts of the voice recording were done and analyzing notes taking from others, several themes and concepts emerged.</w:t>
      </w:r>
    </w:p>
    <w:p w14:paraId="3039AD51" w14:textId="77777777" w:rsidR="00320ABE" w:rsidRPr="00186647" w:rsidRDefault="00D0343C" w:rsidP="00320ABE">
      <w:pPr>
        <w:rPr>
          <w:rFonts w:ascii="Arial" w:hAnsi="Arial" w:cs="Arial"/>
          <w:b/>
          <w:sz w:val="24"/>
          <w:szCs w:val="24"/>
        </w:rPr>
      </w:pPr>
      <w:r w:rsidRPr="00186647">
        <w:rPr>
          <w:rFonts w:ascii="Arial" w:hAnsi="Arial" w:cs="Arial"/>
          <w:b/>
          <w:sz w:val="24"/>
          <w:szCs w:val="24"/>
        </w:rPr>
        <w:t>R</w:t>
      </w:r>
      <w:r w:rsidR="00C35899" w:rsidRPr="00186647">
        <w:rPr>
          <w:rFonts w:ascii="Arial" w:hAnsi="Arial" w:cs="Arial"/>
          <w:b/>
          <w:sz w:val="24"/>
          <w:szCs w:val="24"/>
        </w:rPr>
        <w:t>esults</w:t>
      </w:r>
      <w:r w:rsidR="004527E3" w:rsidRPr="00186647">
        <w:rPr>
          <w:rFonts w:ascii="Arial" w:hAnsi="Arial" w:cs="Arial"/>
          <w:b/>
          <w:sz w:val="24"/>
          <w:szCs w:val="24"/>
        </w:rPr>
        <w:t xml:space="preserve"> </w:t>
      </w:r>
      <w:r w:rsidRPr="00186647">
        <w:rPr>
          <w:rFonts w:ascii="Arial" w:hAnsi="Arial" w:cs="Arial"/>
          <w:b/>
          <w:sz w:val="24"/>
          <w:szCs w:val="24"/>
        </w:rPr>
        <w:t xml:space="preserve"> </w:t>
      </w:r>
    </w:p>
    <w:p w14:paraId="63A126AB" w14:textId="422568FE" w:rsidR="009C3BD0" w:rsidRPr="00186647" w:rsidRDefault="009C3BD0" w:rsidP="00320ABE">
      <w:pPr>
        <w:rPr>
          <w:rFonts w:ascii="Arial" w:hAnsi="Arial" w:cs="Arial"/>
          <w:b/>
          <w:sz w:val="24"/>
          <w:szCs w:val="24"/>
        </w:rPr>
      </w:pPr>
      <w:r w:rsidRPr="00186647">
        <w:rPr>
          <w:rFonts w:ascii="Arial" w:hAnsi="Arial" w:cs="Arial"/>
          <w:b/>
          <w:bCs/>
          <w:sz w:val="24"/>
          <w:szCs w:val="24"/>
        </w:rPr>
        <w:t xml:space="preserve">Characteristics of high and low load facilities </w:t>
      </w:r>
    </w:p>
    <w:p w14:paraId="6096CDBA" w14:textId="2B8E1B6D"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color w:val="000000"/>
          <w:sz w:val="24"/>
          <w:szCs w:val="24"/>
        </w:rPr>
        <w:lastRenderedPageBreak/>
        <w:t xml:space="preserve">Date interval for each facility differ as this is dependent on the available register in the facilities, hence the date interval for the facilities were calculated independently. Table 2 gives a summary of all the facilities, the date interval when data were extracted and the total number of samples that were sent within that date interval. For instance, EKSUTH generated a total number of 1631 within 524 days (1.44 years), IYIN could only generate 122 within the same time frame. It was also observed that date interval for both groups range between 1 to 2 years. </w:t>
      </w:r>
    </w:p>
    <w:p w14:paraId="72CF72B1" w14:textId="0B4FD810" w:rsidR="004D5976" w:rsidRPr="00186647" w:rsidRDefault="004D5976" w:rsidP="009C3BD0">
      <w:pPr>
        <w:keepNext/>
        <w:keepLines/>
        <w:autoSpaceDE w:val="0"/>
        <w:autoSpaceDN w:val="0"/>
        <w:adjustRightInd w:val="0"/>
        <w:spacing w:before="120" w:after="120" w:line="360" w:lineRule="auto"/>
        <w:jc w:val="both"/>
        <w:rPr>
          <w:rFonts w:ascii="Arial" w:hAnsi="Arial" w:cs="Arial"/>
          <w:b/>
          <w:bCs/>
          <w:sz w:val="24"/>
          <w:szCs w:val="24"/>
          <w:u w:val="single"/>
        </w:rPr>
      </w:pPr>
      <w:r w:rsidRPr="00186647">
        <w:rPr>
          <w:rFonts w:ascii="Arial" w:hAnsi="Arial" w:cs="Arial"/>
          <w:b/>
          <w:bCs/>
          <w:sz w:val="24"/>
          <w:szCs w:val="24"/>
          <w:u w:val="single"/>
        </w:rPr>
        <w:t>Quantitative findings</w:t>
      </w:r>
    </w:p>
    <w:p w14:paraId="7B8E32B6" w14:textId="1D6902A2" w:rsidR="009C3BD0" w:rsidRPr="00186647" w:rsidRDefault="009C3BD0" w:rsidP="009C3BD0">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sz w:val="24"/>
          <w:szCs w:val="24"/>
        </w:rPr>
        <w:t>TAT in high and low load facilities</w:t>
      </w:r>
    </w:p>
    <w:p w14:paraId="193C6EAC" w14:textId="145F4059"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The Average TAT for each facility was calculated within the date interval for both pre-3PLs and 3PLs era. The TAT was estimated in days. It was found that the mean (±SD) TAT for the high load facilities for pre-3PLs era was 83.68 ±27.3) days, while during 3PLs study period the mean TAT came to 30.76 (±5.7) days. For the low load facilities, the mean TAT pre-3PLs is 104.4 (±10.4) days and during 3PLs the value came to 26.9 (±4.0) days. These are highlighted in table 3. For the high load facilities, the mean difference was 52.93 days (p &lt;0.05) and for the low load facilities the mean difference was 77.38 days (p&lt;0.05).</w:t>
      </w:r>
    </w:p>
    <w:p w14:paraId="654A95FA"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color w:val="000000"/>
          <w:sz w:val="24"/>
          <w:szCs w:val="24"/>
        </w:rPr>
      </w:pPr>
      <w:r w:rsidRPr="00186647">
        <w:rPr>
          <w:rFonts w:ascii="Arial" w:hAnsi="Arial" w:cs="Arial"/>
          <w:b/>
          <w:bCs/>
          <w:sz w:val="24"/>
          <w:szCs w:val="24"/>
        </w:rPr>
        <w:t>TAT in high and low load facilities</w:t>
      </w:r>
    </w:p>
    <w:p w14:paraId="7968855D" w14:textId="3A38AAC2"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The Average TAT for each facility was calculated within the date interval for both pre-3PLs and 3PLs era. The TAT was estimated in days. It was found that the mean (±SD) TAT for the high load facilities for pre-3PLs era was 83.68 ±27.3) days, while during 3PLs study period the mean TAT came to 30.76 (±5.7) days. For the low load facilities, the mean TAT pre-3PLs is 104.4 (±10.4) days and during 3PLs the value came to 26.9 (±4.0) days. These are highlighted in table 3. For the high load facilities, the mean difference was 52.93 days (p &lt;0.05) and for the low load facilities the mean difference was 77.38 days (p&lt;0.05).</w:t>
      </w:r>
    </w:p>
    <w:p w14:paraId="130ADA3B"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 xml:space="preserve">TAT in PCR laboratory </w:t>
      </w:r>
    </w:p>
    <w:p w14:paraId="2AFBA58D" w14:textId="289ED835"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color w:val="000000"/>
          <w:sz w:val="24"/>
          <w:szCs w:val="24"/>
        </w:rPr>
        <w:t>Total sample TAT estimation includes the analytical time, i.e., the time it takes to analyze the sample once it reaches the testing laboratory. The viral load samples are pooled to the testing PCR lab. TAT in the PCR lab is independe</w:t>
      </w:r>
      <w:r w:rsidR="003A3865">
        <w:rPr>
          <w:rFonts w:ascii="Arial" w:hAnsi="Arial" w:cs="Arial"/>
          <w:color w:val="000000"/>
          <w:sz w:val="24"/>
          <w:szCs w:val="24"/>
        </w:rPr>
        <w:t>nt of the facility type. Table 3</w:t>
      </w:r>
      <w:bookmarkStart w:id="2" w:name="_GoBack"/>
      <w:bookmarkEnd w:id="2"/>
      <w:r w:rsidRPr="00186647">
        <w:rPr>
          <w:rFonts w:ascii="Arial" w:hAnsi="Arial" w:cs="Arial"/>
          <w:color w:val="000000"/>
          <w:sz w:val="24"/>
          <w:szCs w:val="24"/>
        </w:rPr>
        <w:t xml:space="preserve"> shows the average time it takes for a sample to be run to when the result is </w:t>
      </w:r>
      <w:r w:rsidRPr="00186647">
        <w:rPr>
          <w:rFonts w:ascii="Arial" w:hAnsi="Arial" w:cs="Arial"/>
          <w:color w:val="000000"/>
          <w:sz w:val="24"/>
          <w:szCs w:val="24"/>
        </w:rPr>
        <w:lastRenderedPageBreak/>
        <w:t>released and dispatched from the laboratory to the facility. This TAT is a fraction from the total TAT of each viral load sample. We found that the mean (±SD) TAT for samples at the PCR lab is 9.99 (±0.95) days</w:t>
      </w:r>
    </w:p>
    <w:p w14:paraId="4BB7C119"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u w:val="single"/>
        </w:rPr>
      </w:pPr>
      <w:r w:rsidRPr="00186647">
        <w:rPr>
          <w:rFonts w:ascii="Arial" w:hAnsi="Arial" w:cs="Arial"/>
          <w:b/>
          <w:bCs/>
          <w:sz w:val="24"/>
          <w:szCs w:val="24"/>
          <w:u w:val="single"/>
        </w:rPr>
        <w:t>Qualitative findings</w:t>
      </w:r>
    </w:p>
    <w:p w14:paraId="6377C49B"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Upon completion of the semi-structured interviews with all respondents, five themes were identified to be associated with TAT. These themes were, inadequate human resource, sample collection and quality, proximity of facility, stockout and equipment downtime and human factors.</w:t>
      </w:r>
    </w:p>
    <w:p w14:paraId="65E6ACB1"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Human resources</w:t>
      </w:r>
    </w:p>
    <w:p w14:paraId="5D7BEA26"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The issues of human resource/workforce were mentioned by some respondents. They mentioned that if more hands were employed there will be better performance. For example, there are only two 3PLs operators for the whole of Ekiti State. They are required to go around all 23 facilities to pick up samples and to return the same way.</w:t>
      </w:r>
    </w:p>
    <w:p w14:paraId="75D2AA90"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i/>
          <w:iCs/>
          <w:sz w:val="24"/>
          <w:szCs w:val="24"/>
        </w:rPr>
        <w:t>…” I had an accident sometimes ago on my way back from Ikere facility when I was enforced to go, and dispatch result that day and it was only God that saved my life. And there are only 2 of us in the State” ...</w:t>
      </w:r>
      <w:r w:rsidRPr="00186647">
        <w:rPr>
          <w:rFonts w:ascii="Arial" w:hAnsi="Arial" w:cs="Arial"/>
          <w:sz w:val="24"/>
          <w:szCs w:val="24"/>
        </w:rPr>
        <w:t xml:space="preserve"> (3PLs operator)</w:t>
      </w:r>
    </w:p>
    <w:p w14:paraId="05DC11FE" w14:textId="77777777" w:rsidR="009C3BD0" w:rsidRPr="00186647" w:rsidRDefault="009C3BD0" w:rsidP="009C3BD0">
      <w:pPr>
        <w:keepNext/>
        <w:keepLines/>
        <w:tabs>
          <w:tab w:val="left" w:pos="3645"/>
        </w:tab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Sample collection and quality</w:t>
      </w:r>
      <w:r w:rsidRPr="00186647">
        <w:rPr>
          <w:rFonts w:ascii="Arial" w:hAnsi="Arial" w:cs="Arial"/>
          <w:b/>
          <w:bCs/>
          <w:sz w:val="24"/>
          <w:szCs w:val="24"/>
        </w:rPr>
        <w:tab/>
      </w:r>
    </w:p>
    <w:p w14:paraId="66AAE462"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When asked about some of the challenges faced concerning the samples, the respondents highlighted that samples rejection occurred when samples were not separated, were insufficient and had problems with power supply.</w:t>
      </w:r>
    </w:p>
    <w:p w14:paraId="45087CC3" w14:textId="77777777"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i/>
          <w:iCs/>
          <w:color w:val="000000"/>
          <w:sz w:val="24"/>
          <w:szCs w:val="24"/>
        </w:rPr>
        <w:t>when samples are not collected properly, when the recommended amount is not collected and if the sample is not separated properly, this leads to rejection of that sample</w:t>
      </w:r>
      <w:r w:rsidRPr="00186647">
        <w:rPr>
          <w:rFonts w:ascii="Arial" w:hAnsi="Arial" w:cs="Arial"/>
          <w:color w:val="000000"/>
          <w:sz w:val="24"/>
          <w:szCs w:val="24"/>
        </w:rPr>
        <w:t xml:space="preserve">” (Referral laboratory staff). </w:t>
      </w:r>
    </w:p>
    <w:p w14:paraId="2B039710"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Proximity of facility</w:t>
      </w:r>
    </w:p>
    <w:p w14:paraId="43C71B8D"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The longer the distance the more the travel and transportation time. Some of the respondent identified this as another challenge that further increases the TAT, this makes it impossible for all facilities in the same state to have the same TAT, as some facilities will get their samples and results faster than others due to their proximity to the testing lab. </w:t>
      </w:r>
    </w:p>
    <w:p w14:paraId="4878C8CA"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lastRenderedPageBreak/>
        <w:t>…”</w:t>
      </w:r>
      <w:r w:rsidRPr="00186647">
        <w:rPr>
          <w:rFonts w:ascii="Arial" w:hAnsi="Arial" w:cs="Arial"/>
          <w:i/>
          <w:iCs/>
          <w:sz w:val="24"/>
          <w:szCs w:val="24"/>
        </w:rPr>
        <w:t xml:space="preserve"> you know that our hospital is very far from town, if we collect samples today, the riders can’t pick it up that day, sometimes it takes 2 to 3day before they can pick to ado and from ado it might not go on that same day, so you…” </w:t>
      </w:r>
      <w:r w:rsidRPr="00186647">
        <w:rPr>
          <w:rFonts w:ascii="Arial" w:hAnsi="Arial" w:cs="Arial"/>
          <w:sz w:val="24"/>
          <w:szCs w:val="24"/>
        </w:rPr>
        <w:t>(health facility worker).</w:t>
      </w:r>
    </w:p>
    <w:p w14:paraId="3D8F687D" w14:textId="77777777"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Stock out and equipment downtime</w:t>
      </w:r>
    </w:p>
    <w:p w14:paraId="41A85468" w14:textId="77777777" w:rsidR="009C3BD0" w:rsidRPr="00186647" w:rsidRDefault="009C3BD0" w:rsidP="009C3BD0">
      <w:pPr>
        <w:autoSpaceDE w:val="0"/>
        <w:autoSpaceDN w:val="0"/>
        <w:adjustRightInd w:val="0"/>
        <w:spacing w:after="160" w:line="360" w:lineRule="auto"/>
        <w:jc w:val="both"/>
        <w:rPr>
          <w:rFonts w:ascii="Arial" w:hAnsi="Arial" w:cs="Arial"/>
          <w:b/>
          <w:bCs/>
          <w:sz w:val="24"/>
          <w:szCs w:val="24"/>
          <w:u w:val="single"/>
        </w:rPr>
      </w:pPr>
      <w:r w:rsidRPr="00186647">
        <w:rPr>
          <w:rFonts w:ascii="Arial" w:hAnsi="Arial" w:cs="Arial"/>
          <w:sz w:val="24"/>
          <w:szCs w:val="24"/>
        </w:rPr>
        <w:t>Stock out and equipment downtime were also identified to affect TAT when discussing with the respondents.</w:t>
      </w:r>
    </w:p>
    <w:p w14:paraId="71BB012E" w14:textId="1B09A13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w:t>
      </w:r>
      <w:r w:rsidRPr="00186647">
        <w:rPr>
          <w:rFonts w:ascii="Arial" w:hAnsi="Arial" w:cs="Arial"/>
          <w:i/>
          <w:iCs/>
          <w:sz w:val="24"/>
          <w:szCs w:val="24"/>
        </w:rPr>
        <w:t>Any little trigger with electricity will get that machine down and nobody, as a lab scientist can fix the machine, you have to call the engineer. You call through the supporting IP (implementing partners) to get to the supplier of that machine. time of the reporting of the PCR lab, the time action will be taken and the time the engineer will be deployed to come and work, at the time the engineer will get it fixed is another time, so for that period, there is nothing coming out of the PCR lab, so if it is 2weeks they use in getting it sorted out, those samples will be there for 2weeks and the result will not come out until the following week, which is almost one month down the line</w:t>
      </w:r>
      <w:r w:rsidRPr="00186647">
        <w:rPr>
          <w:rFonts w:ascii="Arial" w:hAnsi="Arial" w:cs="Arial"/>
          <w:sz w:val="24"/>
          <w:szCs w:val="24"/>
        </w:rPr>
        <w:t xml:space="preserve">” (program coordinator) </w:t>
      </w:r>
    </w:p>
    <w:p w14:paraId="5B7A8A07" w14:textId="4404DF80" w:rsidR="009C3BD0" w:rsidRPr="00186647" w:rsidRDefault="009C3BD0" w:rsidP="009C3BD0">
      <w:pPr>
        <w:keepNext/>
        <w:keepLines/>
        <w:autoSpaceDE w:val="0"/>
        <w:autoSpaceDN w:val="0"/>
        <w:adjustRightInd w:val="0"/>
        <w:spacing w:before="120" w:after="120" w:line="360" w:lineRule="auto"/>
        <w:jc w:val="both"/>
        <w:rPr>
          <w:rFonts w:ascii="Arial" w:hAnsi="Arial" w:cs="Arial"/>
          <w:b/>
          <w:bCs/>
          <w:sz w:val="24"/>
          <w:szCs w:val="24"/>
        </w:rPr>
      </w:pPr>
      <w:r w:rsidRPr="00186647">
        <w:rPr>
          <w:rFonts w:ascii="Arial" w:hAnsi="Arial" w:cs="Arial"/>
          <w:b/>
          <w:bCs/>
          <w:sz w:val="24"/>
          <w:szCs w:val="24"/>
        </w:rPr>
        <w:t>Human factors</w:t>
      </w:r>
    </w:p>
    <w:p w14:paraId="25345FC4" w14:textId="7DE415FF" w:rsidR="009C3BD0" w:rsidRPr="00186647" w:rsidRDefault="009C3BD0" w:rsidP="009C3BD0">
      <w:pPr>
        <w:autoSpaceDE w:val="0"/>
        <w:autoSpaceDN w:val="0"/>
        <w:adjustRightInd w:val="0"/>
        <w:spacing w:after="160" w:line="360" w:lineRule="auto"/>
        <w:jc w:val="both"/>
        <w:rPr>
          <w:rFonts w:ascii="Arial" w:hAnsi="Arial" w:cs="Arial"/>
          <w:color w:val="000000"/>
          <w:sz w:val="24"/>
          <w:szCs w:val="24"/>
        </w:rPr>
      </w:pPr>
      <w:r w:rsidRPr="00186647">
        <w:rPr>
          <w:rFonts w:ascii="Arial" w:hAnsi="Arial" w:cs="Arial"/>
          <w:sz w:val="24"/>
          <w:szCs w:val="24"/>
        </w:rPr>
        <w:t>Many of the respondents mentioned the problem of insufficient remuneration and incentives for doing other job. The 3PLs operators mentioned the risk of travelling to the same route every day. Some others mention time taken to do paperwork. Also, it was observed that workers wanted to do their work at their convenience.</w:t>
      </w:r>
    </w:p>
    <w:p w14:paraId="525850E4"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w:t>
      </w:r>
      <w:r w:rsidRPr="00186647">
        <w:rPr>
          <w:rFonts w:ascii="Arial" w:hAnsi="Arial" w:cs="Arial"/>
          <w:i/>
          <w:iCs/>
          <w:sz w:val="24"/>
          <w:szCs w:val="24"/>
        </w:rPr>
        <w:t>like that time, it was crazy we were given a stipulated time to deliver 10,000 samples… in a year we do between 30,000-45,000. So, you can imagine, to deliver 10,000 sample within a short period... and so… nothing was coming from it, so at some point in time, no additional incentive” ...</w:t>
      </w:r>
      <w:r w:rsidRPr="00186647">
        <w:rPr>
          <w:rFonts w:ascii="Arial" w:hAnsi="Arial" w:cs="Arial"/>
          <w:sz w:val="24"/>
          <w:szCs w:val="24"/>
        </w:rPr>
        <w:t xml:space="preserve"> (referral lab staff)</w:t>
      </w:r>
    </w:p>
    <w:p w14:paraId="21241A84" w14:textId="77777777" w:rsidR="009C3BD0" w:rsidRPr="00186647" w:rsidRDefault="009C3BD0" w:rsidP="009C3BD0">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 “</w:t>
      </w:r>
      <w:r w:rsidRPr="00186647">
        <w:rPr>
          <w:rFonts w:ascii="Arial" w:hAnsi="Arial" w:cs="Arial"/>
          <w:i/>
          <w:iCs/>
          <w:sz w:val="24"/>
          <w:szCs w:val="24"/>
        </w:rPr>
        <w:t>I tell the riders to make sure they bring the CD</w:t>
      </w:r>
      <w:r w:rsidRPr="00186647">
        <w:rPr>
          <w:rFonts w:ascii="Arial" w:hAnsi="Arial" w:cs="Arial"/>
          <w:sz w:val="24"/>
          <w:szCs w:val="24"/>
          <w:vertAlign w:val="subscript"/>
        </w:rPr>
        <w:t>4</w:t>
      </w:r>
      <w:r w:rsidRPr="00186647">
        <w:rPr>
          <w:rFonts w:ascii="Arial" w:hAnsi="Arial" w:cs="Arial"/>
          <w:sz w:val="24"/>
          <w:szCs w:val="24"/>
        </w:rPr>
        <w:t xml:space="preserve"> </w:t>
      </w:r>
      <w:r w:rsidRPr="00186647">
        <w:rPr>
          <w:rFonts w:ascii="Arial" w:hAnsi="Arial" w:cs="Arial"/>
          <w:i/>
          <w:sz w:val="24"/>
          <w:szCs w:val="24"/>
        </w:rPr>
        <w:t>samples before 12noon so that I can run them before the end of the day</w:t>
      </w:r>
      <w:r w:rsidRPr="00186647">
        <w:rPr>
          <w:rFonts w:ascii="Arial" w:hAnsi="Arial" w:cs="Arial"/>
          <w:sz w:val="24"/>
          <w:szCs w:val="24"/>
        </w:rPr>
        <w:t>” (HUB staff)</w:t>
      </w:r>
    </w:p>
    <w:p w14:paraId="61B170F6" w14:textId="77777777" w:rsidR="00A408B0" w:rsidRPr="00186647" w:rsidRDefault="00A408B0">
      <w:pPr>
        <w:rPr>
          <w:rFonts w:ascii="Arial" w:hAnsi="Arial" w:cs="Arial"/>
          <w:sz w:val="24"/>
          <w:szCs w:val="24"/>
        </w:rPr>
      </w:pPr>
    </w:p>
    <w:p w14:paraId="1081172B" w14:textId="0572EDD4" w:rsidR="00F022CF" w:rsidRPr="00186647" w:rsidRDefault="00D0343C" w:rsidP="004D5976">
      <w:pPr>
        <w:rPr>
          <w:rFonts w:ascii="Arial" w:hAnsi="Arial" w:cs="Arial"/>
          <w:b/>
          <w:sz w:val="24"/>
          <w:szCs w:val="24"/>
        </w:rPr>
      </w:pPr>
      <w:r w:rsidRPr="00186647">
        <w:rPr>
          <w:rFonts w:ascii="Arial" w:hAnsi="Arial" w:cs="Arial"/>
          <w:b/>
          <w:sz w:val="24"/>
          <w:szCs w:val="24"/>
        </w:rPr>
        <w:t>Discussion</w:t>
      </w:r>
      <w:r w:rsidR="004527E3" w:rsidRPr="00186647">
        <w:rPr>
          <w:rFonts w:ascii="Arial" w:hAnsi="Arial" w:cs="Arial"/>
          <w:b/>
          <w:sz w:val="24"/>
          <w:szCs w:val="24"/>
        </w:rPr>
        <w:t xml:space="preserve"> </w:t>
      </w:r>
      <w:r w:rsidRPr="00186647">
        <w:rPr>
          <w:rFonts w:ascii="Arial" w:hAnsi="Arial" w:cs="Arial"/>
          <w:b/>
          <w:sz w:val="24"/>
          <w:szCs w:val="24"/>
        </w:rPr>
        <w:t xml:space="preserve"> </w:t>
      </w:r>
    </w:p>
    <w:p w14:paraId="4362930E" w14:textId="79189DD2"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This study aimed to assess the impact of pre-3PLs and 3PLs on viral load samples in the management of HIV/AIDS patients. Nine facilities of all 23 health facilities in Ekiti </w:t>
      </w:r>
      <w:r w:rsidRPr="00186647">
        <w:rPr>
          <w:rFonts w:ascii="Arial" w:hAnsi="Arial" w:cs="Arial"/>
          <w:sz w:val="24"/>
          <w:szCs w:val="24"/>
        </w:rPr>
        <w:lastRenderedPageBreak/>
        <w:t>state providing HIV treatment, care and support were studied.</w:t>
      </w:r>
      <w:r w:rsidRPr="00186647">
        <w:rPr>
          <w:rFonts w:ascii="Arial" w:hAnsi="Arial" w:cs="Arial"/>
          <w:color w:val="000000"/>
          <w:sz w:val="24"/>
          <w:szCs w:val="24"/>
        </w:rPr>
        <w:t xml:space="preserve"> Ten health facilities were selected based on the time available. </w:t>
      </w:r>
      <w:r w:rsidRPr="00186647">
        <w:rPr>
          <w:rFonts w:ascii="Arial" w:hAnsi="Arial" w:cs="Arial"/>
          <w:sz w:val="24"/>
          <w:szCs w:val="24"/>
        </w:rPr>
        <w:t xml:space="preserve">The studied health facilities had significantly reduced TAT during the period when 3PLs </w:t>
      </w:r>
      <w:r w:rsidR="004D5976" w:rsidRPr="00186647">
        <w:rPr>
          <w:rFonts w:ascii="Arial" w:hAnsi="Arial" w:cs="Arial"/>
          <w:sz w:val="24"/>
          <w:szCs w:val="24"/>
        </w:rPr>
        <w:t>are being</w:t>
      </w:r>
      <w:r w:rsidRPr="00186647">
        <w:rPr>
          <w:rFonts w:ascii="Arial" w:hAnsi="Arial" w:cs="Arial"/>
          <w:sz w:val="24"/>
          <w:szCs w:val="24"/>
        </w:rPr>
        <w:t xml:space="preserve"> used to transport samples and results when compared to the period before the inception of the 3PLs. </w:t>
      </w:r>
    </w:p>
    <w:p w14:paraId="37B05009" w14:textId="7F6C2625"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This study also identified factors other than transportation that could affect TAT.</w:t>
      </w:r>
      <w:r w:rsidR="00FF2CD2" w:rsidRPr="00186647">
        <w:rPr>
          <w:rFonts w:ascii="Arial" w:hAnsi="Arial" w:cs="Arial"/>
          <w:sz w:val="24"/>
          <w:szCs w:val="24"/>
        </w:rPr>
        <w:t xml:space="preserve"> Pre-3PLs samples were sent</w:t>
      </w:r>
      <w:r w:rsidRPr="00186647">
        <w:rPr>
          <w:rFonts w:ascii="Arial" w:hAnsi="Arial" w:cs="Arial"/>
          <w:sz w:val="24"/>
          <w:szCs w:val="24"/>
        </w:rPr>
        <w:t xml:space="preserve"> at a time convenient through public transport system with little or no standardized transportation procedures. The results take longer time because, results are only collected by the same staff on a subsequent visit. In addition, the problem of missing samples and sample rejection were high. These reasons can explain the longer TAT observed pre-3PL</w:t>
      </w:r>
      <w:r w:rsidR="00FF2CD2" w:rsidRPr="00186647">
        <w:rPr>
          <w:rFonts w:ascii="Arial" w:hAnsi="Arial" w:cs="Arial"/>
          <w:sz w:val="24"/>
          <w:szCs w:val="24"/>
        </w:rPr>
        <w:t xml:space="preserve"> but du</w:t>
      </w:r>
      <w:r w:rsidRPr="00186647">
        <w:rPr>
          <w:rFonts w:ascii="Arial" w:hAnsi="Arial" w:cs="Arial"/>
          <w:sz w:val="24"/>
          <w:szCs w:val="24"/>
        </w:rPr>
        <w:t>ring the 3PL period the reduction in TAT was evident</w:t>
      </w:r>
      <w:r w:rsidR="00FF2CD2" w:rsidRPr="00186647">
        <w:rPr>
          <w:rFonts w:ascii="Arial" w:hAnsi="Arial" w:cs="Arial"/>
          <w:sz w:val="24"/>
          <w:szCs w:val="24"/>
        </w:rPr>
        <w:t>.</w:t>
      </w:r>
      <w:r w:rsidRPr="00186647">
        <w:rPr>
          <w:rFonts w:ascii="Arial" w:hAnsi="Arial" w:cs="Arial"/>
          <w:sz w:val="24"/>
          <w:szCs w:val="24"/>
        </w:rPr>
        <w:t xml:space="preserve"> </w:t>
      </w:r>
    </w:p>
    <w:p w14:paraId="01FB3BD8" w14:textId="16B71C75"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In other studies that assessed the use of private organizations in the transportation of various types of clinical samples have recorded significant reduction in the TAT of these samples</w:t>
      </w:r>
      <w:r w:rsidR="004B660A" w:rsidRPr="00186647">
        <w:rPr>
          <w:rFonts w:ascii="Arial" w:hAnsi="Arial" w:cs="Arial"/>
          <w:sz w:val="24"/>
          <w:szCs w:val="24"/>
        </w:rPr>
        <w:t xml:space="preserve"> </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nqrxS1ct","properties":{"formattedCitation":"(12)","plainCitation":"(12)","dontUpdate":true,"noteIndex":0},"citationItems":[{"id":130,"uris":["http://zotero.org/users/local/SeKuys62/items/LLSU9Q28"],"uri":["http://zotero.org/users/local/SeKuys62/items/LLSU9Q28"],"itemData":{"id":130,"type":"article-journal","abstract":"Introduction Uganda scaled-up Early HIV Infant Diagnosis (EID) when simplified methods for testing of infants using dried blood spots (DBS) were adopted in 2006 and sample transport and management was therefore made feasible in rural settings. Before this time only 35% of the facilities that were providing EID services were reached through the national postal courier system, Posta Uganda. The transportation of samples during this scale-up, therefore, quickly became a challenge and varied from facility to facility as different methods were used to transport the samples. This study evaluates a novel specimen transport network system for EID testing. Methods A retrospective study was done in mid-2012 on 19 pilot hubs serving 616 health facilities in Uganda. The effect on sample-result turnaround time (TAT) and the cost of DBS sample transport on 876 sample-results was analyzed. Results The HUB network system provided increased access to EID services ranging from 36% to 51%, drastically reduced transportation costs by 62%, reduced turn-around times by 46.9% and by a further 46.2% through introduction of SMS printers. Conclusions The HUB model provides a functional, reliable and efficient national referral network against which other health system strengthening initiatives can be built to increase access to critical diagnostic and treatment monitoring services, improve the quality of laboratory and diagnostic services, with reduced turn-around times and improved quality of prevention and treatment programs thereby reducing long-term costs.","container-title":"PLOS ONE","DOI":"10.1371/journal.pone.0078609","ISSN":"1932-6203","issue":"11","journalAbbreviation":"PLOS ONE","language":"en","note":"publisher: Public Library of Science","page":"e78609","source":"PLoS Journals","title":"Uganda's New National Laboratory Sample Transport System: A Successful Model for Improving Access to Diagnostic Services for Early Infant HIV Diagnosis and Other Programs","title-short":"Uganda's New National Laboratory Sample Transport System","volume":"8","author":[{"family":"Kiyaga","given":"Charles"},{"family":"Sendagire","given":"Hakim"},{"family":"Joseph","given":"Eleanor"},{"family":"McConnell","given":"Ian"},{"family":"Grosz","given":"Jeff"},{"family":"Narayan","given":"Vijay"},{"family":"Esiru","given":"Godfrey"},{"family":"Elyanu","given":"Peter"},{"family":"Akol","given":"Zainab"},{"family":"Kirungi","given":"Wilford"},{"family":"Musinguzi","given":"Joshua"},{"family":"Opio","given":"Alex"}],"issued":{"date-parts":[["2013",11,13]]}}}],"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[12</w:t>
      </w:r>
      <w:r w:rsidR="004B660A" w:rsidRPr="00186647">
        <w:rPr>
          <w:rFonts w:ascii="Arial" w:hAnsi="Arial" w:cs="Arial"/>
          <w:sz w:val="24"/>
          <w:szCs w:val="24"/>
        </w:rPr>
        <w:fldChar w:fldCharType="end"/>
      </w:r>
      <w:r w:rsidR="004B660A" w:rsidRPr="00186647">
        <w:rPr>
          <w:rFonts w:ascii="Arial" w:hAnsi="Arial" w:cs="Arial"/>
          <w:sz w:val="24"/>
          <w:szCs w:val="24"/>
        </w:rPr>
        <w:t>,</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9JDFfcZC","properties":{"formattedCitation":"(13)","plainCitation":"(13)","dontUpdate":true,"noteIndex":0},"citationItems":[{"id":46,"uris":["http://zotero.org/users/local/SeKuys62/items/JTXAMDG3"],"uri":["http://zotero.org/users/local/SeKuys62/items/JTXAMDG3"],"itemData":{"id":46,"type":"article-journal","abstract":"Background. Nonstandardized specimen-transport logistics, lack of laboratory personnel to transport specimens, lack of standard specimen containers, and long turnaround time (TAT) hindered access to quality laboratory services. The objective of the Becton, Dickinson, and Company (BD)–US President’s Emergency Plan for AIDS Relief (PEPFAR) Public-Private Partnership (PPP) was to support country-speciﬁc programs to develop integrated laboratory systems, services, and quality improvement strategies, with an emphasis on strengthening the specimen-referral system (SRS).\nMethods. In 2007, through the Centers for Disease Control and Prevention (CDC), the Ethiopian Public Health Institute (EPHI) joined with the BD-PEPFAR PPP to strengthen laboratory systems. A joint planning and assessment committee identiﬁed gaps in the SRS for prioritization and intervention and piloted the system in Addis Ababa and Amhara Region.\nResults. The PPP established standardized, streamlined specimen logistics, using the Ethiopian Postal Service Enterprise to support a laboratory network in which 554 facilities referred specimens to 160 laboratories. The PPP supported procuring 400 standard specimen containers and the training of 586 laboratory personnel and 81 postal workers. The average TAT was reduced from 7 days (range, 2–14 days) to 2 days (range, 1–3 days) in Addis Ababa and from 10 days (range, 6–21 days) to 5 days (range, 2–6 days) in Amhara Region.\nConclusions. This study highlights the feasibility and untapped potential of PPPs to strengthen laboratory systems. This planned and structured approach to improving specimen referral enhanced access to quality laboratory services.","container-title":"Journal of Infectious Diseases","DOI":"10.1093/infdis/jiv576","ISSN":"0022-1899, 1537-6613","issue":"suppl 2","journalAbbreviation":"J Infect Dis.","language":"en","page":"S59-S64","source":"DOI.org (Crossref)","title":"Improved Specimen-Referral System and Increased Access to Quality Laboratory Services in Ethiopia: The Role of the Public-Private Partnership","title-short":"Improved Specimen-Referral System and Increased Access to Quality Laboratory Services in Ethiopia","volume":"213","author":[{"family":"Kebede","given":"Yenew"},{"family":"Fonjungo","given":"Peter N."},{"family":"Tibesso","given":"Gudeta"},{"family":"Shrivastava","given":"Ritu"},{"family":"Nkengasong","given":"John N."},{"family":"Kenyon","given":"Thomas"},{"family":"Kebede","given":"Amha"},{"family":"Gadde","given":"Renuka"},{"family":"Ayana","given":"Gonfa"}],"issued":{"date-parts":[["2016",4,15]]}}}],"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13</w:t>
      </w:r>
      <w:r w:rsidR="004B660A" w:rsidRPr="00186647">
        <w:rPr>
          <w:rFonts w:ascii="Arial" w:hAnsi="Arial" w:cs="Arial"/>
          <w:sz w:val="24"/>
          <w:szCs w:val="24"/>
        </w:rPr>
        <w:fldChar w:fldCharType="end"/>
      </w:r>
      <w:r w:rsidR="004B660A" w:rsidRPr="00186647">
        <w:rPr>
          <w:rFonts w:ascii="Arial" w:hAnsi="Arial" w:cs="Arial"/>
          <w:sz w:val="24"/>
          <w:szCs w:val="24"/>
        </w:rPr>
        <w:t>,</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M5ecwPqq","properties":{"formattedCitation":"(14)","plainCitation":"(14)","dontUpdate":true,"noteIndex":0},"citationItems":[{"id":129,"uris":["http://zotero.org/users/local/SeKuys62/items/E79WTBRC"],"uri":["http://zotero.org/users/local/SeKuys62/items/E79WTBRC"],"itemData":{"id":129,"type":"article-journal","abstract":"The quality of Tuberculosis (TB) laboratory diagnosis and effective treatment of pulmonary tuberculosis is dependent on the accessibility of TB patient to diagnosis and the quality of the sputum sample tested. This study assessed the impact of sputum samples logistics coordination on TB diagnosis in Nigeria. This laboratory-based descriptive cross-sectional study was carried out in the Federal Capital Territory Abuja –Nigeria, using a questionnaire to collect information from 32 laboratory personnel in all 16 GeneXpert laboratories in Abuja. Data was quantitatively and qualitatively analyzed through the use of tables and figures. Descriptive data analysis was carried out with SPSS version 24 and Microsoft Excel version 2016.The study found that sputum samples are being handled by the right set of professionals. However, most centres only give instructions to patients on how to obtain samples without adequate or proper monitoring system and patients are mostly allowed to cough out in open. It was also found that samples delivery and result collections are mostly handled by non-professionals (drivers and patients). The study discovered that 3PLs were the most reliable coordinators of sputum samples and results transport logistics but their involvement in the processes is very limited. It is therefore concluded that for better and effective sputum sample logistics coordination, total involvement of 3PLs is imperative as this will increase the quality of sample in line with standard guidelines, timely sample submission, and result pick-ups among other benefits.","language":"en","page":"8","source":"Zotero","title":"Impact of Sputum Samples Logistics Coordination on TB Diagnosis in Nigeria","author":[{"family":"Faith","given":"Ajani Olumide"},{"family":"Adeiye","given":"Ajani Love"},{"family":"Paul","given":"Abiodun Olaiya"},{"family":"Felix","given":"Olaniyi"},{"family":"Nwofe","given":"Justin Onyebuchi"},{"family":"Kaniki","given":"Freddy Rukema"},{"family":"Mansori","given":"Shaheen"}]}}],"schema":"https://github.com/citation-style-language/schema/raw/master/csl-citation.json"}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14</w:t>
      </w:r>
      <w:r w:rsidR="004B660A" w:rsidRPr="00186647">
        <w:rPr>
          <w:rFonts w:ascii="Arial" w:hAnsi="Arial" w:cs="Arial"/>
          <w:sz w:val="24"/>
          <w:szCs w:val="24"/>
        </w:rPr>
        <w:fldChar w:fldCharType="end"/>
      </w:r>
      <w:r w:rsidR="004B660A" w:rsidRPr="00186647">
        <w:rPr>
          <w:rFonts w:ascii="Arial" w:hAnsi="Arial" w:cs="Arial"/>
          <w:sz w:val="24"/>
          <w:szCs w:val="24"/>
        </w:rPr>
        <w:t>,</w:t>
      </w:r>
      <w:r w:rsidR="004B660A"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yWLnBE4F","properties":{"formattedCitation":"(15)","plainCitation":"(15)","dontUpdate":true,"noteIndex":0},"citationItems":[{"id":65,"uris":["http://zotero.org/users/local/SeKuys62/items/8ESQYCAU"],"uri":["http://zotero.org/users/local/SeKuys62/items/8ESQYCAU"],"itemData":{"id":65,"type":"article-journal","abstract":"Research in third-party logistics (3PL) has expanded rapidly in thepast fifteen years, providing a significant amount of empirical, survey-based 3PL research. The authors identifyforty-five such papers and thenexamine topics,methodologies, and analytical approaches toassess opportu nities for future research in thefield. As is common during the emerging stages of a research stream, the authors find thatmuch of the current 3PL literature has been exploratory in nature. The authors subsequently present several possible directions for enriching thefield for both researchers and practitioners, including the integration of extant theory and the use of more advanced methodologies and statistical analyses.","container-title":"Transportation Journal","issue":"2","language":"en","page":"23-38","source":"Zotero","title":"Opportunities for Research in Third-Party Logistics","volume":"45","author":[{"family":"MALONI","given":"MICHAEL J."},{"family":"CARTER","given":"CRAIG R."}],"issued":{"date-parts":[["2006"]]}}}],"schema":"https://github.com/citation-style-language/schema/raw/master/csl-citation.json"} </w:instrText>
      </w:r>
      <w:r w:rsidR="004B660A" w:rsidRPr="00186647">
        <w:rPr>
          <w:rFonts w:ascii="Arial" w:hAnsi="Arial" w:cs="Arial"/>
          <w:sz w:val="24"/>
          <w:szCs w:val="24"/>
        </w:rPr>
        <w:fldChar w:fldCharType="separate"/>
      </w:r>
      <w:r w:rsidR="004B660A" w:rsidRPr="00186647">
        <w:rPr>
          <w:rFonts w:ascii="Arial" w:hAnsi="Arial" w:cs="Arial"/>
          <w:sz w:val="24"/>
          <w:szCs w:val="24"/>
        </w:rPr>
        <w:t>15]</w:t>
      </w:r>
      <w:r w:rsidR="004B660A" w:rsidRPr="00186647">
        <w:rPr>
          <w:rFonts w:ascii="Arial" w:hAnsi="Arial" w:cs="Arial"/>
          <w:sz w:val="24"/>
          <w:szCs w:val="24"/>
        </w:rPr>
        <w:fldChar w:fldCharType="end"/>
      </w:r>
      <w:r w:rsidRPr="00186647">
        <w:rPr>
          <w:rFonts w:ascii="Arial" w:hAnsi="Arial" w:cs="Arial"/>
          <w:sz w:val="24"/>
          <w:szCs w:val="24"/>
        </w:rPr>
        <w:t>. A study conducted in Ethiopia, showed that the average TAT reduced from 7 days to 2 days in Addis Ababa and from 10 days to 5 days in Amhara Region</w:t>
      </w:r>
      <w:r w:rsidR="004B660A" w:rsidRPr="00186647">
        <w:rPr>
          <w:rFonts w:ascii="Arial" w:hAnsi="Arial" w:cs="Arial"/>
          <w:sz w:val="24"/>
          <w:szCs w:val="24"/>
        </w:rPr>
        <w:t xml:space="preserve"> </w:t>
      </w:r>
      <w:r w:rsidR="004B660A" w:rsidRPr="00186647">
        <w:rPr>
          <w:rFonts w:ascii="Arial" w:hAnsi="Arial" w:cs="Arial"/>
          <w:sz w:val="24"/>
          <w:szCs w:val="24"/>
        </w:rPr>
        <w:fldChar w:fldCharType="begin"/>
      </w:r>
      <w:r w:rsidR="004B660A" w:rsidRPr="00186647">
        <w:rPr>
          <w:rFonts w:ascii="Arial" w:hAnsi="Arial" w:cs="Arial"/>
          <w:sz w:val="24"/>
          <w:szCs w:val="24"/>
        </w:rPr>
        <w:instrText xml:space="preserve"> ADDIN ZOTERO_ITEM CSL_CITATION {"citationID":"a56qpIIi","properties":{"formattedCitation":"(13)","plainCitation":"(13)","noteIndex":0},"citationItems":[{"id":46,"uris":["http://zotero.org/users/local/SeKuys62/items/JTXAMDG3"],"uri":["http://zotero.org/users/local/SeKuys62/items/JTXAMDG3"],"itemData":{"id":46,"type":"article-journal","abstract":"Background. Nonstandardized specimen-transport logistics, lack of laboratory personnel to transport specimens, lack of standard specimen containers, and long turnaround time (TAT) hindered access to quality laboratory services. The objective of the Becton, Dickinson, and Company (BD)–US President’s Emergency Plan for AIDS Relief (PEPFAR) Public-Private Partnership (PPP) was to support country-speciﬁc programs to develop integrated laboratory systems, services, and quality improvement strategies, with an emphasis on strengthening the specimen-referral system (SRS).\nMethods. In 2007, through the Centers for Disease Control and Prevention (CDC), the Ethiopian Public Health Institute (EPHI) joined with the BD-PEPFAR PPP to strengthen laboratory systems. A joint planning and assessment committee identiﬁed gaps in the SRS for prioritization and intervention and piloted the system in Addis Ababa and Amhara Region.\nResults. The PPP established standardized, streamlined specimen logistics, using the Ethiopian Postal Service Enterprise to support a laboratory network in which 554 facilities referred specimens to 160 laboratories. The PPP supported procuring 400 standard specimen containers and the training of 586 laboratory personnel and 81 postal workers. The average TAT was reduced from 7 days (range, 2–14 days) to 2 days (range, 1–3 days) in Addis Ababa and from 10 days (range, 6–21 days) to 5 days (range, 2–6 days) in Amhara Region.\nConclusions. This study highlights the feasibility and untapped potential of PPPs to strengthen laboratory systems. This planned and structured approach to improving specimen referral enhanced access to quality laboratory services.","container-title":"Journal of Infectious Diseases","DOI":"10.1093/infdis/jiv576","ISSN":"0022-1899, 1537-6613","issue":"suppl 2","journalAbbreviation":"J Infect Dis.","language":"en","page":"S59-S64","source":"DOI.org (Crossref)","title":"Improved Specimen-Referral System and Increased Access to Quality Laboratory Services in Ethiopia: The Role of the Public-Private Partnership","title-short":"Improved Specimen-Referral System and Increased Access to Quality Laboratory Services in Ethiopia","volume":"213","author":[{"family":"Kebede","given":"Yenew"},{"family":"Fonjungo","given":"Peter N."},{"family":"Tibesso","given":"Gudeta"},{"family":"Shrivastava","given":"Ritu"},{"family":"Nkengasong","given":"John N."},{"family":"Kenyon","given":"Thomas"},{"family":"Kebede","given":"Amha"},{"family":"Gadde","given":"Renuka"},{"family":"Ayana","given":"Gonfa"}],"issued":{"date-parts":[["2016",4,15]]}}}],"schema":"https://github.com/citation-style-language/schema/raw/master/csl-citation.json"} </w:instrText>
      </w:r>
      <w:r w:rsidR="004B660A" w:rsidRPr="00186647">
        <w:rPr>
          <w:rFonts w:ascii="Arial" w:hAnsi="Arial" w:cs="Arial"/>
          <w:sz w:val="24"/>
          <w:szCs w:val="24"/>
        </w:rPr>
        <w:fldChar w:fldCharType="separate"/>
      </w:r>
      <w:r w:rsidR="00602945" w:rsidRPr="00186647">
        <w:rPr>
          <w:rFonts w:ascii="Arial" w:hAnsi="Arial" w:cs="Arial"/>
          <w:sz w:val="24"/>
          <w:szCs w:val="24"/>
        </w:rPr>
        <w:t>(13)</w:t>
      </w:r>
      <w:r w:rsidR="004B660A" w:rsidRPr="00186647">
        <w:rPr>
          <w:rFonts w:ascii="Arial" w:hAnsi="Arial" w:cs="Arial"/>
          <w:sz w:val="24"/>
          <w:szCs w:val="24"/>
        </w:rPr>
        <w:fldChar w:fldCharType="end"/>
      </w:r>
      <w:r w:rsidR="004B660A" w:rsidRPr="00186647">
        <w:rPr>
          <w:rFonts w:ascii="Arial" w:hAnsi="Arial" w:cs="Arial"/>
          <w:sz w:val="24"/>
          <w:szCs w:val="24"/>
        </w:rPr>
        <w:t>]</w:t>
      </w:r>
      <w:r w:rsidRPr="00186647">
        <w:rPr>
          <w:rFonts w:ascii="Arial" w:hAnsi="Arial" w:cs="Arial"/>
          <w:sz w:val="24"/>
          <w:szCs w:val="24"/>
        </w:rPr>
        <w:t>, with the introduction of public private partnership. Another study in Uganda, found that there was an increase from the 35% to 51% for samples analysis and the cost reduced by 62% while TAT was reduced by 46.9% with the improvement in EID transportation</w:t>
      </w:r>
      <w:r w:rsidR="004B660A" w:rsidRPr="00186647">
        <w:rPr>
          <w:rFonts w:ascii="Arial" w:hAnsi="Arial" w:cs="Arial"/>
          <w:sz w:val="24"/>
          <w:szCs w:val="24"/>
        </w:rPr>
        <w:t xml:space="preserve"> </w:t>
      </w:r>
      <w:r w:rsidR="004B660A" w:rsidRPr="00186647">
        <w:rPr>
          <w:rFonts w:ascii="Arial" w:hAnsi="Arial" w:cs="Arial"/>
          <w:sz w:val="24"/>
          <w:szCs w:val="24"/>
        </w:rPr>
        <w:fldChar w:fldCharType="begin"/>
      </w:r>
      <w:r w:rsidR="004B660A" w:rsidRPr="00186647">
        <w:rPr>
          <w:rFonts w:ascii="Arial" w:hAnsi="Arial" w:cs="Arial"/>
          <w:sz w:val="24"/>
          <w:szCs w:val="24"/>
        </w:rPr>
        <w:instrText xml:space="preserve"> ADDIN ZOTERO_ITEM CSL_CITATION {"citationID":"RKCHhftf","properties":{"formattedCitation":"(12)","plainCitation":"(12)","noteIndex":0},"citationItems":[{"id":130,"uris":["http://zotero.org/users/local/SeKuys62/items/LLSU9Q28"],"uri":["http://zotero.org/users/local/SeKuys62/items/LLSU9Q28"],"itemData":{"id":130,"type":"article-journal","abstract":"Introduction Uganda scaled-up Early HIV Infant Diagnosis (EID) when simplified methods for testing of infants using dried blood spots (DBS) were adopted in 2006 and sample transport and management was therefore made feasible in rural settings. Before this time only 35% of the facilities that were providing EID services were reached through the national postal courier system, Posta Uganda. The transportation of samples during this scale-up, therefore, quickly became a challenge and varied from facility to facility as different methods were used to transport the samples. This study evaluates a novel specimen transport network system for EID testing. Methods A retrospective study was done in mid-2012 on 19 pilot hubs serving 616 health facilities in Uganda. The effect on sample-result turnaround time (TAT) and the cost of DBS sample transport on 876 sample-results was analyzed. Results The HUB network system provided increased access to EID services ranging from 36% to 51%, drastically reduced transportation costs by 62%, reduced turn-around times by 46.9% and by a further 46.2% through introduction of SMS printers. Conclusions The HUB model provides a functional, reliable and efficient national referral network against which other health system strengthening initiatives can be built to increase access to critical diagnostic and treatment monitoring services, improve the quality of laboratory and diagnostic services, with reduced turn-around times and improved quality of prevention and treatment programs thereby reducing long-term costs.","container-title":"PLOS ONE","DOI":"10.1371/journal.pone.0078609","ISSN":"1932-6203","issue":"11","journalAbbreviation":"PLOS ONE","language":"en","note":"publisher: Public Library of Science","page":"e78609","source":"PLoS Journals","title":"Uganda's New National Laboratory Sample Transport System: A Successful Model for Improving Access to Diagnostic Services for Early Infant HIV Diagnosis and Other Programs","title-short":"Uganda's New National Laboratory Sample Transport System","volume":"8","author":[{"family":"Kiyaga","given":"Charles"},{"family":"Sendagire","given":"Hakim"},{"family":"Joseph","given":"Eleanor"},{"family":"McConnell","given":"Ian"},{"family":"Grosz","given":"Jeff"},{"family":"Narayan","given":"Vijay"},{"family":"Esiru","given":"Godfrey"},{"family":"Elyanu","given":"Peter"},{"family":"Akol","given":"Zainab"},{"family":"Kirungi","given":"Wilford"},{"family":"Musinguzi","given":"Joshua"},{"family":"Opio","given":"Alex"}],"issued":{"date-parts":[["2013",11,13]]}}}],"schema":"https://github.com/citation-style-language/schema/raw/master/csl-citation.json"} </w:instrText>
      </w:r>
      <w:r w:rsidR="004B660A" w:rsidRPr="00186647">
        <w:rPr>
          <w:rFonts w:ascii="Arial" w:hAnsi="Arial" w:cs="Arial"/>
          <w:sz w:val="24"/>
          <w:szCs w:val="24"/>
        </w:rPr>
        <w:fldChar w:fldCharType="separate"/>
      </w:r>
      <w:r w:rsidR="00602945" w:rsidRPr="00186647">
        <w:rPr>
          <w:rFonts w:ascii="Arial" w:hAnsi="Arial" w:cs="Arial"/>
          <w:sz w:val="24"/>
          <w:szCs w:val="24"/>
        </w:rPr>
        <w:t>(12)</w:t>
      </w:r>
      <w:r w:rsidR="004B660A" w:rsidRPr="00186647">
        <w:rPr>
          <w:rFonts w:ascii="Arial" w:hAnsi="Arial" w:cs="Arial"/>
          <w:sz w:val="24"/>
          <w:szCs w:val="24"/>
        </w:rPr>
        <w:fldChar w:fldCharType="end"/>
      </w:r>
      <w:r w:rsidR="004B660A" w:rsidRPr="00186647">
        <w:rPr>
          <w:rFonts w:ascii="Arial" w:hAnsi="Arial" w:cs="Arial"/>
          <w:sz w:val="24"/>
          <w:szCs w:val="24"/>
        </w:rPr>
        <w:t>]</w:t>
      </w:r>
      <w:r w:rsidRPr="00186647">
        <w:rPr>
          <w:rFonts w:ascii="Arial" w:hAnsi="Arial" w:cs="Arial"/>
          <w:sz w:val="24"/>
          <w:szCs w:val="24"/>
        </w:rPr>
        <w:t>. Another study in Nigeria, identified that Tuberculosis samples been handled by non-professionals always experience delay as compared to those transported by 3PLs</w:t>
      </w:r>
      <w:r w:rsidR="00602945" w:rsidRPr="00186647">
        <w:rPr>
          <w:rFonts w:ascii="Arial" w:hAnsi="Arial" w:cs="Arial"/>
          <w:sz w:val="24"/>
          <w:szCs w:val="24"/>
        </w:rPr>
        <w:t xml:space="preserve"> </w:t>
      </w:r>
      <w:r w:rsidR="00602945"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mAnRJER9","properties":{"formattedCitation":"(14)","plainCitation":"(14)","noteIndex":0},"citationItems":[{"id":129,"uris":["http://zotero.org/users/local/SeKuys62/items/E79WTBRC"],"uri":["http://zotero.org/users/local/SeKuys62/items/E79WTBRC"],"itemData":{"id":129,"type":"article-journal","abstract":"The quality of Tuberculosis (TB) laboratory diagnosis and effective treatment of pulmonary tuberculosis is dependent on the accessibility of TB patient to diagnosis and the quality of the sputum sample tested. This study assessed the impact of sputum samples logistics coordination on TB diagnosis in Nigeria. This laboratory-based descriptive cross-sectional study was carried out in the Federal Capital Territory Abuja –Nigeria, using a questionnaire to collect information from 32 laboratory personnel in all 16 GeneXpert laboratories in Abuja. Data was quantitatively and qualitatively analyzed through the use of tables and figures. Descriptive data analysis was carried out with SPSS version 24 and Microsoft Excel version 2016.The study found that sputum samples are being handled by the right set of professionals. However, most centres only give instructions to patients on how to obtain samples without adequate or proper monitoring system and patients are mostly allowed to cough out in open. It was also found that samples delivery and result collections are mostly handled by non-professionals (drivers and patients). The study discovered that 3PLs were the most reliable coordinators of sputum samples and results transport logistics but their involvement in the processes is very limited. It is therefore concluded that for better and effective sputum sample logistics coordination, total involvement of 3PLs is imperative as this will increase the quality of sample in line with standard guidelines, timely sample submission, and result pick-ups among other benefits.","language":"en","page":"8","source":"Zotero","title":"Impact of Sputum Samples Logistics Coordination on TB Diagnosis in Nigeria","author":[{"family":"Faith","given":"Ajani Olumide"},{"family":"Adeiye","given":"Ajani Love"},{"family":"Paul","given":"Abiodun Olaiya"},{"family":"Felix","given":"Olaniyi"},{"family":"Nwofe","given":"Justin Onyebuchi"},{"family":"Kaniki","given":"Freddy Rukema"},{"family":"Mansori","given":"Shaheen"}]}}],"schema":"https://github.com/citation-style-language/schema/raw/master/csl-citation.json"} </w:instrText>
      </w:r>
      <w:r w:rsidR="00602945" w:rsidRPr="00186647">
        <w:rPr>
          <w:rFonts w:ascii="Arial" w:hAnsi="Arial" w:cs="Arial"/>
          <w:sz w:val="24"/>
          <w:szCs w:val="24"/>
        </w:rPr>
        <w:fldChar w:fldCharType="separate"/>
      </w:r>
      <w:r w:rsidR="00602945" w:rsidRPr="00186647">
        <w:rPr>
          <w:rFonts w:ascii="Arial" w:hAnsi="Arial" w:cs="Arial"/>
          <w:sz w:val="24"/>
          <w:szCs w:val="24"/>
        </w:rPr>
        <w:t>(14)</w:t>
      </w:r>
      <w:r w:rsidR="00602945" w:rsidRPr="00186647">
        <w:rPr>
          <w:rFonts w:ascii="Arial" w:hAnsi="Arial" w:cs="Arial"/>
          <w:sz w:val="24"/>
          <w:szCs w:val="24"/>
        </w:rPr>
        <w:fldChar w:fldCharType="end"/>
      </w:r>
      <w:r w:rsidR="00602945" w:rsidRPr="00186647">
        <w:rPr>
          <w:rFonts w:ascii="Arial" w:hAnsi="Arial" w:cs="Arial"/>
          <w:sz w:val="24"/>
          <w:szCs w:val="24"/>
        </w:rPr>
        <w:t>]</w:t>
      </w:r>
      <w:r w:rsidRPr="00186647">
        <w:rPr>
          <w:rFonts w:ascii="Arial" w:hAnsi="Arial" w:cs="Arial"/>
          <w:sz w:val="24"/>
          <w:szCs w:val="24"/>
        </w:rPr>
        <w:t>. These are some of the expected outcomes when employing the services of 3PLs, such as service improvement, cost reduction and a desire by the organization that engage these 3PLs to focus on their own other non-logistics core competencies</w:t>
      </w:r>
      <w:r w:rsidR="00602945" w:rsidRPr="00186647">
        <w:rPr>
          <w:rFonts w:ascii="Arial" w:hAnsi="Arial" w:cs="Arial"/>
          <w:sz w:val="24"/>
          <w:szCs w:val="24"/>
        </w:rPr>
        <w:t xml:space="preserve"> </w:t>
      </w:r>
      <w:r w:rsidR="00602945" w:rsidRPr="00186647">
        <w:rPr>
          <w:rFonts w:ascii="Arial" w:hAnsi="Arial" w:cs="Arial"/>
          <w:sz w:val="24"/>
          <w:szCs w:val="24"/>
        </w:rPr>
        <w:fldChar w:fldCharType="begin"/>
      </w:r>
      <w:r w:rsidR="00602945" w:rsidRPr="00186647">
        <w:rPr>
          <w:rFonts w:ascii="Arial" w:hAnsi="Arial" w:cs="Arial"/>
          <w:sz w:val="24"/>
          <w:szCs w:val="24"/>
        </w:rPr>
        <w:instrText xml:space="preserve"> ADDIN ZOTERO_ITEM CSL_CITATION {"citationID":"rHgUmshJ","properties":{"formattedCitation":"(15)","plainCitation":"(15)","dontUpdate":true,"noteIndex":0},"citationItems":[{"id":65,"uris":["http://zotero.org/users/local/SeKuys62/items/8ESQYCAU"],"uri":["http://zotero.org/users/local/SeKuys62/items/8ESQYCAU"],"itemData":{"id":65,"type":"article-journal","abstract":"Research in third-party logistics (3PL) has expanded rapidly in thepast fifteen years, providing a significant amount of empirical, survey-based 3PL research. The authors identifyforty-five such papers and thenexamine topics,methodologies, and analytical approaches toassess opportu nities for future research in thefield. As is common during the emerging stages of a research stream, the authors find thatmuch of the current 3PL literature has been exploratory in nature. The authors subsequently present several possible directions for enriching thefield for both researchers and practitioners, including the integration of extant theory and the use of more advanced methodologies and statistical analyses.","container-title":"Transportation Journal","issue":"2","language":"en","page":"23-38","source":"Zotero","title":"Opportunities for Research in Third-Party Logistics","volume":"45","author":[{"family":"MALONI","given":"MICHAEL J."},{"family":"CARTER","given":"CRAIG R."}],"issued":{"date-parts":[["2006"]]}}}],"schema":"https://github.com/citation-style-language/schema/raw/master/csl-citation.json"} </w:instrText>
      </w:r>
      <w:r w:rsidR="00602945" w:rsidRPr="00186647">
        <w:rPr>
          <w:rFonts w:ascii="Arial" w:hAnsi="Arial" w:cs="Arial"/>
          <w:sz w:val="24"/>
          <w:szCs w:val="24"/>
        </w:rPr>
        <w:fldChar w:fldCharType="separate"/>
      </w:r>
      <w:r w:rsidR="00602945" w:rsidRPr="00186647">
        <w:rPr>
          <w:rFonts w:ascii="Arial" w:hAnsi="Arial" w:cs="Arial"/>
          <w:sz w:val="24"/>
          <w:szCs w:val="24"/>
        </w:rPr>
        <w:t>[15</w:t>
      </w:r>
      <w:r w:rsidR="00602945" w:rsidRPr="00186647">
        <w:rPr>
          <w:rFonts w:ascii="Arial" w:hAnsi="Arial" w:cs="Arial"/>
          <w:sz w:val="24"/>
          <w:szCs w:val="24"/>
        </w:rPr>
        <w:fldChar w:fldCharType="end"/>
      </w:r>
      <w:r w:rsidR="00602945" w:rsidRPr="00186647">
        <w:rPr>
          <w:rFonts w:ascii="Arial" w:hAnsi="Arial" w:cs="Arial"/>
          <w:sz w:val="24"/>
          <w:szCs w:val="24"/>
        </w:rPr>
        <w:t>]</w:t>
      </w:r>
      <w:r w:rsidRPr="00186647">
        <w:rPr>
          <w:rFonts w:ascii="Arial" w:hAnsi="Arial" w:cs="Arial"/>
          <w:sz w:val="24"/>
          <w:szCs w:val="24"/>
        </w:rPr>
        <w:t xml:space="preserve">. In this study significant reduction in TAT were observed when 3PLs transported samples which is comparable with finding from other studies. </w:t>
      </w:r>
    </w:p>
    <w:p w14:paraId="1E338764" w14:textId="77777777"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It was found in this study that other than transportation, there are some other factors which can affect TAT. These factors include </w:t>
      </w:r>
      <w:r w:rsidRPr="00186647">
        <w:rPr>
          <w:rFonts w:ascii="Arial" w:hAnsi="Arial" w:cs="Arial"/>
          <w:i/>
          <w:iCs/>
          <w:sz w:val="24"/>
          <w:szCs w:val="24"/>
        </w:rPr>
        <w:t>insufficient manpower</w:t>
      </w:r>
      <w:r w:rsidRPr="00186647">
        <w:rPr>
          <w:rFonts w:ascii="Arial" w:hAnsi="Arial" w:cs="Arial"/>
          <w:sz w:val="24"/>
          <w:szCs w:val="24"/>
        </w:rPr>
        <w:t xml:space="preserve">, </w:t>
      </w:r>
      <w:r w:rsidRPr="00186647">
        <w:rPr>
          <w:rFonts w:ascii="Arial" w:hAnsi="Arial" w:cs="Arial"/>
          <w:i/>
          <w:iCs/>
          <w:sz w:val="24"/>
          <w:szCs w:val="24"/>
        </w:rPr>
        <w:t>sample quality/integrity</w:t>
      </w:r>
      <w:r w:rsidRPr="00186647">
        <w:rPr>
          <w:rFonts w:ascii="Arial" w:hAnsi="Arial" w:cs="Arial"/>
          <w:sz w:val="24"/>
          <w:szCs w:val="24"/>
        </w:rPr>
        <w:t xml:space="preserve">, </w:t>
      </w:r>
      <w:r w:rsidRPr="00186647">
        <w:rPr>
          <w:rFonts w:ascii="Arial" w:hAnsi="Arial" w:cs="Arial"/>
          <w:i/>
          <w:iCs/>
          <w:sz w:val="24"/>
          <w:szCs w:val="24"/>
        </w:rPr>
        <w:t>reagent stockout and machine downtime</w:t>
      </w:r>
      <w:r w:rsidRPr="00186647">
        <w:rPr>
          <w:rFonts w:ascii="Arial" w:hAnsi="Arial" w:cs="Arial"/>
          <w:sz w:val="24"/>
          <w:szCs w:val="24"/>
        </w:rPr>
        <w:t xml:space="preserve">, </w:t>
      </w:r>
      <w:r w:rsidRPr="00186647">
        <w:rPr>
          <w:rFonts w:ascii="Arial" w:hAnsi="Arial" w:cs="Arial"/>
          <w:i/>
          <w:iCs/>
          <w:sz w:val="24"/>
          <w:szCs w:val="24"/>
        </w:rPr>
        <w:t>proximity of the health facility</w:t>
      </w:r>
      <w:r w:rsidRPr="00186647">
        <w:rPr>
          <w:rFonts w:ascii="Arial" w:hAnsi="Arial" w:cs="Arial"/>
          <w:sz w:val="24"/>
          <w:szCs w:val="24"/>
        </w:rPr>
        <w:t xml:space="preserve"> and </w:t>
      </w:r>
      <w:r w:rsidRPr="00186647">
        <w:rPr>
          <w:rFonts w:ascii="Arial" w:hAnsi="Arial" w:cs="Arial"/>
          <w:i/>
          <w:iCs/>
          <w:sz w:val="24"/>
          <w:szCs w:val="24"/>
        </w:rPr>
        <w:t>other human factors</w:t>
      </w:r>
      <w:r w:rsidRPr="00186647">
        <w:rPr>
          <w:rFonts w:ascii="Arial" w:hAnsi="Arial" w:cs="Arial"/>
          <w:sz w:val="24"/>
          <w:szCs w:val="24"/>
        </w:rPr>
        <w:t>.</w:t>
      </w:r>
    </w:p>
    <w:p w14:paraId="39DDCA78" w14:textId="27AED059"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color w:val="000000"/>
          <w:sz w:val="24"/>
          <w:szCs w:val="24"/>
        </w:rPr>
        <w:t xml:space="preserve">It was identified in a study that inadequate manpower has been seen to threaten </w:t>
      </w:r>
      <w:r w:rsidRPr="00186647">
        <w:rPr>
          <w:rFonts w:ascii="Arial" w:hAnsi="Arial" w:cs="Arial"/>
          <w:color w:val="000000"/>
          <w:sz w:val="24"/>
          <w:szCs w:val="24"/>
          <w:highlight w:val="white"/>
        </w:rPr>
        <w:t xml:space="preserve">the realization of plans for scaling up interventions to control the spread of diseases such </w:t>
      </w:r>
      <w:r w:rsidRPr="00186647">
        <w:rPr>
          <w:rFonts w:ascii="Arial" w:hAnsi="Arial" w:cs="Arial"/>
          <w:color w:val="000000"/>
          <w:sz w:val="24"/>
          <w:szCs w:val="24"/>
          <w:highlight w:val="white"/>
        </w:rPr>
        <w:lastRenderedPageBreak/>
        <w:t>as HIV/AIDS, malaria, and tuberculosis</w:t>
      </w:r>
      <w:r w:rsidRPr="00186647">
        <w:rPr>
          <w:rFonts w:ascii="Arial" w:hAnsi="Arial" w:cs="Arial"/>
          <w:color w:val="000000"/>
          <w:sz w:val="24"/>
          <w:szCs w:val="24"/>
        </w:rPr>
        <w:t xml:space="preserve"> in sub-Sahara Africa</w:t>
      </w:r>
      <w:r w:rsidR="00602945" w:rsidRPr="00186647">
        <w:rPr>
          <w:rFonts w:ascii="Arial" w:hAnsi="Arial" w:cs="Arial"/>
          <w:color w:val="000000"/>
          <w:sz w:val="24"/>
          <w:szCs w:val="24"/>
        </w:rPr>
        <w:t xml:space="preserve"> </w:t>
      </w:r>
      <w:r w:rsidR="00602945" w:rsidRPr="00186647">
        <w:rPr>
          <w:rFonts w:ascii="Arial" w:hAnsi="Arial" w:cs="Arial"/>
          <w:color w:val="000000"/>
          <w:sz w:val="24"/>
          <w:szCs w:val="24"/>
        </w:rPr>
        <w:fldChar w:fldCharType="begin"/>
      </w:r>
      <w:r w:rsidR="00602945" w:rsidRPr="00186647">
        <w:rPr>
          <w:rFonts w:ascii="Arial" w:hAnsi="Arial" w:cs="Arial"/>
          <w:color w:val="000000"/>
          <w:sz w:val="24"/>
          <w:szCs w:val="24"/>
        </w:rPr>
        <w:instrText xml:space="preserve"> ADDIN ZOTERO_ITEM CSL_CITATION {"citationID":"KadN4H55","properties":{"formattedCitation":"(16)","plainCitation":"(16)","dontUpdate":true,"noteIndex":0},"citationItems":[{"id":133,"uris":["http://zotero.org/users/local/SeKuys62/items/NJMLG4YB"],"uri":["http://zotero.org/users/local/SeKuys62/items/NJMLG4YB"],"itemData":{"id":133,"type":"article-journal","abstract":"There is a serious human resource crisis in the health sector in developing countries, particularly in Africa. One of the challenges is the low motivation of health workers.","container-title":"Human Resources for Health","DOI":"10.1186/1478-4491-4-24","ISSN":"1478-4491","issue":"1","journalAbbreviation":"Hum Resour Health","language":"en","page":"24","source":"Springer Link","title":"Health worker motivation in Africa: the role of non-financial incentives and human resource management tools","title-short":"Health worker motivation in Africa","volume":"4","author":[{"family":"Mathauer","given":"Inke"},{"family":"Imhoff","given":"Ingo"}],"issued":{"date-parts":[["2006",8,29]]}}}],"schema":"https://github.com/citation-style-language/schema/raw/master/csl-citation.json"} </w:instrText>
      </w:r>
      <w:r w:rsidR="00602945" w:rsidRPr="00186647">
        <w:rPr>
          <w:rFonts w:ascii="Arial" w:hAnsi="Arial" w:cs="Arial"/>
          <w:color w:val="000000"/>
          <w:sz w:val="24"/>
          <w:szCs w:val="24"/>
        </w:rPr>
        <w:fldChar w:fldCharType="separate"/>
      </w:r>
      <w:r w:rsidR="00602945" w:rsidRPr="00186647">
        <w:rPr>
          <w:rFonts w:ascii="Arial" w:hAnsi="Arial" w:cs="Arial"/>
          <w:sz w:val="24"/>
          <w:szCs w:val="24"/>
        </w:rPr>
        <w:t>[16</w:t>
      </w:r>
      <w:r w:rsidR="00602945" w:rsidRPr="00186647">
        <w:rPr>
          <w:rFonts w:ascii="Arial" w:hAnsi="Arial" w:cs="Arial"/>
          <w:color w:val="000000"/>
          <w:sz w:val="24"/>
          <w:szCs w:val="24"/>
        </w:rPr>
        <w:fldChar w:fldCharType="end"/>
      </w:r>
      <w:r w:rsidR="00602945" w:rsidRPr="00186647">
        <w:rPr>
          <w:rFonts w:ascii="Arial" w:hAnsi="Arial" w:cs="Arial"/>
          <w:color w:val="000000"/>
          <w:sz w:val="24"/>
          <w:szCs w:val="24"/>
        </w:rPr>
        <w:t>]</w:t>
      </w:r>
      <w:r w:rsidRPr="00186647">
        <w:rPr>
          <w:rFonts w:ascii="Arial" w:hAnsi="Arial" w:cs="Arial"/>
          <w:color w:val="000000"/>
          <w:sz w:val="24"/>
          <w:szCs w:val="24"/>
        </w:rPr>
        <w:t>. The problem of inadequate supply, poor distribution, low </w:t>
      </w:r>
      <w:hyperlink r:id="rId10" w:history="1">
        <w:r w:rsidRPr="00186647">
          <w:rPr>
            <w:rFonts w:ascii="Arial" w:hAnsi="Arial" w:cs="Arial"/>
            <w:color w:val="000000"/>
            <w:sz w:val="24"/>
            <w:szCs w:val="24"/>
          </w:rPr>
          <w:t>remuneration</w:t>
        </w:r>
      </w:hyperlink>
      <w:r w:rsidRPr="00186647">
        <w:rPr>
          <w:rFonts w:ascii="Arial" w:hAnsi="Arial" w:cs="Arial"/>
          <w:color w:val="000000"/>
          <w:sz w:val="24"/>
          <w:szCs w:val="24"/>
        </w:rPr>
        <w:t> and accelerated migration of skilled health workers are increasingly regarded as key systems constraints to scaling up of </w:t>
      </w:r>
      <w:hyperlink r:id="rId11" w:history="1">
        <w:r w:rsidRPr="00186647">
          <w:rPr>
            <w:rFonts w:ascii="Arial" w:hAnsi="Arial" w:cs="Arial"/>
            <w:color w:val="000000"/>
            <w:sz w:val="24"/>
            <w:szCs w:val="24"/>
          </w:rPr>
          <w:t>HIV</w:t>
        </w:r>
      </w:hyperlink>
      <w:r w:rsidRPr="00186647">
        <w:rPr>
          <w:rFonts w:ascii="Arial" w:hAnsi="Arial" w:cs="Arial"/>
          <w:color w:val="000000"/>
          <w:sz w:val="24"/>
          <w:szCs w:val="24"/>
        </w:rPr>
        <w:t> treatment identified in Africa</w:t>
      </w:r>
      <w:r w:rsidR="00602945" w:rsidRPr="00186647">
        <w:rPr>
          <w:rFonts w:ascii="Arial" w:hAnsi="Arial" w:cs="Arial"/>
          <w:color w:val="000000"/>
          <w:sz w:val="24"/>
          <w:szCs w:val="24"/>
        </w:rPr>
        <w:t xml:space="preserve"> </w:t>
      </w:r>
      <w:r w:rsidR="00602945" w:rsidRPr="00186647">
        <w:rPr>
          <w:rFonts w:ascii="Arial" w:hAnsi="Arial" w:cs="Arial"/>
          <w:color w:val="000000"/>
          <w:sz w:val="24"/>
          <w:szCs w:val="24"/>
        </w:rPr>
        <w:fldChar w:fldCharType="begin"/>
      </w:r>
      <w:r w:rsidR="00602945" w:rsidRPr="00186647">
        <w:rPr>
          <w:rFonts w:ascii="Arial" w:hAnsi="Arial" w:cs="Arial"/>
          <w:color w:val="000000"/>
          <w:sz w:val="24"/>
          <w:szCs w:val="24"/>
        </w:rPr>
        <w:instrText xml:space="preserve"> ADDIN ZOTERO_ITEM CSL_CITATION {"citationID":"rdlzRN2R","properties":{"formattedCitation":"(17)","plainCitation":"(17)","dontUpdate":true,"noteIndex":0},"citationItems":[{"id":135,"uris":["http://zotero.org/users/local/SeKuys62/items/M92SYI8N"],"uri":["http://zotero.org/users/local/SeKuys62/items/M92SYI8N"],"itemData":{"id":135,"type":"article-journal","abstract":"Without strengthened health systems, significant access to antiretroviral (ARV) therapy in many developing countries is unlikely to be achieved. This paper reflects on systemic challenges to scaling up ARV access in countries with both massive epidemics and weak health systems. It draws on the authors' experience in southern Africa and the World Health Organization's framework on health system performance. Whilst acknowledging the still significant gap in financing, the paper focuses on the challenges of reorienting service delivery towards chronic disease care and the human resource crisis in health systems. Inadequate supply, poor distribution, low remuneration and accelerated migration of skilled health workers are increasingly regarded as key systems constraints to scaling up of HIV treatment. Problems, however, go beyond the issue of numbers to include productivity and cultures of service delivery. As more countries receive funds for antiretroviral access programmes, strong national stewardship of these programmes becomes increasingly necessary. The paper proposes a set of short- and long-term stewardship tasks, which include resisting the verticalisation of HIV treatment, the evaluation of community health workers and their potential role in HIV treatment access, international action on the brain drain, and greater investment in national human resource functions of planning, production, remuneration and management.\nRésumé\nSeul un renforcement des systèmes de santé permettra à nombre de pays en développement de garantir un large accès à la thérapie antirétrovirale. Cet article réfléchit aux obstacles systémiques contrariant l'accès aux ARV dans des pays où l'épidémie est massive et les systèmes de santé faibles. Il est fondé sur l'expérience des auteurs en Afrique australe et sur le cadre de l'OMS pour l'évaluation de la performance des systèmes de santé. Tout en constatant la persistance des manques financiers, l'article se concentre sur la réorientation des services vers le traitement des maladies chroniques et la crise des ressources humaines dans les systèmes de santé. Des facteurs comme la pénurie de personnel, la distribution inégale, la faible rémunération et la migration accélérée des agents de santé qualifiés sont de plus en plus considérés comme des obstacles systémiques clés à l'élargissement du traitement du VIH. Néanmoins, les problèmes dépassent la question de l'offre pour inclure la productivité et les cultures de la prestation des services. À mesure que davantage de pays reçoivent des fonds pour les programmes d'accès aux antirétroviraux, un fort encadrement national de ces programmes devient de plus en plus nécessaire. L'article propose un ensemble de tâches de supervision à court et long terme, notamment s'opposer à la verticalisation du traitement du VIH, évaluer les agents de santé communautaires et leur rôle potentiel dans l'accès au traitement du VIH, mener une action internationale sur l'exode des cadres et investir davantage dans les fonctions nationales des ressources humaines en matière de planification, production, rémunération et gestion.\nResumen\nEn muchos países en desarrollo, es improbable que se logre mayor acceso a la terapia antirretroviral (ARV) sin antes fortalecer los sistemas de salud. En este artículo, basado en la experiencia de los autores en África meridional y en el marco de la Organización Mundial de la Salud sobre el desempeño de los sistemas sanitarios, se reflexiona sobre los retos sistémicos relacionados con la ampliación del acceso a los ARV en los países con grandes epidemias y sistemas de salud deficientes. Aunque se reconoce la brecha aún considerable en financiamiento, se destacan los retos en reorientar la prestación de servicios hacia el tratamiento de enfermedades crónicas y la crisis de recursos humanos en los sistemas de salud. El suministro inadecuado, la deficiente distribución, la baja remuneración y la acelerada migración de los trabajadores sanitarios calificados, son considerados cada vez más como limitaciones clave de los sistemas en la ampliación del tratamiento del VIH. Otos problemas son la productividad y las culturas de prestación de servicios. A medida que más países reciben fondos para los programas de acceso a los ARV, también aumenta la necesidad de contar con una sólida administración nacional de esos programas. En este artículo se propone una serie de tareas administrativas de corto y largo plazo: resistencia a la verticalización del tratamiento del VIH, evaluación de los trabajadores de la salud comunitarios y su posible función en ampliar el acceso al tratamiento del VIH, acción internacional respecto al éxodo de profesionales y una mayor inversión en las funciones de planificación, producción, remuneración y administración de los recursos humanos nacionales.","container-title":"Reproductive Health Matters","DOI":"10.1016/S0968-8080(06)27232-X","ISSN":"0968-8080","issue":"27","journalAbbreviation":"Reproductive Health Matters","language":"en","page":"12-23","source":"ScienceDirect","title":"Health Systems and Access to Antiretroviral Drugs for HIV in Southern Africa: Service Delivery and Human Resources Challenges","title-short":"Health Systems and Access to Antiretroviral Drugs for HIV in Southern Africa","volume":"14","author":[{"family":"Schneider","given":"Helen"},{"family":"Blaauw","given":"Duane"},{"family":"Gilson","given":"Lucy"},{"family":"Chabikuli","given":"Nzapfurundi"},{"family":"Goudge","given":"Jane"}],"issued":{"date-parts":[["2006",5,1]]}}}],"schema":"https://github.com/citation-style-language/schema/raw/master/csl-citation.json"} </w:instrText>
      </w:r>
      <w:r w:rsidR="00602945" w:rsidRPr="00186647">
        <w:rPr>
          <w:rFonts w:ascii="Arial" w:hAnsi="Arial" w:cs="Arial"/>
          <w:color w:val="000000"/>
          <w:sz w:val="24"/>
          <w:szCs w:val="24"/>
        </w:rPr>
        <w:fldChar w:fldCharType="separate"/>
      </w:r>
      <w:r w:rsidR="00602945" w:rsidRPr="00186647">
        <w:rPr>
          <w:rFonts w:ascii="Arial" w:hAnsi="Arial" w:cs="Arial"/>
          <w:sz w:val="24"/>
          <w:szCs w:val="24"/>
        </w:rPr>
        <w:t>[17</w:t>
      </w:r>
      <w:r w:rsidR="00602945" w:rsidRPr="00186647">
        <w:rPr>
          <w:rFonts w:ascii="Arial" w:hAnsi="Arial" w:cs="Arial"/>
          <w:color w:val="000000"/>
          <w:sz w:val="24"/>
          <w:szCs w:val="24"/>
        </w:rPr>
        <w:fldChar w:fldCharType="end"/>
      </w:r>
      <w:r w:rsidR="00602945" w:rsidRPr="00186647">
        <w:rPr>
          <w:rFonts w:ascii="Arial" w:hAnsi="Arial" w:cs="Arial"/>
          <w:color w:val="000000"/>
          <w:sz w:val="24"/>
          <w:szCs w:val="24"/>
        </w:rPr>
        <w:t>]</w:t>
      </w:r>
      <w:r w:rsidRPr="00186647">
        <w:rPr>
          <w:rFonts w:ascii="Arial" w:hAnsi="Arial" w:cs="Arial"/>
          <w:sz w:val="24"/>
          <w:szCs w:val="24"/>
        </w:rPr>
        <w:t>. Studies have shown that specimen integrity is a cornerstone of a quality viral load test</w:t>
      </w:r>
      <w:r w:rsidR="00602945" w:rsidRPr="00186647">
        <w:rPr>
          <w:rFonts w:ascii="Arial" w:hAnsi="Arial" w:cs="Arial"/>
          <w:sz w:val="24"/>
          <w:szCs w:val="24"/>
        </w:rPr>
        <w:t xml:space="preserve"> </w:t>
      </w:r>
      <w:r w:rsidR="00602945"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sa4EXZl7","properties":{"formattedCitation":"(18)","plainCitation":"(18)","dontUpdate":true,"noteIndex":0},"citationItems":[{"id":30,"uris":["http://zotero.org/users/local/SeKuys62/items/Y9DCPVYN"],"uri":["http://zotero.org/users/local/SeKuys62/items/Y9DCPVYN"],"itemData":{"id":30,"type":"article-journal","container-title":"American Journal of Clinical Pathology","DOI":"10.1309/AJCPYHBT9OQRM8DX","ISSN":"0002-9173, 1943-7722","issue":"5","journalAbbreviation":"Am J Clin Pathol","language":"en","page":"724-729","source":"DOI.org (Crossref)","title":"Determination of Turnaround Time in the Clinical Laboratory: “Accessioning-to-Result” Time Does Not Always Accurately Reflect Laboratory Performance","title-short":"Determination of Turnaround Time in the Clinical Laboratory","volume":"138","author":[{"family":"Stotler","given":"Brie A."},{"family":"Kratz","given":"Alexander"}],"issued":{"date-parts":[["2012",11]]}}}],"schema":"https://github.com/citation-style-language/schema/raw/master/csl-citation.json"} </w:instrText>
      </w:r>
      <w:r w:rsidR="00602945" w:rsidRPr="00186647">
        <w:rPr>
          <w:rFonts w:ascii="Arial" w:hAnsi="Arial" w:cs="Arial"/>
          <w:sz w:val="24"/>
          <w:szCs w:val="24"/>
        </w:rPr>
        <w:fldChar w:fldCharType="separate"/>
      </w:r>
      <w:r w:rsidR="00517B1A" w:rsidRPr="00186647">
        <w:rPr>
          <w:rFonts w:ascii="Arial" w:hAnsi="Arial" w:cs="Arial"/>
          <w:sz w:val="24"/>
          <w:szCs w:val="24"/>
        </w:rPr>
        <w:t>[</w:t>
      </w:r>
      <w:r w:rsidR="00602945" w:rsidRPr="00186647">
        <w:rPr>
          <w:rFonts w:ascii="Arial" w:hAnsi="Arial" w:cs="Arial"/>
          <w:sz w:val="24"/>
          <w:szCs w:val="24"/>
        </w:rPr>
        <w:t>18</w:t>
      </w:r>
      <w:r w:rsidR="00602945" w:rsidRPr="00186647">
        <w:rPr>
          <w:rFonts w:ascii="Arial" w:hAnsi="Arial" w:cs="Arial"/>
          <w:sz w:val="24"/>
          <w:szCs w:val="24"/>
        </w:rPr>
        <w:fldChar w:fldCharType="end"/>
      </w:r>
      <w:r w:rsidR="00602945" w:rsidRPr="00186647">
        <w:rPr>
          <w:rFonts w:ascii="Arial" w:hAnsi="Arial" w:cs="Arial"/>
          <w:sz w:val="24"/>
          <w:szCs w:val="24"/>
        </w:rPr>
        <w:t>,</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DE9hMR2n","properties":{"formattedCitation":"(19)","plainCitation":"(19)","dontUpdate":true,"noteIndex":0},"citationItems":[{"id":80,"uris":["http://zotero.org/users/local/SeKuys62/items/8XHKEC4P"],"uri":["http://zotero.org/users/local/SeKuys62/items/8XHKEC4P"],"itemData":{"id":80,"type":"article-journal","abstract":"Objective:  The aim of this study was to assess the magnitude, trend and reasons of rejection among referred specimens through referral network to the Amhara Public Health Institute (APHI) for laboratory testing. Results:  A total of 42,923 specimens were received at APHI reference laboratories. Of which, 221 (0.5%) specimens were rejected. CD4, HIV viral load, genexpert and EID specimens’ rejection rates were 0.7%, 0.6%, 0.3% and 0.2%, respectively. CD4 specimens were rejected due to wrong package (84.2%) and presence of clots (15.8%). Un-centrifuge (46.9%), hemolysis (19.8%) and use of wrong tube (17.7%) were the main rejection reasons for HIV viral load specimens. Although viral load specimen rejection was improved from 1.8 to 0% up to February/2018, the problem was reoccurred and continued to the end of May (1.3%) and June (0.3%) 2018. Moreover, CD4 specimen rejection (4.3%) was out of the established target in May, and exposed infant diagnosis (EID) specimen rejection became increased since March 2018. Hence, appropriate corrective and preventive actions and close follow up could reduce the problem of specimen referral network.","container-title":"BMC Research Notes","DOI":"10.1186/s13104-018-3891-7","ISSN":"1756-0500","issue":"1","journalAbbreviation":"BMC Res Notes","language":"en","page":"781","source":"DOI.org (Crossref)","title":"Specimen rejections among referred specimens through referral network to the Amhara Public Health Institute for laboratory testing, Bahir Dar, Ethiopia","volume":"11","author":[{"family":"Shiferaw","given":"Melashu Balew"},{"family":"Yismaw","given":"Gizachew"},{"family":"Getachew","given":"Hailu"}],"issued":{"date-parts":[["2018",12]]}}}],"schema":"https://github.com/citation-style-language/schema/raw/master/csl-citation.json"}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19</w:t>
      </w:r>
      <w:r w:rsidR="00517B1A" w:rsidRPr="00186647">
        <w:rPr>
          <w:rFonts w:ascii="Arial" w:hAnsi="Arial" w:cs="Arial"/>
          <w:sz w:val="24"/>
          <w:szCs w:val="24"/>
        </w:rPr>
        <w:fldChar w:fldCharType="end"/>
      </w:r>
      <w:r w:rsidR="00602945" w:rsidRPr="00186647">
        <w:rPr>
          <w:rFonts w:ascii="Arial" w:hAnsi="Arial" w:cs="Arial"/>
          <w:sz w:val="24"/>
          <w:szCs w:val="24"/>
        </w:rPr>
        <w:t>]</w:t>
      </w:r>
      <w:r w:rsidRPr="00186647">
        <w:rPr>
          <w:rFonts w:ascii="Arial" w:hAnsi="Arial" w:cs="Arial"/>
          <w:sz w:val="24"/>
          <w:szCs w:val="24"/>
        </w:rPr>
        <w:t>, and ways to protect this integrity is by collecting the samples appropriately. When the specimen is not collected correctly, it leads to rejection and will in turn increase the TAT of that sample. In a Nepal study, 15.5% of patients did not get their results at the predefined time due to sample related factors</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AVY8NQqR","properties":{"formattedCitation":"(20)","plainCitation":"(20)","dontUpdate":true,"noteIndex":0},"citationItems":[{"id":34,"uris":["http://zotero.org/users/local/SeKuys62/items/GBTVF3FR"],"uri":["http://zotero.org/users/local/SeKuys62/items/GBTVF3FR"],"itemData":{"id":34,"type":"article-journal","abstract":"Background The turnaround time (TAT) as defined by most of the laboratories is the time interval between the specimens received in the laboratory to the time of reports dispatched with verification. Nearly 80% of hospital-attached clinical laboratories receive complaints about delayed TAT. Reporting in time is a crucial indicator of quality services along with accurate, precise and reliable reports, thus each clinical laboratory should identify affecting factors to eliminate them for the enhancement of quality services.","language":"en","page":"11","source":"Zotero","title":"Factors affecting turnaround time in the clinical laboratory of the Kathmandu University Hospital, Nepal","author":[{"family":"Bhatt","given":"Rajendra Dev"},{"family":"Shrestha","given":"Chandani"},{"family":"Risal","given":"Prabodh"}]}}],"schema":"https://github.com/citation-style-language/schema/raw/master/csl-citation.json"}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[20</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A study in Ethiopia, which found that repeated reagent stock out was one of the reasons for result delays in the testing lab</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dKTo7Xx7","properties":{"formattedCitation":"(21)","plainCitation":"(21)","dontUpdate":true,"noteIndex":0},"citationItems":[{"id":124,"uris":["http://zotero.org/users/local/SeKuys62/items/URR9LXVK"],"uri":["http://zotero.org/users/local/SeKuys62/items/URR9LXVK"],"itemData":{"id":124,"type":"article-journal","abstract":"Clinical decisions depend on timely laboratory result reporting. The timeliness is commonly expressed in turnaround time and serves as a quality improvement tool to assess the effectiveness and efficiency of the laboratory. According to the International Organization for Standardization (ISO) guidelines, each laboratory shall establish turnaround times for each of its examinations that reflect clinical needs, and shall periodically evaluate whether or not it is meeting the established turnaround times. Therefore, this study aimed to assess the TAT of laboratory results done in the reference laboratories of the Amhara Public Health Institute, Bahir Dar, Ethiopia.","container-title":"BMC Health Services Research","DOI":"10.1186/s12913-019-4077-2","ISSN":"1472-6963","issue":"1","journalAbbreviation":"BMC Health Serv Res","language":"en","page":"240","source":"Springer Link","title":"Magnitude of delayed turnaround time of laboratory results in Amhara Public Health Institute, Bahir Dar, Ethiopia","volume":"19","author":[{"family":"Shiferaw","given":"Melashu Balew"},{"family":"Yismaw","given":"Gizachew"}],"issued":{"date-parts":[["2019",4,24]]}}}],"schema":"https://github.com/citation-style-language/schema/raw/master/csl-citation.json"}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[21</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and in Nepal 11.4% of patient reports were delayed due to irregular maintenance or lack of properly functioning of equipment/analyzers</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mISG8Z2Y","properties":{"formattedCitation":"(20)","plainCitation":"(20)","dontUpdate":true,"noteIndex":0},"citationItems":[{"id":34,"uris":["http://zotero.org/users/local/SeKuys62/items/GBTVF3FR"],"uri":["http://zotero.org/users/local/SeKuys62/items/GBTVF3FR"],"itemData":{"id":34,"type":"article-journal","abstract":"Background The turnaround time (TAT) as defined by most of the laboratories is the time interval between the specimens received in the laboratory to the time of reports dispatched with verification. Nearly 80% of hospital-attached clinical laboratories receive complaints about delayed TAT. Reporting in time is a crucial indicator of quality services along with accurate, precise and reliable reports, thus each clinical laboratory should identify affecting factors to eliminate them for the enhancement of quality services.","language":"en","page":"11","source":"Zotero","title":"Factors affecting turnaround time in the clinical laboratory of the Kathmandu University Hospital, Nepal","author":[{"family":"Bhatt","given":"Rajendra Dev"},{"family":"Shrestha","given":"Chandani"},{"family":"Risal","given":"Prabodh"}]}}],"schema":"https://github.com/citation-style-language/schema/raw/master/csl-citation.json"}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[20</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In India, another study identified factors such as machine breakdown and interrupted electricity and water supply also contributed to prolonged TAT</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9K5KBt6x","properties":{"formattedCitation":"(22)","plainCitation":"(22)","dontUpdate":true,"noteIndex":0},"citationItems":[{"id":88,"uris":["http://zotero.org/users/local/SeKuys62/items/7KZL3VYA"],"uri":["http://zotero.org/users/local/SeKuys62/items/7KZL3VYA"],"itemData":{"id":88,"type":"article-journal","abstract":"Laboratory analytical turnaround time is a reliable indicator of laboratory effectiveness. Our study aimed to evaluate laboratory analytical turnaround time in our laboratory and appraise the contribution of the different phases of analysis towards the same. The turn around time (TAT) for all the samples (both routine and emergency) for the outpatient and hospitalized patients were evaluated for one year. TAT was calculated from sample reception to report dispatch. The average TAT for the clinical biochemistry samples was 5.5 h for routine inpatient samples while the TAT for the outpatient samples was 24 h. The turnaround time for stat samples was 1 h. Pre- and Postanalytical phases were found to contribute approximately 75% to the total TAT. The TAT demonstrates the need for improvement in the pre- and post-analytical periods. We need to tread the middle path to perform optimally according to clinician expectations.","container-title":"Indian Journal of Clinical Biochemistry","DOI":"10.1007/s12291-010-0056-4","ISSN":"0970-1915, 0974-0422","issue":"4","journalAbbreviation":"Ind J Clin Biochem","language":"en","page":"376-379","source":"DOI.org (Crossref)","title":"Turn Around Time (TAT) as a Benchmark of Laboratory Performance","volume":"25","author":[{"family":"Goswami","given":"Binita"},{"family":"Singh","given":"Bhawna"},{"family":"Chawla","given":"Ranjna"},{"family":"Gupta","given":"V. K."},{"family":"Mallika","given":"V."}],"issued":{"date-parts":[["2010",10]]}}}],"schema":"https://github.com/citation-style-language/schema/raw/master/csl-citation.json"}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[22</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Evidence have shown that pre-analytical phase of laboratory testing accounts for over 70% of the TAT. A study in Malawi, found that the absence of a molecular testing laboratory in the collection district, specimen type and testing laboratory appeared to contribute to longer TAT</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517B1A" w:rsidRPr="00186647">
        <w:rPr>
          <w:rFonts w:ascii="Arial" w:hAnsi="Arial" w:cs="Arial"/>
          <w:sz w:val="24"/>
          <w:szCs w:val="24"/>
        </w:rPr>
        <w:instrText xml:space="preserve"> ADDIN ZOTERO_ITEM CSL_CITATION {"citationID":"4gjc32nG","properties":{"formattedCitation":"(23)","plainCitation":"(23)","dontUpdate":true,"noteIndex":0},"citationItems":[{"id":75,"uris":["http://zotero.org/users/local/SeKuys62/items/5KPCBHCP"],"uri":["http://zotero.org/users/local/SeKuys62/items/5KPCBHCP"],"itemData":{"id":75,"type":"article-journal","container-title":"PLOS ONE","DOI":"10.1371/journal.pone.0173009","ISSN":"1932-6203","issue":"2","journalAbbreviation":"PLoS ONE","language":"en","page":"e0173009","source":"DOI.org (Crossref)","title":"Specimen origin, type and testing laboratory are linked to longer turnaround times for HIV viral load testing in Malawi","volume":"12","author":[{"family":"Minchella","given":"Peter A."},{"family":"Chipungu","given":"Geoffrey"},{"family":"Kim","given":"Andrea A."},{"family":"Sarr","given":"Abdoulaye"},{"family":"Ali","given":"Hammad"},{"family":"Mwenda","given":"Reuben"},{"family":"Nkengasong","given":"John N."},{"family":"Singer","given":"Daniel"}],"editor":[{"family":"Charpentier","given":"Charlotte"}],"issued":{"date-parts":[["2017",2,24]]}}}],"schema":"https://github.com/citation-style-language/schema/raw/master/csl-citation.json"}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[23</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xml:space="preserve">. </w:t>
      </w:r>
    </w:p>
    <w:p w14:paraId="0CAD1E7C" w14:textId="3D91DD8D" w:rsidR="00F022CF"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Staff motivation level, competency, satisfaction, involvement among others</w:t>
      </w:r>
      <w:r w:rsidR="00517B1A" w:rsidRPr="00186647">
        <w:rPr>
          <w:rFonts w:ascii="Arial" w:hAnsi="Arial" w:cs="Arial"/>
          <w:sz w:val="24"/>
          <w:szCs w:val="24"/>
        </w:rPr>
        <w:t>,</w:t>
      </w:r>
      <w:r w:rsidRPr="00186647">
        <w:rPr>
          <w:rFonts w:ascii="Arial" w:hAnsi="Arial" w:cs="Arial"/>
          <w:sz w:val="24"/>
          <w:szCs w:val="24"/>
        </w:rPr>
        <w:t xml:space="preserve"> are some of the identified factors affecting TAT</w:t>
      </w:r>
      <w:r w:rsidR="00517B1A" w:rsidRPr="00186647">
        <w:rPr>
          <w:rFonts w:ascii="Arial" w:hAnsi="Arial" w:cs="Arial"/>
          <w:sz w:val="24"/>
          <w:szCs w:val="24"/>
        </w:rPr>
        <w:t xml:space="preserve"> </w:t>
      </w:r>
      <w:r w:rsidR="00517B1A" w:rsidRPr="00186647">
        <w:rPr>
          <w:rFonts w:ascii="Arial" w:hAnsi="Arial" w:cs="Arial"/>
          <w:sz w:val="24"/>
          <w:szCs w:val="24"/>
        </w:rPr>
        <w:fldChar w:fldCharType="begin"/>
      </w:r>
      <w:r w:rsidR="00042E24" w:rsidRPr="00186647">
        <w:rPr>
          <w:rFonts w:ascii="Arial" w:hAnsi="Arial" w:cs="Arial"/>
          <w:sz w:val="24"/>
          <w:szCs w:val="24"/>
        </w:rPr>
        <w:instrText xml:space="preserve"> ADDIN ZOTERO_ITEM CSL_CITATION {"citationID":"TO4BULJ7","properties":{"formattedCitation":"(24)","plainCitation":"(24)","dontUpdate":true,"noteIndex":0},"citationItems":[{"id":138,"uris":["http://zotero.org/users/local/SeKuys62/items/IDH2KR7Y"],"uri":["http://zotero.org/users/local/SeKuys62/items/IDH2KR7Y"],"itemData":{"id":138,"type":"article-journal","abstract":"A key constraint to achieving the MDGs is the absence of a properly trained and motivated workforce. Loss of clinical staff from low and middle-income countries is crippling already fragile health care systems. Health worker retention is critical for health system performance and a key problem is how best to motivate and retain health workers. The authors undertook a systematic review to consolidate existing evidence on the impact of financial and non-financial incentives on motivation and retention.","container-title":"BMC Health Services Research","DOI":"10.1186/1472-6963-8-247","ISSN":"1472-6963","issue":"1","journalAbbreviation":"BMC Health Serv Res","language":"en","page":"247","source":"Springer Link","title":"Motivation and retention of health workers in developing countries: a systematic review","title-short":"Motivation and retention of health workers in developing countries","volume":"8","author":[{"family":"Willis-Shattuck","given":"Mischa"},{"family":"Bidwell","given":"Posy"},{"family":"Thomas","given":"Steve"},{"family":"Wyness","given":"Laura"},{"family":"Blaauw","given":"Duane"},{"family":"Ditlopo","given":"Prudence"}],"issued":{"date-parts":[["2008",12,4]]}}}],"schema":"https://github.com/citation-style-language/schema/raw/master/csl-citation.json"} </w:instrText>
      </w:r>
      <w:r w:rsidR="00517B1A" w:rsidRPr="00186647">
        <w:rPr>
          <w:rFonts w:ascii="Arial" w:hAnsi="Arial" w:cs="Arial"/>
          <w:sz w:val="24"/>
          <w:szCs w:val="24"/>
        </w:rPr>
        <w:fldChar w:fldCharType="separate"/>
      </w:r>
      <w:r w:rsidR="00517B1A" w:rsidRPr="00186647">
        <w:rPr>
          <w:rFonts w:ascii="Arial" w:hAnsi="Arial" w:cs="Arial"/>
          <w:sz w:val="24"/>
          <w:szCs w:val="24"/>
        </w:rPr>
        <w:t>[24</w:t>
      </w:r>
      <w:r w:rsidR="00517B1A" w:rsidRPr="00186647">
        <w:rPr>
          <w:rFonts w:ascii="Arial" w:hAnsi="Arial" w:cs="Arial"/>
          <w:sz w:val="24"/>
          <w:szCs w:val="24"/>
        </w:rPr>
        <w:fldChar w:fldCharType="end"/>
      </w:r>
      <w:r w:rsidR="00517B1A" w:rsidRPr="00186647">
        <w:rPr>
          <w:rFonts w:ascii="Arial" w:hAnsi="Arial" w:cs="Arial"/>
          <w:sz w:val="24"/>
          <w:szCs w:val="24"/>
        </w:rPr>
        <w:t>]</w:t>
      </w:r>
      <w:r w:rsidRPr="00186647">
        <w:rPr>
          <w:rFonts w:ascii="Arial" w:hAnsi="Arial" w:cs="Arial"/>
          <w:sz w:val="24"/>
          <w:szCs w:val="24"/>
        </w:rPr>
        <w:t xml:space="preserve">. For instance, a 3PLs operator will prefer to go and pickup samples cumulatively from facilities within the same axis on a particular day rather than going every other day. Meanwhile, the samples would have been collected days before adding to the TAT for such samples. Corruption within the system is also a contributory factor as explained by some of the respondents. This can be seen in cases where the third-party companies employing riders that are less qualified so that they can be paid less, and in cases where they are supposed to buy a car to pool the samples to the PCR, they may use a motorcycle. </w:t>
      </w:r>
    </w:p>
    <w:p w14:paraId="5C216E35" w14:textId="29E98416" w:rsidR="00A408B0" w:rsidRPr="00186647" w:rsidRDefault="00F022CF"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The implication of this study for practice and research is that the finding from this study points out the importance of assessing the time interval for viral load sample from time to time to make improvements as and when due. This could also help to identify and address some of the other factors that contribute to longer TAT. Some of the research gap observed were, the paucity in studies that assessed other factors that contributed to laboratory samples TAT in Nigeria. </w:t>
      </w:r>
    </w:p>
    <w:p w14:paraId="20F2E7D6" w14:textId="47A49720" w:rsidR="00A408B0" w:rsidRPr="00186647" w:rsidRDefault="00A408B0" w:rsidP="00F022CF">
      <w:pPr>
        <w:autoSpaceDE w:val="0"/>
        <w:autoSpaceDN w:val="0"/>
        <w:adjustRightInd w:val="0"/>
        <w:spacing w:after="160" w:line="360" w:lineRule="auto"/>
        <w:jc w:val="both"/>
        <w:rPr>
          <w:rFonts w:ascii="Arial Black" w:hAnsi="Arial Black" w:cs="Arial"/>
          <w:sz w:val="24"/>
          <w:szCs w:val="24"/>
        </w:rPr>
      </w:pPr>
      <w:r w:rsidRPr="00186647">
        <w:rPr>
          <w:rFonts w:ascii="Arial Black" w:hAnsi="Arial Black" w:cs="Arial"/>
          <w:sz w:val="24"/>
          <w:szCs w:val="24"/>
        </w:rPr>
        <w:lastRenderedPageBreak/>
        <w:t>Limitation</w:t>
      </w:r>
    </w:p>
    <w:p w14:paraId="40FB4870" w14:textId="7A0CA0B2" w:rsidR="00F022CF" w:rsidRPr="00186647" w:rsidRDefault="00A408B0" w:rsidP="00F022CF">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 xml:space="preserve">The </w:t>
      </w:r>
      <w:r w:rsidR="00F022CF" w:rsidRPr="00186647">
        <w:rPr>
          <w:rFonts w:ascii="Arial" w:hAnsi="Arial" w:cs="Arial"/>
          <w:sz w:val="24"/>
          <w:szCs w:val="24"/>
        </w:rPr>
        <w:t xml:space="preserve">study used secondary data from facility registers and logs for the quantitative analysis. Unfortunately, if any vital information is missing in those logs, we would have missed it. If all information such as the date samples were sent from the health facility to the HUB and from the HUB, were recorded in the log, it would have probably given a more comprehensive data set. We are not sure if the extracted information overestimates the findings of this study. For the qualitative findings, there were possibilities of bias, as the researcher is a professional colleague with many of the respondents and might have agreed with some of the responses. Due to time constraints and the effects of the present COVID-19 pandemic data collection for one of the facilities was not completed. </w:t>
      </w:r>
    </w:p>
    <w:p w14:paraId="060108A6" w14:textId="7E7D10C3" w:rsidR="00320ABE" w:rsidRPr="00186647" w:rsidRDefault="00F022CF" w:rsidP="00320ABE">
      <w:pPr>
        <w:autoSpaceDE w:val="0"/>
        <w:autoSpaceDN w:val="0"/>
        <w:adjustRightInd w:val="0"/>
        <w:spacing w:after="160" w:line="360" w:lineRule="auto"/>
        <w:jc w:val="both"/>
        <w:rPr>
          <w:rFonts w:ascii="Arial" w:hAnsi="Arial" w:cs="Arial"/>
          <w:sz w:val="24"/>
          <w:szCs w:val="24"/>
        </w:rPr>
      </w:pPr>
      <w:r w:rsidRPr="00186647">
        <w:rPr>
          <w:rFonts w:ascii="Arial" w:hAnsi="Arial" w:cs="Arial"/>
          <w:sz w:val="24"/>
          <w:szCs w:val="24"/>
        </w:rPr>
        <w:t>Despite these limitations, this study also has notable strengths. To our knowledge, this is the first study to assess the difference in viral load samples TAT between Pre-3PLs and 3PLs era in Nigeria. The results could be useful to decision makers on ways to improve TAT.</w:t>
      </w:r>
    </w:p>
    <w:p w14:paraId="6998271F" w14:textId="77777777" w:rsidR="004E5217" w:rsidRPr="00186647" w:rsidRDefault="00D0343C" w:rsidP="004E5217">
      <w:pPr>
        <w:rPr>
          <w:rFonts w:ascii="Arial" w:hAnsi="Arial" w:cs="Arial"/>
          <w:b/>
          <w:sz w:val="24"/>
          <w:szCs w:val="24"/>
        </w:rPr>
      </w:pPr>
      <w:r w:rsidRPr="00186647">
        <w:rPr>
          <w:rFonts w:ascii="Arial" w:hAnsi="Arial" w:cs="Arial"/>
          <w:b/>
          <w:sz w:val="24"/>
          <w:szCs w:val="24"/>
        </w:rPr>
        <w:t>Conclusio</w:t>
      </w:r>
      <w:r w:rsidR="004E5217" w:rsidRPr="00186647">
        <w:rPr>
          <w:rFonts w:ascii="Arial" w:hAnsi="Arial" w:cs="Arial"/>
          <w:b/>
          <w:sz w:val="24"/>
          <w:szCs w:val="24"/>
        </w:rPr>
        <w:t>n</w:t>
      </w:r>
    </w:p>
    <w:p w14:paraId="7BF9CC28" w14:textId="51C3096B" w:rsidR="00186647" w:rsidRPr="00186647" w:rsidRDefault="005364AC" w:rsidP="00186647">
      <w:pPr>
        <w:spacing w:line="360" w:lineRule="auto"/>
        <w:jc w:val="both"/>
        <w:rPr>
          <w:rFonts w:ascii="Arial" w:hAnsi="Arial" w:cs="Arial"/>
          <w:b/>
          <w:sz w:val="24"/>
          <w:szCs w:val="24"/>
        </w:rPr>
      </w:pPr>
      <w:r w:rsidRPr="00186647">
        <w:rPr>
          <w:rFonts w:ascii="Arial" w:hAnsi="Arial" w:cs="Arial"/>
          <w:sz w:val="24"/>
          <w:szCs w:val="24"/>
        </w:rPr>
        <w:t>TAT reduced significantly from pre 3PLs to the present era of 3PLs. The continuous use of 3PLs should be encouraged as this could further ensure that more PLHIV will have their viral load test done and results received on time. This would help improve their treatment outcome and in the long run reduce the prevalence of HIV and bring an end to the HIV epidemic as a public health threat. Other factors that can affect TAT should be investigated. It is also noteworthy that continuous improvement of viral load testing and TAT, will help improve the management and quality of life of PLHIV in Ekiti state, and ultimately reduce the prevalence of HIV in Nigeria</w:t>
      </w:r>
    </w:p>
    <w:p w14:paraId="55F8B411" w14:textId="77777777" w:rsidR="005A59DF" w:rsidRPr="00186647" w:rsidRDefault="005A59DF" w:rsidP="005A59DF">
      <w:pPr>
        <w:rPr>
          <w:rFonts w:ascii="Arial" w:hAnsi="Arial" w:cs="Arial"/>
          <w:sz w:val="24"/>
          <w:szCs w:val="24"/>
        </w:rPr>
      </w:pPr>
      <w:r w:rsidRPr="00186647">
        <w:rPr>
          <w:rFonts w:ascii="Arial" w:hAnsi="Arial" w:cs="Arial"/>
          <w:b/>
          <w:sz w:val="24"/>
          <w:szCs w:val="24"/>
        </w:rPr>
        <w:t>What is already know on this topic</w:t>
      </w:r>
    </w:p>
    <w:p w14:paraId="49630EC8" w14:textId="609DF549" w:rsidR="00042E24" w:rsidRPr="00186647" w:rsidRDefault="00155114" w:rsidP="004F0DD8">
      <w:pPr>
        <w:pStyle w:val="ListParagraph"/>
        <w:numPr>
          <w:ilvl w:val="0"/>
          <w:numId w:val="2"/>
        </w:numPr>
        <w:rPr>
          <w:rFonts w:ascii="Arial" w:hAnsi="Arial" w:cs="Arial"/>
          <w:b/>
          <w:sz w:val="24"/>
          <w:szCs w:val="24"/>
        </w:rPr>
      </w:pPr>
      <w:r w:rsidRPr="00186647">
        <w:rPr>
          <w:rFonts w:ascii="Arial" w:hAnsi="Arial" w:cs="Arial"/>
          <w:color w:val="000000" w:themeColor="text1"/>
          <w:sz w:val="24"/>
          <w:szCs w:val="24"/>
        </w:rPr>
        <w:t>Viral Load (VL) testing is the gold standard for HIV treatment monitoring. Timely and periodic VL tests are the most accurate way of determining whether ART is working to suppress replication of the virus</w:t>
      </w:r>
      <w:r w:rsidR="00042E24" w:rsidRPr="00186647">
        <w:rPr>
          <w:rFonts w:ascii="Arial" w:hAnsi="Arial" w:cs="Arial"/>
          <w:color w:val="000000" w:themeColor="text1"/>
          <w:sz w:val="24"/>
          <w:szCs w:val="24"/>
        </w:rPr>
        <w:t>.</w:t>
      </w:r>
    </w:p>
    <w:p w14:paraId="5A6B96EC" w14:textId="77777777" w:rsidR="00042E24" w:rsidRPr="00186647" w:rsidRDefault="00155114" w:rsidP="004F0DD8">
      <w:pPr>
        <w:pStyle w:val="ListParagraph"/>
        <w:numPr>
          <w:ilvl w:val="0"/>
          <w:numId w:val="2"/>
        </w:numPr>
        <w:rPr>
          <w:rFonts w:ascii="Arial" w:hAnsi="Arial" w:cs="Arial"/>
          <w:b/>
          <w:sz w:val="24"/>
          <w:szCs w:val="24"/>
        </w:rPr>
      </w:pPr>
      <w:r w:rsidRPr="00186647">
        <w:rPr>
          <w:rFonts w:ascii="Arial" w:hAnsi="Arial" w:cs="Arial"/>
          <w:sz w:val="24"/>
          <w:szCs w:val="24"/>
        </w:rPr>
        <w:t xml:space="preserve">A joint planning and assessment committee identified gaps in the sample referral system for prioritization and intervention and piloted the system in Addis Ababa and Amhara Region. The PPP established standardized, streamlined specimen logistics, using the Ethiopian Postal Service Enterprise to support a laboratory network in which 554 facilities referred specimens to </w:t>
      </w:r>
      <w:r w:rsidRPr="00186647">
        <w:rPr>
          <w:rFonts w:ascii="Arial" w:hAnsi="Arial" w:cs="Arial"/>
          <w:sz w:val="24"/>
          <w:szCs w:val="24"/>
        </w:rPr>
        <w:lastRenderedPageBreak/>
        <w:t>160 laboratories. The PPP supported procuring 400 standard specimen containers and the training of 586 laboratory personnel and 81 postal workers. The average TAT was reduced from 7 days to 2 days in Addis Ababa and from 10 days to 5 days in Amhara Region</w:t>
      </w:r>
    </w:p>
    <w:p w14:paraId="64B01AAC" w14:textId="7DFC7D9B" w:rsidR="00155114" w:rsidRPr="00186647" w:rsidRDefault="00155114" w:rsidP="00042E24">
      <w:pPr>
        <w:pStyle w:val="ListParagraph"/>
        <w:rPr>
          <w:rFonts w:ascii="Arial" w:hAnsi="Arial" w:cs="Arial"/>
          <w:b/>
          <w:sz w:val="24"/>
          <w:szCs w:val="24"/>
        </w:rPr>
      </w:pPr>
      <w:r w:rsidRPr="00186647">
        <w:rPr>
          <w:rFonts w:ascii="Arial" w:hAnsi="Arial" w:cs="Arial"/>
          <w:sz w:val="24"/>
          <w:szCs w:val="24"/>
        </w:rPr>
        <w:t xml:space="preserve">    </w:t>
      </w:r>
    </w:p>
    <w:p w14:paraId="613FDA8B" w14:textId="77777777" w:rsidR="005A59DF" w:rsidRPr="00186647" w:rsidRDefault="005A59DF">
      <w:pPr>
        <w:rPr>
          <w:rFonts w:ascii="Arial" w:hAnsi="Arial" w:cs="Arial"/>
          <w:sz w:val="24"/>
          <w:szCs w:val="24"/>
        </w:rPr>
      </w:pPr>
      <w:r w:rsidRPr="00186647">
        <w:rPr>
          <w:rFonts w:ascii="Arial" w:hAnsi="Arial" w:cs="Arial"/>
          <w:b/>
          <w:sz w:val="24"/>
          <w:szCs w:val="24"/>
        </w:rPr>
        <w:t>What this study adds</w:t>
      </w:r>
    </w:p>
    <w:p w14:paraId="593FF3A6" w14:textId="1BFFB041" w:rsidR="00155114" w:rsidRPr="00186647" w:rsidRDefault="00155114" w:rsidP="00155114">
      <w:pPr>
        <w:rPr>
          <w:rFonts w:ascii="Arial" w:hAnsi="Arial" w:cs="Arial"/>
          <w:sz w:val="24"/>
          <w:szCs w:val="24"/>
        </w:rPr>
      </w:pPr>
      <w:r w:rsidRPr="00186647">
        <w:rPr>
          <w:rFonts w:ascii="Arial" w:hAnsi="Arial" w:cs="Arial"/>
          <w:sz w:val="24"/>
          <w:szCs w:val="24"/>
        </w:rPr>
        <w:t>The</w:t>
      </w:r>
      <w:r w:rsidR="007F57DD" w:rsidRPr="00186647">
        <w:rPr>
          <w:rFonts w:ascii="Arial" w:hAnsi="Arial" w:cs="Arial"/>
          <w:sz w:val="24"/>
          <w:szCs w:val="24"/>
        </w:rPr>
        <w:t>re are</w:t>
      </w:r>
      <w:r w:rsidRPr="00186647">
        <w:rPr>
          <w:rFonts w:ascii="Arial" w:hAnsi="Arial" w:cs="Arial"/>
          <w:sz w:val="24"/>
          <w:szCs w:val="24"/>
        </w:rPr>
        <w:t xml:space="preserve"> many other factors that affect the TAT of laboratory testing</w:t>
      </w:r>
      <w:r w:rsidR="007F57DD" w:rsidRPr="00186647">
        <w:rPr>
          <w:rFonts w:ascii="Arial" w:hAnsi="Arial" w:cs="Arial"/>
          <w:sz w:val="24"/>
          <w:szCs w:val="24"/>
        </w:rPr>
        <w:t xml:space="preserve"> of clinical specimen</w:t>
      </w:r>
      <w:r w:rsidRPr="00186647">
        <w:rPr>
          <w:rFonts w:ascii="Arial" w:hAnsi="Arial" w:cs="Arial"/>
          <w:sz w:val="24"/>
          <w:szCs w:val="24"/>
        </w:rPr>
        <w:t>, this is not specific to Viral load testing.</w:t>
      </w:r>
    </w:p>
    <w:p w14:paraId="60526CC9" w14:textId="2807E642" w:rsidR="00042E24" w:rsidRPr="00186647" w:rsidRDefault="00155114" w:rsidP="00186647">
      <w:pPr>
        <w:pStyle w:val="ListParagraph"/>
        <w:numPr>
          <w:ilvl w:val="0"/>
          <w:numId w:val="3"/>
        </w:numPr>
        <w:rPr>
          <w:rFonts w:ascii="Arial" w:hAnsi="Arial" w:cs="Arial"/>
          <w:sz w:val="24"/>
          <w:szCs w:val="24"/>
        </w:rPr>
      </w:pPr>
      <w:r w:rsidRPr="00186647">
        <w:rPr>
          <w:rFonts w:ascii="Arial" w:hAnsi="Arial" w:cs="Arial"/>
          <w:sz w:val="24"/>
          <w:szCs w:val="24"/>
        </w:rPr>
        <w:t xml:space="preserve">It further elaborates the importance of conducting regular evaluation on the projects </w:t>
      </w:r>
      <w:r w:rsidR="007F57DD" w:rsidRPr="00186647">
        <w:rPr>
          <w:rFonts w:ascii="Arial" w:hAnsi="Arial" w:cs="Arial"/>
          <w:sz w:val="24"/>
          <w:szCs w:val="24"/>
        </w:rPr>
        <w:t>being implemented</w:t>
      </w:r>
      <w:r w:rsidRPr="00186647">
        <w:rPr>
          <w:rFonts w:ascii="Arial" w:hAnsi="Arial" w:cs="Arial"/>
          <w:sz w:val="24"/>
          <w:szCs w:val="24"/>
        </w:rPr>
        <w:t xml:space="preserve"> to improve health.</w:t>
      </w:r>
    </w:p>
    <w:p w14:paraId="00A18802" w14:textId="77777777" w:rsidR="00C35899" w:rsidRPr="00186647" w:rsidRDefault="00D0343C">
      <w:pPr>
        <w:rPr>
          <w:rFonts w:ascii="Arial" w:hAnsi="Arial" w:cs="Arial"/>
          <w:b/>
          <w:sz w:val="24"/>
          <w:szCs w:val="24"/>
        </w:rPr>
      </w:pPr>
      <w:r w:rsidRPr="00186647">
        <w:rPr>
          <w:rFonts w:ascii="Arial" w:hAnsi="Arial" w:cs="Arial"/>
          <w:b/>
          <w:sz w:val="24"/>
          <w:szCs w:val="24"/>
        </w:rPr>
        <w:t>Co</w:t>
      </w:r>
      <w:r w:rsidR="00C35899" w:rsidRPr="00186647">
        <w:rPr>
          <w:rFonts w:ascii="Arial" w:hAnsi="Arial" w:cs="Arial"/>
          <w:b/>
          <w:sz w:val="24"/>
          <w:szCs w:val="24"/>
        </w:rPr>
        <w:t>mpeting interests</w:t>
      </w:r>
    </w:p>
    <w:p w14:paraId="17314BBC" w14:textId="55244903" w:rsidR="00C35899" w:rsidRPr="00186647" w:rsidRDefault="00C35899">
      <w:pPr>
        <w:rPr>
          <w:rFonts w:ascii="Arial" w:hAnsi="Arial" w:cs="Arial"/>
          <w:sz w:val="24"/>
          <w:szCs w:val="24"/>
        </w:rPr>
      </w:pPr>
      <w:r w:rsidRPr="00186647">
        <w:rPr>
          <w:rFonts w:ascii="Arial" w:hAnsi="Arial" w:cs="Arial"/>
          <w:sz w:val="24"/>
          <w:szCs w:val="24"/>
        </w:rPr>
        <w:t xml:space="preserve">The authors declare no competing interest. </w:t>
      </w:r>
    </w:p>
    <w:p w14:paraId="5933382C" w14:textId="77777777" w:rsidR="00D0343C" w:rsidRPr="00186647" w:rsidRDefault="006728C2">
      <w:pPr>
        <w:rPr>
          <w:rFonts w:ascii="Arial" w:hAnsi="Arial" w:cs="Arial"/>
          <w:b/>
          <w:sz w:val="24"/>
          <w:szCs w:val="24"/>
        </w:rPr>
      </w:pPr>
      <w:r w:rsidRPr="00186647">
        <w:rPr>
          <w:rFonts w:ascii="Arial" w:hAnsi="Arial" w:cs="Arial"/>
          <w:b/>
          <w:sz w:val="24"/>
          <w:szCs w:val="24"/>
        </w:rPr>
        <w:t>Authors’ contributions</w:t>
      </w:r>
      <w:r w:rsidR="004527E3" w:rsidRPr="00186647">
        <w:rPr>
          <w:rFonts w:ascii="Arial" w:hAnsi="Arial" w:cs="Arial"/>
          <w:b/>
          <w:sz w:val="24"/>
          <w:szCs w:val="24"/>
        </w:rPr>
        <w:t xml:space="preserve"> </w:t>
      </w:r>
      <w:r w:rsidR="00D0343C" w:rsidRPr="00186647">
        <w:rPr>
          <w:rFonts w:ascii="Arial" w:hAnsi="Arial" w:cs="Arial"/>
          <w:b/>
          <w:sz w:val="24"/>
          <w:szCs w:val="24"/>
        </w:rPr>
        <w:t xml:space="preserve"> </w:t>
      </w:r>
    </w:p>
    <w:p w14:paraId="0AB7022E" w14:textId="1C1290AE" w:rsidR="00FB11A8" w:rsidRPr="00186647" w:rsidRDefault="00FB11A8" w:rsidP="00FB11A8">
      <w:pPr>
        <w:pStyle w:val="ListParagraph"/>
        <w:numPr>
          <w:ilvl w:val="0"/>
          <w:numId w:val="4"/>
        </w:numPr>
        <w:rPr>
          <w:rFonts w:ascii="Arial" w:hAnsi="Arial" w:cs="Arial"/>
          <w:b/>
          <w:sz w:val="24"/>
          <w:szCs w:val="24"/>
        </w:rPr>
      </w:pPr>
      <w:r w:rsidRPr="00186647">
        <w:rPr>
          <w:rFonts w:ascii="Arial" w:hAnsi="Arial" w:cs="Arial"/>
          <w:color w:val="000000"/>
          <w:sz w:val="24"/>
          <w:szCs w:val="24"/>
        </w:rPr>
        <w:t xml:space="preserve">Adedotun Omotayo Esan </w:t>
      </w:r>
    </w:p>
    <w:p w14:paraId="0F4519C3" w14:textId="79693213" w:rsidR="00FB11A8" w:rsidRPr="00186647" w:rsidRDefault="00FB11A8" w:rsidP="00FB11A8">
      <w:pPr>
        <w:pStyle w:val="ListParagraph"/>
        <w:numPr>
          <w:ilvl w:val="0"/>
          <w:numId w:val="3"/>
        </w:numPr>
        <w:rPr>
          <w:rFonts w:ascii="Arial" w:hAnsi="Arial" w:cs="Arial"/>
          <w:b/>
          <w:sz w:val="24"/>
          <w:szCs w:val="24"/>
        </w:rPr>
      </w:pPr>
      <w:r w:rsidRPr="00186647">
        <w:rPr>
          <w:rFonts w:ascii="Arial" w:hAnsi="Arial" w:cs="Arial"/>
          <w:bCs/>
          <w:sz w:val="24"/>
          <w:szCs w:val="24"/>
        </w:rPr>
        <w:t>Protocol formation</w:t>
      </w:r>
      <w:r w:rsidR="007F57DD" w:rsidRPr="00186647">
        <w:rPr>
          <w:rFonts w:ascii="Arial" w:hAnsi="Arial" w:cs="Arial"/>
          <w:bCs/>
          <w:sz w:val="24"/>
          <w:szCs w:val="24"/>
        </w:rPr>
        <w:t xml:space="preserve"> and development</w:t>
      </w:r>
    </w:p>
    <w:p w14:paraId="59170FED" w14:textId="2B2A5A17" w:rsidR="00FB11A8" w:rsidRPr="00186647" w:rsidRDefault="00FB11A8" w:rsidP="00FB11A8">
      <w:pPr>
        <w:pStyle w:val="ListParagraph"/>
        <w:numPr>
          <w:ilvl w:val="0"/>
          <w:numId w:val="3"/>
        </w:numPr>
        <w:rPr>
          <w:rFonts w:ascii="Arial" w:hAnsi="Arial" w:cs="Arial"/>
          <w:b/>
          <w:sz w:val="24"/>
          <w:szCs w:val="24"/>
        </w:rPr>
      </w:pPr>
      <w:r w:rsidRPr="00186647">
        <w:rPr>
          <w:rFonts w:ascii="Arial" w:hAnsi="Arial" w:cs="Arial"/>
          <w:bCs/>
          <w:sz w:val="24"/>
          <w:szCs w:val="24"/>
        </w:rPr>
        <w:t>Data collection, analysis, and reporting</w:t>
      </w:r>
    </w:p>
    <w:p w14:paraId="1B32C6B5" w14:textId="7057B2E7" w:rsidR="00FB11A8" w:rsidRPr="00186647" w:rsidRDefault="00C42B89" w:rsidP="00FB11A8">
      <w:pPr>
        <w:pStyle w:val="ListParagraph"/>
        <w:numPr>
          <w:ilvl w:val="0"/>
          <w:numId w:val="3"/>
        </w:numPr>
        <w:rPr>
          <w:rFonts w:ascii="Arial" w:hAnsi="Arial" w:cs="Arial"/>
          <w:b/>
          <w:sz w:val="24"/>
          <w:szCs w:val="24"/>
        </w:rPr>
      </w:pPr>
      <w:r w:rsidRPr="00186647">
        <w:rPr>
          <w:rFonts w:ascii="Arial" w:hAnsi="Arial" w:cs="Arial"/>
          <w:bCs/>
          <w:sz w:val="24"/>
          <w:szCs w:val="24"/>
        </w:rPr>
        <w:t xml:space="preserve">Thesis </w:t>
      </w:r>
      <w:r w:rsidR="00FB11A8" w:rsidRPr="00186647">
        <w:rPr>
          <w:rFonts w:ascii="Arial" w:hAnsi="Arial" w:cs="Arial"/>
          <w:bCs/>
          <w:sz w:val="24"/>
          <w:szCs w:val="24"/>
        </w:rPr>
        <w:t>writeup and defense.</w:t>
      </w:r>
    </w:p>
    <w:p w14:paraId="2E6CFCBD" w14:textId="77777777" w:rsidR="00FB11A8" w:rsidRPr="00186647" w:rsidRDefault="00FB11A8" w:rsidP="00FB11A8">
      <w:pPr>
        <w:pStyle w:val="ListParagraph"/>
        <w:rPr>
          <w:rFonts w:ascii="Arial" w:hAnsi="Arial" w:cs="Arial"/>
          <w:b/>
          <w:sz w:val="24"/>
          <w:szCs w:val="24"/>
        </w:rPr>
      </w:pPr>
    </w:p>
    <w:p w14:paraId="039F73A6" w14:textId="6945B522" w:rsidR="00FB11A8" w:rsidRPr="00186647" w:rsidRDefault="00FB11A8" w:rsidP="00FB11A8">
      <w:pPr>
        <w:pStyle w:val="ListParagraph"/>
        <w:numPr>
          <w:ilvl w:val="0"/>
          <w:numId w:val="4"/>
        </w:numPr>
        <w:rPr>
          <w:rFonts w:ascii="Arial" w:hAnsi="Arial" w:cs="Arial"/>
          <w:b/>
          <w:sz w:val="24"/>
          <w:szCs w:val="24"/>
        </w:rPr>
      </w:pPr>
      <w:r w:rsidRPr="00186647">
        <w:rPr>
          <w:rFonts w:ascii="Arial" w:hAnsi="Arial" w:cs="Arial"/>
          <w:color w:val="000000"/>
          <w:sz w:val="24"/>
          <w:szCs w:val="24"/>
        </w:rPr>
        <w:t>Abiodun</w:t>
      </w:r>
      <w:r w:rsidR="007F57DD" w:rsidRPr="00186647">
        <w:rPr>
          <w:rFonts w:ascii="Arial" w:hAnsi="Arial" w:cs="Arial"/>
          <w:color w:val="000000"/>
          <w:sz w:val="24"/>
          <w:szCs w:val="24"/>
        </w:rPr>
        <w:t xml:space="preserve"> Akinyeye-</w:t>
      </w:r>
      <w:r w:rsidRPr="00186647">
        <w:rPr>
          <w:rFonts w:ascii="Arial" w:hAnsi="Arial" w:cs="Arial"/>
          <w:color w:val="000000"/>
          <w:sz w:val="24"/>
          <w:szCs w:val="24"/>
        </w:rPr>
        <w:t>Ojo</w:t>
      </w:r>
    </w:p>
    <w:p w14:paraId="29DB6392" w14:textId="5CEBCE56" w:rsidR="00FB11A8" w:rsidRPr="00186647" w:rsidRDefault="00FB11A8" w:rsidP="00FB11A8">
      <w:pPr>
        <w:pStyle w:val="ListParagraph"/>
        <w:numPr>
          <w:ilvl w:val="0"/>
          <w:numId w:val="6"/>
        </w:numPr>
        <w:rPr>
          <w:rFonts w:ascii="Arial" w:hAnsi="Arial" w:cs="Arial"/>
          <w:b/>
          <w:sz w:val="24"/>
          <w:szCs w:val="24"/>
        </w:rPr>
      </w:pPr>
      <w:r w:rsidRPr="00186647">
        <w:rPr>
          <w:rFonts w:ascii="Arial" w:hAnsi="Arial" w:cs="Arial"/>
          <w:bCs/>
          <w:sz w:val="24"/>
          <w:szCs w:val="24"/>
        </w:rPr>
        <w:t>Obtained all permissions and approval</w:t>
      </w:r>
    </w:p>
    <w:p w14:paraId="5D57AA02" w14:textId="36713FC7" w:rsidR="00FB11A8" w:rsidRPr="00186647" w:rsidRDefault="00FB11A8" w:rsidP="00FB11A8">
      <w:pPr>
        <w:pStyle w:val="ListParagraph"/>
        <w:numPr>
          <w:ilvl w:val="0"/>
          <w:numId w:val="6"/>
        </w:numPr>
        <w:rPr>
          <w:rFonts w:ascii="Arial" w:hAnsi="Arial" w:cs="Arial"/>
          <w:b/>
          <w:sz w:val="24"/>
          <w:szCs w:val="24"/>
        </w:rPr>
      </w:pPr>
      <w:r w:rsidRPr="00186647">
        <w:rPr>
          <w:rFonts w:ascii="Arial" w:hAnsi="Arial" w:cs="Arial"/>
          <w:bCs/>
          <w:sz w:val="24"/>
          <w:szCs w:val="24"/>
        </w:rPr>
        <w:t>Provided local guide</w:t>
      </w:r>
    </w:p>
    <w:p w14:paraId="049CB286" w14:textId="779E4340" w:rsidR="00FB11A8" w:rsidRPr="00186647" w:rsidRDefault="00FB11A8" w:rsidP="00FB11A8">
      <w:pPr>
        <w:pStyle w:val="ListParagraph"/>
        <w:numPr>
          <w:ilvl w:val="0"/>
          <w:numId w:val="6"/>
        </w:numPr>
        <w:rPr>
          <w:rFonts w:ascii="Arial" w:hAnsi="Arial" w:cs="Arial"/>
          <w:b/>
          <w:sz w:val="24"/>
          <w:szCs w:val="24"/>
        </w:rPr>
      </w:pPr>
      <w:r w:rsidRPr="00186647">
        <w:rPr>
          <w:rFonts w:ascii="Arial" w:hAnsi="Arial" w:cs="Arial"/>
          <w:bCs/>
          <w:sz w:val="24"/>
          <w:szCs w:val="24"/>
        </w:rPr>
        <w:t>Provided literatures</w:t>
      </w:r>
    </w:p>
    <w:p w14:paraId="0D86E949" w14:textId="1B281691" w:rsidR="00FB11A8" w:rsidRPr="00186647" w:rsidRDefault="00FB11A8" w:rsidP="00FB11A8">
      <w:pPr>
        <w:pStyle w:val="ListParagraph"/>
        <w:numPr>
          <w:ilvl w:val="0"/>
          <w:numId w:val="6"/>
        </w:numPr>
        <w:rPr>
          <w:rFonts w:ascii="Arial" w:hAnsi="Arial" w:cs="Arial"/>
          <w:b/>
          <w:sz w:val="24"/>
          <w:szCs w:val="24"/>
        </w:rPr>
      </w:pPr>
      <w:r w:rsidRPr="00186647">
        <w:rPr>
          <w:rFonts w:ascii="Arial" w:hAnsi="Arial" w:cs="Arial"/>
          <w:bCs/>
          <w:sz w:val="24"/>
          <w:szCs w:val="24"/>
        </w:rPr>
        <w:t>Reviewed thesis writeup</w:t>
      </w:r>
    </w:p>
    <w:p w14:paraId="6BF680FB" w14:textId="77777777" w:rsidR="00FB11A8" w:rsidRPr="00186647" w:rsidRDefault="00FB11A8" w:rsidP="00FB11A8">
      <w:pPr>
        <w:pStyle w:val="ListParagraph"/>
        <w:rPr>
          <w:rFonts w:ascii="Arial" w:hAnsi="Arial" w:cs="Arial"/>
          <w:b/>
          <w:sz w:val="24"/>
          <w:szCs w:val="24"/>
        </w:rPr>
      </w:pPr>
    </w:p>
    <w:p w14:paraId="2E9F0047" w14:textId="6ABF01E3" w:rsidR="00FB11A8" w:rsidRPr="00186647" w:rsidRDefault="00FB11A8" w:rsidP="004F0DD8">
      <w:pPr>
        <w:pStyle w:val="ListParagraph"/>
        <w:numPr>
          <w:ilvl w:val="0"/>
          <w:numId w:val="4"/>
        </w:numPr>
        <w:rPr>
          <w:rFonts w:ascii="Arial" w:hAnsi="Arial" w:cs="Arial"/>
          <w:sz w:val="24"/>
          <w:szCs w:val="24"/>
        </w:rPr>
      </w:pPr>
      <w:r w:rsidRPr="00186647">
        <w:rPr>
          <w:rFonts w:ascii="Arial" w:hAnsi="Arial" w:cs="Arial"/>
          <w:color w:val="000000"/>
          <w:sz w:val="24"/>
          <w:szCs w:val="24"/>
        </w:rPr>
        <w:t xml:space="preserve">Dr. Ritu Rana </w:t>
      </w:r>
    </w:p>
    <w:p w14:paraId="3CB8401A" w14:textId="7F2958CB" w:rsidR="00FB11A8" w:rsidRPr="00186647" w:rsidRDefault="00C42B89" w:rsidP="00FB11A8">
      <w:pPr>
        <w:pStyle w:val="ListParagraph"/>
        <w:numPr>
          <w:ilvl w:val="0"/>
          <w:numId w:val="7"/>
        </w:numPr>
        <w:rPr>
          <w:rFonts w:ascii="Arial" w:hAnsi="Arial" w:cs="Arial"/>
          <w:sz w:val="24"/>
          <w:szCs w:val="24"/>
        </w:rPr>
      </w:pPr>
      <w:r w:rsidRPr="00186647">
        <w:rPr>
          <w:rFonts w:ascii="Arial" w:hAnsi="Arial" w:cs="Arial"/>
          <w:sz w:val="24"/>
          <w:szCs w:val="24"/>
        </w:rPr>
        <w:t>Inputs and review during protocol formation</w:t>
      </w:r>
    </w:p>
    <w:p w14:paraId="1C17780A" w14:textId="4DD79878" w:rsidR="00C42B89" w:rsidRPr="00186647" w:rsidRDefault="00C42B89" w:rsidP="00FB11A8">
      <w:pPr>
        <w:pStyle w:val="ListParagraph"/>
        <w:numPr>
          <w:ilvl w:val="0"/>
          <w:numId w:val="7"/>
        </w:numPr>
        <w:rPr>
          <w:rFonts w:ascii="Arial" w:hAnsi="Arial" w:cs="Arial"/>
          <w:sz w:val="24"/>
          <w:szCs w:val="24"/>
        </w:rPr>
      </w:pPr>
      <w:r w:rsidRPr="00186647">
        <w:rPr>
          <w:rFonts w:ascii="Arial" w:hAnsi="Arial" w:cs="Arial"/>
          <w:sz w:val="24"/>
          <w:szCs w:val="24"/>
        </w:rPr>
        <w:t>Guided from data collection to report writing</w:t>
      </w:r>
    </w:p>
    <w:p w14:paraId="63010E2E" w14:textId="7A5CB485" w:rsidR="00C42B89" w:rsidRPr="00186647" w:rsidRDefault="00C42B89" w:rsidP="00FB11A8">
      <w:pPr>
        <w:pStyle w:val="ListParagraph"/>
        <w:numPr>
          <w:ilvl w:val="0"/>
          <w:numId w:val="7"/>
        </w:numPr>
        <w:rPr>
          <w:rFonts w:ascii="Arial" w:hAnsi="Arial" w:cs="Arial"/>
          <w:sz w:val="24"/>
          <w:szCs w:val="24"/>
        </w:rPr>
      </w:pPr>
      <w:r w:rsidRPr="00186647">
        <w:rPr>
          <w:rFonts w:ascii="Arial" w:hAnsi="Arial" w:cs="Arial"/>
          <w:sz w:val="24"/>
          <w:szCs w:val="24"/>
        </w:rPr>
        <w:t>Was available through the whole process</w:t>
      </w:r>
    </w:p>
    <w:p w14:paraId="0C4A5378" w14:textId="1115A466" w:rsidR="000D1A7E" w:rsidRPr="00186647" w:rsidRDefault="00C42B89" w:rsidP="00C42B89">
      <w:pPr>
        <w:pStyle w:val="ListParagraph"/>
        <w:numPr>
          <w:ilvl w:val="0"/>
          <w:numId w:val="7"/>
        </w:numPr>
        <w:rPr>
          <w:rFonts w:ascii="Arial" w:hAnsi="Arial" w:cs="Arial"/>
          <w:sz w:val="24"/>
          <w:szCs w:val="24"/>
        </w:rPr>
      </w:pPr>
      <w:r w:rsidRPr="00186647">
        <w:rPr>
          <w:rFonts w:ascii="Arial" w:hAnsi="Arial" w:cs="Arial"/>
          <w:sz w:val="24"/>
          <w:szCs w:val="24"/>
        </w:rPr>
        <w:t>Approved the final thesis writeup</w:t>
      </w:r>
    </w:p>
    <w:p w14:paraId="1A70C7D6" w14:textId="0BE70147" w:rsidR="00D0343C" w:rsidRDefault="00D0343C">
      <w:pPr>
        <w:rPr>
          <w:rFonts w:ascii="Arial" w:hAnsi="Arial" w:cs="Arial"/>
          <w:b/>
          <w:sz w:val="24"/>
          <w:szCs w:val="24"/>
        </w:rPr>
      </w:pPr>
    </w:p>
    <w:p w14:paraId="2A9EDABA" w14:textId="77777777" w:rsidR="00186647" w:rsidRDefault="00186647">
      <w:pPr>
        <w:rPr>
          <w:rFonts w:ascii="Arial" w:hAnsi="Arial" w:cs="Arial"/>
          <w:b/>
          <w:sz w:val="24"/>
          <w:szCs w:val="24"/>
        </w:rPr>
      </w:pPr>
    </w:p>
    <w:p w14:paraId="65CA06AE" w14:textId="77777777" w:rsidR="00186647" w:rsidRDefault="00186647">
      <w:pPr>
        <w:rPr>
          <w:rFonts w:ascii="Arial" w:hAnsi="Arial" w:cs="Arial"/>
          <w:b/>
          <w:sz w:val="24"/>
          <w:szCs w:val="24"/>
        </w:rPr>
      </w:pPr>
    </w:p>
    <w:p w14:paraId="4E253419" w14:textId="77777777" w:rsidR="00186647" w:rsidRDefault="00186647">
      <w:pPr>
        <w:rPr>
          <w:rFonts w:ascii="Arial" w:hAnsi="Arial" w:cs="Arial"/>
          <w:b/>
          <w:sz w:val="24"/>
          <w:szCs w:val="24"/>
        </w:rPr>
      </w:pPr>
    </w:p>
    <w:p w14:paraId="3551CE15" w14:textId="77777777" w:rsidR="006F3936" w:rsidRPr="006F3936" w:rsidRDefault="006F3936" w:rsidP="006F3936">
      <w:pPr>
        <w:rPr>
          <w:rFonts w:ascii="Arial" w:hAnsi="Arial" w:cs="Arial"/>
          <w:b/>
          <w:sz w:val="24"/>
          <w:szCs w:val="24"/>
        </w:rPr>
      </w:pPr>
      <w:r w:rsidRPr="006F3936">
        <w:rPr>
          <w:rFonts w:ascii="Arial" w:hAnsi="Arial" w:cs="Arial"/>
          <w:b/>
          <w:sz w:val="24"/>
          <w:szCs w:val="24"/>
        </w:rPr>
        <w:t xml:space="preserve">Ethical approval </w:t>
      </w:r>
    </w:p>
    <w:p w14:paraId="0555BBED" w14:textId="1E5BC775" w:rsidR="00186647" w:rsidRDefault="006F3936" w:rsidP="006F3936">
      <w:pPr>
        <w:rPr>
          <w:rFonts w:ascii="Arial" w:hAnsi="Arial" w:cs="Arial"/>
          <w:b/>
          <w:sz w:val="24"/>
          <w:szCs w:val="24"/>
        </w:rPr>
      </w:pPr>
      <w:r w:rsidRPr="006F3936">
        <w:rPr>
          <w:rFonts w:ascii="Arial" w:hAnsi="Arial" w:cs="Arial"/>
          <w:b/>
          <w:sz w:val="24"/>
          <w:szCs w:val="24"/>
        </w:rPr>
        <w:lastRenderedPageBreak/>
        <w:t>The ethical approval was obtained from the Research Ethics Committee at Indian Institute of Public Health Gandhinagar (Reference No. 13/13/2019-20).</w:t>
      </w:r>
    </w:p>
    <w:p w14:paraId="2C95CFA1" w14:textId="77777777" w:rsidR="0058708D" w:rsidRPr="0058708D" w:rsidRDefault="0058708D" w:rsidP="0058708D">
      <w:pPr>
        <w:rPr>
          <w:rFonts w:ascii="Arial" w:hAnsi="Arial" w:cs="Arial"/>
          <w:b/>
          <w:sz w:val="24"/>
          <w:szCs w:val="24"/>
        </w:rPr>
      </w:pPr>
      <w:r w:rsidRPr="0058708D">
        <w:rPr>
          <w:rFonts w:ascii="Arial" w:hAnsi="Arial" w:cs="Arial"/>
          <w:b/>
          <w:sz w:val="24"/>
          <w:szCs w:val="24"/>
        </w:rPr>
        <w:t xml:space="preserve">Consent </w:t>
      </w:r>
    </w:p>
    <w:p w14:paraId="2696CB66" w14:textId="0A4B174D" w:rsidR="00186647" w:rsidRPr="00186647" w:rsidRDefault="0058708D" w:rsidP="0058708D">
      <w:pPr>
        <w:rPr>
          <w:rFonts w:ascii="Arial" w:hAnsi="Arial" w:cs="Arial"/>
          <w:b/>
          <w:sz w:val="24"/>
          <w:szCs w:val="24"/>
        </w:rPr>
      </w:pPr>
      <w:r w:rsidRPr="0058708D">
        <w:rPr>
          <w:rFonts w:ascii="Arial" w:hAnsi="Arial" w:cs="Arial"/>
          <w:b/>
          <w:sz w:val="24"/>
          <w:szCs w:val="24"/>
        </w:rPr>
        <w:t>As per international standards or university standards, patient(s) written consent has been collected and preserved by the author(s).</w:t>
      </w:r>
    </w:p>
    <w:p w14:paraId="16227FD3" w14:textId="28E15493" w:rsidR="005364AC" w:rsidRPr="00186647" w:rsidRDefault="005364AC" w:rsidP="005364AC">
      <w:pPr>
        <w:spacing w:before="120" w:after="120" w:line="360" w:lineRule="auto"/>
        <w:rPr>
          <w:rFonts w:ascii="Arial" w:hAnsi="Arial" w:cs="Arial"/>
          <w:b/>
          <w:color w:val="000000" w:themeColor="text1"/>
          <w:sz w:val="24"/>
          <w:szCs w:val="24"/>
        </w:rPr>
      </w:pPr>
      <w:r w:rsidRPr="00186647">
        <w:rPr>
          <w:rFonts w:ascii="Arial" w:hAnsi="Arial" w:cs="Arial"/>
          <w:b/>
          <w:color w:val="000000" w:themeColor="text1"/>
          <w:sz w:val="24"/>
          <w:szCs w:val="24"/>
        </w:rPr>
        <w:t xml:space="preserve">List of tables </w:t>
      </w:r>
    </w:p>
    <w:p w14:paraId="3E62591E" w14:textId="26B8EFAF" w:rsidR="00A64F39" w:rsidRPr="00186647" w:rsidRDefault="00A64F39">
      <w:pPr>
        <w:pStyle w:val="TableofFigures"/>
        <w:tabs>
          <w:tab w:val="right" w:leader="dot" w:pos="9016"/>
        </w:tabs>
        <w:rPr>
          <w:rFonts w:asciiTheme="minorHAnsi" w:eastAsiaTheme="minorEastAsia" w:hAnsiTheme="minorHAnsi" w:cstheme="minorBidi"/>
          <w:noProof/>
          <w:sz w:val="24"/>
          <w:szCs w:val="24"/>
        </w:rPr>
      </w:pPr>
      <w:r w:rsidRPr="00186647">
        <w:rPr>
          <w:rFonts w:cs="Arial"/>
          <w:b/>
          <w:bCs/>
          <w:color w:val="000000" w:themeColor="text1"/>
          <w:sz w:val="24"/>
          <w:szCs w:val="24"/>
        </w:rPr>
        <w:fldChar w:fldCharType="begin"/>
      </w:r>
      <w:r w:rsidRPr="00186647">
        <w:rPr>
          <w:rFonts w:cs="Arial"/>
          <w:b/>
          <w:bCs/>
          <w:color w:val="000000" w:themeColor="text1"/>
          <w:sz w:val="24"/>
          <w:szCs w:val="24"/>
        </w:rPr>
        <w:instrText xml:space="preserve"> TOC \h \z \c "Table" </w:instrText>
      </w:r>
      <w:r w:rsidRPr="00186647">
        <w:rPr>
          <w:rFonts w:cs="Arial"/>
          <w:b/>
          <w:bCs/>
          <w:color w:val="000000" w:themeColor="text1"/>
          <w:sz w:val="24"/>
          <w:szCs w:val="24"/>
        </w:rPr>
        <w:fldChar w:fldCharType="separate"/>
      </w:r>
      <w:hyperlink w:anchor="_Toc70508839" w:history="1">
        <w:r w:rsidRPr="00186647">
          <w:rPr>
            <w:rStyle w:val="Hyperlink"/>
            <w:noProof/>
            <w:sz w:val="24"/>
            <w:szCs w:val="24"/>
          </w:rPr>
          <w:t>Table 1 FACILITIES STUDIED</w:t>
        </w:r>
        <w:r w:rsidRPr="00186647">
          <w:rPr>
            <w:noProof/>
            <w:webHidden/>
            <w:sz w:val="24"/>
            <w:szCs w:val="24"/>
          </w:rPr>
          <w:tab/>
        </w:r>
        <w:r w:rsidRPr="00186647">
          <w:rPr>
            <w:noProof/>
            <w:webHidden/>
            <w:sz w:val="24"/>
            <w:szCs w:val="24"/>
          </w:rPr>
          <w:fldChar w:fldCharType="begin"/>
        </w:r>
        <w:r w:rsidRPr="00186647">
          <w:rPr>
            <w:noProof/>
            <w:webHidden/>
            <w:sz w:val="24"/>
            <w:szCs w:val="24"/>
          </w:rPr>
          <w:instrText xml:space="preserve"> PAGEREF _Toc70508839 \h </w:instrText>
        </w:r>
        <w:r w:rsidRPr="00186647">
          <w:rPr>
            <w:noProof/>
            <w:webHidden/>
            <w:sz w:val="24"/>
            <w:szCs w:val="24"/>
          </w:rPr>
        </w:r>
        <w:r w:rsidRPr="00186647">
          <w:rPr>
            <w:noProof/>
            <w:webHidden/>
            <w:sz w:val="24"/>
            <w:szCs w:val="24"/>
          </w:rPr>
          <w:fldChar w:fldCharType="separate"/>
        </w:r>
        <w:r w:rsidRPr="00186647">
          <w:rPr>
            <w:noProof/>
            <w:webHidden/>
            <w:sz w:val="24"/>
            <w:szCs w:val="24"/>
          </w:rPr>
          <w:t>21</w:t>
        </w:r>
        <w:r w:rsidRPr="00186647">
          <w:rPr>
            <w:noProof/>
            <w:webHidden/>
            <w:sz w:val="24"/>
            <w:szCs w:val="24"/>
          </w:rPr>
          <w:fldChar w:fldCharType="end"/>
        </w:r>
      </w:hyperlink>
    </w:p>
    <w:p w14:paraId="5E01BAA0" w14:textId="6179F8CF" w:rsidR="00A64F39" w:rsidRPr="00186647" w:rsidRDefault="00BA6F04">
      <w:pPr>
        <w:pStyle w:val="TableofFigures"/>
        <w:tabs>
          <w:tab w:val="right" w:leader="dot" w:pos="9016"/>
        </w:tabs>
        <w:rPr>
          <w:rFonts w:asciiTheme="minorHAnsi" w:eastAsiaTheme="minorEastAsia" w:hAnsiTheme="minorHAnsi" w:cstheme="minorBidi"/>
          <w:noProof/>
          <w:sz w:val="24"/>
          <w:szCs w:val="24"/>
        </w:rPr>
      </w:pPr>
      <w:hyperlink w:anchor="_Toc70508840" w:history="1">
        <w:r w:rsidR="00A64F39" w:rsidRPr="00186647">
          <w:rPr>
            <w:rStyle w:val="Hyperlink"/>
            <w:noProof/>
            <w:sz w:val="24"/>
            <w:szCs w:val="24"/>
          </w:rPr>
          <w:t>Table 2 Mean TAT for each facility</w:t>
        </w:r>
        <w:r w:rsidR="00A64F39" w:rsidRPr="00186647">
          <w:rPr>
            <w:noProof/>
            <w:webHidden/>
            <w:sz w:val="24"/>
            <w:szCs w:val="24"/>
          </w:rPr>
          <w:tab/>
        </w:r>
        <w:r w:rsidR="00A64F39" w:rsidRPr="00186647">
          <w:rPr>
            <w:noProof/>
            <w:webHidden/>
            <w:sz w:val="24"/>
            <w:szCs w:val="24"/>
          </w:rPr>
          <w:fldChar w:fldCharType="begin"/>
        </w:r>
        <w:r w:rsidR="00A64F39" w:rsidRPr="00186647">
          <w:rPr>
            <w:noProof/>
            <w:webHidden/>
            <w:sz w:val="24"/>
            <w:szCs w:val="24"/>
          </w:rPr>
          <w:instrText xml:space="preserve"> PAGEREF _Toc70508840 \h </w:instrText>
        </w:r>
        <w:r w:rsidR="00A64F39" w:rsidRPr="00186647">
          <w:rPr>
            <w:noProof/>
            <w:webHidden/>
            <w:sz w:val="24"/>
            <w:szCs w:val="24"/>
          </w:rPr>
        </w:r>
        <w:r w:rsidR="00A64F39" w:rsidRPr="00186647">
          <w:rPr>
            <w:noProof/>
            <w:webHidden/>
            <w:sz w:val="24"/>
            <w:szCs w:val="24"/>
          </w:rPr>
          <w:fldChar w:fldCharType="separate"/>
        </w:r>
        <w:r w:rsidR="00A64F39" w:rsidRPr="00186647">
          <w:rPr>
            <w:noProof/>
            <w:webHidden/>
            <w:sz w:val="24"/>
            <w:szCs w:val="24"/>
          </w:rPr>
          <w:t>22</w:t>
        </w:r>
        <w:r w:rsidR="00A64F39" w:rsidRPr="00186647">
          <w:rPr>
            <w:noProof/>
            <w:webHidden/>
            <w:sz w:val="24"/>
            <w:szCs w:val="24"/>
          </w:rPr>
          <w:fldChar w:fldCharType="end"/>
        </w:r>
      </w:hyperlink>
    </w:p>
    <w:p w14:paraId="03616718" w14:textId="493130BA" w:rsidR="00A64F39" w:rsidRPr="00186647" w:rsidRDefault="00BA6F04">
      <w:pPr>
        <w:pStyle w:val="TableofFigures"/>
        <w:tabs>
          <w:tab w:val="right" w:leader="dot" w:pos="9016"/>
        </w:tabs>
        <w:rPr>
          <w:rFonts w:asciiTheme="minorHAnsi" w:eastAsiaTheme="minorEastAsia" w:hAnsiTheme="minorHAnsi" w:cstheme="minorBidi"/>
          <w:noProof/>
          <w:sz w:val="24"/>
          <w:szCs w:val="24"/>
        </w:rPr>
      </w:pPr>
      <w:hyperlink w:anchor="_Toc70508841" w:history="1">
        <w:r w:rsidR="00A64F39" w:rsidRPr="00186647">
          <w:rPr>
            <w:rStyle w:val="Hyperlink"/>
            <w:noProof/>
            <w:sz w:val="24"/>
            <w:szCs w:val="24"/>
          </w:rPr>
          <w:t>Table 3 Statistical TAT mean difference</w:t>
        </w:r>
        <w:r w:rsidR="00A64F39" w:rsidRPr="00186647">
          <w:rPr>
            <w:noProof/>
            <w:webHidden/>
            <w:sz w:val="24"/>
            <w:szCs w:val="24"/>
          </w:rPr>
          <w:tab/>
        </w:r>
        <w:r w:rsidR="00A64F39" w:rsidRPr="00186647">
          <w:rPr>
            <w:noProof/>
            <w:webHidden/>
            <w:sz w:val="24"/>
            <w:szCs w:val="24"/>
          </w:rPr>
          <w:fldChar w:fldCharType="begin"/>
        </w:r>
        <w:r w:rsidR="00A64F39" w:rsidRPr="00186647">
          <w:rPr>
            <w:noProof/>
            <w:webHidden/>
            <w:sz w:val="24"/>
            <w:szCs w:val="24"/>
          </w:rPr>
          <w:instrText xml:space="preserve"> PAGEREF _Toc70508841 \h </w:instrText>
        </w:r>
        <w:r w:rsidR="00A64F39" w:rsidRPr="00186647">
          <w:rPr>
            <w:noProof/>
            <w:webHidden/>
            <w:sz w:val="24"/>
            <w:szCs w:val="24"/>
          </w:rPr>
        </w:r>
        <w:r w:rsidR="00A64F39" w:rsidRPr="00186647">
          <w:rPr>
            <w:noProof/>
            <w:webHidden/>
            <w:sz w:val="24"/>
            <w:szCs w:val="24"/>
          </w:rPr>
          <w:fldChar w:fldCharType="separate"/>
        </w:r>
        <w:r w:rsidR="00A64F39" w:rsidRPr="00186647">
          <w:rPr>
            <w:noProof/>
            <w:webHidden/>
            <w:sz w:val="24"/>
            <w:szCs w:val="24"/>
          </w:rPr>
          <w:t>23</w:t>
        </w:r>
        <w:r w:rsidR="00A64F39" w:rsidRPr="00186647">
          <w:rPr>
            <w:noProof/>
            <w:webHidden/>
            <w:sz w:val="24"/>
            <w:szCs w:val="24"/>
          </w:rPr>
          <w:fldChar w:fldCharType="end"/>
        </w:r>
      </w:hyperlink>
    </w:p>
    <w:p w14:paraId="67764685" w14:textId="4ABCA476" w:rsidR="00A64F39" w:rsidRPr="00186647" w:rsidRDefault="00A64F39" w:rsidP="005364AC">
      <w:pPr>
        <w:spacing w:before="120" w:after="120" w:line="360" w:lineRule="auto"/>
        <w:rPr>
          <w:rFonts w:ascii="Arial" w:hAnsi="Arial" w:cs="Arial"/>
          <w:b/>
          <w:bCs/>
          <w:color w:val="000000" w:themeColor="text1"/>
          <w:sz w:val="24"/>
          <w:szCs w:val="24"/>
        </w:rPr>
      </w:pPr>
      <w:r w:rsidRPr="00186647">
        <w:rPr>
          <w:rFonts w:ascii="Arial" w:hAnsi="Arial" w:cs="Arial"/>
          <w:b/>
          <w:bCs/>
          <w:color w:val="000000" w:themeColor="text1"/>
          <w:sz w:val="24"/>
          <w:szCs w:val="24"/>
        </w:rPr>
        <w:fldChar w:fldCharType="end"/>
      </w:r>
    </w:p>
    <w:p w14:paraId="4926A18E" w14:textId="06F55533" w:rsidR="007349C5" w:rsidRPr="00186647" w:rsidRDefault="007349C5">
      <w:pPr>
        <w:rPr>
          <w:rFonts w:ascii="Arial" w:hAnsi="Arial" w:cs="Arial"/>
          <w:b/>
          <w:color w:val="000000" w:themeColor="text1"/>
          <w:sz w:val="24"/>
          <w:szCs w:val="24"/>
        </w:rPr>
      </w:pPr>
    </w:p>
    <w:p w14:paraId="360D5652" w14:textId="5BDFEB51" w:rsidR="005364AC" w:rsidRPr="00186647" w:rsidRDefault="00EC50AD">
      <w:pPr>
        <w:rPr>
          <w:rFonts w:ascii="Arial" w:hAnsi="Arial" w:cs="Arial"/>
          <w:b/>
          <w:color w:val="000000" w:themeColor="text1"/>
          <w:sz w:val="24"/>
          <w:szCs w:val="24"/>
        </w:rPr>
      </w:pPr>
      <w:r w:rsidRPr="00186647">
        <w:rPr>
          <w:rFonts w:ascii="Arial" w:hAnsi="Arial" w:cs="Arial"/>
          <w:b/>
          <w:sz w:val="24"/>
          <w:szCs w:val="24"/>
        </w:rPr>
        <w:t>References</w:t>
      </w:r>
    </w:p>
    <w:p w14:paraId="747A5AB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fldChar w:fldCharType="begin"/>
      </w:r>
      <w:r w:rsidRPr="00186647">
        <w:rPr>
          <w:rFonts w:ascii="Arial" w:hAnsi="Arial" w:cs="Arial"/>
          <w:sz w:val="24"/>
          <w:szCs w:val="24"/>
        </w:rPr>
        <w:instrText xml:space="preserve"> ADDIN ZOTERO_BIBL {"uncited":[],"omitted":[],"custom":[]} CSL_BIBLIOGRAPHY </w:instrText>
      </w:r>
      <w:r w:rsidRPr="00186647">
        <w:rPr>
          <w:rFonts w:ascii="Arial" w:hAnsi="Arial" w:cs="Arial"/>
          <w:sz w:val="24"/>
          <w:szCs w:val="24"/>
        </w:rPr>
        <w:fldChar w:fldCharType="separate"/>
      </w:r>
      <w:r w:rsidRPr="00186647">
        <w:rPr>
          <w:rFonts w:ascii="Arial" w:hAnsi="Arial" w:cs="Arial"/>
          <w:sz w:val="24"/>
          <w:szCs w:val="24"/>
        </w:rPr>
        <w:t xml:space="preserve">1. </w:t>
      </w:r>
      <w:r w:rsidRPr="00186647">
        <w:rPr>
          <w:rFonts w:ascii="Arial" w:hAnsi="Arial" w:cs="Arial"/>
          <w:sz w:val="24"/>
          <w:szCs w:val="24"/>
        </w:rPr>
        <w:tab/>
        <w:t xml:space="preserve">Bain LE, Nkoke C, Noubiap JJN. UNAIDS 90–90–90 targets to end the AIDS epidemic by 2020 are not realistic: comment on “Can the UNAIDS 90–90–90 target be achieved? A systematic analysis of national HIV treatment cascades.” BMJ Glob Health. 2017 Mar;2(2):e000227. </w:t>
      </w:r>
    </w:p>
    <w:p w14:paraId="14F5F54C"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 </w:t>
      </w:r>
      <w:r w:rsidRPr="00186647">
        <w:rPr>
          <w:rFonts w:ascii="Arial" w:hAnsi="Arial" w:cs="Arial"/>
          <w:sz w:val="24"/>
          <w:szCs w:val="24"/>
        </w:rPr>
        <w:tab/>
        <w:t xml:space="preserve">Awofala AA, Ogundele OE. HIV epidemiology in Nigeria. Saudi J Biol Sci. 2018 May;25(4):697–703. </w:t>
      </w:r>
    </w:p>
    <w:p w14:paraId="3AD012B1"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3. </w:t>
      </w:r>
      <w:r w:rsidRPr="00186647">
        <w:rPr>
          <w:rFonts w:ascii="Arial" w:hAnsi="Arial" w:cs="Arial"/>
          <w:sz w:val="24"/>
          <w:szCs w:val="24"/>
        </w:rPr>
        <w:tab/>
        <w:t>Global HIV &amp; AIDS statistics — 2019 fact sheet [Internet]. [cited 2020 Jun 25]. Available from: https://www.unaids.org/en/resources/fact-sheet</w:t>
      </w:r>
    </w:p>
    <w:p w14:paraId="5B69DEF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4. </w:t>
      </w:r>
      <w:r w:rsidRPr="00186647">
        <w:rPr>
          <w:rFonts w:ascii="Arial" w:hAnsi="Arial" w:cs="Arial"/>
          <w:sz w:val="24"/>
          <w:szCs w:val="24"/>
        </w:rPr>
        <w:tab/>
        <w:t>HIV and AIDS in Nigeria. Avert [Internet]. 2015 Jul 21 [cited 2020 Jun 29]; Available from: https://www.avert.org/professionals/hiv-around-world/sub-saharan-africa/nigeria</w:t>
      </w:r>
    </w:p>
    <w:p w14:paraId="079BEC06"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5. </w:t>
      </w:r>
      <w:r w:rsidRPr="00186647">
        <w:rPr>
          <w:rFonts w:ascii="Arial" w:hAnsi="Arial" w:cs="Arial"/>
          <w:sz w:val="24"/>
          <w:szCs w:val="24"/>
        </w:rPr>
        <w:tab/>
        <w:t xml:space="preserve">90-90-90: An ambitious treatment target to help end the AIDS epidemic. :40. </w:t>
      </w:r>
    </w:p>
    <w:p w14:paraId="03BA556F"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6. </w:t>
      </w:r>
      <w:r w:rsidRPr="00186647">
        <w:rPr>
          <w:rFonts w:ascii="Arial" w:hAnsi="Arial" w:cs="Arial"/>
          <w:sz w:val="24"/>
          <w:szCs w:val="24"/>
        </w:rPr>
        <w:tab/>
        <w:t xml:space="preserve">Mylonakis E, Paliou M, Rich JD. Plasma Viral Load Testing in the Management of HIV Infection. 2001;63(3):8. </w:t>
      </w:r>
    </w:p>
    <w:p w14:paraId="1E6C4018"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7. </w:t>
      </w:r>
      <w:r w:rsidRPr="00186647">
        <w:rPr>
          <w:rFonts w:ascii="Arial" w:hAnsi="Arial" w:cs="Arial"/>
          <w:sz w:val="24"/>
          <w:szCs w:val="24"/>
        </w:rPr>
        <w:tab/>
        <w:t>Laboratory Systems [Internet]. Global Health Security Agenda. 2020 [cited 2020 Jun 29]. Available from: https://ghsagenda.org/laboratory-systems/</w:t>
      </w:r>
    </w:p>
    <w:p w14:paraId="39E3981C"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8. </w:t>
      </w:r>
      <w:r w:rsidRPr="00186647">
        <w:rPr>
          <w:rFonts w:ascii="Arial" w:hAnsi="Arial" w:cs="Arial"/>
          <w:sz w:val="24"/>
          <w:szCs w:val="24"/>
        </w:rPr>
        <w:tab/>
        <w:t>CDC Global Health - Global Health Security Agenda: Action Packages [Internet]. 2019 [cited 2020 Jun 29]. Available from: https://www.cdc.gov/globalhealth/security/actionpackages/default.htm</w:t>
      </w:r>
    </w:p>
    <w:p w14:paraId="6B4F3745"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9. </w:t>
      </w:r>
      <w:r w:rsidRPr="00186647">
        <w:rPr>
          <w:rFonts w:ascii="Arial" w:hAnsi="Arial" w:cs="Arial"/>
          <w:sz w:val="24"/>
          <w:szCs w:val="24"/>
        </w:rPr>
        <w:tab/>
        <w:t xml:space="preserve">Faruna T, Akintunde E, Odelola B. Leveraging private sector transportation/logistics services to improve the National Integrated Specimen Referral Network in Nigeria. 2019;13. </w:t>
      </w:r>
    </w:p>
    <w:p w14:paraId="59084EBF"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lastRenderedPageBreak/>
        <w:t xml:space="preserve">10. </w:t>
      </w:r>
      <w:r w:rsidRPr="00186647">
        <w:rPr>
          <w:rFonts w:ascii="Arial" w:hAnsi="Arial" w:cs="Arial"/>
          <w:sz w:val="24"/>
          <w:szCs w:val="24"/>
        </w:rPr>
        <w:tab/>
        <w:t xml:space="preserve">Alemnji G, Fonjungo P, Van Der Pol B, Peter T, Kantor R, Nkengasong J. The Centrality of Laboratory Services in the HIV Treatment and Prevention Cascade: The Need for Effective Linkages and Referrals in Resource-Limited Settings. AIDS Patient Care STDs. 2014 May;28(5):268–73. </w:t>
      </w:r>
    </w:p>
    <w:p w14:paraId="2EC1D8D1"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11. </w:t>
      </w:r>
      <w:r w:rsidRPr="00186647">
        <w:rPr>
          <w:rFonts w:ascii="Arial" w:hAnsi="Arial" w:cs="Arial"/>
          <w:sz w:val="24"/>
          <w:szCs w:val="24"/>
        </w:rPr>
        <w:tab/>
        <w:t>HIV Prevalence Rate (By States) in Nigeria (2019/2020) [Internet]. NigerianWiki. 2019 [cited 2020 Jun 29]. Available from: https://nigerianwiki.xyz/hiv-prevalence-rate-by-states-nigeria-2019/</w:t>
      </w:r>
    </w:p>
    <w:p w14:paraId="5DA7A53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12. </w:t>
      </w:r>
      <w:r w:rsidRPr="00186647">
        <w:rPr>
          <w:rFonts w:ascii="Arial" w:hAnsi="Arial" w:cs="Arial"/>
          <w:sz w:val="24"/>
          <w:szCs w:val="24"/>
        </w:rPr>
        <w:tab/>
        <w:t xml:space="preserve">Kiyaga C, Sendagire H, Joseph E, McConnell I, Grosz J, Narayan V, et al. Uganda’s New National Laboratory Sample Transport System: A Successful Model for Improving Access to Diagnostic Services for Early Infant HIV Diagnosis and Other Programs. PLOS ONE. 2013 Nov 13;8(11):e78609. </w:t>
      </w:r>
    </w:p>
    <w:p w14:paraId="0379056C"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13. </w:t>
      </w:r>
      <w:r w:rsidRPr="00186647">
        <w:rPr>
          <w:rFonts w:ascii="Arial" w:hAnsi="Arial" w:cs="Arial"/>
          <w:sz w:val="24"/>
          <w:szCs w:val="24"/>
        </w:rPr>
        <w:tab/>
        <w:t xml:space="preserve">Kebede Y, Fonjungo PN, Tibesso G, Shrivastava R, Nkengasong JN, Kenyon T, et al. Improved Specimen-Referral System and Increased Access to Quality Laboratory Services in Ethiopia: The Role of the Public-Private Partnership. J Infect Dis. 2016 Apr 15;213(suppl 2):S59–64. </w:t>
      </w:r>
    </w:p>
    <w:p w14:paraId="54D1B1B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14. </w:t>
      </w:r>
      <w:r w:rsidRPr="00186647">
        <w:rPr>
          <w:rFonts w:ascii="Arial" w:hAnsi="Arial" w:cs="Arial"/>
          <w:sz w:val="24"/>
          <w:szCs w:val="24"/>
        </w:rPr>
        <w:tab/>
        <w:t xml:space="preserve">Faith AO, Adeiye AL, Paul AO, Felix O, Nwofe JO, Kaniki FR, et al. Impact of Sputum Samples Logistics Coordination on TB Diagnosis in Nigeria. :8. </w:t>
      </w:r>
    </w:p>
    <w:p w14:paraId="0B9A824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15. </w:t>
      </w:r>
      <w:r w:rsidRPr="00186647">
        <w:rPr>
          <w:rFonts w:ascii="Arial" w:hAnsi="Arial" w:cs="Arial"/>
          <w:sz w:val="24"/>
          <w:szCs w:val="24"/>
        </w:rPr>
        <w:tab/>
        <w:t xml:space="preserve">MALONI MJ, CARTER CR. Opportunities for Research in Third-Party Logistics. Transp J. 2006;45(2):23–38. </w:t>
      </w:r>
    </w:p>
    <w:p w14:paraId="4184D9B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16. </w:t>
      </w:r>
      <w:r w:rsidRPr="00186647">
        <w:rPr>
          <w:rFonts w:ascii="Arial" w:hAnsi="Arial" w:cs="Arial"/>
          <w:sz w:val="24"/>
          <w:szCs w:val="24"/>
        </w:rPr>
        <w:tab/>
        <w:t xml:space="preserve">Mathauer I, Imhoff I. Health worker motivation in Africa: the role of non-financial incentives and human resource management tools. Hum Resour Health. 2006 Aug 29;4(1):24. </w:t>
      </w:r>
    </w:p>
    <w:p w14:paraId="20A178AF"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17. </w:t>
      </w:r>
      <w:r w:rsidRPr="00186647">
        <w:rPr>
          <w:rFonts w:ascii="Arial" w:hAnsi="Arial" w:cs="Arial"/>
          <w:sz w:val="24"/>
          <w:szCs w:val="24"/>
        </w:rPr>
        <w:tab/>
        <w:t xml:space="preserve">Schneider H, Blaauw D, Gilson L, Chabikuli N, Goudge J. Health Systems and Access to Antiretroviral Drugs for HIV in Southern Africa: Service Delivery and Human Resources Challenges. Reprod Health Matters. 2006 May 1;14(27):12–23. </w:t>
      </w:r>
    </w:p>
    <w:p w14:paraId="6D9F8952"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18. </w:t>
      </w:r>
      <w:r w:rsidRPr="00186647">
        <w:rPr>
          <w:rFonts w:ascii="Arial" w:hAnsi="Arial" w:cs="Arial"/>
          <w:sz w:val="24"/>
          <w:szCs w:val="24"/>
        </w:rPr>
        <w:tab/>
        <w:t xml:space="preserve">Stotler BA, Kratz A. Determination of Turnaround Time in the Clinical Laboratory: “Accessioning-to-Result” Time Does Not Always Accurately Reflect Laboratory Performance. Am J Clin Pathol. 2012 Nov;138(5):724–9. </w:t>
      </w:r>
    </w:p>
    <w:p w14:paraId="1C63EE07"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19. </w:t>
      </w:r>
      <w:r w:rsidRPr="00186647">
        <w:rPr>
          <w:rFonts w:ascii="Arial" w:hAnsi="Arial" w:cs="Arial"/>
          <w:sz w:val="24"/>
          <w:szCs w:val="24"/>
        </w:rPr>
        <w:tab/>
        <w:t xml:space="preserve">Shiferaw MB, Yismaw G, Getachew H. Specimen rejections among referred specimens through referral network to the Amhara Public Health Institute for laboratory testing, Bahir Dar, Ethiopia. BMC Res Notes. 2018 Dec;11(1):781. </w:t>
      </w:r>
    </w:p>
    <w:p w14:paraId="40AF30ED"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20. </w:t>
      </w:r>
      <w:r w:rsidRPr="00186647">
        <w:rPr>
          <w:rFonts w:ascii="Arial" w:hAnsi="Arial" w:cs="Arial"/>
          <w:sz w:val="24"/>
          <w:szCs w:val="24"/>
        </w:rPr>
        <w:tab/>
        <w:t xml:space="preserve">Bhatt RD, Shrestha C, Risal P. Factors affecting turnaround time in the clinical laboratory of the Kathmandu University Hospital, Nepal. :11. </w:t>
      </w:r>
    </w:p>
    <w:p w14:paraId="1BF4B849"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21. </w:t>
      </w:r>
      <w:r w:rsidRPr="00186647">
        <w:rPr>
          <w:rFonts w:ascii="Arial" w:hAnsi="Arial" w:cs="Arial"/>
          <w:sz w:val="24"/>
          <w:szCs w:val="24"/>
        </w:rPr>
        <w:tab/>
        <w:t xml:space="preserve">Shiferaw MB, Yismaw G. Magnitude of delayed turnaround time of laboratory results in Amhara Public Health Institute, Bahir Dar, Ethiopia. BMC Health Serv Res. 2019 Apr 24;19(1):240. </w:t>
      </w:r>
    </w:p>
    <w:p w14:paraId="164E873D"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lastRenderedPageBreak/>
        <w:t xml:space="preserve">22. </w:t>
      </w:r>
      <w:r w:rsidRPr="00186647">
        <w:rPr>
          <w:rFonts w:ascii="Arial" w:hAnsi="Arial" w:cs="Arial"/>
          <w:sz w:val="24"/>
          <w:szCs w:val="24"/>
        </w:rPr>
        <w:tab/>
        <w:t xml:space="preserve">Goswami B, Singh B, Chawla R, Gupta VK, Mallika V. Turn Around Time (TAT) as a Benchmark of Laboratory Performance. Indian J Clin Biochem. 2010 Oct;25(4):376–9. </w:t>
      </w:r>
    </w:p>
    <w:p w14:paraId="5DA6E3E8"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23. </w:t>
      </w:r>
      <w:r w:rsidRPr="00186647">
        <w:rPr>
          <w:rFonts w:ascii="Arial" w:hAnsi="Arial" w:cs="Arial"/>
          <w:sz w:val="24"/>
          <w:szCs w:val="24"/>
        </w:rPr>
        <w:tab/>
        <w:t xml:space="preserve">Minchella PA, Chipungu G, Kim AA, Sarr A, Ali H, Mwenda R, et al. Specimen origin, type and testing laboratory are linked to longer turnaround times for HIV viral load testing in Malawi. Charpentier C, editor. PLOS ONE. 2017 Feb 24;12(2):e0173009. </w:t>
      </w:r>
    </w:p>
    <w:p w14:paraId="668236B0" w14:textId="77777777" w:rsidR="00042E24" w:rsidRPr="00186647" w:rsidRDefault="00042E24" w:rsidP="00042E24">
      <w:pPr>
        <w:pStyle w:val="Bibliography"/>
        <w:rPr>
          <w:rFonts w:ascii="Arial" w:hAnsi="Arial" w:cs="Arial"/>
          <w:sz w:val="24"/>
          <w:szCs w:val="24"/>
        </w:rPr>
      </w:pPr>
      <w:r w:rsidRPr="00186647">
        <w:rPr>
          <w:rFonts w:ascii="Arial" w:hAnsi="Arial" w:cs="Arial"/>
          <w:sz w:val="24"/>
          <w:szCs w:val="24"/>
        </w:rPr>
        <w:t xml:space="preserve">24. </w:t>
      </w:r>
      <w:r w:rsidRPr="00186647">
        <w:rPr>
          <w:rFonts w:ascii="Arial" w:hAnsi="Arial" w:cs="Arial"/>
          <w:sz w:val="24"/>
          <w:szCs w:val="24"/>
        </w:rPr>
        <w:tab/>
        <w:t xml:space="preserve">Willis-Shattuck M, Bidwell P, Thomas S, Wyness L, Blaauw D, Ditlopo P. Motivation and retention of health workers in developing countries: a systematic review. BMC Health Serv Res. 2008 Dec 4;8(1):247. </w:t>
      </w:r>
    </w:p>
    <w:p w14:paraId="170B840F" w14:textId="77777777" w:rsidR="00972739" w:rsidRPr="00186647" w:rsidRDefault="00042E24">
      <w:pPr>
        <w:rPr>
          <w:rFonts w:ascii="Arial" w:hAnsi="Arial" w:cs="Arial"/>
          <w:sz w:val="24"/>
          <w:szCs w:val="24"/>
        </w:rPr>
        <w:sectPr w:rsidR="00972739" w:rsidRPr="00186647" w:rsidSect="00972739">
          <w:pgSz w:w="11906" w:h="16838"/>
          <w:pgMar w:top="1440" w:right="1440" w:bottom="1440" w:left="1440" w:header="720" w:footer="720" w:gutter="0"/>
          <w:cols w:space="720"/>
          <w:docGrid w:linePitch="360"/>
        </w:sectPr>
      </w:pPr>
      <w:r w:rsidRPr="00186647">
        <w:rPr>
          <w:rFonts w:ascii="Arial" w:hAnsi="Arial" w:cs="Arial"/>
          <w:sz w:val="24"/>
          <w:szCs w:val="24"/>
        </w:rPr>
        <w:fldChar w:fldCharType="end"/>
      </w:r>
    </w:p>
    <w:p w14:paraId="43E2A5CD" w14:textId="77777777" w:rsidR="00972739" w:rsidRPr="00186647" w:rsidRDefault="00972739" w:rsidP="00972739">
      <w:pPr>
        <w:rPr>
          <w:rFonts w:ascii="Arial" w:hAnsi="Arial" w:cs="Arial"/>
          <w:sz w:val="24"/>
          <w:szCs w:val="24"/>
        </w:rPr>
      </w:pPr>
    </w:p>
    <w:p w14:paraId="6BA95BCE" w14:textId="5438A668" w:rsidR="00135D5D" w:rsidRPr="00186647" w:rsidRDefault="00135D5D" w:rsidP="00135D5D">
      <w:pPr>
        <w:pStyle w:val="Caption"/>
        <w:keepNext/>
        <w:rPr>
          <w:sz w:val="24"/>
          <w:szCs w:val="24"/>
        </w:rPr>
      </w:pPr>
    </w:p>
    <w:tbl>
      <w:tblPr>
        <w:tblStyle w:val="TableGrid"/>
        <w:tblW w:w="14035" w:type="dxa"/>
        <w:tblLook w:val="04A0" w:firstRow="1" w:lastRow="0" w:firstColumn="1" w:lastColumn="0" w:noHBand="0" w:noVBand="1"/>
      </w:tblPr>
      <w:tblGrid>
        <w:gridCol w:w="5755"/>
        <w:gridCol w:w="2430"/>
        <w:gridCol w:w="3780"/>
        <w:gridCol w:w="2070"/>
      </w:tblGrid>
      <w:tr w:rsidR="00972739" w:rsidRPr="00186647" w14:paraId="4CF30F80" w14:textId="77777777" w:rsidTr="002B28F3">
        <w:trPr>
          <w:trHeight w:val="575"/>
        </w:trPr>
        <w:tc>
          <w:tcPr>
            <w:tcW w:w="5755" w:type="dxa"/>
            <w:tcBorders>
              <w:right w:val="nil"/>
            </w:tcBorders>
          </w:tcPr>
          <w:p w14:paraId="68FF70BA" w14:textId="0610E0DB" w:rsidR="00972739" w:rsidRPr="00186647" w:rsidRDefault="00135D5D" w:rsidP="004F0DD8">
            <w:pPr>
              <w:rPr>
                <w:rFonts w:ascii="Arial Black" w:hAnsi="Arial Black" w:cs="Arial"/>
                <w:b/>
                <w:bCs/>
                <w:color w:val="000000" w:themeColor="text1"/>
                <w:sz w:val="24"/>
                <w:szCs w:val="24"/>
                <w:u w:val="single"/>
              </w:rPr>
            </w:pPr>
            <w:bookmarkStart w:id="3" w:name="_Toc70508839"/>
            <w:r w:rsidRPr="00186647">
              <w:rPr>
                <w:rFonts w:ascii="Arial Black" w:hAnsi="Arial Black"/>
                <w:sz w:val="24"/>
                <w:szCs w:val="24"/>
              </w:rPr>
              <w:t xml:space="preserve">Table </w:t>
            </w:r>
            <w:r w:rsidRPr="00186647">
              <w:rPr>
                <w:rFonts w:ascii="Arial Black" w:hAnsi="Arial Black"/>
                <w:sz w:val="24"/>
                <w:szCs w:val="24"/>
              </w:rPr>
              <w:fldChar w:fldCharType="begin"/>
            </w:r>
            <w:r w:rsidRPr="00186647">
              <w:rPr>
                <w:rFonts w:ascii="Arial Black" w:hAnsi="Arial Black"/>
                <w:sz w:val="24"/>
                <w:szCs w:val="24"/>
              </w:rPr>
              <w:instrText xml:space="preserve"> SEQ Table \* ARABIC </w:instrText>
            </w:r>
            <w:r w:rsidRPr="00186647">
              <w:rPr>
                <w:rFonts w:ascii="Arial Black" w:hAnsi="Arial Black"/>
                <w:sz w:val="24"/>
                <w:szCs w:val="24"/>
              </w:rPr>
              <w:fldChar w:fldCharType="separate"/>
            </w:r>
            <w:r w:rsidR="00A64F39" w:rsidRPr="00186647">
              <w:rPr>
                <w:rFonts w:ascii="Arial Black" w:hAnsi="Arial Black"/>
                <w:noProof/>
                <w:sz w:val="24"/>
                <w:szCs w:val="24"/>
              </w:rPr>
              <w:t>1</w:t>
            </w:r>
            <w:r w:rsidRPr="00186647">
              <w:rPr>
                <w:rFonts w:ascii="Arial Black" w:hAnsi="Arial Black"/>
                <w:sz w:val="24"/>
                <w:szCs w:val="24"/>
              </w:rPr>
              <w:fldChar w:fldCharType="end"/>
            </w:r>
            <w:r w:rsidRPr="00186647">
              <w:rPr>
                <w:rFonts w:ascii="Arial Black" w:hAnsi="Arial Black"/>
                <w:sz w:val="24"/>
                <w:szCs w:val="24"/>
              </w:rPr>
              <w:t xml:space="preserve"> FACILITIES STUDIED</w:t>
            </w:r>
            <w:bookmarkEnd w:id="3"/>
          </w:p>
        </w:tc>
        <w:tc>
          <w:tcPr>
            <w:tcW w:w="2430" w:type="dxa"/>
            <w:tcBorders>
              <w:left w:val="nil"/>
              <w:right w:val="nil"/>
            </w:tcBorders>
          </w:tcPr>
          <w:p w14:paraId="2A9485CF" w14:textId="77777777" w:rsidR="00972739" w:rsidRPr="00186647" w:rsidRDefault="00972739" w:rsidP="004F0DD8">
            <w:pPr>
              <w:rPr>
                <w:rFonts w:cs="Arial"/>
                <w:b/>
                <w:bCs/>
                <w:color w:val="000000" w:themeColor="text1"/>
                <w:sz w:val="24"/>
                <w:szCs w:val="24"/>
              </w:rPr>
            </w:pPr>
          </w:p>
        </w:tc>
        <w:tc>
          <w:tcPr>
            <w:tcW w:w="3780" w:type="dxa"/>
            <w:tcBorders>
              <w:left w:val="nil"/>
              <w:right w:val="nil"/>
            </w:tcBorders>
          </w:tcPr>
          <w:p w14:paraId="1EDE21CE" w14:textId="77777777" w:rsidR="00972739" w:rsidRPr="00186647" w:rsidRDefault="00972739" w:rsidP="004F0DD8">
            <w:pPr>
              <w:rPr>
                <w:rFonts w:cs="Arial"/>
                <w:b/>
                <w:bCs/>
                <w:color w:val="000000" w:themeColor="text1"/>
                <w:sz w:val="24"/>
                <w:szCs w:val="24"/>
              </w:rPr>
            </w:pPr>
          </w:p>
        </w:tc>
        <w:tc>
          <w:tcPr>
            <w:tcW w:w="2070" w:type="dxa"/>
            <w:tcBorders>
              <w:left w:val="nil"/>
            </w:tcBorders>
          </w:tcPr>
          <w:p w14:paraId="4AC399E0" w14:textId="77777777" w:rsidR="00972739" w:rsidRPr="00186647" w:rsidRDefault="00972739" w:rsidP="004F0DD8">
            <w:pPr>
              <w:rPr>
                <w:rFonts w:cs="Arial"/>
                <w:b/>
                <w:bCs/>
                <w:color w:val="000000" w:themeColor="text1"/>
                <w:sz w:val="24"/>
                <w:szCs w:val="24"/>
              </w:rPr>
            </w:pPr>
          </w:p>
        </w:tc>
      </w:tr>
      <w:tr w:rsidR="00972739" w:rsidRPr="00186647" w14:paraId="5C5ADCD6" w14:textId="77777777" w:rsidTr="004F0DD8">
        <w:trPr>
          <w:trHeight w:val="683"/>
        </w:trPr>
        <w:tc>
          <w:tcPr>
            <w:tcW w:w="5755" w:type="dxa"/>
            <w:vAlign w:val="bottom"/>
          </w:tcPr>
          <w:p w14:paraId="23A67546"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Name</w:t>
            </w:r>
          </w:p>
        </w:tc>
        <w:tc>
          <w:tcPr>
            <w:tcW w:w="2430" w:type="dxa"/>
          </w:tcPr>
          <w:p w14:paraId="43EDB4C1"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Location</w:t>
            </w:r>
          </w:p>
        </w:tc>
        <w:tc>
          <w:tcPr>
            <w:tcW w:w="3780" w:type="dxa"/>
          </w:tcPr>
          <w:p w14:paraId="113C1E0B"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Ownership</w:t>
            </w:r>
          </w:p>
        </w:tc>
        <w:tc>
          <w:tcPr>
            <w:tcW w:w="2070" w:type="dxa"/>
          </w:tcPr>
          <w:p w14:paraId="4A593BE0" w14:textId="77777777" w:rsidR="00972739" w:rsidRPr="00186647" w:rsidRDefault="00972739" w:rsidP="004F0DD8">
            <w:pPr>
              <w:rPr>
                <w:rFonts w:cs="Arial"/>
                <w:b/>
                <w:bCs/>
                <w:color w:val="000000" w:themeColor="text1"/>
                <w:sz w:val="24"/>
                <w:szCs w:val="24"/>
              </w:rPr>
            </w:pPr>
            <w:r w:rsidRPr="00186647">
              <w:rPr>
                <w:rFonts w:cs="Arial"/>
                <w:b/>
                <w:bCs/>
                <w:color w:val="000000" w:themeColor="text1"/>
                <w:sz w:val="24"/>
                <w:szCs w:val="24"/>
              </w:rPr>
              <w:t>Type</w:t>
            </w:r>
          </w:p>
        </w:tc>
      </w:tr>
      <w:tr w:rsidR="00972739" w:rsidRPr="00186647" w14:paraId="441583A6" w14:textId="77777777" w:rsidTr="004F0DD8">
        <w:trPr>
          <w:trHeight w:val="530"/>
        </w:trPr>
        <w:tc>
          <w:tcPr>
            <w:tcW w:w="5755" w:type="dxa"/>
          </w:tcPr>
          <w:p w14:paraId="24D6DD21"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Ekiti State University Teaching Hospital, Ado-Ekiti (EKSUTH) also the central HUB for the state.</w:t>
            </w:r>
          </w:p>
        </w:tc>
        <w:tc>
          <w:tcPr>
            <w:tcW w:w="2430" w:type="dxa"/>
          </w:tcPr>
          <w:p w14:paraId="61EDF73B"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Ekiti Central district</w:t>
            </w:r>
          </w:p>
        </w:tc>
        <w:tc>
          <w:tcPr>
            <w:tcW w:w="3780" w:type="dxa"/>
          </w:tcPr>
          <w:p w14:paraId="01326DC6"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 xml:space="preserve">State tertiary healthcare facility </w:t>
            </w:r>
          </w:p>
        </w:tc>
        <w:tc>
          <w:tcPr>
            <w:tcW w:w="2070" w:type="dxa"/>
          </w:tcPr>
          <w:p w14:paraId="06AA0885"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High load</w:t>
            </w:r>
          </w:p>
        </w:tc>
      </w:tr>
      <w:tr w:rsidR="00972739" w:rsidRPr="00186647" w14:paraId="0AC51A5B" w14:textId="77777777" w:rsidTr="004F0DD8">
        <w:tc>
          <w:tcPr>
            <w:tcW w:w="5755" w:type="dxa"/>
          </w:tcPr>
          <w:p w14:paraId="08685886"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General Hospital Emure Ekiti</w:t>
            </w:r>
          </w:p>
        </w:tc>
        <w:tc>
          <w:tcPr>
            <w:tcW w:w="2430" w:type="dxa"/>
          </w:tcPr>
          <w:p w14:paraId="2618BF68"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Ekiti South district</w:t>
            </w:r>
          </w:p>
        </w:tc>
        <w:tc>
          <w:tcPr>
            <w:tcW w:w="3780" w:type="dxa"/>
          </w:tcPr>
          <w:p w14:paraId="1E73D180"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State secondary healthcare facility</w:t>
            </w:r>
          </w:p>
        </w:tc>
        <w:tc>
          <w:tcPr>
            <w:tcW w:w="2070" w:type="dxa"/>
          </w:tcPr>
          <w:p w14:paraId="5C38D15F"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High load</w:t>
            </w:r>
          </w:p>
        </w:tc>
      </w:tr>
      <w:tr w:rsidR="00972739" w:rsidRPr="00186647" w14:paraId="78046399" w14:textId="77777777" w:rsidTr="004F0DD8">
        <w:trPr>
          <w:trHeight w:val="575"/>
        </w:trPr>
        <w:tc>
          <w:tcPr>
            <w:tcW w:w="5755" w:type="dxa"/>
          </w:tcPr>
          <w:p w14:paraId="4690DDAA"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Federal Teaching Hospital Ido-Ekiti (FTHI)</w:t>
            </w:r>
          </w:p>
        </w:tc>
        <w:tc>
          <w:tcPr>
            <w:tcW w:w="2430" w:type="dxa"/>
          </w:tcPr>
          <w:p w14:paraId="3E949CF9"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North district</w:t>
            </w:r>
          </w:p>
        </w:tc>
        <w:tc>
          <w:tcPr>
            <w:tcW w:w="3780" w:type="dxa"/>
          </w:tcPr>
          <w:p w14:paraId="6656CA9B"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Federal government tertiary healthcare facility</w:t>
            </w:r>
          </w:p>
        </w:tc>
        <w:tc>
          <w:tcPr>
            <w:tcW w:w="2070" w:type="dxa"/>
          </w:tcPr>
          <w:p w14:paraId="2AA7877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High load</w:t>
            </w:r>
          </w:p>
        </w:tc>
      </w:tr>
      <w:tr w:rsidR="00972739" w:rsidRPr="00186647" w14:paraId="1FA3D5A3" w14:textId="77777777" w:rsidTr="004F0DD8">
        <w:tc>
          <w:tcPr>
            <w:tcW w:w="5755" w:type="dxa"/>
          </w:tcPr>
          <w:p w14:paraId="5B6DEB74"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Specialist Hospital Ikere-Ekiti</w:t>
            </w:r>
          </w:p>
        </w:tc>
        <w:tc>
          <w:tcPr>
            <w:tcW w:w="2430" w:type="dxa"/>
          </w:tcPr>
          <w:p w14:paraId="22EE992F"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South district</w:t>
            </w:r>
          </w:p>
        </w:tc>
        <w:tc>
          <w:tcPr>
            <w:tcW w:w="3780" w:type="dxa"/>
          </w:tcPr>
          <w:p w14:paraId="367763F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1D429D9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High load</w:t>
            </w:r>
          </w:p>
        </w:tc>
      </w:tr>
      <w:tr w:rsidR="00972739" w:rsidRPr="00186647" w14:paraId="12F84D11" w14:textId="77777777" w:rsidTr="004F0DD8">
        <w:tc>
          <w:tcPr>
            <w:tcW w:w="5755" w:type="dxa"/>
          </w:tcPr>
          <w:p w14:paraId="6B47A1C2"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 Gregory’s Hospital</w:t>
            </w:r>
          </w:p>
        </w:tc>
        <w:tc>
          <w:tcPr>
            <w:tcW w:w="2430" w:type="dxa"/>
          </w:tcPr>
          <w:p w14:paraId="36157D9F"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Central district</w:t>
            </w:r>
          </w:p>
        </w:tc>
        <w:tc>
          <w:tcPr>
            <w:tcW w:w="3780" w:type="dxa"/>
          </w:tcPr>
          <w:p w14:paraId="7181173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Private secondary healthcare facility</w:t>
            </w:r>
          </w:p>
        </w:tc>
        <w:tc>
          <w:tcPr>
            <w:tcW w:w="2070" w:type="dxa"/>
          </w:tcPr>
          <w:p w14:paraId="0063E29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High load</w:t>
            </w:r>
          </w:p>
        </w:tc>
      </w:tr>
      <w:tr w:rsidR="00972739" w:rsidRPr="00186647" w14:paraId="53C52897" w14:textId="77777777" w:rsidTr="004F0DD8">
        <w:tc>
          <w:tcPr>
            <w:tcW w:w="5755" w:type="dxa"/>
          </w:tcPr>
          <w:p w14:paraId="5AB13DF9"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Specialist Hospital Ijero-Ekiti</w:t>
            </w:r>
          </w:p>
        </w:tc>
        <w:tc>
          <w:tcPr>
            <w:tcW w:w="2430" w:type="dxa"/>
          </w:tcPr>
          <w:p w14:paraId="5CA3558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Central district.</w:t>
            </w:r>
          </w:p>
        </w:tc>
        <w:tc>
          <w:tcPr>
            <w:tcW w:w="3780" w:type="dxa"/>
          </w:tcPr>
          <w:p w14:paraId="0114E07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18F395C3" w14:textId="77777777" w:rsidR="00972739" w:rsidRPr="00186647" w:rsidRDefault="00972739" w:rsidP="004F0DD8">
            <w:pPr>
              <w:rPr>
                <w:rFonts w:cs="Arial"/>
                <w:color w:val="000000" w:themeColor="text1"/>
                <w:sz w:val="24"/>
                <w:szCs w:val="24"/>
              </w:rPr>
            </w:pPr>
            <w:r w:rsidRPr="00186647">
              <w:rPr>
                <w:rFonts w:cs="Arial"/>
                <w:color w:val="000000" w:themeColor="text1"/>
                <w:sz w:val="24"/>
                <w:szCs w:val="24"/>
              </w:rPr>
              <w:t>Low load</w:t>
            </w:r>
          </w:p>
        </w:tc>
      </w:tr>
      <w:tr w:rsidR="00972739" w:rsidRPr="00186647" w14:paraId="67D0E1FA" w14:textId="77777777" w:rsidTr="004F0DD8">
        <w:tc>
          <w:tcPr>
            <w:tcW w:w="5755" w:type="dxa"/>
          </w:tcPr>
          <w:p w14:paraId="4DB30A8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Comprehensive Health Centre (CHC) Ilawe Ekiti</w:t>
            </w:r>
          </w:p>
        </w:tc>
        <w:tc>
          <w:tcPr>
            <w:tcW w:w="2430" w:type="dxa"/>
          </w:tcPr>
          <w:p w14:paraId="68A79AC8"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South district</w:t>
            </w:r>
          </w:p>
        </w:tc>
        <w:tc>
          <w:tcPr>
            <w:tcW w:w="3780" w:type="dxa"/>
          </w:tcPr>
          <w:p w14:paraId="00E9DE46"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Primary healthcare facility</w:t>
            </w:r>
          </w:p>
        </w:tc>
        <w:tc>
          <w:tcPr>
            <w:tcW w:w="2070" w:type="dxa"/>
          </w:tcPr>
          <w:p w14:paraId="2700E15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r w:rsidR="00972739" w:rsidRPr="00186647" w14:paraId="3C1BD569" w14:textId="77777777" w:rsidTr="004F0DD8">
        <w:tc>
          <w:tcPr>
            <w:tcW w:w="5755" w:type="dxa"/>
          </w:tcPr>
          <w:p w14:paraId="537A1B5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General Hospital Ifaki Ekiti</w:t>
            </w:r>
          </w:p>
        </w:tc>
        <w:tc>
          <w:tcPr>
            <w:tcW w:w="2430" w:type="dxa"/>
          </w:tcPr>
          <w:p w14:paraId="0E77766E"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North district</w:t>
            </w:r>
          </w:p>
        </w:tc>
        <w:tc>
          <w:tcPr>
            <w:tcW w:w="3780" w:type="dxa"/>
          </w:tcPr>
          <w:p w14:paraId="180718AE"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634A7FF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r w:rsidR="00972739" w:rsidRPr="00186647" w14:paraId="22D92A10" w14:textId="77777777" w:rsidTr="004F0DD8">
        <w:tc>
          <w:tcPr>
            <w:tcW w:w="5755" w:type="dxa"/>
          </w:tcPr>
          <w:p w14:paraId="12D6FD35"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General Hospital Iyin Ekiti</w:t>
            </w:r>
          </w:p>
        </w:tc>
        <w:tc>
          <w:tcPr>
            <w:tcW w:w="2430" w:type="dxa"/>
          </w:tcPr>
          <w:p w14:paraId="5CBC887C"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Central district</w:t>
            </w:r>
          </w:p>
        </w:tc>
        <w:tc>
          <w:tcPr>
            <w:tcW w:w="3780" w:type="dxa"/>
          </w:tcPr>
          <w:p w14:paraId="47CCD9A8"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18C6EF5B"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r w:rsidR="00972739" w:rsidRPr="00186647" w14:paraId="1BF9C081" w14:textId="77777777" w:rsidTr="004F0DD8">
        <w:tc>
          <w:tcPr>
            <w:tcW w:w="5755" w:type="dxa"/>
          </w:tcPr>
          <w:p w14:paraId="002F5D8A"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General Hospital Oye-Ekiti</w:t>
            </w:r>
          </w:p>
        </w:tc>
        <w:tc>
          <w:tcPr>
            <w:tcW w:w="2430" w:type="dxa"/>
          </w:tcPr>
          <w:p w14:paraId="342433AD"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Ekiti North district</w:t>
            </w:r>
          </w:p>
        </w:tc>
        <w:tc>
          <w:tcPr>
            <w:tcW w:w="3780" w:type="dxa"/>
          </w:tcPr>
          <w:p w14:paraId="6BDF44B2"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State secondary healthcare facility</w:t>
            </w:r>
          </w:p>
        </w:tc>
        <w:tc>
          <w:tcPr>
            <w:tcW w:w="2070" w:type="dxa"/>
          </w:tcPr>
          <w:p w14:paraId="6F5B4883" w14:textId="77777777" w:rsidR="00972739" w:rsidRPr="00186647" w:rsidRDefault="00972739" w:rsidP="004F0DD8">
            <w:pPr>
              <w:rPr>
                <w:rFonts w:cs="Arial"/>
                <w:color w:val="000000" w:themeColor="text1"/>
                <w:sz w:val="24"/>
                <w:szCs w:val="24"/>
                <w:u w:val="single"/>
              </w:rPr>
            </w:pPr>
            <w:r w:rsidRPr="00186647">
              <w:rPr>
                <w:rFonts w:cs="Arial"/>
                <w:color w:val="000000" w:themeColor="text1"/>
                <w:sz w:val="24"/>
                <w:szCs w:val="24"/>
              </w:rPr>
              <w:t>Low load</w:t>
            </w:r>
          </w:p>
        </w:tc>
      </w:tr>
    </w:tbl>
    <w:p w14:paraId="7E69C9EE" w14:textId="77777777" w:rsidR="003860A2" w:rsidRPr="00186647" w:rsidRDefault="003860A2" w:rsidP="00972739">
      <w:pPr>
        <w:rPr>
          <w:rFonts w:ascii="Arial" w:hAnsi="Arial" w:cs="Arial"/>
          <w:sz w:val="24"/>
          <w:szCs w:val="24"/>
        </w:rPr>
      </w:pPr>
    </w:p>
    <w:p w14:paraId="2CBAD375" w14:textId="77777777" w:rsidR="00972739" w:rsidRPr="00186647" w:rsidRDefault="00972739" w:rsidP="00972739">
      <w:pPr>
        <w:rPr>
          <w:rFonts w:ascii="Arial" w:hAnsi="Arial" w:cs="Arial"/>
          <w:sz w:val="24"/>
          <w:szCs w:val="24"/>
        </w:rPr>
      </w:pPr>
    </w:p>
    <w:p w14:paraId="23CF7A8E" w14:textId="298BA7B0" w:rsidR="004F0DD8" w:rsidRPr="00186647" w:rsidRDefault="004F0DD8" w:rsidP="004F0DD8">
      <w:pPr>
        <w:pStyle w:val="Caption"/>
        <w:rPr>
          <w:rFonts w:cs="Arial"/>
          <w:i w:val="0"/>
          <w:iCs w:val="0"/>
          <w:color w:val="000000" w:themeColor="text1"/>
          <w:sz w:val="24"/>
          <w:szCs w:val="24"/>
        </w:rPr>
      </w:pPr>
    </w:p>
    <w:p w14:paraId="5B7EA010" w14:textId="74B1C291" w:rsidR="004F0DD8" w:rsidRPr="00186647" w:rsidRDefault="004F0DD8" w:rsidP="00972739">
      <w:pPr>
        <w:rPr>
          <w:rFonts w:ascii="Arial" w:hAnsi="Arial" w:cs="Arial"/>
          <w:sz w:val="24"/>
          <w:szCs w:val="24"/>
        </w:rPr>
      </w:pPr>
    </w:p>
    <w:p w14:paraId="09EF4501" w14:textId="4190C10D" w:rsidR="00135D5D" w:rsidRPr="00186647" w:rsidRDefault="00135D5D" w:rsidP="00135D5D">
      <w:pPr>
        <w:pStyle w:val="Caption"/>
        <w:keepNext/>
        <w:rPr>
          <w:sz w:val="24"/>
          <w:szCs w:val="24"/>
        </w:rPr>
      </w:pPr>
    </w:p>
    <w:tbl>
      <w:tblPr>
        <w:tblpPr w:leftFromText="180" w:rightFromText="180" w:vertAnchor="text" w:horzAnchor="margin" w:tblpY="386"/>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
        <w:gridCol w:w="4232"/>
        <w:gridCol w:w="3600"/>
        <w:gridCol w:w="1350"/>
        <w:gridCol w:w="2790"/>
        <w:gridCol w:w="1350"/>
      </w:tblGrid>
      <w:tr w:rsidR="003860A2" w:rsidRPr="00186647" w14:paraId="54CBF029" w14:textId="77777777" w:rsidTr="003860A2">
        <w:trPr>
          <w:trHeight w:val="647"/>
        </w:trPr>
        <w:tc>
          <w:tcPr>
            <w:tcW w:w="14040" w:type="dxa"/>
            <w:gridSpan w:val="6"/>
            <w:shd w:val="clear" w:color="auto" w:fill="auto"/>
            <w:noWrap/>
            <w:vAlign w:val="center"/>
          </w:tcPr>
          <w:p w14:paraId="6005AD08" w14:textId="4BF7FCD5" w:rsidR="003860A2" w:rsidRPr="00186647" w:rsidRDefault="00A64F39" w:rsidP="003860A2">
            <w:pPr>
              <w:spacing w:after="0" w:line="240" w:lineRule="auto"/>
              <w:rPr>
                <w:rFonts w:ascii="Arial Black" w:eastAsia="Times New Roman" w:hAnsi="Arial Black" w:cs="Arial"/>
                <w:b/>
                <w:color w:val="000000"/>
                <w:sz w:val="24"/>
                <w:szCs w:val="24"/>
              </w:rPr>
            </w:pPr>
            <w:bookmarkStart w:id="4" w:name="_Toc70508840"/>
            <w:r w:rsidRPr="00186647">
              <w:rPr>
                <w:rFonts w:ascii="Arial Black" w:hAnsi="Arial Black"/>
                <w:sz w:val="24"/>
                <w:szCs w:val="24"/>
              </w:rPr>
              <w:t xml:space="preserve">Table </w:t>
            </w:r>
            <w:r w:rsidRPr="00186647">
              <w:rPr>
                <w:rFonts w:ascii="Arial Black" w:hAnsi="Arial Black"/>
                <w:sz w:val="24"/>
                <w:szCs w:val="24"/>
              </w:rPr>
              <w:fldChar w:fldCharType="begin"/>
            </w:r>
            <w:r w:rsidRPr="00186647">
              <w:rPr>
                <w:rFonts w:ascii="Arial Black" w:hAnsi="Arial Black"/>
                <w:sz w:val="24"/>
                <w:szCs w:val="24"/>
              </w:rPr>
              <w:instrText xml:space="preserve"> SEQ Table \* ARABIC </w:instrText>
            </w:r>
            <w:r w:rsidRPr="00186647">
              <w:rPr>
                <w:rFonts w:ascii="Arial Black" w:hAnsi="Arial Black"/>
                <w:sz w:val="24"/>
                <w:szCs w:val="24"/>
              </w:rPr>
              <w:fldChar w:fldCharType="separate"/>
            </w:r>
            <w:r w:rsidRPr="00186647">
              <w:rPr>
                <w:rFonts w:ascii="Arial Black" w:hAnsi="Arial Black"/>
                <w:noProof/>
                <w:sz w:val="24"/>
                <w:szCs w:val="24"/>
              </w:rPr>
              <w:t>2</w:t>
            </w:r>
            <w:r w:rsidRPr="00186647">
              <w:rPr>
                <w:rFonts w:ascii="Arial Black" w:hAnsi="Arial Black"/>
                <w:sz w:val="24"/>
                <w:szCs w:val="24"/>
              </w:rPr>
              <w:fldChar w:fldCharType="end"/>
            </w:r>
            <w:r w:rsidRPr="00186647">
              <w:rPr>
                <w:rFonts w:ascii="Arial Black" w:hAnsi="Arial Black"/>
                <w:sz w:val="24"/>
                <w:szCs w:val="24"/>
              </w:rPr>
              <w:t xml:space="preserve"> Mean TAT for each facility</w:t>
            </w:r>
            <w:bookmarkEnd w:id="4"/>
          </w:p>
        </w:tc>
      </w:tr>
      <w:tr w:rsidR="003860A2" w:rsidRPr="00186647" w14:paraId="75E4EB54" w14:textId="77777777" w:rsidTr="003860A2">
        <w:trPr>
          <w:trHeight w:val="683"/>
        </w:trPr>
        <w:tc>
          <w:tcPr>
            <w:tcW w:w="718" w:type="dxa"/>
            <w:shd w:val="clear" w:color="auto" w:fill="auto"/>
            <w:noWrap/>
            <w:vAlign w:val="center"/>
          </w:tcPr>
          <w:p w14:paraId="2EC93015" w14:textId="77777777" w:rsidR="003860A2" w:rsidRPr="00186647" w:rsidRDefault="003860A2" w:rsidP="003860A2">
            <w:pPr>
              <w:spacing w:after="0" w:line="240" w:lineRule="auto"/>
              <w:jc w:val="center"/>
              <w:rPr>
                <w:rFonts w:eastAsia="Times New Roman" w:cs="Arial"/>
                <w:b/>
                <w:bCs/>
                <w:color w:val="000000"/>
                <w:sz w:val="24"/>
                <w:szCs w:val="24"/>
              </w:rPr>
            </w:pPr>
            <w:r w:rsidRPr="00186647">
              <w:rPr>
                <w:rFonts w:eastAsia="Times New Roman" w:cs="Arial"/>
                <w:b/>
                <w:bCs/>
                <w:color w:val="000000"/>
                <w:sz w:val="24"/>
                <w:szCs w:val="24"/>
              </w:rPr>
              <w:t>S/N</w:t>
            </w:r>
          </w:p>
        </w:tc>
        <w:tc>
          <w:tcPr>
            <w:tcW w:w="4232" w:type="dxa"/>
            <w:shd w:val="clear" w:color="auto" w:fill="auto"/>
            <w:vAlign w:val="center"/>
          </w:tcPr>
          <w:p w14:paraId="774671A3" w14:textId="77777777" w:rsidR="003860A2" w:rsidRPr="00186647" w:rsidRDefault="003860A2" w:rsidP="003860A2">
            <w:pPr>
              <w:spacing w:after="0" w:line="240" w:lineRule="auto"/>
              <w:rPr>
                <w:rFonts w:ascii="Arial" w:eastAsia="Times New Roman" w:hAnsi="Arial" w:cs="Arial"/>
                <w:b/>
                <w:color w:val="000000"/>
                <w:sz w:val="24"/>
                <w:szCs w:val="24"/>
              </w:rPr>
            </w:pPr>
            <w:r w:rsidRPr="00186647">
              <w:rPr>
                <w:rFonts w:ascii="Arial" w:eastAsia="Times New Roman" w:hAnsi="Arial" w:cs="Arial"/>
                <w:b/>
                <w:color w:val="000000"/>
                <w:sz w:val="24"/>
                <w:szCs w:val="24"/>
              </w:rPr>
              <w:t xml:space="preserve"> Facility name</w:t>
            </w:r>
          </w:p>
        </w:tc>
        <w:tc>
          <w:tcPr>
            <w:tcW w:w="3600" w:type="dxa"/>
            <w:shd w:val="clear" w:color="auto" w:fill="auto"/>
            <w:vAlign w:val="center"/>
          </w:tcPr>
          <w:p w14:paraId="64827C83"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Mean TAT pre-3PLs</w:t>
            </w:r>
          </w:p>
        </w:tc>
        <w:tc>
          <w:tcPr>
            <w:tcW w:w="1350" w:type="dxa"/>
            <w:vAlign w:val="center"/>
          </w:tcPr>
          <w:p w14:paraId="7CEFA8FE"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SD</w:t>
            </w:r>
          </w:p>
        </w:tc>
        <w:tc>
          <w:tcPr>
            <w:tcW w:w="2790" w:type="dxa"/>
            <w:shd w:val="clear" w:color="auto" w:fill="auto"/>
            <w:vAlign w:val="center"/>
          </w:tcPr>
          <w:p w14:paraId="11331EB3"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Mean TAT 3PLs</w:t>
            </w:r>
          </w:p>
        </w:tc>
        <w:tc>
          <w:tcPr>
            <w:tcW w:w="1350" w:type="dxa"/>
            <w:vAlign w:val="center"/>
          </w:tcPr>
          <w:p w14:paraId="712D6768" w14:textId="77777777" w:rsidR="003860A2" w:rsidRPr="00186647" w:rsidRDefault="003860A2" w:rsidP="003860A2">
            <w:pPr>
              <w:spacing w:after="0" w:line="240" w:lineRule="auto"/>
              <w:jc w:val="center"/>
              <w:rPr>
                <w:rFonts w:ascii="Arial" w:eastAsia="Times New Roman" w:hAnsi="Arial" w:cs="Arial"/>
                <w:b/>
                <w:color w:val="000000"/>
                <w:sz w:val="24"/>
                <w:szCs w:val="24"/>
              </w:rPr>
            </w:pPr>
            <w:r w:rsidRPr="00186647">
              <w:rPr>
                <w:rFonts w:ascii="Arial" w:eastAsia="Times New Roman" w:hAnsi="Arial" w:cs="Arial"/>
                <w:b/>
                <w:color w:val="000000"/>
                <w:sz w:val="24"/>
                <w:szCs w:val="24"/>
              </w:rPr>
              <w:t>SD</w:t>
            </w:r>
          </w:p>
        </w:tc>
      </w:tr>
      <w:tr w:rsidR="003860A2" w:rsidRPr="00186647" w14:paraId="0CE49285" w14:textId="77777777" w:rsidTr="003860A2">
        <w:trPr>
          <w:trHeight w:val="315"/>
        </w:trPr>
        <w:tc>
          <w:tcPr>
            <w:tcW w:w="718" w:type="dxa"/>
            <w:shd w:val="clear" w:color="auto" w:fill="auto"/>
            <w:noWrap/>
            <w:vAlign w:val="bottom"/>
            <w:hideMark/>
          </w:tcPr>
          <w:p w14:paraId="6A24DABE"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1</w:t>
            </w:r>
          </w:p>
        </w:tc>
        <w:tc>
          <w:tcPr>
            <w:tcW w:w="4232" w:type="dxa"/>
            <w:shd w:val="clear" w:color="000000" w:fill="FFFFFF"/>
            <w:noWrap/>
            <w:vAlign w:val="center"/>
            <w:hideMark/>
          </w:tcPr>
          <w:p w14:paraId="22E89426"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EKSUTH</w:t>
            </w:r>
          </w:p>
        </w:tc>
        <w:tc>
          <w:tcPr>
            <w:tcW w:w="3600" w:type="dxa"/>
            <w:shd w:val="clear" w:color="auto" w:fill="auto"/>
            <w:noWrap/>
            <w:vAlign w:val="center"/>
            <w:hideMark/>
          </w:tcPr>
          <w:p w14:paraId="4F884993"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79.4</w:t>
            </w:r>
          </w:p>
        </w:tc>
        <w:tc>
          <w:tcPr>
            <w:tcW w:w="1350" w:type="dxa"/>
          </w:tcPr>
          <w:p w14:paraId="3A7B6917"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51.9</w:t>
            </w:r>
          </w:p>
        </w:tc>
        <w:tc>
          <w:tcPr>
            <w:tcW w:w="2790" w:type="dxa"/>
            <w:shd w:val="clear" w:color="auto" w:fill="auto"/>
            <w:noWrap/>
            <w:vAlign w:val="center"/>
            <w:hideMark/>
          </w:tcPr>
          <w:p w14:paraId="2B7B6548"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23.4</w:t>
            </w:r>
          </w:p>
        </w:tc>
        <w:tc>
          <w:tcPr>
            <w:tcW w:w="1350" w:type="dxa"/>
          </w:tcPr>
          <w:p w14:paraId="37E95166"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14.1</w:t>
            </w:r>
          </w:p>
        </w:tc>
      </w:tr>
      <w:tr w:rsidR="003860A2" w:rsidRPr="00186647" w14:paraId="304BFE3A" w14:textId="77777777" w:rsidTr="003860A2">
        <w:trPr>
          <w:trHeight w:val="315"/>
        </w:trPr>
        <w:tc>
          <w:tcPr>
            <w:tcW w:w="718" w:type="dxa"/>
            <w:shd w:val="clear" w:color="auto" w:fill="auto"/>
            <w:noWrap/>
            <w:vAlign w:val="bottom"/>
            <w:hideMark/>
          </w:tcPr>
          <w:p w14:paraId="37D5B156"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2</w:t>
            </w:r>
          </w:p>
        </w:tc>
        <w:tc>
          <w:tcPr>
            <w:tcW w:w="4232" w:type="dxa"/>
            <w:shd w:val="clear" w:color="000000" w:fill="FFFFFF"/>
            <w:noWrap/>
            <w:vAlign w:val="center"/>
            <w:hideMark/>
          </w:tcPr>
          <w:p w14:paraId="1C0112DA"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Emure</w:t>
            </w:r>
          </w:p>
        </w:tc>
        <w:tc>
          <w:tcPr>
            <w:tcW w:w="3600" w:type="dxa"/>
            <w:shd w:val="clear" w:color="auto" w:fill="auto"/>
            <w:noWrap/>
            <w:vAlign w:val="center"/>
            <w:hideMark/>
          </w:tcPr>
          <w:p w14:paraId="703CEA2B"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107.4</w:t>
            </w:r>
          </w:p>
        </w:tc>
        <w:tc>
          <w:tcPr>
            <w:tcW w:w="1350" w:type="dxa"/>
          </w:tcPr>
          <w:p w14:paraId="6BF05D9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82.3</w:t>
            </w:r>
          </w:p>
        </w:tc>
        <w:tc>
          <w:tcPr>
            <w:tcW w:w="2790" w:type="dxa"/>
            <w:shd w:val="clear" w:color="auto" w:fill="auto"/>
            <w:noWrap/>
            <w:vAlign w:val="center"/>
            <w:hideMark/>
          </w:tcPr>
          <w:p w14:paraId="7F427DE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29</w:t>
            </w:r>
          </w:p>
        </w:tc>
        <w:tc>
          <w:tcPr>
            <w:tcW w:w="1350" w:type="dxa"/>
          </w:tcPr>
          <w:p w14:paraId="34E42AD5"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18.5</w:t>
            </w:r>
          </w:p>
        </w:tc>
      </w:tr>
      <w:tr w:rsidR="003860A2" w:rsidRPr="00186647" w14:paraId="31AED599" w14:textId="77777777" w:rsidTr="003860A2">
        <w:trPr>
          <w:trHeight w:val="315"/>
        </w:trPr>
        <w:tc>
          <w:tcPr>
            <w:tcW w:w="718" w:type="dxa"/>
            <w:shd w:val="clear" w:color="auto" w:fill="auto"/>
            <w:noWrap/>
            <w:vAlign w:val="bottom"/>
            <w:hideMark/>
          </w:tcPr>
          <w:p w14:paraId="6E64D088"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3</w:t>
            </w:r>
          </w:p>
        </w:tc>
        <w:tc>
          <w:tcPr>
            <w:tcW w:w="4232" w:type="dxa"/>
            <w:shd w:val="clear" w:color="000000" w:fill="FFFFFF"/>
            <w:noWrap/>
            <w:vAlign w:val="center"/>
            <w:hideMark/>
          </w:tcPr>
          <w:p w14:paraId="2CA0ECF7"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FTHI</w:t>
            </w:r>
          </w:p>
        </w:tc>
        <w:tc>
          <w:tcPr>
            <w:tcW w:w="3600" w:type="dxa"/>
            <w:shd w:val="clear" w:color="auto" w:fill="auto"/>
            <w:noWrap/>
            <w:vAlign w:val="center"/>
            <w:hideMark/>
          </w:tcPr>
          <w:p w14:paraId="34AF8770"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97.7</w:t>
            </w:r>
          </w:p>
        </w:tc>
        <w:tc>
          <w:tcPr>
            <w:tcW w:w="1350" w:type="dxa"/>
          </w:tcPr>
          <w:p w14:paraId="4CEBA702"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66.0</w:t>
            </w:r>
          </w:p>
        </w:tc>
        <w:tc>
          <w:tcPr>
            <w:tcW w:w="2790" w:type="dxa"/>
            <w:shd w:val="clear" w:color="auto" w:fill="auto"/>
            <w:noWrap/>
            <w:vAlign w:val="center"/>
            <w:hideMark/>
          </w:tcPr>
          <w:p w14:paraId="0772D0F8"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30.6</w:t>
            </w:r>
          </w:p>
        </w:tc>
        <w:tc>
          <w:tcPr>
            <w:tcW w:w="1350" w:type="dxa"/>
          </w:tcPr>
          <w:p w14:paraId="5AC77A62"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30.1</w:t>
            </w:r>
          </w:p>
        </w:tc>
      </w:tr>
      <w:tr w:rsidR="003860A2" w:rsidRPr="00186647" w14:paraId="55B95CAC" w14:textId="77777777" w:rsidTr="003860A2">
        <w:trPr>
          <w:trHeight w:val="315"/>
        </w:trPr>
        <w:tc>
          <w:tcPr>
            <w:tcW w:w="718" w:type="dxa"/>
            <w:shd w:val="clear" w:color="auto" w:fill="auto"/>
            <w:noWrap/>
            <w:vAlign w:val="bottom"/>
            <w:hideMark/>
          </w:tcPr>
          <w:p w14:paraId="1B4519D0"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4</w:t>
            </w:r>
          </w:p>
        </w:tc>
        <w:tc>
          <w:tcPr>
            <w:tcW w:w="4232" w:type="dxa"/>
            <w:shd w:val="clear" w:color="000000" w:fill="FFFFFF"/>
            <w:noWrap/>
            <w:vAlign w:val="center"/>
            <w:hideMark/>
          </w:tcPr>
          <w:p w14:paraId="44FC0220"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Ikere</w:t>
            </w:r>
          </w:p>
        </w:tc>
        <w:tc>
          <w:tcPr>
            <w:tcW w:w="3600" w:type="dxa"/>
            <w:shd w:val="clear" w:color="auto" w:fill="auto"/>
            <w:noWrap/>
            <w:vAlign w:val="center"/>
            <w:hideMark/>
          </w:tcPr>
          <w:p w14:paraId="12EA5CFF"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95.7</w:t>
            </w:r>
          </w:p>
        </w:tc>
        <w:tc>
          <w:tcPr>
            <w:tcW w:w="1350" w:type="dxa"/>
          </w:tcPr>
          <w:p w14:paraId="43FE4E2C"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66.5</w:t>
            </w:r>
          </w:p>
        </w:tc>
        <w:tc>
          <w:tcPr>
            <w:tcW w:w="2790" w:type="dxa"/>
            <w:shd w:val="clear" w:color="auto" w:fill="auto"/>
            <w:noWrap/>
            <w:vAlign w:val="center"/>
            <w:hideMark/>
          </w:tcPr>
          <w:p w14:paraId="0E09B5EB"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39.3</w:t>
            </w:r>
          </w:p>
        </w:tc>
        <w:tc>
          <w:tcPr>
            <w:tcW w:w="1350" w:type="dxa"/>
          </w:tcPr>
          <w:p w14:paraId="2594BA3C"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76.4</w:t>
            </w:r>
          </w:p>
        </w:tc>
      </w:tr>
      <w:tr w:rsidR="003860A2" w:rsidRPr="00186647" w14:paraId="34BC925A" w14:textId="77777777" w:rsidTr="003860A2">
        <w:trPr>
          <w:trHeight w:val="315"/>
        </w:trPr>
        <w:tc>
          <w:tcPr>
            <w:tcW w:w="718" w:type="dxa"/>
            <w:shd w:val="clear" w:color="auto" w:fill="auto"/>
            <w:noWrap/>
            <w:vAlign w:val="bottom"/>
            <w:hideMark/>
          </w:tcPr>
          <w:p w14:paraId="43251A43"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5</w:t>
            </w:r>
          </w:p>
        </w:tc>
        <w:tc>
          <w:tcPr>
            <w:tcW w:w="4232" w:type="dxa"/>
            <w:shd w:val="clear" w:color="000000" w:fill="FFFFFF"/>
            <w:noWrap/>
            <w:vAlign w:val="center"/>
            <w:hideMark/>
          </w:tcPr>
          <w:p w14:paraId="016D45C6"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St Gregory</w:t>
            </w:r>
          </w:p>
        </w:tc>
        <w:tc>
          <w:tcPr>
            <w:tcW w:w="3600" w:type="dxa"/>
            <w:shd w:val="clear" w:color="auto" w:fill="auto"/>
            <w:noWrap/>
            <w:vAlign w:val="center"/>
            <w:hideMark/>
          </w:tcPr>
          <w:p w14:paraId="581A70B4"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42.9</w:t>
            </w:r>
          </w:p>
        </w:tc>
        <w:tc>
          <w:tcPr>
            <w:tcW w:w="1350" w:type="dxa"/>
          </w:tcPr>
          <w:p w14:paraId="096296F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32.0</w:t>
            </w:r>
          </w:p>
        </w:tc>
        <w:tc>
          <w:tcPr>
            <w:tcW w:w="2790" w:type="dxa"/>
            <w:shd w:val="clear" w:color="auto" w:fill="auto"/>
            <w:noWrap/>
            <w:vAlign w:val="center"/>
            <w:hideMark/>
          </w:tcPr>
          <w:p w14:paraId="2645498F"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31.2</w:t>
            </w:r>
          </w:p>
        </w:tc>
        <w:tc>
          <w:tcPr>
            <w:tcW w:w="1350" w:type="dxa"/>
          </w:tcPr>
          <w:p w14:paraId="4B23BAA8"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12.3</w:t>
            </w:r>
          </w:p>
        </w:tc>
      </w:tr>
      <w:tr w:rsidR="003860A2" w:rsidRPr="00186647" w14:paraId="04C1C465" w14:textId="77777777" w:rsidTr="003860A2">
        <w:trPr>
          <w:trHeight w:val="315"/>
        </w:trPr>
        <w:tc>
          <w:tcPr>
            <w:tcW w:w="718" w:type="dxa"/>
            <w:shd w:val="clear" w:color="auto" w:fill="auto"/>
            <w:noWrap/>
            <w:vAlign w:val="bottom"/>
            <w:hideMark/>
          </w:tcPr>
          <w:p w14:paraId="41475FEF"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6</w:t>
            </w:r>
          </w:p>
        </w:tc>
        <w:tc>
          <w:tcPr>
            <w:tcW w:w="4232" w:type="dxa"/>
            <w:shd w:val="clear" w:color="000000" w:fill="FFFFFF"/>
            <w:noWrap/>
            <w:vAlign w:val="center"/>
            <w:hideMark/>
          </w:tcPr>
          <w:p w14:paraId="6A383A79"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Ijero</w:t>
            </w:r>
          </w:p>
        </w:tc>
        <w:tc>
          <w:tcPr>
            <w:tcW w:w="3600" w:type="dxa"/>
            <w:shd w:val="clear" w:color="auto" w:fill="auto"/>
            <w:noWrap/>
            <w:vAlign w:val="center"/>
            <w:hideMark/>
          </w:tcPr>
          <w:p w14:paraId="0A282E52"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95.9</w:t>
            </w:r>
          </w:p>
        </w:tc>
        <w:tc>
          <w:tcPr>
            <w:tcW w:w="1350" w:type="dxa"/>
          </w:tcPr>
          <w:p w14:paraId="4285A4A7"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47.0</w:t>
            </w:r>
          </w:p>
        </w:tc>
        <w:tc>
          <w:tcPr>
            <w:tcW w:w="2790" w:type="dxa"/>
            <w:shd w:val="clear" w:color="auto" w:fill="auto"/>
            <w:noWrap/>
            <w:vAlign w:val="center"/>
            <w:hideMark/>
          </w:tcPr>
          <w:p w14:paraId="1C0A8299"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32.6</w:t>
            </w:r>
          </w:p>
        </w:tc>
        <w:tc>
          <w:tcPr>
            <w:tcW w:w="1350" w:type="dxa"/>
          </w:tcPr>
          <w:p w14:paraId="5A40D895"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21.2</w:t>
            </w:r>
          </w:p>
        </w:tc>
      </w:tr>
      <w:tr w:rsidR="003860A2" w:rsidRPr="00186647" w14:paraId="3EE69188" w14:textId="77777777" w:rsidTr="003860A2">
        <w:trPr>
          <w:trHeight w:val="315"/>
        </w:trPr>
        <w:tc>
          <w:tcPr>
            <w:tcW w:w="718" w:type="dxa"/>
            <w:shd w:val="clear" w:color="auto" w:fill="auto"/>
            <w:noWrap/>
            <w:vAlign w:val="bottom"/>
            <w:hideMark/>
          </w:tcPr>
          <w:p w14:paraId="1897F843"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7</w:t>
            </w:r>
          </w:p>
        </w:tc>
        <w:tc>
          <w:tcPr>
            <w:tcW w:w="4232" w:type="dxa"/>
            <w:shd w:val="clear" w:color="000000" w:fill="FFFFFF"/>
            <w:noWrap/>
            <w:vAlign w:val="center"/>
            <w:hideMark/>
          </w:tcPr>
          <w:p w14:paraId="191BE434"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Ilawe</w:t>
            </w:r>
          </w:p>
        </w:tc>
        <w:tc>
          <w:tcPr>
            <w:tcW w:w="3600" w:type="dxa"/>
            <w:shd w:val="clear" w:color="auto" w:fill="auto"/>
            <w:noWrap/>
            <w:vAlign w:val="center"/>
            <w:hideMark/>
          </w:tcPr>
          <w:p w14:paraId="5E0E6BC4"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119.5</w:t>
            </w:r>
          </w:p>
        </w:tc>
        <w:tc>
          <w:tcPr>
            <w:tcW w:w="1350" w:type="dxa"/>
          </w:tcPr>
          <w:p w14:paraId="6A4925FA"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71.5</w:t>
            </w:r>
          </w:p>
        </w:tc>
        <w:tc>
          <w:tcPr>
            <w:tcW w:w="2790" w:type="dxa"/>
            <w:shd w:val="clear" w:color="auto" w:fill="auto"/>
            <w:noWrap/>
            <w:vAlign w:val="center"/>
            <w:hideMark/>
          </w:tcPr>
          <w:p w14:paraId="1342D79E"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26.9</w:t>
            </w:r>
          </w:p>
        </w:tc>
        <w:tc>
          <w:tcPr>
            <w:tcW w:w="1350" w:type="dxa"/>
          </w:tcPr>
          <w:p w14:paraId="06567C2E"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18.2</w:t>
            </w:r>
          </w:p>
        </w:tc>
      </w:tr>
      <w:tr w:rsidR="003860A2" w:rsidRPr="00186647" w14:paraId="754A235C" w14:textId="77777777" w:rsidTr="003860A2">
        <w:trPr>
          <w:trHeight w:val="315"/>
        </w:trPr>
        <w:tc>
          <w:tcPr>
            <w:tcW w:w="718" w:type="dxa"/>
            <w:shd w:val="clear" w:color="auto" w:fill="auto"/>
            <w:noWrap/>
            <w:vAlign w:val="bottom"/>
            <w:hideMark/>
          </w:tcPr>
          <w:p w14:paraId="2E69D750"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8</w:t>
            </w:r>
          </w:p>
        </w:tc>
        <w:tc>
          <w:tcPr>
            <w:tcW w:w="4232" w:type="dxa"/>
            <w:shd w:val="clear" w:color="000000" w:fill="FFFFFF"/>
            <w:noWrap/>
            <w:vAlign w:val="center"/>
            <w:hideMark/>
          </w:tcPr>
          <w:p w14:paraId="2D75E7CA"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Oye</w:t>
            </w:r>
          </w:p>
        </w:tc>
        <w:tc>
          <w:tcPr>
            <w:tcW w:w="3600" w:type="dxa"/>
            <w:shd w:val="clear" w:color="auto" w:fill="auto"/>
            <w:noWrap/>
            <w:vAlign w:val="center"/>
            <w:hideMark/>
          </w:tcPr>
          <w:p w14:paraId="1F49EE0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101.7</w:t>
            </w:r>
          </w:p>
        </w:tc>
        <w:tc>
          <w:tcPr>
            <w:tcW w:w="1350" w:type="dxa"/>
          </w:tcPr>
          <w:p w14:paraId="723E2F01"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56.6</w:t>
            </w:r>
          </w:p>
        </w:tc>
        <w:tc>
          <w:tcPr>
            <w:tcW w:w="2790" w:type="dxa"/>
            <w:shd w:val="clear" w:color="auto" w:fill="auto"/>
            <w:noWrap/>
            <w:vAlign w:val="center"/>
            <w:hideMark/>
          </w:tcPr>
          <w:p w14:paraId="569E21B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24.5</w:t>
            </w:r>
          </w:p>
        </w:tc>
        <w:tc>
          <w:tcPr>
            <w:tcW w:w="1350" w:type="dxa"/>
          </w:tcPr>
          <w:p w14:paraId="0B812A8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17.0</w:t>
            </w:r>
          </w:p>
        </w:tc>
      </w:tr>
      <w:tr w:rsidR="003860A2" w:rsidRPr="00186647" w14:paraId="3044B200" w14:textId="77777777" w:rsidTr="003860A2">
        <w:trPr>
          <w:trHeight w:val="315"/>
        </w:trPr>
        <w:tc>
          <w:tcPr>
            <w:tcW w:w="718" w:type="dxa"/>
            <w:shd w:val="clear" w:color="auto" w:fill="auto"/>
            <w:noWrap/>
            <w:vAlign w:val="bottom"/>
            <w:hideMark/>
          </w:tcPr>
          <w:p w14:paraId="383B6CD8" w14:textId="77777777" w:rsidR="003860A2" w:rsidRPr="00186647" w:rsidRDefault="003860A2" w:rsidP="003860A2">
            <w:pPr>
              <w:spacing w:after="0" w:line="240" w:lineRule="auto"/>
              <w:jc w:val="center"/>
              <w:rPr>
                <w:rFonts w:eastAsia="Times New Roman" w:cs="Arial"/>
                <w:color w:val="000000"/>
                <w:sz w:val="24"/>
                <w:szCs w:val="24"/>
              </w:rPr>
            </w:pPr>
            <w:r w:rsidRPr="00186647">
              <w:rPr>
                <w:rFonts w:eastAsia="Times New Roman" w:cs="Arial"/>
                <w:color w:val="000000"/>
                <w:sz w:val="24"/>
                <w:szCs w:val="24"/>
              </w:rPr>
              <w:t>9</w:t>
            </w:r>
          </w:p>
        </w:tc>
        <w:tc>
          <w:tcPr>
            <w:tcW w:w="4232" w:type="dxa"/>
            <w:shd w:val="clear" w:color="000000" w:fill="FFFFFF"/>
            <w:noWrap/>
            <w:vAlign w:val="center"/>
            <w:hideMark/>
          </w:tcPr>
          <w:p w14:paraId="5ACB6E03" w14:textId="77777777" w:rsidR="003860A2" w:rsidRPr="00186647" w:rsidRDefault="003860A2" w:rsidP="003860A2">
            <w:pPr>
              <w:spacing w:after="0" w:line="240" w:lineRule="auto"/>
              <w:rPr>
                <w:rFonts w:ascii="Arial" w:eastAsia="Times New Roman" w:hAnsi="Arial" w:cs="Arial"/>
                <w:bCs/>
                <w:color w:val="000000"/>
                <w:sz w:val="24"/>
                <w:szCs w:val="24"/>
              </w:rPr>
            </w:pPr>
            <w:r w:rsidRPr="00186647">
              <w:rPr>
                <w:rFonts w:ascii="Arial" w:eastAsia="Times New Roman" w:hAnsi="Arial" w:cs="Arial"/>
                <w:bCs/>
                <w:color w:val="000000"/>
                <w:sz w:val="24"/>
                <w:szCs w:val="24"/>
              </w:rPr>
              <w:t>Iyin</w:t>
            </w:r>
          </w:p>
        </w:tc>
        <w:tc>
          <w:tcPr>
            <w:tcW w:w="3600" w:type="dxa"/>
            <w:shd w:val="clear" w:color="auto" w:fill="auto"/>
            <w:noWrap/>
            <w:vAlign w:val="center"/>
            <w:hideMark/>
          </w:tcPr>
          <w:p w14:paraId="4948573C"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100.5</w:t>
            </w:r>
          </w:p>
        </w:tc>
        <w:tc>
          <w:tcPr>
            <w:tcW w:w="1350" w:type="dxa"/>
          </w:tcPr>
          <w:p w14:paraId="77477315"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73.7</w:t>
            </w:r>
          </w:p>
        </w:tc>
        <w:tc>
          <w:tcPr>
            <w:tcW w:w="2790" w:type="dxa"/>
            <w:shd w:val="clear" w:color="auto" w:fill="auto"/>
            <w:noWrap/>
            <w:vAlign w:val="center"/>
            <w:hideMark/>
          </w:tcPr>
          <w:p w14:paraId="0B16E81D"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23.6</w:t>
            </w:r>
          </w:p>
        </w:tc>
        <w:tc>
          <w:tcPr>
            <w:tcW w:w="1350" w:type="dxa"/>
          </w:tcPr>
          <w:p w14:paraId="08D36134" w14:textId="77777777" w:rsidR="003860A2" w:rsidRPr="00186647" w:rsidRDefault="003860A2" w:rsidP="003860A2">
            <w:pPr>
              <w:spacing w:after="0" w:line="240" w:lineRule="auto"/>
              <w:jc w:val="center"/>
              <w:rPr>
                <w:rFonts w:ascii="Arial" w:eastAsia="Times New Roman" w:hAnsi="Arial" w:cs="Arial"/>
                <w:bCs/>
                <w:color w:val="000000"/>
                <w:sz w:val="24"/>
                <w:szCs w:val="24"/>
              </w:rPr>
            </w:pPr>
            <w:r w:rsidRPr="00186647">
              <w:rPr>
                <w:rFonts w:ascii="Arial" w:eastAsia="Times New Roman" w:hAnsi="Arial" w:cs="Arial"/>
                <w:bCs/>
                <w:color w:val="000000"/>
                <w:sz w:val="24"/>
                <w:szCs w:val="24"/>
              </w:rPr>
              <w:t>14.3</w:t>
            </w:r>
          </w:p>
        </w:tc>
      </w:tr>
      <w:tr w:rsidR="003860A2" w:rsidRPr="00186647" w14:paraId="42E05B59" w14:textId="77777777" w:rsidTr="003860A2">
        <w:trPr>
          <w:trHeight w:val="467"/>
        </w:trPr>
        <w:tc>
          <w:tcPr>
            <w:tcW w:w="14040" w:type="dxa"/>
            <w:gridSpan w:val="6"/>
            <w:shd w:val="clear" w:color="auto" w:fill="auto"/>
            <w:noWrap/>
            <w:vAlign w:val="bottom"/>
          </w:tcPr>
          <w:p w14:paraId="566D86FC" w14:textId="77777777" w:rsidR="003860A2" w:rsidRPr="00186647" w:rsidRDefault="003860A2" w:rsidP="003860A2">
            <w:pPr>
              <w:rPr>
                <w:rFonts w:ascii="Arial" w:hAnsi="Arial" w:cs="Arial"/>
                <w:bCs/>
                <w:color w:val="000000" w:themeColor="text1"/>
                <w:sz w:val="24"/>
                <w:szCs w:val="24"/>
              </w:rPr>
            </w:pPr>
            <w:r w:rsidRPr="00186647">
              <w:rPr>
                <w:rFonts w:ascii="Arial" w:hAnsi="Arial" w:cs="Arial"/>
                <w:bCs/>
                <w:color w:val="000000" w:themeColor="text1"/>
                <w:sz w:val="24"/>
                <w:szCs w:val="24"/>
              </w:rPr>
              <w:t>1-5 (High load), 6-9 (low load)</w:t>
            </w:r>
          </w:p>
        </w:tc>
      </w:tr>
    </w:tbl>
    <w:p w14:paraId="1E748EA7" w14:textId="77777777" w:rsidR="00972739" w:rsidRPr="00186647" w:rsidRDefault="00972739" w:rsidP="00972739">
      <w:pPr>
        <w:rPr>
          <w:rFonts w:ascii="Arial" w:hAnsi="Arial" w:cs="Arial"/>
          <w:sz w:val="24"/>
          <w:szCs w:val="24"/>
        </w:rPr>
      </w:pPr>
    </w:p>
    <w:p w14:paraId="1766EBA4" w14:textId="77777777" w:rsidR="00972739" w:rsidRPr="00186647" w:rsidRDefault="00972739" w:rsidP="00972739">
      <w:pPr>
        <w:rPr>
          <w:rFonts w:ascii="Arial" w:hAnsi="Arial" w:cs="Arial"/>
          <w:sz w:val="24"/>
          <w:szCs w:val="24"/>
        </w:rPr>
      </w:pPr>
    </w:p>
    <w:p w14:paraId="626AC1ED" w14:textId="77777777" w:rsidR="00972739" w:rsidRPr="00186647" w:rsidRDefault="00972739" w:rsidP="00972739">
      <w:pPr>
        <w:rPr>
          <w:rFonts w:ascii="Arial" w:hAnsi="Arial" w:cs="Arial"/>
          <w:sz w:val="24"/>
          <w:szCs w:val="24"/>
        </w:rPr>
      </w:pPr>
    </w:p>
    <w:p w14:paraId="6099E8C8" w14:textId="77777777" w:rsidR="00186647" w:rsidRDefault="00186647" w:rsidP="00186647">
      <w:pPr>
        <w:keepNext/>
        <w:rPr>
          <w:sz w:val="24"/>
          <w:szCs w:val="24"/>
        </w:rPr>
        <w:sectPr w:rsidR="00186647" w:rsidSect="0099247F">
          <w:pgSz w:w="15840" w:h="12240" w:orient="landscape"/>
          <w:pgMar w:top="1440" w:right="2790" w:bottom="1440" w:left="1354" w:header="720" w:footer="720" w:gutter="0"/>
          <w:cols w:space="720"/>
          <w:docGrid w:linePitch="360"/>
        </w:sectPr>
      </w:pPr>
    </w:p>
    <w:tbl>
      <w:tblPr>
        <w:tblpPr w:leftFromText="180" w:rightFromText="180" w:vertAnchor="text" w:horzAnchor="margin" w:tblpX="-365" w:tblpY="134"/>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440"/>
        <w:gridCol w:w="3150"/>
        <w:gridCol w:w="2430"/>
      </w:tblGrid>
      <w:tr w:rsidR="00186647" w:rsidRPr="00186647" w14:paraId="7D4F06DA" w14:textId="77777777" w:rsidTr="00D97D1C">
        <w:trPr>
          <w:trHeight w:val="665"/>
        </w:trPr>
        <w:tc>
          <w:tcPr>
            <w:tcW w:w="10080" w:type="dxa"/>
            <w:gridSpan w:val="4"/>
            <w:vAlign w:val="center"/>
          </w:tcPr>
          <w:p w14:paraId="0827E37E" w14:textId="77777777" w:rsidR="00186647" w:rsidRPr="00186647" w:rsidRDefault="00186647" w:rsidP="00D97D1C">
            <w:pPr>
              <w:pStyle w:val="Caption"/>
              <w:keepNext/>
              <w:jc w:val="both"/>
              <w:rPr>
                <w:rFonts w:ascii="Arial Black" w:hAnsi="Arial Black"/>
                <w:i w:val="0"/>
                <w:iCs w:val="0"/>
                <w:sz w:val="24"/>
                <w:szCs w:val="24"/>
              </w:rPr>
            </w:pPr>
            <w:r w:rsidRPr="00186647">
              <w:rPr>
                <w:rFonts w:ascii="Arial Black" w:hAnsi="Arial Black"/>
                <w:i w:val="0"/>
                <w:iCs w:val="0"/>
                <w:color w:val="auto"/>
                <w:sz w:val="24"/>
                <w:szCs w:val="24"/>
              </w:rPr>
              <w:lastRenderedPageBreak/>
              <w:t xml:space="preserve">Table </w:t>
            </w:r>
            <w:r w:rsidRPr="00186647">
              <w:rPr>
                <w:rFonts w:ascii="Arial Black" w:hAnsi="Arial Black"/>
                <w:i w:val="0"/>
                <w:iCs w:val="0"/>
                <w:color w:val="auto"/>
                <w:sz w:val="24"/>
                <w:szCs w:val="24"/>
              </w:rPr>
              <w:fldChar w:fldCharType="begin"/>
            </w:r>
            <w:r w:rsidRPr="00186647">
              <w:rPr>
                <w:rFonts w:ascii="Arial Black" w:hAnsi="Arial Black"/>
                <w:i w:val="0"/>
                <w:iCs w:val="0"/>
                <w:color w:val="auto"/>
                <w:sz w:val="24"/>
                <w:szCs w:val="24"/>
              </w:rPr>
              <w:instrText xml:space="preserve"> SEQ Table \* ARABIC </w:instrText>
            </w:r>
            <w:r w:rsidRPr="00186647">
              <w:rPr>
                <w:rFonts w:ascii="Arial Black" w:hAnsi="Arial Black"/>
                <w:i w:val="0"/>
                <w:iCs w:val="0"/>
                <w:color w:val="auto"/>
                <w:sz w:val="24"/>
                <w:szCs w:val="24"/>
              </w:rPr>
              <w:fldChar w:fldCharType="separate"/>
            </w:r>
            <w:r w:rsidRPr="00186647">
              <w:rPr>
                <w:rFonts w:ascii="Arial Black" w:hAnsi="Arial Black"/>
                <w:i w:val="0"/>
                <w:iCs w:val="0"/>
                <w:noProof/>
                <w:color w:val="auto"/>
                <w:sz w:val="24"/>
                <w:szCs w:val="24"/>
              </w:rPr>
              <w:t>3</w:t>
            </w:r>
            <w:r w:rsidRPr="00186647">
              <w:rPr>
                <w:rFonts w:ascii="Arial Black" w:hAnsi="Arial Black"/>
                <w:i w:val="0"/>
                <w:iCs w:val="0"/>
                <w:color w:val="auto"/>
                <w:sz w:val="24"/>
                <w:szCs w:val="24"/>
              </w:rPr>
              <w:fldChar w:fldCharType="end"/>
            </w:r>
            <w:r w:rsidRPr="00186647">
              <w:rPr>
                <w:rFonts w:ascii="Arial Black" w:hAnsi="Arial Black"/>
                <w:i w:val="0"/>
                <w:iCs w:val="0"/>
                <w:color w:val="auto"/>
                <w:sz w:val="24"/>
                <w:szCs w:val="24"/>
              </w:rPr>
              <w:t xml:space="preserve"> Statistical TAT mean difference</w:t>
            </w:r>
          </w:p>
        </w:tc>
      </w:tr>
      <w:tr w:rsidR="00186647" w:rsidRPr="00186647" w14:paraId="4BB7B1E5" w14:textId="77777777" w:rsidTr="00D97D1C">
        <w:trPr>
          <w:trHeight w:val="482"/>
        </w:trPr>
        <w:tc>
          <w:tcPr>
            <w:tcW w:w="3060" w:type="dxa"/>
            <w:vAlign w:val="center"/>
          </w:tcPr>
          <w:p w14:paraId="5BC6CE3B"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Facility name</w:t>
            </w:r>
          </w:p>
        </w:tc>
        <w:tc>
          <w:tcPr>
            <w:tcW w:w="1440" w:type="dxa"/>
            <w:vAlign w:val="center"/>
          </w:tcPr>
          <w:p w14:paraId="74E2A325"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Facility type</w:t>
            </w:r>
          </w:p>
        </w:tc>
        <w:tc>
          <w:tcPr>
            <w:tcW w:w="3150" w:type="dxa"/>
            <w:vAlign w:val="center"/>
          </w:tcPr>
          <w:p w14:paraId="3599A9FE"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Sum of Total count</w:t>
            </w:r>
          </w:p>
        </w:tc>
        <w:tc>
          <w:tcPr>
            <w:tcW w:w="2430" w:type="dxa"/>
            <w:vAlign w:val="center"/>
          </w:tcPr>
          <w:p w14:paraId="631B504F"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Sum of Average TAT</w:t>
            </w:r>
          </w:p>
          <w:p w14:paraId="29E4DB24" w14:textId="77777777" w:rsidR="00186647" w:rsidRPr="00186647" w:rsidRDefault="00186647" w:rsidP="00D97D1C">
            <w:pPr>
              <w:autoSpaceDE w:val="0"/>
              <w:autoSpaceDN w:val="0"/>
              <w:adjustRightInd w:val="0"/>
              <w:spacing w:after="0" w:line="240" w:lineRule="auto"/>
              <w:jc w:val="center"/>
              <w:rPr>
                <w:rFonts w:ascii="Arial" w:hAnsi="Arial" w:cs="Arial"/>
                <w:b/>
                <w:bCs/>
                <w:color w:val="000000"/>
                <w:sz w:val="24"/>
                <w:szCs w:val="24"/>
              </w:rPr>
            </w:pPr>
            <w:r w:rsidRPr="00186647">
              <w:rPr>
                <w:rFonts w:ascii="Arial" w:hAnsi="Arial" w:cs="Arial"/>
                <w:b/>
                <w:bCs/>
                <w:color w:val="000000"/>
                <w:sz w:val="24"/>
                <w:szCs w:val="24"/>
              </w:rPr>
              <w:t>(in days)</w:t>
            </w:r>
          </w:p>
        </w:tc>
      </w:tr>
      <w:tr w:rsidR="00186647" w:rsidRPr="00186647" w14:paraId="4D126C8E" w14:textId="77777777" w:rsidTr="00D97D1C">
        <w:trPr>
          <w:trHeight w:val="300"/>
        </w:trPr>
        <w:tc>
          <w:tcPr>
            <w:tcW w:w="3060" w:type="dxa"/>
            <w:vAlign w:val="bottom"/>
          </w:tcPr>
          <w:p w14:paraId="61307269" w14:textId="77777777" w:rsidR="00186647" w:rsidRPr="00186647" w:rsidRDefault="00186647" w:rsidP="00D97D1C">
            <w:pPr>
              <w:autoSpaceDE w:val="0"/>
              <w:autoSpaceDN w:val="0"/>
              <w:adjustRightInd w:val="0"/>
              <w:spacing w:after="0" w:line="360" w:lineRule="auto"/>
              <w:jc w:val="center"/>
              <w:rPr>
                <w:rFonts w:ascii="Arial" w:hAnsi="Arial" w:cs="Arial"/>
                <w:color w:val="000000"/>
                <w:sz w:val="24"/>
                <w:szCs w:val="24"/>
              </w:rPr>
            </w:pPr>
            <w:r w:rsidRPr="00186647">
              <w:rPr>
                <w:rFonts w:ascii="Arial" w:hAnsi="Arial" w:cs="Arial"/>
                <w:color w:val="000000"/>
                <w:sz w:val="24"/>
                <w:szCs w:val="24"/>
              </w:rPr>
              <w:t>Eksuth</w:t>
            </w:r>
          </w:p>
        </w:tc>
        <w:tc>
          <w:tcPr>
            <w:tcW w:w="1440" w:type="dxa"/>
            <w:shd w:val="clear" w:color="000000" w:fill="FFFFFF"/>
          </w:tcPr>
          <w:p w14:paraId="1AA2064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54D7AD5B"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1402</w:t>
            </w:r>
          </w:p>
        </w:tc>
        <w:tc>
          <w:tcPr>
            <w:tcW w:w="2430" w:type="dxa"/>
            <w:vAlign w:val="center"/>
          </w:tcPr>
          <w:p w14:paraId="7122548C"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10.6</w:t>
            </w:r>
          </w:p>
        </w:tc>
      </w:tr>
      <w:tr w:rsidR="00186647" w:rsidRPr="00186647" w14:paraId="5F00C8ED" w14:textId="77777777" w:rsidTr="00D97D1C">
        <w:trPr>
          <w:trHeight w:val="300"/>
        </w:trPr>
        <w:tc>
          <w:tcPr>
            <w:tcW w:w="3060" w:type="dxa"/>
            <w:vAlign w:val="bottom"/>
          </w:tcPr>
          <w:p w14:paraId="56DB5A6D"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Emure</w:t>
            </w:r>
          </w:p>
        </w:tc>
        <w:tc>
          <w:tcPr>
            <w:tcW w:w="1440" w:type="dxa"/>
            <w:shd w:val="clear" w:color="000000" w:fill="FFFFFF"/>
          </w:tcPr>
          <w:p w14:paraId="3828F571"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165CD4D5"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151</w:t>
            </w:r>
          </w:p>
        </w:tc>
        <w:tc>
          <w:tcPr>
            <w:tcW w:w="2430" w:type="dxa"/>
            <w:vAlign w:val="center"/>
          </w:tcPr>
          <w:p w14:paraId="025DAE9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9.1</w:t>
            </w:r>
          </w:p>
        </w:tc>
      </w:tr>
      <w:tr w:rsidR="00186647" w:rsidRPr="00186647" w14:paraId="0B4EE623" w14:textId="77777777" w:rsidTr="00D97D1C">
        <w:trPr>
          <w:trHeight w:val="300"/>
        </w:trPr>
        <w:tc>
          <w:tcPr>
            <w:tcW w:w="3060" w:type="dxa"/>
            <w:vAlign w:val="bottom"/>
          </w:tcPr>
          <w:p w14:paraId="3C290AA9"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Fthi</w:t>
            </w:r>
          </w:p>
        </w:tc>
        <w:tc>
          <w:tcPr>
            <w:tcW w:w="1440" w:type="dxa"/>
            <w:shd w:val="clear" w:color="000000" w:fill="FFFFFF"/>
          </w:tcPr>
          <w:p w14:paraId="0D8AC8B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2042EDB9"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1180</w:t>
            </w:r>
          </w:p>
        </w:tc>
        <w:tc>
          <w:tcPr>
            <w:tcW w:w="2430" w:type="dxa"/>
            <w:vAlign w:val="center"/>
          </w:tcPr>
          <w:p w14:paraId="42A6927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11.9</w:t>
            </w:r>
          </w:p>
        </w:tc>
      </w:tr>
      <w:tr w:rsidR="00186647" w:rsidRPr="00186647" w14:paraId="07C20ACB" w14:textId="77777777" w:rsidTr="00D97D1C">
        <w:trPr>
          <w:trHeight w:val="300"/>
        </w:trPr>
        <w:tc>
          <w:tcPr>
            <w:tcW w:w="3060" w:type="dxa"/>
            <w:vAlign w:val="bottom"/>
          </w:tcPr>
          <w:p w14:paraId="6CDF7194"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Ijero</w:t>
            </w:r>
          </w:p>
        </w:tc>
        <w:tc>
          <w:tcPr>
            <w:tcW w:w="1440" w:type="dxa"/>
            <w:shd w:val="clear" w:color="000000" w:fill="FFFFFF"/>
          </w:tcPr>
          <w:p w14:paraId="531522B1"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6CE0B7BD"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132</w:t>
            </w:r>
          </w:p>
        </w:tc>
        <w:tc>
          <w:tcPr>
            <w:tcW w:w="2430" w:type="dxa"/>
            <w:vAlign w:val="center"/>
          </w:tcPr>
          <w:p w14:paraId="03F5CCE4"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9.6</w:t>
            </w:r>
          </w:p>
        </w:tc>
      </w:tr>
      <w:tr w:rsidR="00186647" w:rsidRPr="00186647" w14:paraId="26A776A2" w14:textId="77777777" w:rsidTr="00D97D1C">
        <w:trPr>
          <w:trHeight w:val="300"/>
        </w:trPr>
        <w:tc>
          <w:tcPr>
            <w:tcW w:w="3060" w:type="dxa"/>
            <w:vAlign w:val="bottom"/>
          </w:tcPr>
          <w:p w14:paraId="3A24B78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Ikere</w:t>
            </w:r>
          </w:p>
        </w:tc>
        <w:tc>
          <w:tcPr>
            <w:tcW w:w="1440" w:type="dxa"/>
            <w:shd w:val="clear" w:color="000000" w:fill="FFFFFF"/>
          </w:tcPr>
          <w:p w14:paraId="2DA2AA10"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5462FBBB"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366</w:t>
            </w:r>
          </w:p>
        </w:tc>
        <w:tc>
          <w:tcPr>
            <w:tcW w:w="2430" w:type="dxa"/>
            <w:vAlign w:val="center"/>
          </w:tcPr>
          <w:p w14:paraId="74601F8E"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10.7</w:t>
            </w:r>
          </w:p>
        </w:tc>
      </w:tr>
      <w:tr w:rsidR="00186647" w:rsidRPr="00186647" w14:paraId="4B3AB6DF" w14:textId="77777777" w:rsidTr="00D97D1C">
        <w:trPr>
          <w:trHeight w:val="300"/>
        </w:trPr>
        <w:tc>
          <w:tcPr>
            <w:tcW w:w="3060" w:type="dxa"/>
            <w:vAlign w:val="bottom"/>
          </w:tcPr>
          <w:p w14:paraId="017EFBF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Ilawe</w:t>
            </w:r>
          </w:p>
        </w:tc>
        <w:tc>
          <w:tcPr>
            <w:tcW w:w="1440" w:type="dxa"/>
            <w:shd w:val="clear" w:color="000000" w:fill="FFFFFF"/>
          </w:tcPr>
          <w:p w14:paraId="7F9622A0"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3DBB4EC9"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55</w:t>
            </w:r>
          </w:p>
        </w:tc>
        <w:tc>
          <w:tcPr>
            <w:tcW w:w="2430" w:type="dxa"/>
            <w:vAlign w:val="center"/>
          </w:tcPr>
          <w:p w14:paraId="55CA415F"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9.1</w:t>
            </w:r>
          </w:p>
        </w:tc>
      </w:tr>
      <w:tr w:rsidR="00186647" w:rsidRPr="00186647" w14:paraId="2A5C5FEE" w14:textId="77777777" w:rsidTr="00D97D1C">
        <w:trPr>
          <w:trHeight w:val="300"/>
        </w:trPr>
        <w:tc>
          <w:tcPr>
            <w:tcW w:w="3060" w:type="dxa"/>
            <w:vAlign w:val="bottom"/>
          </w:tcPr>
          <w:p w14:paraId="26866F4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Iyin</w:t>
            </w:r>
          </w:p>
        </w:tc>
        <w:tc>
          <w:tcPr>
            <w:tcW w:w="1440" w:type="dxa"/>
            <w:shd w:val="clear" w:color="000000" w:fill="FFFFFF"/>
          </w:tcPr>
          <w:p w14:paraId="0E684167"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50A1C5E3"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93</w:t>
            </w:r>
          </w:p>
        </w:tc>
        <w:tc>
          <w:tcPr>
            <w:tcW w:w="2430" w:type="dxa"/>
            <w:vAlign w:val="center"/>
          </w:tcPr>
          <w:p w14:paraId="69317B84"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10.6</w:t>
            </w:r>
          </w:p>
        </w:tc>
      </w:tr>
      <w:tr w:rsidR="00186647" w:rsidRPr="00186647" w14:paraId="75D2B70A" w14:textId="77777777" w:rsidTr="00D97D1C">
        <w:trPr>
          <w:trHeight w:val="315"/>
        </w:trPr>
        <w:tc>
          <w:tcPr>
            <w:tcW w:w="3060" w:type="dxa"/>
            <w:vAlign w:val="bottom"/>
          </w:tcPr>
          <w:p w14:paraId="34D8F34C"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Oye</w:t>
            </w:r>
          </w:p>
        </w:tc>
        <w:tc>
          <w:tcPr>
            <w:tcW w:w="1440" w:type="dxa"/>
            <w:shd w:val="clear" w:color="000000" w:fill="FFFFFF"/>
          </w:tcPr>
          <w:p w14:paraId="01FA692E"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L</w:t>
            </w:r>
          </w:p>
        </w:tc>
        <w:tc>
          <w:tcPr>
            <w:tcW w:w="3150" w:type="dxa"/>
            <w:vAlign w:val="bottom"/>
          </w:tcPr>
          <w:p w14:paraId="7EA1B085"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71</w:t>
            </w:r>
          </w:p>
        </w:tc>
        <w:tc>
          <w:tcPr>
            <w:tcW w:w="2430" w:type="dxa"/>
            <w:vAlign w:val="center"/>
          </w:tcPr>
          <w:p w14:paraId="1BFDE1F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9.5</w:t>
            </w:r>
          </w:p>
        </w:tc>
      </w:tr>
      <w:tr w:rsidR="00186647" w:rsidRPr="00186647" w14:paraId="3A783706" w14:textId="77777777" w:rsidTr="00D97D1C">
        <w:trPr>
          <w:trHeight w:val="315"/>
        </w:trPr>
        <w:tc>
          <w:tcPr>
            <w:tcW w:w="3060" w:type="dxa"/>
            <w:vAlign w:val="bottom"/>
          </w:tcPr>
          <w:p w14:paraId="2FC4F392"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St Gregory</w:t>
            </w:r>
          </w:p>
        </w:tc>
        <w:tc>
          <w:tcPr>
            <w:tcW w:w="1440" w:type="dxa"/>
            <w:shd w:val="clear" w:color="000000" w:fill="FFFFFF"/>
          </w:tcPr>
          <w:p w14:paraId="31C0E21C"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H</w:t>
            </w:r>
          </w:p>
        </w:tc>
        <w:tc>
          <w:tcPr>
            <w:tcW w:w="3150" w:type="dxa"/>
            <w:vAlign w:val="bottom"/>
          </w:tcPr>
          <w:p w14:paraId="4FAF1D3E"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189</w:t>
            </w:r>
          </w:p>
        </w:tc>
        <w:tc>
          <w:tcPr>
            <w:tcW w:w="2430" w:type="dxa"/>
            <w:vAlign w:val="center"/>
          </w:tcPr>
          <w:p w14:paraId="0C01C1E5"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color w:val="000000"/>
                <w:sz w:val="24"/>
                <w:szCs w:val="24"/>
              </w:rPr>
              <w:t>9.5</w:t>
            </w:r>
          </w:p>
        </w:tc>
      </w:tr>
      <w:tr w:rsidR="00186647" w:rsidRPr="00186647" w14:paraId="1E5F30A7" w14:textId="77777777" w:rsidTr="00D97D1C">
        <w:trPr>
          <w:trHeight w:val="315"/>
        </w:trPr>
        <w:tc>
          <w:tcPr>
            <w:tcW w:w="3060" w:type="dxa"/>
            <w:vAlign w:val="bottom"/>
          </w:tcPr>
          <w:p w14:paraId="30E3A9F0"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Mean Average TAT</w:t>
            </w:r>
          </w:p>
        </w:tc>
        <w:tc>
          <w:tcPr>
            <w:tcW w:w="1440" w:type="dxa"/>
            <w:shd w:val="clear" w:color="000000" w:fill="FFFFFF"/>
          </w:tcPr>
          <w:p w14:paraId="28FB1DF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3150" w:type="dxa"/>
            <w:vAlign w:val="bottom"/>
          </w:tcPr>
          <w:p w14:paraId="44B9C5B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2430" w:type="dxa"/>
            <w:vAlign w:val="bottom"/>
          </w:tcPr>
          <w:p w14:paraId="25E35C78"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10.1</w:t>
            </w:r>
          </w:p>
        </w:tc>
      </w:tr>
      <w:tr w:rsidR="00186647" w:rsidRPr="00186647" w14:paraId="3E908D3A" w14:textId="77777777" w:rsidTr="00D97D1C">
        <w:trPr>
          <w:trHeight w:val="315"/>
        </w:trPr>
        <w:tc>
          <w:tcPr>
            <w:tcW w:w="3060" w:type="dxa"/>
            <w:vAlign w:val="bottom"/>
          </w:tcPr>
          <w:p w14:paraId="44DA2DF7"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SD</w:t>
            </w:r>
          </w:p>
        </w:tc>
        <w:tc>
          <w:tcPr>
            <w:tcW w:w="1440" w:type="dxa"/>
            <w:shd w:val="clear" w:color="000000" w:fill="FFFFFF"/>
          </w:tcPr>
          <w:p w14:paraId="01223886"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3150" w:type="dxa"/>
            <w:vAlign w:val="bottom"/>
          </w:tcPr>
          <w:p w14:paraId="18DF0D5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p>
        </w:tc>
        <w:tc>
          <w:tcPr>
            <w:tcW w:w="2430" w:type="dxa"/>
            <w:vAlign w:val="bottom"/>
          </w:tcPr>
          <w:p w14:paraId="400FF0AA" w14:textId="77777777" w:rsidR="00186647" w:rsidRPr="00186647" w:rsidRDefault="00186647" w:rsidP="00D97D1C">
            <w:pPr>
              <w:autoSpaceDE w:val="0"/>
              <w:autoSpaceDN w:val="0"/>
              <w:adjustRightInd w:val="0"/>
              <w:spacing w:after="0" w:line="360" w:lineRule="auto"/>
              <w:jc w:val="center"/>
              <w:rPr>
                <w:rFonts w:ascii="Arial" w:hAnsi="Arial" w:cs="Arial"/>
                <w:sz w:val="24"/>
                <w:szCs w:val="24"/>
              </w:rPr>
            </w:pPr>
            <w:r w:rsidRPr="00186647">
              <w:rPr>
                <w:rFonts w:ascii="Arial" w:hAnsi="Arial" w:cs="Arial"/>
                <w:b/>
                <w:bCs/>
                <w:color w:val="000000"/>
                <w:sz w:val="24"/>
                <w:szCs w:val="24"/>
              </w:rPr>
              <w:t>0.95</w:t>
            </w:r>
          </w:p>
        </w:tc>
      </w:tr>
    </w:tbl>
    <w:p w14:paraId="3AD202C6" w14:textId="46C3D052" w:rsidR="00A64F39" w:rsidRPr="00186647" w:rsidRDefault="00A64F39" w:rsidP="00186647">
      <w:pPr>
        <w:keepNext/>
        <w:rPr>
          <w:sz w:val="24"/>
          <w:szCs w:val="24"/>
        </w:rPr>
      </w:pPr>
    </w:p>
    <w:sectPr w:rsidR="00A64F39" w:rsidRPr="00186647" w:rsidSect="00186647">
      <w:pgSz w:w="12240" w:h="15840"/>
      <w:pgMar w:top="2794" w:right="1440" w:bottom="135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9CDA" w14:textId="77777777" w:rsidR="00BA6F04" w:rsidRDefault="00BA6F04" w:rsidP="00186647">
      <w:pPr>
        <w:spacing w:after="0" w:line="240" w:lineRule="auto"/>
      </w:pPr>
      <w:r>
        <w:separator/>
      </w:r>
    </w:p>
  </w:endnote>
  <w:endnote w:type="continuationSeparator" w:id="0">
    <w:p w14:paraId="0F381E6A" w14:textId="77777777" w:rsidR="00BA6F04" w:rsidRDefault="00BA6F04" w:rsidP="00186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747B3" w14:textId="77777777" w:rsidR="00BA6F04" w:rsidRDefault="00BA6F04" w:rsidP="00186647">
      <w:pPr>
        <w:spacing w:after="0" w:line="240" w:lineRule="auto"/>
      </w:pPr>
      <w:r>
        <w:separator/>
      </w:r>
    </w:p>
  </w:footnote>
  <w:footnote w:type="continuationSeparator" w:id="0">
    <w:p w14:paraId="40CB1533" w14:textId="77777777" w:rsidR="00BA6F04" w:rsidRDefault="00BA6F04" w:rsidP="001866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9B4"/>
    <w:multiLevelType w:val="hybridMultilevel"/>
    <w:tmpl w:val="D1F2B6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6B61845"/>
    <w:multiLevelType w:val="hybridMultilevel"/>
    <w:tmpl w:val="6E9026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7246A0A"/>
    <w:multiLevelType w:val="hybridMultilevel"/>
    <w:tmpl w:val="C396CB0E"/>
    <w:lvl w:ilvl="0" w:tplc="20000001">
      <w:start w:val="1"/>
      <w:numFmt w:val="bullet"/>
      <w:lvlText w:val=""/>
      <w:lvlJc w:val="left"/>
      <w:pPr>
        <w:ind w:left="1500" w:hanging="360"/>
      </w:pPr>
      <w:rPr>
        <w:rFonts w:ascii="Symbol" w:hAnsi="Symbol" w:hint="default"/>
      </w:rPr>
    </w:lvl>
    <w:lvl w:ilvl="1" w:tplc="20000003" w:tentative="1">
      <w:start w:val="1"/>
      <w:numFmt w:val="bullet"/>
      <w:lvlText w:val="o"/>
      <w:lvlJc w:val="left"/>
      <w:pPr>
        <w:ind w:left="2220" w:hanging="360"/>
      </w:pPr>
      <w:rPr>
        <w:rFonts w:ascii="Courier New" w:hAnsi="Courier New" w:cs="Courier New" w:hint="default"/>
      </w:rPr>
    </w:lvl>
    <w:lvl w:ilvl="2" w:tplc="20000005" w:tentative="1">
      <w:start w:val="1"/>
      <w:numFmt w:val="bullet"/>
      <w:lvlText w:val=""/>
      <w:lvlJc w:val="left"/>
      <w:pPr>
        <w:ind w:left="2940" w:hanging="360"/>
      </w:pPr>
      <w:rPr>
        <w:rFonts w:ascii="Wingdings" w:hAnsi="Wingdings" w:hint="default"/>
      </w:rPr>
    </w:lvl>
    <w:lvl w:ilvl="3" w:tplc="20000001" w:tentative="1">
      <w:start w:val="1"/>
      <w:numFmt w:val="bullet"/>
      <w:lvlText w:val=""/>
      <w:lvlJc w:val="left"/>
      <w:pPr>
        <w:ind w:left="3660" w:hanging="360"/>
      </w:pPr>
      <w:rPr>
        <w:rFonts w:ascii="Symbol" w:hAnsi="Symbol" w:hint="default"/>
      </w:rPr>
    </w:lvl>
    <w:lvl w:ilvl="4" w:tplc="20000003" w:tentative="1">
      <w:start w:val="1"/>
      <w:numFmt w:val="bullet"/>
      <w:lvlText w:val="o"/>
      <w:lvlJc w:val="left"/>
      <w:pPr>
        <w:ind w:left="4380" w:hanging="360"/>
      </w:pPr>
      <w:rPr>
        <w:rFonts w:ascii="Courier New" w:hAnsi="Courier New" w:cs="Courier New" w:hint="default"/>
      </w:rPr>
    </w:lvl>
    <w:lvl w:ilvl="5" w:tplc="20000005" w:tentative="1">
      <w:start w:val="1"/>
      <w:numFmt w:val="bullet"/>
      <w:lvlText w:val=""/>
      <w:lvlJc w:val="left"/>
      <w:pPr>
        <w:ind w:left="5100" w:hanging="360"/>
      </w:pPr>
      <w:rPr>
        <w:rFonts w:ascii="Wingdings" w:hAnsi="Wingdings" w:hint="default"/>
      </w:rPr>
    </w:lvl>
    <w:lvl w:ilvl="6" w:tplc="20000001" w:tentative="1">
      <w:start w:val="1"/>
      <w:numFmt w:val="bullet"/>
      <w:lvlText w:val=""/>
      <w:lvlJc w:val="left"/>
      <w:pPr>
        <w:ind w:left="5820" w:hanging="360"/>
      </w:pPr>
      <w:rPr>
        <w:rFonts w:ascii="Symbol" w:hAnsi="Symbol" w:hint="default"/>
      </w:rPr>
    </w:lvl>
    <w:lvl w:ilvl="7" w:tplc="20000003" w:tentative="1">
      <w:start w:val="1"/>
      <w:numFmt w:val="bullet"/>
      <w:lvlText w:val="o"/>
      <w:lvlJc w:val="left"/>
      <w:pPr>
        <w:ind w:left="6540" w:hanging="360"/>
      </w:pPr>
      <w:rPr>
        <w:rFonts w:ascii="Courier New" w:hAnsi="Courier New" w:cs="Courier New" w:hint="default"/>
      </w:rPr>
    </w:lvl>
    <w:lvl w:ilvl="8" w:tplc="20000005" w:tentative="1">
      <w:start w:val="1"/>
      <w:numFmt w:val="bullet"/>
      <w:lvlText w:val=""/>
      <w:lvlJc w:val="left"/>
      <w:pPr>
        <w:ind w:left="7260" w:hanging="360"/>
      </w:pPr>
      <w:rPr>
        <w:rFonts w:ascii="Wingdings" w:hAnsi="Wingdings" w:hint="default"/>
      </w:rPr>
    </w:lvl>
  </w:abstractNum>
  <w:abstractNum w:abstractNumId="3" w15:restartNumberingAfterBreak="0">
    <w:nsid w:val="224C68F3"/>
    <w:multiLevelType w:val="hybridMultilevel"/>
    <w:tmpl w:val="7FEE4A80"/>
    <w:lvl w:ilvl="0" w:tplc="81F62F42">
      <w:start w:val="1"/>
      <w:numFmt w:val="decimal"/>
      <w:lvlText w:val="%1."/>
      <w:lvlJc w:val="left"/>
      <w:pPr>
        <w:ind w:left="720" w:hanging="360"/>
      </w:pPr>
      <w:rPr>
        <w:rFonts w:asciiTheme="minorHAnsi" w:hAnsiTheme="minorHAnsi" w:cstheme="minorBidi" w:hint="default"/>
        <w:b w:val="0"/>
        <w:color w:val="000000"/>
        <w:sz w:val="27"/>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C4E2F74"/>
    <w:multiLevelType w:val="hybridMultilevel"/>
    <w:tmpl w:val="4CA85F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A36570E"/>
    <w:multiLevelType w:val="hybridMultilevel"/>
    <w:tmpl w:val="7FEE4A80"/>
    <w:lvl w:ilvl="0" w:tplc="81F62F42">
      <w:start w:val="1"/>
      <w:numFmt w:val="decimal"/>
      <w:lvlText w:val="%1."/>
      <w:lvlJc w:val="left"/>
      <w:pPr>
        <w:ind w:left="720" w:hanging="360"/>
      </w:pPr>
      <w:rPr>
        <w:rFonts w:asciiTheme="minorHAnsi" w:hAnsiTheme="minorHAnsi" w:cstheme="minorBidi" w:hint="default"/>
        <w:b w:val="0"/>
        <w:color w:val="000000"/>
        <w:sz w:val="27"/>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87A295D"/>
    <w:multiLevelType w:val="hybridMultilevel"/>
    <w:tmpl w:val="3D3A41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1M7QEYhMTczMTAyUdpeDU4uLM/DyQApNaAFgwuHUsAAAA"/>
  </w:docVars>
  <w:rsids>
    <w:rsidRoot w:val="00D0343C"/>
    <w:rsid w:val="00027FF2"/>
    <w:rsid w:val="00041406"/>
    <w:rsid w:val="00042E24"/>
    <w:rsid w:val="000449A6"/>
    <w:rsid w:val="000601BE"/>
    <w:rsid w:val="000D1A7E"/>
    <w:rsid w:val="00135D5D"/>
    <w:rsid w:val="00155114"/>
    <w:rsid w:val="00181297"/>
    <w:rsid w:val="00186647"/>
    <w:rsid w:val="00191209"/>
    <w:rsid w:val="001A452C"/>
    <w:rsid w:val="001D3F51"/>
    <w:rsid w:val="0029652B"/>
    <w:rsid w:val="002A1FCC"/>
    <w:rsid w:val="002A4B79"/>
    <w:rsid w:val="002B28F3"/>
    <w:rsid w:val="002E2DAF"/>
    <w:rsid w:val="00320ABE"/>
    <w:rsid w:val="0035413B"/>
    <w:rsid w:val="003860A2"/>
    <w:rsid w:val="003A3865"/>
    <w:rsid w:val="004527E3"/>
    <w:rsid w:val="00487C83"/>
    <w:rsid w:val="0049161C"/>
    <w:rsid w:val="004936E6"/>
    <w:rsid w:val="004B660A"/>
    <w:rsid w:val="004D5976"/>
    <w:rsid w:val="004E5217"/>
    <w:rsid w:val="004F0DD8"/>
    <w:rsid w:val="00511215"/>
    <w:rsid w:val="00517B1A"/>
    <w:rsid w:val="00520318"/>
    <w:rsid w:val="005364AC"/>
    <w:rsid w:val="00571FC5"/>
    <w:rsid w:val="00581AAA"/>
    <w:rsid w:val="0058708D"/>
    <w:rsid w:val="005A59DF"/>
    <w:rsid w:val="005F2B70"/>
    <w:rsid w:val="00602945"/>
    <w:rsid w:val="0067272B"/>
    <w:rsid w:val="006728C2"/>
    <w:rsid w:val="00672F4D"/>
    <w:rsid w:val="006A0DF0"/>
    <w:rsid w:val="006A1414"/>
    <w:rsid w:val="006F3936"/>
    <w:rsid w:val="006F68B4"/>
    <w:rsid w:val="0072185C"/>
    <w:rsid w:val="007349C5"/>
    <w:rsid w:val="00735CB3"/>
    <w:rsid w:val="00754F42"/>
    <w:rsid w:val="0078696D"/>
    <w:rsid w:val="007D05BA"/>
    <w:rsid w:val="007F57DD"/>
    <w:rsid w:val="00867B4D"/>
    <w:rsid w:val="00902BE2"/>
    <w:rsid w:val="00940545"/>
    <w:rsid w:val="00972739"/>
    <w:rsid w:val="0099247F"/>
    <w:rsid w:val="009A034F"/>
    <w:rsid w:val="009A197E"/>
    <w:rsid w:val="009C3BD0"/>
    <w:rsid w:val="00A25A0B"/>
    <w:rsid w:val="00A408B0"/>
    <w:rsid w:val="00A64F39"/>
    <w:rsid w:val="00AA542F"/>
    <w:rsid w:val="00AF3C70"/>
    <w:rsid w:val="00B037A1"/>
    <w:rsid w:val="00B46098"/>
    <w:rsid w:val="00B46A4F"/>
    <w:rsid w:val="00B520A7"/>
    <w:rsid w:val="00B60BE0"/>
    <w:rsid w:val="00B70E40"/>
    <w:rsid w:val="00BA6448"/>
    <w:rsid w:val="00BA6F04"/>
    <w:rsid w:val="00BD0B49"/>
    <w:rsid w:val="00C35899"/>
    <w:rsid w:val="00C42B89"/>
    <w:rsid w:val="00C55691"/>
    <w:rsid w:val="00CE2791"/>
    <w:rsid w:val="00D0343C"/>
    <w:rsid w:val="00D61807"/>
    <w:rsid w:val="00D65236"/>
    <w:rsid w:val="00DA6AE1"/>
    <w:rsid w:val="00DB5CCF"/>
    <w:rsid w:val="00DB745E"/>
    <w:rsid w:val="00DE3BDF"/>
    <w:rsid w:val="00E8486F"/>
    <w:rsid w:val="00EB3D10"/>
    <w:rsid w:val="00EC50AD"/>
    <w:rsid w:val="00F022CF"/>
    <w:rsid w:val="00F46CC6"/>
    <w:rsid w:val="00F700C0"/>
    <w:rsid w:val="00F83304"/>
    <w:rsid w:val="00FA4EFA"/>
    <w:rsid w:val="00FA6271"/>
    <w:rsid w:val="00FB11A8"/>
    <w:rsid w:val="00FF2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53C4E"/>
  <w15:docId w15:val="{D3FAF6BA-E49B-4E53-9501-68509E075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CCF"/>
  </w:style>
  <w:style w:type="paragraph" w:styleId="Heading4">
    <w:name w:val="heading 4"/>
    <w:basedOn w:val="Normal"/>
    <w:link w:val="Heading4Char"/>
    <w:uiPriority w:val="9"/>
    <w:qFormat/>
    <w:rsid w:val="005A59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A59DF"/>
    <w:rPr>
      <w:rFonts w:ascii="Times New Roman" w:eastAsia="Times New Roman" w:hAnsi="Times New Roman" w:cs="Times New Roman"/>
      <w:b/>
      <w:bCs/>
      <w:sz w:val="24"/>
      <w:szCs w:val="24"/>
    </w:rPr>
  </w:style>
  <w:style w:type="paragraph" w:styleId="ListParagraph">
    <w:name w:val="List Paragraph"/>
    <w:basedOn w:val="Normal"/>
    <w:uiPriority w:val="34"/>
    <w:qFormat/>
    <w:rsid w:val="00BD0B49"/>
    <w:pPr>
      <w:ind w:left="720"/>
      <w:contextualSpacing/>
    </w:pPr>
  </w:style>
  <w:style w:type="character" w:styleId="Hyperlink">
    <w:name w:val="Hyperlink"/>
    <w:basedOn w:val="DefaultParagraphFont"/>
    <w:uiPriority w:val="99"/>
    <w:unhideWhenUsed/>
    <w:rsid w:val="005364AC"/>
    <w:rPr>
      <w:color w:val="0000FF" w:themeColor="hyperlink"/>
      <w:u w:val="single"/>
    </w:rPr>
  </w:style>
  <w:style w:type="paragraph" w:styleId="TableofFigures">
    <w:name w:val="table of figures"/>
    <w:basedOn w:val="Normal"/>
    <w:next w:val="Normal"/>
    <w:uiPriority w:val="99"/>
    <w:unhideWhenUsed/>
    <w:rsid w:val="005364AC"/>
    <w:pPr>
      <w:spacing w:after="0" w:line="259" w:lineRule="auto"/>
    </w:pPr>
    <w:rPr>
      <w:rFonts w:ascii="Arial" w:hAnsi="Arial" w:cs="Shruti"/>
      <w:lang w:val="en-IN"/>
    </w:rPr>
  </w:style>
  <w:style w:type="table" w:styleId="TableGrid">
    <w:name w:val="Table Grid"/>
    <w:basedOn w:val="TableNormal"/>
    <w:uiPriority w:val="39"/>
    <w:rsid w:val="00BA6448"/>
    <w:pPr>
      <w:spacing w:after="0" w:line="240" w:lineRule="auto"/>
    </w:pPr>
    <w:rPr>
      <w:rFonts w:ascii="Arial" w:hAnsi="Arial" w:cs="Shrut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C42B89"/>
  </w:style>
  <w:style w:type="paragraph" w:styleId="Caption">
    <w:name w:val="caption"/>
    <w:basedOn w:val="Normal"/>
    <w:next w:val="Normal"/>
    <w:uiPriority w:val="35"/>
    <w:unhideWhenUsed/>
    <w:qFormat/>
    <w:rsid w:val="004F0DD8"/>
    <w:pPr>
      <w:spacing w:after="160" w:line="240" w:lineRule="auto"/>
    </w:pPr>
    <w:rPr>
      <w:rFonts w:ascii="Arial" w:hAnsi="Arial" w:cs="Shruti"/>
      <w:i/>
      <w:iCs/>
      <w:color w:val="1F497D" w:themeColor="text2"/>
      <w:sz w:val="18"/>
      <w:szCs w:val="18"/>
      <w:lang w:val="en-IN"/>
    </w:rPr>
  </w:style>
  <w:style w:type="character" w:customStyle="1" w:styleId="UnresolvedMention">
    <w:name w:val="Unresolved Mention"/>
    <w:basedOn w:val="DefaultParagraphFont"/>
    <w:uiPriority w:val="99"/>
    <w:semiHidden/>
    <w:unhideWhenUsed/>
    <w:rsid w:val="009A197E"/>
    <w:rPr>
      <w:color w:val="605E5C"/>
      <w:shd w:val="clear" w:color="auto" w:fill="E1DFDD"/>
    </w:rPr>
  </w:style>
  <w:style w:type="paragraph" w:styleId="Header">
    <w:name w:val="header"/>
    <w:basedOn w:val="Normal"/>
    <w:link w:val="HeaderChar"/>
    <w:uiPriority w:val="99"/>
    <w:unhideWhenUsed/>
    <w:rsid w:val="00186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47"/>
  </w:style>
  <w:style w:type="paragraph" w:styleId="Footer">
    <w:name w:val="footer"/>
    <w:basedOn w:val="Normal"/>
    <w:link w:val="FooterChar"/>
    <w:uiPriority w:val="99"/>
    <w:unhideWhenUsed/>
    <w:rsid w:val="00186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584115">
      <w:bodyDiv w:val="1"/>
      <w:marLeft w:val="0"/>
      <w:marRight w:val="0"/>
      <w:marTop w:val="0"/>
      <w:marBottom w:val="0"/>
      <w:divBdr>
        <w:top w:val="none" w:sz="0" w:space="0" w:color="auto"/>
        <w:left w:val="none" w:sz="0" w:space="0" w:color="auto"/>
        <w:bottom w:val="none" w:sz="0" w:space="0" w:color="auto"/>
        <w:right w:val="none" w:sz="0" w:space="0" w:color="auto"/>
      </w:divBdr>
    </w:div>
    <w:div w:id="1279796283">
      <w:bodyDiv w:val="1"/>
      <w:marLeft w:val="0"/>
      <w:marRight w:val="0"/>
      <w:marTop w:val="0"/>
      <w:marBottom w:val="0"/>
      <w:divBdr>
        <w:top w:val="none" w:sz="0" w:space="0" w:color="auto"/>
        <w:left w:val="none" w:sz="0" w:space="0" w:color="auto"/>
        <w:bottom w:val="none" w:sz="0" w:space="0" w:color="auto"/>
        <w:right w:val="none" w:sz="0" w:space="0" w:color="auto"/>
      </w:divBdr>
    </w:div>
    <w:div w:id="131945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ert.org/node/3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medicine-and-dentistry/human-immunodeficiency-virus" TargetMode="External"/><Relationship Id="rId5" Type="http://schemas.openxmlformats.org/officeDocument/2006/relationships/webSettings" Target="webSettings.xml"/><Relationship Id="rId10" Type="http://schemas.openxmlformats.org/officeDocument/2006/relationships/hyperlink" Target="https://www.sciencedirect.com/topics/social-sciences/remuneration" TargetMode="External"/><Relationship Id="rId4" Type="http://schemas.openxmlformats.org/officeDocument/2006/relationships/settings" Target="settings.xml"/><Relationship Id="rId9" Type="http://schemas.openxmlformats.org/officeDocument/2006/relationships/hyperlink" Target="https://nigerianwiki.xyz/history-national-agency-for-the-control-of-aids-n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294A5-AD64-4843-A9E7-861AE70F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15206</Words>
  <Characters>86676</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kamadjeur</dc:creator>
  <cp:lastModifiedBy>SDI CPU 1127</cp:lastModifiedBy>
  <cp:revision>16</cp:revision>
  <dcterms:created xsi:type="dcterms:W3CDTF">2025-03-16T18:04:00Z</dcterms:created>
  <dcterms:modified xsi:type="dcterms:W3CDTF">2025-03-25T10:10:00Z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id="JlNtrlB2"/&gt;&lt;style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y fmtid="{D5CDD505-2E9C-101B-9397-08002B2CF9AE}" pid="4" name="GrammarlyDocumentId">
    <vt:lpwstr>59658c1fc1abe571eecd6bec02e6090c9799303a3c528f74e3ea793b96da904e</vt:lpwstr>
  </property>
</Properties>
</file>