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D5E7" w14:textId="0F5E8053" w:rsidR="00942033" w:rsidRPr="00942033" w:rsidRDefault="00942033" w:rsidP="009D62F7">
      <w:pPr>
        <w:pStyle w:val="NormalWeb"/>
        <w:rPr>
          <w:rStyle w:val="Strong"/>
          <w:rFonts w:asciiTheme="majorHAnsi" w:hAnsiTheme="majorHAnsi"/>
          <w:b w:val="0"/>
          <w:bCs w:val="0"/>
          <w:i/>
          <w:iCs/>
        </w:rPr>
      </w:pPr>
      <w:r w:rsidRPr="00942033">
        <w:rPr>
          <w:rStyle w:val="Strong"/>
          <w:rFonts w:asciiTheme="majorHAnsi" w:hAnsiTheme="majorHAnsi"/>
          <w:b w:val="0"/>
          <w:bCs w:val="0"/>
          <w:i/>
          <w:iCs/>
        </w:rPr>
        <w:t>Original Research Article</w:t>
      </w:r>
    </w:p>
    <w:p w14:paraId="0D7A648C" w14:textId="12A1F7B0" w:rsidR="009D62F7" w:rsidRPr="00CA4452" w:rsidRDefault="009D62F7" w:rsidP="009D62F7">
      <w:pPr>
        <w:pStyle w:val="NormalWeb"/>
        <w:rPr>
          <w:rStyle w:val="Strong"/>
          <w:rFonts w:asciiTheme="majorHAnsi" w:hAnsiTheme="majorHAnsi"/>
          <w:sz w:val="26"/>
        </w:rPr>
      </w:pPr>
      <w:r w:rsidRPr="00CA4452">
        <w:rPr>
          <w:rStyle w:val="Strong"/>
          <w:rFonts w:asciiTheme="majorHAnsi" w:hAnsiTheme="majorHAnsi"/>
          <w:sz w:val="26"/>
        </w:rPr>
        <w:t xml:space="preserve">A Community-Based Survey on </w:t>
      </w:r>
      <w:r w:rsidR="00942033">
        <w:rPr>
          <w:rStyle w:val="Strong"/>
          <w:rFonts w:asciiTheme="majorHAnsi" w:hAnsiTheme="majorHAnsi"/>
          <w:sz w:val="26"/>
        </w:rPr>
        <w:t>Diabetes Mellitus</w:t>
      </w:r>
      <w:r w:rsidRPr="00CA4452">
        <w:rPr>
          <w:rStyle w:val="Strong"/>
          <w:rFonts w:asciiTheme="majorHAnsi" w:hAnsiTheme="majorHAnsi"/>
          <w:sz w:val="26"/>
        </w:rPr>
        <w:t xml:space="preserve"> at Mile One</w:t>
      </w:r>
      <w:r w:rsidR="005C2F07" w:rsidRPr="00CA4452">
        <w:rPr>
          <w:rStyle w:val="Strong"/>
          <w:rFonts w:asciiTheme="majorHAnsi" w:hAnsiTheme="majorHAnsi"/>
          <w:sz w:val="26"/>
        </w:rPr>
        <w:t xml:space="preserve"> Market</w:t>
      </w:r>
      <w:r w:rsidRPr="00CA4452">
        <w:rPr>
          <w:rStyle w:val="Strong"/>
          <w:rFonts w:asciiTheme="majorHAnsi" w:hAnsiTheme="majorHAnsi"/>
          <w:sz w:val="26"/>
        </w:rPr>
        <w:t>, Port Harcourt</w:t>
      </w:r>
    </w:p>
    <w:p w14:paraId="79422834" w14:textId="77777777" w:rsidR="00976A56" w:rsidRDefault="00976A56" w:rsidP="00CE0CC6">
      <w:pPr>
        <w:pStyle w:val="Heading3"/>
      </w:pPr>
      <w:r>
        <w:t>Abstract</w:t>
      </w:r>
    </w:p>
    <w:p w14:paraId="7A0D39C4" w14:textId="7938ECE4" w:rsidR="00976A56" w:rsidRDefault="00976A56" w:rsidP="00976A56">
      <w:pPr>
        <w:pStyle w:val="NormalWeb"/>
      </w:pPr>
      <w:r>
        <w:rPr>
          <w:rStyle w:val="Strong"/>
        </w:rPr>
        <w:t>Background:</w:t>
      </w:r>
      <w:r>
        <w:t xml:space="preserve"> Diabetes mellitus remains a major public health concern, with multiple </w:t>
      </w:r>
      <w:proofErr w:type="gramStart"/>
      <w:r>
        <w:t>demographic</w:t>
      </w:r>
      <w:proofErr w:type="gramEnd"/>
      <w:r>
        <w:t xml:space="preserve">, </w:t>
      </w:r>
      <w:r w:rsidR="008B23D4">
        <w:t>blood glucose</w:t>
      </w:r>
      <w:r>
        <w:t>, and lifestyle factors contributing to its</w:t>
      </w:r>
      <w:r w:rsidR="00CE0CC6">
        <w:t xml:space="preserve"> risk. T</w:t>
      </w:r>
      <w:r>
        <w:t>he associations between diabetes risk and various parameters, including age, sex, occupation, residence, alcohol consumption, and body mass index (BMI)</w:t>
      </w:r>
      <w:r w:rsidR="00CE0CC6">
        <w:t xml:space="preserve"> were examined</w:t>
      </w:r>
      <w:r>
        <w:t xml:space="preserve">, while assessing correlations between </w:t>
      </w:r>
      <w:r w:rsidR="008B23D4">
        <w:t>blood glucose</w:t>
      </w:r>
      <w:r>
        <w:t xml:space="preserve"> and cardiovascular markers.</w:t>
      </w:r>
    </w:p>
    <w:p w14:paraId="686DFD2D" w14:textId="077B0702" w:rsidR="00976A56" w:rsidRDefault="00976A56" w:rsidP="00976A56">
      <w:pPr>
        <w:pStyle w:val="NormalWeb"/>
      </w:pPr>
      <w:r>
        <w:rPr>
          <w:rStyle w:val="Strong"/>
        </w:rPr>
        <w:t>Methods:</w:t>
      </w:r>
      <w:r>
        <w:t xml:space="preserve"> A cross-sectional survey was conducted among </w:t>
      </w:r>
      <w:r w:rsidR="00CE0CC6">
        <w:t xml:space="preserve">consenting </w:t>
      </w:r>
      <w:r>
        <w:t>adult</w:t>
      </w:r>
      <w:r w:rsidR="005C2F07">
        <w:t xml:space="preserve"> Nigerians</w:t>
      </w:r>
      <w:r>
        <w:t xml:space="preserve">, with </w:t>
      </w:r>
      <w:r w:rsidR="001B410F">
        <w:t>fasting blood glucose</w:t>
      </w:r>
      <w:r>
        <w:t xml:space="preserve"> (</w:t>
      </w:r>
      <w:r w:rsidR="00D05FC3">
        <w:t>FBG</w:t>
      </w:r>
      <w:r>
        <w:t xml:space="preserve">), </w:t>
      </w:r>
      <w:r w:rsidR="00D05FC3">
        <w:t>random blood glucose</w:t>
      </w:r>
      <w:r>
        <w:t xml:space="preserve"> (</w:t>
      </w:r>
      <w:r w:rsidR="00D05FC3">
        <w:t>RBG</w:t>
      </w:r>
      <w:r>
        <w:t>), systolic blood pressure (SBP), diastolic blood pressure (DBP), BMI, and waist-to-hip ratio measured. Statistical analyses included correlation tests, regression modelling, and significance testing to evaluate associations between diabetes risk and predictor variables.</w:t>
      </w:r>
    </w:p>
    <w:p w14:paraId="5E96939E" w14:textId="3D63065E" w:rsidR="00976A56" w:rsidRDefault="00976A56" w:rsidP="00976A56">
      <w:pPr>
        <w:pStyle w:val="NormalWeb"/>
      </w:pPr>
      <w:r>
        <w:rPr>
          <w:rStyle w:val="Strong"/>
        </w:rPr>
        <w:t>Results:</w:t>
      </w:r>
      <w:r>
        <w:t xml:space="preserve"> </w:t>
      </w:r>
      <w:r w:rsidR="00BE5284">
        <w:t xml:space="preserve">The total number of participants was 95. </w:t>
      </w:r>
      <w:r>
        <w:t>Age was significantly associated with diabetes risk (p = 0.007), with individuals aged 41–60 years and &gt;60 years more frequently classified as pre-diabetic or diabetic. However, sex, occupation, residence, alcohol consumption, and BMI were not significantly associated with diabetes risk (p &gt; 0.05). Most participants in all glucose categories were traders (90.5%), suggesting limited occupational variability</w:t>
      </w:r>
      <w:r w:rsidR="00CE0CC6">
        <w:t xml:space="preserve"> because of the study site</w:t>
      </w:r>
      <w:r>
        <w:t xml:space="preserve">. There were no significant differences in </w:t>
      </w:r>
      <w:r w:rsidR="00D05FC3">
        <w:t>FBG</w:t>
      </w:r>
      <w:r>
        <w:t xml:space="preserve"> (p = 0.51), </w:t>
      </w:r>
      <w:r w:rsidR="00D05FC3">
        <w:t>RBG</w:t>
      </w:r>
      <w:r>
        <w:t xml:space="preserve"> (p = 0.45), SBP (p = 0.42), DBP (p = 0.26), or BMI (p = 0.18). However, waist-to-hip ratio differed significantly between sexes (p = 0.04), with males exhibiting higher values (1.02 ± 0.005) than females (1.00 ± 0.005). Age was positively correlated with </w:t>
      </w:r>
      <w:r w:rsidR="00D05FC3">
        <w:t>FBG</w:t>
      </w:r>
      <w:r>
        <w:t xml:space="preserve"> (r = 0.27, p &lt; 0.05), SBP (r = 0.40, p &lt; 0.01), DBP (r = 0.45, p &lt; 0.01), and BMI (r = 0.23, p &lt; 0.05). Regression analysis showed no significant predictors of </w:t>
      </w:r>
      <w:r w:rsidR="00D05FC3">
        <w:t>FBG</w:t>
      </w:r>
      <w:r>
        <w:t>, though SBP and DBP exhibited the strongest, albeit non-significant, associations.</w:t>
      </w:r>
    </w:p>
    <w:p w14:paraId="51AA004B" w14:textId="1B7C37CB" w:rsidR="00976A56" w:rsidRDefault="00976A56" w:rsidP="00976A56">
      <w:pPr>
        <w:pStyle w:val="NormalWeb"/>
      </w:pPr>
      <w:r>
        <w:rPr>
          <w:rStyle w:val="Strong"/>
        </w:rPr>
        <w:t>Conclusion:</w:t>
      </w:r>
      <w:r>
        <w:t xml:space="preserve"> Age emerged as a key factor in diabetes risk, while other demographic and </w:t>
      </w:r>
      <w:r w:rsidR="008B23D4">
        <w:t>blood glucose</w:t>
      </w:r>
      <w:r>
        <w:t xml:space="preserve"> variables showed weaker associations. Future research should explore additional covariates and diverse populations to enhance understanding of </w:t>
      </w:r>
      <w:r w:rsidR="008B23D4">
        <w:t>blood glucose</w:t>
      </w:r>
      <w:r>
        <w:t xml:space="preserve"> health determinants.</w:t>
      </w:r>
    </w:p>
    <w:p w14:paraId="01DA2CAB" w14:textId="35758C1C" w:rsidR="00976A56" w:rsidRPr="005C2F07" w:rsidRDefault="005C2F07" w:rsidP="009D62F7">
      <w:pPr>
        <w:pStyle w:val="NormalWeb"/>
        <w:rPr>
          <w:rStyle w:val="Strong"/>
          <w:rFonts w:asciiTheme="majorHAnsi" w:hAnsiTheme="majorHAnsi"/>
          <w:i/>
          <w:sz w:val="22"/>
        </w:rPr>
      </w:pPr>
      <w:r>
        <w:rPr>
          <w:rStyle w:val="Strong"/>
        </w:rPr>
        <w:t>Keywords:</w:t>
      </w:r>
      <w:r>
        <w:t xml:space="preserve"> </w:t>
      </w:r>
      <w:r w:rsidRPr="005C2F07">
        <w:rPr>
          <w:i/>
          <w:sz w:val="22"/>
        </w:rPr>
        <w:t xml:space="preserve">Diabetes Mellitus, </w:t>
      </w:r>
      <w:r w:rsidR="008B23D4">
        <w:rPr>
          <w:i/>
          <w:sz w:val="22"/>
        </w:rPr>
        <w:t>Blood glucose</w:t>
      </w:r>
      <w:r w:rsidRPr="005C2F07">
        <w:rPr>
          <w:i/>
          <w:sz w:val="22"/>
        </w:rPr>
        <w:t xml:space="preserve"> Risk Factors, Fasting Blood Glucose, Cardiovascular Health, Anthropometric Indices, Aging and Diabetes, Urbanization, Public Health.</w:t>
      </w:r>
    </w:p>
    <w:p w14:paraId="29F0536B" w14:textId="77777777" w:rsidR="005C2F07" w:rsidRDefault="005C2F07" w:rsidP="00976A56">
      <w:pPr>
        <w:pStyle w:val="Heading3"/>
      </w:pPr>
    </w:p>
    <w:p w14:paraId="03BD0BAA" w14:textId="77777777" w:rsidR="00CA4452" w:rsidRDefault="00CA4452" w:rsidP="00976A56">
      <w:pPr>
        <w:pStyle w:val="Heading3"/>
      </w:pPr>
    </w:p>
    <w:p w14:paraId="58CFC43A" w14:textId="77777777" w:rsidR="00976A56" w:rsidRDefault="00976A56" w:rsidP="00F95B57">
      <w:pPr>
        <w:pStyle w:val="Heading3"/>
        <w:jc w:val="both"/>
      </w:pPr>
      <w:r>
        <w:t>Introduction</w:t>
      </w:r>
    </w:p>
    <w:p w14:paraId="35A7BDDC" w14:textId="01A339DB" w:rsidR="00976A56" w:rsidRDefault="00976A56" w:rsidP="00F95B57">
      <w:pPr>
        <w:pStyle w:val="NormalWeb"/>
        <w:jc w:val="both"/>
      </w:pPr>
      <w:r>
        <w:t xml:space="preserve">Diabetes mellitus is a complex </w:t>
      </w:r>
      <w:r w:rsidR="008B23D4">
        <w:t>blood glucose</w:t>
      </w:r>
      <w:r>
        <w:t xml:space="preserve"> disorder characterized by chronic hyperglyc</w:t>
      </w:r>
      <w:r w:rsidR="00CE0CC6">
        <w:t>a</w:t>
      </w:r>
      <w:r>
        <w:t>emia resulting from defects in insulin secretion, insulin action, or both.</w:t>
      </w:r>
      <w:r w:rsidR="005B6BD8">
        <w:fldChar w:fldCharType="begin" w:fldLock="1"/>
      </w:r>
      <w:r w:rsidR="005B6BD8">
        <w:instrText>ADDIN CSL_CITATION {"citationItems":[{"id":"ITEM-1","itemData":{"DOI":"10.2337/dc22-sint","ISSN":"0149-5992","author":[{"dropping-particle":"","family":"(ADA)","given":"American Diabetes Association","non-dropping-particle":"","parse-names":false,"suffix":""}],"container-title":"Diabetes Care","id":"ITEM-1","issue":"1","issued":{"date-parts":[["2023"]]},"page":"S1-S2286","publisher":"American Diabetes Association","title":"Standards of Medical Care in Diabetes-2023","type":"article-journal","volume":"45"},"uris":["http://www.mendeley.com/documents/?uuid=cd9ca611-d93a-4de9-a22e-9f13de0c2b77"]}],"mendeley":{"formattedCitation":"&lt;sup&gt;1&lt;/sup&gt;","plainTextFormattedCitation":"1","previouslyFormattedCitation":"&lt;sup&gt;1&lt;/sup&gt;"},"properties":{"noteIndex":0},"schema":"https://github.com/citation-style-language/schema/raw/master/csl-citation.json"}</w:instrText>
      </w:r>
      <w:r w:rsidR="005B6BD8">
        <w:fldChar w:fldCharType="separate"/>
      </w:r>
      <w:r w:rsidR="005B6BD8" w:rsidRPr="005B6BD8">
        <w:rPr>
          <w:noProof/>
          <w:vertAlign w:val="superscript"/>
        </w:rPr>
        <w:t>1</w:t>
      </w:r>
      <w:r w:rsidR="005B6BD8">
        <w:fldChar w:fldCharType="end"/>
      </w:r>
      <w:r>
        <w:t xml:space="preserve"> It remains a major global health concern, with increasing prevalence in both developed and developing countries. According to the International Diabetes Federatio</w:t>
      </w:r>
      <w:r w:rsidR="00301E51">
        <w:t>n,</w:t>
      </w:r>
      <w:r w:rsidR="00301E51">
        <w:fldChar w:fldCharType="begin" w:fldLock="1"/>
      </w:r>
      <w:r w:rsidR="00301E51">
        <w:instrText>ADDIN CSL_CITATION {"citationItems":[{"id":"ITEM-1","itemData":{"DOI":"10.1163/1570-6664_iyb_sim_org_38965","author":[{"dropping-particle":"","family":"IDF","given":"","non-dropping-particle":"","parse-names":false,"suffix":""}],"container-title":"International Diabetes Federation","id":"ITEM-1","issued":{"date-parts":[["2021"]]},"publisher":"Brill","title":"International Diabetes Atlas (10th ed)","type":"article"},"uris":["http://www.mendeley.com/documents/?uuid=476ff180-08d2-41a0-871e-9dd604389775"]}],"mendeley":{"formattedCitation":"&lt;sup&gt;2&lt;/sup&gt;","plainTextFormattedCitation":"2","previouslyFormattedCitation":"&lt;sup&gt;2&lt;/sup&gt;"},"properties":{"noteIndex":0},"schema":"https://github.com/citation-style-language/schema/raw/master/csl-citation.json"}</w:instrText>
      </w:r>
      <w:r w:rsidR="00301E51">
        <w:fldChar w:fldCharType="separate"/>
      </w:r>
      <w:r w:rsidR="00301E51" w:rsidRPr="00301E51">
        <w:rPr>
          <w:noProof/>
          <w:vertAlign w:val="superscript"/>
        </w:rPr>
        <w:t>2</w:t>
      </w:r>
      <w:r w:rsidR="00301E51">
        <w:fldChar w:fldCharType="end"/>
      </w:r>
      <w:r>
        <w:t xml:space="preserve"> approximately 537 million adults worldwide were living with diabetes in 2021, with projections indicating a rise to 643 million b</w:t>
      </w:r>
      <w:r w:rsidR="00772D82">
        <w:t xml:space="preserve">y 2030 and 783 million by 2045. </w:t>
      </w:r>
      <w:r w:rsidR="00772D82">
        <w:lastRenderedPageBreak/>
        <w:t>The rising incidence of diabetes is largely driven by demographic shifts, urbanization, and lifestyle changes.</w:t>
      </w:r>
      <w:r w:rsidR="009C2DD2">
        <w:fldChar w:fldCharType="begin" w:fldLock="1"/>
      </w:r>
      <w:r w:rsidR="009C2DD2">
        <w:instrText>ADDIN CSL_CITATION {"citationItems":[{"id":"ITEM-1","itemData":{"DOI":"10.1007/s00125-021-05585-2","ISSN":"1432-0428","abstract":"International trends in traditional diabetes complications (cardiovascular, renal, peripheral vascular, ophthalmic, hepatic or neurological diseases) and mortality rates are poorly characterised. An earlier review of studies published up to 2015 demonstrated that most data come from a dozen high-income countries (HICs) in North America, Europe or the Asia-Pacific region and that, in these countries at least, rates of acute glycaemic fluctuations needing medical attention and amputations, myocardial infarction and mortality were all declining over the period. Here, we provide an updated review of published literature on trends in type 2 diabetes complications and mortality in adults since 2015. We also discuss issues related to data collection, analysis and reporting that have influenced global trends in type 2 diabetes and its complications. We found that most data on trends in type 2 diabetes, its complications and mortality come from a small number of HICs with comprehensive surveillance systems, though at least some low- and middle-income countries (LMICs) from Africa and Latin America are represented in this review. The published data suggest that HICs have experienced declines in cardiovascular complication rates and all-cause mortality in people with diabetes. In parallel, cardiovascular complications and mortality rates in people with diabetes have increased over time in LMICs. However, caution is warranted in interpreting trends from LMICs due to extremely sparse data or data that are not comparable across countries. We noted that approaches to case ascertainment and definitions of complications and mortality (numerators) and type 2 diabetes (the denominator) vary widely and influence the interpretation of international data. We offer four key recommendations to more rigorously document trends in rates of type 2 diabetes complications and mortality, over time and worldwide: (1) increasing investments in data collection systems; (2) standardising case definitions and approaches to ascertainment; (3) strengthening analytical capacity; and (4) developing and implementing structured guidelines for reporting of data.","author":[{"dropping-particle":"","family":"Ali","given":"Mohammed K","non-dropping-particle":"","parse-names":false,"suffix":""},{"dropping-particle":"","family":"Pearson-Stuttard","given":"Jonathan","non-dropping-particle":"","parse-names":false,"suffix":""},{"dropping-particle":"","family":"Selvin","given":"Elizabeth","non-dropping-particle":"","parse-names":false,"suffix":""},{"dropping-particle":"","family":"Gregg","given":"Edward W","non-dropping-particle":"","parse-names":false,"suffix":""}],"container-title":"Diabetologia","edition":"2021/11/27","id":"ITEM-1","issue":"1","issued":{"date-parts":[["2022","1"]]},"language":"eng","page":"3-13","publisher-place":"Germany","title":"Interpreting global trends in type 2 diabetes complications and mortality","type":"article-journal","volume":"65"},"uris":["http://www.mendeley.com/documents/?uuid=1792918e-f993-489d-8577-376c706df23d"]}],"mendeley":{"formattedCitation":"&lt;sup&gt;3&lt;/sup&gt;","plainTextFormattedCitation":"3","previouslyFormattedCitation":"&lt;sup&gt;3&lt;/sup&gt;"},"properties":{"noteIndex":0},"schema":"https://github.com/citation-style-language/schema/raw/master/csl-citation.json"}</w:instrText>
      </w:r>
      <w:r w:rsidR="009C2DD2">
        <w:fldChar w:fldCharType="separate"/>
      </w:r>
      <w:r w:rsidR="009C2DD2" w:rsidRPr="009C2DD2">
        <w:rPr>
          <w:noProof/>
          <w:vertAlign w:val="superscript"/>
        </w:rPr>
        <w:t>3</w:t>
      </w:r>
      <w:r w:rsidR="009C2DD2">
        <w:fldChar w:fldCharType="end"/>
      </w:r>
      <w:r w:rsidR="00772D82">
        <w:t xml:space="preserve"> Aging populations, increased life expectancy, and changing socioeconomic conditions contribute to a growing at-risk population. Urbanization has led to greater consumption of processed, high-calorie foods and reduced physical activity due to sedentary work and transportation habits. Additionally, stress, inadequate sleep, and environmental factors further exacerbate </w:t>
      </w:r>
      <w:r w:rsidR="008B23D4">
        <w:t>blood glucose</w:t>
      </w:r>
      <w:r w:rsidR="00772D82">
        <w:t xml:space="preserve"> dysfunction. Addressing these trends through public health interventions, lifestyle modifications, and early screening is crucial for diabetes prevention and management.</w:t>
      </w:r>
      <w:r w:rsidR="009C2DD2">
        <w:fldChar w:fldCharType="begin" w:fldLock="1"/>
      </w:r>
      <w:r w:rsidR="009C2DD2">
        <w:instrText>ADDIN CSL_CITATION {"citationItems":[{"id":"ITEM-1","itemData":{"DOI":"10.3389/fendo.2024.1501690","ISSN":"1664-2392","abstract":"BACKGROUND: We aimed to assess temporal trends in type 2 diabetes mellitus (T2DM)-related deaths and disability-adjusted life years (DALYs) at global and cross-social demographic index (SDI) levels, using data from the Global Burden of Disease (GBD) in 2021. METHODS: We used geospatial mapping to visualize the global distribution of T2DM-related mortality and DALYs in 2021. Joinpoint regression assessed annual and average percent changes in DALYs and deaths from 1990 to 2021 across SDI regions. Age-period-cohort modeling examined the effects of age, period, and cohort on trends. Decomposition analysis evaluated the impact of population growth, aging, and epidemiological changes on DALY trends. A stratified projection forecasted future T2DM burden by age and sex from 2020 to 2044. RESULTS: T2DM-related mortality and DALYs were highest in low-SDI regions. Globally, T2DM-related deaths and DALYs have increased, with the most rapid rise in low and low-middle SDI regions, driven by population growth and epidemiological shifts. High-SDI countries showed a slower increase in DALYs, influenced more by aging. Age-period-cohort analysis indicated higher DALY rates in later birth cohorts and recent periods, especially in high-SDI regions. Future projections show a significant increase in the 70-74 age group and a gradual rise in other age groups. CONCLUSION: The burden of T2DM is projected to continue increasing, especially in low-SDI and low-middle SDI regions, where population growth and epidemiological shifts are the main contributors. This underscores the need for targeted, region-specific healthcare policies, preventive strategies, and age-specific interventions to address the increasing T2DM burden globally.","author":[{"dropping-particle":"","family":"He","given":"Ke-Jie","non-dropping-particle":"","parse-names":false,"suffix":""},{"dropping-particle":"","family":"Wang","given":"Haitao","non-dropping-particle":"","parse-names":false,"suffix":""},{"dropping-particle":"","family":"Xu","given":"Jianguang","non-dropping-particle":"","parse-names":false,"suffix":""},{"dropping-particle":"","family":"Gong","given":"Guoyu","non-dropping-particle":"","parse-names":false,"suffix":""},{"dropping-particle":"","family":"Liu","given":"Xu","non-dropping-particle":"","parse-names":false,"suffix":""},{"dropping-particle":"","family":"Guan","given":"Huiting","non-dropping-particle":"","parse-names":false,"suffix":""}],"container-title":"Frontiers in endocrinology","id":"ITEM-1","issued":{"date-parts":[["2024","11","8"]]},"language":"eng","page":"1501690","publisher-place":"Switzerland","title":"Global burden of type 2 diabetes mellitus from 1990 to 2021, with projections of prevalence to 2044: a systematic analysis across SDI levels for the global burden of disease study 2021","type":"article-journal","volume":"15"},"uris":["http://www.mendeley.com/documents/?uuid=9104e069-9683-4931-a957-21797768989f"]}],"mendeley":{"formattedCitation":"&lt;sup&gt;4&lt;/sup&gt;","plainTextFormattedCitation":"4","previouslyFormattedCitation":"&lt;sup&gt;4&lt;/sup&gt;"},"properties":{"noteIndex":0},"schema":"https://github.com/citation-style-language/schema/raw/master/csl-citation.json"}</w:instrText>
      </w:r>
      <w:r w:rsidR="009C2DD2">
        <w:fldChar w:fldCharType="separate"/>
      </w:r>
      <w:r w:rsidR="009C2DD2" w:rsidRPr="009C2DD2">
        <w:rPr>
          <w:noProof/>
          <w:vertAlign w:val="superscript"/>
        </w:rPr>
        <w:t>4</w:t>
      </w:r>
      <w:r w:rsidR="009C2DD2">
        <w:fldChar w:fldCharType="end"/>
      </w:r>
    </w:p>
    <w:p w14:paraId="7F2B8420" w14:textId="0DA93BE9" w:rsidR="00976A56" w:rsidRDefault="00976A56" w:rsidP="00F95B57">
      <w:pPr>
        <w:pStyle w:val="NormalWeb"/>
        <w:jc w:val="both"/>
      </w:pPr>
      <w:r>
        <w:t>Aging is one of the strongest risk factors for diabetes, with prevalence increasing significantly among individuals aged 40 years and older.</w:t>
      </w:r>
      <w:r w:rsidR="00301E51">
        <w:fldChar w:fldCharType="begin" w:fldLock="1"/>
      </w:r>
      <w:r w:rsidR="009C2DD2">
        <w:instrText>ADDIN CSL_CITATION {"citationItems":[{"id":"ITEM-1","itemData":{"DOI":"10.1016/s0140-6736(17)30058-2","ISSN":"0140-6736","author":[{"dropping-particle":"","family":"Chatterjee","given":"Sudesna","non-dropping-particle":"","parse-names":false,"suffix":""},{"dropping-particle":"","family":"Khunti","given":"Kamlesh","non-dropping-particle":"","parse-names":false,"suffix":""},{"dropping-particle":"","family":"Davies","given":"Melanie J","non-dropping-particle":"","parse-names":false,"suffix":""}],"container-title":"The Lancet","id":"ITEM-1","issue":"10085","issued":{"date-parts":[["2017"]]},"page":"2239-2251","publisher":"Elsevier BV","title":"Type 2 diabetes","type":"article-journal","volume":"389"},"uris":["http://www.mendeley.com/documents/?uuid=4cfd3e64-9fc4-4c15-a838-2a3e77277a4e"]}],"mendeley":{"formattedCitation":"&lt;sup&gt;5&lt;/sup&gt;","plainTextFormattedCitation":"5","previouslyFormattedCitation":"&lt;sup&gt;5&lt;/sup&gt;"},"properties":{"noteIndex":0},"schema":"https://github.com/citation-style-language/schema/raw/master/csl-citation.json"}</w:instrText>
      </w:r>
      <w:r w:rsidR="00301E51">
        <w:fldChar w:fldCharType="separate"/>
      </w:r>
      <w:r w:rsidR="009C2DD2" w:rsidRPr="009C2DD2">
        <w:rPr>
          <w:noProof/>
          <w:vertAlign w:val="superscript"/>
        </w:rPr>
        <w:t>5</w:t>
      </w:r>
      <w:r w:rsidR="00301E51">
        <w:fldChar w:fldCharType="end"/>
      </w:r>
      <w:r>
        <w:t xml:space="preserve"> Physiological changes associated with aging, such as declining pancreatic beta-cell function and increasing insulin resistance, contribute to the higher risk of diabetes in older adults.</w:t>
      </w:r>
      <w:r w:rsidR="009C2DD2">
        <w:fldChar w:fldCharType="begin" w:fldLock="1"/>
      </w:r>
      <w:r w:rsidR="009C2DD2">
        <w:instrText>ADDIN CSL_CITATION {"citationItems":[{"id":"ITEM-1","itemData":{"DOI":"10.1080/00325481.2020.1771047","ISSN":"0032-5481","author":[{"dropping-particle":"","family":"Wysham","given":"Carol","non-dropping-particle":"","parse-names":false,"suffix":""},{"dropping-particle":"","family":"Shubrook","given":"Jay","non-dropping-particle":"","parse-names":false,"suffix":""}],"container-title":"Postgraduate Medicine","id":"ITEM-1","issue":"8","issued":{"date-parts":[["2020"]]},"page":"676-686","publisher":"Informa UK Limited","title":"Beta-cell failure in type 2 diabetes: mechanisms, markers, and clinical implications","type":"article-journal","volume":"132"},"uris":["http://www.mendeley.com/documents/?uuid=d62e1144-c828-4bc5-b0e9-06d0a18ed770"]}],"mendeley":{"formattedCitation":"&lt;sup&gt;6&lt;/sup&gt;","plainTextFormattedCitation":"6","previouslyFormattedCitation":"&lt;sup&gt;6&lt;/sup&gt;"},"properties":{"noteIndex":0},"schema":"https://github.com/citation-style-language/schema/raw/master/csl-citation.json"}</w:instrText>
      </w:r>
      <w:r w:rsidR="009C2DD2">
        <w:fldChar w:fldCharType="separate"/>
      </w:r>
      <w:r w:rsidR="009C2DD2" w:rsidRPr="009C2DD2">
        <w:rPr>
          <w:noProof/>
          <w:vertAlign w:val="superscript"/>
        </w:rPr>
        <w:t>6</w:t>
      </w:r>
      <w:r w:rsidR="009C2DD2">
        <w:fldChar w:fldCharType="end"/>
      </w:r>
      <w:r>
        <w:t xml:space="preserve"> However, other factors, including sex, occupation, place of residence, alcohol consumption, and body mass index (BMI), have also been linked to diabetes risk, although their associations remain inconsistent across different populations.</w:t>
      </w:r>
      <w:r w:rsidR="009C2DD2">
        <w:fldChar w:fldCharType="begin" w:fldLock="1"/>
      </w:r>
      <w:r w:rsidR="009C2DD2">
        <w:instrText>ADDIN CSL_CITATION {"citationItems":[{"id":"ITEM-1","itemData":{"DOI":"10.2337/dc07-9921","ISSN":"0149-5992","author":[{"dropping-particle":"","family":"Klein","given":"Samuel","non-dropping-particle":"","parse-names":false,"suffix":""},{"dropping-particle":"","family":"Allison","given":"David B","non-dropping-particle":"","parse-names":false,"suffix":""},{"dropping-particle":"","family":"Heymsfield","given":"Steven B","non-dropping-particle":"","parse-names":false,"suffix":""},{"dropping-particle":"","family":"Kelley","given":"David E","non-dropping-particle":"","parse-names":false,"suffix":""},{"dropping-particle":"","family":"Leibel","given":"Rudolph L","non-dropping-particle":"","parse-names":false,"suffix":""},{"dropping-particle":"","family":"Nonas","given":"Cathy","non-dropping-particle":"","parse-names":false,"suffix":""},{"dropping-particle":"","family":"Kahn","given":"Richard","non-dropping-particle":"","parse-names":false,"suffix":""}],"container-title":"Obesity","id":"ITEM-1","issue":"4","issued":{"date-parts":[["2020"]]},"page":"627-638","publisher":"American Diabetes Association","title":"Waist Circumference and Cardiometabolic Risk: A Consesus Statement","type":"article-journal","volume":"28"},"uris":["http://www.mendeley.com/documents/?uuid=255ee4e5-ccea-40df-9a98-b47fda44e0c1"]}],"mendeley":{"formattedCitation":"&lt;sup&gt;7&lt;/sup&gt;","plainTextFormattedCitation":"7","previouslyFormattedCitation":"&lt;sup&gt;7&lt;/sup&gt;"},"properties":{"noteIndex":0},"schema":"https://github.com/citation-style-language/schema/raw/master/csl-citation.json"}</w:instrText>
      </w:r>
      <w:r w:rsidR="009C2DD2">
        <w:fldChar w:fldCharType="separate"/>
      </w:r>
      <w:r w:rsidR="009C2DD2" w:rsidRPr="009C2DD2">
        <w:rPr>
          <w:noProof/>
          <w:vertAlign w:val="superscript"/>
        </w:rPr>
        <w:t>7</w:t>
      </w:r>
      <w:r w:rsidR="009C2DD2">
        <w:fldChar w:fldCharType="end"/>
      </w:r>
      <w:r>
        <w:t xml:space="preserve"> Central obesity, as measured by waist-to-hip ratio, has been recognized as a stronger predictor of </w:t>
      </w:r>
      <w:r w:rsidR="008B23D4">
        <w:t>blood glucose</w:t>
      </w:r>
      <w:r>
        <w:t xml:space="preserve"> and cardiovascular risk compared to BMI alone.</w:t>
      </w:r>
      <w:r w:rsidR="00301E51">
        <w:fldChar w:fldCharType="begin" w:fldLock="1"/>
      </w:r>
      <w:r w:rsidR="009C2DD2">
        <w:instrText>ADDIN CSL_CITATION {"citationItems":[{"id":"ITEM-1","itemData":{"DOI":"10.2337/dc07-9921","ISSN":"0149-5992","author":[{"dropping-particle":"","family":"Klein","given":"Samuel","non-dropping-particle":"","parse-names":false,"suffix":""},{"dropping-particle":"","family":"Allison","given":"David B","non-dropping-particle":"","parse-names":false,"suffix":""},{"dropping-particle":"","family":"Heymsfield","given":"Steven B","non-dropping-particle":"","parse-names":false,"suffix":""},{"dropping-particle":"","family":"Kelley","given":"David E","non-dropping-particle":"","parse-names":false,"suffix":""},{"dropping-particle":"","family":"Leibel","given":"Rudolph L","non-dropping-particle":"","parse-names":false,"suffix":""},{"dropping-particle":"","family":"Nonas","given":"Cathy","non-dropping-particle":"","parse-names":false,"suffix":""},{"dropping-particle":"","family":"Kahn","given":"Richard","non-dropping-particle":"","parse-names":false,"suffix":""}],"container-title":"Obesity","id":"ITEM-1","issue":"4","issued":{"date-parts":[["2020"]]},"page":"627-638","publisher":"American Diabetes Association","title":"Waist Circumference and Cardiometabolic Risk: A Consesus Statement","type":"article-journal","volume":"28"},"uris":["http://www.mendeley.com/documents/?uuid=255ee4e5-ccea-40df-9a98-b47fda44e0c1"]}],"mendeley":{"formattedCitation":"&lt;sup&gt;7&lt;/sup&gt;","plainTextFormattedCitation":"7","previouslyFormattedCitation":"&lt;sup&gt;7&lt;/sup&gt;"},"properties":{"noteIndex":0},"schema":"https://github.com/citation-style-language/schema/raw/master/csl-citation.json"}</w:instrText>
      </w:r>
      <w:r w:rsidR="00301E51">
        <w:fldChar w:fldCharType="separate"/>
      </w:r>
      <w:r w:rsidR="009C2DD2" w:rsidRPr="009C2DD2">
        <w:rPr>
          <w:noProof/>
          <w:vertAlign w:val="superscript"/>
        </w:rPr>
        <w:t>7</w:t>
      </w:r>
      <w:r w:rsidR="00301E51">
        <w:fldChar w:fldCharType="end"/>
      </w:r>
      <w:r>
        <w:t xml:space="preserve"> Despite these known associations, there is a need for population-specific studies to clarify the relative influence of these factors on diabetes risk.</w:t>
      </w:r>
    </w:p>
    <w:p w14:paraId="4378AC59" w14:textId="4CABA1D0" w:rsidR="00976A56" w:rsidRDefault="00976A56" w:rsidP="00F95B57">
      <w:pPr>
        <w:pStyle w:val="NormalWeb"/>
        <w:jc w:val="both"/>
      </w:pPr>
      <w:r>
        <w:t xml:space="preserve">This study aims to assess the relationship between diabetes risk and key demographic, </w:t>
      </w:r>
      <w:r w:rsidR="008B23D4">
        <w:t>blood glucose</w:t>
      </w:r>
      <w:r>
        <w:t xml:space="preserve">, and cardiovascular parameters in a selected population. Specifically, it examines whether age, sex, occupation, residence, alcohol consumption, and BMI are significantly associated with diabetes risk. Additionally, it explores correlations between </w:t>
      </w:r>
      <w:r w:rsidR="001B410F">
        <w:t>fasting blood glucose</w:t>
      </w:r>
      <w:r>
        <w:t xml:space="preserve"> (</w:t>
      </w:r>
      <w:r w:rsidR="00D05FC3">
        <w:t>FBG</w:t>
      </w:r>
      <w:r>
        <w:t xml:space="preserve">), </w:t>
      </w:r>
      <w:r w:rsidR="00D05FC3">
        <w:t>random blood glucose</w:t>
      </w:r>
      <w:r>
        <w:t xml:space="preserve"> (</w:t>
      </w:r>
      <w:r w:rsidR="00D05FC3">
        <w:t>RBG</w:t>
      </w:r>
      <w:r>
        <w:t xml:space="preserve">), systolic and diastolic blood pressure, BMI, and waist-to-hip ratio to determine potential </w:t>
      </w:r>
      <w:r w:rsidR="008B23D4">
        <w:t>blood glucose</w:t>
      </w:r>
      <w:r>
        <w:t xml:space="preserve"> and cardiovascular interactions.</w:t>
      </w:r>
    </w:p>
    <w:p w14:paraId="07789B64" w14:textId="0CFA5E20" w:rsidR="00976A56" w:rsidRDefault="00976A56" w:rsidP="00F95B57">
      <w:pPr>
        <w:pStyle w:val="NormalWeb"/>
        <w:jc w:val="both"/>
      </w:pPr>
      <w:r>
        <w:t xml:space="preserve">By identifying significant predictors of diabetes risk, this research seeks to contribute to the broader understanding of </w:t>
      </w:r>
      <w:r w:rsidR="008B23D4">
        <w:t>blood glucose</w:t>
      </w:r>
      <w:r>
        <w:t xml:space="preserve"> health determinants. The findings may provide insights for targeted public health interventions and risk reduction strategies, particularly in resource-limited settings where diabetes prevalence continues to rise.</w:t>
      </w:r>
    </w:p>
    <w:p w14:paraId="1DE78FEA" w14:textId="77777777" w:rsidR="005C2F07" w:rsidRPr="005C2F07" w:rsidRDefault="005C2F07" w:rsidP="00F95B57">
      <w:pPr>
        <w:pStyle w:val="Heading4"/>
        <w:jc w:val="both"/>
        <w:rPr>
          <w:i w:val="0"/>
          <w:color w:val="auto"/>
        </w:rPr>
      </w:pPr>
      <w:r w:rsidRPr="005C2F07">
        <w:rPr>
          <w:rStyle w:val="Strong"/>
          <w:b/>
          <w:bCs/>
          <w:i w:val="0"/>
          <w:color w:val="auto"/>
        </w:rPr>
        <w:t>Diabetes Mellitus and Its Global Burden</w:t>
      </w:r>
    </w:p>
    <w:p w14:paraId="5788CB0A" w14:textId="32D82CC6" w:rsidR="005C2F07" w:rsidRDefault="005C2F07" w:rsidP="00F95B57">
      <w:pPr>
        <w:pStyle w:val="NormalWeb"/>
        <w:jc w:val="both"/>
      </w:pPr>
      <w:r>
        <w:t xml:space="preserve">Diabetes mellitus is a chronic </w:t>
      </w:r>
      <w:r w:rsidR="008B23D4">
        <w:t>blood glucose</w:t>
      </w:r>
      <w:r>
        <w:t xml:space="preserve"> disorder that has emerged as a global public health challenge. The International Diabetes Federation</w:t>
      </w:r>
      <w:r w:rsidR="00301E51">
        <w:fldChar w:fldCharType="begin" w:fldLock="1"/>
      </w:r>
      <w:r w:rsidR="00301E51">
        <w:instrText>ADDIN CSL_CITATION {"citationItems":[{"id":"ITEM-1","itemData":{"DOI":"10.1163/1570-6664_iyb_sim_org_38965","author":[{"dropping-particle":"","family":"IDF","given":"","non-dropping-particle":"","parse-names":false,"suffix":""}],"container-title":"International Diabetes Federation","id":"ITEM-1","issued":{"date-parts":[["2021"]]},"publisher":"Brill","title":"International Diabetes Atlas (10th ed)","type":"article"},"uris":["http://www.mendeley.com/documents/?uuid=476ff180-08d2-41a0-871e-9dd604389775"]}],"mendeley":{"formattedCitation":"&lt;sup&gt;2&lt;/sup&gt;","plainTextFormattedCitation":"2","previouslyFormattedCitation":"&lt;sup&gt;2&lt;/sup&gt;"},"properties":{"noteIndex":0},"schema":"https://github.com/citation-style-language/schema/raw/master/csl-citation.json"}</w:instrText>
      </w:r>
      <w:r w:rsidR="00301E51">
        <w:fldChar w:fldCharType="separate"/>
      </w:r>
      <w:r w:rsidR="00301E51" w:rsidRPr="00301E51">
        <w:rPr>
          <w:noProof/>
          <w:vertAlign w:val="superscript"/>
        </w:rPr>
        <w:t>2</w:t>
      </w:r>
      <w:r w:rsidR="00301E51">
        <w:fldChar w:fldCharType="end"/>
      </w:r>
      <w:r>
        <w:t xml:space="preserve"> estimates that the number of people with diabetes will rise from 537 million in 2021 to 783 million by 2045. This increase is driven by urbanization, aging populations, and lifestyle modifications such as sedentary behaviour and poor dietary habits.</w:t>
      </w:r>
      <w:r w:rsidR="009C2DD2">
        <w:fldChar w:fldCharType="begin" w:fldLock="1"/>
      </w:r>
      <w:r w:rsidR="009C2DD2">
        <w:instrText>ADDIN CSL_CITATION {"citationItems":[{"id":"ITEM-1","itemData":{"DOI":"10.3389/fendo.2019.00045","ISSN":"1664-2392","abstract":"Diabetes is becoming one of the most widespread health burning problems in the elderly. Worldwide prevalence of diabetes among subjects over 65 years was 123 million in 2017, a number that is expected to double in 2045. Old patients with diabetes have a higher risk of common geriatric syndromes, including frailty, cognitive impairment and dementia, urinary incontinence, traumatic falls and fractures, disability, side effects of polypharmacy, which have an important impact on quality of life and may interfere with anti-diabetic treatment. Because of all these factors, clinical management of type 2 diabetes in elderly patients currently represents a real challenge for the physician. Actually, the optimal glycemic target to achieve for elderly diabetic patients is still a matter of debate. The American Diabetes Association suggests a HbA1c goal &lt;7.5% for older adults with intact cognitive and functional status, whereas, the American Association of Clinical Endocrinologists (AACE) recommends HbA1c levels of 6.5% or lower as long as it can be achieved safely, with a less stringent target (&gt;6.5%) for patients with concurrent serious illness and at high risk of hypoglycemia. By contrast, the American College of Physicians (ACP) suggests more conservative goals (HbA1c levels between 7 and 8%) for most older patients, and a less intense pharmacotherapy, when HbA1C levels are ≤6.5%. Management of glycemic goals and antihyperglycemic treatment has to be individualized in accordance to medical history and comorbidities, giving preference to drugs that are associated with low risk of hypoglycemia. Antihyperglycemic agents considered safe and effective for type 2 diabetic older patients include: metformin (the first-line agent), pioglitazone, dipeptidyl peptidase 4 inhibitors, glucagon-like peptide 1 receptor agonists. Insulin secretagogue agents have to be used with caution because of their significant hypoglycemic risk; if used, short-acting sulfonylureas, as gliclazide, or glinides as repaglinide, should be preferred. When using complex insulin regimen in old people with diabetes, attention should be paid for the risk of hypoglycemia. In this paper we aim to review and discuss the best glycemic targets as well as the best treatment choices for older people with type 2 diabetes based on current international guidelines.","author":[{"dropping-particle":"","family":"Longo","given":"Miriam","non-dropping-particle":"","parse-names":false,"suffix":""},{"dropping-particle":"","family":"Bellastella","given":"Giuseppe","non-dropping-particle":"","parse-names":false,"suffix":""},{"dropping-particle":"","family":"Maiorino","given":"Maria Ida","non-dropping-particle":"","parse-names":false,"suffix":""},{"dropping-particle":"","family":"Meier","given":"Juris J","non-dropping-particle":"","parse-names":false,"suffix":""},{"dropping-particle":"","family":"Esposito","given":"Katherine","non-dropping-particle":"","parse-names":false,"suffix":""},{"dropping-particle":"","family":"Giugliano","given":"Dario","non-dropping-particle":"","parse-names":false,"suffix":""}],"container-title":"Frontiers in endocrinology","id":"ITEM-1","issued":{"date-parts":[["2019","2","18"]]},"language":"eng","page":"45","publisher-place":"Switzerland","title":"Diabetes and Aging: From Treatment Goals to Pharmacologic Therapy","type":"article-journal","volume":"10"},"uris":["http://www.mendeley.com/documents/?uuid=66be0907-4ebf-4907-948d-85ef7c13a3d9"]}],"mendeley":{"formattedCitation":"&lt;sup&gt;8&lt;/sup&gt;","plainTextFormattedCitation":"8","previouslyFormattedCitation":"&lt;sup&gt;8&lt;/sup&gt;"},"properties":{"noteIndex":0},"schema":"https://github.com/citation-style-language/schema/raw/master/csl-citation.json"}</w:instrText>
      </w:r>
      <w:r w:rsidR="009C2DD2">
        <w:fldChar w:fldCharType="separate"/>
      </w:r>
      <w:r w:rsidR="009C2DD2" w:rsidRPr="009C2DD2">
        <w:rPr>
          <w:noProof/>
          <w:vertAlign w:val="superscript"/>
        </w:rPr>
        <w:t>8</w:t>
      </w:r>
      <w:r w:rsidR="009C2DD2">
        <w:fldChar w:fldCharType="end"/>
      </w:r>
      <w:r>
        <w:t xml:space="preserve"> Developing countries, particularly in sub-Saharan Africa, are experiencing a rapid increase in diabetes prevalence, largely due to shifting epidemiological and nutritional transitions.</w:t>
      </w:r>
      <w:r w:rsidR="009C2DD2">
        <w:fldChar w:fldCharType="begin" w:fldLock="1"/>
      </w:r>
      <w:r w:rsidR="009C2DD2">
        <w:instrText>ADDIN CSL_CITATION {"citationItems":[{"id":"ITEM-1","itemData":{"DOI":"10.5334/gh.1354","ISSN":"2211-8160","PMID":"39281001","abstract":"Background: India is facing triple epidemic of Non communicable diseases (NCDs) including high body mass index (BMI), high blood pressure and high blood glucose, contributing to more than half of deaths of all mortality, however, information in different demographics is limited, especially, in India. The aim of the study is to compare the prevalence of overweight, obesity, hypertension, and diabetes, along with the occurrence of multi-morbidity, across gender-specific populations in rural, suburban, and urban regions of India. Methods: This was a cross-sectional, population-based study including adults aged 20 and above in rural, suburban, and urban areas near Coimbatore, India. All participants were interviewed using a detailed questionnaire and had their anthropometric measurements, including height, weight, blood pressure, and blood samples collected. Gender specific and location specific prevalence of overweight, obesity, hypertension, diabetes, and multimorbidity were assessed. Results: This study included 2976 individuals, of which 865 were from rural areas, 1030 from sub-urban areas, and 1081 from metropolitan areas. The mean systolic and diastolic blood pressure were higher in rural participants than in sub-urban and urban participants, despite the fact that the prevalence of hypertension was higher in sub-urban (47.1%) than in rural (36.4%) and urban (39.7%, p &lt; 0.001). In sub-group analysis, sub-urban areas had a greater prevalence of hypertension in both men and women (53.5% and 41.7%, p &lt; 0.001) than rural areas (41.9% and 31.3%, p = 0.001) or urban areas (45.9% and 35.5%, p &lt; 0.001). Compared to rural (16.1%) and urban (23%), sub-urban areas had a greater prevalence of diabetes (25.8%, p &lt; 0.001). Urban residents (47.5%) had higher rates of overweight and obesity than rural (31.4%) and sub-urban (34.1%, p &lt; 0.001) residents. The association between diabetes and hypertension was present in the unadjusted model and persisted even after age and BMI adjustments. Though not in men, higher levels of education were associated to a higher prevalence of diabetes in women. Diabetes was associated to being overweight or obese in women, however this association was significantly reduced once BMI was taken into account. The overall multimorbidity was 3.8%, however, women had a higher overlapping prevalence (2.8%) compared to men (1%, p &lt; 0.001). Conclusions: Diabetes and hypertension were prevalent comorbidities across all demographics, with higher rate…","author":[{"dropping-particle":"","family":"Sundaresan","given":"Mohanraj","non-dropping-particle":"","parse-names":false,"suffix":""},{"dropping-particle":"","family":"Velmurugan","given":"Ganesan","non-dropping-particle":"","parse-names":false,"suffix":""},{"dropping-particle":"","family":"Dhivakar","given":"Mani","non-dropping-particle":"","parse-names":false,"suffix":""},{"dropping-particle":"","family":"Ramakrishnan","given":"Arulraj","non-dropping-particle":"","parse-names":false,"suffix":""},{"dropping-particle":"","family":"Cherian","given":"Mathew","non-dropping-particle":"","parse-names":false,"suffix":""},{"dropping-particle":"","family":"Alexander","given":"Thomas","non-dropping-particle":"","parse-names":false,"suffix":""},{"dropping-particle":"","family":"Swaminathan","given":"Krishnan","non-dropping-particle":"","parse-names":false,"suffix":""}],"container-title":"Global Heart","id":"ITEM-1","issue":"1","issued":{"date-parts":[["2024"]]},"page":"72","title":"Gender Differential Prevalence of Overweight and Obesity, Hypertension and Diabetes in South India: A Population-Based Cross-Sectional Study","type":"article-journal","volume":"19"},"uris":["http://www.mendeley.com/documents/?uuid=67ffb947-19d1-4950-9015-50cadbf390dd"]}],"mendeley":{"formattedCitation":"&lt;sup&gt;9&lt;/sup&gt;","plainTextFormattedCitation":"9","previouslyFormattedCitation":"&lt;sup&gt;9&lt;/sup&gt;"},"properties":{"noteIndex":0},"schema":"https://github.com/citation-style-language/schema/raw/master/csl-citation.json"}</w:instrText>
      </w:r>
      <w:r w:rsidR="009C2DD2">
        <w:fldChar w:fldCharType="separate"/>
      </w:r>
      <w:r w:rsidR="009C2DD2" w:rsidRPr="009C2DD2">
        <w:rPr>
          <w:noProof/>
          <w:vertAlign w:val="superscript"/>
        </w:rPr>
        <w:t>9</w:t>
      </w:r>
      <w:r w:rsidR="009C2DD2">
        <w:fldChar w:fldCharType="end"/>
      </w:r>
      <w:r w:rsidR="009C2DD2">
        <w:t xml:space="preserve"> </w:t>
      </w:r>
    </w:p>
    <w:p w14:paraId="35E21FF7" w14:textId="77777777" w:rsidR="005C2F07" w:rsidRPr="005C2F07" w:rsidRDefault="005C2F07" w:rsidP="00F95B57">
      <w:pPr>
        <w:pStyle w:val="Heading4"/>
        <w:jc w:val="both"/>
        <w:rPr>
          <w:i w:val="0"/>
          <w:color w:val="auto"/>
        </w:rPr>
      </w:pPr>
      <w:r w:rsidRPr="005C2F07">
        <w:rPr>
          <w:rStyle w:val="Strong"/>
          <w:b/>
          <w:bCs/>
          <w:i w:val="0"/>
          <w:color w:val="auto"/>
        </w:rPr>
        <w:t>Age and Diabetes Risk</w:t>
      </w:r>
    </w:p>
    <w:p w14:paraId="3EF11EB2" w14:textId="20C23D8D" w:rsidR="003C2237" w:rsidRDefault="005C2F07" w:rsidP="00F95B57">
      <w:pPr>
        <w:pStyle w:val="NormalWeb"/>
        <w:jc w:val="both"/>
      </w:pPr>
      <w:r>
        <w:t>Age is a well-established risk factor for diabetes, with older adults displaying a significantly higher prevalence of both type 2 diabetes and pre</w:t>
      </w:r>
      <w:r w:rsidR="003C2237">
        <w:t>-</w:t>
      </w:r>
      <w:r>
        <w:t>diabetes.</w:t>
      </w:r>
      <w:r w:rsidR="009C2DD2">
        <w:fldChar w:fldCharType="begin" w:fldLock="1"/>
      </w:r>
      <w:r w:rsidR="009C2DD2">
        <w:instrText>ADDIN CSL_CITATION {"citationItems":[{"id":"ITEM-1","itemData":{"DOI":"10.3389/fendo.2024.1501690","ISSN":"1664-2392","abstract":"BACKGROUND: We aimed to assess temporal trends in type 2 diabetes mellitus (T2DM)-related deaths and disability-adjusted life years (DALYs) at global and cross-social demographic index (SDI) levels, using data from the Global Burden of Disease (GBD) in 2021. METHODS: We used geospatial mapping to visualize the global distribution of T2DM-related mortality and DALYs in 2021. Joinpoint regression assessed annual and average percent changes in DALYs and deaths from 1990 to 2021 across SDI regions. Age-period-cohort modeling examined the effects of age, period, and cohort on trends. Decomposition analysis evaluated the impact of population growth, aging, and epidemiological changes on DALY trends. A stratified projection forecasted future T2DM burden by age and sex from 2020 to 2044. RESULTS: T2DM-related mortality and DALYs were highest in low-SDI regions. Globally, T2DM-related deaths and DALYs have increased, with the most rapid rise in low and low-middle SDI regions, driven by population growth and epidemiological shifts. High-SDI countries showed a slower increase in DALYs, influenced more by aging. Age-period-cohort analysis indicated higher DALY rates in later birth cohorts and recent periods, especially in high-SDI regions. Future projections show a significant increase in the 70-74 age group and a gradual rise in other age groups. CONCLUSION: The burden of T2DM is projected to continue increasing, especially in low-SDI and low-middle SDI regions, where population growth and epidemiological shifts are the main contributors. This underscores the need for targeted, region-specific healthcare policies, preventive strategies, and age-specific interventions to address the increasing T2DM burden globally.","author":[{"dropping-particle":"","family":"He","given":"Ke-Jie","non-dropping-particle":"","parse-names":false,"suffix":""},{"dropping-particle":"","family":"Wang","given":"Haitao","non-dropping-particle":"","parse-names":false,"suffix":""},{"dropping-particle":"","family":"Xu","given":"Jianguang","non-dropping-particle":"","parse-names":false,"suffix":""},{"dropping-particle":"","family":"Gong","given":"Guoyu","non-dropping-particle":"","parse-names":false,"suffix":""},{"dropping-particle":"","family":"Liu","given":"Xu","non-dropping-particle":"","parse-names":false,"suffix":""},{"dropping-particle":"","family":"Guan","given":"Huiting","non-dropping-particle":"","parse-names":false,"suffix":""}],"container-title":"Frontiers in endocrinology","id":"ITEM-1","issued":{"date-parts":[["2024","11","8"]]},"language":"eng","page":"1501690","publisher-place":"Switzerland","title":"Global burden of type 2 diabetes mellitus from 1990 to 2021, with projections of prevalence to 2044: a systematic analysis across SDI levels for the global burden of disease study 2021","type":"article-journal","volume":"15"},"uris":["http://www.mendeley.com/documents/?uuid=9104e069-9683-4931-a957-21797768989f"]}],"mendeley":{"formattedCitation":"&lt;sup&gt;4&lt;/sup&gt;","plainTextFormattedCitation":"4","previouslyFormattedCitation":"&lt;sup&gt;4&lt;/sup&gt;"},"properties":{"noteIndex":0},"schema":"https://github.com/citation-style-language/schema/raw/master/csl-citation.json"}</w:instrText>
      </w:r>
      <w:r w:rsidR="009C2DD2">
        <w:fldChar w:fldCharType="separate"/>
      </w:r>
      <w:r w:rsidR="009C2DD2" w:rsidRPr="009C2DD2">
        <w:rPr>
          <w:noProof/>
          <w:vertAlign w:val="superscript"/>
        </w:rPr>
        <w:t>4</w:t>
      </w:r>
      <w:r w:rsidR="009C2DD2">
        <w:fldChar w:fldCharType="end"/>
      </w:r>
      <w:r>
        <w:t xml:space="preserve"> </w:t>
      </w:r>
      <w:r w:rsidR="007C45A4">
        <w:t xml:space="preserve">This is primarily due to physiological changes that occur with aging, including increased insulin resistance and impaired pancreatic beta-cell function. Studies have shown that the prevalence of diabetes rises with age, particularly in individuals over 45 years. Additionally, aging is often accompanied by other risk factors such as obesity, reduced physical activity, and chronic inflammation, all of which contribute to </w:t>
      </w:r>
      <w:r w:rsidR="008B23D4">
        <w:t>blood glucose</w:t>
      </w:r>
      <w:r w:rsidR="007C45A4">
        <w:t xml:space="preserve"> dysfunction.</w:t>
      </w:r>
      <w:r w:rsidR="009C2DD2">
        <w:fldChar w:fldCharType="begin" w:fldLock="1"/>
      </w:r>
      <w:r w:rsidR="009C2DD2">
        <w:instrText>ADDIN CSL_CITATION {"citationItems":[{"id":"ITEM-1","itemData":{"DOI":"10.3389/fendo.2024.1501690","ISSN":"1664-2392","abstract":"BACKGROUND: We aimed to assess temporal trends in type 2 diabetes mellitus (T2DM)-related deaths and disability-adjusted life years (DALYs) at global and cross-social demographic index (SDI) levels, using data from the Global Burden of Disease (GBD) in 2021. METHODS: We used geospatial mapping to visualize the global distribution of T2DM-related mortality and DALYs in 2021. Joinpoint regression assessed annual and average percent changes in DALYs and deaths from 1990 to 2021 across SDI regions. Age-period-cohort modeling examined the effects of age, period, and cohort on trends. Decomposition analysis evaluated the impact of population growth, aging, and epidemiological changes on DALY trends. A stratified projection forecasted future T2DM burden by age and sex from 2020 to 2044. RESULTS: T2DM-related mortality and DALYs were highest in low-SDI regions. Globally, T2DM-related deaths and DALYs have increased, with the most rapid rise in low and low-middle SDI regions, driven by population growth and epidemiological shifts. High-SDI countries showed a slower increase in DALYs, influenced more by aging. Age-period-cohort analysis indicated higher DALY rates in later birth cohorts and recent periods, especially in high-SDI regions. Future projections show a significant increase in the 70-74 age group and a gradual rise in other age groups. CONCLUSION: The burden of T2DM is projected to continue increasing, especially in low-SDI and low-middle SDI regions, where population growth and epidemiological shifts are the main contributors. This underscores the need for targeted, region-specific healthcare policies, preventive strategies, and age-specific interventions to address the increasing T2DM burden globally.","author":[{"dropping-particle":"","family":"He","given":"Ke-Jie","non-dropping-particle":"","parse-names":false,"suffix":""},{"dropping-particle":"","family":"Wang","given":"Haitao","non-dropping-particle":"","parse-names":false,"suffix":""},{"dropping-particle":"","family":"Xu","given":"Jianguang","non-dropping-particle":"","parse-names":false,"suffix":""},{"dropping-particle":"","family":"Gong","given":"Guoyu","non-dropping-particle":"","parse-names":false,"suffix":""},{"dropping-particle":"","family":"Liu","given":"Xu","non-dropping-particle":"","parse-names":false,"suffix":""},{"dropping-particle":"","family":"Guan","given":"Huiting","non-dropping-particle":"","parse-names":false,"suffix":""}],"container-title":"Frontiers in endocrinology","id":"ITEM-1","issued":{"date-parts":[["2024","11","8"]]},"language":"eng","page":"1501690","publisher-place":"Switzerland","title":"Global burden of type 2 diabetes mellitus from 1990 to 2021, with projections of prevalence to 2044: a systematic analysis across SDI levels for the global burden of disease study 2021","type":"article-journal","volume":"15"},"uris":["http://www.mendeley.com/documents/?uuid=9104e069-9683-4931-a957-21797768989f"]}],"mendeley":{"formattedCitation":"&lt;sup&gt;4&lt;/sup&gt;","plainTextFormattedCitation":"4","previouslyFormattedCitation":"&lt;sup&gt;4&lt;/sup&gt;"},"properties":{"noteIndex":0},"schema":"https://github.com/citation-style-language/schema/raw/master/csl-citation.json"}</w:instrText>
      </w:r>
      <w:r w:rsidR="009C2DD2">
        <w:fldChar w:fldCharType="separate"/>
      </w:r>
      <w:r w:rsidR="009C2DD2" w:rsidRPr="009C2DD2">
        <w:rPr>
          <w:noProof/>
          <w:vertAlign w:val="superscript"/>
        </w:rPr>
        <w:t>4</w:t>
      </w:r>
      <w:r w:rsidR="009C2DD2">
        <w:fldChar w:fldCharType="end"/>
      </w:r>
    </w:p>
    <w:p w14:paraId="433375F2" w14:textId="229C1DDA" w:rsidR="003C2237" w:rsidRDefault="005C2F07" w:rsidP="00F95B57">
      <w:pPr>
        <w:pStyle w:val="NormalWeb"/>
        <w:jc w:val="both"/>
      </w:pPr>
      <w:r>
        <w:t>Studies indicate that insulin resistance increases with age, largely due to declining pancreatic beta-cell function and alterations in glucose metabolism.</w:t>
      </w:r>
      <w:r w:rsidR="009C2DD2">
        <w:fldChar w:fldCharType="begin" w:fldLock="1"/>
      </w:r>
      <w:r w:rsidR="009C2DD2">
        <w:instrText>ADDIN CSL_CITATION {"citationItems":[{"id":"ITEM-1","itemData":{"DOI":"10.5271/sjweh.702","ISSN":"0355-3140","author":[{"dropping-particle":"","family":"Tüchsen","given":"Finn","non-dropping-particle":"","parse-names":false,"suffix":""},{"dropping-particle":"","family":"Hannerz","given":"Harald","non-dropping-particle":"","parse-names":false,"suffix":""},{"dropping-particle":"","family":"Burr","given":"Hermann","non-dropping-particle":"","parse-names":false,"suffix":""},{"dropping-particle":"","family":"Lund","given":"Thomas","non-dropping-particle":"","parse-names":false,"suffix":""},{"dropping-particle":"","family":"Krause","given":"Niklas","non-dropping-particle":"","parse-names":false,"suffix":""}],"container-title":"Scandinavian Journal of Work, Environment &amp; Health","id":"ITEM-1","issue":"3","issued":{"date-parts":[["2020"]]},"page":"293-301","publisher":"Scandinavian Journal of Work, Environment and Health","title":"A 10-year prospective study of the effect of work-related physical strain on the risk of type 2 diabetes","type":"article-journal","volume":"46"},"uris":["http://www.mendeley.com/documents/?uuid=9c2779e1-9114-4c7a-adf5-b7989350ff1c"]}],"mendeley":{"formattedCitation":"&lt;sup&gt;10&lt;/sup&gt;","plainTextFormattedCitation":"10","previouslyFormattedCitation":"&lt;sup&gt;10&lt;/sup&gt;"},"properties":{"noteIndex":0},"schema":"https://github.com/citation-style-language/schema/raw/master/csl-citation.json"}</w:instrText>
      </w:r>
      <w:r w:rsidR="009C2DD2">
        <w:fldChar w:fldCharType="separate"/>
      </w:r>
      <w:r w:rsidR="009C2DD2" w:rsidRPr="009C2DD2">
        <w:rPr>
          <w:noProof/>
          <w:vertAlign w:val="superscript"/>
        </w:rPr>
        <w:t>10</w:t>
      </w:r>
      <w:r w:rsidR="009C2DD2">
        <w:fldChar w:fldCharType="end"/>
      </w:r>
      <w:r>
        <w:t xml:space="preserve"> </w:t>
      </w:r>
      <w:r w:rsidR="00D71CE5">
        <w:t xml:space="preserve">Aging is associated with reduced insulin sensitivity </w:t>
      </w:r>
      <w:r w:rsidR="00D71CE5">
        <w:lastRenderedPageBreak/>
        <w:t xml:space="preserve">in peripheral tissues, particularly muscle and adipose tissue, leading to impaired glucose uptake. Additionally, pancreatic beta-cells undergo functional decline, reducing their ability to compensate for rising insulin resistance. Chronic low-grade inflammation, mitochondrial dysfunction, and changes in body composition (such as increased visceral fat) further exacerbate </w:t>
      </w:r>
      <w:r w:rsidR="008B23D4">
        <w:t>blood glucose</w:t>
      </w:r>
      <w:r w:rsidR="00D71CE5">
        <w:t xml:space="preserve"> disturbances, increasing the risk of type 2 diabetes and prediabetes in older adults.</w:t>
      </w:r>
    </w:p>
    <w:p w14:paraId="2840923E" w14:textId="48F5F31F" w:rsidR="003C2237" w:rsidRDefault="000437AB" w:rsidP="00F95B57">
      <w:pPr>
        <w:pStyle w:val="NormalWeb"/>
        <w:jc w:val="both"/>
      </w:pPr>
      <w:r>
        <w:t xml:space="preserve">Research indicates that individuals over 40 years of age have a significantly higher risk of developing diabetes compared to younger </w:t>
      </w:r>
      <w:r w:rsidRPr="00772D82">
        <w:t>adults.</w:t>
      </w:r>
      <w:r w:rsidR="00C674F0">
        <w:fldChar w:fldCharType="begin" w:fldLock="1"/>
      </w:r>
      <w:r w:rsidR="00C674F0">
        <w:instrText>ADDIN CSL_CITATION {"citationItems":[{"id":"ITEM-1","itemData":{"DOI":"10.2337/dc22-sint","ISSN":"0149-5992","author":[{"dropping-particle":"","family":"(ADA)","given":"American Diabetes Association","non-dropping-particle":"","parse-names":false,"suffix":""}],"container-title":"Diabetes Care","id":"ITEM-1","issue":"1","issued":{"date-parts":[["2023"]]},"page":"S1-S2286","publisher":"American Diabetes Association","title":"Standards of Medical Care in Diabetes-2023","type":"article-journal","volume":"45"},"uris":["http://www.mendeley.com/documents/?uuid=cd9ca611-d93a-4de9-a22e-9f13de0c2b77"]}],"mendeley":{"formattedCitation":"&lt;sup&gt;1&lt;/sup&gt;","plainTextFormattedCitation":"1","previouslyFormattedCitation":"&lt;sup&gt;1&lt;/sup&gt;"},"properties":{"noteIndex":0},"schema":"https://github.com/citation-style-language/schema/raw/master/csl-citation.json"}</w:instrText>
      </w:r>
      <w:r w:rsidR="00C674F0">
        <w:fldChar w:fldCharType="separate"/>
      </w:r>
      <w:r w:rsidR="00C674F0" w:rsidRPr="00C674F0">
        <w:rPr>
          <w:noProof/>
          <w:vertAlign w:val="superscript"/>
        </w:rPr>
        <w:t>1</w:t>
      </w:r>
      <w:r w:rsidR="00C674F0">
        <w:fldChar w:fldCharType="end"/>
      </w:r>
      <w:r w:rsidRPr="00772D82">
        <w:t xml:space="preserve"> </w:t>
      </w:r>
      <w:r>
        <w:t xml:space="preserve">This increased risk is largely attributed to age-related declines in insulin sensitivity, progressive beta-cell dysfunction, and </w:t>
      </w:r>
      <w:r w:rsidR="008B23D4">
        <w:t>blood glucose</w:t>
      </w:r>
      <w:r>
        <w:t xml:space="preserve"> changes such as increased visceral fat accumulation. Additionally, lifestyle factors, including reduced physical activity and dietary patterns, contribute to impaired glucose regulation. As a result, diabetes screening and preventive measures become increasingly important in this age group to mitigate the risk of progression to type 2 diabetes.</w:t>
      </w:r>
    </w:p>
    <w:p w14:paraId="50371962" w14:textId="382227A3" w:rsidR="005C2F07" w:rsidRPr="006D7F18" w:rsidRDefault="005C2F07" w:rsidP="00F95B57">
      <w:pPr>
        <w:pStyle w:val="NormalWeb"/>
        <w:jc w:val="both"/>
        <w:rPr>
          <w:color w:val="FF0000"/>
        </w:rPr>
      </w:pPr>
      <w:r w:rsidRPr="00772D82">
        <w:t xml:space="preserve">Furthermore, studies have linked aging to increases in systolic and diastolic blood pressure, body mass index (BMI), and </w:t>
      </w:r>
      <w:r w:rsidR="001B410F">
        <w:t>fasting blood glucose</w:t>
      </w:r>
      <w:r w:rsidRPr="00772D82">
        <w:t xml:space="preserve"> (</w:t>
      </w:r>
      <w:r w:rsidR="00D05FC3">
        <w:t>FBG</w:t>
      </w:r>
      <w:r w:rsidRPr="00772D82">
        <w:t>), all of which contribute to heightened diabetes risk.</w:t>
      </w:r>
      <w:r w:rsidR="009C2DD2">
        <w:fldChar w:fldCharType="begin" w:fldLock="1"/>
      </w:r>
      <w:r w:rsidR="009C2DD2">
        <w:instrText>ADDIN CSL_CITATION {"citationItems":[{"id":"ITEM-1","itemData":{"DOI":"10.2991/jegh.k.210621.001","ISSN":"2210-6014","abstract":"We aimed to assess global trends in Human Immunodeficiency Virus (HIV)/Acquired Immune Deficiency Syndrome (AIDS) and evaluate progress toward eradication since the inception of the pandemic. Data were extracted from the Global Burden of Disease 2019 update and the UNAIDS Data 2019. The datasets included annual figures from 1990 to 2019 for HIV/AIDS in 204 countries and all world regions. We analyzed rates and trends for prevalence, incidence, mortality and disability adjusted life years. Analysis of age and gender distribution in different regions was used to assess demographic changes. Forecasting was used to estimate disease burden up to 2040. Although many countries have witnessed a decrease in the incidence, for Russia, Ukraine, Portugal, Brazil, Spain and the United States, the rates of new cases are rising since 2010. This trend is present even in age-standardized analysis, indicating a rise in excess of population growth. Over 0.5% of the world's population is infected. About 5000 new infections occur daily, of which 500 are children. Mortality rates are falling globally; currently at 11 deaths per 100,000 population, forecasted to decrease to 8.5 deaths by 2040. Prevalence continues to increase, with South Africa, Nigeria, Mozambique, India, Kenya and the United States having the highest burden. The total number as well as the rates of new HIV infections are rising every year in Europe, South America, North America and other regions over the last decade. Maternal-to-child transmission continues at high rates despite effective preventive regimens. There is an urgent need to develop programs to curb the rising incidence of HIV.","author":[{"dropping-particle":"","family":"Govender","given":"Romona D","non-dropping-particle":"","parse-names":false,"suffix":""},{"dropping-particle":"","family":"Hashim","given":"Muhammad Jawad","non-dropping-particle":"","parse-names":false,"suffix":""},{"dropping-particle":"","family":"Khan","given":"Moien Ab","non-dropping-particle":"","parse-names":false,"suffix":""},{"dropping-particle":"","family":"Mustafa","given":"Halla","non-dropping-particle":"","parse-names":false,"suffix":""},{"dropping-particle":"","family":"Khan","given":"Gulfaraz","non-dropping-particle":"","parse-names":false,"suffix":""}],"container-title":"Journal of epidemiology and global health","edition":"2021/06/29","id":"ITEM-1","issue":"3","issued":{"date-parts":[["2021","9"]]},"language":"eng","page":"296-301","publisher-place":"Switzerland","title":"Global Epidemiology of HIV/AIDS: A Resurgence in North America and Europe","type":"article-journal","volume":"11"},"uris":["http://www.mendeley.com/documents/?uuid=c4baf9ef-1a78-45dc-a6f1-0887441071ff"]}],"mendeley":{"formattedCitation":"&lt;sup&gt;11&lt;/sup&gt;","plainTextFormattedCitation":"11","previouslyFormattedCitation":"&lt;sup&gt;11&lt;/sup&gt;"},"properties":{"noteIndex":0},"schema":"https://github.com/citation-style-language/schema/raw/master/csl-citation.json"}</w:instrText>
      </w:r>
      <w:r w:rsidR="009C2DD2">
        <w:fldChar w:fldCharType="separate"/>
      </w:r>
      <w:r w:rsidR="009C2DD2" w:rsidRPr="009C2DD2">
        <w:rPr>
          <w:noProof/>
          <w:vertAlign w:val="superscript"/>
        </w:rPr>
        <w:t>11</w:t>
      </w:r>
      <w:r w:rsidR="009C2DD2">
        <w:fldChar w:fldCharType="end"/>
      </w:r>
      <w:r w:rsidR="006D7F18" w:rsidRPr="00772D82">
        <w:t xml:space="preserve"> </w:t>
      </w:r>
      <w:r w:rsidR="006D7F18">
        <w:t xml:space="preserve">Age-related changes in vascular function, reduced </w:t>
      </w:r>
      <w:r w:rsidR="008B23D4">
        <w:t>blood glucose</w:t>
      </w:r>
      <w:r w:rsidR="006D7F18">
        <w:t xml:space="preserve"> efficiency, and increased adiposity play a key role in these trends. Elevated blood pressure and BMI are closely associated with insulin resistance and chronic inflammation, further impairing glucose regulation. As these risk factors accumulate with age, they create a </w:t>
      </w:r>
      <w:r w:rsidR="008B23D4">
        <w:t>blood glucose</w:t>
      </w:r>
      <w:r w:rsidR="006D7F18">
        <w:t xml:space="preserve"> environment that significantly increases the likelihood of developing type 2 diabetes.</w:t>
      </w:r>
    </w:p>
    <w:p w14:paraId="6CD59BAA" w14:textId="77777777" w:rsidR="005C2F07" w:rsidRPr="005C2F07" w:rsidRDefault="005C2F07" w:rsidP="00F95B57">
      <w:pPr>
        <w:pStyle w:val="Heading4"/>
        <w:jc w:val="both"/>
        <w:rPr>
          <w:i w:val="0"/>
          <w:color w:val="auto"/>
        </w:rPr>
      </w:pPr>
      <w:r w:rsidRPr="005C2F07">
        <w:rPr>
          <w:rStyle w:val="Strong"/>
          <w:b/>
          <w:bCs/>
          <w:i w:val="0"/>
          <w:color w:val="auto"/>
        </w:rPr>
        <w:t>Sex, Occupation, and Residence as Influencing Factors</w:t>
      </w:r>
    </w:p>
    <w:p w14:paraId="59C1CB82" w14:textId="6423C4B8" w:rsidR="003B5F3B" w:rsidRDefault="005C2F07" w:rsidP="00F95B57">
      <w:pPr>
        <w:pStyle w:val="NormalWeb"/>
        <w:jc w:val="both"/>
      </w:pPr>
      <w:r>
        <w:t>The relationship between sex and diabetes risk remains inconclusive</w:t>
      </w:r>
      <w:r w:rsidR="00B8402A">
        <w:t xml:space="preserve"> because</w:t>
      </w:r>
      <w:r>
        <w:t xml:space="preserve"> </w:t>
      </w:r>
      <w:r w:rsidR="00B8402A">
        <w:t>r</w:t>
      </w:r>
      <w:r w:rsidR="003B5F3B" w:rsidRPr="003B5F3B">
        <w:t xml:space="preserve">esearch on gender differences in diabetes risk presents mixed findings. </w:t>
      </w:r>
      <w:r>
        <w:t>Some studies suggest that men have a higher predisposition to diabetes due to greater visceral fat accumulation, whereas others indicate that women, particularly postmenopausal women, may have an increased risk due to hormonal changes affecting insulin sensitivity.</w:t>
      </w:r>
      <w:r w:rsidR="009C2DD2">
        <w:fldChar w:fldCharType="begin" w:fldLock="1"/>
      </w:r>
      <w:r w:rsidR="009C2DD2">
        <w:instrText>ADDIN CSL_CITATION {"citationItems":[{"id":"ITEM-1","itemData":{"DOI":"10.1038/s41598-024-84597-5","ISBN":"4159802484597","ISSN":"20452322","abstract":"Heavy alcohol consumption is a known risk factor for type 2 diabetes (T2D), However, the moderating effect of fasting plasma glucose (FPG) levels remains unclear. This study explores the relationship between alcohol intake and T2D risk across FPG strata in a Japanese cohort. Data from 15,453 participants in the NAGALA cohort were analyzed over 5.4 years. Baseline assessments included alcohol consumption and FPG, categorizing individuals into elevated FPG (EFPG, 100–125 mg/dL) and normal FPG (NFPG, &lt; 100 mg/dL). Cox proportional hazards regression assessed alcohol intake levels and T2D risk, stratified by FPG. Among EFPG individuals, heavy drinkers (Men &gt; 280 g/week, Women &gt; 140 g/week) had an 88% increased T2D risk (HR 1.88, 95% CI 1.24–2.84). Conversely, in NFPG, heavy alcohol intake did not significantly affect T2D risk (HR 1.10, 95% CI 0.48–2.53). Men with EFPG and heavy alcohol intake had an HR of 1.83 (95% CI 1.08–3.08), supported by propensity score matching (HR 1.94, 95% CI 1.13–3.34). No significant relationships were found in NFPG. Heavy alcohol consumption significantly raises T2D risk in Japanese men with EFPG but not in women or those with NFPG. Further studies are warranted for validation and gender-specific insights.","author":[{"dropping-particle":"","family":"Huang","given":"Yuan Zhe","non-dropping-particle":"","parse-names":false,"suffix":""},{"dropping-particle":"","family":"Luo","given":"Fang","non-dropping-particle":"","parse-names":false,"suffix":""},{"dropping-particle":"","family":"Ran","given":"Xiong","non-dropping-particle":"","parse-names":false,"suffix":""},{"dropping-particle":"","family":"Yang","given":"Jian","non-dropping-particle":"","parse-names":false,"suffix":""},{"dropping-particle":"","family":"Gu","given":"Min","non-dropping-particle":"","parse-names":false,"suffix":""},{"dropping-particle":"","family":"Zhou","given":"Shao Quan","non-dropping-particle":"","parse-names":false,"suffix":""}],"container-title":"Scientific Reports","id":"ITEM-1","issue":"1","issued":{"date-parts":[["2025"]]},"page":"1-10","title":"Association between alcohol consumption and risk of type 2 diabetes in Japan: a population-base longitudinal cohort study","type":"article-journal","volume":"15"},"uris":["http://www.mendeley.com/documents/?uuid=84ad952a-986a-4e4d-9bca-3b3b44106627"]}],"mendeley":{"formattedCitation":"&lt;sup&gt;12&lt;/sup&gt;","plainTextFormattedCitation":"12","previouslyFormattedCitation":"&lt;sup&gt;12&lt;/sup&gt;"},"properties":{"noteIndex":0},"schema":"https://github.com/citation-style-language/schema/raw/master/csl-citation.json"}</w:instrText>
      </w:r>
      <w:r w:rsidR="009C2DD2">
        <w:fldChar w:fldCharType="separate"/>
      </w:r>
      <w:r w:rsidR="009C2DD2" w:rsidRPr="009C2DD2">
        <w:rPr>
          <w:noProof/>
          <w:vertAlign w:val="superscript"/>
        </w:rPr>
        <w:t>12</w:t>
      </w:r>
      <w:r w:rsidR="009C2DD2">
        <w:fldChar w:fldCharType="end"/>
      </w:r>
      <w:r>
        <w:t xml:space="preserve"> </w:t>
      </w:r>
      <w:r w:rsidR="001A505D">
        <w:t>G</w:t>
      </w:r>
      <w:r w:rsidR="003B5F3B">
        <w:t>reater visceral fat accumulation</w:t>
      </w:r>
      <w:r w:rsidR="001A505D">
        <w:t xml:space="preserve"> in men </w:t>
      </w:r>
      <w:r w:rsidR="003B5F3B">
        <w:t xml:space="preserve">is strongly linked to insulin resistance and </w:t>
      </w:r>
      <w:r w:rsidR="008B23D4">
        <w:t>blood glucose</w:t>
      </w:r>
      <w:r w:rsidR="003B5F3B">
        <w:t xml:space="preserve"> dysfunction. Conversely, other studies indicate that women, particularly postmenopausal women, may face an increased risk due to hormonal changes, such as declining </w:t>
      </w:r>
      <w:r w:rsidR="001A505D">
        <w:t>oestrogen</w:t>
      </w:r>
      <w:r w:rsidR="003B5F3B">
        <w:t xml:space="preserve"> levels, which negatively impact insulin sensitivity and fat distribution. These sex-specific differences highlight the need for tailored prevention and management strategies for diabetes in men and women.</w:t>
      </w:r>
    </w:p>
    <w:p w14:paraId="7AA912B7" w14:textId="407E3F04" w:rsidR="00886C4E" w:rsidRDefault="00886C4E" w:rsidP="00F95B57">
      <w:pPr>
        <w:pStyle w:val="NormalWeb"/>
        <w:jc w:val="both"/>
      </w:pPr>
      <w:r>
        <w:t>Occupational status has been investigated as a potential risk factor for diabetes, with studies indicating that sedentary occupations contribute to higher BMI and an increased risk of type 2 diabetes.</w:t>
      </w:r>
      <w:r w:rsidR="009C2DD2">
        <w:fldChar w:fldCharType="begin" w:fldLock="1"/>
      </w:r>
      <w:r w:rsidR="009C2DD2">
        <w:instrText>ADDIN CSL_CITATION {"citationItems":[{"id":"ITEM-1","itemData":{"DOI":"10.5271/sjweh.702","ISSN":"0355-3140","author":[{"dropping-particle":"","family":"Tüchsen","given":"Finn","non-dropping-particle":"","parse-names":false,"suffix":""},{"dropping-particle":"","family":"Hannerz","given":"Harald","non-dropping-particle":"","parse-names":false,"suffix":""},{"dropping-particle":"","family":"Burr","given":"Hermann","non-dropping-particle":"","parse-names":false,"suffix":""},{"dropping-particle":"","family":"Lund","given":"Thomas","non-dropping-particle":"","parse-names":false,"suffix":""},{"dropping-particle":"","family":"Krause","given":"Niklas","non-dropping-particle":"","parse-names":false,"suffix":""}],"container-title":"Scandinavian Journal of Work, Environment &amp; Health","id":"ITEM-1","issue":"3","issued":{"date-parts":[["2020"]]},"page":"293-301","publisher":"Scandinavian Journal of Work, Environment and Health","title":"A 10-year prospective study of the effect of work-related physical strain on the risk of type 2 diabetes","type":"article-journal","volume":"46"},"uris":["http://www.mendeley.com/documents/?uuid=9c2779e1-9114-4c7a-adf5-b7989350ff1c"]}],"mendeley":{"formattedCitation":"&lt;sup&gt;10&lt;/sup&gt;","plainTextFormattedCitation":"10","previouslyFormattedCitation":"&lt;sup&gt;10&lt;/sup&gt;"},"properties":{"noteIndex":0},"schema":"https://github.com/citation-style-language/schema/raw/master/csl-citation.json"}</w:instrText>
      </w:r>
      <w:r w:rsidR="009C2DD2">
        <w:fldChar w:fldCharType="separate"/>
      </w:r>
      <w:r w:rsidR="009C2DD2" w:rsidRPr="009C2DD2">
        <w:rPr>
          <w:noProof/>
          <w:vertAlign w:val="superscript"/>
        </w:rPr>
        <w:t>10</w:t>
      </w:r>
      <w:r w:rsidR="009C2DD2">
        <w:fldChar w:fldCharType="end"/>
      </w:r>
      <w:r>
        <w:t xml:space="preserve"> Jobs that involve prolonged sitting and low physical activity levels are associated with reduced energy expenditure, weight gain, and </w:t>
      </w:r>
      <w:r w:rsidR="008B23D4">
        <w:t>blood glucose</w:t>
      </w:r>
      <w:r>
        <w:t xml:space="preserve"> dysfunction. Additionally, workplace stress and irregular work schedules may further contribute to insulin resistance and poor glucose control. Encouraging physical activity and ergonomic workplace adjustments can help mitigate these occupational health risks. </w:t>
      </w:r>
      <w:r w:rsidR="005C2F07">
        <w:t xml:space="preserve">However, limited occupational variability in some populations may obscure these associations. </w:t>
      </w:r>
    </w:p>
    <w:p w14:paraId="433FE42D" w14:textId="481F3C5D" w:rsidR="0081302A" w:rsidRDefault="0081302A" w:rsidP="00F95B57">
      <w:pPr>
        <w:pStyle w:val="NormalWeb"/>
        <w:jc w:val="both"/>
      </w:pPr>
      <w:r>
        <w:t>Residence in urban versus rural areas has been studied as a diabetes risk factor, with research showing a higher prevalence of diabetes among urban dwellers. This is largely attributed to greater access to processed and calorie-dense foods, lower physical activity levels due to sedentary lifestyles, and increased exposure to obesogenic environments.</w:t>
      </w:r>
      <w:r w:rsidR="009C2DD2">
        <w:fldChar w:fldCharType="begin" w:fldLock="1"/>
      </w:r>
      <w:r w:rsidR="009C2DD2">
        <w:instrText>ADDIN CSL_CITATION {"citationItems":[{"id":"ITEM-1","itemData":{"DOI":"10.4067/S0717-95022021000300829","ISBN":"4202020510","ISSN":"07179502","abstract":"SUMMARY: The association of alcohol consumption with type 2 diabetes has been explained by increased insulin sensitivity, anti-inflammatory effects, or effects of adiponectin. The aim was to launch a consistent relation between alcohol intake and insulin sensitivity. Several databases (MEDLINE, EMBASE, Scopus and Web of Science) were searched from 1990 to April 2020 for studies in English, using MeSH terms and text words involving to alcohol consumption and insulin sensitivity. Protocol registered on PROSPERO CRD42020205107. A total of seven original articles were analyzed, where four collected data through cross-sectional study, two papers with randomized crossover design, and one used a non-randomized study. The protective effect of moderate alcohol consumption on type 2 diabetes has been described, where an improvement on insulin levels has been shown in adults between 26.5-57 years old. Our research shows that alcohol effects on blood insulin levels could vary depending of the type of alcoholic drink ingested; and that alcohol intake increased leptin and adiponectin levels, suggesting that alcohol consumption may increase glucose catabolism promoting insulin sensitivity via leptin and adiponectin. However, original studies should consider time of exposure, age, dosage, ethnicity, and alcohol type in order to conclude right affirmations.","author":[{"dropping-particle":"","family":"Sandoval","given":"Cristian","non-dropping-particle":"","parse-names":false,"suffix":""},{"dropping-particle":"","family":"Herrera","given":"Christian","non-dropping-particle":"","parse-names":false,"suffix":""},{"dropping-particle":"","family":"Schulz","given":"Mabel","non-dropping-particle":"","parse-names":false,"suffix":""},{"dropping-particle":"","family":"Vásquez","given":"Bélgica","non-dropping-particle":"","parse-names":false,"suffix":""}],"container-title":"International Journal of Morphology","id":"ITEM-1","issue":"3","issued":{"date-parts":[["2021"]]},"page":"829-838","title":"Relationship between ethanol intake and insulin sensitivity metabolism in men with no comorbidities: A systematic review","type":"article-journal","volume":"39"},"uris":["http://www.mendeley.com/documents/?uuid=30e92ed9-f2cb-41a9-8e94-91afabb5675d"]}],"mendeley":{"formattedCitation":"&lt;sup&gt;13&lt;/sup&gt;","plainTextFormattedCitation":"13","previouslyFormattedCitation":"&lt;sup&gt;13&lt;/sup&gt;"},"properties":{"noteIndex":0},"schema":"https://github.com/citation-style-language/schema/raw/master/csl-citation.json"}</w:instrText>
      </w:r>
      <w:r w:rsidR="009C2DD2">
        <w:fldChar w:fldCharType="separate"/>
      </w:r>
      <w:r w:rsidR="009C2DD2" w:rsidRPr="009C2DD2">
        <w:rPr>
          <w:noProof/>
          <w:vertAlign w:val="superscript"/>
        </w:rPr>
        <w:t>13</w:t>
      </w:r>
      <w:r w:rsidR="009C2DD2">
        <w:fldChar w:fldCharType="end"/>
      </w:r>
      <w:r>
        <w:t xml:space="preserve"> Urbanization is also linked to higher stress levels, air pollution, and reduced social cohesion, all of which may contribute to </w:t>
      </w:r>
      <w:r w:rsidR="008B23D4">
        <w:t>blood glucose</w:t>
      </w:r>
      <w:r>
        <w:t xml:space="preserve"> dysfunction. In contrast, rural populations often engage in more physically demanding activities and have greater access to fresh, unprocessed foods, potentially lowering their diabetes risk.</w:t>
      </w:r>
    </w:p>
    <w:p w14:paraId="05216932" w14:textId="62E69D04" w:rsidR="005C2F07" w:rsidRPr="005C2F07" w:rsidRDefault="005C2F07" w:rsidP="00F95B57">
      <w:pPr>
        <w:pStyle w:val="Heading4"/>
        <w:jc w:val="both"/>
        <w:rPr>
          <w:i w:val="0"/>
          <w:color w:val="auto"/>
        </w:rPr>
      </w:pPr>
      <w:r w:rsidRPr="005C2F07">
        <w:rPr>
          <w:rStyle w:val="Strong"/>
          <w:b/>
          <w:bCs/>
          <w:i w:val="0"/>
          <w:color w:val="auto"/>
        </w:rPr>
        <w:lastRenderedPageBreak/>
        <w:t xml:space="preserve">Alcohol Consumption and </w:t>
      </w:r>
      <w:r w:rsidR="008B23D4">
        <w:rPr>
          <w:rStyle w:val="Strong"/>
          <w:b/>
          <w:bCs/>
          <w:i w:val="0"/>
          <w:color w:val="auto"/>
        </w:rPr>
        <w:t>Blood glucose</w:t>
      </w:r>
      <w:r w:rsidRPr="005C2F07">
        <w:rPr>
          <w:rStyle w:val="Strong"/>
          <w:b/>
          <w:bCs/>
          <w:i w:val="0"/>
          <w:color w:val="auto"/>
        </w:rPr>
        <w:t xml:space="preserve"> Health</w:t>
      </w:r>
    </w:p>
    <w:p w14:paraId="6DCD4448" w14:textId="7F1A6076" w:rsidR="00275930" w:rsidRDefault="005C2F07" w:rsidP="00F95B57">
      <w:pPr>
        <w:pStyle w:val="NormalWeb"/>
        <w:jc w:val="both"/>
      </w:pPr>
      <w:r>
        <w:t>The effect of alcohol consumption on diabetes risk is complex and appears to be dose-dependent. Moderate alcohol intake has been linked to improved insulin sensitivity and reduced risk of type 2 diabetes, whereas excessive alcohol consumption is associated with higher fasting glucose levels and increased diabetes risk.</w:t>
      </w:r>
      <w:r w:rsidR="009C2DD2">
        <w:fldChar w:fldCharType="begin" w:fldLock="1"/>
      </w:r>
      <w:r w:rsidR="00F408A9">
        <w:instrText>ADDIN CSL_CITATION {"citationItems":[{"id":"ITEM-1","itemData":{"DOI":"10.1016/s2213-8587(18)30318-8","ISSN":"2213-8587","author":[{"dropping-particle":"","family":"Gill","given":"TP","non-dropping-particle":"","parse-names":false,"suffix":""},{"dropping-particle":"","family":"Sattar","given":"Naveed","non-dropping-particle":"","parse-names":false,"suffix":""},{"dropping-particle":"","family":"Zimmet","given":"P","non-dropping-particle":"","parse-names":false,"suffix":""}],"container-title":"The Lancet Diabetes &amp; Endocrinology","id":"ITEM-1","issue":"8","issued":{"date-parts":[["2021"]]},"page":"482-494","publisher":"Elsevier BV","title":"The role of obesity in cardiometabolic disease: Insights from genetic epidemiology","type":"article-journal","volume":"9"},"uris":["http://www.mendeley.com/documents/?uuid=b687c18b-5f0b-45ad-8cc5-b7ddee7e4e79"]}],"mendeley":{"formattedCitation":"&lt;sup&gt;14&lt;/sup&gt;","plainTextFormattedCitation":"14","previouslyFormattedCitation":"&lt;sup&gt;14&lt;/sup&gt;"},"properties":{"noteIndex":0},"schema":"https://github.com/citation-style-language/schema/raw/master/csl-citation.json"}</w:instrText>
      </w:r>
      <w:r w:rsidR="009C2DD2">
        <w:fldChar w:fldCharType="separate"/>
      </w:r>
      <w:r w:rsidR="009C2DD2" w:rsidRPr="009C2DD2">
        <w:rPr>
          <w:noProof/>
          <w:vertAlign w:val="superscript"/>
        </w:rPr>
        <w:t>14</w:t>
      </w:r>
      <w:r w:rsidR="009C2DD2">
        <w:fldChar w:fldCharType="end"/>
      </w:r>
      <w:r>
        <w:t xml:space="preserve"> </w:t>
      </w:r>
      <w:r w:rsidR="00275930">
        <w:t xml:space="preserve">Moderate alcohol intake has been linked to improved insulin sensitivity and a reduced risk of type 2 diabetes, possibly due to its effects on glucose metabolism and lipid profiles. However, excessive alcohol consumption is associated with higher fasting glucose levels, increased insulin resistance, and pancreatic dysfunction, all of which elevate diabetes risk. Chronic heavy drinking can also lead to liver damage, obesity, and </w:t>
      </w:r>
      <w:r w:rsidR="008B23D4">
        <w:t>blood glucose</w:t>
      </w:r>
      <w:r w:rsidR="00275930">
        <w:t xml:space="preserve"> disturbances, further exacerbating glucose dysregulation. Therefore, while moderate alcohol consumption may have some protective effects, excessive intake significantly increases the likelihood of developing diabetes.</w:t>
      </w:r>
    </w:p>
    <w:p w14:paraId="76C162EF" w14:textId="22F5DFD3" w:rsidR="005C2F07" w:rsidRDefault="005C2F07" w:rsidP="00F95B57">
      <w:pPr>
        <w:pStyle w:val="NormalWeb"/>
        <w:jc w:val="both"/>
      </w:pPr>
      <w:r>
        <w:t>Some studies suggest that alcohol consumption is negatively correlated with BMI, as observed in this study, potentially due to its appetite-suppressing effects and alterations in fat metabolism.</w:t>
      </w:r>
      <w:r w:rsidR="00F408A9">
        <w:fldChar w:fldCharType="begin" w:fldLock="1"/>
      </w:r>
      <w:r w:rsidR="00F408A9">
        <w:instrText>ADDIN CSL_CITATION {"citationItems":[{"id":"ITEM-1","itemData":{"DOI":"10.3389/fphys.2021.765767","ISSN":"1664042X","author":[{"dropping-particle":"","family":"Choi","given":"Soo Kyoung","non-dropping-particle":"","parse-names":false,"suffix":""}],"container-title":"Frontiers in Physiology","id":"ITEM-1","issue":"October","issued":{"date-parts":[["2021"]]},"page":"10-12","title":"Editorial: Diabetes, Hypertension and Cardiovascular Diseases","type":"article-journal","volume":"12"},"uris":["http://www.mendeley.com/documents/?uuid=e0f8f1cc-5882-4f33-a5ec-6983c8dd042f"]}],"mendeley":{"formattedCitation":"&lt;sup&gt;15&lt;/sup&gt;","plainTextFormattedCitation":"15","previouslyFormattedCitation":"&lt;sup&gt;15&lt;/sup&gt;"},"properties":{"noteIndex":0},"schema":"https://github.com/citation-style-language/schema/raw/master/csl-citation.json"}</w:instrText>
      </w:r>
      <w:r w:rsidR="00F408A9">
        <w:fldChar w:fldCharType="separate"/>
      </w:r>
      <w:r w:rsidR="00F408A9" w:rsidRPr="00F408A9">
        <w:rPr>
          <w:noProof/>
          <w:vertAlign w:val="superscript"/>
        </w:rPr>
        <w:t>15</w:t>
      </w:r>
      <w:r w:rsidR="00F408A9">
        <w:fldChar w:fldCharType="end"/>
      </w:r>
      <w:r>
        <w:t xml:space="preserve"> However, conflicting findings indicate the need for further research to clarify these relationships across different populations.</w:t>
      </w:r>
    </w:p>
    <w:p w14:paraId="73FD5080" w14:textId="77777777" w:rsidR="005C2F07" w:rsidRPr="005C2F07" w:rsidRDefault="005C2F07" w:rsidP="00F95B57">
      <w:pPr>
        <w:pStyle w:val="Heading4"/>
        <w:jc w:val="both"/>
        <w:rPr>
          <w:i w:val="0"/>
          <w:color w:val="auto"/>
        </w:rPr>
      </w:pPr>
      <w:r w:rsidRPr="005C2F07">
        <w:rPr>
          <w:rStyle w:val="Strong"/>
          <w:b/>
          <w:bCs/>
          <w:i w:val="0"/>
          <w:color w:val="auto"/>
        </w:rPr>
        <w:t>Anthropometric and Cardiovascular Predictors of Diabetes</w:t>
      </w:r>
    </w:p>
    <w:p w14:paraId="58062B12" w14:textId="0D5EA60B" w:rsidR="005C2F07" w:rsidRDefault="005C2F07" w:rsidP="00F95B57">
      <w:pPr>
        <w:pStyle w:val="NormalWeb"/>
        <w:jc w:val="both"/>
      </w:pPr>
      <w:r>
        <w:t xml:space="preserve">BMI and waist-to-hip ratio (WHR) are commonly used anthropometric indices for assessing obesity-related </w:t>
      </w:r>
      <w:r w:rsidR="008B23D4">
        <w:t>blood glucose</w:t>
      </w:r>
      <w:r>
        <w:t xml:space="preserve"> risks. While BMI is a widely accepted measure of general obesity, WHR has been suggested to be a better predictor of diabetes and cardiovascular risk due to its emphasis on central fat distribution.</w:t>
      </w:r>
      <w:r w:rsidR="00F408A9">
        <w:fldChar w:fldCharType="begin" w:fldLock="1"/>
      </w:r>
      <w:r w:rsidR="00F408A9">
        <w:instrText>ADDIN CSL_CITATION {"citationItems":[{"id":"ITEM-1","itemData":{"DOI":"10.2337/dc07-9921","ISSN":"0149-5992","author":[{"dropping-particle":"","family":"Klein","given":"Samuel","non-dropping-particle":"","parse-names":false,"suffix":""},{"dropping-particle":"","family":"Allison","given":"David B","non-dropping-particle":"","parse-names":false,"suffix":""},{"dropping-particle":"","family":"Heymsfield","given":"Steven B","non-dropping-particle":"","parse-names":false,"suffix":""},{"dropping-particle":"","family":"Kelley","given":"David E","non-dropping-particle":"","parse-names":false,"suffix":""},{"dropping-particle":"","family":"Leibel","given":"Rudolph L","non-dropping-particle":"","parse-names":false,"suffix":""},{"dropping-particle":"","family":"Nonas","given":"Cathy","non-dropping-particle":"","parse-names":false,"suffix":""},{"dropping-particle":"","family":"Kahn","given":"Richard","non-dropping-particle":"","parse-names":false,"suffix":""}],"container-title":"Obesity","id":"ITEM-1","issue":"4","issued":{"date-parts":[["2020"]]},"page":"627-638","publisher":"American Diabetes Association","title":"Waist Circumference and Cardiometabolic Risk: A Consesus Statement","type":"article-journal","volume":"28"},"uris":["http://www.mendeley.com/documents/?uuid=255ee4e5-ccea-40df-9a98-b47fda44e0c1"]}],"mendeley":{"formattedCitation":"&lt;sup&gt;7&lt;/sup&gt;","plainTextFormattedCitation":"7","previouslyFormattedCitation":"&lt;sup&gt;7&lt;/sup&gt;"},"properties":{"noteIndex":0},"schema":"https://github.com/citation-style-language/schema/raw/master/csl-citation.json"}</w:instrText>
      </w:r>
      <w:r w:rsidR="00F408A9">
        <w:fldChar w:fldCharType="separate"/>
      </w:r>
      <w:r w:rsidR="00F408A9" w:rsidRPr="00F408A9">
        <w:rPr>
          <w:noProof/>
          <w:vertAlign w:val="superscript"/>
        </w:rPr>
        <w:t>7</w:t>
      </w:r>
      <w:r w:rsidR="00F408A9">
        <w:fldChar w:fldCharType="end"/>
      </w:r>
      <w:r>
        <w:t xml:space="preserve"> Studies have demonstrated a strong correlation between WHR and fasting blood glucose levels, blood pressure, and overall </w:t>
      </w:r>
      <w:proofErr w:type="spellStart"/>
      <w:r>
        <w:t>cardio</w:t>
      </w:r>
      <w:r w:rsidR="008B23D4">
        <w:t>blood</w:t>
      </w:r>
      <w:proofErr w:type="spellEnd"/>
      <w:r w:rsidR="008B23D4">
        <w:t xml:space="preserve"> glucose</w:t>
      </w:r>
      <w:r>
        <w:t xml:space="preserve"> risk.</w:t>
      </w:r>
      <w:r w:rsidR="00F408A9">
        <w:fldChar w:fldCharType="begin" w:fldLock="1"/>
      </w:r>
      <w:r w:rsidR="00F408A9">
        <w:instrText>ADDIN CSL_CITATION {"citationItems":[{"id":"ITEM-1","itemData":{"DOI":"10.1016/s2213-8587(18)30318-8","ISSN":"2213-8587","author":[{"dropping-particle":"","family":"Gill","given":"TP","non-dropping-particle":"","parse-names":false,"suffix":""},{"dropping-particle":"","family":"Sattar","given":"Naveed","non-dropping-particle":"","parse-names":false,"suffix":""},{"dropping-particle":"","family":"Zimmet","given":"P","non-dropping-particle":"","parse-names":false,"suffix":""}],"container-title":"The Lancet Diabetes &amp; Endocrinology","id":"ITEM-1","issue":"8","issued":{"date-parts":[["2021"]]},"page":"482-494","publisher":"Elsevier BV","title":"The role of obesity in cardiometabolic disease: Insights from genetic epidemiology","type":"article-journal","volume":"9"},"uris":["http://www.mendeley.com/documents/?uuid=b687c18b-5f0b-45ad-8cc5-b7ddee7e4e79"]}],"mendeley":{"formattedCitation":"&lt;sup&gt;14&lt;/sup&gt;","plainTextFormattedCitation":"14","previouslyFormattedCitation":"&lt;sup&gt;14&lt;/sup&gt;"},"properties":{"noteIndex":0},"schema":"https://github.com/citation-style-language/schema/raw/master/csl-citation.json"}</w:instrText>
      </w:r>
      <w:r w:rsidR="00F408A9">
        <w:fldChar w:fldCharType="separate"/>
      </w:r>
      <w:r w:rsidR="00F408A9" w:rsidRPr="00F408A9">
        <w:rPr>
          <w:noProof/>
          <w:vertAlign w:val="superscript"/>
        </w:rPr>
        <w:t>14</w:t>
      </w:r>
      <w:r w:rsidR="00F408A9">
        <w:fldChar w:fldCharType="end"/>
      </w:r>
      <w:r w:rsidR="00F408A9">
        <w:t xml:space="preserve"> </w:t>
      </w:r>
    </w:p>
    <w:p w14:paraId="7FAF3304" w14:textId="4BEDAD2B" w:rsidR="005C2F07" w:rsidRDefault="005C2F07" w:rsidP="00F95B57">
      <w:pPr>
        <w:pStyle w:val="NormalWeb"/>
        <w:jc w:val="both"/>
      </w:pPr>
      <w:r>
        <w:t>Blood pressure is another critical factor linked to diabetes risk. Hypertension and diabetes often coexist, sharing common pathophysiological mechanisms such as endothelial dysfunction, insulin resistance, and chronic inflammation.</w:t>
      </w:r>
      <w:r w:rsidR="00F408A9">
        <w:fldChar w:fldCharType="begin" w:fldLock="1"/>
      </w:r>
      <w:r w:rsidR="00F408A9">
        <w:instrText>ADDIN CSL_CITATION {"citationItems":[{"id":"ITEM-1","itemData":{"DOI":"10.1007/978-3-319-20797-1_2-1","ISBN":"9783319207971","author":[{"dropping-particle":"","family":"Powers","given":"AC","non-dropping-particle":"","parse-names":false,"suffix":""},{"dropping-particle":"","family":"Stanford","given":"JM","non-dropping-particle":"","parse-names":false,"suffix":""},{"dropping-particle":"","family":"Rickels","given":"MR","non-dropping-particle":"","parse-names":false,"suffix":""}],"container-title":"Harrison’s Principles of Internal Medicine","id":"ITEM-1","issue":"2","issued":{"date-parts":[["2022"]]},"page":"2982-3003","publisher":"Springer International Publishing","title":"Diabetes mellitus: A disorder of glucose homeostasis","type":"article-journal","volume":"21"},"uris":["http://www.mendeley.com/documents/?uuid=e1727224-a92f-4979-97d6-b969a19cb8a2"]}],"mendeley":{"formattedCitation":"&lt;sup&gt;16&lt;/sup&gt;","plainTextFormattedCitation":"16","previouslyFormattedCitation":"&lt;sup&gt;16&lt;/sup&gt;"},"properties":{"noteIndex":0},"schema":"https://github.com/citation-style-language/schema/raw/master/csl-citation.json"}</w:instrText>
      </w:r>
      <w:r w:rsidR="00F408A9">
        <w:fldChar w:fldCharType="separate"/>
      </w:r>
      <w:r w:rsidR="00F408A9" w:rsidRPr="00F408A9">
        <w:rPr>
          <w:noProof/>
          <w:vertAlign w:val="superscript"/>
        </w:rPr>
        <w:t>16</w:t>
      </w:r>
      <w:r w:rsidR="00F408A9">
        <w:fldChar w:fldCharType="end"/>
      </w:r>
      <w:r>
        <w:t xml:space="preserve"> Research indicates that systolic and diastolic blood pressures are significantly correlated with BMI and fasting blood glucose, reinforcing the interconnection between </w:t>
      </w:r>
      <w:r w:rsidR="008B23D4">
        <w:t>blood glucose</w:t>
      </w:r>
      <w:r>
        <w:t xml:space="preserve"> and cardiovascular health.</w:t>
      </w:r>
      <w:r w:rsidR="00F408A9">
        <w:fldChar w:fldCharType="begin" w:fldLock="1"/>
      </w:r>
      <w:r w:rsidR="00F408A9">
        <w:instrText>ADDIN CSL_CITATION {"citationItems":[{"id":"ITEM-1","itemData":{"DOI":"10.1007/978-3-319-20797-1_2-1","ISBN":"9783319207971","author":[{"dropping-particle":"","family":"Powers","given":"AC","non-dropping-particle":"","parse-names":false,"suffix":""},{"dropping-particle":"","family":"Stanford","given":"JM","non-dropping-particle":"","parse-names":false,"suffix":""},{"dropping-particle":"","family":"Rickels","given":"MR","non-dropping-particle":"","parse-names":false,"suffix":""}],"container-title":"Harrison’s Principles of Internal Medicine","id":"ITEM-1","issue":"2","issued":{"date-parts":[["2022"]]},"page":"2982-3003","publisher":"Springer International Publishing","title":"Diabetes mellitus: A disorder of glucose homeostasis","type":"article-journal","volume":"21"},"uris":["http://www.mendeley.com/documents/?uuid=e1727224-a92f-4979-97d6-b969a19cb8a2"]}],"mendeley":{"formattedCitation":"&lt;sup&gt;16&lt;/sup&gt;","plainTextFormattedCitation":"16","previouslyFormattedCitation":"&lt;sup&gt;16&lt;/sup&gt;"},"properties":{"noteIndex":0},"schema":"https://github.com/citation-style-language/schema/raw/master/csl-citation.json"}</w:instrText>
      </w:r>
      <w:r w:rsidR="00F408A9">
        <w:fldChar w:fldCharType="separate"/>
      </w:r>
      <w:r w:rsidR="00F408A9" w:rsidRPr="00F408A9">
        <w:rPr>
          <w:noProof/>
          <w:vertAlign w:val="superscript"/>
        </w:rPr>
        <w:t>16</w:t>
      </w:r>
      <w:r w:rsidR="00F408A9">
        <w:fldChar w:fldCharType="end"/>
      </w:r>
      <w:r w:rsidR="00F408A9">
        <w:t xml:space="preserve"> </w:t>
      </w:r>
    </w:p>
    <w:p w14:paraId="7F452CB7" w14:textId="77777777" w:rsidR="005C2F07" w:rsidRPr="005C2F07" w:rsidRDefault="005C2F07" w:rsidP="00F95B57">
      <w:pPr>
        <w:pStyle w:val="Heading4"/>
        <w:jc w:val="both"/>
        <w:rPr>
          <w:i w:val="0"/>
          <w:color w:val="auto"/>
        </w:rPr>
      </w:pPr>
      <w:r w:rsidRPr="005C2F07">
        <w:rPr>
          <w:rStyle w:val="Strong"/>
          <w:b/>
          <w:bCs/>
          <w:i w:val="0"/>
          <w:color w:val="auto"/>
        </w:rPr>
        <w:t>Gaps in the Literature and Study Justification</w:t>
      </w:r>
    </w:p>
    <w:p w14:paraId="1BD169E2" w14:textId="5C19E0A4" w:rsidR="005C2F07" w:rsidRDefault="005C2F07" w:rsidP="00F95B57">
      <w:pPr>
        <w:pStyle w:val="NormalWeb"/>
        <w:jc w:val="both"/>
      </w:pPr>
      <w:r>
        <w:t xml:space="preserve">Despite extensive research on diabetes risk factors, inconsistencies persist regarding the relative influence of sex, occupation, residence, and alcohol consumption on </w:t>
      </w:r>
      <w:r w:rsidR="008B23D4">
        <w:t>blood glucose</w:t>
      </w:r>
      <w:r>
        <w:t xml:space="preserve"> health. Additionally, while studies highlight the role of BMI and WHR in diabetes risk, their independent effects on fasting glucose levels remain unclear. Given the rising burden of diabetes, particularly in resource-limited settings, population-specific investigations are necessary to refine risk assessment strategies and develop targeted interventions. This study seeks to contribute to this growing body of literature by examining the associations between demographic, </w:t>
      </w:r>
      <w:r w:rsidR="008B23D4">
        <w:t>blood glucose</w:t>
      </w:r>
      <w:r>
        <w:t>, and cardiovascular parameters and diabetes risk in a defined population.</w:t>
      </w:r>
    </w:p>
    <w:p w14:paraId="4BD7D140" w14:textId="77777777" w:rsidR="00275EC2" w:rsidRDefault="00275EC2" w:rsidP="00F95B57">
      <w:pPr>
        <w:pStyle w:val="NormalWeb"/>
        <w:jc w:val="both"/>
      </w:pPr>
      <w:r>
        <w:rPr>
          <w:rStyle w:val="Strong"/>
        </w:rPr>
        <w:t>Methodology</w:t>
      </w:r>
    </w:p>
    <w:p w14:paraId="31836F66" w14:textId="77777777" w:rsidR="00275EC2" w:rsidRDefault="00275EC2" w:rsidP="00F95B57">
      <w:pPr>
        <w:pStyle w:val="Heading3"/>
        <w:jc w:val="both"/>
      </w:pPr>
      <w:r>
        <w:t>Study Design</w:t>
      </w:r>
    </w:p>
    <w:p w14:paraId="1A556C28" w14:textId="14D8A267" w:rsidR="00275EC2" w:rsidRDefault="00275EC2" w:rsidP="00F95B57">
      <w:pPr>
        <w:pStyle w:val="NormalWeb"/>
        <w:jc w:val="both"/>
      </w:pPr>
      <w:r>
        <w:t xml:space="preserve">This study employed a cross-sectional design to assess the association between </w:t>
      </w:r>
      <w:r w:rsidR="008B23D4">
        <w:t>blood glucose</w:t>
      </w:r>
      <w:r>
        <w:t xml:space="preserve"> and cardiovascular parameters and diabetes risk. Cross-sectional studies are widely used in </w:t>
      </w:r>
      <w:r>
        <w:lastRenderedPageBreak/>
        <w:t>epidemiological research to identify risk factors and correlations at a specific point in time.</w:t>
      </w:r>
      <w:r w:rsidR="00F408A9">
        <w:fldChar w:fldCharType="begin" w:fldLock="1"/>
      </w:r>
      <w:r w:rsidR="00F408A9">
        <w:instrText>ADDIN CSL_CITATION {"citationItems":[{"id":"ITEM-1","itemData":{"DOI":"10.1016/j.chest.2020.03.012","ISSN":"19313543","PMID":"32658654","abstract":"Cross-sectional studies are observational studies that analyze data from a population at a single point in time. They are often used to measure the prevalence of health outcomes, understand determinants of health, and describe features of a population. Unlike other types of observational studies, cross-sectional studies do not follow individuals up over time. They are usually inexpensive and easy to conduct. They are useful for establishing preliminary evidence in planning a future advanced study. This article reviews the essential characteristics, describes strengths and weaknesses, discusses methodological issues, and gives our recommendations on design and statistical analysis for cross-sectional studies in pulmonary and critical care medicine. A list of considerations for reviewers is also provided.","author":[{"dropping-particle":"","family":"Wang","given":"Xiaofeng","non-dropping-particle":"","parse-names":false,"suffix":""},{"dropping-particle":"","family":"Cheng","given":"Zhenshun","non-dropping-particle":"","parse-names":false,"suffix":""}],"container-title":"Chest","id":"ITEM-1","issue":"1","issued":{"date-parts":[["2020"]]},"page":"S65-S71","publisher":"Elsevier Inc","title":"Cross-Sectional Studies: Strengths, Weaknesses, and Recommendations","type":"article-journal","volume":"158"},"uris":["http://www.mendeley.com/documents/?uuid=5251831f-868c-48c8-98ae-2ba8b767470e"]}],"mendeley":{"formattedCitation":"&lt;sup&gt;17&lt;/sup&gt;","plainTextFormattedCitation":"17","previouslyFormattedCitation":"&lt;sup&gt;17&lt;/sup&gt;"},"properties":{"noteIndex":0},"schema":"https://github.com/citation-style-language/schema/raw/master/csl-citation.json"}</w:instrText>
      </w:r>
      <w:r w:rsidR="00F408A9">
        <w:fldChar w:fldCharType="separate"/>
      </w:r>
      <w:r w:rsidR="00F408A9" w:rsidRPr="00F408A9">
        <w:rPr>
          <w:noProof/>
          <w:vertAlign w:val="superscript"/>
        </w:rPr>
        <w:t>17</w:t>
      </w:r>
      <w:r w:rsidR="00F408A9">
        <w:fldChar w:fldCharType="end"/>
      </w:r>
      <w:r>
        <w:t xml:space="preserve"> The study focused on adult participants residing in an urban and peri-urban setting.</w:t>
      </w:r>
    </w:p>
    <w:p w14:paraId="5A22F4AD" w14:textId="77777777" w:rsidR="00275EC2" w:rsidRDefault="00275EC2" w:rsidP="00F95B57">
      <w:pPr>
        <w:pStyle w:val="Heading3"/>
        <w:jc w:val="both"/>
      </w:pPr>
      <w:r>
        <w:t>Study Population and Sampling</w:t>
      </w:r>
    </w:p>
    <w:p w14:paraId="0A1168E4" w14:textId="5F9E2AF1" w:rsidR="00275EC2" w:rsidRDefault="00275EC2" w:rsidP="00F95B57">
      <w:pPr>
        <w:pStyle w:val="NormalWeb"/>
        <w:jc w:val="both"/>
      </w:pPr>
      <w:r>
        <w:t>The study population included adults aged 18 years and above who voluntarily participated in a community-based screening program. Participants were recruited through a combination of convenience and purposive sampling, targeting individuals attending a World Diabetes Day health awareness program</w:t>
      </w:r>
      <w:r w:rsidR="009A5591">
        <w:t xml:space="preserve"> organised by the Diabetes Association of Nigeria, </w:t>
      </w:r>
      <w:proofErr w:type="gramStart"/>
      <w:r w:rsidR="009A5591">
        <w:t>Rivers</w:t>
      </w:r>
      <w:proofErr w:type="gramEnd"/>
      <w:r w:rsidR="009A5591">
        <w:t xml:space="preserve"> state chapter in conjunction with the Mile one market association</w:t>
      </w:r>
      <w:r w:rsidR="00817639">
        <w:t xml:space="preserve"> at Mile One Market, in Port Harcourt, Rivers State, Nigeria</w:t>
      </w:r>
      <w:r>
        <w:t xml:space="preserve">. Inclusion criteria were age ≥18 years, consent to participate, and willingness to undergo </w:t>
      </w:r>
      <w:r w:rsidR="008B23D4">
        <w:t>blood glucose</w:t>
      </w:r>
      <w:r>
        <w:t xml:space="preserve"> and cardiovascular assessments. Exclusion criteria included individuals with diagnosed chronic illnesses unrelated to diabetes and those on medications known to influence glucose metabolism.</w:t>
      </w:r>
      <w:r w:rsidR="00762AB2">
        <w:fldChar w:fldCharType="begin" w:fldLock="1"/>
      </w:r>
      <w:r w:rsidR="00762AB2">
        <w:instrText>ADDIN CSL_CITATION {"citationItems":[{"id":"ITEM-1","itemData":{"author":[{"dropping-particle":"","family":"Association","given":"American Diabetes","non-dropping-particle":"","parse-names":false,"suffix":""},{"dropping-particle":"","family":"Committee","given":"Professional Practice","non-dropping-particle":"","parse-names":false,"suffix":""}],"container-title":"Diabetes Care","id":"ITEM-1","issue":"Suppl","issued":{"date-parts":[["2022"]]},"page":"517-38","title":"Classification and diagnosis of diabetes : standards of medical care in diabetes — 2022","type":"article-journal","volume":"45"},"uris":["http://www.mendeley.com/documents/?uuid=669faf54-d17f-4ff6-adad-17d3392f1e3a"]}],"mendeley":{"formattedCitation":"&lt;sup&gt;18&lt;/sup&gt;","plainTextFormattedCitation":"18","previouslyFormattedCitation":"&lt;sup&gt;18&lt;/sup&gt;"},"properties":{"noteIndex":0},"schema":"https://github.com/citation-style-language/schema/raw/master/csl-citation.json"}</w:instrText>
      </w:r>
      <w:r w:rsidR="00762AB2">
        <w:fldChar w:fldCharType="separate"/>
      </w:r>
      <w:r w:rsidR="00762AB2" w:rsidRPr="00762AB2">
        <w:rPr>
          <w:noProof/>
          <w:vertAlign w:val="superscript"/>
        </w:rPr>
        <w:t>18</w:t>
      </w:r>
      <w:r w:rsidR="00762AB2">
        <w:fldChar w:fldCharType="end"/>
      </w:r>
      <w:r w:rsidR="00F408A9">
        <w:t xml:space="preserve"> </w:t>
      </w:r>
    </w:p>
    <w:p w14:paraId="58F1B6B6" w14:textId="77777777" w:rsidR="00275EC2" w:rsidRDefault="00275EC2" w:rsidP="00F95B57">
      <w:pPr>
        <w:pStyle w:val="Heading3"/>
        <w:jc w:val="both"/>
      </w:pPr>
      <w:r>
        <w:t>Data Collection Procedures</w:t>
      </w:r>
    </w:p>
    <w:p w14:paraId="4BFB53AF" w14:textId="413ADEC8" w:rsidR="00275EC2" w:rsidRDefault="00275EC2" w:rsidP="00F95B57">
      <w:pPr>
        <w:pStyle w:val="NormalWeb"/>
        <w:jc w:val="both"/>
      </w:pPr>
      <w:r>
        <w:t xml:space="preserve">Data collection involved structured questionnaires, anthropometric measurements, and biochemical assessments. Participants completed a standardized questionnaire that collected demographic details (age, sex, occupation, residence, and alcohol consumption habits). Anthropometric indices included body mass index (BMI), waist-to-hip ratio, and blood </w:t>
      </w:r>
      <w:r w:rsidR="009A5591">
        <w:t>pressure;</w:t>
      </w:r>
      <w:r>
        <w:t xml:space="preserve"> measured using standardized protocols.</w:t>
      </w:r>
      <w:r w:rsidR="00762AB2">
        <w:fldChar w:fldCharType="begin" w:fldLock="1"/>
      </w:r>
      <w:r w:rsidR="00762AB2">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iljana","given":"Zafirova","non-dropping-particle":"","parse-names":false,"suffix":""},{"dropping-particle":"","family":"Julija","given":"Zhivadinovik","non-dropping-particle":"","parse-names":false,"suffix":""},{"dropping-particle":"","family":"Niki","given":"Matveeva","non-dropping-particle":"","parse-names":false,"suffix":""},{"dropping-particle":"","family":"Trpkovska Biljana, Chadikovska Elizabeta","given":"Bojadgieva Biljana","non-dropping-particle":"","parse-names":false,"suffix":""},{"dropping-particle":"","family":"Ace","given":"Dodevski","non-dropping-particle":"","parse-names":false,"suffix":""}],"container-title":"Acad Med J","id":"ITEM-1","issue":"1","issued":{"date-parts":[["2021"]]},"page":"63-71","title":"Waist Circumference, Waist-To-Hip Ratio Cut-Off Points To Predict Obesity and Metabolic Syndrome Among Student Population in Skopje, North Macedonia","type":"article-journal","volume":"1"},"uris":["http://www.mendeley.com/documents/?uuid=20589c44-46fe-4943-9783-15c5a1c096e5"]}],"mendeley":{"formattedCitation":"&lt;sup&gt;19&lt;/sup&gt;","plainTextFormattedCitation":"19","previouslyFormattedCitation":"&lt;sup&gt;19&lt;/sup&gt;"},"properties":{"noteIndex":0},"schema":"https://github.com/citation-style-language/schema/raw/master/csl-citation.json"}</w:instrText>
      </w:r>
      <w:r w:rsidR="00762AB2">
        <w:fldChar w:fldCharType="separate"/>
      </w:r>
      <w:r w:rsidR="00762AB2" w:rsidRPr="00762AB2">
        <w:rPr>
          <w:noProof/>
          <w:vertAlign w:val="superscript"/>
        </w:rPr>
        <w:t>19</w:t>
      </w:r>
      <w:r w:rsidR="00762AB2">
        <w:fldChar w:fldCharType="end"/>
      </w:r>
      <w:r>
        <w:t xml:space="preserve"> Biochemical assessments included fasting blood glucose (</w:t>
      </w:r>
      <w:r w:rsidR="00D05FC3">
        <w:t>FBG</w:t>
      </w:r>
      <w:r>
        <w:t>) and random blood glucose (</w:t>
      </w:r>
      <w:r w:rsidR="00D05FC3">
        <w:t>RBG</w:t>
      </w:r>
      <w:r>
        <w:t>), measured using a glucometer calibrated according to manufacturer guidelines.</w:t>
      </w:r>
    </w:p>
    <w:p w14:paraId="03C64C2D" w14:textId="77777777" w:rsidR="00275EC2" w:rsidRDefault="00275EC2" w:rsidP="00F95B57">
      <w:pPr>
        <w:pStyle w:val="Heading3"/>
        <w:jc w:val="both"/>
      </w:pPr>
      <w:r>
        <w:t>Ethical Considerations</w:t>
      </w:r>
    </w:p>
    <w:p w14:paraId="69650787" w14:textId="4AA87217" w:rsidR="00275EC2" w:rsidRDefault="00275EC2" w:rsidP="00F95B57">
      <w:pPr>
        <w:pStyle w:val="NormalWeb"/>
        <w:jc w:val="both"/>
      </w:pPr>
      <w:r>
        <w:t>Ethical approval was obtained from an institutional review board (IRB), and all participants provided written informed consent before participation. Confidentiality and anonymity of participants were maintained throughout the study in accordance with ethical guidelines for human research.</w:t>
      </w:r>
      <w:r w:rsidR="00762AB2">
        <w:fldChar w:fldCharType="begin" w:fldLock="1"/>
      </w:r>
      <w:r w:rsidR="00762AB2">
        <w:instrText>ADDIN CSL_CITATION {"citationItems":[{"id":"ITEM-1","itemData":{"DOI":"10.1001/jama.2024.21972","ISSN":"0098-7484","author":[{"dropping-particle":"","family":"World","given":"Medical Association (WMA)","non-dropping-particle":"","parse-names":false,"suffix":""}],"container-title":"JAMA","id":"ITEM-1","issue":"1","issued":{"date-parts":[["2025"]]},"page":"71","publisher":"American Medical Association (AMA)","title":"World Medical Association Declaration of Helsinki","type":"article-journal","volume":"333"},"uris":["http://www.mendeley.com/documents/?uuid=873550e5-078d-453e-8d8f-584c808f1f9f"]}],"mendeley":{"formattedCitation":"&lt;sup&gt;20&lt;/sup&gt;","plainTextFormattedCitation":"20","previouslyFormattedCitation":"&lt;sup&gt;20&lt;/sup&gt;"},"properties":{"noteIndex":0},"schema":"https://github.com/citation-style-language/schema/raw/master/csl-citation.json"}</w:instrText>
      </w:r>
      <w:r w:rsidR="00762AB2">
        <w:fldChar w:fldCharType="separate"/>
      </w:r>
      <w:r w:rsidR="00762AB2" w:rsidRPr="00762AB2">
        <w:rPr>
          <w:noProof/>
          <w:vertAlign w:val="superscript"/>
        </w:rPr>
        <w:t>20</w:t>
      </w:r>
      <w:r w:rsidR="00762AB2">
        <w:fldChar w:fldCharType="end"/>
      </w:r>
      <w:r w:rsidR="00762AB2">
        <w:t xml:space="preserve"> </w:t>
      </w:r>
    </w:p>
    <w:p w14:paraId="71B36FB9" w14:textId="77777777" w:rsidR="00275EC2" w:rsidRDefault="00275EC2" w:rsidP="00F95B57">
      <w:pPr>
        <w:pStyle w:val="Heading3"/>
        <w:jc w:val="both"/>
      </w:pPr>
      <w:r>
        <w:t>Statistical Analysis</w:t>
      </w:r>
    </w:p>
    <w:p w14:paraId="0BD207B1" w14:textId="61690582" w:rsidR="00275EC2" w:rsidRDefault="00275EC2" w:rsidP="00F95B57">
      <w:pPr>
        <w:pStyle w:val="NormalWeb"/>
        <w:jc w:val="both"/>
      </w:pPr>
      <w:r>
        <w:t xml:space="preserve">Data were </w:t>
      </w:r>
      <w:proofErr w:type="spellStart"/>
      <w:r>
        <w:t>analyzed</w:t>
      </w:r>
      <w:proofErr w:type="spellEnd"/>
      <w:r>
        <w:t xml:space="preserve"> using SPSS version 25.0. Descriptive statistics (means, standard deviations, and percentages) were computed for continuous and categorical variables. Pearson correlation analysis assessed relationships between </w:t>
      </w:r>
      <w:r w:rsidR="008B23D4">
        <w:t>blood glucose</w:t>
      </w:r>
      <w:r>
        <w:t xml:space="preserve"> and cardiovascular parameters. Logistic regression models were used to determine predictors of diabetes risk, with significance set at p &lt; 0.05.</w:t>
      </w:r>
      <w:r w:rsidR="00762AB2">
        <w:fldChar w:fldCharType="begin" w:fldLock="1"/>
      </w:r>
      <w:r w:rsidR="00762AB2">
        <w:instrText>ADDIN CSL_CITATION {"citationItems":[{"id":"ITEM-1","itemData":{"DOI":"10.1024/1012-5302/a000397","ISSN":"1012-5302","author":[{"dropping-particle":"","family":"Field","given":"A","non-dropping-particle":"","parse-names":false,"suffix":""}],"container-title":"Sage","id":"ITEM-1","issue":"6","issued":{"date-parts":[["2018"]]},"page":"430","publisher":"Hogrefe Publishing Group","title":"Discovering Statistics Using IBM SPSS Statistics. And Sex and Drugs and Rock'n'Roll","type":"article-journal","volume":"27"},"uris":["http://www.mendeley.com/documents/?uuid=1f39ea2a-fb92-412e-8daf-62fa5d87b89f"]}],"mendeley":{"formattedCitation":"&lt;sup&gt;21&lt;/sup&gt;","plainTextFormattedCitation":"21","previouslyFormattedCitation":"&lt;sup&gt;21&lt;/sup&gt;"},"properties":{"noteIndex":0},"schema":"https://github.com/citation-style-language/schema/raw/master/csl-citation.json"}</w:instrText>
      </w:r>
      <w:r w:rsidR="00762AB2">
        <w:fldChar w:fldCharType="separate"/>
      </w:r>
      <w:r w:rsidR="00762AB2" w:rsidRPr="00762AB2">
        <w:rPr>
          <w:noProof/>
          <w:vertAlign w:val="superscript"/>
        </w:rPr>
        <w:t>21</w:t>
      </w:r>
      <w:r w:rsidR="00762AB2">
        <w:fldChar w:fldCharType="end"/>
      </w:r>
      <w:r w:rsidR="00762AB2">
        <w:t xml:space="preserve"> </w:t>
      </w:r>
    </w:p>
    <w:p w14:paraId="41D9AF2D" w14:textId="77777777" w:rsidR="00976A56" w:rsidRDefault="00275EC2" w:rsidP="00F95B57">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Results</w:t>
      </w:r>
    </w:p>
    <w:p w14:paraId="5722171B" w14:textId="77777777" w:rsidR="000A7584" w:rsidRPr="000A7584" w:rsidRDefault="000A7584"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A7584">
        <w:rPr>
          <w:rFonts w:ascii="Times New Roman" w:eastAsia="Times New Roman" w:hAnsi="Times New Roman" w:cs="Times New Roman"/>
          <w:b/>
          <w:bCs/>
          <w:sz w:val="24"/>
          <w:szCs w:val="24"/>
          <w:lang w:eastAsia="en-GB"/>
        </w:rPr>
        <w:t>Table 1: Distribution of Blood Glucose Categories by Demographic and Lifestyle Factors</w:t>
      </w:r>
    </w:p>
    <w:p w14:paraId="51DD5BC5" w14:textId="4514EA5F" w:rsidR="000A7584" w:rsidRPr="00541CA9" w:rsidRDefault="00BE5284"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was a total of 95 study participants with a male to female ratio of 0.9:1. </w:t>
      </w:r>
      <w:r w:rsidR="000A7584" w:rsidRPr="000A7584">
        <w:rPr>
          <w:rFonts w:ascii="Times New Roman" w:eastAsia="Times New Roman" w:hAnsi="Times New Roman" w:cs="Times New Roman"/>
          <w:sz w:val="24"/>
          <w:szCs w:val="24"/>
          <w:lang w:eastAsia="en-GB"/>
        </w:rPr>
        <w:t xml:space="preserve">This table presents the distribution of individuals based on their fasting blood glucose (FBG) and/or </w:t>
      </w:r>
      <w:r w:rsidR="000A7584">
        <w:rPr>
          <w:rFonts w:ascii="Times New Roman" w:eastAsia="Times New Roman" w:hAnsi="Times New Roman" w:cs="Times New Roman"/>
          <w:sz w:val="24"/>
          <w:szCs w:val="24"/>
          <w:lang w:eastAsia="en-GB"/>
        </w:rPr>
        <w:t>Random Blood</w:t>
      </w:r>
      <w:r w:rsidR="000A7584" w:rsidRPr="000A7584">
        <w:rPr>
          <w:rFonts w:ascii="Times New Roman" w:eastAsia="Times New Roman" w:hAnsi="Times New Roman" w:cs="Times New Roman"/>
          <w:sz w:val="24"/>
          <w:szCs w:val="24"/>
          <w:lang w:eastAsia="en-GB"/>
        </w:rPr>
        <w:t xml:space="preserve"> glucose (</w:t>
      </w:r>
      <w:r w:rsidR="000A7584">
        <w:rPr>
          <w:rFonts w:ascii="Times New Roman" w:eastAsia="Times New Roman" w:hAnsi="Times New Roman" w:cs="Times New Roman"/>
          <w:sz w:val="24"/>
          <w:szCs w:val="24"/>
          <w:lang w:eastAsia="en-GB"/>
        </w:rPr>
        <w:t>RB</w:t>
      </w:r>
      <w:r w:rsidR="000A7584" w:rsidRPr="000A7584">
        <w:rPr>
          <w:rFonts w:ascii="Times New Roman" w:eastAsia="Times New Roman" w:hAnsi="Times New Roman" w:cs="Times New Roman"/>
          <w:sz w:val="24"/>
          <w:szCs w:val="24"/>
          <w:lang w:eastAsia="en-GB"/>
        </w:rPr>
        <w:t xml:space="preserve">G) levels. The table categorizes participants into </w:t>
      </w:r>
      <w:r w:rsidR="000A7584" w:rsidRPr="00541CA9">
        <w:rPr>
          <w:rFonts w:ascii="Times New Roman" w:eastAsia="Times New Roman" w:hAnsi="Times New Roman" w:cs="Times New Roman"/>
          <w:sz w:val="24"/>
          <w:szCs w:val="24"/>
          <w:lang w:eastAsia="en-GB"/>
        </w:rPr>
        <w:t>Normal, Pre-Diabetes, and Diabetes groups, and examines their distribution with sex, age, occupation, residence, alcohol consumption, and body mass index (BMI). The chi-square (</w:t>
      </w:r>
      <w:r w:rsidR="000A7584" w:rsidRPr="00541CA9">
        <w:rPr>
          <w:rFonts w:ascii="Times New Roman" w:eastAsia="Times New Roman" w:hAnsi="Times New Roman" w:cs="Times New Roman"/>
          <w:i/>
          <w:sz w:val="24"/>
          <w:szCs w:val="24"/>
          <w:lang w:eastAsia="en-GB"/>
        </w:rPr>
        <w:t>χ</w:t>
      </w:r>
      <w:r w:rsidR="000A7584" w:rsidRPr="00541CA9">
        <w:rPr>
          <w:rFonts w:ascii="Times New Roman" w:eastAsia="Times New Roman" w:hAnsi="Times New Roman" w:cs="Times New Roman"/>
          <w:sz w:val="24"/>
          <w:szCs w:val="24"/>
          <w:lang w:eastAsia="en-GB"/>
        </w:rPr>
        <w:t>²) values and corresponding p-values assess the statistical significance of these associations.</w:t>
      </w:r>
    </w:p>
    <w:p w14:paraId="52296BCC" w14:textId="02B12C07" w:rsidR="000A7584" w:rsidRPr="00EA40A8" w:rsidRDefault="000A7584" w:rsidP="00EA40A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A40A8">
        <w:rPr>
          <w:rFonts w:ascii="Times New Roman" w:eastAsia="Times New Roman" w:hAnsi="Times New Roman" w:cs="Times New Roman"/>
          <w:sz w:val="24"/>
          <w:szCs w:val="24"/>
          <w:lang w:eastAsia="en-GB"/>
        </w:rPr>
        <w:lastRenderedPageBreak/>
        <w:t xml:space="preserve">Age </w:t>
      </w:r>
      <w:r w:rsidR="00EA40A8" w:rsidRPr="00EA40A8">
        <w:rPr>
          <w:rFonts w:ascii="Times New Roman" w:eastAsia="Times New Roman" w:hAnsi="Times New Roman" w:cs="Times New Roman"/>
          <w:sz w:val="24"/>
          <w:szCs w:val="24"/>
          <w:lang w:eastAsia="en-GB"/>
        </w:rPr>
        <w:t>wa</w:t>
      </w:r>
      <w:r w:rsidRPr="00EA40A8">
        <w:rPr>
          <w:rFonts w:ascii="Times New Roman" w:eastAsia="Times New Roman" w:hAnsi="Times New Roman" w:cs="Times New Roman"/>
          <w:sz w:val="24"/>
          <w:szCs w:val="24"/>
          <w:lang w:eastAsia="en-GB"/>
        </w:rPr>
        <w:t>s significantly associated with diabetes risk (p = 0.007). A higher percentage of individuals aged 41-60 years and &gt;60 years were in the pre-diabetes and diabetes groups.</w:t>
      </w:r>
      <w:r w:rsidR="00EA40A8">
        <w:rPr>
          <w:rFonts w:ascii="Times New Roman" w:eastAsia="Times New Roman" w:hAnsi="Times New Roman" w:cs="Times New Roman"/>
          <w:sz w:val="24"/>
          <w:szCs w:val="24"/>
          <w:lang w:eastAsia="en-GB"/>
        </w:rPr>
        <w:t xml:space="preserve"> </w:t>
      </w:r>
      <w:r w:rsidRPr="00EA40A8">
        <w:rPr>
          <w:rFonts w:ascii="Times New Roman" w:eastAsia="Times New Roman" w:hAnsi="Times New Roman" w:cs="Times New Roman"/>
          <w:sz w:val="24"/>
          <w:szCs w:val="24"/>
          <w:lang w:eastAsia="en-GB"/>
        </w:rPr>
        <w:t>Sex, occupation, residence, alcohol consumption, and BMI were not significantly associated with diabetes risk (p &gt; 0.05).</w:t>
      </w:r>
      <w:r w:rsidR="00EA40A8">
        <w:rPr>
          <w:rFonts w:ascii="Times New Roman" w:eastAsia="Times New Roman" w:hAnsi="Times New Roman" w:cs="Times New Roman"/>
          <w:sz w:val="24"/>
          <w:szCs w:val="24"/>
          <w:lang w:eastAsia="en-GB"/>
        </w:rPr>
        <w:t xml:space="preserve"> </w:t>
      </w:r>
      <w:r w:rsidRPr="00EA40A8">
        <w:rPr>
          <w:rFonts w:ascii="Times New Roman" w:eastAsia="Times New Roman" w:hAnsi="Times New Roman" w:cs="Times New Roman"/>
          <w:sz w:val="24"/>
          <w:szCs w:val="24"/>
          <w:lang w:eastAsia="en-GB"/>
        </w:rPr>
        <w:t>Most participants in all glucose categories were traders (90.5% in normal and diabetes groups), suggesting limited variability in occupational distribution.</w:t>
      </w:r>
    </w:p>
    <w:p w14:paraId="1A1952D2" w14:textId="77777777" w:rsidR="000A7584" w:rsidRPr="000A7584" w:rsidRDefault="000A7584"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A7584">
        <w:rPr>
          <w:rFonts w:ascii="Times New Roman" w:eastAsia="Times New Roman" w:hAnsi="Times New Roman" w:cs="Times New Roman"/>
          <w:sz w:val="24"/>
          <w:szCs w:val="24"/>
          <w:lang w:eastAsia="en-GB"/>
        </w:rPr>
        <w:t>This table provides insight into the demographic and lifestyle characteristics associated with glucose regulation, highlighting the role of age in diabetes risk.</w:t>
      </w:r>
    </w:p>
    <w:tbl>
      <w:tblPr>
        <w:tblStyle w:val="TableGrid"/>
        <w:tblW w:w="9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203"/>
        <w:gridCol w:w="1774"/>
        <w:gridCol w:w="1701"/>
        <w:gridCol w:w="1134"/>
        <w:gridCol w:w="709"/>
        <w:gridCol w:w="992"/>
      </w:tblGrid>
      <w:tr w:rsidR="000A7584" w:rsidRPr="000A7584" w14:paraId="4796D218" w14:textId="77777777" w:rsidTr="005A48A3">
        <w:trPr>
          <w:trHeight w:val="899"/>
          <w:jc w:val="center"/>
        </w:trPr>
        <w:tc>
          <w:tcPr>
            <w:tcW w:w="1639" w:type="dxa"/>
            <w:tcBorders>
              <w:top w:val="single" w:sz="4" w:space="0" w:color="auto"/>
              <w:bottom w:val="single" w:sz="4" w:space="0" w:color="auto"/>
            </w:tcBorders>
          </w:tcPr>
          <w:p w14:paraId="588AF05E" w14:textId="77777777" w:rsidR="00FC1228" w:rsidRPr="000A7584" w:rsidRDefault="00FC1228">
            <w:pPr>
              <w:rPr>
                <w:b/>
                <w:sz w:val="16"/>
              </w:rPr>
            </w:pPr>
          </w:p>
        </w:tc>
        <w:tc>
          <w:tcPr>
            <w:tcW w:w="1203" w:type="dxa"/>
            <w:tcBorders>
              <w:top w:val="single" w:sz="4" w:space="0" w:color="auto"/>
              <w:bottom w:val="single" w:sz="4" w:space="0" w:color="auto"/>
            </w:tcBorders>
            <w:vAlign w:val="bottom"/>
          </w:tcPr>
          <w:p w14:paraId="65343B2F" w14:textId="77777777" w:rsidR="00FC1228" w:rsidRPr="000A7584" w:rsidRDefault="00FC1228" w:rsidP="0004039B">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 xml:space="preserve">NORMAL </w:t>
            </w:r>
          </w:p>
          <w:p w14:paraId="1FCF6FA4" w14:textId="77777777" w:rsidR="000A7584" w:rsidRPr="000A7584" w:rsidRDefault="00FC1228" w:rsidP="000A7584">
            <w:pPr>
              <w:autoSpaceDE w:val="0"/>
              <w:autoSpaceDN w:val="0"/>
              <w:adjustRightInd w:val="0"/>
              <w:spacing w:line="320" w:lineRule="atLeast"/>
              <w:ind w:left="60" w:right="60"/>
              <w:rPr>
                <w:rFonts w:ascii="Arial" w:hAnsi="Arial" w:cs="Arial"/>
                <w:b/>
                <w:sz w:val="16"/>
                <w:szCs w:val="18"/>
              </w:rPr>
            </w:pPr>
            <w:r w:rsidRPr="000A7584">
              <w:rPr>
                <w:rFonts w:ascii="Arial" w:hAnsi="Arial" w:cs="Arial"/>
                <w:b/>
                <w:sz w:val="16"/>
                <w:szCs w:val="18"/>
              </w:rPr>
              <w:t>[</w:t>
            </w:r>
            <w:r w:rsidR="000A7584" w:rsidRPr="000A7584">
              <w:rPr>
                <w:rFonts w:ascii="Arial" w:hAnsi="Arial" w:cs="Arial"/>
                <w:b/>
                <w:sz w:val="16"/>
                <w:szCs w:val="18"/>
              </w:rPr>
              <w:t xml:space="preserve">FBG 4.0-6.0 mmol/L </w:t>
            </w:r>
          </w:p>
          <w:p w14:paraId="73FA99D4" w14:textId="77777777" w:rsidR="00FC1228" w:rsidRPr="000A7584" w:rsidRDefault="000A7584" w:rsidP="000A7584">
            <w:pPr>
              <w:autoSpaceDE w:val="0"/>
              <w:autoSpaceDN w:val="0"/>
              <w:adjustRightInd w:val="0"/>
              <w:spacing w:line="320" w:lineRule="atLeast"/>
              <w:ind w:left="60" w:right="60"/>
              <w:rPr>
                <w:rFonts w:ascii="Arial" w:hAnsi="Arial" w:cs="Arial"/>
                <w:b/>
                <w:sz w:val="16"/>
                <w:szCs w:val="18"/>
              </w:rPr>
            </w:pPr>
            <w:r w:rsidRPr="000A7584">
              <w:rPr>
                <w:rFonts w:ascii="Arial" w:hAnsi="Arial" w:cs="Arial"/>
                <w:b/>
                <w:sz w:val="16"/>
                <w:szCs w:val="18"/>
              </w:rPr>
              <w:t xml:space="preserve">RBG </w:t>
            </w:r>
            <w:r w:rsidR="00FC1228" w:rsidRPr="000A7584">
              <w:rPr>
                <w:rFonts w:ascii="Arial" w:hAnsi="Arial" w:cs="Arial"/>
                <w:b/>
                <w:sz w:val="16"/>
                <w:szCs w:val="18"/>
              </w:rPr>
              <w:t xml:space="preserve">&lt;7.8 </w:t>
            </w:r>
            <w:r w:rsidRPr="000A7584">
              <w:rPr>
                <w:rFonts w:ascii="Arial" w:hAnsi="Arial" w:cs="Arial"/>
                <w:b/>
                <w:sz w:val="16"/>
                <w:szCs w:val="18"/>
              </w:rPr>
              <w:t>mmol/L</w:t>
            </w:r>
            <w:r w:rsidR="00FC1228" w:rsidRPr="000A7584">
              <w:rPr>
                <w:rFonts w:ascii="Arial" w:hAnsi="Arial" w:cs="Arial"/>
                <w:b/>
                <w:sz w:val="16"/>
                <w:szCs w:val="18"/>
              </w:rPr>
              <w:t>]</w:t>
            </w:r>
          </w:p>
        </w:tc>
        <w:tc>
          <w:tcPr>
            <w:tcW w:w="1774" w:type="dxa"/>
            <w:tcBorders>
              <w:top w:val="single" w:sz="4" w:space="0" w:color="auto"/>
              <w:bottom w:val="single" w:sz="4" w:space="0" w:color="auto"/>
            </w:tcBorders>
            <w:vAlign w:val="bottom"/>
          </w:tcPr>
          <w:p w14:paraId="6FEC3D25" w14:textId="77777777" w:rsidR="00FC1228" w:rsidRPr="000A7584" w:rsidRDefault="00FC1228" w:rsidP="0004039B">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 xml:space="preserve">PRE-DIABETES </w:t>
            </w:r>
          </w:p>
          <w:p w14:paraId="54F29A45" w14:textId="77777777" w:rsidR="000A7584" w:rsidRPr="000A7584" w:rsidRDefault="00FC1228" w:rsidP="0004039B">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w:t>
            </w:r>
            <w:r w:rsidR="000A7584" w:rsidRPr="000A7584">
              <w:rPr>
                <w:rFonts w:ascii="Arial" w:hAnsi="Arial" w:cs="Arial"/>
                <w:b/>
                <w:sz w:val="16"/>
                <w:szCs w:val="18"/>
              </w:rPr>
              <w:t xml:space="preserve">FBG </w:t>
            </w:r>
            <w:r w:rsidRPr="000A7584">
              <w:rPr>
                <w:rFonts w:ascii="Arial" w:hAnsi="Arial" w:cs="Arial"/>
                <w:b/>
                <w:sz w:val="16"/>
                <w:szCs w:val="18"/>
              </w:rPr>
              <w:t>6.1-6.9</w:t>
            </w:r>
            <w:r w:rsidR="000A7584" w:rsidRPr="000A7584">
              <w:rPr>
                <w:rFonts w:ascii="Arial" w:hAnsi="Arial" w:cs="Arial"/>
                <w:b/>
                <w:sz w:val="16"/>
                <w:szCs w:val="18"/>
              </w:rPr>
              <w:t xml:space="preserve"> mmol/L</w:t>
            </w:r>
            <w:r w:rsidRPr="000A7584">
              <w:rPr>
                <w:rFonts w:ascii="Arial" w:hAnsi="Arial" w:cs="Arial"/>
                <w:b/>
                <w:sz w:val="16"/>
                <w:szCs w:val="18"/>
              </w:rPr>
              <w:t xml:space="preserve"> </w:t>
            </w:r>
          </w:p>
          <w:p w14:paraId="7A151D35" w14:textId="77777777" w:rsidR="00FC1228" w:rsidRPr="000A7584" w:rsidRDefault="000A7584" w:rsidP="000A7584">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 xml:space="preserve">RBG </w:t>
            </w:r>
            <w:r w:rsidR="00FC1228" w:rsidRPr="000A7584">
              <w:rPr>
                <w:rFonts w:ascii="Arial" w:hAnsi="Arial" w:cs="Arial"/>
                <w:b/>
                <w:sz w:val="16"/>
                <w:szCs w:val="18"/>
              </w:rPr>
              <w:t xml:space="preserve">7.8-11.1 </w:t>
            </w:r>
            <w:r w:rsidRPr="000A7584">
              <w:rPr>
                <w:rFonts w:ascii="Arial" w:hAnsi="Arial" w:cs="Arial"/>
                <w:b/>
                <w:sz w:val="16"/>
                <w:szCs w:val="18"/>
              </w:rPr>
              <w:t>mmol/L</w:t>
            </w:r>
            <w:r w:rsidR="00FC1228" w:rsidRPr="000A7584">
              <w:rPr>
                <w:rFonts w:ascii="Arial" w:hAnsi="Arial" w:cs="Arial"/>
                <w:b/>
                <w:sz w:val="16"/>
                <w:szCs w:val="18"/>
              </w:rPr>
              <w:t>]</w:t>
            </w:r>
          </w:p>
        </w:tc>
        <w:tc>
          <w:tcPr>
            <w:tcW w:w="1701" w:type="dxa"/>
            <w:tcBorders>
              <w:top w:val="single" w:sz="4" w:space="0" w:color="auto"/>
              <w:bottom w:val="single" w:sz="4" w:space="0" w:color="auto"/>
            </w:tcBorders>
            <w:vAlign w:val="bottom"/>
          </w:tcPr>
          <w:p w14:paraId="170E79C9" w14:textId="77777777" w:rsidR="00FC1228" w:rsidRPr="000A7584" w:rsidRDefault="00FC1228" w:rsidP="0004039B">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 xml:space="preserve">DIABETES </w:t>
            </w:r>
          </w:p>
          <w:p w14:paraId="2162CD7E" w14:textId="77777777" w:rsidR="000A7584" w:rsidRPr="000A7584" w:rsidRDefault="00FC1228" w:rsidP="0004039B">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w:t>
            </w:r>
            <w:r w:rsidR="000A7584" w:rsidRPr="000A7584">
              <w:rPr>
                <w:rFonts w:ascii="Arial" w:hAnsi="Arial" w:cs="Arial"/>
                <w:b/>
                <w:sz w:val="16"/>
                <w:szCs w:val="18"/>
              </w:rPr>
              <w:t xml:space="preserve">FBG </w:t>
            </w:r>
            <w:r w:rsidRPr="000A7584">
              <w:rPr>
                <w:rFonts w:ascii="Arial" w:hAnsi="Arial" w:cs="Arial"/>
                <w:b/>
                <w:sz w:val="16"/>
                <w:szCs w:val="18"/>
              </w:rPr>
              <w:t>&gt;7.0</w:t>
            </w:r>
            <w:r w:rsidR="000A7584" w:rsidRPr="000A7584">
              <w:rPr>
                <w:rFonts w:ascii="Arial" w:hAnsi="Arial" w:cs="Arial"/>
                <w:b/>
                <w:sz w:val="16"/>
                <w:szCs w:val="18"/>
              </w:rPr>
              <w:t xml:space="preserve"> mmol/L</w:t>
            </w:r>
          </w:p>
          <w:p w14:paraId="66721A76" w14:textId="77777777" w:rsidR="00FC1228" w:rsidRPr="000A7584" w:rsidRDefault="00FC1228" w:rsidP="000A7584">
            <w:pPr>
              <w:autoSpaceDE w:val="0"/>
              <w:autoSpaceDN w:val="0"/>
              <w:adjustRightInd w:val="0"/>
              <w:spacing w:line="320" w:lineRule="atLeast"/>
              <w:ind w:left="60" w:right="60"/>
              <w:jc w:val="center"/>
              <w:rPr>
                <w:rFonts w:ascii="Arial" w:hAnsi="Arial" w:cs="Arial"/>
                <w:b/>
                <w:sz w:val="16"/>
                <w:szCs w:val="18"/>
              </w:rPr>
            </w:pPr>
            <w:r w:rsidRPr="000A7584">
              <w:rPr>
                <w:rFonts w:ascii="Arial" w:hAnsi="Arial" w:cs="Arial"/>
                <w:b/>
                <w:sz w:val="16"/>
                <w:szCs w:val="18"/>
              </w:rPr>
              <w:t xml:space="preserve"> </w:t>
            </w:r>
            <w:r w:rsidR="000A7584" w:rsidRPr="000A7584">
              <w:rPr>
                <w:rFonts w:ascii="Arial" w:hAnsi="Arial" w:cs="Arial"/>
                <w:b/>
                <w:sz w:val="16"/>
                <w:szCs w:val="18"/>
              </w:rPr>
              <w:t xml:space="preserve">RBG </w:t>
            </w:r>
            <w:r w:rsidRPr="000A7584">
              <w:rPr>
                <w:rFonts w:ascii="Arial" w:hAnsi="Arial" w:cs="Arial"/>
                <w:b/>
                <w:sz w:val="16"/>
                <w:szCs w:val="18"/>
              </w:rPr>
              <w:t>&gt;11.</w:t>
            </w:r>
            <w:r w:rsidR="000A7584" w:rsidRPr="000A7584">
              <w:rPr>
                <w:rFonts w:ascii="Arial" w:hAnsi="Arial" w:cs="Arial"/>
                <w:b/>
                <w:sz w:val="16"/>
                <w:szCs w:val="18"/>
              </w:rPr>
              <w:t>0 mmol</w:t>
            </w:r>
            <w:r w:rsidRPr="000A7584">
              <w:rPr>
                <w:rFonts w:ascii="Arial" w:hAnsi="Arial" w:cs="Arial"/>
                <w:b/>
                <w:sz w:val="16"/>
                <w:szCs w:val="18"/>
              </w:rPr>
              <w:t>/L]</w:t>
            </w:r>
          </w:p>
        </w:tc>
        <w:tc>
          <w:tcPr>
            <w:tcW w:w="1134" w:type="dxa"/>
            <w:tcBorders>
              <w:top w:val="single" w:sz="4" w:space="0" w:color="auto"/>
              <w:bottom w:val="single" w:sz="4" w:space="0" w:color="auto"/>
            </w:tcBorders>
          </w:tcPr>
          <w:p w14:paraId="426E09D8" w14:textId="77777777" w:rsidR="00FC1228" w:rsidRPr="000A7584" w:rsidRDefault="00FC1228">
            <w:pPr>
              <w:rPr>
                <w:b/>
                <w:sz w:val="16"/>
              </w:rPr>
            </w:pPr>
            <w:r w:rsidRPr="000A7584">
              <w:rPr>
                <w:b/>
                <w:sz w:val="16"/>
              </w:rPr>
              <w:t>total</w:t>
            </w:r>
          </w:p>
        </w:tc>
        <w:tc>
          <w:tcPr>
            <w:tcW w:w="709" w:type="dxa"/>
            <w:tcBorders>
              <w:top w:val="single" w:sz="4" w:space="0" w:color="auto"/>
              <w:bottom w:val="single" w:sz="4" w:space="0" w:color="auto"/>
            </w:tcBorders>
          </w:tcPr>
          <w:p w14:paraId="127C694E" w14:textId="77777777" w:rsidR="00FC1228" w:rsidRPr="000A7584" w:rsidRDefault="000A7584">
            <w:pPr>
              <w:rPr>
                <w:b/>
                <w:sz w:val="16"/>
              </w:rPr>
            </w:pPr>
            <w:r w:rsidRPr="000A7584">
              <w:rPr>
                <w:rFonts w:ascii="Times New Roman" w:eastAsia="Times New Roman" w:hAnsi="Times New Roman" w:cs="Times New Roman"/>
                <w:b/>
                <w:i/>
                <w:sz w:val="16"/>
                <w:szCs w:val="24"/>
                <w:lang w:eastAsia="en-GB"/>
              </w:rPr>
              <w:t>χ</w:t>
            </w:r>
            <w:r w:rsidRPr="000A7584">
              <w:rPr>
                <w:rFonts w:ascii="Times New Roman" w:eastAsia="Times New Roman" w:hAnsi="Times New Roman" w:cs="Times New Roman"/>
                <w:sz w:val="16"/>
                <w:szCs w:val="24"/>
                <w:lang w:eastAsia="en-GB"/>
              </w:rPr>
              <w:t>²</w:t>
            </w:r>
          </w:p>
        </w:tc>
        <w:tc>
          <w:tcPr>
            <w:tcW w:w="992" w:type="dxa"/>
            <w:tcBorders>
              <w:top w:val="single" w:sz="4" w:space="0" w:color="auto"/>
              <w:bottom w:val="single" w:sz="4" w:space="0" w:color="auto"/>
            </w:tcBorders>
          </w:tcPr>
          <w:p w14:paraId="49E093E7" w14:textId="77777777" w:rsidR="00FC1228" w:rsidRPr="000A7584" w:rsidRDefault="00FC1228">
            <w:pPr>
              <w:rPr>
                <w:b/>
                <w:sz w:val="16"/>
              </w:rPr>
            </w:pPr>
            <w:r w:rsidRPr="000A7584">
              <w:rPr>
                <w:b/>
                <w:sz w:val="16"/>
              </w:rPr>
              <w:t>p-value</w:t>
            </w:r>
          </w:p>
        </w:tc>
      </w:tr>
      <w:tr w:rsidR="000A7584" w:rsidRPr="000A7584" w14:paraId="6B83B5EF" w14:textId="77777777" w:rsidTr="005A48A3">
        <w:trPr>
          <w:trHeight w:val="445"/>
          <w:jc w:val="center"/>
        </w:trPr>
        <w:tc>
          <w:tcPr>
            <w:tcW w:w="1639" w:type="dxa"/>
            <w:tcBorders>
              <w:top w:val="single" w:sz="4" w:space="0" w:color="auto"/>
            </w:tcBorders>
          </w:tcPr>
          <w:p w14:paraId="0006C002" w14:textId="77777777" w:rsidR="00FC1228" w:rsidRPr="000A7584" w:rsidRDefault="00FC1228">
            <w:pPr>
              <w:rPr>
                <w:rFonts w:ascii="Arial" w:hAnsi="Arial" w:cs="Arial"/>
                <w:b/>
                <w:sz w:val="16"/>
                <w:szCs w:val="18"/>
              </w:rPr>
            </w:pPr>
            <w:r w:rsidRPr="000A7584">
              <w:rPr>
                <w:rFonts w:ascii="Arial" w:hAnsi="Arial" w:cs="Arial"/>
                <w:b/>
                <w:sz w:val="16"/>
                <w:szCs w:val="18"/>
              </w:rPr>
              <w:t>Sex</w:t>
            </w:r>
          </w:p>
          <w:p w14:paraId="1E00C5AD" w14:textId="77777777" w:rsidR="00FC1228" w:rsidRPr="000A7584" w:rsidRDefault="00FC1228" w:rsidP="00FC1228">
            <w:pPr>
              <w:pStyle w:val="ListParagraph"/>
              <w:ind w:left="284"/>
              <w:rPr>
                <w:sz w:val="16"/>
              </w:rPr>
            </w:pPr>
            <w:r w:rsidRPr="000A7584">
              <w:rPr>
                <w:rFonts w:ascii="Arial" w:hAnsi="Arial" w:cs="Arial"/>
                <w:sz w:val="16"/>
                <w:szCs w:val="18"/>
              </w:rPr>
              <w:t>Male</w:t>
            </w:r>
          </w:p>
          <w:p w14:paraId="1EAC3320" w14:textId="77777777" w:rsidR="00FC1228" w:rsidRPr="000A7584" w:rsidRDefault="00FC1228" w:rsidP="00FC1228">
            <w:pPr>
              <w:pStyle w:val="ListParagraph"/>
              <w:ind w:left="284"/>
              <w:rPr>
                <w:sz w:val="16"/>
              </w:rPr>
            </w:pPr>
            <w:r w:rsidRPr="000A7584">
              <w:rPr>
                <w:rFonts w:ascii="Arial" w:hAnsi="Arial" w:cs="Arial"/>
                <w:sz w:val="16"/>
                <w:szCs w:val="18"/>
              </w:rPr>
              <w:t xml:space="preserve">Female </w:t>
            </w:r>
          </w:p>
        </w:tc>
        <w:tc>
          <w:tcPr>
            <w:tcW w:w="1203" w:type="dxa"/>
            <w:tcBorders>
              <w:top w:val="single" w:sz="4" w:space="0" w:color="auto"/>
            </w:tcBorders>
          </w:tcPr>
          <w:p w14:paraId="4F32195B" w14:textId="77777777" w:rsidR="00FC1228" w:rsidRPr="000A7584" w:rsidRDefault="00FC1228">
            <w:pPr>
              <w:rPr>
                <w:sz w:val="16"/>
              </w:rPr>
            </w:pPr>
          </w:p>
          <w:p w14:paraId="5003A3E1"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41(48.8%)</w:t>
            </w:r>
          </w:p>
          <w:p w14:paraId="36B2D730" w14:textId="77777777" w:rsidR="00FC1228" w:rsidRPr="000A7584" w:rsidRDefault="00FC1228">
            <w:pPr>
              <w:rPr>
                <w:sz w:val="16"/>
              </w:rPr>
            </w:pPr>
            <w:r w:rsidRPr="000A7584">
              <w:rPr>
                <w:rFonts w:ascii="Arial" w:hAnsi="Arial" w:cs="Arial"/>
                <w:color w:val="010205"/>
                <w:sz w:val="16"/>
                <w:szCs w:val="18"/>
              </w:rPr>
              <w:t>43(51.2%)</w:t>
            </w:r>
          </w:p>
        </w:tc>
        <w:tc>
          <w:tcPr>
            <w:tcW w:w="1774" w:type="dxa"/>
            <w:tcBorders>
              <w:top w:val="single" w:sz="4" w:space="0" w:color="auto"/>
            </w:tcBorders>
          </w:tcPr>
          <w:p w14:paraId="05F62E39" w14:textId="77777777" w:rsidR="00FC1228" w:rsidRPr="000A7584" w:rsidRDefault="00FC1228">
            <w:pPr>
              <w:rPr>
                <w:sz w:val="16"/>
              </w:rPr>
            </w:pPr>
          </w:p>
          <w:p w14:paraId="5057F5C1"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4(57.1%)</w:t>
            </w:r>
          </w:p>
          <w:p w14:paraId="597BDE07" w14:textId="77777777" w:rsidR="00FC1228" w:rsidRPr="000A7584" w:rsidRDefault="00FC1228">
            <w:pPr>
              <w:rPr>
                <w:sz w:val="16"/>
              </w:rPr>
            </w:pPr>
            <w:r w:rsidRPr="000A7584">
              <w:rPr>
                <w:rFonts w:ascii="Arial" w:hAnsi="Arial" w:cs="Arial"/>
                <w:color w:val="010205"/>
                <w:sz w:val="16"/>
                <w:szCs w:val="18"/>
              </w:rPr>
              <w:t>3(42.9%)</w:t>
            </w:r>
          </w:p>
        </w:tc>
        <w:tc>
          <w:tcPr>
            <w:tcW w:w="1701" w:type="dxa"/>
            <w:tcBorders>
              <w:top w:val="single" w:sz="4" w:space="0" w:color="auto"/>
            </w:tcBorders>
          </w:tcPr>
          <w:p w14:paraId="0001A87C" w14:textId="77777777" w:rsidR="00FC1228" w:rsidRPr="000A7584" w:rsidRDefault="00FC1228">
            <w:pPr>
              <w:rPr>
                <w:sz w:val="16"/>
              </w:rPr>
            </w:pPr>
          </w:p>
          <w:p w14:paraId="5AA94CC6"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1(25.0%)</w:t>
            </w:r>
          </w:p>
          <w:p w14:paraId="2BF33CD2" w14:textId="77777777" w:rsidR="00FC1228" w:rsidRPr="000A7584" w:rsidRDefault="00FC1228">
            <w:pPr>
              <w:rPr>
                <w:sz w:val="16"/>
              </w:rPr>
            </w:pPr>
            <w:r w:rsidRPr="000A7584">
              <w:rPr>
                <w:rFonts w:ascii="Arial" w:hAnsi="Arial" w:cs="Arial"/>
                <w:color w:val="010205"/>
                <w:sz w:val="16"/>
                <w:szCs w:val="18"/>
              </w:rPr>
              <w:t>3(75.0%)</w:t>
            </w:r>
          </w:p>
        </w:tc>
        <w:tc>
          <w:tcPr>
            <w:tcW w:w="1134" w:type="dxa"/>
            <w:tcBorders>
              <w:top w:val="single" w:sz="4" w:space="0" w:color="auto"/>
            </w:tcBorders>
          </w:tcPr>
          <w:p w14:paraId="2D71136A" w14:textId="77777777" w:rsidR="00FC1228" w:rsidRPr="000A7584" w:rsidRDefault="00FC1228">
            <w:pPr>
              <w:rPr>
                <w:rFonts w:ascii="Arial" w:hAnsi="Arial" w:cs="Arial"/>
                <w:color w:val="010205"/>
                <w:sz w:val="16"/>
                <w:szCs w:val="18"/>
              </w:rPr>
            </w:pPr>
          </w:p>
          <w:p w14:paraId="66029C27"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46(48.4%)</w:t>
            </w:r>
          </w:p>
          <w:p w14:paraId="0D2D6B6C"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49(51.6%)</w:t>
            </w:r>
          </w:p>
        </w:tc>
        <w:tc>
          <w:tcPr>
            <w:tcW w:w="709" w:type="dxa"/>
            <w:tcBorders>
              <w:top w:val="single" w:sz="4" w:space="0" w:color="auto"/>
            </w:tcBorders>
          </w:tcPr>
          <w:p w14:paraId="227ECD40" w14:textId="77777777" w:rsidR="00FC1228" w:rsidRPr="000A7584" w:rsidRDefault="00FC1228">
            <w:pPr>
              <w:rPr>
                <w:sz w:val="16"/>
              </w:rPr>
            </w:pPr>
            <w:r w:rsidRPr="000A7584">
              <w:rPr>
                <w:rFonts w:ascii="Arial" w:hAnsi="Arial" w:cs="Arial"/>
                <w:color w:val="010205"/>
                <w:sz w:val="16"/>
                <w:szCs w:val="18"/>
              </w:rPr>
              <w:t>1.10</w:t>
            </w:r>
          </w:p>
        </w:tc>
        <w:tc>
          <w:tcPr>
            <w:tcW w:w="992" w:type="dxa"/>
            <w:tcBorders>
              <w:top w:val="single" w:sz="4" w:space="0" w:color="auto"/>
            </w:tcBorders>
          </w:tcPr>
          <w:p w14:paraId="7594E0DF" w14:textId="77777777" w:rsidR="00FC1228" w:rsidRPr="000A7584" w:rsidRDefault="00FC1228">
            <w:pPr>
              <w:rPr>
                <w:sz w:val="16"/>
              </w:rPr>
            </w:pPr>
            <w:r w:rsidRPr="000A7584">
              <w:rPr>
                <w:rFonts w:ascii="Arial" w:hAnsi="Arial" w:cs="Arial"/>
                <w:color w:val="010205"/>
                <w:sz w:val="16"/>
                <w:szCs w:val="18"/>
              </w:rPr>
              <w:t>0.58</w:t>
            </w:r>
          </w:p>
        </w:tc>
      </w:tr>
      <w:tr w:rsidR="000A7584" w:rsidRPr="000A7584" w14:paraId="3F5D26BD" w14:textId="77777777" w:rsidTr="005A48A3">
        <w:trPr>
          <w:trHeight w:val="253"/>
          <w:jc w:val="center"/>
        </w:trPr>
        <w:tc>
          <w:tcPr>
            <w:tcW w:w="1639" w:type="dxa"/>
          </w:tcPr>
          <w:p w14:paraId="36E77375" w14:textId="77777777" w:rsidR="00FC1228" w:rsidRPr="000A7584" w:rsidRDefault="00FC1228">
            <w:pPr>
              <w:rPr>
                <w:rFonts w:ascii="Arial" w:hAnsi="Arial" w:cs="Arial"/>
                <w:b/>
                <w:sz w:val="16"/>
                <w:szCs w:val="18"/>
              </w:rPr>
            </w:pPr>
            <w:r w:rsidRPr="000A7584">
              <w:rPr>
                <w:rFonts w:ascii="Arial" w:hAnsi="Arial" w:cs="Arial"/>
                <w:b/>
                <w:sz w:val="16"/>
                <w:szCs w:val="18"/>
              </w:rPr>
              <w:t>Age</w:t>
            </w:r>
          </w:p>
          <w:p w14:paraId="68451D0D" w14:textId="77777777" w:rsidR="00FC1228" w:rsidRPr="000A7584" w:rsidRDefault="00FC1228" w:rsidP="00FC1228">
            <w:pPr>
              <w:pStyle w:val="ListParagraph"/>
              <w:ind w:left="284"/>
              <w:rPr>
                <w:sz w:val="16"/>
              </w:rPr>
            </w:pPr>
            <w:r w:rsidRPr="000A7584">
              <w:rPr>
                <w:rFonts w:ascii="Arial" w:hAnsi="Arial" w:cs="Arial"/>
                <w:sz w:val="16"/>
                <w:szCs w:val="18"/>
              </w:rPr>
              <w:t>&lt;20 years</w:t>
            </w:r>
          </w:p>
          <w:p w14:paraId="3E787BDA" w14:textId="77777777" w:rsidR="00FC1228" w:rsidRPr="000A7584" w:rsidRDefault="00FC1228" w:rsidP="00FC1228">
            <w:pPr>
              <w:pStyle w:val="ListParagraph"/>
              <w:ind w:left="284"/>
              <w:rPr>
                <w:sz w:val="16"/>
              </w:rPr>
            </w:pPr>
            <w:r w:rsidRPr="000A7584">
              <w:rPr>
                <w:rFonts w:ascii="Arial" w:hAnsi="Arial" w:cs="Arial"/>
                <w:sz w:val="16"/>
                <w:szCs w:val="18"/>
              </w:rPr>
              <w:t>21-40 years</w:t>
            </w:r>
          </w:p>
          <w:p w14:paraId="2F3424E6" w14:textId="77777777" w:rsidR="00FC1228" w:rsidRPr="000A7584" w:rsidRDefault="00FC1228" w:rsidP="00FC1228">
            <w:pPr>
              <w:pStyle w:val="ListParagraph"/>
              <w:ind w:left="284"/>
              <w:rPr>
                <w:sz w:val="16"/>
              </w:rPr>
            </w:pPr>
            <w:r w:rsidRPr="000A7584">
              <w:rPr>
                <w:rFonts w:ascii="Arial" w:hAnsi="Arial" w:cs="Arial"/>
                <w:sz w:val="16"/>
                <w:szCs w:val="18"/>
              </w:rPr>
              <w:t>41-60 years</w:t>
            </w:r>
          </w:p>
          <w:p w14:paraId="7E786910" w14:textId="77777777" w:rsidR="00FC1228" w:rsidRPr="000A7584" w:rsidRDefault="00FC1228" w:rsidP="00FC1228">
            <w:pPr>
              <w:pStyle w:val="ListParagraph"/>
              <w:ind w:left="284"/>
              <w:rPr>
                <w:sz w:val="16"/>
              </w:rPr>
            </w:pPr>
            <w:r w:rsidRPr="000A7584">
              <w:rPr>
                <w:rFonts w:ascii="Arial" w:hAnsi="Arial" w:cs="Arial"/>
                <w:sz w:val="16"/>
                <w:szCs w:val="18"/>
              </w:rPr>
              <w:t>&gt;60 years</w:t>
            </w:r>
          </w:p>
        </w:tc>
        <w:tc>
          <w:tcPr>
            <w:tcW w:w="1203" w:type="dxa"/>
          </w:tcPr>
          <w:p w14:paraId="6C637F06" w14:textId="77777777" w:rsidR="00FC1228" w:rsidRPr="000A7584" w:rsidRDefault="00FC1228">
            <w:pPr>
              <w:rPr>
                <w:sz w:val="16"/>
              </w:rPr>
            </w:pPr>
          </w:p>
          <w:p w14:paraId="400CFEE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4D9B587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55(65.5%)</w:t>
            </w:r>
          </w:p>
          <w:p w14:paraId="5B9D3BFF"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23(27.4%)</w:t>
            </w:r>
          </w:p>
          <w:p w14:paraId="3A138805" w14:textId="77777777" w:rsidR="00FC1228" w:rsidRPr="000A7584" w:rsidRDefault="00FC1228">
            <w:pPr>
              <w:rPr>
                <w:sz w:val="16"/>
              </w:rPr>
            </w:pPr>
            <w:r w:rsidRPr="000A7584">
              <w:rPr>
                <w:rFonts w:ascii="Arial" w:hAnsi="Arial" w:cs="Arial"/>
                <w:color w:val="010205"/>
                <w:sz w:val="16"/>
                <w:szCs w:val="18"/>
              </w:rPr>
              <w:t>6(7.1%)</w:t>
            </w:r>
          </w:p>
        </w:tc>
        <w:tc>
          <w:tcPr>
            <w:tcW w:w="1774" w:type="dxa"/>
          </w:tcPr>
          <w:p w14:paraId="1A55EE40" w14:textId="77777777" w:rsidR="00FC1228" w:rsidRPr="000A7584" w:rsidRDefault="00FC1228">
            <w:pPr>
              <w:rPr>
                <w:sz w:val="16"/>
              </w:rPr>
            </w:pPr>
          </w:p>
          <w:p w14:paraId="6DA1DD32"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1(14.3%)</w:t>
            </w:r>
          </w:p>
          <w:p w14:paraId="75AFC018"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2(28.6%)</w:t>
            </w:r>
          </w:p>
          <w:p w14:paraId="72695F83" w14:textId="77777777" w:rsidR="00FC1228" w:rsidRPr="000A7584" w:rsidRDefault="00FC1228">
            <w:pPr>
              <w:rPr>
                <w:sz w:val="16"/>
              </w:rPr>
            </w:pPr>
            <w:r w:rsidRPr="000A7584">
              <w:rPr>
                <w:rFonts w:ascii="Arial" w:hAnsi="Arial" w:cs="Arial"/>
                <w:color w:val="010205"/>
                <w:sz w:val="16"/>
                <w:szCs w:val="18"/>
              </w:rPr>
              <w:t>3(42.9%)</w:t>
            </w:r>
          </w:p>
          <w:p w14:paraId="4F821C1A" w14:textId="77777777" w:rsidR="00FC1228" w:rsidRPr="000A7584" w:rsidRDefault="00FC1228">
            <w:pPr>
              <w:rPr>
                <w:sz w:val="16"/>
              </w:rPr>
            </w:pPr>
            <w:r w:rsidRPr="000A7584">
              <w:rPr>
                <w:rFonts w:ascii="Arial" w:hAnsi="Arial" w:cs="Arial"/>
                <w:color w:val="010205"/>
                <w:sz w:val="16"/>
                <w:szCs w:val="18"/>
              </w:rPr>
              <w:t>1(14.3%)</w:t>
            </w:r>
          </w:p>
        </w:tc>
        <w:tc>
          <w:tcPr>
            <w:tcW w:w="1701" w:type="dxa"/>
          </w:tcPr>
          <w:p w14:paraId="4D7CE07F" w14:textId="77777777" w:rsidR="00FC1228" w:rsidRPr="000A7584" w:rsidRDefault="00FC1228">
            <w:pPr>
              <w:rPr>
                <w:sz w:val="16"/>
              </w:rPr>
            </w:pPr>
          </w:p>
          <w:p w14:paraId="4ABD33D0"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57799DEF"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1(25.0%)</w:t>
            </w:r>
          </w:p>
          <w:p w14:paraId="6FACBED3"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2(50.0%)</w:t>
            </w:r>
          </w:p>
          <w:p w14:paraId="51219F29" w14:textId="77777777" w:rsidR="00FC1228" w:rsidRPr="000A7584" w:rsidRDefault="00FC1228">
            <w:pPr>
              <w:rPr>
                <w:sz w:val="16"/>
              </w:rPr>
            </w:pPr>
            <w:r w:rsidRPr="000A7584">
              <w:rPr>
                <w:rFonts w:ascii="Arial" w:hAnsi="Arial" w:cs="Arial"/>
                <w:color w:val="010205"/>
                <w:sz w:val="16"/>
                <w:szCs w:val="18"/>
              </w:rPr>
              <w:t>1(25.0%)</w:t>
            </w:r>
          </w:p>
        </w:tc>
        <w:tc>
          <w:tcPr>
            <w:tcW w:w="1134" w:type="dxa"/>
          </w:tcPr>
          <w:p w14:paraId="11E3C123" w14:textId="77777777" w:rsidR="00FC1228" w:rsidRPr="000A7584" w:rsidRDefault="00FC1228">
            <w:pPr>
              <w:rPr>
                <w:rFonts w:ascii="Arial" w:hAnsi="Arial" w:cs="Arial"/>
                <w:color w:val="010205"/>
                <w:sz w:val="16"/>
                <w:szCs w:val="18"/>
              </w:rPr>
            </w:pPr>
          </w:p>
          <w:p w14:paraId="69751C00"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1(1.1%)</w:t>
            </w:r>
          </w:p>
          <w:p w14:paraId="4CC0265C"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58(61.1%)</w:t>
            </w:r>
          </w:p>
          <w:p w14:paraId="028C62A7"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28(29.5%)</w:t>
            </w:r>
          </w:p>
          <w:p w14:paraId="5EB1623B"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8(8.4%)</w:t>
            </w:r>
          </w:p>
        </w:tc>
        <w:tc>
          <w:tcPr>
            <w:tcW w:w="709" w:type="dxa"/>
          </w:tcPr>
          <w:p w14:paraId="561248CD" w14:textId="77777777" w:rsidR="00FC1228" w:rsidRPr="000A7584" w:rsidRDefault="00FC1228">
            <w:pPr>
              <w:rPr>
                <w:sz w:val="16"/>
              </w:rPr>
            </w:pPr>
            <w:r w:rsidRPr="000A7584">
              <w:rPr>
                <w:rFonts w:ascii="Arial" w:hAnsi="Arial" w:cs="Arial"/>
                <w:color w:val="010205"/>
                <w:sz w:val="16"/>
                <w:szCs w:val="18"/>
              </w:rPr>
              <w:t>17.78</w:t>
            </w:r>
          </w:p>
        </w:tc>
        <w:tc>
          <w:tcPr>
            <w:tcW w:w="992" w:type="dxa"/>
          </w:tcPr>
          <w:p w14:paraId="167FC960" w14:textId="77777777" w:rsidR="00FC1228" w:rsidRPr="000A7584" w:rsidRDefault="00FC1228">
            <w:pPr>
              <w:rPr>
                <w:b/>
                <w:sz w:val="16"/>
              </w:rPr>
            </w:pPr>
            <w:r w:rsidRPr="000A7584">
              <w:rPr>
                <w:rFonts w:ascii="Arial" w:hAnsi="Arial" w:cs="Arial"/>
                <w:b/>
                <w:color w:val="010205"/>
                <w:sz w:val="16"/>
                <w:szCs w:val="18"/>
              </w:rPr>
              <w:t>0.007</w:t>
            </w:r>
          </w:p>
        </w:tc>
      </w:tr>
      <w:tr w:rsidR="000A7584" w:rsidRPr="000A7584" w14:paraId="244D7612" w14:textId="77777777" w:rsidTr="005A48A3">
        <w:trPr>
          <w:trHeight w:val="253"/>
          <w:jc w:val="center"/>
        </w:trPr>
        <w:tc>
          <w:tcPr>
            <w:tcW w:w="1639" w:type="dxa"/>
          </w:tcPr>
          <w:p w14:paraId="73A409B5" w14:textId="77777777" w:rsidR="00FC1228" w:rsidRPr="000A7584" w:rsidRDefault="00FC1228">
            <w:pPr>
              <w:rPr>
                <w:rFonts w:ascii="Arial" w:hAnsi="Arial" w:cs="Arial"/>
                <w:b/>
                <w:sz w:val="16"/>
                <w:szCs w:val="18"/>
              </w:rPr>
            </w:pPr>
            <w:r w:rsidRPr="000A7584">
              <w:rPr>
                <w:rFonts w:ascii="Arial" w:hAnsi="Arial" w:cs="Arial"/>
                <w:b/>
                <w:sz w:val="16"/>
                <w:szCs w:val="18"/>
              </w:rPr>
              <w:t>Occupation</w:t>
            </w:r>
          </w:p>
          <w:p w14:paraId="771557EA" w14:textId="77777777" w:rsidR="00FC1228" w:rsidRPr="000A7584" w:rsidRDefault="00FC1228" w:rsidP="00FC1228">
            <w:pPr>
              <w:pStyle w:val="ListParagraph"/>
              <w:ind w:left="284"/>
              <w:rPr>
                <w:sz w:val="16"/>
              </w:rPr>
            </w:pPr>
            <w:r w:rsidRPr="000A7584">
              <w:rPr>
                <w:rFonts w:ascii="Arial" w:hAnsi="Arial" w:cs="Arial"/>
                <w:sz w:val="16"/>
                <w:szCs w:val="18"/>
              </w:rPr>
              <w:t>None</w:t>
            </w:r>
          </w:p>
          <w:p w14:paraId="08DAB342" w14:textId="77777777" w:rsidR="00FC1228" w:rsidRPr="000A7584" w:rsidRDefault="00FC1228" w:rsidP="00FC1228">
            <w:pPr>
              <w:pStyle w:val="ListParagraph"/>
              <w:ind w:left="284"/>
              <w:rPr>
                <w:sz w:val="16"/>
              </w:rPr>
            </w:pPr>
            <w:r w:rsidRPr="000A7584">
              <w:rPr>
                <w:rFonts w:ascii="Arial" w:hAnsi="Arial" w:cs="Arial"/>
                <w:sz w:val="16"/>
                <w:szCs w:val="18"/>
              </w:rPr>
              <w:t>Farming</w:t>
            </w:r>
          </w:p>
          <w:p w14:paraId="491B9935" w14:textId="77777777" w:rsidR="00FC1228" w:rsidRPr="000A7584" w:rsidRDefault="00FC1228" w:rsidP="00FC1228">
            <w:pPr>
              <w:pStyle w:val="ListParagraph"/>
              <w:ind w:left="284"/>
              <w:rPr>
                <w:sz w:val="16"/>
              </w:rPr>
            </w:pPr>
            <w:r w:rsidRPr="000A7584">
              <w:rPr>
                <w:rFonts w:ascii="Arial" w:hAnsi="Arial" w:cs="Arial"/>
                <w:sz w:val="16"/>
                <w:szCs w:val="18"/>
              </w:rPr>
              <w:t>white collar</w:t>
            </w:r>
          </w:p>
          <w:p w14:paraId="42D162DE" w14:textId="77777777" w:rsidR="00FC1228" w:rsidRPr="000A7584" w:rsidRDefault="00FC1228" w:rsidP="00FC1228">
            <w:pPr>
              <w:pStyle w:val="ListParagraph"/>
              <w:ind w:left="284"/>
              <w:rPr>
                <w:sz w:val="16"/>
              </w:rPr>
            </w:pPr>
            <w:r w:rsidRPr="000A7584">
              <w:rPr>
                <w:rFonts w:ascii="Arial" w:hAnsi="Arial" w:cs="Arial"/>
                <w:sz w:val="16"/>
                <w:szCs w:val="18"/>
              </w:rPr>
              <w:t>technician</w:t>
            </w:r>
          </w:p>
          <w:p w14:paraId="75CAA59A" w14:textId="77777777" w:rsidR="00FC1228" w:rsidRPr="000A7584" w:rsidRDefault="00FC1228" w:rsidP="00FC1228">
            <w:pPr>
              <w:pStyle w:val="ListParagraph"/>
              <w:ind w:left="284"/>
              <w:rPr>
                <w:sz w:val="16"/>
              </w:rPr>
            </w:pPr>
            <w:r w:rsidRPr="000A7584">
              <w:rPr>
                <w:rFonts w:ascii="Arial" w:hAnsi="Arial" w:cs="Arial"/>
                <w:sz w:val="16"/>
                <w:szCs w:val="18"/>
              </w:rPr>
              <w:t>trading</w:t>
            </w:r>
          </w:p>
          <w:p w14:paraId="7A4005AB" w14:textId="77777777" w:rsidR="00FC1228" w:rsidRPr="000A7584" w:rsidRDefault="00FC1228" w:rsidP="00FC1228">
            <w:pPr>
              <w:pStyle w:val="ListParagraph"/>
              <w:ind w:left="284"/>
              <w:rPr>
                <w:sz w:val="16"/>
              </w:rPr>
            </w:pPr>
            <w:r w:rsidRPr="000A7584">
              <w:rPr>
                <w:rFonts w:ascii="Arial" w:hAnsi="Arial" w:cs="Arial"/>
                <w:sz w:val="16"/>
                <w:szCs w:val="18"/>
              </w:rPr>
              <w:t>business</w:t>
            </w:r>
          </w:p>
          <w:p w14:paraId="052673BA" w14:textId="77777777" w:rsidR="00FC1228" w:rsidRPr="000A7584" w:rsidRDefault="00FC1228" w:rsidP="00FC1228">
            <w:pPr>
              <w:pStyle w:val="ListParagraph"/>
              <w:ind w:left="284"/>
              <w:rPr>
                <w:sz w:val="16"/>
              </w:rPr>
            </w:pPr>
            <w:r w:rsidRPr="000A7584">
              <w:rPr>
                <w:rFonts w:ascii="Arial" w:hAnsi="Arial" w:cs="Arial"/>
                <w:sz w:val="16"/>
                <w:szCs w:val="18"/>
              </w:rPr>
              <w:t xml:space="preserve">driver </w:t>
            </w:r>
          </w:p>
        </w:tc>
        <w:tc>
          <w:tcPr>
            <w:tcW w:w="1203" w:type="dxa"/>
          </w:tcPr>
          <w:p w14:paraId="2F324AC3" w14:textId="77777777" w:rsidR="00FC1228" w:rsidRPr="000A7584" w:rsidRDefault="00FC1228">
            <w:pPr>
              <w:rPr>
                <w:sz w:val="16"/>
              </w:rPr>
            </w:pPr>
          </w:p>
          <w:p w14:paraId="376AEA6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1(1.2%)</w:t>
            </w:r>
          </w:p>
          <w:p w14:paraId="1BAFBA9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1(1.2%)</w:t>
            </w:r>
          </w:p>
          <w:p w14:paraId="3F967478"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1(1.2%)</w:t>
            </w:r>
          </w:p>
          <w:p w14:paraId="09FF0739"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1(1.2%)</w:t>
            </w:r>
          </w:p>
          <w:p w14:paraId="17C4D13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76(90.5%)</w:t>
            </w:r>
          </w:p>
          <w:p w14:paraId="749A73E8"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3(3.6%)</w:t>
            </w:r>
          </w:p>
          <w:p w14:paraId="645D7813" w14:textId="77777777" w:rsidR="00FC1228" w:rsidRPr="000A7584" w:rsidRDefault="00FC1228">
            <w:pPr>
              <w:rPr>
                <w:sz w:val="16"/>
              </w:rPr>
            </w:pPr>
            <w:r w:rsidRPr="000A7584">
              <w:rPr>
                <w:rFonts w:ascii="Arial" w:hAnsi="Arial" w:cs="Arial"/>
                <w:color w:val="010205"/>
                <w:sz w:val="16"/>
                <w:szCs w:val="18"/>
              </w:rPr>
              <w:t>1(1.2%)</w:t>
            </w:r>
          </w:p>
        </w:tc>
        <w:tc>
          <w:tcPr>
            <w:tcW w:w="1774" w:type="dxa"/>
          </w:tcPr>
          <w:p w14:paraId="70D46736" w14:textId="77777777" w:rsidR="00FC1228" w:rsidRPr="000A7584" w:rsidRDefault="00FC1228">
            <w:pPr>
              <w:rPr>
                <w:sz w:val="16"/>
              </w:rPr>
            </w:pPr>
          </w:p>
          <w:p w14:paraId="1F887B8E"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51F8B0A8"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4C9DEE1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61C449D0"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42509FC2"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6(85.7%)</w:t>
            </w:r>
          </w:p>
          <w:p w14:paraId="2A0D9E3C"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677C2595" w14:textId="77777777" w:rsidR="00FC1228" w:rsidRPr="000A7584" w:rsidRDefault="00FC1228">
            <w:pPr>
              <w:rPr>
                <w:sz w:val="16"/>
              </w:rPr>
            </w:pPr>
            <w:r w:rsidRPr="000A7584">
              <w:rPr>
                <w:rFonts w:ascii="Arial" w:hAnsi="Arial" w:cs="Arial"/>
                <w:color w:val="010205"/>
                <w:sz w:val="16"/>
                <w:szCs w:val="18"/>
              </w:rPr>
              <w:t>1(14.3%)</w:t>
            </w:r>
          </w:p>
        </w:tc>
        <w:tc>
          <w:tcPr>
            <w:tcW w:w="1701" w:type="dxa"/>
          </w:tcPr>
          <w:p w14:paraId="20BAB167" w14:textId="77777777" w:rsidR="00FC1228" w:rsidRPr="000A7584" w:rsidRDefault="00FC1228">
            <w:pPr>
              <w:rPr>
                <w:sz w:val="16"/>
              </w:rPr>
            </w:pPr>
          </w:p>
          <w:p w14:paraId="353481F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3A6A36B2"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17C1285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6834D3F0"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4DB38B9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4(100.0%)</w:t>
            </w:r>
          </w:p>
          <w:p w14:paraId="7BFEB47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755DEAD5" w14:textId="77777777" w:rsidR="00FC1228" w:rsidRPr="000A7584" w:rsidRDefault="00FC1228">
            <w:pPr>
              <w:rPr>
                <w:sz w:val="16"/>
              </w:rPr>
            </w:pPr>
            <w:r w:rsidRPr="000A7584">
              <w:rPr>
                <w:rFonts w:ascii="Arial" w:hAnsi="Arial" w:cs="Arial"/>
                <w:color w:val="010205"/>
                <w:sz w:val="16"/>
                <w:szCs w:val="18"/>
              </w:rPr>
              <w:t>0(0.0%)</w:t>
            </w:r>
          </w:p>
        </w:tc>
        <w:tc>
          <w:tcPr>
            <w:tcW w:w="1134" w:type="dxa"/>
          </w:tcPr>
          <w:p w14:paraId="2F06D0CF" w14:textId="77777777" w:rsidR="00FC1228" w:rsidRPr="000A7584" w:rsidRDefault="00FC1228">
            <w:pPr>
              <w:rPr>
                <w:rFonts w:ascii="Arial" w:hAnsi="Arial" w:cs="Arial"/>
                <w:color w:val="010205"/>
                <w:sz w:val="16"/>
                <w:szCs w:val="18"/>
              </w:rPr>
            </w:pPr>
          </w:p>
          <w:p w14:paraId="3385708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1(1.1%)</w:t>
            </w:r>
          </w:p>
          <w:p w14:paraId="213B21B8"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1(1.1%)</w:t>
            </w:r>
          </w:p>
          <w:p w14:paraId="74896389"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1(1.1%)</w:t>
            </w:r>
          </w:p>
          <w:p w14:paraId="55BC7AD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1(1.1%)</w:t>
            </w:r>
          </w:p>
          <w:p w14:paraId="3AC1CF3E"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86(90.5%)</w:t>
            </w:r>
          </w:p>
          <w:p w14:paraId="3838536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3(3.2%)</w:t>
            </w:r>
          </w:p>
          <w:p w14:paraId="63E4034F"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2(2.1%)</w:t>
            </w:r>
          </w:p>
        </w:tc>
        <w:tc>
          <w:tcPr>
            <w:tcW w:w="709" w:type="dxa"/>
          </w:tcPr>
          <w:p w14:paraId="3D5FE1B0" w14:textId="77777777" w:rsidR="00FC1228" w:rsidRPr="000A7584" w:rsidRDefault="00FC1228">
            <w:pPr>
              <w:rPr>
                <w:sz w:val="16"/>
              </w:rPr>
            </w:pPr>
            <w:r w:rsidRPr="000A7584">
              <w:rPr>
                <w:rFonts w:ascii="Arial" w:hAnsi="Arial" w:cs="Arial"/>
                <w:color w:val="010205"/>
                <w:sz w:val="16"/>
                <w:szCs w:val="18"/>
              </w:rPr>
              <w:t>6.33</w:t>
            </w:r>
          </w:p>
        </w:tc>
        <w:tc>
          <w:tcPr>
            <w:tcW w:w="992" w:type="dxa"/>
          </w:tcPr>
          <w:p w14:paraId="2261FDAC" w14:textId="77777777" w:rsidR="00FC1228" w:rsidRPr="000A7584" w:rsidRDefault="00FC1228">
            <w:pPr>
              <w:rPr>
                <w:sz w:val="16"/>
              </w:rPr>
            </w:pPr>
            <w:r w:rsidRPr="000A7584">
              <w:rPr>
                <w:rFonts w:ascii="Arial" w:hAnsi="Arial" w:cs="Arial"/>
                <w:color w:val="010205"/>
                <w:sz w:val="16"/>
                <w:szCs w:val="18"/>
              </w:rPr>
              <w:t>0.90</w:t>
            </w:r>
          </w:p>
        </w:tc>
      </w:tr>
      <w:tr w:rsidR="000A7584" w:rsidRPr="000A7584" w14:paraId="7FF4C826" w14:textId="77777777" w:rsidTr="005A48A3">
        <w:trPr>
          <w:trHeight w:val="253"/>
          <w:jc w:val="center"/>
        </w:trPr>
        <w:tc>
          <w:tcPr>
            <w:tcW w:w="1639" w:type="dxa"/>
          </w:tcPr>
          <w:p w14:paraId="4AB74810" w14:textId="77777777" w:rsidR="00FC1228" w:rsidRPr="000A7584" w:rsidRDefault="00FC1228">
            <w:pPr>
              <w:rPr>
                <w:rFonts w:ascii="Arial" w:hAnsi="Arial" w:cs="Arial"/>
                <w:b/>
                <w:sz w:val="16"/>
                <w:szCs w:val="18"/>
              </w:rPr>
            </w:pPr>
            <w:r w:rsidRPr="000A7584">
              <w:rPr>
                <w:rFonts w:ascii="Arial" w:hAnsi="Arial" w:cs="Arial"/>
                <w:b/>
                <w:sz w:val="16"/>
                <w:szCs w:val="18"/>
              </w:rPr>
              <w:t xml:space="preserve">Residence </w:t>
            </w:r>
          </w:p>
          <w:p w14:paraId="74545823" w14:textId="77777777" w:rsidR="00FC1228" w:rsidRPr="000A7584" w:rsidRDefault="00FC1228" w:rsidP="00FC1228">
            <w:pPr>
              <w:pStyle w:val="ListParagraph"/>
              <w:ind w:left="284"/>
              <w:rPr>
                <w:rFonts w:ascii="Arial" w:hAnsi="Arial" w:cs="Arial"/>
                <w:sz w:val="16"/>
                <w:szCs w:val="18"/>
              </w:rPr>
            </w:pPr>
            <w:r w:rsidRPr="000A7584">
              <w:rPr>
                <w:rFonts w:ascii="Arial" w:hAnsi="Arial" w:cs="Arial"/>
                <w:sz w:val="16"/>
                <w:szCs w:val="18"/>
              </w:rPr>
              <w:t>Rural</w:t>
            </w:r>
          </w:p>
          <w:p w14:paraId="62C63E1C" w14:textId="77777777" w:rsidR="00FC1228" w:rsidRPr="000A7584" w:rsidRDefault="00FC1228" w:rsidP="00FC1228">
            <w:pPr>
              <w:pStyle w:val="ListParagraph"/>
              <w:ind w:left="284"/>
              <w:rPr>
                <w:rFonts w:ascii="Arial" w:hAnsi="Arial" w:cs="Arial"/>
                <w:sz w:val="16"/>
                <w:szCs w:val="18"/>
              </w:rPr>
            </w:pPr>
            <w:r w:rsidRPr="000A7584">
              <w:rPr>
                <w:rFonts w:ascii="Arial" w:hAnsi="Arial" w:cs="Arial"/>
                <w:sz w:val="16"/>
                <w:szCs w:val="18"/>
              </w:rPr>
              <w:t>Urban</w:t>
            </w:r>
          </w:p>
          <w:p w14:paraId="6A499AB3" w14:textId="77777777" w:rsidR="00FC1228" w:rsidRPr="000A7584" w:rsidRDefault="00FC1228" w:rsidP="00FC1228">
            <w:pPr>
              <w:pStyle w:val="ListParagraph"/>
              <w:ind w:left="284"/>
              <w:rPr>
                <w:rFonts w:ascii="Arial" w:hAnsi="Arial" w:cs="Arial"/>
                <w:sz w:val="16"/>
                <w:szCs w:val="18"/>
              </w:rPr>
            </w:pPr>
            <w:r w:rsidRPr="000A7584">
              <w:rPr>
                <w:rFonts w:ascii="Arial" w:hAnsi="Arial" w:cs="Arial"/>
                <w:sz w:val="16"/>
                <w:szCs w:val="18"/>
              </w:rPr>
              <w:t xml:space="preserve">City </w:t>
            </w:r>
          </w:p>
        </w:tc>
        <w:tc>
          <w:tcPr>
            <w:tcW w:w="1203" w:type="dxa"/>
          </w:tcPr>
          <w:p w14:paraId="24C0BFC3" w14:textId="77777777" w:rsidR="00FC1228" w:rsidRPr="000A7584" w:rsidRDefault="00FC1228">
            <w:pPr>
              <w:rPr>
                <w:sz w:val="16"/>
              </w:rPr>
            </w:pPr>
          </w:p>
          <w:p w14:paraId="1189638D"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1(1.2%)</w:t>
            </w:r>
          </w:p>
          <w:p w14:paraId="5EBCC52E"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46(55.4%)</w:t>
            </w:r>
          </w:p>
          <w:p w14:paraId="0AE54EF4" w14:textId="77777777" w:rsidR="00FC1228" w:rsidRPr="000A7584" w:rsidRDefault="00FC1228">
            <w:pPr>
              <w:rPr>
                <w:sz w:val="16"/>
              </w:rPr>
            </w:pPr>
            <w:r w:rsidRPr="000A7584">
              <w:rPr>
                <w:rFonts w:ascii="Arial" w:hAnsi="Arial" w:cs="Arial"/>
                <w:color w:val="010205"/>
                <w:sz w:val="16"/>
                <w:szCs w:val="18"/>
              </w:rPr>
              <w:t>36(43.4%)</w:t>
            </w:r>
          </w:p>
        </w:tc>
        <w:tc>
          <w:tcPr>
            <w:tcW w:w="1774" w:type="dxa"/>
          </w:tcPr>
          <w:p w14:paraId="1A12A6EF" w14:textId="77777777" w:rsidR="00FC1228" w:rsidRPr="000A7584" w:rsidRDefault="00FC1228">
            <w:pPr>
              <w:rPr>
                <w:sz w:val="16"/>
              </w:rPr>
            </w:pPr>
          </w:p>
          <w:p w14:paraId="589ACC7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1(14.3%)</w:t>
            </w:r>
          </w:p>
          <w:p w14:paraId="45A26FBB"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2(28.6%)</w:t>
            </w:r>
          </w:p>
          <w:p w14:paraId="03A540DD" w14:textId="77777777" w:rsidR="00FC1228" w:rsidRPr="000A7584" w:rsidRDefault="00FC1228">
            <w:pPr>
              <w:rPr>
                <w:sz w:val="16"/>
              </w:rPr>
            </w:pPr>
            <w:r w:rsidRPr="000A7584">
              <w:rPr>
                <w:rFonts w:ascii="Arial" w:hAnsi="Arial" w:cs="Arial"/>
                <w:color w:val="010205"/>
                <w:sz w:val="16"/>
                <w:szCs w:val="18"/>
              </w:rPr>
              <w:t>4(57.1%)</w:t>
            </w:r>
          </w:p>
        </w:tc>
        <w:tc>
          <w:tcPr>
            <w:tcW w:w="1701" w:type="dxa"/>
          </w:tcPr>
          <w:p w14:paraId="75B60F49" w14:textId="77777777" w:rsidR="00FC1228" w:rsidRPr="000A7584" w:rsidRDefault="00FC1228">
            <w:pPr>
              <w:rPr>
                <w:sz w:val="16"/>
              </w:rPr>
            </w:pPr>
          </w:p>
          <w:p w14:paraId="64755BC7"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054ECFAB"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3(75.0%)</w:t>
            </w:r>
          </w:p>
          <w:p w14:paraId="3B817597" w14:textId="77777777" w:rsidR="00FC1228" w:rsidRPr="000A7584" w:rsidRDefault="00FC1228">
            <w:pPr>
              <w:rPr>
                <w:sz w:val="16"/>
              </w:rPr>
            </w:pPr>
            <w:r w:rsidRPr="000A7584">
              <w:rPr>
                <w:rFonts w:ascii="Arial" w:hAnsi="Arial" w:cs="Arial"/>
                <w:color w:val="010205"/>
                <w:sz w:val="16"/>
                <w:szCs w:val="18"/>
              </w:rPr>
              <w:t>1(25.0%)</w:t>
            </w:r>
          </w:p>
        </w:tc>
        <w:tc>
          <w:tcPr>
            <w:tcW w:w="1134" w:type="dxa"/>
          </w:tcPr>
          <w:p w14:paraId="7088EA9C" w14:textId="77777777" w:rsidR="00FC1228" w:rsidRPr="000A7584" w:rsidRDefault="00FC1228">
            <w:pPr>
              <w:rPr>
                <w:rFonts w:ascii="Arial" w:hAnsi="Arial" w:cs="Arial"/>
                <w:color w:val="010205"/>
                <w:sz w:val="16"/>
                <w:szCs w:val="18"/>
              </w:rPr>
            </w:pPr>
          </w:p>
          <w:p w14:paraId="4F9D4AD2"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2(2.1%)</w:t>
            </w:r>
          </w:p>
          <w:p w14:paraId="604C46B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51(54.3%)</w:t>
            </w:r>
          </w:p>
          <w:p w14:paraId="69418796"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41(43.6%)</w:t>
            </w:r>
          </w:p>
        </w:tc>
        <w:tc>
          <w:tcPr>
            <w:tcW w:w="709" w:type="dxa"/>
          </w:tcPr>
          <w:p w14:paraId="11FB6CAC" w14:textId="77777777" w:rsidR="00FC1228" w:rsidRPr="000A7584" w:rsidRDefault="00FC1228">
            <w:pPr>
              <w:rPr>
                <w:sz w:val="16"/>
              </w:rPr>
            </w:pPr>
            <w:r w:rsidRPr="000A7584">
              <w:rPr>
                <w:rFonts w:ascii="Arial" w:hAnsi="Arial" w:cs="Arial"/>
                <w:color w:val="010205"/>
                <w:sz w:val="16"/>
                <w:szCs w:val="18"/>
              </w:rPr>
              <w:t>7.08</w:t>
            </w:r>
          </w:p>
        </w:tc>
        <w:tc>
          <w:tcPr>
            <w:tcW w:w="992" w:type="dxa"/>
          </w:tcPr>
          <w:p w14:paraId="7584BA87" w14:textId="77777777" w:rsidR="00FC1228" w:rsidRPr="000A7584" w:rsidRDefault="00FC1228">
            <w:pPr>
              <w:rPr>
                <w:sz w:val="16"/>
              </w:rPr>
            </w:pPr>
            <w:r w:rsidRPr="000A7584">
              <w:rPr>
                <w:rFonts w:ascii="Arial" w:hAnsi="Arial" w:cs="Arial"/>
                <w:color w:val="010205"/>
                <w:sz w:val="16"/>
                <w:szCs w:val="18"/>
              </w:rPr>
              <w:t>0.13</w:t>
            </w:r>
          </w:p>
        </w:tc>
      </w:tr>
      <w:tr w:rsidR="000A7584" w:rsidRPr="000A7584" w14:paraId="3406A67A" w14:textId="77777777" w:rsidTr="005A48A3">
        <w:trPr>
          <w:trHeight w:val="263"/>
          <w:jc w:val="center"/>
        </w:trPr>
        <w:tc>
          <w:tcPr>
            <w:tcW w:w="1639" w:type="dxa"/>
          </w:tcPr>
          <w:p w14:paraId="6CAF446D" w14:textId="77777777" w:rsidR="00FC1228" w:rsidRPr="000A7584" w:rsidRDefault="00FC1228">
            <w:pPr>
              <w:rPr>
                <w:rFonts w:ascii="Arial" w:hAnsi="Arial" w:cs="Arial"/>
                <w:b/>
                <w:sz w:val="16"/>
                <w:szCs w:val="18"/>
              </w:rPr>
            </w:pPr>
            <w:r w:rsidRPr="000A7584">
              <w:rPr>
                <w:rFonts w:ascii="Arial" w:hAnsi="Arial" w:cs="Arial"/>
                <w:b/>
                <w:sz w:val="16"/>
                <w:szCs w:val="18"/>
              </w:rPr>
              <w:t>Alcohol</w:t>
            </w:r>
          </w:p>
          <w:p w14:paraId="1AE0F5B9" w14:textId="77777777" w:rsidR="00FC1228" w:rsidRPr="000A7584" w:rsidRDefault="00FC1228" w:rsidP="00FC1228">
            <w:pPr>
              <w:pStyle w:val="ListParagraph"/>
              <w:ind w:left="284"/>
              <w:rPr>
                <w:sz w:val="16"/>
              </w:rPr>
            </w:pPr>
            <w:r w:rsidRPr="000A7584">
              <w:rPr>
                <w:rFonts w:ascii="Arial" w:hAnsi="Arial" w:cs="Arial"/>
                <w:sz w:val="16"/>
                <w:szCs w:val="18"/>
              </w:rPr>
              <w:t>Yes</w:t>
            </w:r>
          </w:p>
          <w:p w14:paraId="433F71E1" w14:textId="77777777" w:rsidR="00FC1228" w:rsidRPr="000A7584" w:rsidRDefault="00FC1228" w:rsidP="00FC1228">
            <w:pPr>
              <w:pStyle w:val="ListParagraph"/>
              <w:ind w:left="284"/>
              <w:rPr>
                <w:sz w:val="16"/>
              </w:rPr>
            </w:pPr>
            <w:r w:rsidRPr="000A7584">
              <w:rPr>
                <w:rFonts w:ascii="Arial" w:hAnsi="Arial" w:cs="Arial"/>
                <w:sz w:val="16"/>
                <w:szCs w:val="18"/>
              </w:rPr>
              <w:t xml:space="preserve"> No </w:t>
            </w:r>
          </w:p>
        </w:tc>
        <w:tc>
          <w:tcPr>
            <w:tcW w:w="1203" w:type="dxa"/>
          </w:tcPr>
          <w:p w14:paraId="74009D00" w14:textId="77777777" w:rsidR="00FC1228" w:rsidRPr="000A7584" w:rsidRDefault="00FC1228">
            <w:pPr>
              <w:rPr>
                <w:sz w:val="16"/>
              </w:rPr>
            </w:pPr>
          </w:p>
          <w:p w14:paraId="56940827"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36(42.9%)</w:t>
            </w:r>
          </w:p>
          <w:p w14:paraId="0809A374" w14:textId="77777777" w:rsidR="00FC1228" w:rsidRPr="000A7584" w:rsidRDefault="00FC1228">
            <w:pPr>
              <w:rPr>
                <w:sz w:val="16"/>
              </w:rPr>
            </w:pPr>
            <w:r w:rsidRPr="000A7584">
              <w:rPr>
                <w:rFonts w:ascii="Arial" w:hAnsi="Arial" w:cs="Arial"/>
                <w:color w:val="010205"/>
                <w:sz w:val="16"/>
                <w:szCs w:val="18"/>
              </w:rPr>
              <w:t>48(57.1%)</w:t>
            </w:r>
          </w:p>
        </w:tc>
        <w:tc>
          <w:tcPr>
            <w:tcW w:w="1774" w:type="dxa"/>
          </w:tcPr>
          <w:p w14:paraId="74D0401A" w14:textId="77777777" w:rsidR="00FC1228" w:rsidRPr="000A7584" w:rsidRDefault="00FC1228">
            <w:pPr>
              <w:rPr>
                <w:sz w:val="16"/>
              </w:rPr>
            </w:pPr>
          </w:p>
          <w:p w14:paraId="743810AA"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2(28.6%)</w:t>
            </w:r>
          </w:p>
          <w:p w14:paraId="25E44744" w14:textId="77777777" w:rsidR="00FC1228" w:rsidRPr="000A7584" w:rsidRDefault="00FC1228">
            <w:pPr>
              <w:rPr>
                <w:sz w:val="16"/>
              </w:rPr>
            </w:pPr>
            <w:r w:rsidRPr="000A7584">
              <w:rPr>
                <w:rFonts w:ascii="Arial" w:hAnsi="Arial" w:cs="Arial"/>
                <w:color w:val="010205"/>
                <w:sz w:val="16"/>
                <w:szCs w:val="18"/>
              </w:rPr>
              <w:t>5(71.4%)</w:t>
            </w:r>
          </w:p>
        </w:tc>
        <w:tc>
          <w:tcPr>
            <w:tcW w:w="1701" w:type="dxa"/>
          </w:tcPr>
          <w:p w14:paraId="418EB8C5" w14:textId="77777777" w:rsidR="00FC1228" w:rsidRPr="000A7584" w:rsidRDefault="00FC1228">
            <w:pPr>
              <w:rPr>
                <w:sz w:val="16"/>
              </w:rPr>
            </w:pPr>
          </w:p>
          <w:p w14:paraId="1B5338D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2(50.0%)</w:t>
            </w:r>
          </w:p>
          <w:p w14:paraId="62B7FFFE" w14:textId="77777777" w:rsidR="00FC1228" w:rsidRPr="000A7584" w:rsidRDefault="00FC1228">
            <w:pPr>
              <w:rPr>
                <w:sz w:val="16"/>
              </w:rPr>
            </w:pPr>
            <w:r w:rsidRPr="000A7584">
              <w:rPr>
                <w:rFonts w:ascii="Arial" w:hAnsi="Arial" w:cs="Arial"/>
                <w:color w:val="010205"/>
                <w:sz w:val="16"/>
                <w:szCs w:val="18"/>
              </w:rPr>
              <w:t>2(50.0%)</w:t>
            </w:r>
          </w:p>
        </w:tc>
        <w:tc>
          <w:tcPr>
            <w:tcW w:w="1134" w:type="dxa"/>
          </w:tcPr>
          <w:p w14:paraId="47E4B174" w14:textId="77777777" w:rsidR="00FC1228" w:rsidRPr="000A7584" w:rsidRDefault="00FC1228">
            <w:pPr>
              <w:rPr>
                <w:rFonts w:ascii="Arial" w:hAnsi="Arial" w:cs="Arial"/>
                <w:color w:val="010205"/>
                <w:sz w:val="16"/>
                <w:szCs w:val="18"/>
              </w:rPr>
            </w:pPr>
          </w:p>
          <w:p w14:paraId="2B78847C"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40(42.1%)</w:t>
            </w:r>
          </w:p>
          <w:p w14:paraId="497F5E9D"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55(57.9%)</w:t>
            </w:r>
          </w:p>
        </w:tc>
        <w:tc>
          <w:tcPr>
            <w:tcW w:w="709" w:type="dxa"/>
          </w:tcPr>
          <w:p w14:paraId="365D9782" w14:textId="77777777" w:rsidR="00FC1228" w:rsidRPr="000A7584" w:rsidRDefault="00FC1228">
            <w:pPr>
              <w:rPr>
                <w:sz w:val="16"/>
              </w:rPr>
            </w:pPr>
            <w:r w:rsidRPr="000A7584">
              <w:rPr>
                <w:rFonts w:ascii="Arial" w:hAnsi="Arial" w:cs="Arial"/>
                <w:color w:val="010205"/>
                <w:sz w:val="16"/>
                <w:szCs w:val="18"/>
              </w:rPr>
              <w:t>0.65</w:t>
            </w:r>
          </w:p>
        </w:tc>
        <w:tc>
          <w:tcPr>
            <w:tcW w:w="992" w:type="dxa"/>
          </w:tcPr>
          <w:p w14:paraId="3F8A3456" w14:textId="77777777" w:rsidR="00FC1228" w:rsidRPr="000A7584" w:rsidRDefault="00FC1228">
            <w:pPr>
              <w:rPr>
                <w:sz w:val="16"/>
              </w:rPr>
            </w:pPr>
            <w:r w:rsidRPr="000A7584">
              <w:rPr>
                <w:rFonts w:ascii="Arial" w:hAnsi="Arial" w:cs="Arial"/>
                <w:color w:val="010205"/>
                <w:sz w:val="16"/>
                <w:szCs w:val="18"/>
              </w:rPr>
              <w:t>0.72</w:t>
            </w:r>
          </w:p>
        </w:tc>
      </w:tr>
      <w:tr w:rsidR="000A7584" w:rsidRPr="000A7584" w14:paraId="3B085064" w14:textId="77777777" w:rsidTr="005A48A3">
        <w:trPr>
          <w:trHeight w:val="1048"/>
          <w:jc w:val="center"/>
        </w:trPr>
        <w:tc>
          <w:tcPr>
            <w:tcW w:w="1639" w:type="dxa"/>
            <w:tcBorders>
              <w:bottom w:val="single" w:sz="4" w:space="0" w:color="auto"/>
            </w:tcBorders>
          </w:tcPr>
          <w:p w14:paraId="7E2D6AFC" w14:textId="77777777" w:rsidR="00FC1228" w:rsidRPr="000A7584" w:rsidRDefault="00FC1228">
            <w:pPr>
              <w:rPr>
                <w:rFonts w:ascii="Arial" w:hAnsi="Arial" w:cs="Arial"/>
                <w:b/>
                <w:sz w:val="16"/>
                <w:szCs w:val="18"/>
              </w:rPr>
            </w:pPr>
            <w:r w:rsidRPr="000A7584">
              <w:rPr>
                <w:rFonts w:ascii="Arial" w:hAnsi="Arial" w:cs="Arial"/>
                <w:b/>
                <w:sz w:val="16"/>
                <w:szCs w:val="18"/>
              </w:rPr>
              <w:t>Body Mass Index</w:t>
            </w:r>
          </w:p>
          <w:p w14:paraId="2F6E4F7E" w14:textId="77777777" w:rsidR="00FC1228" w:rsidRPr="000A7584" w:rsidRDefault="00FC1228" w:rsidP="00FC1228">
            <w:pPr>
              <w:pStyle w:val="ListParagraph"/>
              <w:ind w:left="237"/>
              <w:rPr>
                <w:rFonts w:ascii="Arial" w:hAnsi="Arial" w:cs="Arial"/>
                <w:sz w:val="16"/>
                <w:szCs w:val="18"/>
              </w:rPr>
            </w:pPr>
            <w:r w:rsidRPr="000A7584">
              <w:rPr>
                <w:rFonts w:ascii="Arial" w:hAnsi="Arial" w:cs="Arial"/>
                <w:sz w:val="16"/>
                <w:szCs w:val="18"/>
              </w:rPr>
              <w:t>&lt;18.5 kg/m</w:t>
            </w:r>
            <w:r w:rsidRPr="000A7584">
              <w:rPr>
                <w:rFonts w:ascii="Arial" w:hAnsi="Arial" w:cs="Arial"/>
                <w:sz w:val="16"/>
                <w:szCs w:val="18"/>
                <w:vertAlign w:val="superscript"/>
              </w:rPr>
              <w:t>2</w:t>
            </w:r>
          </w:p>
          <w:p w14:paraId="35EC57AF" w14:textId="77777777" w:rsidR="00FC1228" w:rsidRPr="000A7584" w:rsidRDefault="00FC1228" w:rsidP="00FC1228">
            <w:pPr>
              <w:pStyle w:val="ListParagraph"/>
              <w:ind w:left="237"/>
              <w:rPr>
                <w:rFonts w:ascii="Arial" w:hAnsi="Arial" w:cs="Arial"/>
                <w:sz w:val="16"/>
                <w:szCs w:val="18"/>
              </w:rPr>
            </w:pPr>
            <w:r w:rsidRPr="000A7584">
              <w:rPr>
                <w:rFonts w:ascii="Arial" w:hAnsi="Arial" w:cs="Arial"/>
                <w:sz w:val="16"/>
                <w:szCs w:val="18"/>
              </w:rPr>
              <w:t>18.5 - 25.0 kg/m</w:t>
            </w:r>
            <w:r w:rsidRPr="000A7584">
              <w:rPr>
                <w:rFonts w:ascii="Arial" w:hAnsi="Arial" w:cs="Arial"/>
                <w:sz w:val="16"/>
                <w:szCs w:val="18"/>
                <w:vertAlign w:val="superscript"/>
              </w:rPr>
              <w:t>2</w:t>
            </w:r>
          </w:p>
          <w:p w14:paraId="46ECB648" w14:textId="77777777" w:rsidR="00FC1228" w:rsidRPr="000A7584" w:rsidRDefault="00FC1228" w:rsidP="00FC1228">
            <w:pPr>
              <w:pStyle w:val="ListParagraph"/>
              <w:ind w:left="237"/>
              <w:rPr>
                <w:rFonts w:ascii="Arial" w:hAnsi="Arial" w:cs="Arial"/>
                <w:sz w:val="16"/>
                <w:szCs w:val="18"/>
              </w:rPr>
            </w:pPr>
            <w:r w:rsidRPr="000A7584">
              <w:rPr>
                <w:rFonts w:ascii="Arial" w:hAnsi="Arial" w:cs="Arial"/>
                <w:sz w:val="16"/>
                <w:szCs w:val="18"/>
              </w:rPr>
              <w:t>25.5-29.5 kg/m</w:t>
            </w:r>
            <w:r w:rsidRPr="000A7584">
              <w:rPr>
                <w:rFonts w:ascii="Arial" w:hAnsi="Arial" w:cs="Arial"/>
                <w:sz w:val="16"/>
                <w:szCs w:val="18"/>
                <w:vertAlign w:val="superscript"/>
              </w:rPr>
              <w:t>2</w:t>
            </w:r>
          </w:p>
          <w:p w14:paraId="0219BC9B" w14:textId="77777777" w:rsidR="00FC1228" w:rsidRPr="000A7584" w:rsidRDefault="00FC1228" w:rsidP="00FC1228">
            <w:pPr>
              <w:pStyle w:val="ListParagraph"/>
              <w:ind w:left="237"/>
              <w:rPr>
                <w:rFonts w:ascii="Arial" w:hAnsi="Arial" w:cs="Arial"/>
                <w:sz w:val="16"/>
                <w:szCs w:val="18"/>
              </w:rPr>
            </w:pPr>
            <w:r w:rsidRPr="000A7584">
              <w:rPr>
                <w:rFonts w:ascii="Arial" w:hAnsi="Arial" w:cs="Arial"/>
                <w:sz w:val="16"/>
                <w:szCs w:val="18"/>
              </w:rPr>
              <w:t>&gt;30.0 kg/m</w:t>
            </w:r>
            <w:r w:rsidRPr="000A7584">
              <w:rPr>
                <w:rFonts w:ascii="Arial" w:hAnsi="Arial" w:cs="Arial"/>
                <w:sz w:val="16"/>
                <w:szCs w:val="18"/>
                <w:vertAlign w:val="superscript"/>
              </w:rPr>
              <w:t>2</w:t>
            </w:r>
          </w:p>
        </w:tc>
        <w:tc>
          <w:tcPr>
            <w:tcW w:w="1203" w:type="dxa"/>
            <w:tcBorders>
              <w:bottom w:val="single" w:sz="4" w:space="0" w:color="auto"/>
            </w:tcBorders>
          </w:tcPr>
          <w:p w14:paraId="30652E9F" w14:textId="77777777" w:rsidR="00FC1228" w:rsidRPr="000A7584" w:rsidRDefault="00FC1228">
            <w:pPr>
              <w:rPr>
                <w:sz w:val="16"/>
              </w:rPr>
            </w:pPr>
          </w:p>
          <w:p w14:paraId="34BA58F7"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2(2.4%)</w:t>
            </w:r>
          </w:p>
          <w:p w14:paraId="6BF3C5FB"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21(25.0%)</w:t>
            </w:r>
          </w:p>
          <w:p w14:paraId="01FF2E9D"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33(39.3%)</w:t>
            </w:r>
          </w:p>
          <w:p w14:paraId="35ABFD66" w14:textId="77777777" w:rsidR="00FC1228" w:rsidRPr="000A7584" w:rsidRDefault="00FC1228">
            <w:pPr>
              <w:rPr>
                <w:sz w:val="16"/>
              </w:rPr>
            </w:pPr>
            <w:r w:rsidRPr="000A7584">
              <w:rPr>
                <w:rFonts w:ascii="Arial" w:hAnsi="Arial" w:cs="Arial"/>
                <w:color w:val="010205"/>
                <w:sz w:val="16"/>
                <w:szCs w:val="18"/>
              </w:rPr>
              <w:t>28(33.3%)</w:t>
            </w:r>
          </w:p>
        </w:tc>
        <w:tc>
          <w:tcPr>
            <w:tcW w:w="1774" w:type="dxa"/>
            <w:tcBorders>
              <w:bottom w:val="single" w:sz="4" w:space="0" w:color="auto"/>
            </w:tcBorders>
          </w:tcPr>
          <w:p w14:paraId="22250D06" w14:textId="77777777" w:rsidR="00FC1228" w:rsidRPr="000A7584" w:rsidRDefault="00FC1228">
            <w:pPr>
              <w:rPr>
                <w:sz w:val="16"/>
              </w:rPr>
            </w:pPr>
          </w:p>
          <w:p w14:paraId="027156EE"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5120A15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1(14.3%)</w:t>
            </w:r>
          </w:p>
          <w:p w14:paraId="6BDA0E8C"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4(57.1%)</w:t>
            </w:r>
          </w:p>
          <w:p w14:paraId="276D0B72" w14:textId="77777777" w:rsidR="00FC1228" w:rsidRPr="000A7584" w:rsidRDefault="00FC1228">
            <w:pPr>
              <w:rPr>
                <w:sz w:val="16"/>
              </w:rPr>
            </w:pPr>
            <w:r w:rsidRPr="000A7584">
              <w:rPr>
                <w:rFonts w:ascii="Arial" w:hAnsi="Arial" w:cs="Arial"/>
                <w:color w:val="010205"/>
                <w:sz w:val="16"/>
                <w:szCs w:val="18"/>
              </w:rPr>
              <w:t>2(28.6%)</w:t>
            </w:r>
          </w:p>
        </w:tc>
        <w:tc>
          <w:tcPr>
            <w:tcW w:w="1701" w:type="dxa"/>
            <w:tcBorders>
              <w:bottom w:val="single" w:sz="4" w:space="0" w:color="auto"/>
            </w:tcBorders>
          </w:tcPr>
          <w:p w14:paraId="1D5CCE30" w14:textId="77777777" w:rsidR="00FC1228" w:rsidRPr="000A7584" w:rsidRDefault="00FC1228">
            <w:pPr>
              <w:rPr>
                <w:sz w:val="16"/>
              </w:rPr>
            </w:pPr>
          </w:p>
          <w:p w14:paraId="0C5EBCA4"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0(0.0%)</w:t>
            </w:r>
          </w:p>
          <w:p w14:paraId="297791B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1(25.0%)</w:t>
            </w:r>
          </w:p>
          <w:p w14:paraId="6B1D9415"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2(50.0%)</w:t>
            </w:r>
          </w:p>
          <w:p w14:paraId="68C6E6D5" w14:textId="77777777" w:rsidR="00FC1228" w:rsidRPr="000A7584" w:rsidRDefault="00FC1228">
            <w:pPr>
              <w:rPr>
                <w:sz w:val="16"/>
              </w:rPr>
            </w:pPr>
            <w:r w:rsidRPr="000A7584">
              <w:rPr>
                <w:rFonts w:ascii="Arial" w:hAnsi="Arial" w:cs="Arial"/>
                <w:color w:val="010205"/>
                <w:sz w:val="16"/>
                <w:szCs w:val="18"/>
              </w:rPr>
              <w:t>1(25.0%)</w:t>
            </w:r>
          </w:p>
        </w:tc>
        <w:tc>
          <w:tcPr>
            <w:tcW w:w="1134" w:type="dxa"/>
            <w:tcBorders>
              <w:bottom w:val="single" w:sz="4" w:space="0" w:color="auto"/>
            </w:tcBorders>
          </w:tcPr>
          <w:p w14:paraId="3192674D" w14:textId="77777777" w:rsidR="00FC1228" w:rsidRPr="000A7584" w:rsidRDefault="00FC1228">
            <w:pPr>
              <w:rPr>
                <w:rFonts w:ascii="Arial" w:hAnsi="Arial" w:cs="Arial"/>
                <w:color w:val="010205"/>
                <w:sz w:val="16"/>
                <w:szCs w:val="18"/>
              </w:rPr>
            </w:pPr>
          </w:p>
          <w:p w14:paraId="5891BA5B"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2(2.1%)</w:t>
            </w:r>
          </w:p>
          <w:p w14:paraId="69A7168A"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23(24.2%)</w:t>
            </w:r>
          </w:p>
          <w:p w14:paraId="4A189209"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39(41.1%)</w:t>
            </w:r>
          </w:p>
          <w:p w14:paraId="2BA73E4F" w14:textId="77777777" w:rsidR="006D2A09" w:rsidRPr="000A7584" w:rsidRDefault="006D2A09">
            <w:pPr>
              <w:rPr>
                <w:rFonts w:ascii="Arial" w:hAnsi="Arial" w:cs="Arial"/>
                <w:color w:val="010205"/>
                <w:sz w:val="16"/>
                <w:szCs w:val="18"/>
              </w:rPr>
            </w:pPr>
            <w:r w:rsidRPr="000A7584">
              <w:rPr>
                <w:rFonts w:ascii="Arial" w:hAnsi="Arial" w:cs="Arial"/>
                <w:color w:val="010205"/>
                <w:sz w:val="16"/>
                <w:szCs w:val="18"/>
              </w:rPr>
              <w:t>31(32.6%)</w:t>
            </w:r>
          </w:p>
        </w:tc>
        <w:tc>
          <w:tcPr>
            <w:tcW w:w="709" w:type="dxa"/>
            <w:tcBorders>
              <w:bottom w:val="single" w:sz="4" w:space="0" w:color="auto"/>
            </w:tcBorders>
          </w:tcPr>
          <w:p w14:paraId="4A0E2AC6"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1.27</w:t>
            </w:r>
          </w:p>
        </w:tc>
        <w:tc>
          <w:tcPr>
            <w:tcW w:w="992" w:type="dxa"/>
            <w:tcBorders>
              <w:bottom w:val="single" w:sz="4" w:space="0" w:color="auto"/>
            </w:tcBorders>
          </w:tcPr>
          <w:p w14:paraId="1C8BD21C" w14:textId="77777777" w:rsidR="00FC1228" w:rsidRPr="000A7584" w:rsidRDefault="00FC1228">
            <w:pPr>
              <w:rPr>
                <w:rFonts w:ascii="Arial" w:hAnsi="Arial" w:cs="Arial"/>
                <w:color w:val="010205"/>
                <w:sz w:val="16"/>
                <w:szCs w:val="18"/>
              </w:rPr>
            </w:pPr>
            <w:r w:rsidRPr="000A7584">
              <w:rPr>
                <w:rFonts w:ascii="Arial" w:hAnsi="Arial" w:cs="Arial"/>
                <w:color w:val="010205"/>
                <w:sz w:val="16"/>
                <w:szCs w:val="18"/>
              </w:rPr>
              <w:t>0.97</w:t>
            </w:r>
          </w:p>
        </w:tc>
      </w:tr>
    </w:tbl>
    <w:p w14:paraId="04EC06BC" w14:textId="6BBB9C2E" w:rsidR="0044251C" w:rsidRPr="00732343" w:rsidRDefault="0044251C" w:rsidP="0044251C">
      <w:pPr>
        <w:pStyle w:val="NoSpacing"/>
        <w:rPr>
          <w:rStyle w:val="Strong"/>
          <w:b w:val="0"/>
          <w:bCs w:val="0"/>
          <w:i/>
          <w:iCs/>
          <w:sz w:val="18"/>
          <w:szCs w:val="18"/>
        </w:rPr>
      </w:pPr>
      <w:r w:rsidRPr="00732343">
        <w:rPr>
          <w:rStyle w:val="Strong"/>
          <w:b w:val="0"/>
          <w:bCs w:val="0"/>
          <w:i/>
          <w:iCs/>
          <w:sz w:val="18"/>
          <w:szCs w:val="18"/>
        </w:rPr>
        <w:t>FBG- fasting blood glucose, RBG- random blood glucose, kg/m</w:t>
      </w:r>
      <w:r w:rsidRPr="00732343">
        <w:rPr>
          <w:rStyle w:val="Strong"/>
          <w:b w:val="0"/>
          <w:bCs w:val="0"/>
          <w:i/>
          <w:iCs/>
          <w:sz w:val="18"/>
          <w:szCs w:val="18"/>
          <w:vertAlign w:val="superscript"/>
        </w:rPr>
        <w:t>2</w:t>
      </w:r>
      <w:r w:rsidRPr="00732343">
        <w:rPr>
          <w:rStyle w:val="Strong"/>
          <w:b w:val="0"/>
          <w:bCs w:val="0"/>
          <w:i/>
          <w:iCs/>
          <w:sz w:val="18"/>
          <w:szCs w:val="18"/>
        </w:rPr>
        <w:t>- kilogram per metre squared</w:t>
      </w:r>
    </w:p>
    <w:p w14:paraId="2F34D72D" w14:textId="77777777" w:rsidR="00C74296" w:rsidRDefault="00C74296" w:rsidP="008B23D4">
      <w:pPr>
        <w:pStyle w:val="Heading3"/>
        <w:rPr>
          <w:rStyle w:val="Strong"/>
          <w:b/>
          <w:bCs/>
        </w:rPr>
      </w:pPr>
    </w:p>
    <w:p w14:paraId="240599B2" w14:textId="77777777" w:rsidR="005A48A3" w:rsidRDefault="005A48A3" w:rsidP="008B23D4">
      <w:pPr>
        <w:pStyle w:val="Heading3"/>
        <w:rPr>
          <w:rStyle w:val="Strong"/>
          <w:b/>
          <w:bCs/>
        </w:rPr>
      </w:pPr>
    </w:p>
    <w:p w14:paraId="65361281" w14:textId="77777777" w:rsidR="005A48A3" w:rsidRDefault="005A48A3" w:rsidP="008B23D4">
      <w:pPr>
        <w:pStyle w:val="Heading3"/>
        <w:rPr>
          <w:rStyle w:val="Strong"/>
          <w:b/>
          <w:bCs/>
        </w:rPr>
      </w:pPr>
    </w:p>
    <w:p w14:paraId="0DB55FB4" w14:textId="77777777" w:rsidR="005A48A3" w:rsidRDefault="005A48A3" w:rsidP="008B23D4">
      <w:pPr>
        <w:pStyle w:val="Heading3"/>
        <w:rPr>
          <w:rStyle w:val="Strong"/>
          <w:b/>
          <w:bCs/>
        </w:rPr>
      </w:pPr>
    </w:p>
    <w:p w14:paraId="2F032F9B" w14:textId="3BEA8674" w:rsidR="008B23D4" w:rsidRPr="005A48A3" w:rsidRDefault="008B23D4" w:rsidP="008B23D4">
      <w:pPr>
        <w:pStyle w:val="Heading3"/>
        <w:rPr>
          <w:sz w:val="23"/>
          <w:szCs w:val="23"/>
        </w:rPr>
      </w:pPr>
      <w:r w:rsidRPr="005A48A3">
        <w:rPr>
          <w:rStyle w:val="Strong"/>
          <w:b/>
          <w:bCs/>
          <w:sz w:val="23"/>
          <w:szCs w:val="23"/>
        </w:rPr>
        <w:t xml:space="preserve">Table 2: </w:t>
      </w:r>
      <w:r w:rsidRPr="005A48A3">
        <w:rPr>
          <w:rStyle w:val="Strong"/>
          <w:sz w:val="23"/>
          <w:szCs w:val="23"/>
        </w:rPr>
        <w:t>Correlation Between Blood glucose and Cardiovascular Parameters with Demographic and Lifestyle Factors</w:t>
      </w:r>
    </w:p>
    <w:p w14:paraId="284620DB" w14:textId="77777777" w:rsidR="008B23D4" w:rsidRPr="00DE28AA" w:rsidRDefault="008B23D4" w:rsidP="008B23D4">
      <w:pPr>
        <w:autoSpaceDE w:val="0"/>
        <w:autoSpaceDN w:val="0"/>
        <w:adjustRightInd w:val="0"/>
        <w:spacing w:after="0" w:line="240" w:lineRule="auto"/>
        <w:rPr>
          <w:rFonts w:ascii="Arial" w:hAnsi="Arial" w:cs="Arial"/>
          <w:b/>
          <w:color w:val="264A60"/>
          <w:sz w:val="18"/>
          <w:szCs w:val="18"/>
        </w:rPr>
      </w:pPr>
      <w:r w:rsidRPr="00DE28AA">
        <w:rPr>
          <w:rFonts w:ascii="Arial" w:hAnsi="Arial" w:cs="Arial"/>
          <w:b/>
          <w:color w:val="264A60"/>
          <w:sz w:val="18"/>
          <w:szCs w:val="18"/>
        </w:rPr>
        <w:t>Spearman's rho Correlations</w:t>
      </w:r>
    </w:p>
    <w:tbl>
      <w:tblPr>
        <w:tblStyle w:val="TableGrid"/>
        <w:tblW w:w="9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956"/>
        <w:gridCol w:w="1031"/>
        <w:gridCol w:w="1245"/>
        <w:gridCol w:w="1412"/>
        <w:gridCol w:w="1185"/>
        <w:gridCol w:w="1122"/>
      </w:tblGrid>
      <w:tr w:rsidR="008B23D4" w:rsidRPr="00804AC1" w14:paraId="2AEC0C4F" w14:textId="77777777" w:rsidTr="005A48A3">
        <w:trPr>
          <w:trHeight w:val="277"/>
        </w:trPr>
        <w:tc>
          <w:tcPr>
            <w:tcW w:w="0" w:type="auto"/>
            <w:tcBorders>
              <w:top w:val="single" w:sz="4" w:space="0" w:color="auto"/>
              <w:bottom w:val="single" w:sz="4" w:space="0" w:color="auto"/>
            </w:tcBorders>
          </w:tcPr>
          <w:p w14:paraId="25673958" w14:textId="77777777" w:rsidR="008B23D4" w:rsidRPr="00804AC1" w:rsidRDefault="008B23D4" w:rsidP="0098346C">
            <w:pPr>
              <w:autoSpaceDE w:val="0"/>
              <w:autoSpaceDN w:val="0"/>
              <w:adjustRightInd w:val="0"/>
              <w:rPr>
                <w:rFonts w:ascii="Times New Roman" w:hAnsi="Times New Roman" w:cs="Times New Roman"/>
                <w:b/>
                <w:sz w:val="24"/>
                <w:szCs w:val="24"/>
              </w:rPr>
            </w:pPr>
          </w:p>
        </w:tc>
        <w:tc>
          <w:tcPr>
            <w:tcW w:w="956" w:type="dxa"/>
            <w:tcBorders>
              <w:top w:val="single" w:sz="4" w:space="0" w:color="auto"/>
              <w:bottom w:val="single" w:sz="4" w:space="0" w:color="auto"/>
            </w:tcBorders>
          </w:tcPr>
          <w:p w14:paraId="040F98E6" w14:textId="77777777" w:rsidR="008B23D4" w:rsidRPr="00804AC1" w:rsidRDefault="008B23D4" w:rsidP="0098346C">
            <w:pPr>
              <w:autoSpaceDE w:val="0"/>
              <w:autoSpaceDN w:val="0"/>
              <w:adjustRightInd w:val="0"/>
              <w:rPr>
                <w:rFonts w:ascii="Times New Roman" w:hAnsi="Times New Roman" w:cs="Times New Roman"/>
                <w:b/>
                <w:sz w:val="24"/>
                <w:szCs w:val="24"/>
              </w:rPr>
            </w:pPr>
            <w:r>
              <w:rPr>
                <w:rFonts w:ascii="Arial" w:hAnsi="Arial" w:cs="Arial"/>
                <w:b/>
                <w:color w:val="264A60"/>
                <w:sz w:val="18"/>
                <w:szCs w:val="18"/>
              </w:rPr>
              <w:t>FBG</w:t>
            </w:r>
          </w:p>
        </w:tc>
        <w:tc>
          <w:tcPr>
            <w:tcW w:w="1031" w:type="dxa"/>
            <w:tcBorders>
              <w:top w:val="single" w:sz="4" w:space="0" w:color="auto"/>
              <w:bottom w:val="single" w:sz="4" w:space="0" w:color="auto"/>
            </w:tcBorders>
          </w:tcPr>
          <w:p w14:paraId="65695E4F" w14:textId="77777777" w:rsidR="008B23D4" w:rsidRPr="00804AC1" w:rsidRDefault="008B23D4" w:rsidP="0098346C">
            <w:pPr>
              <w:autoSpaceDE w:val="0"/>
              <w:autoSpaceDN w:val="0"/>
              <w:adjustRightInd w:val="0"/>
              <w:rPr>
                <w:rFonts w:ascii="Times New Roman" w:hAnsi="Times New Roman" w:cs="Times New Roman"/>
                <w:b/>
                <w:sz w:val="24"/>
                <w:szCs w:val="24"/>
              </w:rPr>
            </w:pPr>
            <w:r>
              <w:rPr>
                <w:rFonts w:ascii="Arial" w:hAnsi="Arial" w:cs="Arial"/>
                <w:b/>
                <w:color w:val="264A60"/>
                <w:sz w:val="18"/>
                <w:szCs w:val="18"/>
              </w:rPr>
              <w:t>RBG</w:t>
            </w:r>
          </w:p>
        </w:tc>
        <w:tc>
          <w:tcPr>
            <w:tcW w:w="1245" w:type="dxa"/>
            <w:tcBorders>
              <w:top w:val="single" w:sz="4" w:space="0" w:color="auto"/>
              <w:bottom w:val="single" w:sz="4" w:space="0" w:color="auto"/>
            </w:tcBorders>
          </w:tcPr>
          <w:p w14:paraId="1653E3BA"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systolic</w:t>
            </w:r>
          </w:p>
        </w:tc>
        <w:tc>
          <w:tcPr>
            <w:tcW w:w="1412" w:type="dxa"/>
            <w:tcBorders>
              <w:top w:val="single" w:sz="4" w:space="0" w:color="auto"/>
              <w:bottom w:val="single" w:sz="4" w:space="0" w:color="auto"/>
            </w:tcBorders>
          </w:tcPr>
          <w:p w14:paraId="2B54270B"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diastolic</w:t>
            </w:r>
          </w:p>
        </w:tc>
        <w:tc>
          <w:tcPr>
            <w:tcW w:w="1185" w:type="dxa"/>
            <w:tcBorders>
              <w:top w:val="single" w:sz="4" w:space="0" w:color="auto"/>
              <w:bottom w:val="single" w:sz="4" w:space="0" w:color="auto"/>
            </w:tcBorders>
          </w:tcPr>
          <w:p w14:paraId="566AADFB"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BMI</w:t>
            </w:r>
          </w:p>
        </w:tc>
        <w:tc>
          <w:tcPr>
            <w:tcW w:w="1122" w:type="dxa"/>
            <w:tcBorders>
              <w:top w:val="single" w:sz="4" w:space="0" w:color="auto"/>
              <w:bottom w:val="single" w:sz="4" w:space="0" w:color="auto"/>
            </w:tcBorders>
          </w:tcPr>
          <w:p w14:paraId="55A15FFB"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Waist/hip</w:t>
            </w:r>
          </w:p>
        </w:tc>
      </w:tr>
      <w:tr w:rsidR="008B23D4" w14:paraId="660918DE" w14:textId="77777777" w:rsidTr="005A48A3">
        <w:trPr>
          <w:trHeight w:val="277"/>
        </w:trPr>
        <w:tc>
          <w:tcPr>
            <w:tcW w:w="0" w:type="auto"/>
            <w:tcBorders>
              <w:top w:val="single" w:sz="4" w:space="0" w:color="auto"/>
            </w:tcBorders>
          </w:tcPr>
          <w:p w14:paraId="3CA0EA4C"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lastRenderedPageBreak/>
              <w:t xml:space="preserve">Sex </w:t>
            </w:r>
          </w:p>
        </w:tc>
        <w:tc>
          <w:tcPr>
            <w:tcW w:w="956" w:type="dxa"/>
            <w:tcBorders>
              <w:top w:val="single" w:sz="4" w:space="0" w:color="auto"/>
            </w:tcBorders>
          </w:tcPr>
          <w:p w14:paraId="044936E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.007</w:t>
            </w:r>
          </w:p>
        </w:tc>
        <w:tc>
          <w:tcPr>
            <w:tcW w:w="1031" w:type="dxa"/>
            <w:tcBorders>
              <w:top w:val="single" w:sz="4" w:space="0" w:color="auto"/>
            </w:tcBorders>
          </w:tcPr>
          <w:p w14:paraId="07CC3F32"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.122</w:t>
            </w:r>
          </w:p>
        </w:tc>
        <w:tc>
          <w:tcPr>
            <w:tcW w:w="1245" w:type="dxa"/>
            <w:tcBorders>
              <w:top w:val="single" w:sz="4" w:space="0" w:color="auto"/>
            </w:tcBorders>
          </w:tcPr>
          <w:p w14:paraId="41A11DA2"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.081</w:t>
            </w:r>
          </w:p>
        </w:tc>
        <w:tc>
          <w:tcPr>
            <w:tcW w:w="1412" w:type="dxa"/>
            <w:tcBorders>
              <w:top w:val="single" w:sz="4" w:space="0" w:color="auto"/>
            </w:tcBorders>
          </w:tcPr>
          <w:p w14:paraId="5CFA99BB"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.144</w:t>
            </w:r>
          </w:p>
        </w:tc>
        <w:tc>
          <w:tcPr>
            <w:tcW w:w="1185" w:type="dxa"/>
            <w:tcBorders>
              <w:top w:val="single" w:sz="4" w:space="0" w:color="auto"/>
            </w:tcBorders>
          </w:tcPr>
          <w:p w14:paraId="14E87886"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.065</w:t>
            </w:r>
          </w:p>
        </w:tc>
        <w:tc>
          <w:tcPr>
            <w:tcW w:w="1122" w:type="dxa"/>
            <w:tcBorders>
              <w:top w:val="single" w:sz="4" w:space="0" w:color="auto"/>
            </w:tcBorders>
          </w:tcPr>
          <w:p w14:paraId="35645B23"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.187</w:t>
            </w:r>
          </w:p>
        </w:tc>
      </w:tr>
      <w:tr w:rsidR="008B23D4" w14:paraId="1E6A845B" w14:textId="77777777" w:rsidTr="005A48A3">
        <w:trPr>
          <w:trHeight w:val="277"/>
        </w:trPr>
        <w:tc>
          <w:tcPr>
            <w:tcW w:w="0" w:type="auto"/>
          </w:tcPr>
          <w:p w14:paraId="060BDD9C"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 xml:space="preserve">Age </w:t>
            </w:r>
          </w:p>
        </w:tc>
        <w:tc>
          <w:tcPr>
            <w:tcW w:w="956" w:type="dxa"/>
          </w:tcPr>
          <w:p w14:paraId="10415ECD"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.271</w:t>
            </w:r>
            <w:r w:rsidRPr="0004039B">
              <w:rPr>
                <w:rFonts w:ascii="Arial" w:hAnsi="Arial" w:cs="Arial"/>
                <w:color w:val="010205"/>
                <w:sz w:val="18"/>
                <w:szCs w:val="18"/>
                <w:vertAlign w:val="superscript"/>
              </w:rPr>
              <w:t>*</w:t>
            </w:r>
          </w:p>
        </w:tc>
        <w:tc>
          <w:tcPr>
            <w:tcW w:w="1031" w:type="dxa"/>
          </w:tcPr>
          <w:p w14:paraId="36DE89A2"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.079</w:t>
            </w:r>
          </w:p>
        </w:tc>
        <w:tc>
          <w:tcPr>
            <w:tcW w:w="1245" w:type="dxa"/>
          </w:tcPr>
          <w:p w14:paraId="1252D74F"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.403</w:t>
            </w:r>
            <w:r w:rsidRPr="0004039B">
              <w:rPr>
                <w:rFonts w:ascii="Arial" w:hAnsi="Arial" w:cs="Arial"/>
                <w:color w:val="010205"/>
                <w:sz w:val="18"/>
                <w:szCs w:val="18"/>
                <w:vertAlign w:val="superscript"/>
              </w:rPr>
              <w:t>**</w:t>
            </w:r>
          </w:p>
        </w:tc>
        <w:tc>
          <w:tcPr>
            <w:tcW w:w="1412" w:type="dxa"/>
          </w:tcPr>
          <w:p w14:paraId="0F1AA1CE"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.448</w:t>
            </w:r>
            <w:r w:rsidRPr="0004039B">
              <w:rPr>
                <w:rFonts w:ascii="Arial" w:hAnsi="Arial" w:cs="Arial"/>
                <w:color w:val="010205"/>
                <w:sz w:val="18"/>
                <w:szCs w:val="18"/>
                <w:vertAlign w:val="superscript"/>
              </w:rPr>
              <w:t>**</w:t>
            </w:r>
          </w:p>
        </w:tc>
        <w:tc>
          <w:tcPr>
            <w:tcW w:w="1185" w:type="dxa"/>
          </w:tcPr>
          <w:p w14:paraId="0BBE26D8"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.229</w:t>
            </w:r>
            <w:r w:rsidRPr="0004039B">
              <w:rPr>
                <w:rFonts w:ascii="Arial" w:hAnsi="Arial" w:cs="Arial"/>
                <w:color w:val="010205"/>
                <w:sz w:val="18"/>
                <w:szCs w:val="18"/>
                <w:vertAlign w:val="superscript"/>
              </w:rPr>
              <w:t>*</w:t>
            </w:r>
          </w:p>
        </w:tc>
        <w:tc>
          <w:tcPr>
            <w:tcW w:w="1122" w:type="dxa"/>
          </w:tcPr>
          <w:p w14:paraId="18E4D92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.090</w:t>
            </w:r>
          </w:p>
        </w:tc>
      </w:tr>
      <w:tr w:rsidR="008B23D4" w14:paraId="3B07B13A" w14:textId="77777777" w:rsidTr="005A48A3">
        <w:trPr>
          <w:trHeight w:val="277"/>
        </w:trPr>
        <w:tc>
          <w:tcPr>
            <w:tcW w:w="0" w:type="auto"/>
          </w:tcPr>
          <w:p w14:paraId="776467D4"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 xml:space="preserve">Occupation </w:t>
            </w:r>
          </w:p>
        </w:tc>
        <w:tc>
          <w:tcPr>
            <w:tcW w:w="956" w:type="dxa"/>
          </w:tcPr>
          <w:p w14:paraId="61F028E0"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.006</w:t>
            </w:r>
          </w:p>
        </w:tc>
        <w:tc>
          <w:tcPr>
            <w:tcW w:w="1031" w:type="dxa"/>
          </w:tcPr>
          <w:p w14:paraId="555CF2C3"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.499</w:t>
            </w:r>
            <w:r w:rsidRPr="0004039B">
              <w:rPr>
                <w:rFonts w:ascii="Arial" w:hAnsi="Arial" w:cs="Arial"/>
                <w:color w:val="010205"/>
                <w:sz w:val="18"/>
                <w:szCs w:val="18"/>
                <w:vertAlign w:val="superscript"/>
              </w:rPr>
              <w:t>*</w:t>
            </w:r>
          </w:p>
        </w:tc>
        <w:tc>
          <w:tcPr>
            <w:tcW w:w="1245" w:type="dxa"/>
          </w:tcPr>
          <w:p w14:paraId="69DA176D"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.074</w:t>
            </w:r>
          </w:p>
        </w:tc>
        <w:tc>
          <w:tcPr>
            <w:tcW w:w="1412" w:type="dxa"/>
          </w:tcPr>
          <w:p w14:paraId="6EC1A2B6"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.031</w:t>
            </w:r>
          </w:p>
        </w:tc>
        <w:tc>
          <w:tcPr>
            <w:tcW w:w="1185" w:type="dxa"/>
          </w:tcPr>
          <w:p w14:paraId="158C1276"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.234</w:t>
            </w:r>
            <w:r w:rsidRPr="0004039B">
              <w:rPr>
                <w:rFonts w:ascii="Arial" w:hAnsi="Arial" w:cs="Arial"/>
                <w:color w:val="010205"/>
                <w:sz w:val="18"/>
                <w:szCs w:val="18"/>
                <w:vertAlign w:val="superscript"/>
              </w:rPr>
              <w:t>*</w:t>
            </w:r>
          </w:p>
        </w:tc>
        <w:tc>
          <w:tcPr>
            <w:tcW w:w="1122" w:type="dxa"/>
          </w:tcPr>
          <w:p w14:paraId="39ACF38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.011</w:t>
            </w:r>
          </w:p>
        </w:tc>
      </w:tr>
      <w:tr w:rsidR="008B23D4" w14:paraId="7816A948" w14:textId="77777777" w:rsidTr="005A48A3">
        <w:trPr>
          <w:trHeight w:val="277"/>
        </w:trPr>
        <w:tc>
          <w:tcPr>
            <w:tcW w:w="0" w:type="auto"/>
          </w:tcPr>
          <w:p w14:paraId="3126CB79"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 xml:space="preserve">Residence </w:t>
            </w:r>
          </w:p>
        </w:tc>
        <w:tc>
          <w:tcPr>
            <w:tcW w:w="956" w:type="dxa"/>
          </w:tcPr>
          <w:p w14:paraId="3858ACC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.032</w:t>
            </w:r>
          </w:p>
        </w:tc>
        <w:tc>
          <w:tcPr>
            <w:tcW w:w="1031" w:type="dxa"/>
          </w:tcPr>
          <w:p w14:paraId="3CE96DF7"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.014</w:t>
            </w:r>
          </w:p>
        </w:tc>
        <w:tc>
          <w:tcPr>
            <w:tcW w:w="1245" w:type="dxa"/>
          </w:tcPr>
          <w:p w14:paraId="622C797D"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.088</w:t>
            </w:r>
          </w:p>
        </w:tc>
        <w:tc>
          <w:tcPr>
            <w:tcW w:w="1412" w:type="dxa"/>
          </w:tcPr>
          <w:p w14:paraId="5F3DABAA"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.065</w:t>
            </w:r>
          </w:p>
        </w:tc>
        <w:tc>
          <w:tcPr>
            <w:tcW w:w="1185" w:type="dxa"/>
          </w:tcPr>
          <w:p w14:paraId="5BEF913E"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.074</w:t>
            </w:r>
          </w:p>
        </w:tc>
        <w:tc>
          <w:tcPr>
            <w:tcW w:w="1122" w:type="dxa"/>
          </w:tcPr>
          <w:p w14:paraId="10A3D45D"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.023</w:t>
            </w:r>
          </w:p>
        </w:tc>
      </w:tr>
      <w:tr w:rsidR="008B23D4" w14:paraId="61967A41" w14:textId="77777777" w:rsidTr="005A48A3">
        <w:trPr>
          <w:trHeight w:val="277"/>
        </w:trPr>
        <w:tc>
          <w:tcPr>
            <w:tcW w:w="0" w:type="auto"/>
          </w:tcPr>
          <w:p w14:paraId="18692386"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 xml:space="preserve">Alcohol </w:t>
            </w:r>
          </w:p>
        </w:tc>
        <w:tc>
          <w:tcPr>
            <w:tcW w:w="956" w:type="dxa"/>
          </w:tcPr>
          <w:p w14:paraId="1484829B"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.110</w:t>
            </w:r>
          </w:p>
        </w:tc>
        <w:tc>
          <w:tcPr>
            <w:tcW w:w="1031" w:type="dxa"/>
          </w:tcPr>
          <w:p w14:paraId="3A932D4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.126</w:t>
            </w:r>
          </w:p>
        </w:tc>
        <w:tc>
          <w:tcPr>
            <w:tcW w:w="1245" w:type="dxa"/>
          </w:tcPr>
          <w:p w14:paraId="3B3BF240"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.163</w:t>
            </w:r>
          </w:p>
        </w:tc>
        <w:tc>
          <w:tcPr>
            <w:tcW w:w="1412" w:type="dxa"/>
          </w:tcPr>
          <w:p w14:paraId="05C960B6"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.078</w:t>
            </w:r>
          </w:p>
        </w:tc>
        <w:tc>
          <w:tcPr>
            <w:tcW w:w="1185" w:type="dxa"/>
          </w:tcPr>
          <w:p w14:paraId="198FE955"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.222</w:t>
            </w:r>
            <w:r w:rsidRPr="0004039B">
              <w:rPr>
                <w:rFonts w:ascii="Arial" w:hAnsi="Arial" w:cs="Arial"/>
                <w:color w:val="010205"/>
                <w:sz w:val="18"/>
                <w:szCs w:val="18"/>
                <w:vertAlign w:val="superscript"/>
              </w:rPr>
              <w:t>*</w:t>
            </w:r>
          </w:p>
        </w:tc>
        <w:tc>
          <w:tcPr>
            <w:tcW w:w="1122" w:type="dxa"/>
          </w:tcPr>
          <w:p w14:paraId="40F712BC"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.156</w:t>
            </w:r>
          </w:p>
        </w:tc>
      </w:tr>
      <w:tr w:rsidR="008B23D4" w14:paraId="668DD578" w14:textId="77777777" w:rsidTr="005A48A3">
        <w:trPr>
          <w:trHeight w:val="277"/>
        </w:trPr>
        <w:tc>
          <w:tcPr>
            <w:tcW w:w="0" w:type="auto"/>
          </w:tcPr>
          <w:p w14:paraId="64DD0626" w14:textId="77777777" w:rsidR="008B23D4" w:rsidRPr="00804AC1" w:rsidRDefault="008B23D4" w:rsidP="0098346C">
            <w:pPr>
              <w:autoSpaceDE w:val="0"/>
              <w:autoSpaceDN w:val="0"/>
              <w:adjustRightInd w:val="0"/>
              <w:rPr>
                <w:rFonts w:ascii="Times New Roman" w:hAnsi="Times New Roman" w:cs="Times New Roman"/>
                <w:b/>
                <w:sz w:val="24"/>
                <w:szCs w:val="24"/>
              </w:rPr>
            </w:pPr>
            <w:r>
              <w:rPr>
                <w:rFonts w:ascii="Arial" w:hAnsi="Arial" w:cs="Arial"/>
                <w:b/>
                <w:color w:val="264A60"/>
                <w:sz w:val="18"/>
                <w:szCs w:val="18"/>
              </w:rPr>
              <w:t>FBG</w:t>
            </w:r>
            <w:r w:rsidRPr="00804AC1">
              <w:rPr>
                <w:rFonts w:ascii="Arial" w:hAnsi="Arial" w:cs="Arial"/>
                <w:b/>
                <w:color w:val="264A60"/>
                <w:sz w:val="18"/>
                <w:szCs w:val="18"/>
              </w:rPr>
              <w:t xml:space="preserve"> </w:t>
            </w:r>
          </w:p>
        </w:tc>
        <w:tc>
          <w:tcPr>
            <w:tcW w:w="956" w:type="dxa"/>
          </w:tcPr>
          <w:p w14:paraId="0E41C74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c>
          <w:tcPr>
            <w:tcW w:w="1031" w:type="dxa"/>
          </w:tcPr>
          <w:p w14:paraId="0C86E914"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p>
        </w:tc>
        <w:tc>
          <w:tcPr>
            <w:tcW w:w="1245" w:type="dxa"/>
          </w:tcPr>
          <w:p w14:paraId="2EA86887"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.170</w:t>
            </w:r>
          </w:p>
        </w:tc>
        <w:tc>
          <w:tcPr>
            <w:tcW w:w="1412" w:type="dxa"/>
          </w:tcPr>
          <w:p w14:paraId="0DBEC8BB"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.221</w:t>
            </w:r>
            <w:r w:rsidRPr="0004039B">
              <w:rPr>
                <w:rFonts w:ascii="Arial" w:hAnsi="Arial" w:cs="Arial"/>
                <w:color w:val="010205"/>
                <w:sz w:val="18"/>
                <w:szCs w:val="18"/>
                <w:vertAlign w:val="superscript"/>
              </w:rPr>
              <w:t>*</w:t>
            </w:r>
          </w:p>
        </w:tc>
        <w:tc>
          <w:tcPr>
            <w:tcW w:w="1185" w:type="dxa"/>
          </w:tcPr>
          <w:p w14:paraId="6B275E8F"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.227</w:t>
            </w:r>
            <w:r w:rsidRPr="0004039B">
              <w:rPr>
                <w:rFonts w:ascii="Arial" w:hAnsi="Arial" w:cs="Arial"/>
                <w:color w:val="010205"/>
                <w:sz w:val="18"/>
                <w:szCs w:val="18"/>
                <w:vertAlign w:val="superscript"/>
              </w:rPr>
              <w:t>*</w:t>
            </w:r>
          </w:p>
        </w:tc>
        <w:tc>
          <w:tcPr>
            <w:tcW w:w="1122" w:type="dxa"/>
          </w:tcPr>
          <w:p w14:paraId="60638FBB"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.148</w:t>
            </w:r>
          </w:p>
        </w:tc>
      </w:tr>
      <w:tr w:rsidR="008B23D4" w14:paraId="44F9B3AC" w14:textId="77777777" w:rsidTr="005A48A3">
        <w:trPr>
          <w:trHeight w:val="277"/>
        </w:trPr>
        <w:tc>
          <w:tcPr>
            <w:tcW w:w="0" w:type="auto"/>
          </w:tcPr>
          <w:p w14:paraId="6A4342F2" w14:textId="77777777" w:rsidR="008B23D4" w:rsidRPr="00804AC1" w:rsidRDefault="008B23D4" w:rsidP="0098346C">
            <w:pPr>
              <w:autoSpaceDE w:val="0"/>
              <w:autoSpaceDN w:val="0"/>
              <w:adjustRightInd w:val="0"/>
              <w:rPr>
                <w:rFonts w:ascii="Times New Roman" w:hAnsi="Times New Roman" w:cs="Times New Roman"/>
                <w:b/>
                <w:sz w:val="24"/>
                <w:szCs w:val="24"/>
              </w:rPr>
            </w:pPr>
            <w:r>
              <w:rPr>
                <w:rFonts w:ascii="Arial" w:hAnsi="Arial" w:cs="Arial"/>
                <w:b/>
                <w:color w:val="264A60"/>
                <w:sz w:val="18"/>
                <w:szCs w:val="18"/>
              </w:rPr>
              <w:t>RBG</w:t>
            </w:r>
          </w:p>
        </w:tc>
        <w:tc>
          <w:tcPr>
            <w:tcW w:w="956" w:type="dxa"/>
          </w:tcPr>
          <w:p w14:paraId="316C1C66"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p>
        </w:tc>
        <w:tc>
          <w:tcPr>
            <w:tcW w:w="1031" w:type="dxa"/>
          </w:tcPr>
          <w:p w14:paraId="1B8A50C5"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c>
          <w:tcPr>
            <w:tcW w:w="1245" w:type="dxa"/>
          </w:tcPr>
          <w:p w14:paraId="244955A2"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.303</w:t>
            </w:r>
          </w:p>
        </w:tc>
        <w:tc>
          <w:tcPr>
            <w:tcW w:w="1412" w:type="dxa"/>
          </w:tcPr>
          <w:p w14:paraId="2C66E6F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.450</w:t>
            </w:r>
          </w:p>
        </w:tc>
        <w:tc>
          <w:tcPr>
            <w:tcW w:w="1185" w:type="dxa"/>
          </w:tcPr>
          <w:p w14:paraId="02B68325"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.127</w:t>
            </w:r>
          </w:p>
        </w:tc>
        <w:tc>
          <w:tcPr>
            <w:tcW w:w="1122" w:type="dxa"/>
          </w:tcPr>
          <w:p w14:paraId="2ED1E2E2"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.004</w:t>
            </w:r>
          </w:p>
        </w:tc>
      </w:tr>
      <w:tr w:rsidR="008B23D4" w14:paraId="5545DE0F" w14:textId="77777777" w:rsidTr="005A48A3">
        <w:trPr>
          <w:trHeight w:val="295"/>
        </w:trPr>
        <w:tc>
          <w:tcPr>
            <w:tcW w:w="0" w:type="auto"/>
          </w:tcPr>
          <w:p w14:paraId="3A6EA779" w14:textId="790A780C"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Systolic B</w:t>
            </w:r>
            <w:r w:rsidR="0044251C">
              <w:rPr>
                <w:rFonts w:ascii="Arial" w:hAnsi="Arial" w:cs="Arial"/>
                <w:b/>
                <w:color w:val="264A60"/>
                <w:sz w:val="18"/>
                <w:szCs w:val="18"/>
              </w:rPr>
              <w:t>P</w:t>
            </w:r>
          </w:p>
        </w:tc>
        <w:tc>
          <w:tcPr>
            <w:tcW w:w="956" w:type="dxa"/>
          </w:tcPr>
          <w:p w14:paraId="421BAC9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.170</w:t>
            </w:r>
          </w:p>
        </w:tc>
        <w:tc>
          <w:tcPr>
            <w:tcW w:w="1031" w:type="dxa"/>
          </w:tcPr>
          <w:p w14:paraId="3AB807D3"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.303</w:t>
            </w:r>
          </w:p>
        </w:tc>
        <w:tc>
          <w:tcPr>
            <w:tcW w:w="1245" w:type="dxa"/>
          </w:tcPr>
          <w:p w14:paraId="4110F8A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c>
          <w:tcPr>
            <w:tcW w:w="1412" w:type="dxa"/>
          </w:tcPr>
          <w:p w14:paraId="431EFD33"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.817</w:t>
            </w:r>
            <w:r w:rsidRPr="0004039B">
              <w:rPr>
                <w:rFonts w:ascii="Arial" w:hAnsi="Arial" w:cs="Arial"/>
                <w:color w:val="010205"/>
                <w:sz w:val="18"/>
                <w:szCs w:val="18"/>
                <w:vertAlign w:val="superscript"/>
              </w:rPr>
              <w:t>**</w:t>
            </w:r>
          </w:p>
        </w:tc>
        <w:tc>
          <w:tcPr>
            <w:tcW w:w="1185" w:type="dxa"/>
          </w:tcPr>
          <w:p w14:paraId="16E456A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.401</w:t>
            </w:r>
            <w:r w:rsidRPr="0004039B">
              <w:rPr>
                <w:rFonts w:ascii="Arial" w:hAnsi="Arial" w:cs="Arial"/>
                <w:color w:val="010205"/>
                <w:sz w:val="18"/>
                <w:szCs w:val="18"/>
                <w:vertAlign w:val="superscript"/>
              </w:rPr>
              <w:t>**</w:t>
            </w:r>
          </w:p>
        </w:tc>
        <w:tc>
          <w:tcPr>
            <w:tcW w:w="1122" w:type="dxa"/>
          </w:tcPr>
          <w:p w14:paraId="50DD4FA9"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.085</w:t>
            </w:r>
          </w:p>
        </w:tc>
      </w:tr>
      <w:tr w:rsidR="008B23D4" w14:paraId="7A856205" w14:textId="77777777" w:rsidTr="005A48A3">
        <w:trPr>
          <w:trHeight w:val="277"/>
        </w:trPr>
        <w:tc>
          <w:tcPr>
            <w:tcW w:w="0" w:type="auto"/>
          </w:tcPr>
          <w:p w14:paraId="7464D337" w14:textId="6B7E525F"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Diastolic B</w:t>
            </w:r>
            <w:r w:rsidR="0044251C">
              <w:rPr>
                <w:rFonts w:ascii="Arial" w:hAnsi="Arial" w:cs="Arial"/>
                <w:b/>
                <w:color w:val="264A60"/>
                <w:sz w:val="18"/>
                <w:szCs w:val="18"/>
              </w:rPr>
              <w:t>P</w:t>
            </w:r>
          </w:p>
        </w:tc>
        <w:tc>
          <w:tcPr>
            <w:tcW w:w="956" w:type="dxa"/>
          </w:tcPr>
          <w:p w14:paraId="5B07E927"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.221</w:t>
            </w:r>
            <w:r w:rsidRPr="0004039B">
              <w:rPr>
                <w:rFonts w:ascii="Arial" w:hAnsi="Arial" w:cs="Arial"/>
                <w:color w:val="010205"/>
                <w:sz w:val="18"/>
                <w:szCs w:val="18"/>
                <w:vertAlign w:val="superscript"/>
              </w:rPr>
              <w:t>*</w:t>
            </w:r>
          </w:p>
        </w:tc>
        <w:tc>
          <w:tcPr>
            <w:tcW w:w="1031" w:type="dxa"/>
          </w:tcPr>
          <w:p w14:paraId="598866E4"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.450</w:t>
            </w:r>
          </w:p>
        </w:tc>
        <w:tc>
          <w:tcPr>
            <w:tcW w:w="1245" w:type="dxa"/>
          </w:tcPr>
          <w:p w14:paraId="60E01DFB"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.817</w:t>
            </w:r>
            <w:r w:rsidRPr="0004039B">
              <w:rPr>
                <w:rFonts w:ascii="Arial" w:hAnsi="Arial" w:cs="Arial"/>
                <w:color w:val="010205"/>
                <w:sz w:val="18"/>
                <w:szCs w:val="18"/>
                <w:vertAlign w:val="superscript"/>
              </w:rPr>
              <w:t>**</w:t>
            </w:r>
          </w:p>
        </w:tc>
        <w:tc>
          <w:tcPr>
            <w:tcW w:w="1412" w:type="dxa"/>
          </w:tcPr>
          <w:p w14:paraId="10EB0845"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c>
          <w:tcPr>
            <w:tcW w:w="1185" w:type="dxa"/>
          </w:tcPr>
          <w:p w14:paraId="23A8E9A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.366</w:t>
            </w:r>
            <w:r w:rsidRPr="0004039B">
              <w:rPr>
                <w:rFonts w:ascii="Arial" w:hAnsi="Arial" w:cs="Arial"/>
                <w:color w:val="010205"/>
                <w:sz w:val="18"/>
                <w:szCs w:val="18"/>
                <w:vertAlign w:val="superscript"/>
              </w:rPr>
              <w:t>**</w:t>
            </w:r>
          </w:p>
        </w:tc>
        <w:tc>
          <w:tcPr>
            <w:tcW w:w="1122" w:type="dxa"/>
          </w:tcPr>
          <w:p w14:paraId="22177F8F"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.112</w:t>
            </w:r>
          </w:p>
        </w:tc>
      </w:tr>
      <w:tr w:rsidR="008B23D4" w14:paraId="0033677B" w14:textId="77777777" w:rsidTr="005A48A3">
        <w:trPr>
          <w:trHeight w:val="277"/>
        </w:trPr>
        <w:tc>
          <w:tcPr>
            <w:tcW w:w="0" w:type="auto"/>
          </w:tcPr>
          <w:p w14:paraId="6A0E482F"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BMI</w:t>
            </w:r>
          </w:p>
        </w:tc>
        <w:tc>
          <w:tcPr>
            <w:tcW w:w="956" w:type="dxa"/>
          </w:tcPr>
          <w:p w14:paraId="40F42258"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.227</w:t>
            </w:r>
            <w:r w:rsidRPr="0004039B">
              <w:rPr>
                <w:rFonts w:ascii="Arial" w:hAnsi="Arial" w:cs="Arial"/>
                <w:color w:val="010205"/>
                <w:sz w:val="18"/>
                <w:szCs w:val="18"/>
                <w:vertAlign w:val="superscript"/>
              </w:rPr>
              <w:t>*</w:t>
            </w:r>
          </w:p>
        </w:tc>
        <w:tc>
          <w:tcPr>
            <w:tcW w:w="1031" w:type="dxa"/>
          </w:tcPr>
          <w:p w14:paraId="70D659B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w:t>
            </w:r>
            <w:r>
              <w:rPr>
                <w:rFonts w:ascii="Arial" w:hAnsi="Arial" w:cs="Arial"/>
                <w:color w:val="010205"/>
                <w:sz w:val="18"/>
                <w:szCs w:val="18"/>
              </w:rPr>
              <w:t>0</w:t>
            </w:r>
            <w:r w:rsidRPr="0004039B">
              <w:rPr>
                <w:rFonts w:ascii="Arial" w:hAnsi="Arial" w:cs="Arial"/>
                <w:color w:val="010205"/>
                <w:sz w:val="18"/>
                <w:szCs w:val="18"/>
              </w:rPr>
              <w:t>.127</w:t>
            </w:r>
          </w:p>
        </w:tc>
        <w:tc>
          <w:tcPr>
            <w:tcW w:w="1245" w:type="dxa"/>
          </w:tcPr>
          <w:p w14:paraId="6A3BBF54"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.401</w:t>
            </w:r>
            <w:r w:rsidRPr="0004039B">
              <w:rPr>
                <w:rFonts w:ascii="Arial" w:hAnsi="Arial" w:cs="Arial"/>
                <w:color w:val="010205"/>
                <w:sz w:val="18"/>
                <w:szCs w:val="18"/>
                <w:vertAlign w:val="superscript"/>
              </w:rPr>
              <w:t>**</w:t>
            </w:r>
          </w:p>
        </w:tc>
        <w:tc>
          <w:tcPr>
            <w:tcW w:w="1412" w:type="dxa"/>
          </w:tcPr>
          <w:p w14:paraId="1127E63D"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.366</w:t>
            </w:r>
            <w:r w:rsidRPr="0004039B">
              <w:rPr>
                <w:rFonts w:ascii="Arial" w:hAnsi="Arial" w:cs="Arial"/>
                <w:color w:val="010205"/>
                <w:sz w:val="18"/>
                <w:szCs w:val="18"/>
                <w:vertAlign w:val="superscript"/>
              </w:rPr>
              <w:t>**</w:t>
            </w:r>
          </w:p>
        </w:tc>
        <w:tc>
          <w:tcPr>
            <w:tcW w:w="1185" w:type="dxa"/>
          </w:tcPr>
          <w:p w14:paraId="42B87B24"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c>
          <w:tcPr>
            <w:tcW w:w="1122" w:type="dxa"/>
          </w:tcPr>
          <w:p w14:paraId="3A58EAC5"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.193</w:t>
            </w:r>
          </w:p>
        </w:tc>
      </w:tr>
      <w:tr w:rsidR="008B23D4" w14:paraId="5FC9C17E" w14:textId="77777777" w:rsidTr="005A48A3">
        <w:trPr>
          <w:trHeight w:val="277"/>
        </w:trPr>
        <w:tc>
          <w:tcPr>
            <w:tcW w:w="0" w:type="auto"/>
            <w:tcBorders>
              <w:bottom w:val="single" w:sz="4" w:space="0" w:color="auto"/>
            </w:tcBorders>
          </w:tcPr>
          <w:p w14:paraId="4F1579FA" w14:textId="77777777" w:rsidR="008B23D4" w:rsidRPr="00804AC1" w:rsidRDefault="008B23D4" w:rsidP="0098346C">
            <w:pPr>
              <w:autoSpaceDE w:val="0"/>
              <w:autoSpaceDN w:val="0"/>
              <w:adjustRightInd w:val="0"/>
              <w:rPr>
                <w:rFonts w:ascii="Times New Roman" w:hAnsi="Times New Roman" w:cs="Times New Roman"/>
                <w:b/>
                <w:sz w:val="24"/>
                <w:szCs w:val="24"/>
              </w:rPr>
            </w:pPr>
            <w:r w:rsidRPr="00804AC1">
              <w:rPr>
                <w:rFonts w:ascii="Arial" w:hAnsi="Arial" w:cs="Arial"/>
                <w:b/>
                <w:color w:val="264A60"/>
                <w:sz w:val="18"/>
                <w:szCs w:val="18"/>
              </w:rPr>
              <w:t xml:space="preserve">Waist/hip </w:t>
            </w:r>
          </w:p>
        </w:tc>
        <w:tc>
          <w:tcPr>
            <w:tcW w:w="956" w:type="dxa"/>
            <w:tcBorders>
              <w:bottom w:val="single" w:sz="4" w:space="0" w:color="auto"/>
            </w:tcBorders>
          </w:tcPr>
          <w:p w14:paraId="05F550AE"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.148</w:t>
            </w:r>
          </w:p>
        </w:tc>
        <w:tc>
          <w:tcPr>
            <w:tcW w:w="1031" w:type="dxa"/>
            <w:tcBorders>
              <w:bottom w:val="single" w:sz="4" w:space="0" w:color="auto"/>
            </w:tcBorders>
          </w:tcPr>
          <w:p w14:paraId="2F24D171"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.004</w:t>
            </w:r>
          </w:p>
        </w:tc>
        <w:tc>
          <w:tcPr>
            <w:tcW w:w="1245" w:type="dxa"/>
            <w:tcBorders>
              <w:bottom w:val="single" w:sz="4" w:space="0" w:color="auto"/>
            </w:tcBorders>
          </w:tcPr>
          <w:p w14:paraId="3283B8AA"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.085</w:t>
            </w:r>
          </w:p>
        </w:tc>
        <w:tc>
          <w:tcPr>
            <w:tcW w:w="1412" w:type="dxa"/>
            <w:tcBorders>
              <w:bottom w:val="single" w:sz="4" w:space="0" w:color="auto"/>
            </w:tcBorders>
          </w:tcPr>
          <w:p w14:paraId="025018B8"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.112</w:t>
            </w:r>
          </w:p>
        </w:tc>
        <w:tc>
          <w:tcPr>
            <w:tcW w:w="1185" w:type="dxa"/>
            <w:tcBorders>
              <w:bottom w:val="single" w:sz="4" w:space="0" w:color="auto"/>
            </w:tcBorders>
          </w:tcPr>
          <w:p w14:paraId="55D0FED8"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w:t>
            </w:r>
            <w:r w:rsidRPr="0004039B">
              <w:rPr>
                <w:rFonts w:ascii="Arial" w:hAnsi="Arial" w:cs="Arial"/>
                <w:color w:val="010205"/>
                <w:sz w:val="18"/>
                <w:szCs w:val="18"/>
              </w:rPr>
              <w:t>.193</w:t>
            </w:r>
          </w:p>
        </w:tc>
        <w:tc>
          <w:tcPr>
            <w:tcW w:w="1122" w:type="dxa"/>
            <w:tcBorders>
              <w:bottom w:val="single" w:sz="4" w:space="0" w:color="auto"/>
            </w:tcBorders>
          </w:tcPr>
          <w:p w14:paraId="4DCD808F" w14:textId="77777777" w:rsidR="008B23D4" w:rsidRPr="0004039B" w:rsidRDefault="008B23D4" w:rsidP="0098346C">
            <w:pPr>
              <w:autoSpaceDE w:val="0"/>
              <w:autoSpaceDN w:val="0"/>
              <w:adjustRightInd w:val="0"/>
              <w:spacing w:line="320" w:lineRule="atLeast"/>
              <w:ind w:left="60" w:right="60"/>
              <w:jc w:val="right"/>
              <w:rPr>
                <w:rFonts w:ascii="Arial" w:hAnsi="Arial" w:cs="Arial"/>
                <w:color w:val="010205"/>
                <w:sz w:val="18"/>
                <w:szCs w:val="18"/>
              </w:rPr>
            </w:pPr>
            <w:r w:rsidRPr="0004039B">
              <w:rPr>
                <w:rFonts w:ascii="Arial" w:hAnsi="Arial" w:cs="Arial"/>
                <w:color w:val="010205"/>
                <w:sz w:val="18"/>
                <w:szCs w:val="18"/>
              </w:rPr>
              <w:t>1.000</w:t>
            </w:r>
          </w:p>
        </w:tc>
      </w:tr>
    </w:tbl>
    <w:p w14:paraId="5A10ECEB" w14:textId="79A2DA90" w:rsidR="008B23D4" w:rsidRPr="00732343" w:rsidRDefault="0044251C" w:rsidP="008B23D4">
      <w:pPr>
        <w:autoSpaceDE w:val="0"/>
        <w:autoSpaceDN w:val="0"/>
        <w:adjustRightInd w:val="0"/>
        <w:spacing w:after="0" w:line="240" w:lineRule="auto"/>
        <w:rPr>
          <w:rFonts w:ascii="Times New Roman" w:hAnsi="Times New Roman" w:cs="Times New Roman"/>
          <w:i/>
          <w:iCs/>
          <w:sz w:val="24"/>
          <w:szCs w:val="24"/>
        </w:rPr>
      </w:pPr>
      <w:r w:rsidRPr="00732343">
        <w:rPr>
          <w:rStyle w:val="Strong"/>
          <w:b w:val="0"/>
          <w:bCs w:val="0"/>
          <w:i/>
          <w:iCs/>
          <w:sz w:val="18"/>
          <w:szCs w:val="18"/>
        </w:rPr>
        <w:t>FBG- fasting blood glucose, RBG- random blood glucose, BP- blood pressure, BMI- body mass index</w:t>
      </w:r>
    </w:p>
    <w:p w14:paraId="5821C62C" w14:textId="7625DC84" w:rsidR="008B23D4" w:rsidRPr="00FA0419" w:rsidRDefault="008B23D4" w:rsidP="008B23D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A0419">
        <w:rPr>
          <w:rFonts w:ascii="Times New Roman" w:eastAsia="Times New Roman" w:hAnsi="Times New Roman" w:cs="Times New Roman"/>
          <w:sz w:val="24"/>
          <w:szCs w:val="24"/>
          <w:lang w:eastAsia="en-GB"/>
        </w:rPr>
        <w:t xml:space="preserve">The table presents correlation coefficients between </w:t>
      </w:r>
      <w:r>
        <w:rPr>
          <w:rFonts w:ascii="Times New Roman" w:eastAsia="Times New Roman" w:hAnsi="Times New Roman" w:cs="Times New Roman"/>
          <w:sz w:val="24"/>
          <w:szCs w:val="24"/>
          <w:lang w:eastAsia="en-GB"/>
        </w:rPr>
        <w:t>fasting blood glucose</w:t>
      </w:r>
      <w:r w:rsidRPr="00FA041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FBG</w:t>
      </w:r>
      <w:r w:rsidRPr="00FA041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random blood glucose</w:t>
      </w:r>
      <w:r w:rsidRPr="00FA041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RBG</w:t>
      </w:r>
      <w:r w:rsidRPr="00FA0419">
        <w:rPr>
          <w:rFonts w:ascii="Times New Roman" w:eastAsia="Times New Roman" w:hAnsi="Times New Roman" w:cs="Times New Roman"/>
          <w:sz w:val="24"/>
          <w:szCs w:val="24"/>
          <w:lang w:eastAsia="en-GB"/>
        </w:rPr>
        <w:t xml:space="preserve">), blood pressure (systolic and diastolic), body mass index (BMI), and waist-to-hip ratio </w:t>
      </w:r>
      <w:r w:rsidRPr="00723E70">
        <w:rPr>
          <w:rFonts w:ascii="Times New Roman" w:eastAsia="Times New Roman" w:hAnsi="Times New Roman" w:cs="Times New Roman"/>
          <w:sz w:val="24"/>
          <w:szCs w:val="24"/>
          <w:lang w:eastAsia="en-GB"/>
        </w:rPr>
        <w:t>with various demographic and lifestyle factors.</w:t>
      </w:r>
      <w:r w:rsidR="00723E70" w:rsidRPr="00723E70">
        <w:rPr>
          <w:rFonts w:ascii="Times New Roman" w:eastAsia="Times New Roman" w:hAnsi="Times New Roman" w:cs="Times New Roman"/>
          <w:sz w:val="24"/>
          <w:szCs w:val="24"/>
          <w:lang w:eastAsia="en-GB"/>
        </w:rPr>
        <w:t xml:space="preserve"> </w:t>
      </w:r>
      <w:r w:rsidRPr="00723E70">
        <w:rPr>
          <w:rFonts w:ascii="Times New Roman" w:eastAsia="Times New Roman" w:hAnsi="Times New Roman" w:cs="Times New Roman"/>
          <w:sz w:val="24"/>
          <w:szCs w:val="24"/>
          <w:lang w:eastAsia="en-GB"/>
        </w:rPr>
        <w:t>Sex showed weak, non-significant correlations with all parameters, with the strongest being a negative correlation with waist-to-hip ratio (r = -0.19).</w:t>
      </w:r>
      <w:r w:rsidR="00723E70">
        <w:rPr>
          <w:rFonts w:ascii="Times New Roman" w:eastAsia="Times New Roman" w:hAnsi="Times New Roman" w:cs="Times New Roman"/>
          <w:sz w:val="24"/>
          <w:szCs w:val="24"/>
          <w:lang w:eastAsia="en-GB"/>
        </w:rPr>
        <w:t xml:space="preserve"> The a</w:t>
      </w:r>
      <w:r w:rsidRPr="00723E70">
        <w:rPr>
          <w:rFonts w:ascii="Times New Roman" w:eastAsia="Times New Roman" w:hAnsi="Times New Roman" w:cs="Times New Roman"/>
          <w:sz w:val="24"/>
          <w:szCs w:val="24"/>
          <w:lang w:eastAsia="en-GB"/>
        </w:rPr>
        <w:t>ge positively correlated with FBG (r = 0.27, p &lt; 0.05), systolic BP (r = 0.40, p &lt; 0.01), diastolic BP (r = 0.45, p &lt; 0.01), and BMI (r = 0.23, p &lt; 0.05), indicating an association between increasing age and these health markers.</w:t>
      </w:r>
      <w:r w:rsidR="00723E70">
        <w:rPr>
          <w:rFonts w:ascii="Times New Roman" w:eastAsia="Times New Roman" w:hAnsi="Times New Roman" w:cs="Times New Roman"/>
          <w:sz w:val="24"/>
          <w:szCs w:val="24"/>
          <w:lang w:eastAsia="en-GB"/>
        </w:rPr>
        <w:t xml:space="preserve"> </w:t>
      </w:r>
      <w:r w:rsidRPr="00723E70">
        <w:rPr>
          <w:rFonts w:ascii="Times New Roman" w:eastAsia="Times New Roman" w:hAnsi="Times New Roman" w:cs="Times New Roman"/>
          <w:sz w:val="24"/>
          <w:szCs w:val="24"/>
          <w:lang w:eastAsia="en-GB"/>
        </w:rPr>
        <w:t xml:space="preserve">Occupation significantly </w:t>
      </w:r>
      <w:r w:rsidR="00723E70" w:rsidRPr="00723E70">
        <w:rPr>
          <w:rFonts w:ascii="Times New Roman" w:eastAsia="Times New Roman" w:hAnsi="Times New Roman" w:cs="Times New Roman"/>
          <w:sz w:val="24"/>
          <w:szCs w:val="24"/>
          <w:lang w:eastAsia="en-GB"/>
        </w:rPr>
        <w:t xml:space="preserve">correlated </w:t>
      </w:r>
      <w:r w:rsidRPr="00723E70">
        <w:rPr>
          <w:rFonts w:ascii="Times New Roman" w:eastAsia="Times New Roman" w:hAnsi="Times New Roman" w:cs="Times New Roman"/>
          <w:sz w:val="24"/>
          <w:szCs w:val="24"/>
          <w:lang w:eastAsia="en-GB"/>
        </w:rPr>
        <w:t>negatively with RBG (r = -0.49, p &lt; 0.05) and BMI (r = -0.23, p &lt; 0.05), suggesting an inverse relationship between occupational status and these parameters.</w:t>
      </w:r>
      <w:r w:rsidR="00723E70" w:rsidRPr="00723E70">
        <w:t xml:space="preserve"> </w:t>
      </w:r>
      <w:r w:rsidR="00723E70" w:rsidRPr="00723E70">
        <w:rPr>
          <w:rFonts w:ascii="Times New Roman" w:eastAsia="Times New Roman" w:hAnsi="Times New Roman" w:cs="Times New Roman"/>
          <w:sz w:val="24"/>
          <w:szCs w:val="24"/>
          <w:lang w:eastAsia="en-GB"/>
        </w:rPr>
        <w:t>The FBG significantly correlated with diastolic BP (r = 0.22, p &lt; 0.05) and BMI (r = 0.23, p &lt; 0.05), suggesting that higher fasting blood glucose may be linked to increased blood pressure and body mass.</w:t>
      </w:r>
      <w:r w:rsidR="00723E70">
        <w:rPr>
          <w:rFonts w:ascii="Times New Roman" w:eastAsia="Times New Roman" w:hAnsi="Times New Roman" w:cs="Times New Roman"/>
          <w:sz w:val="24"/>
          <w:szCs w:val="24"/>
          <w:lang w:eastAsia="en-GB"/>
        </w:rPr>
        <w:t xml:space="preserve"> </w:t>
      </w:r>
      <w:r w:rsidR="00723E70" w:rsidRPr="00723E70">
        <w:rPr>
          <w:rFonts w:ascii="Times New Roman" w:eastAsia="Times New Roman" w:hAnsi="Times New Roman" w:cs="Times New Roman"/>
          <w:sz w:val="24"/>
          <w:szCs w:val="24"/>
          <w:lang w:eastAsia="en-GB"/>
        </w:rPr>
        <w:t>Systolic and diastolic BP strongly correlated with each other (r = 0.82, p &lt; 0.01) and with BMI (r = 0.40, p &lt; 0.01 and r = 0.37, p &lt; 0.01, respectively), reinforcing the link between obesity and hypertension.</w:t>
      </w:r>
      <w:r w:rsidR="00723E70" w:rsidRPr="00723E70">
        <w:t xml:space="preserve"> </w:t>
      </w:r>
      <w:r w:rsidR="00723E70" w:rsidRPr="00723E70">
        <w:rPr>
          <w:rFonts w:ascii="Times New Roman" w:eastAsia="Times New Roman" w:hAnsi="Times New Roman" w:cs="Times New Roman"/>
          <w:sz w:val="24"/>
          <w:szCs w:val="24"/>
          <w:lang w:eastAsia="en-GB"/>
        </w:rPr>
        <w:t>Alcohol consumption correlated negatively with BMI (r = -0.22, p &lt; 0.05), indicating that alcohol consumption was associated with lower BMI.</w:t>
      </w:r>
      <w:r w:rsidR="00723E70" w:rsidRPr="00723E70">
        <w:t xml:space="preserve"> </w:t>
      </w:r>
      <w:r w:rsidR="00723E70" w:rsidRPr="00723E70">
        <w:rPr>
          <w:rFonts w:ascii="Times New Roman" w:eastAsia="Times New Roman" w:hAnsi="Times New Roman" w:cs="Times New Roman"/>
          <w:sz w:val="24"/>
          <w:szCs w:val="24"/>
          <w:lang w:eastAsia="en-GB"/>
        </w:rPr>
        <w:t>Residence in rural, urban and city showed weak, non-significant correlations with all blood glucose and cardiovascular parameters.</w:t>
      </w:r>
      <w:r w:rsidR="00723E70">
        <w:rPr>
          <w:rFonts w:ascii="Times New Roman" w:eastAsia="Times New Roman" w:hAnsi="Times New Roman" w:cs="Times New Roman"/>
          <w:sz w:val="24"/>
          <w:szCs w:val="24"/>
          <w:lang w:eastAsia="en-GB"/>
        </w:rPr>
        <w:t xml:space="preserve"> </w:t>
      </w:r>
      <w:r w:rsidRPr="00FA0419">
        <w:rPr>
          <w:rFonts w:ascii="Times New Roman" w:eastAsia="Times New Roman" w:hAnsi="Times New Roman" w:cs="Times New Roman"/>
          <w:sz w:val="24"/>
          <w:szCs w:val="24"/>
          <w:lang w:eastAsia="en-GB"/>
        </w:rPr>
        <w:t xml:space="preserve">Overall, age, occupation, and BMI emerged as important factors influencing </w:t>
      </w:r>
      <w:r>
        <w:rPr>
          <w:rFonts w:ascii="Times New Roman" w:eastAsia="Times New Roman" w:hAnsi="Times New Roman" w:cs="Times New Roman"/>
          <w:sz w:val="24"/>
          <w:szCs w:val="24"/>
          <w:lang w:eastAsia="en-GB"/>
        </w:rPr>
        <w:t>blood glucose</w:t>
      </w:r>
      <w:r w:rsidRPr="00FA0419">
        <w:rPr>
          <w:rFonts w:ascii="Times New Roman" w:eastAsia="Times New Roman" w:hAnsi="Times New Roman" w:cs="Times New Roman"/>
          <w:sz w:val="24"/>
          <w:szCs w:val="24"/>
          <w:lang w:eastAsia="en-GB"/>
        </w:rPr>
        <w:t xml:space="preserve"> and cardiovascular health parameters in this study.</w:t>
      </w:r>
    </w:p>
    <w:p w14:paraId="4900EC76" w14:textId="6DA7B542" w:rsidR="00FA0419" w:rsidRPr="005A48A3" w:rsidRDefault="00FA0419" w:rsidP="00FA0419">
      <w:pPr>
        <w:pStyle w:val="Heading3"/>
        <w:rPr>
          <w:sz w:val="23"/>
          <w:szCs w:val="23"/>
        </w:rPr>
      </w:pPr>
      <w:r w:rsidRPr="005A48A3">
        <w:rPr>
          <w:rStyle w:val="Strong"/>
          <w:b/>
          <w:bCs/>
          <w:sz w:val="23"/>
          <w:szCs w:val="23"/>
        </w:rPr>
        <w:t xml:space="preserve">Table </w:t>
      </w:r>
      <w:r w:rsidR="00C36FD0" w:rsidRPr="005A48A3">
        <w:rPr>
          <w:rStyle w:val="Strong"/>
          <w:b/>
          <w:bCs/>
          <w:sz w:val="23"/>
          <w:szCs w:val="23"/>
        </w:rPr>
        <w:t>3</w:t>
      </w:r>
      <w:r w:rsidRPr="005A48A3">
        <w:rPr>
          <w:rStyle w:val="Strong"/>
          <w:b/>
          <w:bCs/>
          <w:sz w:val="23"/>
          <w:szCs w:val="23"/>
        </w:rPr>
        <w:t xml:space="preserve">: </w:t>
      </w:r>
      <w:r w:rsidRPr="005A48A3">
        <w:rPr>
          <w:rStyle w:val="Strong"/>
          <w:sz w:val="23"/>
          <w:szCs w:val="23"/>
        </w:rPr>
        <w:t xml:space="preserve">Comparison of </w:t>
      </w:r>
      <w:r w:rsidR="008B23D4" w:rsidRPr="005A48A3">
        <w:rPr>
          <w:rStyle w:val="Strong"/>
          <w:sz w:val="23"/>
          <w:szCs w:val="23"/>
        </w:rPr>
        <w:t>Blood Glucose Values</w:t>
      </w:r>
      <w:r w:rsidRPr="005A48A3">
        <w:rPr>
          <w:rStyle w:val="Strong"/>
          <w:sz w:val="23"/>
          <w:szCs w:val="23"/>
        </w:rPr>
        <w:t xml:space="preserve"> and Cardiovascular Parameters Between Males and Females</w:t>
      </w:r>
    </w:p>
    <w:tbl>
      <w:tblPr>
        <w:tblStyle w:val="TableGrid"/>
        <w:tblW w:w="8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055"/>
        <w:gridCol w:w="2282"/>
        <w:gridCol w:w="1313"/>
        <w:gridCol w:w="1130"/>
      </w:tblGrid>
      <w:tr w:rsidR="0051253C" w:rsidRPr="0051253C" w14:paraId="523E347C" w14:textId="77777777" w:rsidTr="005A48A3">
        <w:trPr>
          <w:trHeight w:val="251"/>
          <w:jc w:val="center"/>
        </w:trPr>
        <w:tc>
          <w:tcPr>
            <w:tcW w:w="1615" w:type="dxa"/>
            <w:tcBorders>
              <w:top w:val="single" w:sz="4" w:space="0" w:color="auto"/>
              <w:bottom w:val="single" w:sz="4" w:space="0" w:color="auto"/>
            </w:tcBorders>
          </w:tcPr>
          <w:p w14:paraId="437C466E" w14:textId="77777777" w:rsidR="00D96AE3" w:rsidRPr="0051253C" w:rsidRDefault="00D96AE3" w:rsidP="00E107DB">
            <w:pPr>
              <w:spacing w:before="100" w:beforeAutospacing="1" w:after="100" w:afterAutospacing="1"/>
              <w:rPr>
                <w:rFonts w:ascii="Times New Roman" w:eastAsia="Times New Roman" w:hAnsi="Times New Roman" w:cs="Times New Roman"/>
                <w:b/>
                <w:sz w:val="24"/>
                <w:szCs w:val="24"/>
                <w:lang w:eastAsia="en-GB"/>
              </w:rPr>
            </w:pPr>
          </w:p>
        </w:tc>
        <w:tc>
          <w:tcPr>
            <w:tcW w:w="2055" w:type="dxa"/>
            <w:tcBorders>
              <w:top w:val="single" w:sz="4" w:space="0" w:color="auto"/>
              <w:bottom w:val="single" w:sz="4" w:space="0" w:color="auto"/>
            </w:tcBorders>
            <w:vAlign w:val="bottom"/>
          </w:tcPr>
          <w:p w14:paraId="11A6C274" w14:textId="77777777" w:rsidR="00D96AE3" w:rsidRPr="0051253C" w:rsidRDefault="00D96AE3" w:rsidP="0004039B">
            <w:pPr>
              <w:autoSpaceDE w:val="0"/>
              <w:autoSpaceDN w:val="0"/>
              <w:adjustRightInd w:val="0"/>
              <w:spacing w:line="320" w:lineRule="atLeast"/>
              <w:ind w:left="60" w:right="60"/>
              <w:jc w:val="center"/>
              <w:rPr>
                <w:rFonts w:ascii="Arial" w:hAnsi="Arial" w:cs="Arial"/>
                <w:b/>
                <w:color w:val="264A60"/>
                <w:sz w:val="18"/>
                <w:szCs w:val="18"/>
              </w:rPr>
            </w:pPr>
            <w:r w:rsidRPr="0051253C">
              <w:rPr>
                <w:rFonts w:ascii="Arial" w:hAnsi="Arial" w:cs="Arial"/>
                <w:b/>
                <w:color w:val="264A60"/>
                <w:sz w:val="18"/>
                <w:szCs w:val="18"/>
              </w:rPr>
              <w:t>M</w:t>
            </w:r>
            <w:r w:rsidRPr="00D96AE3">
              <w:rPr>
                <w:rFonts w:ascii="Arial" w:hAnsi="Arial" w:cs="Arial"/>
                <w:b/>
                <w:color w:val="264A60"/>
                <w:sz w:val="18"/>
                <w:szCs w:val="18"/>
              </w:rPr>
              <w:t>ale</w:t>
            </w:r>
          </w:p>
          <w:p w14:paraId="457EA379" w14:textId="77777777" w:rsidR="00D96AE3" w:rsidRPr="00D96AE3" w:rsidRDefault="00D96AE3" w:rsidP="0004039B">
            <w:pPr>
              <w:autoSpaceDE w:val="0"/>
              <w:autoSpaceDN w:val="0"/>
              <w:adjustRightInd w:val="0"/>
              <w:spacing w:line="320" w:lineRule="atLeast"/>
              <w:ind w:left="60" w:right="60"/>
              <w:jc w:val="center"/>
              <w:rPr>
                <w:rFonts w:ascii="Arial" w:hAnsi="Arial" w:cs="Arial"/>
                <w:b/>
                <w:color w:val="264A60"/>
                <w:sz w:val="18"/>
                <w:szCs w:val="18"/>
              </w:rPr>
            </w:pPr>
            <w:r w:rsidRPr="00D96AE3">
              <w:rPr>
                <w:rFonts w:ascii="Arial" w:hAnsi="Arial" w:cs="Arial"/>
                <w:b/>
                <w:color w:val="264A60"/>
                <w:sz w:val="18"/>
                <w:szCs w:val="18"/>
              </w:rPr>
              <w:t>Mean</w:t>
            </w:r>
            <w:r w:rsidRPr="0051253C">
              <w:rPr>
                <w:rFonts w:ascii="Arial" w:hAnsi="Arial" w:cs="Arial"/>
                <w:b/>
                <w:color w:val="264A60"/>
                <w:sz w:val="18"/>
                <w:szCs w:val="18"/>
              </w:rPr>
              <w:t>(</w:t>
            </w:r>
            <w:proofErr w:type="spellStart"/>
            <w:r w:rsidRPr="0051253C">
              <w:rPr>
                <w:rFonts w:ascii="Arial" w:hAnsi="Arial" w:cs="Arial"/>
                <w:b/>
                <w:color w:val="264A60"/>
                <w:sz w:val="18"/>
                <w:szCs w:val="18"/>
              </w:rPr>
              <w:t>sem</w:t>
            </w:r>
            <w:proofErr w:type="spellEnd"/>
            <w:r w:rsidRPr="0051253C">
              <w:rPr>
                <w:rFonts w:ascii="Arial" w:hAnsi="Arial" w:cs="Arial"/>
                <w:b/>
                <w:color w:val="264A60"/>
                <w:sz w:val="18"/>
                <w:szCs w:val="18"/>
              </w:rPr>
              <w:t>)</w:t>
            </w:r>
          </w:p>
        </w:tc>
        <w:tc>
          <w:tcPr>
            <w:tcW w:w="2282" w:type="dxa"/>
            <w:tcBorders>
              <w:top w:val="single" w:sz="4" w:space="0" w:color="auto"/>
              <w:bottom w:val="single" w:sz="4" w:space="0" w:color="auto"/>
            </w:tcBorders>
          </w:tcPr>
          <w:p w14:paraId="26522FCD" w14:textId="77777777" w:rsidR="00D96AE3" w:rsidRPr="0051253C" w:rsidRDefault="00D96AE3" w:rsidP="00D96AE3">
            <w:pPr>
              <w:autoSpaceDE w:val="0"/>
              <w:autoSpaceDN w:val="0"/>
              <w:adjustRightInd w:val="0"/>
              <w:spacing w:line="320" w:lineRule="atLeast"/>
              <w:ind w:left="60" w:right="60"/>
              <w:jc w:val="center"/>
              <w:rPr>
                <w:rFonts w:ascii="Arial" w:hAnsi="Arial" w:cs="Arial"/>
                <w:b/>
                <w:color w:val="264A60"/>
                <w:sz w:val="18"/>
                <w:szCs w:val="18"/>
              </w:rPr>
            </w:pPr>
            <w:r w:rsidRPr="0051253C">
              <w:rPr>
                <w:rFonts w:ascii="Arial" w:hAnsi="Arial" w:cs="Arial"/>
                <w:b/>
                <w:color w:val="264A60"/>
                <w:sz w:val="18"/>
                <w:szCs w:val="18"/>
              </w:rPr>
              <w:t>Fem</w:t>
            </w:r>
            <w:r w:rsidRPr="00D96AE3">
              <w:rPr>
                <w:rFonts w:ascii="Arial" w:hAnsi="Arial" w:cs="Arial"/>
                <w:b/>
                <w:color w:val="264A60"/>
                <w:sz w:val="18"/>
                <w:szCs w:val="18"/>
              </w:rPr>
              <w:t>ale</w:t>
            </w:r>
          </w:p>
          <w:p w14:paraId="3A0092F4" w14:textId="77777777" w:rsidR="00D96AE3" w:rsidRPr="0051253C" w:rsidRDefault="00D96AE3" w:rsidP="00D96AE3">
            <w:pPr>
              <w:autoSpaceDE w:val="0"/>
              <w:autoSpaceDN w:val="0"/>
              <w:adjustRightInd w:val="0"/>
              <w:spacing w:line="320" w:lineRule="atLeast"/>
              <w:ind w:left="60" w:right="60"/>
              <w:jc w:val="center"/>
              <w:rPr>
                <w:rFonts w:ascii="Arial" w:hAnsi="Arial" w:cs="Arial"/>
                <w:b/>
                <w:color w:val="264A60"/>
                <w:sz w:val="18"/>
                <w:szCs w:val="18"/>
              </w:rPr>
            </w:pPr>
            <w:r w:rsidRPr="00D96AE3">
              <w:rPr>
                <w:rFonts w:ascii="Arial" w:hAnsi="Arial" w:cs="Arial"/>
                <w:b/>
                <w:color w:val="264A60"/>
                <w:sz w:val="18"/>
                <w:szCs w:val="18"/>
              </w:rPr>
              <w:t>Mean</w:t>
            </w:r>
            <w:r w:rsidRPr="0051253C">
              <w:rPr>
                <w:rFonts w:ascii="Arial" w:hAnsi="Arial" w:cs="Arial"/>
                <w:b/>
                <w:color w:val="264A60"/>
                <w:sz w:val="18"/>
                <w:szCs w:val="18"/>
              </w:rPr>
              <w:t>(</w:t>
            </w:r>
            <w:proofErr w:type="spellStart"/>
            <w:r w:rsidRPr="0051253C">
              <w:rPr>
                <w:rFonts w:ascii="Arial" w:hAnsi="Arial" w:cs="Arial"/>
                <w:b/>
                <w:color w:val="264A60"/>
                <w:sz w:val="18"/>
                <w:szCs w:val="18"/>
              </w:rPr>
              <w:t>sem</w:t>
            </w:r>
            <w:proofErr w:type="spellEnd"/>
            <w:r w:rsidRPr="0051253C">
              <w:rPr>
                <w:rFonts w:ascii="Arial" w:hAnsi="Arial" w:cs="Arial"/>
                <w:b/>
                <w:color w:val="264A60"/>
                <w:sz w:val="18"/>
                <w:szCs w:val="18"/>
              </w:rPr>
              <w:t>)</w:t>
            </w:r>
          </w:p>
        </w:tc>
        <w:tc>
          <w:tcPr>
            <w:tcW w:w="1313" w:type="dxa"/>
            <w:tcBorders>
              <w:top w:val="single" w:sz="4" w:space="0" w:color="auto"/>
              <w:bottom w:val="single" w:sz="4" w:space="0" w:color="auto"/>
            </w:tcBorders>
          </w:tcPr>
          <w:p w14:paraId="43127F6B" w14:textId="77777777" w:rsidR="00D96AE3" w:rsidRPr="0051253C" w:rsidRDefault="00D96AE3" w:rsidP="00E107DB">
            <w:pPr>
              <w:spacing w:before="100" w:beforeAutospacing="1" w:after="100" w:afterAutospacing="1"/>
              <w:rPr>
                <w:rFonts w:ascii="Times New Roman" w:eastAsia="Times New Roman" w:hAnsi="Times New Roman" w:cs="Times New Roman"/>
                <w:b/>
                <w:sz w:val="24"/>
                <w:szCs w:val="24"/>
                <w:lang w:eastAsia="en-GB"/>
              </w:rPr>
            </w:pPr>
            <w:r w:rsidRPr="0051253C">
              <w:rPr>
                <w:rFonts w:ascii="Times New Roman" w:eastAsia="Times New Roman" w:hAnsi="Times New Roman" w:cs="Times New Roman"/>
                <w:b/>
                <w:sz w:val="24"/>
                <w:szCs w:val="24"/>
                <w:lang w:eastAsia="en-GB"/>
              </w:rPr>
              <w:t>t</w:t>
            </w:r>
          </w:p>
        </w:tc>
        <w:tc>
          <w:tcPr>
            <w:tcW w:w="1130" w:type="dxa"/>
            <w:tcBorders>
              <w:top w:val="single" w:sz="4" w:space="0" w:color="auto"/>
              <w:bottom w:val="single" w:sz="4" w:space="0" w:color="auto"/>
            </w:tcBorders>
          </w:tcPr>
          <w:p w14:paraId="37AF117A" w14:textId="77777777" w:rsidR="00D96AE3" w:rsidRPr="0051253C" w:rsidRDefault="00D96AE3" w:rsidP="00E107DB">
            <w:pPr>
              <w:spacing w:before="100" w:beforeAutospacing="1" w:after="100" w:afterAutospacing="1"/>
              <w:rPr>
                <w:rFonts w:ascii="Times New Roman" w:eastAsia="Times New Roman" w:hAnsi="Times New Roman" w:cs="Times New Roman"/>
                <w:b/>
                <w:sz w:val="24"/>
                <w:szCs w:val="24"/>
                <w:lang w:eastAsia="en-GB"/>
              </w:rPr>
            </w:pPr>
            <w:r w:rsidRPr="0051253C">
              <w:rPr>
                <w:rFonts w:ascii="Times New Roman" w:eastAsia="Times New Roman" w:hAnsi="Times New Roman" w:cs="Times New Roman"/>
                <w:b/>
                <w:sz w:val="24"/>
                <w:szCs w:val="24"/>
                <w:lang w:eastAsia="en-GB"/>
              </w:rPr>
              <w:t>p-value</w:t>
            </w:r>
          </w:p>
        </w:tc>
      </w:tr>
      <w:tr w:rsidR="0051253C" w14:paraId="77ABDC69" w14:textId="77777777" w:rsidTr="005A48A3">
        <w:trPr>
          <w:trHeight w:val="267"/>
          <w:jc w:val="center"/>
        </w:trPr>
        <w:tc>
          <w:tcPr>
            <w:tcW w:w="1615" w:type="dxa"/>
            <w:tcBorders>
              <w:top w:val="single" w:sz="4" w:space="0" w:color="auto"/>
            </w:tcBorders>
          </w:tcPr>
          <w:p w14:paraId="3770579B" w14:textId="7C5170CA" w:rsidR="0051253C" w:rsidRPr="00D96AE3" w:rsidRDefault="00D05FC3" w:rsidP="000403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FBG</w:t>
            </w:r>
          </w:p>
        </w:tc>
        <w:tc>
          <w:tcPr>
            <w:tcW w:w="2055" w:type="dxa"/>
            <w:tcBorders>
              <w:top w:val="single" w:sz="4" w:space="0" w:color="auto"/>
            </w:tcBorders>
            <w:vAlign w:val="bottom"/>
          </w:tcPr>
          <w:p w14:paraId="6BDDB7FD" w14:textId="77777777" w:rsidR="0051253C" w:rsidRPr="00D96AE3" w:rsidRDefault="0051253C" w:rsidP="0051253C">
            <w:pPr>
              <w:autoSpaceDE w:val="0"/>
              <w:autoSpaceDN w:val="0"/>
              <w:adjustRightInd w:val="0"/>
              <w:spacing w:line="320" w:lineRule="atLeast"/>
              <w:ind w:left="60" w:right="60"/>
              <w:rPr>
                <w:rFonts w:ascii="Arial" w:hAnsi="Arial" w:cs="Arial"/>
                <w:color w:val="264A60"/>
                <w:sz w:val="18"/>
                <w:szCs w:val="18"/>
              </w:rPr>
            </w:pPr>
            <w:r w:rsidRPr="00D96AE3">
              <w:rPr>
                <w:rFonts w:ascii="Arial" w:hAnsi="Arial" w:cs="Arial"/>
                <w:color w:val="010205"/>
                <w:sz w:val="18"/>
                <w:szCs w:val="18"/>
              </w:rPr>
              <w:t>4.9</w:t>
            </w:r>
            <w:r>
              <w:rPr>
                <w:rFonts w:ascii="Arial" w:hAnsi="Arial" w:cs="Arial"/>
                <w:color w:val="010205"/>
                <w:sz w:val="18"/>
                <w:szCs w:val="18"/>
              </w:rPr>
              <w:t>5(0.17)</w:t>
            </w:r>
          </w:p>
        </w:tc>
        <w:tc>
          <w:tcPr>
            <w:tcW w:w="2282" w:type="dxa"/>
            <w:tcBorders>
              <w:top w:val="single" w:sz="4" w:space="0" w:color="auto"/>
            </w:tcBorders>
          </w:tcPr>
          <w:p w14:paraId="33E84738"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5.18(0.31)</w:t>
            </w:r>
          </w:p>
        </w:tc>
        <w:tc>
          <w:tcPr>
            <w:tcW w:w="1313" w:type="dxa"/>
            <w:tcBorders>
              <w:top w:val="single" w:sz="4" w:space="0" w:color="auto"/>
            </w:tcBorders>
          </w:tcPr>
          <w:p w14:paraId="7100EECE"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w:t>
            </w:r>
            <w:r w:rsidRPr="00D96AE3">
              <w:rPr>
                <w:rFonts w:ascii="Arial" w:hAnsi="Arial" w:cs="Arial"/>
                <w:color w:val="010205"/>
                <w:sz w:val="18"/>
                <w:szCs w:val="18"/>
              </w:rPr>
              <w:t>.6</w:t>
            </w:r>
            <w:r>
              <w:rPr>
                <w:rFonts w:ascii="Arial" w:hAnsi="Arial" w:cs="Arial"/>
                <w:color w:val="010205"/>
                <w:sz w:val="18"/>
                <w:szCs w:val="18"/>
              </w:rPr>
              <w:t>7</w:t>
            </w:r>
          </w:p>
        </w:tc>
        <w:tc>
          <w:tcPr>
            <w:tcW w:w="1130" w:type="dxa"/>
            <w:tcBorders>
              <w:top w:val="single" w:sz="4" w:space="0" w:color="auto"/>
            </w:tcBorders>
          </w:tcPr>
          <w:p w14:paraId="4BD64F45"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0.51</w:t>
            </w:r>
          </w:p>
        </w:tc>
      </w:tr>
      <w:tr w:rsidR="0051253C" w14:paraId="45776932" w14:textId="77777777" w:rsidTr="005A48A3">
        <w:trPr>
          <w:trHeight w:val="251"/>
          <w:jc w:val="center"/>
        </w:trPr>
        <w:tc>
          <w:tcPr>
            <w:tcW w:w="1615" w:type="dxa"/>
          </w:tcPr>
          <w:p w14:paraId="173399E3" w14:textId="391F08FA" w:rsidR="0051253C" w:rsidRPr="00D96AE3" w:rsidRDefault="00D05FC3" w:rsidP="000403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RBG</w:t>
            </w:r>
          </w:p>
        </w:tc>
        <w:tc>
          <w:tcPr>
            <w:tcW w:w="2055" w:type="dxa"/>
          </w:tcPr>
          <w:p w14:paraId="31A3691D"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5.59(0.48)</w:t>
            </w:r>
          </w:p>
        </w:tc>
        <w:tc>
          <w:tcPr>
            <w:tcW w:w="2282" w:type="dxa"/>
          </w:tcPr>
          <w:p w14:paraId="65045A98"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5.13(0.36)</w:t>
            </w:r>
          </w:p>
        </w:tc>
        <w:tc>
          <w:tcPr>
            <w:tcW w:w="1313" w:type="dxa"/>
          </w:tcPr>
          <w:p w14:paraId="731469FC"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w:t>
            </w:r>
            <w:r w:rsidRPr="00D96AE3">
              <w:rPr>
                <w:rFonts w:ascii="Arial" w:hAnsi="Arial" w:cs="Arial"/>
                <w:color w:val="010205"/>
                <w:sz w:val="18"/>
                <w:szCs w:val="18"/>
              </w:rPr>
              <w:t>.7</w:t>
            </w:r>
            <w:r>
              <w:rPr>
                <w:rFonts w:ascii="Arial" w:hAnsi="Arial" w:cs="Arial"/>
                <w:color w:val="010205"/>
                <w:sz w:val="18"/>
                <w:szCs w:val="18"/>
              </w:rPr>
              <w:t>8</w:t>
            </w:r>
          </w:p>
        </w:tc>
        <w:tc>
          <w:tcPr>
            <w:tcW w:w="1130" w:type="dxa"/>
          </w:tcPr>
          <w:p w14:paraId="7132D08B"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0.45</w:t>
            </w:r>
          </w:p>
        </w:tc>
      </w:tr>
      <w:tr w:rsidR="0051253C" w14:paraId="7AD603CA" w14:textId="77777777" w:rsidTr="005A48A3">
        <w:trPr>
          <w:trHeight w:val="251"/>
          <w:jc w:val="center"/>
        </w:trPr>
        <w:tc>
          <w:tcPr>
            <w:tcW w:w="1615" w:type="dxa"/>
          </w:tcPr>
          <w:p w14:paraId="110B7105" w14:textId="77777777" w:rsidR="0051253C" w:rsidRPr="00D96AE3" w:rsidRDefault="0051253C" w:rsidP="0004039B">
            <w:pPr>
              <w:autoSpaceDE w:val="0"/>
              <w:autoSpaceDN w:val="0"/>
              <w:adjustRightInd w:val="0"/>
              <w:spacing w:line="320" w:lineRule="atLeast"/>
              <w:ind w:left="60" w:right="60"/>
              <w:rPr>
                <w:rFonts w:ascii="Arial" w:hAnsi="Arial" w:cs="Arial"/>
                <w:color w:val="264A60"/>
                <w:sz w:val="18"/>
                <w:szCs w:val="18"/>
              </w:rPr>
            </w:pPr>
            <w:r w:rsidRPr="00D96AE3">
              <w:rPr>
                <w:rFonts w:ascii="Arial" w:hAnsi="Arial" w:cs="Arial"/>
                <w:color w:val="264A60"/>
                <w:sz w:val="18"/>
                <w:szCs w:val="18"/>
              </w:rPr>
              <w:t>systolic</w:t>
            </w:r>
          </w:p>
        </w:tc>
        <w:tc>
          <w:tcPr>
            <w:tcW w:w="2055" w:type="dxa"/>
          </w:tcPr>
          <w:p w14:paraId="7EFB75B9"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sidRPr="00D96AE3">
              <w:rPr>
                <w:rFonts w:ascii="Arial" w:hAnsi="Arial" w:cs="Arial"/>
                <w:color w:val="010205"/>
                <w:sz w:val="18"/>
                <w:szCs w:val="18"/>
              </w:rPr>
              <w:t>123.80</w:t>
            </w:r>
            <w:r>
              <w:rPr>
                <w:rFonts w:ascii="Arial" w:hAnsi="Arial" w:cs="Arial"/>
                <w:color w:val="010205"/>
                <w:sz w:val="18"/>
                <w:szCs w:val="18"/>
              </w:rPr>
              <w:t>(2.79)</w:t>
            </w:r>
          </w:p>
        </w:tc>
        <w:tc>
          <w:tcPr>
            <w:tcW w:w="2282" w:type="dxa"/>
          </w:tcPr>
          <w:p w14:paraId="0FE04128"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sidRPr="00D96AE3">
              <w:rPr>
                <w:rFonts w:ascii="Arial" w:hAnsi="Arial" w:cs="Arial"/>
                <w:color w:val="010205"/>
                <w:sz w:val="18"/>
                <w:szCs w:val="18"/>
              </w:rPr>
              <w:t>120.71</w:t>
            </w:r>
            <w:r>
              <w:rPr>
                <w:rFonts w:ascii="Arial" w:hAnsi="Arial" w:cs="Arial"/>
                <w:color w:val="010205"/>
                <w:sz w:val="18"/>
                <w:szCs w:val="18"/>
              </w:rPr>
              <w:t>(2.60)</w:t>
            </w:r>
          </w:p>
        </w:tc>
        <w:tc>
          <w:tcPr>
            <w:tcW w:w="1313" w:type="dxa"/>
          </w:tcPr>
          <w:p w14:paraId="29305441"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0.81</w:t>
            </w:r>
          </w:p>
        </w:tc>
        <w:tc>
          <w:tcPr>
            <w:tcW w:w="1130" w:type="dxa"/>
          </w:tcPr>
          <w:p w14:paraId="3E1D0859"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0.42</w:t>
            </w:r>
          </w:p>
        </w:tc>
      </w:tr>
      <w:tr w:rsidR="0051253C" w14:paraId="07C2B937" w14:textId="77777777" w:rsidTr="005A48A3">
        <w:trPr>
          <w:trHeight w:val="251"/>
          <w:jc w:val="center"/>
        </w:trPr>
        <w:tc>
          <w:tcPr>
            <w:tcW w:w="1615" w:type="dxa"/>
          </w:tcPr>
          <w:p w14:paraId="7F5C44D4" w14:textId="77777777" w:rsidR="0051253C" w:rsidRPr="00D96AE3" w:rsidRDefault="0051253C" w:rsidP="0004039B">
            <w:pPr>
              <w:autoSpaceDE w:val="0"/>
              <w:autoSpaceDN w:val="0"/>
              <w:adjustRightInd w:val="0"/>
              <w:spacing w:line="320" w:lineRule="atLeast"/>
              <w:ind w:left="60" w:right="60"/>
              <w:rPr>
                <w:rFonts w:ascii="Arial" w:hAnsi="Arial" w:cs="Arial"/>
                <w:color w:val="264A60"/>
                <w:sz w:val="18"/>
                <w:szCs w:val="18"/>
              </w:rPr>
            </w:pPr>
            <w:r w:rsidRPr="00D96AE3">
              <w:rPr>
                <w:rFonts w:ascii="Arial" w:hAnsi="Arial" w:cs="Arial"/>
                <w:color w:val="264A60"/>
                <w:sz w:val="18"/>
                <w:szCs w:val="18"/>
              </w:rPr>
              <w:t>diastolic</w:t>
            </w:r>
          </w:p>
        </w:tc>
        <w:tc>
          <w:tcPr>
            <w:tcW w:w="2055" w:type="dxa"/>
          </w:tcPr>
          <w:p w14:paraId="11C98150"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sidRPr="00D96AE3">
              <w:rPr>
                <w:rFonts w:ascii="Arial" w:hAnsi="Arial" w:cs="Arial"/>
                <w:color w:val="010205"/>
                <w:sz w:val="18"/>
                <w:szCs w:val="18"/>
              </w:rPr>
              <w:t>77.93</w:t>
            </w:r>
            <w:r>
              <w:rPr>
                <w:rFonts w:ascii="Arial" w:hAnsi="Arial" w:cs="Arial"/>
                <w:color w:val="010205"/>
                <w:sz w:val="18"/>
                <w:szCs w:val="18"/>
              </w:rPr>
              <w:t>(1.99)</w:t>
            </w:r>
          </w:p>
        </w:tc>
        <w:tc>
          <w:tcPr>
            <w:tcW w:w="2282" w:type="dxa"/>
          </w:tcPr>
          <w:p w14:paraId="7A729D1F"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sidRPr="00D96AE3">
              <w:rPr>
                <w:rFonts w:ascii="Arial" w:hAnsi="Arial" w:cs="Arial"/>
                <w:color w:val="010205"/>
                <w:sz w:val="18"/>
                <w:szCs w:val="18"/>
              </w:rPr>
              <w:t>74.69</w:t>
            </w:r>
            <w:r>
              <w:rPr>
                <w:rFonts w:ascii="Arial" w:hAnsi="Arial" w:cs="Arial"/>
                <w:color w:val="010205"/>
                <w:sz w:val="18"/>
                <w:szCs w:val="18"/>
              </w:rPr>
              <w:t>(2.08)</w:t>
            </w:r>
          </w:p>
        </w:tc>
        <w:tc>
          <w:tcPr>
            <w:tcW w:w="1313" w:type="dxa"/>
          </w:tcPr>
          <w:p w14:paraId="1A029DE8"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sidRPr="00D96AE3">
              <w:rPr>
                <w:rFonts w:ascii="Arial" w:hAnsi="Arial" w:cs="Arial"/>
                <w:color w:val="010205"/>
                <w:sz w:val="18"/>
                <w:szCs w:val="18"/>
              </w:rPr>
              <w:t>1.1</w:t>
            </w:r>
            <w:r>
              <w:rPr>
                <w:rFonts w:ascii="Arial" w:hAnsi="Arial" w:cs="Arial"/>
                <w:color w:val="010205"/>
                <w:sz w:val="18"/>
                <w:szCs w:val="18"/>
              </w:rPr>
              <w:t>3</w:t>
            </w:r>
          </w:p>
        </w:tc>
        <w:tc>
          <w:tcPr>
            <w:tcW w:w="1130" w:type="dxa"/>
          </w:tcPr>
          <w:p w14:paraId="717099A1"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0.26</w:t>
            </w:r>
          </w:p>
        </w:tc>
      </w:tr>
      <w:tr w:rsidR="0051253C" w14:paraId="2A4DCD7F" w14:textId="77777777" w:rsidTr="005A48A3">
        <w:trPr>
          <w:trHeight w:val="251"/>
          <w:jc w:val="center"/>
        </w:trPr>
        <w:tc>
          <w:tcPr>
            <w:tcW w:w="1615" w:type="dxa"/>
          </w:tcPr>
          <w:p w14:paraId="5448330B" w14:textId="77777777" w:rsidR="0051253C" w:rsidRPr="00D96AE3" w:rsidRDefault="0051253C" w:rsidP="0004039B">
            <w:pPr>
              <w:autoSpaceDE w:val="0"/>
              <w:autoSpaceDN w:val="0"/>
              <w:adjustRightInd w:val="0"/>
              <w:spacing w:line="320" w:lineRule="atLeast"/>
              <w:ind w:left="60" w:right="60"/>
              <w:rPr>
                <w:rFonts w:ascii="Arial" w:hAnsi="Arial" w:cs="Arial"/>
                <w:color w:val="264A60"/>
                <w:sz w:val="18"/>
                <w:szCs w:val="18"/>
              </w:rPr>
            </w:pPr>
            <w:r w:rsidRPr="00D96AE3">
              <w:rPr>
                <w:rFonts w:ascii="Arial" w:hAnsi="Arial" w:cs="Arial"/>
                <w:color w:val="264A60"/>
                <w:sz w:val="18"/>
                <w:szCs w:val="18"/>
              </w:rPr>
              <w:t>BMI</w:t>
            </w:r>
          </w:p>
        </w:tc>
        <w:tc>
          <w:tcPr>
            <w:tcW w:w="2055" w:type="dxa"/>
          </w:tcPr>
          <w:p w14:paraId="70DB1272"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sidRPr="00D96AE3">
              <w:rPr>
                <w:rFonts w:ascii="Arial" w:hAnsi="Arial" w:cs="Arial"/>
                <w:color w:val="010205"/>
                <w:sz w:val="18"/>
                <w:szCs w:val="18"/>
              </w:rPr>
              <w:t>27</w:t>
            </w:r>
            <w:r>
              <w:rPr>
                <w:rFonts w:ascii="Arial" w:hAnsi="Arial" w:cs="Arial"/>
                <w:color w:val="010205"/>
                <w:sz w:val="18"/>
                <w:szCs w:val="18"/>
              </w:rPr>
              <w:t>.84(0.61)</w:t>
            </w:r>
          </w:p>
        </w:tc>
        <w:tc>
          <w:tcPr>
            <w:tcW w:w="2282" w:type="dxa"/>
          </w:tcPr>
          <w:p w14:paraId="1F5F9D5F"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29.37(0.94)</w:t>
            </w:r>
          </w:p>
        </w:tc>
        <w:tc>
          <w:tcPr>
            <w:tcW w:w="1313" w:type="dxa"/>
          </w:tcPr>
          <w:p w14:paraId="32250607"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sidRPr="00D96AE3">
              <w:rPr>
                <w:rFonts w:ascii="Arial" w:hAnsi="Arial" w:cs="Arial"/>
                <w:color w:val="010205"/>
                <w:sz w:val="18"/>
                <w:szCs w:val="18"/>
              </w:rPr>
              <w:t>1.3</w:t>
            </w:r>
            <w:r>
              <w:rPr>
                <w:rFonts w:ascii="Arial" w:hAnsi="Arial" w:cs="Arial"/>
                <w:color w:val="010205"/>
                <w:sz w:val="18"/>
                <w:szCs w:val="18"/>
              </w:rPr>
              <w:t>7</w:t>
            </w:r>
          </w:p>
        </w:tc>
        <w:tc>
          <w:tcPr>
            <w:tcW w:w="1130" w:type="dxa"/>
          </w:tcPr>
          <w:p w14:paraId="5164FD14"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0.18</w:t>
            </w:r>
          </w:p>
        </w:tc>
      </w:tr>
      <w:tr w:rsidR="0051253C" w14:paraId="6B7A045C" w14:textId="77777777" w:rsidTr="005A48A3">
        <w:trPr>
          <w:trHeight w:val="251"/>
          <w:jc w:val="center"/>
        </w:trPr>
        <w:tc>
          <w:tcPr>
            <w:tcW w:w="1615" w:type="dxa"/>
            <w:tcBorders>
              <w:bottom w:val="single" w:sz="4" w:space="0" w:color="auto"/>
            </w:tcBorders>
          </w:tcPr>
          <w:p w14:paraId="05D143D4" w14:textId="77777777" w:rsidR="0051253C" w:rsidRPr="00D96AE3" w:rsidRDefault="0051253C" w:rsidP="0004039B">
            <w:pPr>
              <w:autoSpaceDE w:val="0"/>
              <w:autoSpaceDN w:val="0"/>
              <w:adjustRightInd w:val="0"/>
              <w:spacing w:line="320" w:lineRule="atLeast"/>
              <w:ind w:left="60" w:right="60"/>
              <w:rPr>
                <w:rFonts w:ascii="Arial" w:hAnsi="Arial" w:cs="Arial"/>
                <w:color w:val="264A60"/>
                <w:sz w:val="18"/>
                <w:szCs w:val="18"/>
              </w:rPr>
            </w:pPr>
            <w:r w:rsidRPr="00D96AE3">
              <w:rPr>
                <w:rFonts w:ascii="Arial" w:hAnsi="Arial" w:cs="Arial"/>
                <w:color w:val="264A60"/>
                <w:sz w:val="18"/>
                <w:szCs w:val="18"/>
              </w:rPr>
              <w:t>Waist</w:t>
            </w:r>
            <w:r>
              <w:rPr>
                <w:rFonts w:ascii="Arial" w:hAnsi="Arial" w:cs="Arial"/>
                <w:color w:val="264A60"/>
                <w:sz w:val="18"/>
                <w:szCs w:val="18"/>
              </w:rPr>
              <w:t>/</w:t>
            </w:r>
            <w:r w:rsidRPr="00D96AE3">
              <w:rPr>
                <w:rFonts w:ascii="Arial" w:hAnsi="Arial" w:cs="Arial"/>
                <w:color w:val="264A60"/>
                <w:sz w:val="18"/>
                <w:szCs w:val="18"/>
              </w:rPr>
              <w:t>hip</w:t>
            </w:r>
          </w:p>
        </w:tc>
        <w:tc>
          <w:tcPr>
            <w:tcW w:w="2055" w:type="dxa"/>
            <w:tcBorders>
              <w:bottom w:val="single" w:sz="4" w:space="0" w:color="auto"/>
            </w:tcBorders>
          </w:tcPr>
          <w:p w14:paraId="4823C274"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1.02(0.005)</w:t>
            </w:r>
          </w:p>
        </w:tc>
        <w:tc>
          <w:tcPr>
            <w:tcW w:w="2282" w:type="dxa"/>
            <w:tcBorders>
              <w:bottom w:val="single" w:sz="4" w:space="0" w:color="auto"/>
            </w:tcBorders>
          </w:tcPr>
          <w:p w14:paraId="1EE7BCF3" w14:textId="77777777" w:rsidR="0051253C" w:rsidRDefault="0051253C" w:rsidP="00E107DB">
            <w:pPr>
              <w:spacing w:before="100" w:beforeAutospacing="1" w:after="100" w:afterAutospacing="1"/>
              <w:rPr>
                <w:rFonts w:ascii="Times New Roman" w:eastAsia="Times New Roman" w:hAnsi="Times New Roman" w:cs="Times New Roman"/>
                <w:sz w:val="24"/>
                <w:szCs w:val="24"/>
                <w:lang w:eastAsia="en-GB"/>
              </w:rPr>
            </w:pPr>
            <w:r>
              <w:rPr>
                <w:rFonts w:ascii="Arial" w:hAnsi="Arial" w:cs="Arial"/>
                <w:color w:val="010205"/>
                <w:sz w:val="18"/>
                <w:szCs w:val="18"/>
              </w:rPr>
              <w:t>1.00(0.005)</w:t>
            </w:r>
          </w:p>
        </w:tc>
        <w:tc>
          <w:tcPr>
            <w:tcW w:w="1313" w:type="dxa"/>
            <w:tcBorders>
              <w:bottom w:val="single" w:sz="4" w:space="0" w:color="auto"/>
            </w:tcBorders>
          </w:tcPr>
          <w:p w14:paraId="3B4883D4"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sidRPr="00D96AE3">
              <w:rPr>
                <w:rFonts w:ascii="Arial" w:hAnsi="Arial" w:cs="Arial"/>
                <w:color w:val="010205"/>
                <w:sz w:val="18"/>
                <w:szCs w:val="18"/>
              </w:rPr>
              <w:t>2.05</w:t>
            </w:r>
          </w:p>
        </w:tc>
        <w:tc>
          <w:tcPr>
            <w:tcW w:w="1130" w:type="dxa"/>
            <w:tcBorders>
              <w:bottom w:val="single" w:sz="4" w:space="0" w:color="auto"/>
            </w:tcBorders>
          </w:tcPr>
          <w:p w14:paraId="67F635C7" w14:textId="77777777" w:rsidR="0051253C" w:rsidRPr="00D96AE3" w:rsidRDefault="0051253C" w:rsidP="0051253C">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0.04</w:t>
            </w:r>
          </w:p>
        </w:tc>
      </w:tr>
    </w:tbl>
    <w:p w14:paraId="5D4EABAD" w14:textId="276EE3B4" w:rsidR="00732343" w:rsidRPr="00732343" w:rsidRDefault="00732343" w:rsidP="00732343">
      <w:pPr>
        <w:autoSpaceDE w:val="0"/>
        <w:autoSpaceDN w:val="0"/>
        <w:adjustRightInd w:val="0"/>
        <w:spacing w:after="0" w:line="240" w:lineRule="auto"/>
        <w:rPr>
          <w:rFonts w:ascii="Times New Roman" w:hAnsi="Times New Roman" w:cs="Times New Roman"/>
          <w:i/>
          <w:iCs/>
          <w:sz w:val="24"/>
          <w:szCs w:val="24"/>
        </w:rPr>
      </w:pPr>
      <w:r w:rsidRPr="00732343">
        <w:rPr>
          <w:rStyle w:val="Strong"/>
          <w:b w:val="0"/>
          <w:bCs w:val="0"/>
          <w:i/>
          <w:iCs/>
          <w:sz w:val="18"/>
          <w:szCs w:val="18"/>
        </w:rPr>
        <w:t>FBG- fasting blood glucose, RBG- random blood glucose, BMI- body mass index</w:t>
      </w:r>
    </w:p>
    <w:p w14:paraId="43061AEF" w14:textId="2B4F5DFE" w:rsidR="00FA0419" w:rsidRDefault="00FA0419" w:rsidP="00F95B57">
      <w:pPr>
        <w:pStyle w:val="NormalWeb"/>
        <w:jc w:val="both"/>
      </w:pPr>
      <w:r>
        <w:t xml:space="preserve">The study examined differences in </w:t>
      </w:r>
      <w:r w:rsidR="008B23D4">
        <w:t>blood glucose</w:t>
      </w:r>
      <w:r>
        <w:t xml:space="preserve"> and cardiovascular parameters between males and females. The results showed no statistically significant differences in </w:t>
      </w:r>
      <w:r w:rsidR="001B410F">
        <w:t>fasting blood glucose</w:t>
      </w:r>
      <w:r>
        <w:t xml:space="preserve"> (</w:t>
      </w:r>
      <w:r w:rsidR="00D05FC3">
        <w:t>FBG</w:t>
      </w:r>
      <w:r>
        <w:t xml:space="preserve">) (p = 0.51), </w:t>
      </w:r>
      <w:r w:rsidR="00D05FC3">
        <w:t>random blood glucose</w:t>
      </w:r>
      <w:r>
        <w:t xml:space="preserve"> (</w:t>
      </w:r>
      <w:r w:rsidR="00D05FC3">
        <w:t>RBG</w:t>
      </w:r>
      <w:r>
        <w:t xml:space="preserve">) (p = 0.45), systolic blood pressure (p = 0.42), diastolic blood </w:t>
      </w:r>
      <w:r>
        <w:lastRenderedPageBreak/>
        <w:t xml:space="preserve">pressure (p = 0.26), or body mass index (BMI) (p = 0.18). However, the waist-to-hip ratio showed a statistically significant difference (p = 0.04), with males having a higher mean value (1.02 ± 0.005) compared to females (1.00 ± 0.005). This finding suggests potential sex-related differences in fat distribution, which may have implications for cardiovascular and </w:t>
      </w:r>
      <w:r w:rsidR="008B23D4">
        <w:t>blood glucose</w:t>
      </w:r>
      <w:r>
        <w:t xml:space="preserve"> health.</w:t>
      </w:r>
    </w:p>
    <w:p w14:paraId="15E084CA" w14:textId="55E194EB" w:rsidR="00120AA7" w:rsidRDefault="00120AA7" w:rsidP="00120AA7">
      <w:pPr>
        <w:pStyle w:val="Heading3"/>
      </w:pPr>
      <w:r>
        <w:rPr>
          <w:rStyle w:val="Strong"/>
          <w:b/>
          <w:bCs/>
        </w:rPr>
        <w:t xml:space="preserve">Table 4: </w:t>
      </w:r>
      <w:r w:rsidRPr="00120AA7">
        <w:rPr>
          <w:rStyle w:val="Strong"/>
        </w:rPr>
        <w:t xml:space="preserve">Multiple Regression Analysis of </w:t>
      </w:r>
      <w:r w:rsidR="008B23D4">
        <w:rPr>
          <w:rStyle w:val="Strong"/>
        </w:rPr>
        <w:t>Blood glucose</w:t>
      </w:r>
      <w:r w:rsidRPr="00120AA7">
        <w:rPr>
          <w:rStyle w:val="Strong"/>
        </w:rPr>
        <w:t xml:space="preserve"> and Cardiovascular Predictors</w:t>
      </w:r>
      <w:r>
        <w:rPr>
          <w:rStyle w:val="Strong"/>
        </w:rPr>
        <w:t xml:space="preserve"> of FBG</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830"/>
        <w:gridCol w:w="1569"/>
        <w:gridCol w:w="1921"/>
        <w:gridCol w:w="992"/>
        <w:gridCol w:w="992"/>
      </w:tblGrid>
      <w:tr w:rsidR="009E2062" w:rsidRPr="009E2062" w14:paraId="28A26CD3" w14:textId="77777777" w:rsidTr="005A48A3">
        <w:trPr>
          <w:trHeight w:val="335"/>
        </w:trPr>
        <w:tc>
          <w:tcPr>
            <w:tcW w:w="1309" w:type="dxa"/>
            <w:tcBorders>
              <w:top w:val="single" w:sz="4" w:space="0" w:color="auto"/>
              <w:bottom w:val="single" w:sz="4" w:space="0" w:color="auto"/>
            </w:tcBorders>
          </w:tcPr>
          <w:p w14:paraId="6152E8BC" w14:textId="77777777" w:rsidR="009E2062" w:rsidRPr="009E2062" w:rsidRDefault="009E2062" w:rsidP="006C07E3">
            <w:pPr>
              <w:autoSpaceDE w:val="0"/>
              <w:autoSpaceDN w:val="0"/>
              <w:adjustRightInd w:val="0"/>
              <w:spacing w:line="400" w:lineRule="atLeast"/>
              <w:rPr>
                <w:rFonts w:ascii="Times New Roman" w:hAnsi="Times New Roman" w:cs="Times New Roman"/>
                <w:b/>
                <w:sz w:val="24"/>
                <w:szCs w:val="24"/>
              </w:rPr>
            </w:pPr>
          </w:p>
        </w:tc>
        <w:tc>
          <w:tcPr>
            <w:tcW w:w="3399" w:type="dxa"/>
            <w:gridSpan w:val="2"/>
            <w:tcBorders>
              <w:top w:val="single" w:sz="4" w:space="0" w:color="auto"/>
              <w:bottom w:val="single" w:sz="4" w:space="0" w:color="auto"/>
            </w:tcBorders>
            <w:vAlign w:val="bottom"/>
          </w:tcPr>
          <w:p w14:paraId="44B76CB5"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Unstandardized Coefficients</w:t>
            </w:r>
          </w:p>
        </w:tc>
        <w:tc>
          <w:tcPr>
            <w:tcW w:w="1921" w:type="dxa"/>
            <w:tcBorders>
              <w:top w:val="single" w:sz="4" w:space="0" w:color="auto"/>
              <w:bottom w:val="single" w:sz="4" w:space="0" w:color="auto"/>
            </w:tcBorders>
            <w:vAlign w:val="bottom"/>
          </w:tcPr>
          <w:p w14:paraId="4BD2319F"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Standardized Coefficients</w:t>
            </w:r>
          </w:p>
        </w:tc>
        <w:tc>
          <w:tcPr>
            <w:tcW w:w="992" w:type="dxa"/>
            <w:tcBorders>
              <w:top w:val="single" w:sz="4" w:space="0" w:color="auto"/>
              <w:bottom w:val="single" w:sz="4" w:space="0" w:color="auto"/>
            </w:tcBorders>
            <w:vAlign w:val="bottom"/>
          </w:tcPr>
          <w:p w14:paraId="59C680BE"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p>
        </w:tc>
        <w:tc>
          <w:tcPr>
            <w:tcW w:w="992" w:type="dxa"/>
            <w:tcBorders>
              <w:top w:val="single" w:sz="4" w:space="0" w:color="auto"/>
              <w:bottom w:val="single" w:sz="4" w:space="0" w:color="auto"/>
            </w:tcBorders>
            <w:vAlign w:val="bottom"/>
          </w:tcPr>
          <w:p w14:paraId="2F45ED04"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p>
        </w:tc>
      </w:tr>
      <w:tr w:rsidR="009E2062" w:rsidRPr="009E2062" w14:paraId="6546486D" w14:textId="77777777" w:rsidTr="005A48A3">
        <w:trPr>
          <w:trHeight w:val="322"/>
        </w:trPr>
        <w:tc>
          <w:tcPr>
            <w:tcW w:w="1309" w:type="dxa"/>
            <w:tcBorders>
              <w:top w:val="single" w:sz="4" w:space="0" w:color="auto"/>
            </w:tcBorders>
          </w:tcPr>
          <w:p w14:paraId="7A35A13B" w14:textId="77777777" w:rsidR="009E2062" w:rsidRPr="009E2062" w:rsidRDefault="009E2062" w:rsidP="006C07E3">
            <w:pPr>
              <w:autoSpaceDE w:val="0"/>
              <w:autoSpaceDN w:val="0"/>
              <w:adjustRightInd w:val="0"/>
              <w:spacing w:line="400" w:lineRule="atLeast"/>
              <w:rPr>
                <w:rFonts w:ascii="Times New Roman" w:hAnsi="Times New Roman" w:cs="Times New Roman"/>
                <w:b/>
                <w:sz w:val="24"/>
                <w:szCs w:val="24"/>
              </w:rPr>
            </w:pPr>
          </w:p>
        </w:tc>
        <w:tc>
          <w:tcPr>
            <w:tcW w:w="1830" w:type="dxa"/>
            <w:tcBorders>
              <w:top w:val="single" w:sz="4" w:space="0" w:color="auto"/>
            </w:tcBorders>
            <w:vAlign w:val="bottom"/>
          </w:tcPr>
          <w:p w14:paraId="767758AE"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B</w:t>
            </w:r>
          </w:p>
        </w:tc>
        <w:tc>
          <w:tcPr>
            <w:tcW w:w="1569" w:type="dxa"/>
            <w:tcBorders>
              <w:top w:val="single" w:sz="4" w:space="0" w:color="auto"/>
            </w:tcBorders>
            <w:vAlign w:val="bottom"/>
          </w:tcPr>
          <w:p w14:paraId="5B91FBFA"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Std. Error</w:t>
            </w:r>
          </w:p>
        </w:tc>
        <w:tc>
          <w:tcPr>
            <w:tcW w:w="1921" w:type="dxa"/>
            <w:tcBorders>
              <w:top w:val="single" w:sz="4" w:space="0" w:color="auto"/>
            </w:tcBorders>
            <w:vAlign w:val="bottom"/>
          </w:tcPr>
          <w:p w14:paraId="0A7C8DE6"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Beta</w:t>
            </w:r>
          </w:p>
        </w:tc>
        <w:tc>
          <w:tcPr>
            <w:tcW w:w="992" w:type="dxa"/>
            <w:tcBorders>
              <w:top w:val="single" w:sz="4" w:space="0" w:color="auto"/>
            </w:tcBorders>
            <w:vAlign w:val="bottom"/>
          </w:tcPr>
          <w:p w14:paraId="675C6F7E"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t</w:t>
            </w:r>
          </w:p>
        </w:tc>
        <w:tc>
          <w:tcPr>
            <w:tcW w:w="992" w:type="dxa"/>
            <w:tcBorders>
              <w:top w:val="single" w:sz="4" w:space="0" w:color="auto"/>
            </w:tcBorders>
            <w:vAlign w:val="bottom"/>
          </w:tcPr>
          <w:p w14:paraId="602E24CA" w14:textId="77777777" w:rsidR="009E2062" w:rsidRPr="009E2062" w:rsidRDefault="009E2062" w:rsidP="001A505D">
            <w:pPr>
              <w:autoSpaceDE w:val="0"/>
              <w:autoSpaceDN w:val="0"/>
              <w:adjustRightInd w:val="0"/>
              <w:spacing w:line="320" w:lineRule="atLeast"/>
              <w:ind w:left="60" w:right="60"/>
              <w:jc w:val="center"/>
              <w:rPr>
                <w:rFonts w:ascii="Arial" w:hAnsi="Arial" w:cs="Arial"/>
                <w:b/>
                <w:color w:val="264A60"/>
                <w:sz w:val="18"/>
                <w:szCs w:val="18"/>
              </w:rPr>
            </w:pPr>
            <w:r w:rsidRPr="009E2062">
              <w:rPr>
                <w:rFonts w:ascii="Arial" w:hAnsi="Arial" w:cs="Arial"/>
                <w:b/>
                <w:color w:val="264A60"/>
                <w:sz w:val="18"/>
                <w:szCs w:val="18"/>
              </w:rPr>
              <w:t>Sig.</w:t>
            </w:r>
          </w:p>
        </w:tc>
      </w:tr>
      <w:tr w:rsidR="009E2062" w14:paraId="0A552153" w14:textId="77777777" w:rsidTr="005A48A3">
        <w:trPr>
          <w:trHeight w:val="322"/>
        </w:trPr>
        <w:tc>
          <w:tcPr>
            <w:tcW w:w="1309" w:type="dxa"/>
          </w:tcPr>
          <w:p w14:paraId="54555EC7"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(Constant)</w:t>
            </w:r>
          </w:p>
        </w:tc>
        <w:tc>
          <w:tcPr>
            <w:tcW w:w="1830" w:type="dxa"/>
          </w:tcPr>
          <w:p w14:paraId="6A21E8AF"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3.49</w:t>
            </w:r>
          </w:p>
        </w:tc>
        <w:tc>
          <w:tcPr>
            <w:tcW w:w="1569" w:type="dxa"/>
          </w:tcPr>
          <w:p w14:paraId="31E86D19"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6.54</w:t>
            </w:r>
          </w:p>
        </w:tc>
        <w:tc>
          <w:tcPr>
            <w:tcW w:w="1921" w:type="dxa"/>
            <w:vAlign w:val="center"/>
          </w:tcPr>
          <w:p w14:paraId="3CAE24A9" w14:textId="77777777" w:rsidR="009E2062" w:rsidRPr="009E2062" w:rsidRDefault="009E2062" w:rsidP="009E2062">
            <w:pPr>
              <w:autoSpaceDE w:val="0"/>
              <w:autoSpaceDN w:val="0"/>
              <w:adjustRightInd w:val="0"/>
              <w:jc w:val="center"/>
              <w:rPr>
                <w:rFonts w:ascii="Times New Roman" w:hAnsi="Times New Roman" w:cs="Times New Roman"/>
                <w:sz w:val="24"/>
                <w:szCs w:val="24"/>
              </w:rPr>
            </w:pPr>
          </w:p>
        </w:tc>
        <w:tc>
          <w:tcPr>
            <w:tcW w:w="992" w:type="dxa"/>
          </w:tcPr>
          <w:p w14:paraId="7FC1334B"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.54</w:t>
            </w:r>
          </w:p>
        </w:tc>
        <w:tc>
          <w:tcPr>
            <w:tcW w:w="992" w:type="dxa"/>
          </w:tcPr>
          <w:p w14:paraId="31D9C486"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.59</w:t>
            </w:r>
          </w:p>
        </w:tc>
      </w:tr>
      <w:tr w:rsidR="009E2062" w14:paraId="5DBBF5C9" w14:textId="77777777" w:rsidTr="005A48A3">
        <w:trPr>
          <w:trHeight w:val="335"/>
        </w:trPr>
        <w:tc>
          <w:tcPr>
            <w:tcW w:w="1309" w:type="dxa"/>
          </w:tcPr>
          <w:p w14:paraId="7EEC1C0E"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sex</w:t>
            </w:r>
          </w:p>
        </w:tc>
        <w:tc>
          <w:tcPr>
            <w:tcW w:w="1830" w:type="dxa"/>
          </w:tcPr>
          <w:p w14:paraId="42FD3A0D"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0.41</w:t>
            </w:r>
          </w:p>
        </w:tc>
        <w:tc>
          <w:tcPr>
            <w:tcW w:w="1569" w:type="dxa"/>
          </w:tcPr>
          <w:p w14:paraId="07A8CD08"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0.43</w:t>
            </w:r>
          </w:p>
        </w:tc>
        <w:tc>
          <w:tcPr>
            <w:tcW w:w="1921" w:type="dxa"/>
          </w:tcPr>
          <w:p w14:paraId="71CE6A3E"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.13</w:t>
            </w:r>
          </w:p>
        </w:tc>
        <w:tc>
          <w:tcPr>
            <w:tcW w:w="992" w:type="dxa"/>
          </w:tcPr>
          <w:p w14:paraId="16CED186"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.95</w:t>
            </w:r>
          </w:p>
        </w:tc>
        <w:tc>
          <w:tcPr>
            <w:tcW w:w="992" w:type="dxa"/>
          </w:tcPr>
          <w:p w14:paraId="1748C50B"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.34</w:t>
            </w:r>
          </w:p>
        </w:tc>
      </w:tr>
      <w:tr w:rsidR="009E2062" w14:paraId="29E5BC3B" w14:textId="77777777" w:rsidTr="005A48A3">
        <w:trPr>
          <w:trHeight w:val="322"/>
        </w:trPr>
        <w:tc>
          <w:tcPr>
            <w:tcW w:w="1309" w:type="dxa"/>
          </w:tcPr>
          <w:p w14:paraId="0ED1021B"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age</w:t>
            </w:r>
          </w:p>
        </w:tc>
        <w:tc>
          <w:tcPr>
            <w:tcW w:w="1830" w:type="dxa"/>
          </w:tcPr>
          <w:p w14:paraId="034A705F"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0.02</w:t>
            </w:r>
          </w:p>
        </w:tc>
        <w:tc>
          <w:tcPr>
            <w:tcW w:w="1569" w:type="dxa"/>
          </w:tcPr>
          <w:p w14:paraId="59C5A694"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0.02</w:t>
            </w:r>
          </w:p>
        </w:tc>
        <w:tc>
          <w:tcPr>
            <w:tcW w:w="1921" w:type="dxa"/>
          </w:tcPr>
          <w:p w14:paraId="0E947335"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.12</w:t>
            </w:r>
          </w:p>
        </w:tc>
        <w:tc>
          <w:tcPr>
            <w:tcW w:w="992" w:type="dxa"/>
          </w:tcPr>
          <w:p w14:paraId="701470E6"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.88</w:t>
            </w:r>
          </w:p>
        </w:tc>
        <w:tc>
          <w:tcPr>
            <w:tcW w:w="992" w:type="dxa"/>
          </w:tcPr>
          <w:p w14:paraId="5B3C0DAE"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.38</w:t>
            </w:r>
          </w:p>
        </w:tc>
      </w:tr>
      <w:tr w:rsidR="009E2062" w14:paraId="1791E849" w14:textId="77777777" w:rsidTr="005A48A3">
        <w:trPr>
          <w:trHeight w:val="322"/>
        </w:trPr>
        <w:tc>
          <w:tcPr>
            <w:tcW w:w="1309" w:type="dxa"/>
          </w:tcPr>
          <w:p w14:paraId="6D72EC1D"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occupation</w:t>
            </w:r>
          </w:p>
        </w:tc>
        <w:tc>
          <w:tcPr>
            <w:tcW w:w="1830" w:type="dxa"/>
          </w:tcPr>
          <w:p w14:paraId="6CD8F5B7"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0.22</w:t>
            </w:r>
          </w:p>
        </w:tc>
        <w:tc>
          <w:tcPr>
            <w:tcW w:w="1569" w:type="dxa"/>
          </w:tcPr>
          <w:p w14:paraId="5A575DF2"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0.34</w:t>
            </w:r>
          </w:p>
        </w:tc>
        <w:tc>
          <w:tcPr>
            <w:tcW w:w="1921" w:type="dxa"/>
          </w:tcPr>
          <w:p w14:paraId="64BBFF7A"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.08</w:t>
            </w:r>
          </w:p>
        </w:tc>
        <w:tc>
          <w:tcPr>
            <w:tcW w:w="992" w:type="dxa"/>
          </w:tcPr>
          <w:p w14:paraId="1B44E11C"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.67</w:t>
            </w:r>
          </w:p>
        </w:tc>
        <w:tc>
          <w:tcPr>
            <w:tcW w:w="992" w:type="dxa"/>
          </w:tcPr>
          <w:p w14:paraId="3C7CB754"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.51</w:t>
            </w:r>
          </w:p>
        </w:tc>
      </w:tr>
      <w:tr w:rsidR="009E2062" w14:paraId="0B86DF07" w14:textId="77777777" w:rsidTr="005A48A3">
        <w:trPr>
          <w:trHeight w:val="335"/>
        </w:trPr>
        <w:tc>
          <w:tcPr>
            <w:tcW w:w="1309" w:type="dxa"/>
          </w:tcPr>
          <w:p w14:paraId="5388F908"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residence</w:t>
            </w:r>
          </w:p>
        </w:tc>
        <w:tc>
          <w:tcPr>
            <w:tcW w:w="1830" w:type="dxa"/>
          </w:tcPr>
          <w:p w14:paraId="48C690CE"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Pr="009E2062">
              <w:rPr>
                <w:rFonts w:ascii="Arial" w:hAnsi="Arial" w:cs="Arial"/>
                <w:color w:val="010205"/>
                <w:sz w:val="18"/>
                <w:szCs w:val="18"/>
              </w:rPr>
              <w:t>.14</w:t>
            </w:r>
          </w:p>
        </w:tc>
        <w:tc>
          <w:tcPr>
            <w:tcW w:w="1569" w:type="dxa"/>
          </w:tcPr>
          <w:p w14:paraId="04AE1411"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0.38</w:t>
            </w:r>
          </w:p>
        </w:tc>
        <w:tc>
          <w:tcPr>
            <w:tcW w:w="1921" w:type="dxa"/>
          </w:tcPr>
          <w:p w14:paraId="254492DD"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00360496">
              <w:rPr>
                <w:rFonts w:ascii="Arial" w:hAnsi="Arial" w:cs="Arial"/>
                <w:color w:val="010205"/>
                <w:sz w:val="18"/>
                <w:szCs w:val="18"/>
              </w:rPr>
              <w:t>.0</w:t>
            </w:r>
            <w:r w:rsidRPr="009E2062">
              <w:rPr>
                <w:rFonts w:ascii="Arial" w:hAnsi="Arial" w:cs="Arial"/>
                <w:color w:val="010205"/>
                <w:sz w:val="18"/>
                <w:szCs w:val="18"/>
              </w:rPr>
              <w:t>5</w:t>
            </w:r>
          </w:p>
        </w:tc>
        <w:tc>
          <w:tcPr>
            <w:tcW w:w="992" w:type="dxa"/>
          </w:tcPr>
          <w:p w14:paraId="52C2F516"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.37</w:t>
            </w:r>
          </w:p>
        </w:tc>
        <w:tc>
          <w:tcPr>
            <w:tcW w:w="992" w:type="dxa"/>
          </w:tcPr>
          <w:p w14:paraId="1C412DCD"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.71</w:t>
            </w:r>
          </w:p>
        </w:tc>
      </w:tr>
      <w:tr w:rsidR="009E2062" w14:paraId="509463A7" w14:textId="77777777" w:rsidTr="005A48A3">
        <w:trPr>
          <w:trHeight w:val="322"/>
        </w:trPr>
        <w:tc>
          <w:tcPr>
            <w:tcW w:w="1309" w:type="dxa"/>
          </w:tcPr>
          <w:p w14:paraId="5026C2F1"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alcohol</w:t>
            </w:r>
          </w:p>
        </w:tc>
        <w:tc>
          <w:tcPr>
            <w:tcW w:w="1830" w:type="dxa"/>
          </w:tcPr>
          <w:p w14:paraId="7A11889D"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0.14</w:t>
            </w:r>
          </w:p>
        </w:tc>
        <w:tc>
          <w:tcPr>
            <w:tcW w:w="1569" w:type="dxa"/>
          </w:tcPr>
          <w:p w14:paraId="0DB2F2EA"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0.45</w:t>
            </w:r>
          </w:p>
        </w:tc>
        <w:tc>
          <w:tcPr>
            <w:tcW w:w="1921" w:type="dxa"/>
          </w:tcPr>
          <w:p w14:paraId="251DA27F" w14:textId="77777777" w:rsidR="009E2062" w:rsidRPr="009E2062" w:rsidRDefault="009E2062" w:rsidP="00360496">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Pr="009E2062">
              <w:rPr>
                <w:rFonts w:ascii="Arial" w:hAnsi="Arial" w:cs="Arial"/>
                <w:color w:val="010205"/>
                <w:sz w:val="18"/>
                <w:szCs w:val="18"/>
              </w:rPr>
              <w:t>.04</w:t>
            </w:r>
          </w:p>
        </w:tc>
        <w:tc>
          <w:tcPr>
            <w:tcW w:w="992" w:type="dxa"/>
          </w:tcPr>
          <w:p w14:paraId="7CEFB168"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.31</w:t>
            </w:r>
          </w:p>
        </w:tc>
        <w:tc>
          <w:tcPr>
            <w:tcW w:w="992" w:type="dxa"/>
          </w:tcPr>
          <w:p w14:paraId="1275E9BB"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.76</w:t>
            </w:r>
          </w:p>
        </w:tc>
      </w:tr>
      <w:tr w:rsidR="009E2062" w14:paraId="394E0587" w14:textId="77777777" w:rsidTr="005A48A3">
        <w:trPr>
          <w:trHeight w:val="322"/>
        </w:trPr>
        <w:tc>
          <w:tcPr>
            <w:tcW w:w="1309" w:type="dxa"/>
          </w:tcPr>
          <w:p w14:paraId="67BFEAC3"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systolic</w:t>
            </w:r>
          </w:p>
        </w:tc>
        <w:tc>
          <w:tcPr>
            <w:tcW w:w="1830" w:type="dxa"/>
          </w:tcPr>
          <w:p w14:paraId="489E26A9"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0.03</w:t>
            </w:r>
          </w:p>
        </w:tc>
        <w:tc>
          <w:tcPr>
            <w:tcW w:w="1569" w:type="dxa"/>
          </w:tcPr>
          <w:p w14:paraId="763E09D7"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0.02</w:t>
            </w:r>
          </w:p>
        </w:tc>
        <w:tc>
          <w:tcPr>
            <w:tcW w:w="1921" w:type="dxa"/>
          </w:tcPr>
          <w:p w14:paraId="450C8540"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00360496">
              <w:rPr>
                <w:rFonts w:ascii="Arial" w:hAnsi="Arial" w:cs="Arial"/>
                <w:color w:val="010205"/>
                <w:sz w:val="18"/>
                <w:szCs w:val="18"/>
              </w:rPr>
              <w:t>.31</w:t>
            </w:r>
          </w:p>
        </w:tc>
        <w:tc>
          <w:tcPr>
            <w:tcW w:w="992" w:type="dxa"/>
          </w:tcPr>
          <w:p w14:paraId="0C60C3BE" w14:textId="77777777" w:rsidR="009E2062" w:rsidRPr="009E2062" w:rsidRDefault="00360496"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1.43</w:t>
            </w:r>
          </w:p>
        </w:tc>
        <w:tc>
          <w:tcPr>
            <w:tcW w:w="992" w:type="dxa"/>
          </w:tcPr>
          <w:p w14:paraId="7741FB2E"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.16</w:t>
            </w:r>
          </w:p>
        </w:tc>
      </w:tr>
      <w:tr w:rsidR="009E2062" w14:paraId="46EEF6C6" w14:textId="77777777" w:rsidTr="005A48A3">
        <w:trPr>
          <w:trHeight w:val="335"/>
        </w:trPr>
        <w:tc>
          <w:tcPr>
            <w:tcW w:w="1309" w:type="dxa"/>
          </w:tcPr>
          <w:p w14:paraId="0136E297"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diastolic</w:t>
            </w:r>
          </w:p>
        </w:tc>
        <w:tc>
          <w:tcPr>
            <w:tcW w:w="1830" w:type="dxa"/>
          </w:tcPr>
          <w:p w14:paraId="319F6677"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0.04</w:t>
            </w:r>
          </w:p>
        </w:tc>
        <w:tc>
          <w:tcPr>
            <w:tcW w:w="1569" w:type="dxa"/>
          </w:tcPr>
          <w:p w14:paraId="4B2AB221"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0.03</w:t>
            </w:r>
          </w:p>
        </w:tc>
        <w:tc>
          <w:tcPr>
            <w:tcW w:w="1921" w:type="dxa"/>
          </w:tcPr>
          <w:p w14:paraId="40008B98"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.33</w:t>
            </w:r>
          </w:p>
        </w:tc>
        <w:tc>
          <w:tcPr>
            <w:tcW w:w="992" w:type="dxa"/>
          </w:tcPr>
          <w:p w14:paraId="6FF82214" w14:textId="77777777" w:rsidR="009E2062" w:rsidRPr="009E2062" w:rsidRDefault="00360496"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1.47</w:t>
            </w:r>
          </w:p>
        </w:tc>
        <w:tc>
          <w:tcPr>
            <w:tcW w:w="992" w:type="dxa"/>
          </w:tcPr>
          <w:p w14:paraId="1D404DA2"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.15</w:t>
            </w:r>
          </w:p>
        </w:tc>
      </w:tr>
      <w:tr w:rsidR="009E2062" w14:paraId="78512C0D" w14:textId="77777777" w:rsidTr="005A48A3">
        <w:trPr>
          <w:trHeight w:val="322"/>
        </w:trPr>
        <w:tc>
          <w:tcPr>
            <w:tcW w:w="1309" w:type="dxa"/>
          </w:tcPr>
          <w:p w14:paraId="587DE93D"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BMI</w:t>
            </w:r>
          </w:p>
        </w:tc>
        <w:tc>
          <w:tcPr>
            <w:tcW w:w="1830" w:type="dxa"/>
          </w:tcPr>
          <w:p w14:paraId="7169A4CB"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Pr="009E2062">
              <w:rPr>
                <w:rFonts w:ascii="Arial" w:hAnsi="Arial" w:cs="Arial"/>
                <w:color w:val="010205"/>
                <w:sz w:val="18"/>
                <w:szCs w:val="18"/>
              </w:rPr>
              <w:t>.01</w:t>
            </w:r>
          </w:p>
        </w:tc>
        <w:tc>
          <w:tcPr>
            <w:tcW w:w="1569" w:type="dxa"/>
          </w:tcPr>
          <w:p w14:paraId="7CE40591"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0.04</w:t>
            </w:r>
          </w:p>
        </w:tc>
        <w:tc>
          <w:tcPr>
            <w:tcW w:w="1921" w:type="dxa"/>
          </w:tcPr>
          <w:p w14:paraId="52B67566"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sidRPr="009E2062">
              <w:rPr>
                <w:rFonts w:ascii="Arial" w:hAnsi="Arial" w:cs="Arial"/>
                <w:color w:val="010205"/>
                <w:sz w:val="18"/>
                <w:szCs w:val="18"/>
              </w:rPr>
              <w:t>-</w:t>
            </w:r>
            <w:r>
              <w:rPr>
                <w:rFonts w:ascii="Arial" w:hAnsi="Arial" w:cs="Arial"/>
                <w:color w:val="010205"/>
                <w:sz w:val="18"/>
                <w:szCs w:val="18"/>
              </w:rPr>
              <w:t>0</w:t>
            </w:r>
            <w:r w:rsidR="00360496">
              <w:rPr>
                <w:rFonts w:ascii="Arial" w:hAnsi="Arial" w:cs="Arial"/>
                <w:color w:val="010205"/>
                <w:sz w:val="18"/>
                <w:szCs w:val="18"/>
              </w:rPr>
              <w:t>.05</w:t>
            </w:r>
          </w:p>
        </w:tc>
        <w:tc>
          <w:tcPr>
            <w:tcW w:w="992" w:type="dxa"/>
          </w:tcPr>
          <w:p w14:paraId="3CC2AF49"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.33</w:t>
            </w:r>
          </w:p>
        </w:tc>
        <w:tc>
          <w:tcPr>
            <w:tcW w:w="992" w:type="dxa"/>
          </w:tcPr>
          <w:p w14:paraId="13CB4635"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.74</w:t>
            </w:r>
          </w:p>
        </w:tc>
      </w:tr>
      <w:tr w:rsidR="009E2062" w14:paraId="2890BBC2" w14:textId="77777777" w:rsidTr="005A48A3">
        <w:trPr>
          <w:trHeight w:val="335"/>
        </w:trPr>
        <w:tc>
          <w:tcPr>
            <w:tcW w:w="1309" w:type="dxa"/>
            <w:tcBorders>
              <w:bottom w:val="single" w:sz="4" w:space="0" w:color="auto"/>
            </w:tcBorders>
          </w:tcPr>
          <w:p w14:paraId="5D13F5E4" w14:textId="77777777" w:rsidR="009E2062" w:rsidRPr="009E2062" w:rsidRDefault="009E2062" w:rsidP="001A505D">
            <w:pPr>
              <w:autoSpaceDE w:val="0"/>
              <w:autoSpaceDN w:val="0"/>
              <w:adjustRightInd w:val="0"/>
              <w:spacing w:line="320" w:lineRule="atLeast"/>
              <w:ind w:left="60" w:right="60"/>
              <w:rPr>
                <w:rFonts w:ascii="Arial" w:hAnsi="Arial" w:cs="Arial"/>
                <w:color w:val="264A60"/>
                <w:sz w:val="18"/>
                <w:szCs w:val="18"/>
              </w:rPr>
            </w:pPr>
            <w:r w:rsidRPr="009E2062">
              <w:rPr>
                <w:rFonts w:ascii="Arial" w:hAnsi="Arial" w:cs="Arial"/>
                <w:color w:val="264A60"/>
                <w:sz w:val="18"/>
                <w:szCs w:val="18"/>
              </w:rPr>
              <w:t>Waist</w:t>
            </w:r>
            <w:r>
              <w:rPr>
                <w:rFonts w:ascii="Arial" w:hAnsi="Arial" w:cs="Arial"/>
                <w:color w:val="264A60"/>
                <w:sz w:val="18"/>
                <w:szCs w:val="18"/>
              </w:rPr>
              <w:t>/</w:t>
            </w:r>
            <w:r w:rsidRPr="009E2062">
              <w:rPr>
                <w:rFonts w:ascii="Arial" w:hAnsi="Arial" w:cs="Arial"/>
                <w:color w:val="264A60"/>
                <w:sz w:val="18"/>
                <w:szCs w:val="18"/>
              </w:rPr>
              <w:t>hip</w:t>
            </w:r>
          </w:p>
        </w:tc>
        <w:tc>
          <w:tcPr>
            <w:tcW w:w="1830" w:type="dxa"/>
            <w:tcBorders>
              <w:bottom w:val="single" w:sz="4" w:space="0" w:color="auto"/>
            </w:tcBorders>
          </w:tcPr>
          <w:p w14:paraId="61CD1FBE"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0.69</w:t>
            </w:r>
          </w:p>
        </w:tc>
        <w:tc>
          <w:tcPr>
            <w:tcW w:w="1569" w:type="dxa"/>
            <w:tcBorders>
              <w:bottom w:val="single" w:sz="4" w:space="0" w:color="auto"/>
            </w:tcBorders>
          </w:tcPr>
          <w:p w14:paraId="154795CA"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5.86</w:t>
            </w:r>
          </w:p>
        </w:tc>
        <w:tc>
          <w:tcPr>
            <w:tcW w:w="1921" w:type="dxa"/>
            <w:tcBorders>
              <w:bottom w:val="single" w:sz="4" w:space="0" w:color="auto"/>
            </w:tcBorders>
          </w:tcPr>
          <w:p w14:paraId="764A3115"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.01</w:t>
            </w:r>
          </w:p>
        </w:tc>
        <w:tc>
          <w:tcPr>
            <w:tcW w:w="992" w:type="dxa"/>
            <w:tcBorders>
              <w:bottom w:val="single" w:sz="4" w:space="0" w:color="auto"/>
            </w:tcBorders>
          </w:tcPr>
          <w:p w14:paraId="1749F681"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.12</w:t>
            </w:r>
          </w:p>
        </w:tc>
        <w:tc>
          <w:tcPr>
            <w:tcW w:w="992" w:type="dxa"/>
            <w:tcBorders>
              <w:bottom w:val="single" w:sz="4" w:space="0" w:color="auto"/>
            </w:tcBorders>
          </w:tcPr>
          <w:p w14:paraId="0B8280B8" w14:textId="77777777" w:rsidR="009E2062" w:rsidRPr="009E2062" w:rsidRDefault="009E2062" w:rsidP="009E2062">
            <w:pPr>
              <w:autoSpaceDE w:val="0"/>
              <w:autoSpaceDN w:val="0"/>
              <w:adjustRightInd w:val="0"/>
              <w:spacing w:line="320" w:lineRule="atLeast"/>
              <w:ind w:left="60" w:right="60"/>
              <w:jc w:val="center"/>
              <w:rPr>
                <w:rFonts w:ascii="Arial" w:hAnsi="Arial" w:cs="Arial"/>
                <w:color w:val="010205"/>
                <w:sz w:val="18"/>
                <w:szCs w:val="18"/>
              </w:rPr>
            </w:pPr>
            <w:r>
              <w:rPr>
                <w:rFonts w:ascii="Arial" w:hAnsi="Arial" w:cs="Arial"/>
                <w:color w:val="010205"/>
                <w:sz w:val="18"/>
                <w:szCs w:val="18"/>
              </w:rPr>
              <w:t>0</w:t>
            </w:r>
            <w:r w:rsidR="00360496">
              <w:rPr>
                <w:rFonts w:ascii="Arial" w:hAnsi="Arial" w:cs="Arial"/>
                <w:color w:val="010205"/>
                <w:sz w:val="18"/>
                <w:szCs w:val="18"/>
              </w:rPr>
              <w:t>.91</w:t>
            </w:r>
          </w:p>
        </w:tc>
      </w:tr>
    </w:tbl>
    <w:p w14:paraId="41E5AA58" w14:textId="23270E8F" w:rsidR="00732343" w:rsidRPr="00732343" w:rsidRDefault="00732343" w:rsidP="00732343">
      <w:pPr>
        <w:autoSpaceDE w:val="0"/>
        <w:autoSpaceDN w:val="0"/>
        <w:adjustRightInd w:val="0"/>
        <w:spacing w:after="0" w:line="240" w:lineRule="auto"/>
        <w:rPr>
          <w:rFonts w:ascii="Times New Roman" w:hAnsi="Times New Roman" w:cs="Times New Roman"/>
          <w:i/>
          <w:iCs/>
          <w:sz w:val="24"/>
          <w:szCs w:val="24"/>
        </w:rPr>
      </w:pPr>
      <w:r w:rsidRPr="00732343">
        <w:rPr>
          <w:rStyle w:val="Strong"/>
          <w:b w:val="0"/>
          <w:bCs w:val="0"/>
          <w:i/>
          <w:iCs/>
          <w:sz w:val="18"/>
          <w:szCs w:val="18"/>
        </w:rPr>
        <w:t>BMI- body mass index, Std. Error- standard error</w:t>
      </w:r>
    </w:p>
    <w:p w14:paraId="0E8FD8C3" w14:textId="77777777" w:rsidR="00732343" w:rsidRDefault="00732343" w:rsidP="00732343">
      <w:pPr>
        <w:pStyle w:val="NoSpacing"/>
        <w:rPr>
          <w:lang w:eastAsia="en-GB"/>
        </w:rPr>
      </w:pPr>
    </w:p>
    <w:p w14:paraId="4E6461EB" w14:textId="3F4467E6" w:rsidR="00120AA7" w:rsidRPr="00732343" w:rsidRDefault="00120AA7" w:rsidP="00386D1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20AA7">
        <w:rPr>
          <w:rFonts w:ascii="Times New Roman" w:eastAsia="Times New Roman" w:hAnsi="Times New Roman" w:cs="Times New Roman"/>
          <w:sz w:val="24"/>
          <w:szCs w:val="24"/>
          <w:lang w:eastAsia="en-GB"/>
        </w:rPr>
        <w:t xml:space="preserve">The table presents the results of a multiple regression analysis examining the relationship between various independent variables (sex, age, occupation, residence, alcohol consumption, systolic and diastolic blood pressure, BMI, and waist-to-hip ratio) and </w:t>
      </w:r>
      <w:r>
        <w:rPr>
          <w:rFonts w:ascii="Times New Roman" w:eastAsia="Times New Roman" w:hAnsi="Times New Roman" w:cs="Times New Roman"/>
          <w:sz w:val="24"/>
          <w:szCs w:val="24"/>
          <w:lang w:eastAsia="en-GB"/>
        </w:rPr>
        <w:t xml:space="preserve">fasting blood glucose as </w:t>
      </w:r>
      <w:r w:rsidRPr="00120AA7">
        <w:rPr>
          <w:rFonts w:ascii="Times New Roman" w:eastAsia="Times New Roman" w:hAnsi="Times New Roman" w:cs="Times New Roman"/>
          <w:sz w:val="24"/>
          <w:szCs w:val="24"/>
          <w:lang w:eastAsia="en-GB"/>
        </w:rPr>
        <w:t>the dependent variable.</w:t>
      </w:r>
      <w:r w:rsidR="00386D12">
        <w:rPr>
          <w:rFonts w:ascii="Times New Roman" w:eastAsia="Times New Roman" w:hAnsi="Times New Roman" w:cs="Times New Roman"/>
          <w:sz w:val="24"/>
          <w:szCs w:val="24"/>
          <w:lang w:eastAsia="en-GB"/>
        </w:rPr>
        <w:t xml:space="preserve"> </w:t>
      </w:r>
      <w:r w:rsidRPr="00732343">
        <w:rPr>
          <w:rFonts w:ascii="Times New Roman" w:eastAsia="Times New Roman" w:hAnsi="Times New Roman" w:cs="Times New Roman"/>
          <w:sz w:val="24"/>
          <w:szCs w:val="24"/>
          <w:lang w:eastAsia="en-GB"/>
        </w:rPr>
        <w:t>The model's constant (intercept) is 3.49 (p = 0.59), indicating the baseline value when all predictors are zero.</w:t>
      </w:r>
      <w:r w:rsidR="00386D12">
        <w:rPr>
          <w:rFonts w:ascii="Times New Roman" w:eastAsia="Times New Roman" w:hAnsi="Times New Roman" w:cs="Times New Roman"/>
          <w:sz w:val="24"/>
          <w:szCs w:val="24"/>
          <w:lang w:eastAsia="en-GB"/>
        </w:rPr>
        <w:t xml:space="preserve"> </w:t>
      </w:r>
      <w:r w:rsidRPr="00732343">
        <w:rPr>
          <w:rFonts w:ascii="Times New Roman" w:eastAsia="Times New Roman" w:hAnsi="Times New Roman" w:cs="Times New Roman"/>
          <w:sz w:val="24"/>
          <w:szCs w:val="24"/>
          <w:lang w:eastAsia="en-GB"/>
        </w:rPr>
        <w:t>Sex, age, occupation, residence, and alcohol consumption had weak and non-significant effects on fasting blood glucose, with p-values ranging from 0.34 to 0.76, suggesting that these variables do not significantly contribute to the model.</w:t>
      </w:r>
      <w:r w:rsidR="00386D12">
        <w:rPr>
          <w:rFonts w:ascii="Times New Roman" w:eastAsia="Times New Roman" w:hAnsi="Times New Roman" w:cs="Times New Roman"/>
          <w:sz w:val="24"/>
          <w:szCs w:val="24"/>
          <w:lang w:eastAsia="en-GB"/>
        </w:rPr>
        <w:t xml:space="preserve"> </w:t>
      </w:r>
      <w:r w:rsidRPr="00732343">
        <w:rPr>
          <w:rFonts w:ascii="Times New Roman" w:eastAsia="Times New Roman" w:hAnsi="Times New Roman" w:cs="Times New Roman"/>
          <w:sz w:val="24"/>
          <w:szCs w:val="24"/>
          <w:lang w:eastAsia="en-GB"/>
        </w:rPr>
        <w:t>Systolic blood pressure (B = -0.03, p = 0.16) and diastolic blood pressure (B = 0.04, p = 0.15) had moderate, but statistically non-significant, associations with fasting blood glucose. The beta values indicate that an increase in systolic BP slightly decreases the fasting blood glucose, whereas an increase in diastolic BP has the opposite effect.</w:t>
      </w:r>
      <w:r w:rsidR="00386D12">
        <w:rPr>
          <w:rFonts w:ascii="Times New Roman" w:eastAsia="Times New Roman" w:hAnsi="Times New Roman" w:cs="Times New Roman"/>
          <w:sz w:val="24"/>
          <w:szCs w:val="24"/>
          <w:lang w:eastAsia="en-GB"/>
        </w:rPr>
        <w:t xml:space="preserve"> </w:t>
      </w:r>
      <w:r w:rsidRPr="00732343">
        <w:rPr>
          <w:rFonts w:ascii="Times New Roman" w:eastAsia="Times New Roman" w:hAnsi="Times New Roman" w:cs="Times New Roman"/>
          <w:sz w:val="24"/>
          <w:szCs w:val="24"/>
          <w:lang w:eastAsia="en-GB"/>
        </w:rPr>
        <w:t>BMI (B = -0.01, p = 0.74) and waist-to-hip ratio (B = 0.69, p = 0.91) showed very weak, non-significant effects on the fasting blood glucose levels.</w:t>
      </w:r>
      <w:r w:rsidR="00386D12">
        <w:rPr>
          <w:rFonts w:ascii="Times New Roman" w:eastAsia="Times New Roman" w:hAnsi="Times New Roman" w:cs="Times New Roman"/>
          <w:sz w:val="24"/>
          <w:szCs w:val="24"/>
          <w:lang w:eastAsia="en-GB"/>
        </w:rPr>
        <w:t xml:space="preserve"> </w:t>
      </w:r>
      <w:r w:rsidRPr="00732343">
        <w:rPr>
          <w:rFonts w:ascii="Times New Roman" w:eastAsia="Times New Roman" w:hAnsi="Times New Roman" w:cs="Times New Roman"/>
          <w:sz w:val="24"/>
          <w:szCs w:val="24"/>
          <w:lang w:eastAsia="en-GB"/>
        </w:rPr>
        <w:t>The standardized beta coefficients indicate that diastolic blood pressure (β = 0.33) and systolic blood pressure (β = -0.31) had the largest influences, though not statistically significant.</w:t>
      </w:r>
    </w:p>
    <w:p w14:paraId="7C0D6642" w14:textId="77777777" w:rsidR="00120AA7" w:rsidRPr="00732343" w:rsidRDefault="00120AA7"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32343">
        <w:rPr>
          <w:rFonts w:ascii="Times New Roman" w:eastAsia="Times New Roman" w:hAnsi="Times New Roman" w:cs="Times New Roman"/>
          <w:sz w:val="24"/>
          <w:szCs w:val="24"/>
          <w:lang w:eastAsia="en-GB"/>
        </w:rPr>
        <w:t>None of the independent variables were significant predictors in this model, with systolic and diastolic blood pressure showing the strongest, albeit non-significant, associations. Further studies with a larger sample size or additional covariates may be needed to clarify these relationships.</w:t>
      </w:r>
    </w:p>
    <w:p w14:paraId="639BF626" w14:textId="77777777" w:rsidR="005A48A3" w:rsidRDefault="005A48A3" w:rsidP="00F95B57">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2918F5C7" w14:textId="50298339" w:rsidR="003302EA" w:rsidRPr="000A7584"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DISCUSSION</w:t>
      </w:r>
    </w:p>
    <w:p w14:paraId="3D999A40" w14:textId="5F7887E6" w:rsidR="003302EA" w:rsidRPr="003302EA"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02EA">
        <w:rPr>
          <w:rFonts w:ascii="Times New Roman" w:eastAsia="Times New Roman" w:hAnsi="Times New Roman" w:cs="Times New Roman"/>
          <w:sz w:val="24"/>
          <w:szCs w:val="24"/>
          <w:lang w:eastAsia="en-GB"/>
        </w:rPr>
        <w:lastRenderedPageBreak/>
        <w:t xml:space="preserve">The present study examined the association between demographic, </w:t>
      </w:r>
      <w:r w:rsidR="008B23D4">
        <w:rPr>
          <w:rFonts w:ascii="Times New Roman" w:eastAsia="Times New Roman" w:hAnsi="Times New Roman" w:cs="Times New Roman"/>
          <w:sz w:val="24"/>
          <w:szCs w:val="24"/>
          <w:lang w:eastAsia="en-GB"/>
        </w:rPr>
        <w:t>blood glucose</w:t>
      </w:r>
      <w:r w:rsidRPr="003302EA">
        <w:rPr>
          <w:rFonts w:ascii="Times New Roman" w:eastAsia="Times New Roman" w:hAnsi="Times New Roman" w:cs="Times New Roman"/>
          <w:sz w:val="24"/>
          <w:szCs w:val="24"/>
          <w:lang w:eastAsia="en-GB"/>
        </w:rPr>
        <w:t xml:space="preserve">, and cardiovascular parameters with diabetes risk. The results revealed that age was significantly associated with diabetes risk (p = 0.007), with individuals aged 41-60 years and &gt;60 years more likely to be classified as pre-diabetic or diabetic. This finding aligns with previous research highlighting age as a major risk factor for type 2 diabetes due to the cumulative effects of </w:t>
      </w:r>
      <w:r w:rsidR="008B23D4">
        <w:rPr>
          <w:rFonts w:ascii="Times New Roman" w:eastAsia="Times New Roman" w:hAnsi="Times New Roman" w:cs="Times New Roman"/>
          <w:sz w:val="24"/>
          <w:szCs w:val="24"/>
          <w:lang w:eastAsia="en-GB"/>
        </w:rPr>
        <w:t>blood glucose</w:t>
      </w:r>
      <w:r w:rsidRPr="003302EA">
        <w:rPr>
          <w:rFonts w:ascii="Times New Roman" w:eastAsia="Times New Roman" w:hAnsi="Times New Roman" w:cs="Times New Roman"/>
          <w:sz w:val="24"/>
          <w:szCs w:val="24"/>
          <w:lang w:eastAsia="en-GB"/>
        </w:rPr>
        <w:t xml:space="preserve"> changes, insulin resistance, and decreased pancreatic function over time.</w:t>
      </w:r>
      <w:r w:rsidR="00762AB2">
        <w:rPr>
          <w:rFonts w:ascii="Times New Roman" w:eastAsia="Times New Roman" w:hAnsi="Times New Roman" w:cs="Times New Roman"/>
          <w:sz w:val="24"/>
          <w:szCs w:val="24"/>
          <w:lang w:eastAsia="en-GB"/>
        </w:rPr>
        <w:fldChar w:fldCharType="begin" w:fldLock="1"/>
      </w:r>
      <w:r w:rsidR="00762AB2">
        <w:rPr>
          <w:rFonts w:ascii="Times New Roman" w:eastAsia="Times New Roman" w:hAnsi="Times New Roman" w:cs="Times New Roman"/>
          <w:sz w:val="24"/>
          <w:szCs w:val="24"/>
          <w:lang w:eastAsia="en-GB"/>
        </w:rPr>
        <w:instrText>ADDIN CSL_CITATION {"citationItems":[{"id":"ITEM-1","itemData":{"DOI":"10.2337/dc22-S013","ISSN":"1935-5548","abstract":"The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(https://doi.org/10.2337/dc22-SPPC),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(https://doi.org/10.2337/dc22-SINT). Readers who wish to comment on the Standards of Care are invited to do so at professional.diabetes.org/SOC.","author":[{"dropping-particle":"","family":"Committee","given":"American Diabetes Association Professional Practice","non-dropping-particle":"","parse-names":false,"suffix":""}],"container-title":"Diabetes care","id":"ITEM-1","issue":"Suppl 1","issued":{"date-parts":[["2022","1","1"]]},"language":"eng","page":"S195-S207","publisher-place":"United States","title":"13. Older Adults: Standards of Medical Care in Diabetes-2022","type":"article-journal","volume":"45"},"uris":["http://www.mendeley.com/documents/?uuid=10d07231-fff7-47db-97a2-ad2ad7b0dc4b"]}],"mendeley":{"formattedCitation":"&lt;sup&gt;22&lt;/sup&gt;","plainTextFormattedCitation":"22","previouslyFormattedCitation":"&lt;sup&gt;22&lt;/sup&gt;"},"properties":{"noteIndex":0},"schema":"https://github.com/citation-style-language/schema/raw/master/csl-citation.json"}</w:instrText>
      </w:r>
      <w:r w:rsidR="00762AB2">
        <w:rPr>
          <w:rFonts w:ascii="Times New Roman" w:eastAsia="Times New Roman" w:hAnsi="Times New Roman" w:cs="Times New Roman"/>
          <w:sz w:val="24"/>
          <w:szCs w:val="24"/>
          <w:lang w:eastAsia="en-GB"/>
        </w:rPr>
        <w:fldChar w:fldCharType="separate"/>
      </w:r>
      <w:r w:rsidR="00762AB2" w:rsidRPr="00762AB2">
        <w:rPr>
          <w:rFonts w:ascii="Times New Roman" w:eastAsia="Times New Roman" w:hAnsi="Times New Roman" w:cs="Times New Roman"/>
          <w:noProof/>
          <w:sz w:val="24"/>
          <w:szCs w:val="24"/>
          <w:vertAlign w:val="superscript"/>
          <w:lang w:eastAsia="en-GB"/>
        </w:rPr>
        <w:t>22</w:t>
      </w:r>
      <w:r w:rsidR="00762AB2">
        <w:rPr>
          <w:rFonts w:ascii="Times New Roman" w:eastAsia="Times New Roman" w:hAnsi="Times New Roman" w:cs="Times New Roman"/>
          <w:sz w:val="24"/>
          <w:szCs w:val="24"/>
          <w:lang w:eastAsia="en-GB"/>
        </w:rPr>
        <w:fldChar w:fldCharType="end"/>
      </w:r>
      <w:r w:rsidR="00762AB2" w:rsidRPr="003302EA">
        <w:rPr>
          <w:rFonts w:ascii="Times New Roman" w:eastAsia="Times New Roman" w:hAnsi="Times New Roman" w:cs="Times New Roman"/>
          <w:sz w:val="24"/>
          <w:szCs w:val="24"/>
          <w:lang w:eastAsia="en-GB"/>
        </w:rPr>
        <w:t xml:space="preserve"> </w:t>
      </w:r>
    </w:p>
    <w:p w14:paraId="48BF639D" w14:textId="77777777" w:rsidR="003302EA" w:rsidRPr="003302EA"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02EA">
        <w:rPr>
          <w:rFonts w:ascii="Times New Roman" w:eastAsia="Times New Roman" w:hAnsi="Times New Roman" w:cs="Times New Roman"/>
          <w:sz w:val="24"/>
          <w:szCs w:val="24"/>
          <w:lang w:eastAsia="en-GB"/>
        </w:rPr>
        <w:t>Conversely, sex, occupation, residence, alcohol consumption, and BMI were not significantly associated with diabetes risk (p &gt; 0.05). This suggests that while demographic and lifestyle factors play a role in diabetes risk, their independent effects may be weak or moderated by other unmeasured variables. Interestingly, the occupational distribution was skewed, with 90.5% of individuals in both normal and diabetes groups being traders. This lack of occupational variability could have limited the ability to detect potential associations.</w:t>
      </w:r>
    </w:p>
    <w:p w14:paraId="715D5A1F" w14:textId="06EE8CDD" w:rsidR="003302EA" w:rsidRPr="003302EA" w:rsidRDefault="008B23D4"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Blood glucose</w:t>
      </w:r>
      <w:r w:rsidR="003302EA" w:rsidRPr="003302EA">
        <w:rPr>
          <w:rFonts w:ascii="Times New Roman" w:eastAsia="Times New Roman" w:hAnsi="Times New Roman" w:cs="Times New Roman"/>
          <w:sz w:val="24"/>
          <w:szCs w:val="24"/>
          <w:lang w:eastAsia="en-GB"/>
        </w:rPr>
        <w:t xml:space="preserve"> and cardiovascular parameters, including </w:t>
      </w:r>
      <w:r w:rsidR="001B410F">
        <w:rPr>
          <w:rFonts w:ascii="Times New Roman" w:eastAsia="Times New Roman" w:hAnsi="Times New Roman" w:cs="Times New Roman"/>
          <w:sz w:val="24"/>
          <w:szCs w:val="24"/>
          <w:lang w:eastAsia="en-GB"/>
        </w:rPr>
        <w:t>fasting blood glucose</w:t>
      </w:r>
      <w:r w:rsidR="003302EA" w:rsidRPr="003302EA">
        <w:rPr>
          <w:rFonts w:ascii="Times New Roman" w:eastAsia="Times New Roman" w:hAnsi="Times New Roman" w:cs="Times New Roman"/>
          <w:sz w:val="24"/>
          <w:szCs w:val="24"/>
          <w:lang w:eastAsia="en-GB"/>
        </w:rPr>
        <w:t xml:space="preserve"> (</w:t>
      </w:r>
      <w:r w:rsidR="00D05FC3">
        <w:rPr>
          <w:rFonts w:ascii="Times New Roman" w:eastAsia="Times New Roman" w:hAnsi="Times New Roman" w:cs="Times New Roman"/>
          <w:sz w:val="24"/>
          <w:szCs w:val="24"/>
          <w:lang w:eastAsia="en-GB"/>
        </w:rPr>
        <w:t>FBG</w:t>
      </w:r>
      <w:r w:rsidR="003302EA" w:rsidRPr="003302EA">
        <w:rPr>
          <w:rFonts w:ascii="Times New Roman" w:eastAsia="Times New Roman" w:hAnsi="Times New Roman" w:cs="Times New Roman"/>
          <w:sz w:val="24"/>
          <w:szCs w:val="24"/>
          <w:lang w:eastAsia="en-GB"/>
        </w:rPr>
        <w:t xml:space="preserve">) (p = 0.51), </w:t>
      </w:r>
      <w:r w:rsidR="00D05FC3">
        <w:rPr>
          <w:rFonts w:ascii="Times New Roman" w:eastAsia="Times New Roman" w:hAnsi="Times New Roman" w:cs="Times New Roman"/>
          <w:sz w:val="24"/>
          <w:szCs w:val="24"/>
          <w:lang w:eastAsia="en-GB"/>
        </w:rPr>
        <w:t>random blood glucose</w:t>
      </w:r>
      <w:r w:rsidR="003302EA" w:rsidRPr="003302EA">
        <w:rPr>
          <w:rFonts w:ascii="Times New Roman" w:eastAsia="Times New Roman" w:hAnsi="Times New Roman" w:cs="Times New Roman"/>
          <w:sz w:val="24"/>
          <w:szCs w:val="24"/>
          <w:lang w:eastAsia="en-GB"/>
        </w:rPr>
        <w:t xml:space="preserve"> (</w:t>
      </w:r>
      <w:r w:rsidR="00D05FC3">
        <w:rPr>
          <w:rFonts w:ascii="Times New Roman" w:eastAsia="Times New Roman" w:hAnsi="Times New Roman" w:cs="Times New Roman"/>
          <w:sz w:val="24"/>
          <w:szCs w:val="24"/>
          <w:lang w:eastAsia="en-GB"/>
        </w:rPr>
        <w:t>RBG</w:t>
      </w:r>
      <w:r w:rsidR="003302EA" w:rsidRPr="003302EA">
        <w:rPr>
          <w:rFonts w:ascii="Times New Roman" w:eastAsia="Times New Roman" w:hAnsi="Times New Roman" w:cs="Times New Roman"/>
          <w:sz w:val="24"/>
          <w:szCs w:val="24"/>
          <w:lang w:eastAsia="en-GB"/>
        </w:rPr>
        <w:t xml:space="preserve">) (p = 0.45), systolic blood pressure (p = 0.42), diastolic blood pressure (p = 0.26), and BMI (p = 0.18), showed no statistically significant differences across groups. However, the waist-to-hip ratio showed a significant difference (p = 0.04), with males having a higher mean value (1.02 ± 0.005) compared to females (1.00 ± 0.005). This suggests potential sex-related differences in fat distribution, which may have implications for cardiovascular and </w:t>
      </w:r>
      <w:r>
        <w:rPr>
          <w:rFonts w:ascii="Times New Roman" w:eastAsia="Times New Roman" w:hAnsi="Times New Roman" w:cs="Times New Roman"/>
          <w:sz w:val="24"/>
          <w:szCs w:val="24"/>
          <w:lang w:eastAsia="en-GB"/>
        </w:rPr>
        <w:t>blood glucose</w:t>
      </w:r>
      <w:r w:rsidR="003302EA" w:rsidRPr="003302EA">
        <w:rPr>
          <w:rFonts w:ascii="Times New Roman" w:eastAsia="Times New Roman" w:hAnsi="Times New Roman" w:cs="Times New Roman"/>
          <w:sz w:val="24"/>
          <w:szCs w:val="24"/>
          <w:lang w:eastAsia="en-GB"/>
        </w:rPr>
        <w:t xml:space="preserve"> health, consistent with findings that central obesity is a stronger predictor of </w:t>
      </w:r>
      <w:r>
        <w:rPr>
          <w:rFonts w:ascii="Times New Roman" w:eastAsia="Times New Roman" w:hAnsi="Times New Roman" w:cs="Times New Roman"/>
          <w:sz w:val="24"/>
          <w:szCs w:val="24"/>
          <w:lang w:eastAsia="en-GB"/>
        </w:rPr>
        <w:t>blood glucose</w:t>
      </w:r>
      <w:r w:rsidR="003302EA" w:rsidRPr="003302EA">
        <w:rPr>
          <w:rFonts w:ascii="Times New Roman" w:eastAsia="Times New Roman" w:hAnsi="Times New Roman" w:cs="Times New Roman"/>
          <w:sz w:val="24"/>
          <w:szCs w:val="24"/>
          <w:lang w:eastAsia="en-GB"/>
        </w:rPr>
        <w:t xml:space="preserve"> syndrome than BMI alone.</w:t>
      </w:r>
      <w:r w:rsidR="00762AB2">
        <w:rPr>
          <w:rFonts w:ascii="Times New Roman" w:eastAsia="Times New Roman" w:hAnsi="Times New Roman" w:cs="Times New Roman"/>
          <w:sz w:val="24"/>
          <w:szCs w:val="24"/>
          <w:lang w:eastAsia="en-GB"/>
        </w:rPr>
        <w:fldChar w:fldCharType="begin" w:fldLock="1"/>
      </w:r>
      <w:r w:rsidR="00762AB2">
        <w:rPr>
          <w:rFonts w:ascii="Times New Roman" w:eastAsia="Times New Roman" w:hAnsi="Times New Roman" w:cs="Times New Roman"/>
          <w:sz w:val="24"/>
          <w:szCs w:val="24"/>
          <w:lang w:eastAsia="en-GB"/>
        </w:rPr>
        <w:instrText>ADDIN CSL_CITATION {"citationItems":[{"id":"ITEM-1","itemData":{"DOI":"10.3389/fendo.2022.1030497","ISSN":"16642392","author":[{"dropping-particle":"","family":"Hou","given":"Ningning","non-dropping-particle":"","parse-names":false,"suffix":""},{"dropping-particle":"","family":"Luo","given":"Congjuan","non-dropping-particle":"","parse-names":false,"suffix":""},{"dropping-particle":"","family":"Lin","given":"Guiting","non-dropping-particle":"","parse-names":false,"suffix":""}],"container-title":"Frontiers in Endocrinology","id":"ITEM-1","issue":"September","issued":{"date-parts":[["2022"]]},"page":"1-3","title":"Editorial: The link between metabolic syndrome and chronic kidney disease: Focus on diagnosis and therapeutics","type":"article-journal","volume":"13"},"uris":["http://www.mendeley.com/documents/?uuid=1b18499f-af3e-4c4d-82af-50b924f1eb5b"]}],"mendeley":{"formattedCitation":"&lt;sup&gt;23&lt;/sup&gt;","plainTextFormattedCitation":"23","previouslyFormattedCitation":"&lt;sup&gt;23&lt;/sup&gt;"},"properties":{"noteIndex":0},"schema":"https://github.com/citation-style-language/schema/raw/master/csl-citation.json"}</w:instrText>
      </w:r>
      <w:r w:rsidR="00762AB2">
        <w:rPr>
          <w:rFonts w:ascii="Times New Roman" w:eastAsia="Times New Roman" w:hAnsi="Times New Roman" w:cs="Times New Roman"/>
          <w:sz w:val="24"/>
          <w:szCs w:val="24"/>
          <w:lang w:eastAsia="en-GB"/>
        </w:rPr>
        <w:fldChar w:fldCharType="separate"/>
      </w:r>
      <w:r w:rsidR="00762AB2" w:rsidRPr="00762AB2">
        <w:rPr>
          <w:rFonts w:ascii="Times New Roman" w:eastAsia="Times New Roman" w:hAnsi="Times New Roman" w:cs="Times New Roman"/>
          <w:noProof/>
          <w:sz w:val="24"/>
          <w:szCs w:val="24"/>
          <w:vertAlign w:val="superscript"/>
          <w:lang w:eastAsia="en-GB"/>
        </w:rPr>
        <w:t>23</w:t>
      </w:r>
      <w:r w:rsidR="00762AB2">
        <w:rPr>
          <w:rFonts w:ascii="Times New Roman" w:eastAsia="Times New Roman" w:hAnsi="Times New Roman" w:cs="Times New Roman"/>
          <w:sz w:val="24"/>
          <w:szCs w:val="24"/>
          <w:lang w:eastAsia="en-GB"/>
        </w:rPr>
        <w:fldChar w:fldCharType="end"/>
      </w:r>
      <w:r w:rsidR="00762AB2" w:rsidRPr="003302EA">
        <w:rPr>
          <w:rFonts w:ascii="Times New Roman" w:eastAsia="Times New Roman" w:hAnsi="Times New Roman" w:cs="Times New Roman"/>
          <w:sz w:val="24"/>
          <w:szCs w:val="24"/>
          <w:lang w:eastAsia="en-GB"/>
        </w:rPr>
        <w:t xml:space="preserve"> </w:t>
      </w:r>
    </w:p>
    <w:p w14:paraId="25573A2B" w14:textId="4D00C68B" w:rsidR="003302EA" w:rsidRPr="003302EA"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02EA">
        <w:rPr>
          <w:rFonts w:ascii="Times New Roman" w:eastAsia="Times New Roman" w:hAnsi="Times New Roman" w:cs="Times New Roman"/>
          <w:sz w:val="24"/>
          <w:szCs w:val="24"/>
          <w:lang w:eastAsia="en-GB"/>
        </w:rPr>
        <w:t xml:space="preserve">Correlation analysis further revealed that sex had weak, non-significant correlations with all parameters, with the strongest being a negative correlation with waist-to-hip ratio (r = -0.19). Age showed significant positive correlations with </w:t>
      </w:r>
      <w:r w:rsidR="00D05FC3">
        <w:rPr>
          <w:rFonts w:ascii="Times New Roman" w:eastAsia="Times New Roman" w:hAnsi="Times New Roman" w:cs="Times New Roman"/>
          <w:sz w:val="24"/>
          <w:szCs w:val="24"/>
          <w:lang w:eastAsia="en-GB"/>
        </w:rPr>
        <w:t>FBG</w:t>
      </w:r>
      <w:r w:rsidRPr="003302EA">
        <w:rPr>
          <w:rFonts w:ascii="Times New Roman" w:eastAsia="Times New Roman" w:hAnsi="Times New Roman" w:cs="Times New Roman"/>
          <w:sz w:val="24"/>
          <w:szCs w:val="24"/>
          <w:lang w:eastAsia="en-GB"/>
        </w:rPr>
        <w:t xml:space="preserve"> (r = 0.27, p &lt; 0.05), systolic BP (r = 0.40, p &lt; 0.01), diastolic BP (r = 0.45, p &lt; 0.01), and BMI (r = 0.23, p &lt; 0.05), reinforcing the link between aging and </w:t>
      </w:r>
      <w:r w:rsidR="008B23D4">
        <w:rPr>
          <w:rFonts w:ascii="Times New Roman" w:eastAsia="Times New Roman" w:hAnsi="Times New Roman" w:cs="Times New Roman"/>
          <w:sz w:val="24"/>
          <w:szCs w:val="24"/>
          <w:lang w:eastAsia="en-GB"/>
        </w:rPr>
        <w:t>blood glucose</w:t>
      </w:r>
      <w:r w:rsidRPr="003302EA">
        <w:rPr>
          <w:rFonts w:ascii="Times New Roman" w:eastAsia="Times New Roman" w:hAnsi="Times New Roman" w:cs="Times New Roman"/>
          <w:sz w:val="24"/>
          <w:szCs w:val="24"/>
          <w:lang w:eastAsia="en-GB"/>
        </w:rPr>
        <w:t xml:space="preserve">/cardiovascular deterioration. Occupation was negatively correlated with </w:t>
      </w:r>
      <w:r w:rsidR="00D05FC3">
        <w:rPr>
          <w:rFonts w:ascii="Times New Roman" w:eastAsia="Times New Roman" w:hAnsi="Times New Roman" w:cs="Times New Roman"/>
          <w:sz w:val="24"/>
          <w:szCs w:val="24"/>
          <w:lang w:eastAsia="en-GB"/>
        </w:rPr>
        <w:t>RBG</w:t>
      </w:r>
      <w:r w:rsidRPr="003302EA">
        <w:rPr>
          <w:rFonts w:ascii="Times New Roman" w:eastAsia="Times New Roman" w:hAnsi="Times New Roman" w:cs="Times New Roman"/>
          <w:sz w:val="24"/>
          <w:szCs w:val="24"/>
          <w:lang w:eastAsia="en-GB"/>
        </w:rPr>
        <w:t xml:space="preserve"> (r = -0.49, p &lt; 0.05) and BMI (r = -0.23, p &lt; 0.05), suggesting that certain occupational activities may be protective against obesity and </w:t>
      </w:r>
      <w:proofErr w:type="spellStart"/>
      <w:r w:rsidRPr="003302EA">
        <w:rPr>
          <w:rFonts w:ascii="Times New Roman" w:eastAsia="Times New Roman" w:hAnsi="Times New Roman" w:cs="Times New Roman"/>
          <w:sz w:val="24"/>
          <w:szCs w:val="24"/>
          <w:lang w:eastAsia="en-GB"/>
        </w:rPr>
        <w:t>glycemic</w:t>
      </w:r>
      <w:proofErr w:type="spellEnd"/>
      <w:r w:rsidRPr="003302EA">
        <w:rPr>
          <w:rFonts w:ascii="Times New Roman" w:eastAsia="Times New Roman" w:hAnsi="Times New Roman" w:cs="Times New Roman"/>
          <w:sz w:val="24"/>
          <w:szCs w:val="24"/>
          <w:lang w:eastAsia="en-GB"/>
        </w:rPr>
        <w:t xml:space="preserve"> dysregulation. Similarly, alcohol consumption was negatively correlated with BMI (r = -0.22, p &lt; 0.05), indicating that alcohol consumption was associated with lower BMI, a relationship observed in some epidemiological studies.</w:t>
      </w:r>
      <w:r w:rsidR="00762AB2">
        <w:rPr>
          <w:rFonts w:ascii="Times New Roman" w:eastAsia="Times New Roman" w:hAnsi="Times New Roman" w:cs="Times New Roman"/>
          <w:sz w:val="24"/>
          <w:szCs w:val="24"/>
          <w:lang w:eastAsia="en-GB"/>
        </w:rPr>
        <w:fldChar w:fldCharType="begin" w:fldLock="1"/>
      </w:r>
      <w:r w:rsidR="00762AB2">
        <w:rPr>
          <w:rFonts w:ascii="Times New Roman" w:eastAsia="Times New Roman" w:hAnsi="Times New Roman" w:cs="Times New Roman"/>
          <w:sz w:val="24"/>
          <w:szCs w:val="24"/>
          <w:lang w:eastAsia="en-GB"/>
        </w:rPr>
        <w:instrText>ADDIN CSL_CITATION {"citationItems":[{"id":"ITEM-1","itemData":{"DOI":"10.1186/s12889-023-16946-4","ISSN":"14712458","PMID":"37875864","abstract":"Background: Obesity epidemic is one of the most serious public health challenges of the twenty-first century. Alcohol has been studied as a possible risk factor for obesity, but the evidence is discordant. This study examined the association between alcohol consumption and obesity in a sample of the Irish adult population. Method: An analytical cross-sectional study was conducted using secondary data from the 2017 Healthy Ireland Survey. The primary survey recruited patients using a two-stage probability-based technique and a face-to-face-administered questionnaire to collect data. Descriptive and comparative data were analysed to identify associations between alcohol-related variables with waist circumference (WC) and body mass index (BMI). Regression analysis was performed to examine the associations between harmful alcohol consumption (AUDIT-C score ≥ 5) (exposure variable) and obesity indicators (WC and BMI), the primary outcomes of interest. Adjustments were made for sociodemographic, health-related, and other alcohol-related variables. Results: Total of 6864 participants, aged 25 and older, took part in this survey (response rate = 60.4%). Most of the participants (81.9%) were alcohol drinkers, with the majority drinking less than three times per week (76.3%); 47.7% were considered harmful drinkers (AUDIT-C score ≥ 5). After controlling for possible confounders, positive associations of harmful alcohol consumption with WC (β = 1.72, 95% CI: 0.25, 3.19) and BMI (OR = 1.47, 95% CI: 1.10, 1.96) were observed. Binge drinking was positively associated with WC (β = 1.71, 95% CI: 0.50, 2.91), while alcohol consumption frequency was significantly and inversely associated with BMI (OR = 0.59, 95% CI: 0.44, 0.78). Conclusion: Harmful alcohol consumption was associated with obesity (high BMI, large WC) after controlling for possible confounders. Frequent binge drinkers were more likely to have a large WC, while frequent alcohol consumers were less likely to have obesity. Further longitudinal studies to examine the exact association between alcohol consumption and obesity are warranted.","author":[{"dropping-particle":"","family":"AlKalbani","given":"Salma Rashid","non-dropping-particle":"","parse-names":false,"suffix":""},{"dropping-particle":"","family":"Murrin","given":"Celine","non-dropping-particle":"","parse-names":false,"suffix":""}],"container-title":"BMC Public Health","id":"ITEM-1","issue":"1","issued":{"date-parts":[["2023"]]},"page":"1-13","publisher":"BioMed Central","title":"The association between alcohol intake and obesity in a sample of the Irish adult population, a cross-sectional study","type":"article-journal","volume":"23"},"uris":["http://www.mendeley.com/documents/?uuid=f4c29def-1b84-44a0-ba21-35bf1949acdc"]}],"mendeley":{"formattedCitation":"&lt;sup&gt;24&lt;/sup&gt;","plainTextFormattedCitation":"24","previouslyFormattedCitation":"&lt;sup&gt;24&lt;/sup&gt;"},"properties":{"noteIndex":0},"schema":"https://github.com/citation-style-language/schema/raw/master/csl-citation.json"}</w:instrText>
      </w:r>
      <w:r w:rsidR="00762AB2">
        <w:rPr>
          <w:rFonts w:ascii="Times New Roman" w:eastAsia="Times New Roman" w:hAnsi="Times New Roman" w:cs="Times New Roman"/>
          <w:sz w:val="24"/>
          <w:szCs w:val="24"/>
          <w:lang w:eastAsia="en-GB"/>
        </w:rPr>
        <w:fldChar w:fldCharType="separate"/>
      </w:r>
      <w:r w:rsidR="00762AB2" w:rsidRPr="00762AB2">
        <w:rPr>
          <w:rFonts w:ascii="Times New Roman" w:eastAsia="Times New Roman" w:hAnsi="Times New Roman" w:cs="Times New Roman"/>
          <w:noProof/>
          <w:sz w:val="24"/>
          <w:szCs w:val="24"/>
          <w:vertAlign w:val="superscript"/>
          <w:lang w:eastAsia="en-GB"/>
        </w:rPr>
        <w:t>24</w:t>
      </w:r>
      <w:r w:rsidR="00762AB2">
        <w:rPr>
          <w:rFonts w:ascii="Times New Roman" w:eastAsia="Times New Roman" w:hAnsi="Times New Roman" w:cs="Times New Roman"/>
          <w:sz w:val="24"/>
          <w:szCs w:val="24"/>
          <w:lang w:eastAsia="en-GB"/>
        </w:rPr>
        <w:fldChar w:fldCharType="end"/>
      </w:r>
      <w:r w:rsidR="00762AB2" w:rsidRPr="003302EA">
        <w:rPr>
          <w:rFonts w:ascii="Times New Roman" w:eastAsia="Times New Roman" w:hAnsi="Times New Roman" w:cs="Times New Roman"/>
          <w:sz w:val="24"/>
          <w:szCs w:val="24"/>
          <w:lang w:eastAsia="en-GB"/>
        </w:rPr>
        <w:t xml:space="preserve"> </w:t>
      </w:r>
    </w:p>
    <w:p w14:paraId="1E5F5479" w14:textId="363EC648" w:rsidR="003302EA" w:rsidRPr="003302EA" w:rsidRDefault="00D05FC3"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FBG</w:t>
      </w:r>
      <w:r w:rsidR="003302EA" w:rsidRPr="003302EA">
        <w:rPr>
          <w:rFonts w:ascii="Times New Roman" w:eastAsia="Times New Roman" w:hAnsi="Times New Roman" w:cs="Times New Roman"/>
          <w:sz w:val="24"/>
          <w:szCs w:val="24"/>
          <w:lang w:eastAsia="en-GB"/>
        </w:rPr>
        <w:t xml:space="preserve"> was significantly correlated with diastolic BP (r = 0.22, p &lt; 0.05) and BMI (r = 0.23, p &lt; 0.05), suggesting that higher </w:t>
      </w:r>
      <w:r w:rsidR="001B410F">
        <w:rPr>
          <w:rFonts w:ascii="Times New Roman" w:eastAsia="Times New Roman" w:hAnsi="Times New Roman" w:cs="Times New Roman"/>
          <w:sz w:val="24"/>
          <w:szCs w:val="24"/>
          <w:lang w:eastAsia="en-GB"/>
        </w:rPr>
        <w:t>fasting blood glucose</w:t>
      </w:r>
      <w:r w:rsidR="003302EA" w:rsidRPr="003302EA">
        <w:rPr>
          <w:rFonts w:ascii="Times New Roman" w:eastAsia="Times New Roman" w:hAnsi="Times New Roman" w:cs="Times New Roman"/>
          <w:sz w:val="24"/>
          <w:szCs w:val="24"/>
          <w:lang w:eastAsia="en-GB"/>
        </w:rPr>
        <w:t xml:space="preserve"> levels may be linked to increased blood pressure and body mass. The strong correlations between systolic and diastolic BP (r = 0.82, p &lt; 0.01) and their associations with BMI (r = 0.40, p &lt; 0.01 and r = 0.37, p &lt; 0.01, respectively) reinforce the well-documented link between obesity and hypertension.</w:t>
      </w:r>
      <w:r w:rsidR="00762AB2">
        <w:rPr>
          <w:rFonts w:ascii="Times New Roman" w:eastAsia="Times New Roman" w:hAnsi="Times New Roman" w:cs="Times New Roman"/>
          <w:sz w:val="24"/>
          <w:szCs w:val="24"/>
          <w:lang w:eastAsia="en-GB"/>
        </w:rPr>
        <w:fldChar w:fldCharType="begin" w:fldLock="1"/>
      </w:r>
      <w:r w:rsidR="00762AB2">
        <w:rPr>
          <w:rFonts w:ascii="Times New Roman" w:eastAsia="Times New Roman" w:hAnsi="Times New Roman" w:cs="Times New Roman"/>
          <w:sz w:val="24"/>
          <w:szCs w:val="24"/>
          <w:lang w:eastAsia="en-GB"/>
        </w:rPr>
        <w:instrText>ADDIN CSL_CITATION {"citationItems":[{"id":"ITEM-1","itemData":{"DOI":"10.1161/HYP","ISBN":"1998011500000","author":[{"dropping-particle":"","family":"Leinig","given":"Claudio","non-dropping-particle":"","parse-names":false,"suffix":""}],"container-title":"Arq Bras Cardiol.","id":"ITEM-1","issue":"7","issued":{"date-parts":[["2023"]]},"page":"7-8","title":"Short Editorial Obesity-Induced Hypertension","type":"article-journal","volume":"120"},"uris":["http://www.mendeley.com/documents/?uuid=4e44ebe7-84c7-45b5-b5a1-29ebd052fcac"]}],"mendeley":{"formattedCitation":"&lt;sup&gt;25&lt;/sup&gt;","plainTextFormattedCitation":"25"},"properties":{"noteIndex":0},"schema":"https://github.com/citation-style-language/schema/raw/master/csl-citation.json"}</w:instrText>
      </w:r>
      <w:r w:rsidR="00762AB2">
        <w:rPr>
          <w:rFonts w:ascii="Times New Roman" w:eastAsia="Times New Roman" w:hAnsi="Times New Roman" w:cs="Times New Roman"/>
          <w:sz w:val="24"/>
          <w:szCs w:val="24"/>
          <w:lang w:eastAsia="en-GB"/>
        </w:rPr>
        <w:fldChar w:fldCharType="separate"/>
      </w:r>
      <w:r w:rsidR="00762AB2" w:rsidRPr="00762AB2">
        <w:rPr>
          <w:rFonts w:ascii="Times New Roman" w:eastAsia="Times New Roman" w:hAnsi="Times New Roman" w:cs="Times New Roman"/>
          <w:noProof/>
          <w:sz w:val="24"/>
          <w:szCs w:val="24"/>
          <w:vertAlign w:val="superscript"/>
          <w:lang w:eastAsia="en-GB"/>
        </w:rPr>
        <w:t>25</w:t>
      </w:r>
      <w:r w:rsidR="00762AB2">
        <w:rPr>
          <w:rFonts w:ascii="Times New Roman" w:eastAsia="Times New Roman" w:hAnsi="Times New Roman" w:cs="Times New Roman"/>
          <w:sz w:val="24"/>
          <w:szCs w:val="24"/>
          <w:lang w:eastAsia="en-GB"/>
        </w:rPr>
        <w:fldChar w:fldCharType="end"/>
      </w:r>
      <w:r w:rsidR="00762AB2" w:rsidRPr="003302EA">
        <w:rPr>
          <w:rFonts w:ascii="Times New Roman" w:eastAsia="Times New Roman" w:hAnsi="Times New Roman" w:cs="Times New Roman"/>
          <w:sz w:val="24"/>
          <w:szCs w:val="24"/>
          <w:lang w:eastAsia="en-GB"/>
        </w:rPr>
        <w:t xml:space="preserve"> </w:t>
      </w:r>
    </w:p>
    <w:p w14:paraId="4A38590F" w14:textId="77777777" w:rsidR="003302EA" w:rsidRPr="003302EA"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02EA">
        <w:rPr>
          <w:rFonts w:ascii="Times New Roman" w:eastAsia="Times New Roman" w:hAnsi="Times New Roman" w:cs="Times New Roman"/>
          <w:sz w:val="24"/>
          <w:szCs w:val="24"/>
          <w:lang w:eastAsia="en-GB"/>
        </w:rPr>
        <w:t>Multivariate analysis showed that none of the independent variables were significant predictors of fasting blood glucose, with systolic and diastolic blood pressure showing the strongest, albeit non-significant, associations. The model's constant (intercept) was 3.49 (p = 0.59), indicating the baseline fasting glucose when all predictors are zero. The effects of sex, age, occupation, residence, and alcohol consumption on fasting blood glucose were weak and non-significant (p-values ranging from 0.34 to 0.76). The beta coefficients for systolic BP (B = -0.03, p = 0.16) and diastolic BP (B = 0.04, p = 0.15) suggested a moderate influence, though not statistically significant. BMI (B = -0.01, p = 0.74) and waist-to-hip ratio (B = 0.69, p = 0.91) had minimal effects on fasting blood glucose levels.</w:t>
      </w:r>
    </w:p>
    <w:p w14:paraId="6EBD69A4" w14:textId="56E29193" w:rsidR="003302EA" w:rsidRPr="003302EA" w:rsidRDefault="003302EA" w:rsidP="00F95B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02EA">
        <w:rPr>
          <w:rFonts w:ascii="Times New Roman" w:eastAsia="Times New Roman" w:hAnsi="Times New Roman" w:cs="Times New Roman"/>
          <w:sz w:val="24"/>
          <w:szCs w:val="24"/>
          <w:lang w:eastAsia="en-GB"/>
        </w:rPr>
        <w:t xml:space="preserve">Overall, this study highlights the significant role of age in diabetes risk, with additional correlations suggesting interactions between </w:t>
      </w:r>
      <w:r w:rsidR="008B23D4">
        <w:rPr>
          <w:rFonts w:ascii="Times New Roman" w:eastAsia="Times New Roman" w:hAnsi="Times New Roman" w:cs="Times New Roman"/>
          <w:sz w:val="24"/>
          <w:szCs w:val="24"/>
          <w:lang w:eastAsia="en-GB"/>
        </w:rPr>
        <w:t>blood glucose</w:t>
      </w:r>
      <w:r w:rsidRPr="003302EA">
        <w:rPr>
          <w:rFonts w:ascii="Times New Roman" w:eastAsia="Times New Roman" w:hAnsi="Times New Roman" w:cs="Times New Roman"/>
          <w:sz w:val="24"/>
          <w:szCs w:val="24"/>
          <w:lang w:eastAsia="en-GB"/>
        </w:rPr>
        <w:t xml:space="preserve"> and cardiovascular parameters. The findings also </w:t>
      </w:r>
      <w:r w:rsidRPr="003302EA">
        <w:rPr>
          <w:rFonts w:ascii="Times New Roman" w:eastAsia="Times New Roman" w:hAnsi="Times New Roman" w:cs="Times New Roman"/>
          <w:sz w:val="24"/>
          <w:szCs w:val="24"/>
          <w:lang w:eastAsia="en-GB"/>
        </w:rPr>
        <w:lastRenderedPageBreak/>
        <w:t xml:space="preserve">indicate that while occupation, BMI, and waist-to-hip ratio play roles in </w:t>
      </w:r>
      <w:r w:rsidR="008B23D4">
        <w:rPr>
          <w:rFonts w:ascii="Times New Roman" w:eastAsia="Times New Roman" w:hAnsi="Times New Roman" w:cs="Times New Roman"/>
          <w:sz w:val="24"/>
          <w:szCs w:val="24"/>
          <w:lang w:eastAsia="en-GB"/>
        </w:rPr>
        <w:t>blood glucose</w:t>
      </w:r>
      <w:r w:rsidRPr="003302EA">
        <w:rPr>
          <w:rFonts w:ascii="Times New Roman" w:eastAsia="Times New Roman" w:hAnsi="Times New Roman" w:cs="Times New Roman"/>
          <w:sz w:val="24"/>
          <w:szCs w:val="24"/>
          <w:lang w:eastAsia="en-GB"/>
        </w:rPr>
        <w:t xml:space="preserve"> health, their direct influence on fasting glucose may be limited. Future research with larger sample sizes and additional covariates, including dietary patterns and genetic factors, may be needed to clarify these associations.</w:t>
      </w:r>
    </w:p>
    <w:p w14:paraId="738AA692" w14:textId="77777777" w:rsidR="00CF0F18" w:rsidRDefault="00CF0F18" w:rsidP="00CF0F18">
      <w:pPr>
        <w:pStyle w:val="Heading3"/>
      </w:pPr>
      <w:r>
        <w:t>Conclusion</w:t>
      </w:r>
    </w:p>
    <w:p w14:paraId="292521C2" w14:textId="77777777" w:rsidR="00CF0F18" w:rsidRDefault="00CF0F18" w:rsidP="00F95B57">
      <w:pPr>
        <w:pStyle w:val="NormalWeb"/>
        <w:jc w:val="both"/>
      </w:pPr>
      <w:r>
        <w:t>This study highlights the significant association between age and diabetes risk, with older individuals (41–60 years and &gt;60 years) more likely to be in the pre-diabetes and diabetes groups (p = 0.007). However, other demographic and lifestyle factors, including sex, occupation, residence, alcohol consumption, and BMI, were not significantly associated with diabetes risk (p &gt; 0.05). The predominance of traders (90.5%) across all glucose categories suggests limited occupational variability, which may influence the generalizability of the findings.</w:t>
      </w:r>
    </w:p>
    <w:p w14:paraId="108CC68D" w14:textId="49EFDBB9" w:rsidR="00CF0F18" w:rsidRDefault="00CF0F18" w:rsidP="00F95B57">
      <w:pPr>
        <w:pStyle w:val="NormalWeb"/>
        <w:jc w:val="both"/>
      </w:pPr>
      <w:r>
        <w:t xml:space="preserve">Despite the lack of significant differences in </w:t>
      </w:r>
      <w:r w:rsidR="00D05FC3">
        <w:t>FBG</w:t>
      </w:r>
      <w:r>
        <w:t xml:space="preserve">, </w:t>
      </w:r>
      <w:r w:rsidR="00D05FC3">
        <w:t>RBG</w:t>
      </w:r>
      <w:r>
        <w:t xml:space="preserve">, blood pressure, and BMI, waist-to-hip ratio showed a notable sex-related disparity (p = 0.04), indicating potential differences in fat distribution that could impact </w:t>
      </w:r>
      <w:r w:rsidR="008B23D4">
        <w:t>blood glucose</w:t>
      </w:r>
      <w:r>
        <w:t xml:space="preserve"> health. Correlation analysis further revealed that age was positively associated with </w:t>
      </w:r>
      <w:r w:rsidR="00D05FC3">
        <w:t>FBG</w:t>
      </w:r>
      <w:r>
        <w:t xml:space="preserve">, systolic and diastolic blood pressure, and BMI, reinforcing the role of aging in </w:t>
      </w:r>
      <w:r w:rsidR="008B23D4">
        <w:t>blood glucose</w:t>
      </w:r>
      <w:r>
        <w:t xml:space="preserve"> and cardiovascular risks. The negative correlation between occupation and both </w:t>
      </w:r>
      <w:r w:rsidR="00D05FC3">
        <w:t>RBG</w:t>
      </w:r>
      <w:r>
        <w:t xml:space="preserve"> and BMI suggests that employment type may influence </w:t>
      </w:r>
      <w:r w:rsidR="008B23D4">
        <w:t>blood glucose</w:t>
      </w:r>
      <w:r>
        <w:t xml:space="preserve"> health, possibly through variations in physical activity levels or economic factors. Additionally, the inverse relationship between alcohol consumption and BMI (r = -0.22, p &lt; 0.05) warrants further investigation to understand underlying behavioural or </w:t>
      </w:r>
      <w:r w:rsidR="008B23D4">
        <w:t>blood glucose</w:t>
      </w:r>
      <w:r>
        <w:t xml:space="preserve"> mechanisms.</w:t>
      </w:r>
    </w:p>
    <w:p w14:paraId="03A9D61C" w14:textId="07DEDE2B" w:rsidR="00CF0F18" w:rsidRDefault="00CF0F18" w:rsidP="00F95B57">
      <w:pPr>
        <w:pStyle w:val="NormalWeb"/>
        <w:jc w:val="both"/>
      </w:pPr>
      <w:r>
        <w:t xml:space="preserve">Regression analysis indicated that none of the independent variables were significant predictors of fasting blood glucose, though systolic and diastolic blood pressure had the strongest, albeit non-significant, associations. This suggests that while age and other variables play roles in </w:t>
      </w:r>
      <w:r w:rsidR="008B23D4">
        <w:t>blood glucose</w:t>
      </w:r>
      <w:r>
        <w:t xml:space="preserve"> health, additional covariates or a larger sample size may be necessary to clarify these relationships. Future research should consider longitudinal studies to establish causality and incorporate more diverse occupational and socioeconomic groups to enhance the applicability of findings.</w:t>
      </w:r>
    </w:p>
    <w:p w14:paraId="16323F1D" w14:textId="20AC0139" w:rsidR="0058037D" w:rsidRPr="00553105" w:rsidRDefault="0058037D" w:rsidP="00F95B57">
      <w:pPr>
        <w:pStyle w:val="NormalWeb"/>
        <w:jc w:val="both"/>
        <w:rPr>
          <w:b/>
          <w:bCs/>
        </w:rPr>
      </w:pPr>
      <w:r w:rsidRPr="00553105">
        <w:rPr>
          <w:b/>
          <w:bCs/>
        </w:rPr>
        <w:t>Limitations</w:t>
      </w:r>
    </w:p>
    <w:p w14:paraId="7B5BF0A8" w14:textId="2660C6F7" w:rsidR="0058037D" w:rsidRDefault="0058037D" w:rsidP="00F95B57">
      <w:pPr>
        <w:pStyle w:val="NormalWeb"/>
        <w:jc w:val="both"/>
      </w:pPr>
      <w:r>
        <w:t>The cross-sectional design limits casual inference. Additionally, reliance on self-reported data may introduce recall bias. Future research should incorporate longitudinal designs to establish temporal relationships.</w:t>
      </w:r>
    </w:p>
    <w:p w14:paraId="284615F9" w14:textId="77777777" w:rsidR="0091654A" w:rsidRPr="00740879" w:rsidRDefault="0091654A" w:rsidP="0091654A">
      <w:pPr>
        <w:rPr>
          <w:highlight w:val="yellow"/>
        </w:rPr>
      </w:pPr>
      <w:r w:rsidRPr="00740879">
        <w:rPr>
          <w:highlight w:val="yellow"/>
        </w:rPr>
        <w:t>Disclaimer (Artificial intelligence)</w:t>
      </w:r>
    </w:p>
    <w:p w14:paraId="23C5BAD0" w14:textId="77777777" w:rsidR="0091654A" w:rsidRPr="00740879" w:rsidRDefault="0091654A" w:rsidP="0091654A">
      <w:pPr>
        <w:rPr>
          <w:highlight w:val="yellow"/>
        </w:rPr>
      </w:pPr>
      <w:r w:rsidRPr="00740879">
        <w:rPr>
          <w:highlight w:val="yellow"/>
        </w:rPr>
        <w:t xml:space="preserve">Option 1: </w:t>
      </w:r>
    </w:p>
    <w:p w14:paraId="739C90BB" w14:textId="77777777" w:rsidR="0091654A" w:rsidRPr="00740879" w:rsidRDefault="0091654A" w:rsidP="0091654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8694799" w14:textId="77777777" w:rsidR="0091654A" w:rsidRPr="00740879" w:rsidRDefault="0091654A" w:rsidP="0091654A">
      <w:pPr>
        <w:rPr>
          <w:highlight w:val="yellow"/>
        </w:rPr>
      </w:pPr>
      <w:r w:rsidRPr="00740879">
        <w:rPr>
          <w:highlight w:val="yellow"/>
        </w:rPr>
        <w:t xml:space="preserve">Option 2: </w:t>
      </w:r>
    </w:p>
    <w:p w14:paraId="59ECA78D" w14:textId="77777777" w:rsidR="0091654A" w:rsidRPr="00740879" w:rsidRDefault="0091654A" w:rsidP="0091654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E4A66F" w14:textId="77777777" w:rsidR="0091654A" w:rsidRPr="00740879" w:rsidRDefault="0091654A" w:rsidP="0091654A">
      <w:pPr>
        <w:rPr>
          <w:highlight w:val="yellow"/>
        </w:rPr>
      </w:pPr>
      <w:r w:rsidRPr="00740879">
        <w:rPr>
          <w:highlight w:val="yellow"/>
        </w:rPr>
        <w:lastRenderedPageBreak/>
        <w:t>Details of the AI usage are given below:</w:t>
      </w:r>
    </w:p>
    <w:p w14:paraId="6CD1E4D6" w14:textId="77777777" w:rsidR="0091654A" w:rsidRPr="00740879" w:rsidRDefault="0091654A" w:rsidP="0091654A">
      <w:pPr>
        <w:rPr>
          <w:highlight w:val="yellow"/>
        </w:rPr>
      </w:pPr>
      <w:r w:rsidRPr="00740879">
        <w:rPr>
          <w:highlight w:val="yellow"/>
        </w:rPr>
        <w:t>1.</w:t>
      </w:r>
    </w:p>
    <w:p w14:paraId="4B44D0E4" w14:textId="77777777" w:rsidR="0091654A" w:rsidRPr="00740879" w:rsidRDefault="0091654A" w:rsidP="0091654A">
      <w:pPr>
        <w:rPr>
          <w:highlight w:val="yellow"/>
        </w:rPr>
      </w:pPr>
      <w:r w:rsidRPr="00740879">
        <w:rPr>
          <w:highlight w:val="yellow"/>
        </w:rPr>
        <w:t>2.</w:t>
      </w:r>
    </w:p>
    <w:p w14:paraId="2A0E8B14" w14:textId="77777777" w:rsidR="0091654A" w:rsidRPr="00D047BB" w:rsidRDefault="0091654A" w:rsidP="0091654A">
      <w:r w:rsidRPr="00740879">
        <w:rPr>
          <w:highlight w:val="yellow"/>
        </w:rPr>
        <w:t>3.</w:t>
      </w:r>
    </w:p>
    <w:p w14:paraId="5159BF64" w14:textId="77777777" w:rsidR="00C74296" w:rsidRDefault="00C74296" w:rsidP="00F95B57">
      <w:pPr>
        <w:pStyle w:val="NormalWeb"/>
        <w:jc w:val="both"/>
      </w:pPr>
    </w:p>
    <w:p w14:paraId="39D82800" w14:textId="77777777" w:rsidR="00C74296" w:rsidRDefault="00C74296" w:rsidP="00F95B57">
      <w:pPr>
        <w:pStyle w:val="NormalWeb"/>
        <w:jc w:val="both"/>
      </w:pPr>
    </w:p>
    <w:p w14:paraId="6890AF59" w14:textId="77777777" w:rsidR="00627E43" w:rsidRDefault="00627E43" w:rsidP="00F95B57">
      <w:pPr>
        <w:pStyle w:val="NormalWeb"/>
        <w:jc w:val="both"/>
      </w:pPr>
    </w:p>
    <w:p w14:paraId="56FE2D0E" w14:textId="77777777" w:rsidR="00627E43" w:rsidRDefault="00627E43" w:rsidP="00F95B57">
      <w:pPr>
        <w:pStyle w:val="NormalWeb"/>
        <w:jc w:val="both"/>
      </w:pPr>
    </w:p>
    <w:p w14:paraId="300F6C5D" w14:textId="77777777" w:rsidR="00627E43" w:rsidRDefault="00627E43" w:rsidP="00F95B57">
      <w:pPr>
        <w:pStyle w:val="NormalWeb"/>
        <w:jc w:val="both"/>
      </w:pPr>
    </w:p>
    <w:p w14:paraId="4760F3C4" w14:textId="77777777" w:rsidR="008D1C88" w:rsidRDefault="008D1C88" w:rsidP="00F95B57">
      <w:pPr>
        <w:pStyle w:val="NormalWeb"/>
        <w:jc w:val="both"/>
      </w:pPr>
    </w:p>
    <w:p w14:paraId="31B46E01" w14:textId="5F630043" w:rsidR="00292311" w:rsidRDefault="00292311" w:rsidP="00F95B57">
      <w:pPr>
        <w:pStyle w:val="NormalWeb"/>
        <w:jc w:val="both"/>
        <w:rPr>
          <w:b/>
          <w:bCs/>
        </w:rPr>
      </w:pPr>
      <w:r w:rsidRPr="006C5603">
        <w:rPr>
          <w:b/>
          <w:bCs/>
        </w:rPr>
        <w:t>References</w:t>
      </w:r>
    </w:p>
    <w:p w14:paraId="4D57404B" w14:textId="11156E86" w:rsidR="004420DF" w:rsidRPr="004420DF" w:rsidRDefault="004420DF" w:rsidP="004420DF">
      <w:pPr>
        <w:pStyle w:val="NormalWeb"/>
        <w:jc w:val="both"/>
      </w:pPr>
      <w:r w:rsidRPr="004420DF">
        <w:t xml:space="preserve">1. American Diabetes Association (ADA). Standards of Medical Care in Diabetes-2023. Diabetes Care. 2023;45(1): S1–2286. Available from: </w:t>
      </w:r>
      <w:hyperlink r:id="rId8" w:history="1">
        <w:r w:rsidR="00553105" w:rsidRPr="008A0224">
          <w:rPr>
            <w:rStyle w:val="Hyperlink"/>
          </w:rPr>
          <w:t>http://dx.doi.org/10.2337/dc22-sint</w:t>
        </w:r>
      </w:hyperlink>
      <w:r w:rsidR="00553105">
        <w:t xml:space="preserve"> </w:t>
      </w:r>
    </w:p>
    <w:p w14:paraId="274A67DF" w14:textId="5E80C941" w:rsidR="004420DF" w:rsidRPr="004420DF" w:rsidRDefault="004420DF" w:rsidP="004420DF">
      <w:pPr>
        <w:pStyle w:val="NormalWeb"/>
        <w:jc w:val="both"/>
      </w:pPr>
      <w:r w:rsidRPr="004420DF">
        <w:t xml:space="preserve">2. IDF. International Diabetes Atlas (10th ed). International Diabetes Federation. Brill; 2021. Available from: </w:t>
      </w:r>
      <w:hyperlink r:id="rId9" w:history="1">
        <w:r w:rsidR="00553105" w:rsidRPr="008A0224">
          <w:rPr>
            <w:rStyle w:val="Hyperlink"/>
          </w:rPr>
          <w:t>http://dx.doi.org/10.1163/1570-6664_iyb_sim_org_38965</w:t>
        </w:r>
      </w:hyperlink>
      <w:r w:rsidR="00553105">
        <w:t xml:space="preserve"> </w:t>
      </w:r>
    </w:p>
    <w:p w14:paraId="6C7F9BB1" w14:textId="2B07B00C" w:rsidR="004420DF" w:rsidRPr="004420DF" w:rsidRDefault="004420DF" w:rsidP="004420DF">
      <w:pPr>
        <w:pStyle w:val="NormalWeb"/>
        <w:jc w:val="both"/>
      </w:pPr>
      <w:r w:rsidRPr="004420DF">
        <w:t>3. Ali MK, Pearson-</w:t>
      </w:r>
      <w:proofErr w:type="spellStart"/>
      <w:r w:rsidRPr="004420DF">
        <w:t>Stuttard</w:t>
      </w:r>
      <w:proofErr w:type="spellEnd"/>
      <w:r w:rsidRPr="004420DF">
        <w:t xml:space="preserve"> J, Selvin E, Gregg EW. Interpreting global trends in type 2 diabetes complications and mortality. </w:t>
      </w:r>
      <w:proofErr w:type="spellStart"/>
      <w:r w:rsidRPr="004420DF">
        <w:t>Diabetologia</w:t>
      </w:r>
      <w:proofErr w:type="spellEnd"/>
      <w:r w:rsidRPr="004420DF">
        <w:t xml:space="preserve">. 2021/11/27. 2022 Jan;65(1):3–13. Available from: </w:t>
      </w:r>
      <w:hyperlink r:id="rId10" w:history="1">
        <w:r w:rsidR="00553105" w:rsidRPr="008A0224">
          <w:rPr>
            <w:rStyle w:val="Hyperlink"/>
          </w:rPr>
          <w:t>https://pubmed.ncbi.nlm.nih.gov/34837505</w:t>
        </w:r>
      </w:hyperlink>
      <w:r w:rsidR="00553105">
        <w:t xml:space="preserve"> </w:t>
      </w:r>
    </w:p>
    <w:p w14:paraId="7684D2A7" w14:textId="5C81A9DF" w:rsidR="004420DF" w:rsidRPr="004420DF" w:rsidRDefault="004420DF" w:rsidP="004420DF">
      <w:pPr>
        <w:pStyle w:val="NormalWeb"/>
        <w:jc w:val="both"/>
      </w:pPr>
      <w:r w:rsidRPr="004420DF">
        <w:t xml:space="preserve">4. He KJ, Wang H, Xu J, Gong G, Liu X, Guan H. Global burden of type 2 diabetes mellitus from 1990 to 2021, with projections of prevalence to 2044: a systematic analysis across SDI levels for the global burden of disease study. Front Endocrinol (Lausanne). 2024; 15:1501690. Available from: </w:t>
      </w:r>
      <w:hyperlink r:id="rId11" w:history="1">
        <w:r w:rsidR="00553105" w:rsidRPr="008A0224">
          <w:rPr>
            <w:rStyle w:val="Hyperlink"/>
          </w:rPr>
          <w:t>https://pubmed.ncbi.nlm.nih.gov/39583961</w:t>
        </w:r>
      </w:hyperlink>
      <w:r w:rsidR="00553105">
        <w:t xml:space="preserve"> </w:t>
      </w:r>
    </w:p>
    <w:p w14:paraId="60924C86" w14:textId="19D7D538" w:rsidR="004420DF" w:rsidRPr="004420DF" w:rsidRDefault="004420DF" w:rsidP="004420DF">
      <w:pPr>
        <w:pStyle w:val="NormalWeb"/>
        <w:jc w:val="both"/>
      </w:pPr>
      <w:r w:rsidRPr="004420DF">
        <w:t xml:space="preserve">5. Chatterjee S, </w:t>
      </w:r>
      <w:proofErr w:type="spellStart"/>
      <w:r w:rsidRPr="004420DF">
        <w:t>Khunti</w:t>
      </w:r>
      <w:proofErr w:type="spellEnd"/>
      <w:r w:rsidRPr="004420DF">
        <w:t xml:space="preserve"> K, Davies MJ. Type 2 diabetes. Lancet. 2021; 389(10085):2239–5</w:t>
      </w:r>
      <w:r w:rsidR="00553105">
        <w:t xml:space="preserve">1 </w:t>
      </w:r>
    </w:p>
    <w:p w14:paraId="678E9442" w14:textId="77777777" w:rsidR="004420DF" w:rsidRPr="004420DF" w:rsidRDefault="004420DF" w:rsidP="004420DF">
      <w:pPr>
        <w:pStyle w:val="NormalWeb"/>
        <w:jc w:val="both"/>
      </w:pPr>
      <w:r w:rsidRPr="004420DF">
        <w:t xml:space="preserve">6. </w:t>
      </w:r>
      <w:proofErr w:type="spellStart"/>
      <w:r w:rsidRPr="004420DF">
        <w:t>Wysham</w:t>
      </w:r>
      <w:proofErr w:type="spellEnd"/>
      <w:r w:rsidRPr="004420DF">
        <w:t xml:space="preserve"> C, </w:t>
      </w:r>
      <w:proofErr w:type="spellStart"/>
      <w:r w:rsidRPr="004420DF">
        <w:t>Shubrook</w:t>
      </w:r>
      <w:proofErr w:type="spellEnd"/>
      <w:r w:rsidRPr="004420DF">
        <w:t xml:space="preserve"> J. Beta-cell failure in type 2 diabetes: mechanisms, markers, and clinical implications. Postgrad Med. 2020;132(8):676–86. </w:t>
      </w:r>
    </w:p>
    <w:p w14:paraId="63DA912D" w14:textId="254AEE64" w:rsidR="004420DF" w:rsidRPr="004420DF" w:rsidRDefault="004420DF" w:rsidP="004420DF">
      <w:pPr>
        <w:pStyle w:val="NormalWeb"/>
        <w:jc w:val="both"/>
      </w:pPr>
      <w:r w:rsidRPr="004420DF">
        <w:t xml:space="preserve">7. Klein S, Allison DB, </w:t>
      </w:r>
      <w:proofErr w:type="spellStart"/>
      <w:r w:rsidRPr="004420DF">
        <w:t>Heymsfield</w:t>
      </w:r>
      <w:proofErr w:type="spellEnd"/>
      <w:r w:rsidRPr="004420DF">
        <w:t xml:space="preserve"> SB, Kelley DE, Leibel RL, Nonas C, et al. Waist Circumference and </w:t>
      </w:r>
      <w:proofErr w:type="spellStart"/>
      <w:r w:rsidRPr="004420DF">
        <w:t>Cardio</w:t>
      </w:r>
      <w:r w:rsidR="008B23D4">
        <w:t>blood</w:t>
      </w:r>
      <w:proofErr w:type="spellEnd"/>
      <w:r w:rsidR="008B23D4">
        <w:t xml:space="preserve"> glucose</w:t>
      </w:r>
      <w:r w:rsidRPr="004420DF">
        <w:t xml:space="preserve"> Risk: A </w:t>
      </w:r>
      <w:proofErr w:type="spellStart"/>
      <w:r w:rsidRPr="004420DF">
        <w:t>Consesus</w:t>
      </w:r>
      <w:proofErr w:type="spellEnd"/>
      <w:r w:rsidRPr="004420DF">
        <w:t xml:space="preserve"> Statement. Obesity. 2020;28(4):627–38. </w:t>
      </w:r>
    </w:p>
    <w:p w14:paraId="53004616" w14:textId="77777777" w:rsidR="004420DF" w:rsidRPr="004420DF" w:rsidRDefault="004420DF" w:rsidP="004420DF">
      <w:pPr>
        <w:pStyle w:val="NormalWeb"/>
        <w:jc w:val="both"/>
      </w:pPr>
      <w:r w:rsidRPr="004420DF">
        <w:t xml:space="preserve">8. Longo M, </w:t>
      </w:r>
      <w:proofErr w:type="spellStart"/>
      <w:r w:rsidRPr="004420DF">
        <w:t>Bellastella</w:t>
      </w:r>
      <w:proofErr w:type="spellEnd"/>
      <w:r w:rsidRPr="004420DF">
        <w:t xml:space="preserve"> G, Maiorino MI, Meier JJ, Esposito K, Giugliano D. Diabetes and Aging: From Treatment Goals to Pharmacologic Therapy. Front Endocrinol (Lausanne). 2020; 10:45.</w:t>
      </w:r>
    </w:p>
    <w:p w14:paraId="4C8D928F" w14:textId="77777777" w:rsidR="004420DF" w:rsidRPr="004420DF" w:rsidRDefault="004420DF" w:rsidP="004420DF">
      <w:pPr>
        <w:pStyle w:val="NormalWeb"/>
        <w:jc w:val="both"/>
      </w:pPr>
      <w:r w:rsidRPr="004420DF">
        <w:lastRenderedPageBreak/>
        <w:t xml:space="preserve">9. Sundaresan M, Velmurugan G, Dhivakar M, Ramakrishnan A, Cherian M, Alexander T, et al. Gender Differential Prevalence of Overweight and Obesity, Hypertension and Diabetes in South India: A Population-Based Cross-Sectional Study. Glob Heart. 2024;19(1):72. </w:t>
      </w:r>
    </w:p>
    <w:p w14:paraId="6E3C463F" w14:textId="77777777" w:rsidR="004420DF" w:rsidRPr="004420DF" w:rsidRDefault="004420DF" w:rsidP="004420DF">
      <w:pPr>
        <w:pStyle w:val="NormalWeb"/>
        <w:jc w:val="both"/>
      </w:pPr>
      <w:r w:rsidRPr="004420DF">
        <w:t xml:space="preserve">10. </w:t>
      </w:r>
      <w:proofErr w:type="spellStart"/>
      <w:r w:rsidRPr="004420DF">
        <w:t>Tüchsen</w:t>
      </w:r>
      <w:proofErr w:type="spellEnd"/>
      <w:r w:rsidRPr="004420DF">
        <w:t xml:space="preserve"> F, </w:t>
      </w:r>
      <w:proofErr w:type="spellStart"/>
      <w:r w:rsidRPr="004420DF">
        <w:t>Hannerz</w:t>
      </w:r>
      <w:proofErr w:type="spellEnd"/>
      <w:r w:rsidRPr="004420DF">
        <w:t xml:space="preserve"> H, Burr H, Lund T, Krause N. A 10-year prospective study of the effect of work-related physical strain on the risk of type 2 diabetes. Scand J Work Environ Health. 2020; 46(3):293–301.</w:t>
      </w:r>
    </w:p>
    <w:p w14:paraId="195FD7F9" w14:textId="77777777" w:rsidR="004420DF" w:rsidRPr="004420DF" w:rsidRDefault="004420DF" w:rsidP="004420DF">
      <w:pPr>
        <w:pStyle w:val="NormalWeb"/>
        <w:jc w:val="both"/>
      </w:pPr>
      <w:r w:rsidRPr="004420DF">
        <w:t xml:space="preserve">11. Govender RD, Hashim MJ, Khan MA, Mustafa H, Khan G. Global Epidemiology of HIV/AIDS: A Resurgence in North America and Europe. J </w:t>
      </w:r>
      <w:proofErr w:type="spellStart"/>
      <w:r w:rsidRPr="004420DF">
        <w:t>Epidemiol</w:t>
      </w:r>
      <w:proofErr w:type="spellEnd"/>
      <w:r w:rsidRPr="004420DF">
        <w:t xml:space="preserve"> Glob Health. 2021/06/29. 2021;11(3):296–301.</w:t>
      </w:r>
    </w:p>
    <w:p w14:paraId="0CED3351" w14:textId="77777777" w:rsidR="004420DF" w:rsidRPr="004420DF" w:rsidRDefault="004420DF" w:rsidP="004420DF">
      <w:pPr>
        <w:pStyle w:val="NormalWeb"/>
        <w:jc w:val="both"/>
      </w:pPr>
      <w:r w:rsidRPr="004420DF">
        <w:t xml:space="preserve">12. Huang YZ, Luo F, Ran X, Yang J, Gu M, Zhou SQ. Association between alcohol consumption and risk of type 2 diabetes in Japan: a population-base longitudinal cohort study. Sci Rep. 2025;15(1):1–10. </w:t>
      </w:r>
    </w:p>
    <w:p w14:paraId="02D66553" w14:textId="77777777" w:rsidR="004420DF" w:rsidRPr="004420DF" w:rsidRDefault="004420DF" w:rsidP="004420DF">
      <w:pPr>
        <w:pStyle w:val="NormalWeb"/>
        <w:jc w:val="both"/>
      </w:pPr>
      <w:r w:rsidRPr="004420DF">
        <w:t xml:space="preserve">13. Sandoval C, Herrera C, Schulz M, Vásquez B. Relationship between ethanol intake and insulin sensitivity metabolism in men with no comorbidities: A systematic review. Int J </w:t>
      </w:r>
      <w:proofErr w:type="spellStart"/>
      <w:r w:rsidRPr="004420DF">
        <w:t>Morphol</w:t>
      </w:r>
      <w:proofErr w:type="spellEnd"/>
      <w:r w:rsidRPr="004420DF">
        <w:t xml:space="preserve">. 2021;39(3):829–38. </w:t>
      </w:r>
    </w:p>
    <w:p w14:paraId="75F9CBC9" w14:textId="3D518F67" w:rsidR="004420DF" w:rsidRPr="004420DF" w:rsidRDefault="004420DF" w:rsidP="004420DF">
      <w:pPr>
        <w:pStyle w:val="NormalWeb"/>
        <w:jc w:val="both"/>
      </w:pPr>
      <w:r w:rsidRPr="004420DF">
        <w:t xml:space="preserve">14. </w:t>
      </w:r>
      <w:r w:rsidRPr="004420DF">
        <w:tab/>
        <w:t xml:space="preserve">Gill T, Sattar N, Zimmet P. The role of obesity in </w:t>
      </w:r>
      <w:proofErr w:type="spellStart"/>
      <w:r w:rsidRPr="004420DF">
        <w:t>cardio</w:t>
      </w:r>
      <w:r w:rsidR="008B23D4">
        <w:t>blood</w:t>
      </w:r>
      <w:proofErr w:type="spellEnd"/>
      <w:r w:rsidR="008B23D4">
        <w:t xml:space="preserve"> glucose</w:t>
      </w:r>
      <w:r w:rsidRPr="004420DF">
        <w:t xml:space="preserve"> disease: Insights from genetic epidemiology. Lancet Diabetes Endocrinol. 2021;9(8):482–94. Available from: http://dx.doi.org/10.1016/s2213-8587(18)30318-8</w:t>
      </w:r>
    </w:p>
    <w:p w14:paraId="0B0BC56D" w14:textId="77777777" w:rsidR="004420DF" w:rsidRPr="004420DF" w:rsidRDefault="004420DF" w:rsidP="004420DF">
      <w:pPr>
        <w:pStyle w:val="NormalWeb"/>
        <w:jc w:val="both"/>
      </w:pPr>
      <w:r w:rsidRPr="004420DF">
        <w:t xml:space="preserve">15. Choi SK. Editorial: Diabetes, Hypertension and Cardiovascular Diseases. Front Physiol. 2021; 12:10–2. </w:t>
      </w:r>
    </w:p>
    <w:p w14:paraId="5DA1A443" w14:textId="3A4F5373" w:rsidR="004420DF" w:rsidRPr="004420DF" w:rsidRDefault="004420DF" w:rsidP="004420DF">
      <w:pPr>
        <w:pStyle w:val="NormalWeb"/>
        <w:jc w:val="both"/>
      </w:pPr>
      <w:r w:rsidRPr="004420DF">
        <w:t xml:space="preserve">16. Powers A, Stanford J, Rickels M. Diabetes mellitus: A disorder of glucose homeostasis. Harrison’s Princ Intern Med. 2022;21(2):2982–3003. Available from: </w:t>
      </w:r>
      <w:hyperlink r:id="rId12" w:history="1">
        <w:r w:rsidR="00C53352" w:rsidRPr="008A0224">
          <w:rPr>
            <w:rStyle w:val="Hyperlink"/>
          </w:rPr>
          <w:t>http://dx.doi.org/10.1007/978-3-319-20797-1_2-1</w:t>
        </w:r>
      </w:hyperlink>
      <w:r w:rsidR="00C53352">
        <w:t xml:space="preserve"> </w:t>
      </w:r>
    </w:p>
    <w:p w14:paraId="1D278AFD" w14:textId="77777777" w:rsidR="004420DF" w:rsidRPr="004420DF" w:rsidRDefault="004420DF" w:rsidP="004420DF">
      <w:pPr>
        <w:pStyle w:val="NormalWeb"/>
        <w:jc w:val="both"/>
      </w:pPr>
      <w:r w:rsidRPr="004420DF">
        <w:t>17. Wang X, Cheng Z. Cross-Sectional Studies: Strengths, Weaknesses, and Recommendations. Chest. 2020; 158(1</w:t>
      </w:r>
      <w:proofErr w:type="gramStart"/>
      <w:r w:rsidRPr="004420DF">
        <w:t>):S</w:t>
      </w:r>
      <w:proofErr w:type="gramEnd"/>
      <w:r w:rsidRPr="004420DF">
        <w:t>65–71.</w:t>
      </w:r>
    </w:p>
    <w:p w14:paraId="110BCDED" w14:textId="77777777" w:rsidR="004420DF" w:rsidRPr="004420DF" w:rsidRDefault="004420DF" w:rsidP="004420DF">
      <w:pPr>
        <w:pStyle w:val="NormalWeb"/>
        <w:jc w:val="both"/>
      </w:pPr>
      <w:r w:rsidRPr="004420DF">
        <w:t xml:space="preserve">18. Association AD, Committee PP. Classification and diagnosis of diabetes: standards of medical care in diabetes — 2022. Diabetes Care. 2022;45(l):517–38. </w:t>
      </w:r>
    </w:p>
    <w:p w14:paraId="0CE7B18D" w14:textId="3384C503" w:rsidR="004420DF" w:rsidRPr="004420DF" w:rsidRDefault="004420DF" w:rsidP="004420DF">
      <w:pPr>
        <w:pStyle w:val="NormalWeb"/>
        <w:jc w:val="both"/>
      </w:pPr>
      <w:r w:rsidRPr="004420DF">
        <w:t xml:space="preserve">19. Biljana Z, Julija Z, Niki M, </w:t>
      </w:r>
      <w:proofErr w:type="spellStart"/>
      <w:r w:rsidRPr="004420DF">
        <w:t>Trpkovska</w:t>
      </w:r>
      <w:proofErr w:type="spellEnd"/>
      <w:r w:rsidRPr="004420DF">
        <w:t xml:space="preserve"> Biljana, </w:t>
      </w:r>
      <w:proofErr w:type="spellStart"/>
      <w:r w:rsidRPr="004420DF">
        <w:t>Chadikovska</w:t>
      </w:r>
      <w:proofErr w:type="spellEnd"/>
      <w:r w:rsidRPr="004420DF">
        <w:t xml:space="preserve"> Elizabeta BB, Ace D. Waist Circumference, Waist-To-Hip Ratio Cut-Off Points </w:t>
      </w:r>
      <w:proofErr w:type="gramStart"/>
      <w:r w:rsidRPr="004420DF">
        <w:t>To</w:t>
      </w:r>
      <w:proofErr w:type="gramEnd"/>
      <w:r w:rsidRPr="004420DF">
        <w:t xml:space="preserve"> Predict Obesity and </w:t>
      </w:r>
      <w:r w:rsidR="008B23D4">
        <w:t>Blood glucose</w:t>
      </w:r>
      <w:r w:rsidRPr="004420DF">
        <w:t xml:space="preserve"> Syndrome Among Student Population in Skopje, North Macedonia. </w:t>
      </w:r>
      <w:proofErr w:type="spellStart"/>
      <w:r w:rsidRPr="004420DF">
        <w:t>Acad</w:t>
      </w:r>
      <w:proofErr w:type="spellEnd"/>
      <w:r w:rsidRPr="004420DF">
        <w:t xml:space="preserve"> Med J. 2021;1(1):63–71. </w:t>
      </w:r>
    </w:p>
    <w:p w14:paraId="2F932765" w14:textId="77777777" w:rsidR="004420DF" w:rsidRPr="004420DF" w:rsidRDefault="004420DF" w:rsidP="004420DF">
      <w:pPr>
        <w:pStyle w:val="NormalWeb"/>
        <w:jc w:val="both"/>
      </w:pPr>
      <w:r w:rsidRPr="004420DF">
        <w:t>20. World Medical Association (WMA). World Medical Association Declaration of Helsinki. JAMA. 2025;333(1):71.</w:t>
      </w:r>
    </w:p>
    <w:p w14:paraId="3B5B17DF" w14:textId="77777777" w:rsidR="004420DF" w:rsidRPr="004420DF" w:rsidRDefault="004420DF" w:rsidP="004420DF">
      <w:pPr>
        <w:pStyle w:val="NormalWeb"/>
        <w:jc w:val="both"/>
      </w:pPr>
      <w:r w:rsidRPr="004420DF">
        <w:t xml:space="preserve">21. Field A. Discovering Statistics Using IBM SPSS Statistics. And Sex and Drugs and </w:t>
      </w:r>
      <w:proofErr w:type="spellStart"/>
      <w:r w:rsidRPr="004420DF">
        <w:t>Rock’n’Roll</w:t>
      </w:r>
      <w:proofErr w:type="spellEnd"/>
      <w:r w:rsidRPr="004420DF">
        <w:t>. Sage. 2022; 27(6):430.</w:t>
      </w:r>
    </w:p>
    <w:p w14:paraId="30AF991C" w14:textId="77777777" w:rsidR="004420DF" w:rsidRPr="004420DF" w:rsidRDefault="004420DF" w:rsidP="004420DF">
      <w:pPr>
        <w:pStyle w:val="NormalWeb"/>
        <w:jc w:val="both"/>
      </w:pPr>
      <w:r w:rsidRPr="004420DF">
        <w:t xml:space="preserve">22. American Diabetes Association (Committee ADAPP). Older Adults: Standards of Medical Care in Diabetes-2022. Diabetes Care. 2022; 45(1): S195–207. </w:t>
      </w:r>
    </w:p>
    <w:p w14:paraId="5B918B81" w14:textId="5ABAD39E" w:rsidR="004420DF" w:rsidRPr="004420DF" w:rsidRDefault="004420DF" w:rsidP="004420DF">
      <w:pPr>
        <w:pStyle w:val="NormalWeb"/>
        <w:jc w:val="both"/>
      </w:pPr>
      <w:r w:rsidRPr="004420DF">
        <w:lastRenderedPageBreak/>
        <w:t xml:space="preserve">23. Hou N, Luo C, Lin G. Editorial: The link between </w:t>
      </w:r>
      <w:r w:rsidR="008B23D4">
        <w:t>blood glucose</w:t>
      </w:r>
      <w:r w:rsidRPr="004420DF">
        <w:t xml:space="preserve"> syndrome and chronic kidney disease: Focus on diagnosis and therapeutics. Front Endocrinol (Lausanne). </w:t>
      </w:r>
      <w:proofErr w:type="gramStart"/>
      <w:r w:rsidRPr="004420DF">
        <w:t>2022;13:1</w:t>
      </w:r>
      <w:proofErr w:type="gramEnd"/>
      <w:r w:rsidRPr="004420DF">
        <w:t xml:space="preserve">–3. </w:t>
      </w:r>
    </w:p>
    <w:p w14:paraId="79A1C6E0" w14:textId="77777777" w:rsidR="004420DF" w:rsidRPr="004420DF" w:rsidRDefault="004420DF" w:rsidP="004420DF">
      <w:pPr>
        <w:pStyle w:val="NormalWeb"/>
        <w:jc w:val="both"/>
      </w:pPr>
      <w:r w:rsidRPr="004420DF">
        <w:t xml:space="preserve">24. </w:t>
      </w:r>
      <w:proofErr w:type="spellStart"/>
      <w:r w:rsidRPr="004420DF">
        <w:t>AlKalbani</w:t>
      </w:r>
      <w:proofErr w:type="spellEnd"/>
      <w:r w:rsidRPr="004420DF">
        <w:t xml:space="preserve"> SR, Murrin C. The association between alcohol intake and obesity in a sample of the Irish adult population, a cross-sectional study. BMC Public Health. 2023;23(1):1–13.</w:t>
      </w:r>
    </w:p>
    <w:p w14:paraId="547044F3" w14:textId="4E57789C" w:rsidR="004420DF" w:rsidRPr="004420DF" w:rsidRDefault="004420DF" w:rsidP="004420DF">
      <w:pPr>
        <w:pStyle w:val="NormalWeb"/>
        <w:jc w:val="both"/>
      </w:pPr>
      <w:r w:rsidRPr="004420DF">
        <w:t xml:space="preserve">25. </w:t>
      </w:r>
      <w:proofErr w:type="spellStart"/>
      <w:r w:rsidRPr="004420DF">
        <w:t>Leinig</w:t>
      </w:r>
      <w:proofErr w:type="spellEnd"/>
      <w:r w:rsidRPr="004420DF">
        <w:t xml:space="preserve"> C. Short Editorial Obesity-Induced Hypertension. </w:t>
      </w:r>
      <w:proofErr w:type="spellStart"/>
      <w:r w:rsidRPr="004420DF">
        <w:t>Arq</w:t>
      </w:r>
      <w:proofErr w:type="spellEnd"/>
      <w:r w:rsidRPr="004420DF">
        <w:t xml:space="preserve"> Bras </w:t>
      </w:r>
      <w:proofErr w:type="spellStart"/>
      <w:r w:rsidRPr="004420DF">
        <w:t>Cardiol</w:t>
      </w:r>
      <w:proofErr w:type="spellEnd"/>
      <w:r w:rsidRPr="004420DF">
        <w:t>. 2023;120(7):7–8.</w:t>
      </w:r>
    </w:p>
    <w:sectPr w:rsidR="004420DF" w:rsidRPr="004420DF" w:rsidSect="00CE0CC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AC2E" w14:textId="77777777" w:rsidR="00F15030" w:rsidRDefault="00F15030" w:rsidP="00275EC2">
      <w:pPr>
        <w:spacing w:after="0" w:line="240" w:lineRule="auto"/>
      </w:pPr>
      <w:r>
        <w:separator/>
      </w:r>
    </w:p>
  </w:endnote>
  <w:endnote w:type="continuationSeparator" w:id="0">
    <w:p w14:paraId="78DABA58" w14:textId="77777777" w:rsidR="00F15030" w:rsidRDefault="00F15030" w:rsidP="0027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536135"/>
      <w:docPartObj>
        <w:docPartGallery w:val="Page Numbers (Bottom of Page)"/>
        <w:docPartUnique/>
      </w:docPartObj>
    </w:sdtPr>
    <w:sdtEndPr>
      <w:rPr>
        <w:noProof/>
      </w:rPr>
    </w:sdtEndPr>
    <w:sdtContent>
      <w:p w14:paraId="1F8DAA79" w14:textId="77777777" w:rsidR="00772D82" w:rsidRDefault="00772D82">
        <w:pPr>
          <w:pStyle w:val="Footer"/>
          <w:jc w:val="right"/>
        </w:pPr>
        <w:r>
          <w:fldChar w:fldCharType="begin"/>
        </w:r>
        <w:r>
          <w:instrText xml:space="preserve"> PAGE   \* MERGEFORMAT </w:instrText>
        </w:r>
        <w:r>
          <w:fldChar w:fldCharType="separate"/>
        </w:r>
        <w:r w:rsidR="00972620">
          <w:rPr>
            <w:noProof/>
          </w:rPr>
          <w:t>12</w:t>
        </w:r>
        <w:r>
          <w:rPr>
            <w:noProof/>
          </w:rPr>
          <w:fldChar w:fldCharType="end"/>
        </w:r>
      </w:p>
    </w:sdtContent>
  </w:sdt>
  <w:p w14:paraId="18D1A167" w14:textId="77777777" w:rsidR="00772D82" w:rsidRDefault="0077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032B" w14:textId="77777777" w:rsidR="00F15030" w:rsidRDefault="00F15030" w:rsidP="00275EC2">
      <w:pPr>
        <w:spacing w:after="0" w:line="240" w:lineRule="auto"/>
      </w:pPr>
      <w:r>
        <w:separator/>
      </w:r>
    </w:p>
  </w:footnote>
  <w:footnote w:type="continuationSeparator" w:id="0">
    <w:p w14:paraId="71943679" w14:textId="77777777" w:rsidR="00F15030" w:rsidRDefault="00F15030" w:rsidP="00275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1D"/>
    <w:multiLevelType w:val="hybridMultilevel"/>
    <w:tmpl w:val="0B8A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B1253"/>
    <w:multiLevelType w:val="multilevel"/>
    <w:tmpl w:val="75C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F6570"/>
    <w:multiLevelType w:val="hybridMultilevel"/>
    <w:tmpl w:val="82B6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640DF"/>
    <w:multiLevelType w:val="hybridMultilevel"/>
    <w:tmpl w:val="ECE6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05C14"/>
    <w:multiLevelType w:val="hybridMultilevel"/>
    <w:tmpl w:val="5E32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052D5"/>
    <w:multiLevelType w:val="hybridMultilevel"/>
    <w:tmpl w:val="1BDE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85E2C"/>
    <w:multiLevelType w:val="hybridMultilevel"/>
    <w:tmpl w:val="0F8A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D2C99"/>
    <w:multiLevelType w:val="multilevel"/>
    <w:tmpl w:val="3D7A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A2DE8"/>
    <w:multiLevelType w:val="hybridMultilevel"/>
    <w:tmpl w:val="D7D6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96082"/>
    <w:multiLevelType w:val="multilevel"/>
    <w:tmpl w:val="2E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566F8"/>
    <w:multiLevelType w:val="multilevel"/>
    <w:tmpl w:val="1CB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14297"/>
    <w:multiLevelType w:val="hybridMultilevel"/>
    <w:tmpl w:val="A7D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016239">
    <w:abstractNumId w:val="5"/>
  </w:num>
  <w:num w:numId="2" w16cid:durableId="1222711395">
    <w:abstractNumId w:val="2"/>
  </w:num>
  <w:num w:numId="3" w16cid:durableId="2035883902">
    <w:abstractNumId w:val="6"/>
  </w:num>
  <w:num w:numId="4" w16cid:durableId="422605435">
    <w:abstractNumId w:val="0"/>
  </w:num>
  <w:num w:numId="5" w16cid:durableId="766077677">
    <w:abstractNumId w:val="8"/>
  </w:num>
  <w:num w:numId="6" w16cid:durableId="1732539293">
    <w:abstractNumId w:val="11"/>
  </w:num>
  <w:num w:numId="7" w16cid:durableId="207306548">
    <w:abstractNumId w:val="3"/>
  </w:num>
  <w:num w:numId="8" w16cid:durableId="1221794594">
    <w:abstractNumId w:val="7"/>
  </w:num>
  <w:num w:numId="9" w16cid:durableId="836002239">
    <w:abstractNumId w:val="10"/>
  </w:num>
  <w:num w:numId="10" w16cid:durableId="2117670351">
    <w:abstractNumId w:val="1"/>
  </w:num>
  <w:num w:numId="11" w16cid:durableId="1461729864">
    <w:abstractNumId w:val="9"/>
  </w:num>
  <w:num w:numId="12" w16cid:durableId="529029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F7"/>
    <w:rsid w:val="000145E8"/>
    <w:rsid w:val="0004039B"/>
    <w:rsid w:val="000437AB"/>
    <w:rsid w:val="00056844"/>
    <w:rsid w:val="000A7584"/>
    <w:rsid w:val="00120AA7"/>
    <w:rsid w:val="00144E1D"/>
    <w:rsid w:val="001A505D"/>
    <w:rsid w:val="001B2444"/>
    <w:rsid w:val="001B410F"/>
    <w:rsid w:val="00241E15"/>
    <w:rsid w:val="00253C3E"/>
    <w:rsid w:val="00267DE6"/>
    <w:rsid w:val="00275930"/>
    <w:rsid w:val="00275EC2"/>
    <w:rsid w:val="00285CB3"/>
    <w:rsid w:val="00292311"/>
    <w:rsid w:val="002A617D"/>
    <w:rsid w:val="002B1332"/>
    <w:rsid w:val="002D0545"/>
    <w:rsid w:val="00301E51"/>
    <w:rsid w:val="00321269"/>
    <w:rsid w:val="0032291A"/>
    <w:rsid w:val="003302EA"/>
    <w:rsid w:val="003405C7"/>
    <w:rsid w:val="00344C56"/>
    <w:rsid w:val="00360496"/>
    <w:rsid w:val="00386D12"/>
    <w:rsid w:val="003B5F3B"/>
    <w:rsid w:val="003C2237"/>
    <w:rsid w:val="00400BB6"/>
    <w:rsid w:val="004420DF"/>
    <w:rsid w:val="0044251C"/>
    <w:rsid w:val="00445F37"/>
    <w:rsid w:val="0051253C"/>
    <w:rsid w:val="00541CA9"/>
    <w:rsid w:val="00553105"/>
    <w:rsid w:val="0058037D"/>
    <w:rsid w:val="00580863"/>
    <w:rsid w:val="005A48A3"/>
    <w:rsid w:val="005B6BD8"/>
    <w:rsid w:val="005C2F07"/>
    <w:rsid w:val="00627C2E"/>
    <w:rsid w:val="00627E43"/>
    <w:rsid w:val="00646E08"/>
    <w:rsid w:val="006673AF"/>
    <w:rsid w:val="006B657B"/>
    <w:rsid w:val="006C07E3"/>
    <w:rsid w:val="006C5603"/>
    <w:rsid w:val="006D2A09"/>
    <w:rsid w:val="006D7F18"/>
    <w:rsid w:val="00723E70"/>
    <w:rsid w:val="00730260"/>
    <w:rsid w:val="00732343"/>
    <w:rsid w:val="00754CB0"/>
    <w:rsid w:val="007563EB"/>
    <w:rsid w:val="00762AB2"/>
    <w:rsid w:val="00772D82"/>
    <w:rsid w:val="007C45A4"/>
    <w:rsid w:val="00804AC1"/>
    <w:rsid w:val="0081302A"/>
    <w:rsid w:val="00817639"/>
    <w:rsid w:val="00841F22"/>
    <w:rsid w:val="00886C4E"/>
    <w:rsid w:val="008A189F"/>
    <w:rsid w:val="008B23D4"/>
    <w:rsid w:val="008C583A"/>
    <w:rsid w:val="008D1C88"/>
    <w:rsid w:val="008E1F8B"/>
    <w:rsid w:val="0091654A"/>
    <w:rsid w:val="00942033"/>
    <w:rsid w:val="00962430"/>
    <w:rsid w:val="00972620"/>
    <w:rsid w:val="00976A56"/>
    <w:rsid w:val="009A5591"/>
    <w:rsid w:val="009C2DD2"/>
    <w:rsid w:val="009D62F7"/>
    <w:rsid w:val="009E2062"/>
    <w:rsid w:val="00A271C9"/>
    <w:rsid w:val="00A51397"/>
    <w:rsid w:val="00A52DCA"/>
    <w:rsid w:val="00A84FBC"/>
    <w:rsid w:val="00AF1319"/>
    <w:rsid w:val="00B82320"/>
    <w:rsid w:val="00B8402A"/>
    <w:rsid w:val="00B93EC4"/>
    <w:rsid w:val="00BE5284"/>
    <w:rsid w:val="00C36FD0"/>
    <w:rsid w:val="00C53352"/>
    <w:rsid w:val="00C674F0"/>
    <w:rsid w:val="00C74296"/>
    <w:rsid w:val="00C87E64"/>
    <w:rsid w:val="00CA4452"/>
    <w:rsid w:val="00CE0CC6"/>
    <w:rsid w:val="00CF0F18"/>
    <w:rsid w:val="00CF5A1F"/>
    <w:rsid w:val="00D05FC3"/>
    <w:rsid w:val="00D13900"/>
    <w:rsid w:val="00D4754F"/>
    <w:rsid w:val="00D71CE5"/>
    <w:rsid w:val="00D96AE3"/>
    <w:rsid w:val="00DE28AA"/>
    <w:rsid w:val="00E01CBE"/>
    <w:rsid w:val="00E06FCA"/>
    <w:rsid w:val="00E107DB"/>
    <w:rsid w:val="00E1522E"/>
    <w:rsid w:val="00E340F1"/>
    <w:rsid w:val="00E85091"/>
    <w:rsid w:val="00EA40A8"/>
    <w:rsid w:val="00EB60E7"/>
    <w:rsid w:val="00F15030"/>
    <w:rsid w:val="00F408A9"/>
    <w:rsid w:val="00F608C6"/>
    <w:rsid w:val="00F95B57"/>
    <w:rsid w:val="00FA0419"/>
    <w:rsid w:val="00FC1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7D66"/>
  <w15:docId w15:val="{AF598F80-B373-4308-9FE5-B1B3DF16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75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C2F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2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62F7"/>
    <w:rPr>
      <w:b/>
      <w:bCs/>
    </w:rPr>
  </w:style>
  <w:style w:type="table" w:styleId="TableGrid">
    <w:name w:val="Table Grid"/>
    <w:basedOn w:val="TableNormal"/>
    <w:uiPriority w:val="59"/>
    <w:rsid w:val="009D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2F7"/>
    <w:pPr>
      <w:ind w:left="720"/>
      <w:contextualSpacing/>
    </w:pPr>
  </w:style>
  <w:style w:type="character" w:customStyle="1" w:styleId="Heading3Char">
    <w:name w:val="Heading 3 Char"/>
    <w:basedOn w:val="DefaultParagraphFont"/>
    <w:link w:val="Heading3"/>
    <w:uiPriority w:val="9"/>
    <w:rsid w:val="000A758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3302EA"/>
    <w:rPr>
      <w:i/>
      <w:iCs/>
    </w:rPr>
  </w:style>
  <w:style w:type="character" w:customStyle="1" w:styleId="Heading4Char">
    <w:name w:val="Heading 4 Char"/>
    <w:basedOn w:val="DefaultParagraphFont"/>
    <w:link w:val="Heading4"/>
    <w:uiPriority w:val="9"/>
    <w:semiHidden/>
    <w:rsid w:val="005C2F0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A4452"/>
    <w:rPr>
      <w:color w:val="0000FF" w:themeColor="hyperlink"/>
      <w:u w:val="single"/>
    </w:rPr>
  </w:style>
  <w:style w:type="paragraph" w:styleId="Header">
    <w:name w:val="header"/>
    <w:basedOn w:val="Normal"/>
    <w:link w:val="HeaderChar"/>
    <w:uiPriority w:val="99"/>
    <w:unhideWhenUsed/>
    <w:rsid w:val="00275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C2"/>
  </w:style>
  <w:style w:type="paragraph" w:styleId="Footer">
    <w:name w:val="footer"/>
    <w:basedOn w:val="Normal"/>
    <w:link w:val="FooterChar"/>
    <w:uiPriority w:val="99"/>
    <w:unhideWhenUsed/>
    <w:rsid w:val="00275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C2"/>
  </w:style>
  <w:style w:type="paragraph" w:styleId="NoSpacing">
    <w:name w:val="No Spacing"/>
    <w:uiPriority w:val="1"/>
    <w:qFormat/>
    <w:rsid w:val="0044251C"/>
    <w:pPr>
      <w:spacing w:after="0" w:line="240" w:lineRule="auto"/>
    </w:pPr>
  </w:style>
  <w:style w:type="character" w:styleId="UnresolvedMention">
    <w:name w:val="Unresolved Mention"/>
    <w:basedOn w:val="DefaultParagraphFont"/>
    <w:uiPriority w:val="99"/>
    <w:semiHidden/>
    <w:unhideWhenUsed/>
    <w:rsid w:val="0055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9268">
      <w:bodyDiv w:val="1"/>
      <w:marLeft w:val="0"/>
      <w:marRight w:val="0"/>
      <w:marTop w:val="0"/>
      <w:marBottom w:val="0"/>
      <w:divBdr>
        <w:top w:val="none" w:sz="0" w:space="0" w:color="auto"/>
        <w:left w:val="none" w:sz="0" w:space="0" w:color="auto"/>
        <w:bottom w:val="none" w:sz="0" w:space="0" w:color="auto"/>
        <w:right w:val="none" w:sz="0" w:space="0" w:color="auto"/>
      </w:divBdr>
    </w:div>
    <w:div w:id="215701513">
      <w:bodyDiv w:val="1"/>
      <w:marLeft w:val="0"/>
      <w:marRight w:val="0"/>
      <w:marTop w:val="0"/>
      <w:marBottom w:val="0"/>
      <w:divBdr>
        <w:top w:val="none" w:sz="0" w:space="0" w:color="auto"/>
        <w:left w:val="none" w:sz="0" w:space="0" w:color="auto"/>
        <w:bottom w:val="none" w:sz="0" w:space="0" w:color="auto"/>
        <w:right w:val="none" w:sz="0" w:space="0" w:color="auto"/>
      </w:divBdr>
    </w:div>
    <w:div w:id="277642595">
      <w:bodyDiv w:val="1"/>
      <w:marLeft w:val="0"/>
      <w:marRight w:val="0"/>
      <w:marTop w:val="0"/>
      <w:marBottom w:val="0"/>
      <w:divBdr>
        <w:top w:val="none" w:sz="0" w:space="0" w:color="auto"/>
        <w:left w:val="none" w:sz="0" w:space="0" w:color="auto"/>
        <w:bottom w:val="none" w:sz="0" w:space="0" w:color="auto"/>
        <w:right w:val="none" w:sz="0" w:space="0" w:color="auto"/>
      </w:divBdr>
    </w:div>
    <w:div w:id="729813705">
      <w:bodyDiv w:val="1"/>
      <w:marLeft w:val="0"/>
      <w:marRight w:val="0"/>
      <w:marTop w:val="0"/>
      <w:marBottom w:val="0"/>
      <w:divBdr>
        <w:top w:val="none" w:sz="0" w:space="0" w:color="auto"/>
        <w:left w:val="none" w:sz="0" w:space="0" w:color="auto"/>
        <w:bottom w:val="none" w:sz="0" w:space="0" w:color="auto"/>
        <w:right w:val="none" w:sz="0" w:space="0" w:color="auto"/>
      </w:divBdr>
    </w:div>
    <w:div w:id="745105524">
      <w:bodyDiv w:val="1"/>
      <w:marLeft w:val="0"/>
      <w:marRight w:val="0"/>
      <w:marTop w:val="0"/>
      <w:marBottom w:val="0"/>
      <w:divBdr>
        <w:top w:val="none" w:sz="0" w:space="0" w:color="auto"/>
        <w:left w:val="none" w:sz="0" w:space="0" w:color="auto"/>
        <w:bottom w:val="none" w:sz="0" w:space="0" w:color="auto"/>
        <w:right w:val="none" w:sz="0" w:space="0" w:color="auto"/>
      </w:divBdr>
    </w:div>
    <w:div w:id="1039937511">
      <w:bodyDiv w:val="1"/>
      <w:marLeft w:val="0"/>
      <w:marRight w:val="0"/>
      <w:marTop w:val="0"/>
      <w:marBottom w:val="0"/>
      <w:divBdr>
        <w:top w:val="none" w:sz="0" w:space="0" w:color="auto"/>
        <w:left w:val="none" w:sz="0" w:space="0" w:color="auto"/>
        <w:bottom w:val="none" w:sz="0" w:space="0" w:color="auto"/>
        <w:right w:val="none" w:sz="0" w:space="0" w:color="auto"/>
      </w:divBdr>
    </w:div>
    <w:div w:id="1108617387">
      <w:bodyDiv w:val="1"/>
      <w:marLeft w:val="0"/>
      <w:marRight w:val="0"/>
      <w:marTop w:val="0"/>
      <w:marBottom w:val="0"/>
      <w:divBdr>
        <w:top w:val="none" w:sz="0" w:space="0" w:color="auto"/>
        <w:left w:val="none" w:sz="0" w:space="0" w:color="auto"/>
        <w:bottom w:val="none" w:sz="0" w:space="0" w:color="auto"/>
        <w:right w:val="none" w:sz="0" w:space="0" w:color="auto"/>
      </w:divBdr>
    </w:div>
    <w:div w:id="1178495854">
      <w:bodyDiv w:val="1"/>
      <w:marLeft w:val="0"/>
      <w:marRight w:val="0"/>
      <w:marTop w:val="0"/>
      <w:marBottom w:val="0"/>
      <w:divBdr>
        <w:top w:val="none" w:sz="0" w:space="0" w:color="auto"/>
        <w:left w:val="none" w:sz="0" w:space="0" w:color="auto"/>
        <w:bottom w:val="none" w:sz="0" w:space="0" w:color="auto"/>
        <w:right w:val="none" w:sz="0" w:space="0" w:color="auto"/>
      </w:divBdr>
    </w:div>
    <w:div w:id="1453093528">
      <w:bodyDiv w:val="1"/>
      <w:marLeft w:val="0"/>
      <w:marRight w:val="0"/>
      <w:marTop w:val="0"/>
      <w:marBottom w:val="0"/>
      <w:divBdr>
        <w:top w:val="none" w:sz="0" w:space="0" w:color="auto"/>
        <w:left w:val="none" w:sz="0" w:space="0" w:color="auto"/>
        <w:bottom w:val="none" w:sz="0" w:space="0" w:color="auto"/>
        <w:right w:val="none" w:sz="0" w:space="0" w:color="auto"/>
      </w:divBdr>
    </w:div>
    <w:div w:id="1522205873">
      <w:bodyDiv w:val="1"/>
      <w:marLeft w:val="0"/>
      <w:marRight w:val="0"/>
      <w:marTop w:val="0"/>
      <w:marBottom w:val="0"/>
      <w:divBdr>
        <w:top w:val="none" w:sz="0" w:space="0" w:color="auto"/>
        <w:left w:val="none" w:sz="0" w:space="0" w:color="auto"/>
        <w:bottom w:val="none" w:sz="0" w:space="0" w:color="auto"/>
        <w:right w:val="none" w:sz="0" w:space="0" w:color="auto"/>
      </w:divBdr>
    </w:div>
    <w:div w:id="1632249835">
      <w:bodyDiv w:val="1"/>
      <w:marLeft w:val="0"/>
      <w:marRight w:val="0"/>
      <w:marTop w:val="0"/>
      <w:marBottom w:val="0"/>
      <w:divBdr>
        <w:top w:val="none" w:sz="0" w:space="0" w:color="auto"/>
        <w:left w:val="none" w:sz="0" w:space="0" w:color="auto"/>
        <w:bottom w:val="none" w:sz="0" w:space="0" w:color="auto"/>
        <w:right w:val="none" w:sz="0" w:space="0" w:color="auto"/>
      </w:divBdr>
    </w:div>
    <w:div w:id="1804426569">
      <w:bodyDiv w:val="1"/>
      <w:marLeft w:val="0"/>
      <w:marRight w:val="0"/>
      <w:marTop w:val="0"/>
      <w:marBottom w:val="0"/>
      <w:divBdr>
        <w:top w:val="none" w:sz="0" w:space="0" w:color="auto"/>
        <w:left w:val="none" w:sz="0" w:space="0" w:color="auto"/>
        <w:bottom w:val="none" w:sz="0" w:space="0" w:color="auto"/>
        <w:right w:val="none" w:sz="0" w:space="0" w:color="auto"/>
      </w:divBdr>
    </w:div>
    <w:div w:id="18433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37/dc22-s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07/978-3-319-20797-1_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95839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34837505" TargetMode="External"/><Relationship Id="rId4" Type="http://schemas.openxmlformats.org/officeDocument/2006/relationships/settings" Target="settings.xml"/><Relationship Id="rId9" Type="http://schemas.openxmlformats.org/officeDocument/2006/relationships/hyperlink" Target="http://dx.doi.org/10.1163/1570-6664_iyb_sim_org_389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5E02-64A4-409B-AEAF-F8D33830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14804</Words>
  <Characters>84383</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CPU 1070</cp:lastModifiedBy>
  <cp:revision>5</cp:revision>
  <dcterms:created xsi:type="dcterms:W3CDTF">2025-03-18T06:14:00Z</dcterms:created>
  <dcterms:modified xsi:type="dcterms:W3CDTF">2025-03-18T09:30:00Z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cdd05b47-de71-3cc9-8946-08943afedd36</vt:lpwstr>
  </property>
  <property fmtid="{D5CDD505-2E9C-101B-9397-08002B2CF9AE}" pid="24" name="Mendeley Citation Style_1">
    <vt:lpwstr>http://www.zotero.org/styles/vancouver-superscript</vt:lpwstr>
  </property>
</Properties>
</file>