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42" w:rsidRDefault="00DE4D20">
      <w:pPr>
        <w:pStyle w:val="Ttulo"/>
        <w:spacing w:after="0"/>
        <w:jc w:val="both"/>
        <w:rPr>
          <w:rFonts w:ascii="Arial" w:eastAsia="Arial" w:hAnsi="Arial" w:cs="Arial"/>
        </w:rPr>
      </w:pPr>
      <w:r w:rsidRPr="00DE4D20">
        <w:rPr>
          <w:rFonts w:ascii="Arial" w:eastAsia="Arial" w:hAnsi="Arial" w:cs="Arial"/>
        </w:rPr>
        <w:t>Original Research Article</w:t>
      </w:r>
    </w:p>
    <w:p w:rsidR="00DE4D20" w:rsidRDefault="00DE4D20">
      <w:pPr>
        <w:pBdr>
          <w:top w:val="nil"/>
          <w:left w:val="nil"/>
          <w:bottom w:val="nil"/>
          <w:right w:val="nil"/>
          <w:between w:val="nil"/>
        </w:pBdr>
        <w:jc w:val="both"/>
        <w:rPr>
          <w:rFonts w:ascii="Arial" w:eastAsia="Arial" w:hAnsi="Arial" w:cs="Arial"/>
          <w:b/>
          <w:sz w:val="36"/>
          <w:szCs w:val="36"/>
        </w:rPr>
      </w:pPr>
      <w:bookmarkStart w:id="0" w:name="_Hlk190612796"/>
    </w:p>
    <w:p w:rsidR="0033446E" w:rsidRDefault="002A3235">
      <w:pPr>
        <w:pBdr>
          <w:top w:val="nil"/>
          <w:left w:val="nil"/>
          <w:bottom w:val="nil"/>
          <w:right w:val="nil"/>
          <w:between w:val="nil"/>
        </w:pBdr>
        <w:jc w:val="both"/>
        <w:rPr>
          <w:rFonts w:ascii="Arial" w:eastAsia="Arial" w:hAnsi="Arial" w:cs="Arial"/>
          <w:b/>
          <w:sz w:val="36"/>
          <w:szCs w:val="36"/>
        </w:rPr>
      </w:pPr>
      <w:r w:rsidRPr="002A3235">
        <w:rPr>
          <w:rFonts w:ascii="Arial" w:eastAsia="Arial" w:hAnsi="Arial" w:cs="Arial"/>
          <w:b/>
          <w:sz w:val="36"/>
          <w:szCs w:val="36"/>
        </w:rPr>
        <w:t>ANALYSIS OF NOTIFICATIONS OF INCIDENTS RELATED TO HEALTH CARE IN THE STATE OF PARÁ, DURING THE COVID</w:t>
      </w:r>
    </w:p>
    <w:p w:rsidR="00A06B42" w:rsidRDefault="002A3235">
      <w:pPr>
        <w:pBdr>
          <w:top w:val="nil"/>
          <w:left w:val="nil"/>
          <w:bottom w:val="nil"/>
          <w:right w:val="nil"/>
          <w:between w:val="nil"/>
        </w:pBdr>
        <w:jc w:val="both"/>
        <w:rPr>
          <w:rFonts w:ascii="Arial" w:eastAsia="Arial" w:hAnsi="Arial" w:cs="Arial"/>
          <w:b/>
          <w:sz w:val="36"/>
          <w:szCs w:val="36"/>
          <w:lang w:val="pt-BR"/>
        </w:rPr>
      </w:pPr>
      <w:r w:rsidRPr="00D47996">
        <w:rPr>
          <w:rFonts w:ascii="Arial" w:eastAsia="Arial" w:hAnsi="Arial" w:cs="Arial"/>
          <w:b/>
          <w:sz w:val="36"/>
          <w:szCs w:val="36"/>
          <w:lang w:val="pt-BR"/>
        </w:rPr>
        <w:t>19 PANDEMIC</w:t>
      </w:r>
    </w:p>
    <w:p w:rsidR="007E114B" w:rsidRPr="00D47996" w:rsidRDefault="007E114B">
      <w:pPr>
        <w:pBdr>
          <w:top w:val="nil"/>
          <w:left w:val="nil"/>
          <w:bottom w:val="nil"/>
          <w:right w:val="nil"/>
          <w:between w:val="nil"/>
        </w:pBdr>
        <w:jc w:val="both"/>
        <w:rPr>
          <w:rFonts w:ascii="Arial" w:eastAsia="Arial" w:hAnsi="Arial" w:cs="Arial"/>
          <w:b/>
          <w:sz w:val="36"/>
          <w:szCs w:val="36"/>
          <w:lang w:val="pt-BR"/>
        </w:rPr>
      </w:pPr>
    </w:p>
    <w:bookmarkEnd w:id="0"/>
    <w:p w:rsidR="002A3235" w:rsidRPr="00D47996" w:rsidRDefault="002A3235">
      <w:pPr>
        <w:pBdr>
          <w:top w:val="nil"/>
          <w:left w:val="nil"/>
          <w:bottom w:val="nil"/>
          <w:right w:val="nil"/>
          <w:between w:val="nil"/>
        </w:pBdr>
        <w:jc w:val="both"/>
        <w:rPr>
          <w:rFonts w:ascii="Arial" w:eastAsia="Arial" w:hAnsi="Arial" w:cs="Arial"/>
          <w:b/>
          <w:color w:val="000000"/>
          <w:sz w:val="36"/>
          <w:szCs w:val="36"/>
          <w:lang w:val="pt-BR"/>
        </w:rPr>
      </w:pPr>
    </w:p>
    <w:p w:rsidR="000E6B25" w:rsidRPr="000E6B25" w:rsidRDefault="000E6B25" w:rsidP="000E6B25">
      <w:pPr>
        <w:pBdr>
          <w:top w:val="nil"/>
          <w:left w:val="nil"/>
          <w:bottom w:val="nil"/>
          <w:right w:val="nil"/>
          <w:between w:val="nil"/>
        </w:pBdr>
        <w:jc w:val="both"/>
        <w:rPr>
          <w:rFonts w:ascii="Arial" w:eastAsia="Arial" w:hAnsi="Arial" w:cs="Arial"/>
          <w:color w:val="000000"/>
          <w:lang w:val="pt-BR"/>
        </w:rPr>
      </w:pPr>
    </w:p>
    <w:p w:rsidR="00A06B42" w:rsidRDefault="0080563D" w:rsidP="002A3235">
      <w:pPr>
        <w:pBdr>
          <w:top w:val="nil"/>
          <w:left w:val="nil"/>
          <w:bottom w:val="nil"/>
          <w:right w:val="nil"/>
          <w:between w:val="nil"/>
        </w:pBdr>
        <w:jc w:val="center"/>
        <w:rPr>
          <w:rFonts w:ascii="Arial" w:eastAsia="Arial" w:hAnsi="Arial" w:cs="Arial"/>
          <w:b/>
          <w:smallCaps/>
          <w:sz w:val="22"/>
          <w:szCs w:val="22"/>
        </w:rPr>
      </w:pPr>
      <w:r>
        <w:rPr>
          <w:rFonts w:ascii="Arial" w:eastAsia="Arial" w:hAnsi="Arial" w:cs="Arial"/>
          <w:b/>
          <w:smallCaps/>
          <w:color w:val="000000"/>
          <w:sz w:val="22"/>
          <w:szCs w:val="22"/>
        </w:rPr>
        <w:t>ABSTRACT</w:t>
      </w:r>
    </w:p>
    <w:p w:rsidR="00A06B42" w:rsidRDefault="00A06B42">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24"/>
      </w:tblGrid>
      <w:tr w:rsidR="00A06B42">
        <w:tc>
          <w:tcPr>
            <w:tcW w:w="8424" w:type="dxa"/>
            <w:shd w:val="clear" w:color="auto" w:fill="F2F2F2"/>
          </w:tcPr>
          <w:p w:rsidR="00A06B42" w:rsidRDefault="0080563D">
            <w:pPr>
              <w:jc w:val="both"/>
              <w:rPr>
                <w:rFonts w:ascii="Arial" w:eastAsia="Arial" w:hAnsi="Arial" w:cs="Arial"/>
              </w:rPr>
            </w:pPr>
            <w:r>
              <w:rPr>
                <w:rFonts w:ascii="Arial" w:eastAsia="Arial" w:hAnsi="Arial" w:cs="Arial"/>
                <w:b/>
              </w:rPr>
              <w:t>Objective:</w:t>
            </w:r>
            <w:r>
              <w:rPr>
                <w:rFonts w:ascii="Arial" w:eastAsia="Arial" w:hAnsi="Arial" w:cs="Arial"/>
              </w:rPr>
              <w:t xml:space="preserve"> to analyze the incidents and adverse events related to health care in the State of Pará in the period from 2020 to 2021, registered in the National Notification Program for Health Surveillance (NOTIVISA). </w:t>
            </w:r>
            <w:r w:rsidRPr="002A3235">
              <w:rPr>
                <w:rFonts w:ascii="Arial" w:eastAsia="Arial" w:hAnsi="Arial" w:cs="Arial"/>
                <w:b/>
                <w:bCs/>
              </w:rPr>
              <w:t>Method:</w:t>
            </w:r>
            <w:r>
              <w:rPr>
                <w:rFonts w:ascii="Arial" w:eastAsia="Arial" w:hAnsi="Arial" w:cs="Arial"/>
              </w:rPr>
              <w:t xml:space="preserve"> This is a cross-sectional study with a quantitative approach, using secondary data recorded in NOTIVISA, published and made available on the ANVISA website. </w:t>
            </w:r>
            <w:r>
              <w:rPr>
                <w:rFonts w:ascii="Arial" w:eastAsia="Arial" w:hAnsi="Arial" w:cs="Arial"/>
                <w:b/>
              </w:rPr>
              <w:t>Results:</w:t>
            </w:r>
            <w:r>
              <w:rPr>
                <w:rFonts w:ascii="Arial" w:eastAsia="Arial" w:hAnsi="Arial" w:cs="Arial"/>
              </w:rPr>
              <w:t xml:space="preserve"> it was possible to verify during the study period that the state of Pará recorded 498 notifications of incidents related to health care in the period from 2020 to 2021 to NOTIVISA. The most notified and highlighted types of events were during health care</w:t>
            </w:r>
            <w:r>
              <w:rPr>
                <w:rFonts w:ascii="Arial" w:eastAsia="Arial" w:hAnsi="Arial" w:cs="Arial"/>
                <w:color w:val="FF0000"/>
              </w:rPr>
              <w:t xml:space="preserve"> </w:t>
            </w:r>
            <w:r>
              <w:rPr>
                <w:rFonts w:ascii="Arial" w:eastAsia="Arial" w:hAnsi="Arial" w:cs="Arial"/>
              </w:rPr>
              <w:t>with 201 notifications (40.36%). Of the incidents recorded, the majority occurred in hospitals, with 199 (42.16%) notifications involving failures during health care. Regarding the outpatient service, we highlight the incident Patients</w:t>
            </w:r>
            <w:r>
              <w:rPr>
                <w:rFonts w:ascii="Arial" w:eastAsia="Arial" w:hAnsi="Arial" w:cs="Arial"/>
                <w:color w:val="FF0000"/>
              </w:rPr>
              <w:t xml:space="preserve"> </w:t>
            </w:r>
            <w:r>
              <w:rPr>
                <w:rFonts w:ascii="Arial" w:eastAsia="Arial" w:hAnsi="Arial" w:cs="Arial"/>
              </w:rPr>
              <w:t xml:space="preserve">Accidents (3) (0.64%) and Patient Fall (2) (0.42%). In other types of services, failures during health care were the most notified event, with 2 records (0.42%). In the clinics, the reported incidents were Bronchoaspiration and Failures in the administration of O2 or medicinal gases, both with 1 notification (0.21%). In the types of damage, Light Damage stood out with 288 notifications (57.83%), followed by No damage with 82 notifications (16.47%), Moderate damage with 77 records (15.46%), Death with 28 records (5.62%) and Severe with 23 notifications (4.62%). Incidents by age group show that adults aged 56 to 65 years were the most affected, with 85 records (17.07%). In relation to pediatrics, the age group of less than 28 days was the one that obtained the highest number of notifications, with 33 records (6.63%). Reported deaths were highlighted in Failures during Health Care (23) (82.14%). The most notified never events were Stage III Pressure Injury (PPL), with 7 notifications (87.50%). </w:t>
            </w:r>
            <w:r>
              <w:rPr>
                <w:rFonts w:ascii="Arial" w:eastAsia="Arial" w:hAnsi="Arial" w:cs="Arial"/>
                <w:b/>
              </w:rPr>
              <w:t>Conclusion</w:t>
            </w:r>
            <w:r>
              <w:rPr>
                <w:rFonts w:ascii="Arial" w:eastAsia="Arial" w:hAnsi="Arial" w:cs="Arial"/>
              </w:rPr>
              <w:t>: between 2020 and 2021, NOTIVISA recorded only 498 notifications of health-related incidents in the state. Being a problem of great proportion in Pará, due to the deficit in the recognition of injuries and limitation in the practice of notifying, consequently, the number of records is well below expected.</w:t>
            </w:r>
          </w:p>
          <w:p w:rsidR="00A06B42" w:rsidRDefault="00A06B42">
            <w:pPr>
              <w:pBdr>
                <w:top w:val="nil"/>
                <w:left w:val="nil"/>
                <w:bottom w:val="nil"/>
                <w:right w:val="nil"/>
                <w:between w:val="nil"/>
              </w:pBdr>
              <w:jc w:val="both"/>
              <w:rPr>
                <w:rFonts w:ascii="Arial" w:eastAsia="Arial" w:hAnsi="Arial" w:cs="Arial"/>
                <w:b/>
              </w:rPr>
            </w:pPr>
          </w:p>
        </w:tc>
      </w:tr>
    </w:tbl>
    <w:p w:rsidR="00A06B42" w:rsidRDefault="0080563D">
      <w:pPr>
        <w:pBdr>
          <w:top w:val="nil"/>
          <w:left w:val="nil"/>
          <w:bottom w:val="nil"/>
          <w:right w:val="nil"/>
          <w:between w:val="nil"/>
        </w:pBdr>
        <w:jc w:val="both"/>
        <w:rPr>
          <w:rFonts w:ascii="Arial" w:eastAsia="Arial" w:hAnsi="Arial" w:cs="Arial"/>
        </w:rPr>
      </w:pPr>
      <w:r>
        <w:rPr>
          <w:rFonts w:ascii="Arial" w:eastAsia="Arial" w:hAnsi="Arial" w:cs="Arial"/>
          <w:b/>
        </w:rPr>
        <w:t>Keywords</w:t>
      </w:r>
      <w:r>
        <w:rPr>
          <w:rFonts w:ascii="Arial" w:eastAsia="Arial" w:hAnsi="Arial" w:cs="Arial"/>
        </w:rPr>
        <w:t>: incidents; adverse events; health care; patient safety.</w:t>
      </w:r>
    </w:p>
    <w:p w:rsidR="00B968F0" w:rsidRDefault="00B968F0">
      <w:pPr>
        <w:pBdr>
          <w:top w:val="nil"/>
          <w:left w:val="nil"/>
          <w:bottom w:val="nil"/>
          <w:right w:val="nil"/>
          <w:between w:val="nil"/>
        </w:pBdr>
        <w:jc w:val="both"/>
        <w:rPr>
          <w:rFonts w:ascii="Arial" w:eastAsia="Arial" w:hAnsi="Arial" w:cs="Arial"/>
          <w:color w:val="000000"/>
        </w:rPr>
      </w:pPr>
    </w:p>
    <w:p w:rsidR="00A06B42" w:rsidRDefault="0080563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1. INTRODU</w:t>
      </w:r>
      <w:r>
        <w:rPr>
          <w:rFonts w:ascii="Arial" w:eastAsia="Arial" w:hAnsi="Arial" w:cs="Arial"/>
          <w:b/>
          <w:smallCaps/>
          <w:sz w:val="22"/>
          <w:szCs w:val="22"/>
        </w:rPr>
        <w:t xml:space="preserve">CION </w:t>
      </w:r>
    </w:p>
    <w:p w:rsidR="00A06B42" w:rsidRDefault="00A06B42">
      <w:pPr>
        <w:keepNext/>
        <w:pBdr>
          <w:top w:val="nil"/>
          <w:left w:val="nil"/>
          <w:bottom w:val="nil"/>
          <w:right w:val="nil"/>
          <w:between w:val="nil"/>
        </w:pBdr>
        <w:jc w:val="both"/>
        <w:rPr>
          <w:rFonts w:ascii="Arial" w:eastAsia="Arial" w:hAnsi="Arial" w:cs="Arial"/>
          <w:b/>
          <w:smallCaps/>
          <w:color w:val="000000"/>
        </w:rPr>
      </w:pPr>
    </w:p>
    <w:p w:rsidR="00B968F0" w:rsidRPr="007B19F7" w:rsidRDefault="00B968F0" w:rsidP="00B968F0">
      <w:pPr>
        <w:widowControl w:val="0"/>
        <w:jc w:val="both"/>
        <w:rPr>
          <w:rFonts w:ascii="Arial" w:eastAsia="Arial" w:hAnsi="Arial" w:cs="Arial"/>
        </w:rPr>
      </w:pPr>
      <w:r w:rsidRPr="00B968F0">
        <w:rPr>
          <w:rFonts w:ascii="Arial" w:eastAsia="Arial" w:hAnsi="Arial" w:cs="Arial"/>
          <w:lang/>
        </w:rPr>
        <w:t>Unsafe healthcare practices are considered a problem in healthcare processes in healthcare establishments around the world. Therefore, promoting the safety of patients receiving care in healthcare services is one of the biggest challenges for workers and managers. Health services must provide care that is effective and safe, with user satisfaction throughout the care process (CUNHA; GOMES, 2019).</w:t>
      </w:r>
    </w:p>
    <w:p w:rsidR="00B968F0" w:rsidRPr="00B968F0" w:rsidRDefault="00B968F0" w:rsidP="00B968F0">
      <w:pPr>
        <w:widowControl w:val="0"/>
        <w:jc w:val="both"/>
        <w:rPr>
          <w:rFonts w:ascii="Arial" w:eastAsia="Arial" w:hAnsi="Arial" w:cs="Arial"/>
          <w:lang/>
        </w:rPr>
      </w:pPr>
      <w:r w:rsidRPr="00B968F0">
        <w:rPr>
          <w:rFonts w:ascii="Arial" w:eastAsia="Arial" w:hAnsi="Arial" w:cs="Arial"/>
          <w:lang/>
        </w:rPr>
        <w:t>Based on the importance of the quality of care provided, the Ministry of Health established the National Patient Safety Program (PNSP) with Ordinance No. 529 of April 1, 2013, with the aim of contributing to the qualification of health care in all health establishments across the country (BRASIL, 2013a).</w:t>
      </w:r>
    </w:p>
    <w:p w:rsidR="00B968F0" w:rsidRPr="007B19F7" w:rsidRDefault="00B968F0" w:rsidP="00B968F0">
      <w:pPr>
        <w:widowControl w:val="0"/>
        <w:jc w:val="both"/>
        <w:rPr>
          <w:rFonts w:ascii="Arial" w:eastAsia="Arial" w:hAnsi="Arial" w:cs="Arial"/>
        </w:rPr>
      </w:pPr>
      <w:r w:rsidRPr="00B968F0">
        <w:rPr>
          <w:rFonts w:ascii="Arial" w:eastAsia="Arial" w:hAnsi="Arial" w:cs="Arial"/>
          <w:lang/>
        </w:rPr>
        <w:t>In order to achieve the objectives of the program, the National Health Surveillance Agency (ANVISA) established, through RDC No. 36 of July 25, 2013, actions for patient safety with the aim of improving the quality of care in health services, whether public, private, philanthropic, civil or military, including those that carry out teaching and research actions, in addition to establishing the mandatory implementation of the Patient Safety Center (NSP), which plays a fundamental role in the entire process of implementing the Patient Safety Plan (PSP) (BRASIL, 2013b; BRASIL, 2016a).</w:t>
      </w:r>
    </w:p>
    <w:p w:rsidR="00B968F0" w:rsidRPr="007B19F7" w:rsidRDefault="00B968F0" w:rsidP="00B968F0">
      <w:pPr>
        <w:widowControl w:val="0"/>
        <w:jc w:val="both"/>
        <w:rPr>
          <w:rFonts w:ascii="Arial" w:eastAsia="Arial" w:hAnsi="Arial" w:cs="Arial"/>
        </w:rPr>
      </w:pPr>
      <w:r w:rsidRPr="00B968F0">
        <w:rPr>
          <w:rFonts w:ascii="Arial" w:eastAsia="Arial" w:hAnsi="Arial" w:cs="Arial"/>
          <w:lang/>
        </w:rPr>
        <w:t xml:space="preserve">ANVISA, aiming to receive notifications of incidents and Adverse Events (AEs) that occur in healthcare services and establishments in the country, developed a computerized system called the Health Surveillance Notification System </w:t>
      </w:r>
      <w:r w:rsidRPr="00B968F0">
        <w:rPr>
          <w:rFonts w:ascii="Arial" w:eastAsia="Arial" w:hAnsi="Arial" w:cs="Arial"/>
          <w:lang/>
        </w:rPr>
        <w:lastRenderedPageBreak/>
        <w:t>(NOTIVISA) (SILVA et al., 2020). The detected incidents highlight characteristics of the structure, environment, conditions and care process, becoming a source of research and guide for improving security policies (LANZILLOTTI et al., 2016). As a consequence of unsafe assistance, users are also subject to never events, which commonly occur in healthcare establishments. For Bra</w:t>
      </w:r>
      <w:r>
        <w:rPr>
          <w:rFonts w:ascii="Arial" w:eastAsia="Arial" w:hAnsi="Arial" w:cs="Arial"/>
          <w:lang/>
        </w:rPr>
        <w:t>z</w:t>
      </w:r>
      <w:r w:rsidRPr="00B968F0">
        <w:rPr>
          <w:rFonts w:ascii="Arial" w:eastAsia="Arial" w:hAnsi="Arial" w:cs="Arial"/>
          <w:lang/>
        </w:rPr>
        <w:t>il (2016c), never events are defined as events that should never happen in health services, being considered as an indicator of quality and safety in which just one case is enough to signal problems in the health service and indicate the need for investigation and analysis.</w:t>
      </w:r>
    </w:p>
    <w:p w:rsidR="00A06B42" w:rsidRPr="007B19F7" w:rsidRDefault="00B968F0">
      <w:pPr>
        <w:widowControl w:val="0"/>
        <w:jc w:val="both"/>
        <w:rPr>
          <w:rFonts w:ascii="Arial" w:eastAsia="Arial" w:hAnsi="Arial" w:cs="Arial"/>
        </w:rPr>
      </w:pPr>
      <w:r w:rsidRPr="00B968F0">
        <w:rPr>
          <w:rFonts w:ascii="Arial" w:eastAsia="Arial" w:hAnsi="Arial" w:cs="Arial"/>
          <w:lang/>
        </w:rPr>
        <w:t>Never events and deaths, considered very serious adverse events, were established as priorities for the notification and investigation of adverse events related to healthcare, at a national level (CUNHA</w:t>
      </w:r>
      <w:proofErr w:type="gramStart"/>
      <w:r w:rsidRPr="00B968F0">
        <w:rPr>
          <w:rFonts w:ascii="Arial" w:eastAsia="Arial" w:hAnsi="Arial" w:cs="Arial"/>
          <w:lang/>
        </w:rPr>
        <w:t>;GOMES</w:t>
      </w:r>
      <w:proofErr w:type="gramEnd"/>
      <w:r w:rsidRPr="00B968F0">
        <w:rPr>
          <w:rFonts w:ascii="Arial" w:eastAsia="Arial" w:hAnsi="Arial" w:cs="Arial"/>
          <w:lang/>
        </w:rPr>
        <w:t>, 2019).</w:t>
      </w:r>
    </w:p>
    <w:p w:rsidR="00B968F0" w:rsidRPr="007B19F7" w:rsidRDefault="00B968F0" w:rsidP="00B968F0">
      <w:pPr>
        <w:widowControl w:val="0"/>
        <w:jc w:val="both"/>
        <w:rPr>
          <w:rFonts w:ascii="Arial" w:eastAsia="Arial" w:hAnsi="Arial" w:cs="Arial"/>
        </w:rPr>
      </w:pPr>
      <w:r w:rsidRPr="00B968F0">
        <w:rPr>
          <w:rFonts w:ascii="Arial" w:eastAsia="Arial" w:hAnsi="Arial" w:cs="Arial"/>
          <w:lang/>
        </w:rPr>
        <w:t>The care process is not risk-free and healthcare institutions are characterized as complex services, where several factors can contribute to the occurrence of incidents related to healthcare (LANZILLOTTI et al., 2015). However, the complexity of healthcare work increases risks, which require the application of a set of measures to prevent incidents related to care and high-quality care in favor of a patient safety culture in healthcare services (SIMAN et al., 2019). Health services increasingly seek to maintain safe quality behaviors and minimize vulnerabilities in care, however, the magnitude of the occurrence of adverse events in work processes is recurrent in health systems around the world, and has compromised the quality of care and produced impacts on patient safety (OLIVEIRA et al., 2014).</w:t>
      </w:r>
    </w:p>
    <w:p w:rsidR="00B968F0" w:rsidRPr="007B19F7" w:rsidRDefault="00B968F0" w:rsidP="00B968F0">
      <w:pPr>
        <w:pBdr>
          <w:top w:val="nil"/>
          <w:left w:val="nil"/>
          <w:bottom w:val="nil"/>
          <w:right w:val="nil"/>
          <w:between w:val="nil"/>
        </w:pBdr>
        <w:jc w:val="both"/>
        <w:rPr>
          <w:rFonts w:ascii="Arial" w:eastAsia="Arial" w:hAnsi="Arial" w:cs="Arial"/>
        </w:rPr>
      </w:pPr>
      <w:r w:rsidRPr="00B968F0">
        <w:rPr>
          <w:rFonts w:ascii="Arial" w:eastAsia="Arial" w:hAnsi="Arial" w:cs="Arial"/>
          <w:lang/>
        </w:rPr>
        <w:t>WHO</w:t>
      </w:r>
      <w:r w:rsidR="00417539">
        <w:rPr>
          <w:rFonts w:ascii="Arial" w:eastAsia="Arial" w:hAnsi="Arial" w:cs="Arial"/>
          <w:lang/>
        </w:rPr>
        <w:t xml:space="preserve"> (2021)</w:t>
      </w:r>
      <w:r w:rsidRPr="00B968F0">
        <w:rPr>
          <w:rFonts w:ascii="Arial" w:eastAsia="Arial" w:hAnsi="Arial" w:cs="Arial"/>
          <w:lang/>
        </w:rPr>
        <w:t xml:space="preserve"> studies estimate that for every ten patients hospitalized in developed countries, one suf</w:t>
      </w:r>
      <w:r w:rsidR="00417539">
        <w:rPr>
          <w:rFonts w:ascii="Arial" w:eastAsia="Arial" w:hAnsi="Arial" w:cs="Arial"/>
          <w:lang/>
        </w:rPr>
        <w:t>fers when receiving assistance</w:t>
      </w:r>
      <w:r w:rsidRPr="00B968F0">
        <w:rPr>
          <w:rFonts w:ascii="Arial" w:eastAsia="Arial" w:hAnsi="Arial" w:cs="Arial"/>
          <w:lang/>
        </w:rPr>
        <w:t xml:space="preserve">. In Brazil, around 330,536 incidents were reported to Anvisa from March 2014 to June 2019 (SILVA et al., 2020). Among the most frequently reported adverse events in Brazil are: pressure injuries and failures during healthcare, which, in turn, are guided by errors that result in the highest rate of deaths in hospitals (ANVISA, 2021a). However, failures interfere with care, causing injuries to users and interfering with assistance. Therefore, to mitigate the occurrence of damages, the NOTIVISA system, as an important tool for generating information on processes accompanied by errors, allows the provision and analysis of data that enable the improvement and reduction of </w:t>
      </w:r>
      <w:proofErr w:type="gramStart"/>
      <w:r w:rsidRPr="00B968F0">
        <w:rPr>
          <w:rFonts w:ascii="Arial" w:eastAsia="Arial" w:hAnsi="Arial" w:cs="Arial"/>
          <w:lang/>
        </w:rPr>
        <w:t>As</w:t>
      </w:r>
      <w:proofErr w:type="gramEnd"/>
      <w:r w:rsidRPr="00B968F0">
        <w:rPr>
          <w:rFonts w:ascii="Arial" w:eastAsia="Arial" w:hAnsi="Arial" w:cs="Arial"/>
          <w:lang/>
        </w:rPr>
        <w:t xml:space="preserve"> in health services (</w:t>
      </w:r>
      <w:r w:rsidR="00417539">
        <w:rPr>
          <w:rFonts w:ascii="Arial" w:eastAsia="Arial" w:hAnsi="Arial" w:cs="Arial"/>
          <w:lang/>
        </w:rPr>
        <w:t>S</w:t>
      </w:r>
      <w:r w:rsidR="00417539" w:rsidRPr="00B968F0">
        <w:rPr>
          <w:rFonts w:ascii="Arial" w:eastAsia="Arial" w:hAnsi="Arial" w:cs="Arial"/>
          <w:lang/>
        </w:rPr>
        <w:t xml:space="preserve">ilva </w:t>
      </w:r>
      <w:r w:rsidRPr="00B968F0">
        <w:rPr>
          <w:rFonts w:ascii="Arial" w:eastAsia="Arial" w:hAnsi="Arial" w:cs="Arial"/>
          <w:lang/>
        </w:rPr>
        <w:t>et al., 2020). Therefore, it is necessary to analyze the data entered into the system in the State of Pará during the period of this study. This research becomes relevant because it allows us to understand the main flaws in health care reported in the state of Pará, which generate results that favor the creation of barriers against harm to patients, minimizing risks and strengthening actions to prevent harm (S</w:t>
      </w:r>
      <w:r w:rsidR="00417539" w:rsidRPr="00B968F0">
        <w:rPr>
          <w:rFonts w:ascii="Arial" w:eastAsia="Arial" w:hAnsi="Arial" w:cs="Arial"/>
          <w:lang/>
        </w:rPr>
        <w:t>ilva</w:t>
      </w:r>
      <w:r w:rsidRPr="00B968F0">
        <w:rPr>
          <w:rFonts w:ascii="Arial" w:eastAsia="Arial" w:hAnsi="Arial" w:cs="Arial"/>
          <w:lang/>
        </w:rPr>
        <w:t xml:space="preserve"> et al., 2020), and 18 consequently, reducing the period of hospitalization. Thus, enabling the promotion of quality and safe patient care.</w:t>
      </w:r>
    </w:p>
    <w:p w:rsidR="00A06B42" w:rsidRDefault="00A06B42">
      <w:pPr>
        <w:pBdr>
          <w:top w:val="nil"/>
          <w:left w:val="nil"/>
          <w:bottom w:val="nil"/>
          <w:right w:val="nil"/>
          <w:between w:val="nil"/>
        </w:pBdr>
        <w:jc w:val="both"/>
        <w:rPr>
          <w:rFonts w:ascii="Arial" w:eastAsia="Arial" w:hAnsi="Arial" w:cs="Arial"/>
        </w:rPr>
      </w:pPr>
    </w:p>
    <w:p w:rsidR="00A06B42" w:rsidRPr="007B19F7" w:rsidRDefault="0080563D">
      <w:pPr>
        <w:keepNext/>
        <w:pBdr>
          <w:top w:val="nil"/>
          <w:left w:val="nil"/>
          <w:bottom w:val="nil"/>
          <w:right w:val="nil"/>
          <w:between w:val="nil"/>
        </w:pBdr>
        <w:jc w:val="both"/>
        <w:rPr>
          <w:rFonts w:ascii="Arial" w:eastAsia="Arial" w:hAnsi="Arial" w:cs="Arial"/>
          <w:b/>
          <w:sz w:val="22"/>
          <w:szCs w:val="22"/>
        </w:rPr>
      </w:pPr>
      <w:r>
        <w:rPr>
          <w:rFonts w:ascii="Arial" w:eastAsia="Arial" w:hAnsi="Arial" w:cs="Arial"/>
          <w:b/>
          <w:smallCaps/>
          <w:color w:val="000000"/>
          <w:sz w:val="22"/>
          <w:szCs w:val="22"/>
        </w:rPr>
        <w:t xml:space="preserve">2. </w:t>
      </w:r>
      <w:r w:rsidR="00B968F0" w:rsidRPr="00B968F0">
        <w:rPr>
          <w:rFonts w:ascii="Arial" w:eastAsia="Arial" w:hAnsi="Arial" w:cs="Arial"/>
          <w:b/>
          <w:sz w:val="22"/>
          <w:szCs w:val="22"/>
          <w:lang/>
        </w:rPr>
        <w:t>METHODOLOGY</w:t>
      </w:r>
    </w:p>
    <w:p w:rsidR="00A06B42" w:rsidRDefault="00A06B42">
      <w:pPr>
        <w:keepNext/>
        <w:pBdr>
          <w:top w:val="nil"/>
          <w:left w:val="nil"/>
          <w:bottom w:val="nil"/>
          <w:right w:val="nil"/>
          <w:between w:val="nil"/>
        </w:pBdr>
        <w:jc w:val="both"/>
        <w:rPr>
          <w:rFonts w:ascii="Arial" w:eastAsia="Arial" w:hAnsi="Arial" w:cs="Arial"/>
          <w:b/>
          <w:sz w:val="22"/>
          <w:szCs w:val="22"/>
        </w:rPr>
      </w:pPr>
    </w:p>
    <w:p w:rsidR="00B968F0" w:rsidRPr="00B968F0" w:rsidRDefault="00B968F0" w:rsidP="00B968F0">
      <w:pPr>
        <w:pBdr>
          <w:top w:val="nil"/>
          <w:left w:val="nil"/>
          <w:bottom w:val="nil"/>
          <w:right w:val="nil"/>
          <w:between w:val="nil"/>
        </w:pBdr>
        <w:jc w:val="both"/>
        <w:rPr>
          <w:rFonts w:ascii="Arial" w:eastAsia="Arial" w:hAnsi="Arial" w:cs="Arial"/>
          <w:lang/>
        </w:rPr>
      </w:pPr>
      <w:r w:rsidRPr="00B968F0">
        <w:rPr>
          <w:rFonts w:ascii="Arial" w:eastAsia="Arial" w:hAnsi="Arial" w:cs="Arial"/>
          <w:lang/>
        </w:rPr>
        <w:t>This is a cross-sectional study with a quantitative approach, using secondary data registered in NOTIVISA, published and made available on the ANVISA website.</w:t>
      </w:r>
    </w:p>
    <w:p w:rsidR="00B968F0" w:rsidRPr="00B968F0" w:rsidRDefault="00B968F0" w:rsidP="00B968F0">
      <w:pPr>
        <w:pBdr>
          <w:top w:val="nil"/>
          <w:left w:val="nil"/>
          <w:bottom w:val="nil"/>
          <w:right w:val="nil"/>
          <w:between w:val="nil"/>
        </w:pBdr>
        <w:jc w:val="both"/>
        <w:rPr>
          <w:rFonts w:ascii="Arial" w:eastAsia="Arial" w:hAnsi="Arial" w:cs="Arial"/>
          <w:lang/>
        </w:rPr>
      </w:pPr>
      <w:r w:rsidRPr="00B968F0">
        <w:rPr>
          <w:rFonts w:ascii="Arial" w:eastAsia="Arial" w:hAnsi="Arial" w:cs="Arial"/>
          <w:lang/>
        </w:rPr>
        <w:t>For the development of this study, incident notifications made by the Patient Safety Centers (NSP) of health institutions in the State of Pará to the Health Surveillance Notification System (NOTIVISA) were investigated.</w:t>
      </w:r>
    </w:p>
    <w:p w:rsidR="00B968F0" w:rsidRPr="00B968F0" w:rsidRDefault="00B968F0" w:rsidP="00B968F0">
      <w:pPr>
        <w:pBdr>
          <w:top w:val="nil"/>
          <w:left w:val="nil"/>
          <w:bottom w:val="nil"/>
          <w:right w:val="nil"/>
          <w:between w:val="nil"/>
        </w:pBdr>
        <w:jc w:val="both"/>
        <w:rPr>
          <w:rFonts w:ascii="Arial" w:eastAsia="Arial" w:hAnsi="Arial" w:cs="Arial"/>
          <w:lang/>
        </w:rPr>
      </w:pPr>
      <w:r w:rsidRPr="00B968F0">
        <w:rPr>
          <w:rFonts w:ascii="Arial" w:eastAsia="Arial" w:hAnsi="Arial" w:cs="Arial"/>
          <w:lang/>
        </w:rPr>
        <w:t>Reports of incidents related to health care in the state of Pará, in the period from 2020 to 2021, were used as secondary data sources. All data collected from notification bulletins were recorded using the Microsoft Office Excel 2013 platform as an instrument to gather research data. Based on the analysis, the profile of incident notifications carried out in the state of Pará was drawn up.</w:t>
      </w:r>
    </w:p>
    <w:p w:rsidR="00B968F0" w:rsidRPr="007B19F7" w:rsidRDefault="00B968F0" w:rsidP="00B968F0">
      <w:pPr>
        <w:pBdr>
          <w:top w:val="nil"/>
          <w:left w:val="nil"/>
          <w:bottom w:val="nil"/>
          <w:right w:val="nil"/>
          <w:between w:val="nil"/>
        </w:pBdr>
        <w:jc w:val="both"/>
        <w:rPr>
          <w:rFonts w:ascii="Arial" w:eastAsia="Arial" w:hAnsi="Arial" w:cs="Arial"/>
        </w:rPr>
      </w:pPr>
      <w:r w:rsidRPr="00B968F0">
        <w:rPr>
          <w:rFonts w:ascii="Arial" w:eastAsia="Arial" w:hAnsi="Arial" w:cs="Arial"/>
          <w:lang/>
        </w:rPr>
        <w:t>For analysis, the results were tabulated and projected using graphs and tables, in which the variables of interest to the research were grouped and then the number and percentage were calculated using the resources available in this spreadsheet. Therefore, all quantitative elements were analyzed and discussed based on the incident notification report for the period under study.</w:t>
      </w:r>
    </w:p>
    <w:p w:rsidR="00A06B42" w:rsidRDefault="00A06B42">
      <w:pPr>
        <w:pBdr>
          <w:top w:val="nil"/>
          <w:left w:val="nil"/>
          <w:bottom w:val="nil"/>
          <w:right w:val="nil"/>
          <w:between w:val="nil"/>
        </w:pBdr>
        <w:jc w:val="both"/>
        <w:rPr>
          <w:rFonts w:ascii="Arial" w:eastAsia="Arial" w:hAnsi="Arial" w:cs="Arial"/>
          <w:color w:val="000000"/>
        </w:rPr>
      </w:pPr>
    </w:p>
    <w:p w:rsidR="00A06B42" w:rsidRDefault="00A06B42">
      <w:pPr>
        <w:pBdr>
          <w:top w:val="nil"/>
          <w:left w:val="nil"/>
          <w:bottom w:val="nil"/>
          <w:right w:val="nil"/>
          <w:between w:val="nil"/>
        </w:pBdr>
        <w:tabs>
          <w:tab w:val="left" w:pos="1080"/>
        </w:tabs>
        <w:ind w:left="1080" w:hanging="1080"/>
        <w:jc w:val="both"/>
        <w:rPr>
          <w:rFonts w:ascii="Arial" w:eastAsia="Arial" w:hAnsi="Arial" w:cs="Arial"/>
          <w:b/>
          <w:color w:val="000000"/>
        </w:rPr>
      </w:pPr>
    </w:p>
    <w:p w:rsidR="00A06B42" w:rsidRPr="007B19F7" w:rsidRDefault="0080563D">
      <w:pPr>
        <w:jc w:val="both"/>
        <w:rPr>
          <w:rFonts w:ascii="Arial" w:eastAsia="Arial" w:hAnsi="Arial" w:cs="Arial"/>
          <w:b/>
          <w:sz w:val="22"/>
          <w:szCs w:val="22"/>
        </w:rPr>
      </w:pPr>
      <w:r>
        <w:rPr>
          <w:rFonts w:ascii="Arial" w:eastAsia="Arial" w:hAnsi="Arial" w:cs="Arial"/>
          <w:b/>
          <w:sz w:val="22"/>
          <w:szCs w:val="22"/>
        </w:rPr>
        <w:t xml:space="preserve">3. </w:t>
      </w:r>
      <w:r w:rsidR="00B968F0" w:rsidRPr="00B968F0">
        <w:rPr>
          <w:rFonts w:ascii="Arial" w:eastAsia="Arial" w:hAnsi="Arial" w:cs="Arial"/>
          <w:b/>
          <w:sz w:val="22"/>
          <w:szCs w:val="22"/>
          <w:lang/>
        </w:rPr>
        <w:t>RESULTS</w:t>
      </w:r>
    </w:p>
    <w:p w:rsidR="00A06B42" w:rsidRDefault="00A06B42">
      <w:pPr>
        <w:jc w:val="both"/>
        <w:rPr>
          <w:rFonts w:ascii="Arial" w:eastAsia="Arial" w:hAnsi="Arial" w:cs="Arial"/>
          <w:b/>
          <w:sz w:val="22"/>
          <w:szCs w:val="22"/>
        </w:rPr>
      </w:pPr>
    </w:p>
    <w:p w:rsidR="00B968F0" w:rsidRPr="00B968F0" w:rsidRDefault="00B968F0" w:rsidP="00B968F0">
      <w:pPr>
        <w:jc w:val="both"/>
        <w:rPr>
          <w:rFonts w:ascii="Arial" w:eastAsia="Arial" w:hAnsi="Arial" w:cs="Arial"/>
          <w:lang/>
        </w:rPr>
      </w:pPr>
      <w:r w:rsidRPr="00B968F0">
        <w:rPr>
          <w:rFonts w:ascii="Arial" w:eastAsia="Arial" w:hAnsi="Arial" w:cs="Arial"/>
          <w:lang/>
        </w:rPr>
        <w:t>Through data collection, it was possible to verify in the period under study that the state of Pará registered 498 notifications of incidents related to health care to NOTIVISA in the period from 2020 to 2021.</w:t>
      </w:r>
    </w:p>
    <w:p w:rsidR="00B968F0" w:rsidRDefault="00B968F0" w:rsidP="00B968F0">
      <w:pPr>
        <w:jc w:val="both"/>
        <w:rPr>
          <w:rFonts w:ascii="Arial" w:eastAsia="Arial" w:hAnsi="Arial" w:cs="Arial"/>
          <w:lang/>
        </w:rPr>
      </w:pPr>
      <w:r w:rsidRPr="00B968F0">
        <w:rPr>
          <w:rFonts w:ascii="Arial" w:eastAsia="Arial" w:hAnsi="Arial" w:cs="Arial"/>
          <w:lang/>
        </w:rPr>
        <w:t>The incident “failures during healthcare” stands out with 201 notifications (40.36%), followed by “failures involving venous catheter” with 78 notifications (15.66%), “pressure ulcer” with 62 (12.45%) and “failure to identify the patient” with 54 records (10.84%), these being the most frequently reported types of events, as shown in table 1.</w:t>
      </w:r>
    </w:p>
    <w:p w:rsidR="001C35AD" w:rsidRDefault="001C35AD" w:rsidP="00B968F0">
      <w:pPr>
        <w:jc w:val="both"/>
        <w:rPr>
          <w:rFonts w:ascii="Arial" w:eastAsia="Arial" w:hAnsi="Arial" w:cs="Arial"/>
        </w:rPr>
      </w:pPr>
    </w:p>
    <w:p w:rsidR="001C35AD" w:rsidRDefault="001C35AD" w:rsidP="00B968F0">
      <w:pPr>
        <w:jc w:val="both"/>
        <w:rPr>
          <w:rFonts w:ascii="Arial" w:eastAsia="Arial" w:hAnsi="Arial" w:cs="Arial"/>
        </w:rPr>
      </w:pPr>
    </w:p>
    <w:p w:rsidR="001C35AD" w:rsidRDefault="001C35AD" w:rsidP="00B968F0">
      <w:pPr>
        <w:jc w:val="both"/>
        <w:rPr>
          <w:rFonts w:ascii="Arial" w:eastAsia="Arial" w:hAnsi="Arial" w:cs="Arial"/>
        </w:rPr>
      </w:pPr>
    </w:p>
    <w:p w:rsidR="001C35AD" w:rsidRDefault="001C35AD" w:rsidP="00B968F0">
      <w:pPr>
        <w:jc w:val="both"/>
        <w:rPr>
          <w:rFonts w:ascii="Arial" w:eastAsia="Arial" w:hAnsi="Arial" w:cs="Arial"/>
        </w:rPr>
      </w:pPr>
    </w:p>
    <w:p w:rsidR="001C35AD" w:rsidRDefault="001C35AD" w:rsidP="00B968F0">
      <w:pPr>
        <w:jc w:val="both"/>
        <w:rPr>
          <w:rFonts w:ascii="Arial" w:eastAsia="Arial" w:hAnsi="Arial" w:cs="Arial"/>
        </w:rPr>
      </w:pPr>
    </w:p>
    <w:p w:rsidR="00417539" w:rsidRDefault="00417539" w:rsidP="00B968F0">
      <w:pPr>
        <w:jc w:val="both"/>
        <w:rPr>
          <w:rFonts w:ascii="Arial" w:eastAsia="Arial" w:hAnsi="Arial" w:cs="Arial"/>
        </w:rPr>
      </w:pPr>
    </w:p>
    <w:p w:rsidR="001C35AD" w:rsidRDefault="001C35AD" w:rsidP="00B968F0">
      <w:pPr>
        <w:jc w:val="both"/>
        <w:rPr>
          <w:rFonts w:ascii="Arial" w:eastAsia="Arial" w:hAnsi="Arial" w:cs="Arial"/>
        </w:rPr>
      </w:pPr>
    </w:p>
    <w:p w:rsidR="001C35AD" w:rsidRDefault="001C35AD" w:rsidP="00B968F0">
      <w:pPr>
        <w:jc w:val="both"/>
        <w:rPr>
          <w:rFonts w:ascii="Arial" w:eastAsia="Arial" w:hAnsi="Arial" w:cs="Arial"/>
        </w:rPr>
      </w:pPr>
    </w:p>
    <w:p w:rsidR="00A06B42" w:rsidRPr="007B19F7" w:rsidRDefault="0080563D">
      <w:pPr>
        <w:jc w:val="both"/>
        <w:rPr>
          <w:rFonts w:ascii="Arial" w:eastAsia="Arial" w:hAnsi="Arial" w:cs="Arial"/>
        </w:rPr>
      </w:pPr>
      <w:r>
        <w:rPr>
          <w:rFonts w:ascii="Arial" w:eastAsia="Arial" w:hAnsi="Arial" w:cs="Arial"/>
        </w:rPr>
        <w:lastRenderedPageBreak/>
        <w:t>Tab</w:t>
      </w:r>
      <w:r w:rsidR="00B968F0">
        <w:rPr>
          <w:rFonts w:ascii="Arial" w:eastAsia="Arial" w:hAnsi="Arial" w:cs="Arial"/>
        </w:rPr>
        <w:t>le</w:t>
      </w:r>
      <w:r>
        <w:rPr>
          <w:rFonts w:ascii="Arial" w:eastAsia="Arial" w:hAnsi="Arial" w:cs="Arial"/>
        </w:rPr>
        <w:t xml:space="preserve"> 1 – </w:t>
      </w:r>
      <w:r w:rsidR="00B968F0" w:rsidRPr="00B968F0">
        <w:rPr>
          <w:rFonts w:ascii="Arial" w:eastAsia="Arial" w:hAnsi="Arial" w:cs="Arial"/>
          <w:lang/>
        </w:rPr>
        <w:t>Types of incidents most reported in the period, NOTIVISA, Pará, 07/2020 to 06/2021.</w:t>
      </w:r>
    </w:p>
    <w:tbl>
      <w:tblPr>
        <w:tblStyle w:val="a"/>
        <w:tblW w:w="8505" w:type="dxa"/>
        <w:tblInd w:w="0" w:type="dxa"/>
        <w:tblBorders>
          <w:top w:val="single" w:sz="4" w:space="0" w:color="000000"/>
          <w:bottom w:val="single" w:sz="4" w:space="0" w:color="000000"/>
        </w:tblBorders>
        <w:tblLayout w:type="fixed"/>
        <w:tblLook w:val="0400"/>
      </w:tblPr>
      <w:tblGrid>
        <w:gridCol w:w="5205"/>
        <w:gridCol w:w="945"/>
        <w:gridCol w:w="2355"/>
      </w:tblGrid>
      <w:tr w:rsidR="0044487D" w:rsidTr="009B0EA5">
        <w:trPr>
          <w:trHeight w:val="293"/>
        </w:trPr>
        <w:tc>
          <w:tcPr>
            <w:tcW w:w="5205" w:type="dxa"/>
            <w:tcBorders>
              <w:top w:val="single" w:sz="4" w:space="0" w:color="000000"/>
              <w:bottom w:val="single" w:sz="4" w:space="0" w:color="000000"/>
            </w:tcBorders>
            <w:shd w:val="clear" w:color="auto" w:fill="auto"/>
            <w:vAlign w:val="bottom"/>
          </w:tcPr>
          <w:p w:rsidR="0044487D" w:rsidRPr="00B968F0" w:rsidRDefault="00B968F0" w:rsidP="00B968F0">
            <w:pPr>
              <w:spacing w:line="360" w:lineRule="auto"/>
              <w:ind w:left="567"/>
              <w:jc w:val="center"/>
              <w:rPr>
                <w:rFonts w:ascii="Times New Roman" w:eastAsia="Times New Roman" w:hAnsi="Times New Roman" w:cs="Times New Roman"/>
                <w:b/>
                <w:sz w:val="24"/>
                <w:szCs w:val="24"/>
                <w:lang w:val="pt-BR"/>
              </w:rPr>
            </w:pPr>
            <w:r w:rsidRPr="00B968F0">
              <w:rPr>
                <w:rFonts w:ascii="Times New Roman" w:eastAsia="Times New Roman" w:hAnsi="Times New Roman" w:cs="Times New Roman"/>
                <w:b/>
                <w:sz w:val="24"/>
                <w:szCs w:val="24"/>
                <w:lang/>
              </w:rPr>
              <w:t>INCIDENT</w:t>
            </w:r>
          </w:p>
        </w:tc>
        <w:tc>
          <w:tcPr>
            <w:tcW w:w="945" w:type="dxa"/>
            <w:tcBorders>
              <w:top w:val="single" w:sz="4" w:space="0" w:color="000000"/>
              <w:bottom w:val="single" w:sz="4" w:space="0" w:color="000000"/>
            </w:tcBorders>
            <w:shd w:val="clear" w:color="auto" w:fill="auto"/>
            <w:vAlign w:val="bottom"/>
          </w:tcPr>
          <w:p w:rsidR="0044487D" w:rsidRDefault="0044487D" w:rsidP="009B0EA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2355" w:type="dxa"/>
            <w:tcBorders>
              <w:top w:val="single" w:sz="4" w:space="0" w:color="000000"/>
              <w:bottom w:val="single" w:sz="4" w:space="0" w:color="000000"/>
            </w:tcBorders>
            <w:shd w:val="clear" w:color="auto" w:fill="auto"/>
            <w:vAlign w:val="bottom"/>
          </w:tcPr>
          <w:p w:rsidR="0044487D" w:rsidRDefault="0044487D" w:rsidP="009B0EA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87D" w:rsidTr="009B0EA5">
        <w:trPr>
          <w:trHeight w:val="323"/>
        </w:trPr>
        <w:tc>
          <w:tcPr>
            <w:tcW w:w="5205" w:type="dxa"/>
            <w:shd w:val="clear" w:color="auto" w:fill="auto"/>
            <w:vAlign w:val="bottom"/>
          </w:tcPr>
          <w:p w:rsidR="0044487D" w:rsidRPr="007B19F7" w:rsidRDefault="001A34E7" w:rsidP="009B0EA5">
            <w:pPr>
              <w:spacing w:line="360" w:lineRule="auto"/>
              <w:ind w:left="567" w:right="-195"/>
              <w:rPr>
                <w:rFonts w:ascii="Times New Roman" w:eastAsia="Times New Roman" w:hAnsi="Times New Roman" w:cs="Times New Roman"/>
                <w:sz w:val="24"/>
                <w:szCs w:val="24"/>
                <w:lang w:val="pt-BR"/>
              </w:rPr>
            </w:pPr>
            <w:r w:rsidRPr="007B19F7">
              <w:rPr>
                <w:rFonts w:ascii="Times New Roman" w:eastAsia="Times New Roman" w:hAnsi="Times New Roman" w:cs="Times New Roman"/>
                <w:sz w:val="24"/>
                <w:szCs w:val="24"/>
                <w:lang w:val="pt-BR"/>
              </w:rPr>
              <w:t>Fa</w:t>
            </w:r>
            <w:r>
              <w:rPr>
                <w:rFonts w:ascii="Times New Roman" w:eastAsia="Times New Roman" w:hAnsi="Times New Roman" w:cs="Times New Roman"/>
                <w:sz w:val="24"/>
                <w:szCs w:val="24"/>
                <w:lang w:val="pt-BR"/>
              </w:rPr>
              <w:t>il</w:t>
            </w:r>
            <w:r w:rsidR="0086322E">
              <w:rPr>
                <w:rFonts w:ascii="Times New Roman" w:eastAsia="Times New Roman" w:hAnsi="Times New Roman" w:cs="Times New Roman"/>
                <w:sz w:val="24"/>
                <w:szCs w:val="24"/>
                <w:lang w:val="pt-BR"/>
              </w:rPr>
              <w:t>ures</w:t>
            </w:r>
            <w:r w:rsidR="00CA3478">
              <w:rPr>
                <w:rFonts w:ascii="Times New Roman" w:eastAsia="Times New Roman" w:hAnsi="Times New Roman" w:cs="Times New Roman"/>
                <w:sz w:val="24"/>
                <w:szCs w:val="24"/>
                <w:lang w:val="pt-BR"/>
              </w:rPr>
              <w:t xml:space="preserve"> during health care </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40,36%</w:t>
            </w:r>
          </w:p>
        </w:tc>
      </w:tr>
      <w:tr w:rsidR="0044487D" w:rsidTr="009B0EA5">
        <w:trPr>
          <w:trHeight w:val="323"/>
        </w:trPr>
        <w:tc>
          <w:tcPr>
            <w:tcW w:w="5205" w:type="dxa"/>
            <w:shd w:val="clear" w:color="auto" w:fill="auto"/>
            <w:vAlign w:val="bottom"/>
          </w:tcPr>
          <w:p w:rsidR="0044487D" w:rsidRDefault="0044487D"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A3478">
              <w:rPr>
                <w:rFonts w:ascii="Times New Roman" w:eastAsia="Times New Roman" w:hAnsi="Times New Roman" w:cs="Times New Roman"/>
                <w:sz w:val="24"/>
                <w:szCs w:val="24"/>
              </w:rPr>
              <w:t>ai</w:t>
            </w:r>
            <w:r w:rsidR="001A34E7">
              <w:rPr>
                <w:rFonts w:ascii="Times New Roman" w:eastAsia="Times New Roman" w:hAnsi="Times New Roman" w:cs="Times New Roman"/>
                <w:sz w:val="24"/>
                <w:szCs w:val="24"/>
              </w:rPr>
              <w:t>l</w:t>
            </w:r>
            <w:r w:rsidR="0086322E">
              <w:rPr>
                <w:rFonts w:ascii="Times New Roman" w:eastAsia="Times New Roman" w:hAnsi="Times New Roman" w:cs="Times New Roman"/>
                <w:sz w:val="24"/>
                <w:szCs w:val="24"/>
              </w:rPr>
              <w:t>ures</w:t>
            </w:r>
            <w:r w:rsidR="00CA3478">
              <w:rPr>
                <w:rFonts w:ascii="Times New Roman" w:eastAsia="Times New Roman" w:hAnsi="Times New Roman" w:cs="Times New Roman"/>
                <w:sz w:val="24"/>
                <w:szCs w:val="24"/>
              </w:rPr>
              <w:t xml:space="preserve"> involving venous catheter</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15,66%</w:t>
            </w:r>
          </w:p>
        </w:tc>
      </w:tr>
      <w:tr w:rsidR="0044487D" w:rsidTr="009B0EA5">
        <w:trPr>
          <w:trHeight w:val="323"/>
        </w:trPr>
        <w:tc>
          <w:tcPr>
            <w:tcW w:w="5205" w:type="dxa"/>
            <w:shd w:val="clear" w:color="auto" w:fill="auto"/>
            <w:vAlign w:val="bottom"/>
          </w:tcPr>
          <w:p w:rsidR="0044487D" w:rsidRDefault="00CA3478"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Pressure ulcer</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p>
        </w:tc>
      </w:tr>
      <w:tr w:rsidR="0044487D" w:rsidTr="009B0EA5">
        <w:trPr>
          <w:trHeight w:val="323"/>
        </w:trPr>
        <w:tc>
          <w:tcPr>
            <w:tcW w:w="5205" w:type="dxa"/>
            <w:shd w:val="clear" w:color="auto" w:fill="auto"/>
            <w:vAlign w:val="bottom"/>
          </w:tcPr>
          <w:p w:rsidR="0044487D" w:rsidRPr="00CA3478" w:rsidRDefault="0044487D" w:rsidP="009B0EA5">
            <w:pPr>
              <w:spacing w:line="360" w:lineRule="auto"/>
              <w:ind w:left="567" w:right="-195"/>
              <w:rPr>
                <w:rFonts w:ascii="Times New Roman" w:eastAsia="Times New Roman" w:hAnsi="Times New Roman" w:cs="Times New Roman"/>
                <w:sz w:val="24"/>
                <w:szCs w:val="24"/>
              </w:rPr>
            </w:pPr>
            <w:r w:rsidRPr="00CA3478">
              <w:rPr>
                <w:rFonts w:ascii="Times New Roman" w:eastAsia="Times New Roman" w:hAnsi="Times New Roman" w:cs="Times New Roman"/>
                <w:sz w:val="24"/>
                <w:szCs w:val="24"/>
              </w:rPr>
              <w:t>F</w:t>
            </w:r>
            <w:r w:rsidR="00CA3478" w:rsidRPr="00CA3478">
              <w:rPr>
                <w:rFonts w:ascii="Times New Roman" w:eastAsia="Times New Roman" w:hAnsi="Times New Roman" w:cs="Times New Roman"/>
                <w:sz w:val="24"/>
                <w:szCs w:val="24"/>
              </w:rPr>
              <w:t>ai</w:t>
            </w:r>
            <w:r w:rsidR="001A34E7">
              <w:rPr>
                <w:rFonts w:ascii="Times New Roman" w:eastAsia="Times New Roman" w:hAnsi="Times New Roman" w:cs="Times New Roman"/>
                <w:sz w:val="24"/>
                <w:szCs w:val="24"/>
              </w:rPr>
              <w:t>l</w:t>
            </w:r>
            <w:r w:rsidR="0086322E">
              <w:rPr>
                <w:rFonts w:ascii="Times New Roman" w:eastAsia="Times New Roman" w:hAnsi="Times New Roman" w:cs="Times New Roman"/>
                <w:sz w:val="24"/>
                <w:szCs w:val="24"/>
              </w:rPr>
              <w:t>ures</w:t>
            </w:r>
            <w:r w:rsidR="00CA3478" w:rsidRPr="00CA3478">
              <w:rPr>
                <w:rFonts w:ascii="Times New Roman" w:eastAsia="Times New Roman" w:hAnsi="Times New Roman" w:cs="Times New Roman"/>
                <w:sz w:val="24"/>
                <w:szCs w:val="24"/>
              </w:rPr>
              <w:t xml:space="preserve"> to identif</w:t>
            </w:r>
            <w:r w:rsidR="00CA3478">
              <w:rPr>
                <w:rFonts w:ascii="Times New Roman" w:eastAsia="Times New Roman" w:hAnsi="Times New Roman" w:cs="Times New Roman"/>
                <w:sz w:val="24"/>
                <w:szCs w:val="24"/>
              </w:rPr>
              <w:t>ication</w:t>
            </w:r>
            <w:r w:rsidR="00CA3478" w:rsidRPr="00CA3478">
              <w:rPr>
                <w:rFonts w:ascii="Times New Roman" w:eastAsia="Times New Roman" w:hAnsi="Times New Roman" w:cs="Times New Roman"/>
                <w:sz w:val="24"/>
                <w:szCs w:val="24"/>
              </w:rPr>
              <w:t xml:space="preserve"> the p</w:t>
            </w:r>
            <w:r w:rsidR="00CA3478">
              <w:rPr>
                <w:rFonts w:ascii="Times New Roman" w:eastAsia="Times New Roman" w:hAnsi="Times New Roman" w:cs="Times New Roman"/>
                <w:sz w:val="24"/>
                <w:szCs w:val="24"/>
              </w:rPr>
              <w:t>atient</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10,84%</w:t>
            </w:r>
          </w:p>
        </w:tc>
      </w:tr>
      <w:tr w:rsidR="0044487D" w:rsidTr="009B0EA5">
        <w:trPr>
          <w:trHeight w:val="323"/>
        </w:trPr>
        <w:tc>
          <w:tcPr>
            <w:tcW w:w="5205" w:type="dxa"/>
            <w:shd w:val="clear" w:color="auto" w:fill="auto"/>
            <w:vAlign w:val="bottom"/>
          </w:tcPr>
          <w:p w:rsidR="0044487D" w:rsidRDefault="00CA3478"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Patient fall</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r>
      <w:tr w:rsidR="0044487D" w:rsidTr="009B0EA5">
        <w:trPr>
          <w:trHeight w:val="323"/>
        </w:trPr>
        <w:tc>
          <w:tcPr>
            <w:tcW w:w="5205" w:type="dxa"/>
            <w:shd w:val="clear" w:color="auto" w:fill="auto"/>
            <w:vAlign w:val="bottom"/>
          </w:tcPr>
          <w:p w:rsidR="0044487D" w:rsidRDefault="00CA3478"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Patient accidents</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5,62%</w:t>
            </w:r>
          </w:p>
        </w:tc>
      </w:tr>
      <w:tr w:rsidR="0044487D" w:rsidTr="009B0EA5">
        <w:trPr>
          <w:trHeight w:val="323"/>
        </w:trPr>
        <w:tc>
          <w:tcPr>
            <w:tcW w:w="5205" w:type="dxa"/>
            <w:shd w:val="clear" w:color="auto" w:fill="auto"/>
            <w:vAlign w:val="bottom"/>
          </w:tcPr>
          <w:p w:rsidR="0044487D" w:rsidRDefault="006E0BD6"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failure </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r>
      <w:tr w:rsidR="0044487D" w:rsidTr="009B0EA5">
        <w:trPr>
          <w:trHeight w:val="323"/>
        </w:trPr>
        <w:tc>
          <w:tcPr>
            <w:tcW w:w="5205" w:type="dxa"/>
            <w:shd w:val="clear" w:color="auto" w:fill="auto"/>
            <w:vAlign w:val="bottom"/>
          </w:tcPr>
          <w:p w:rsidR="0044487D" w:rsidRDefault="006E0BD6"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Accidental endotrocheal </w:t>
            </w:r>
            <w:r w:rsidR="001A34E7">
              <w:rPr>
                <w:rFonts w:ascii="Times New Roman" w:eastAsia="Times New Roman" w:hAnsi="Times New Roman" w:cs="Times New Roman"/>
                <w:sz w:val="24"/>
                <w:szCs w:val="24"/>
              </w:rPr>
              <w:t>extubation</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44487D" w:rsidTr="009B0EA5">
        <w:trPr>
          <w:trHeight w:val="323"/>
        </w:trPr>
        <w:tc>
          <w:tcPr>
            <w:tcW w:w="5205" w:type="dxa"/>
            <w:shd w:val="clear" w:color="auto" w:fill="auto"/>
            <w:vAlign w:val="bottom"/>
          </w:tcPr>
          <w:p w:rsidR="0044487D" w:rsidRDefault="0044487D"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34E7">
              <w:rPr>
                <w:rFonts w:ascii="Times New Roman" w:eastAsia="Times New Roman" w:hAnsi="Times New Roman" w:cs="Times New Roman"/>
                <w:sz w:val="24"/>
                <w:szCs w:val="24"/>
              </w:rPr>
              <w:t>ail</w:t>
            </w:r>
            <w:r w:rsidR="0086322E">
              <w:rPr>
                <w:rFonts w:ascii="Times New Roman" w:eastAsia="Times New Roman" w:hAnsi="Times New Roman" w:cs="Times New Roman"/>
                <w:sz w:val="24"/>
                <w:szCs w:val="24"/>
              </w:rPr>
              <w:t>ures</w:t>
            </w:r>
            <w:r w:rsidR="001A34E7">
              <w:rPr>
                <w:rFonts w:ascii="Times New Roman" w:eastAsia="Times New Roman" w:hAnsi="Times New Roman" w:cs="Times New Roman"/>
                <w:sz w:val="24"/>
                <w:szCs w:val="24"/>
              </w:rPr>
              <w:t xml:space="preserve"> in administrative activities </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44487D" w:rsidTr="009B0EA5">
        <w:trPr>
          <w:trHeight w:val="323"/>
        </w:trPr>
        <w:tc>
          <w:tcPr>
            <w:tcW w:w="5205" w:type="dxa"/>
            <w:shd w:val="clear" w:color="auto" w:fill="auto"/>
            <w:vAlign w:val="bottom"/>
          </w:tcPr>
          <w:p w:rsidR="0044487D" w:rsidRDefault="0044487D"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34E7">
              <w:rPr>
                <w:rFonts w:ascii="Times New Roman" w:eastAsia="Times New Roman" w:hAnsi="Times New Roman" w:cs="Times New Roman"/>
                <w:sz w:val="24"/>
                <w:szCs w:val="24"/>
              </w:rPr>
              <w:t>ail</w:t>
            </w:r>
            <w:r w:rsidR="0086322E">
              <w:rPr>
                <w:rFonts w:ascii="Times New Roman" w:eastAsia="Times New Roman" w:hAnsi="Times New Roman" w:cs="Times New Roman"/>
                <w:sz w:val="24"/>
                <w:szCs w:val="24"/>
              </w:rPr>
              <w:t>ures</w:t>
            </w:r>
            <w:r w:rsidR="001A34E7">
              <w:rPr>
                <w:rFonts w:ascii="Times New Roman" w:eastAsia="Times New Roman" w:hAnsi="Times New Roman" w:cs="Times New Roman"/>
                <w:sz w:val="24"/>
                <w:szCs w:val="24"/>
              </w:rPr>
              <w:t xml:space="preserve"> during surgical procedure </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r>
      <w:tr w:rsidR="0044487D" w:rsidTr="009B0EA5">
        <w:trPr>
          <w:trHeight w:val="323"/>
        </w:trPr>
        <w:tc>
          <w:tcPr>
            <w:tcW w:w="5205" w:type="dxa"/>
            <w:shd w:val="clear" w:color="auto" w:fill="auto"/>
            <w:vAlign w:val="bottom"/>
          </w:tcPr>
          <w:p w:rsidR="0044487D" w:rsidRPr="007B19F7" w:rsidRDefault="0044487D" w:rsidP="009B0EA5">
            <w:pPr>
              <w:spacing w:line="360" w:lineRule="auto"/>
              <w:ind w:left="567" w:right="-195"/>
              <w:rPr>
                <w:rFonts w:ascii="Times New Roman" w:eastAsia="Times New Roman" w:hAnsi="Times New Roman" w:cs="Times New Roman"/>
                <w:sz w:val="24"/>
                <w:szCs w:val="24"/>
                <w:lang w:val="pt-BR"/>
              </w:rPr>
            </w:pPr>
            <w:r w:rsidRPr="007B19F7">
              <w:rPr>
                <w:rFonts w:ascii="Times New Roman" w:eastAsia="Times New Roman" w:hAnsi="Times New Roman" w:cs="Times New Roman"/>
                <w:sz w:val="24"/>
                <w:szCs w:val="24"/>
                <w:lang w:val="pt-BR"/>
              </w:rPr>
              <w:t>F</w:t>
            </w:r>
            <w:r w:rsidR="001A34E7">
              <w:rPr>
                <w:rFonts w:ascii="Times New Roman" w:eastAsia="Times New Roman" w:hAnsi="Times New Roman" w:cs="Times New Roman"/>
                <w:sz w:val="24"/>
                <w:szCs w:val="24"/>
                <w:lang w:val="pt-BR"/>
              </w:rPr>
              <w:t>ail</w:t>
            </w:r>
            <w:r w:rsidR="0086322E">
              <w:rPr>
                <w:rFonts w:ascii="Times New Roman" w:eastAsia="Times New Roman" w:hAnsi="Times New Roman" w:cs="Times New Roman"/>
                <w:sz w:val="24"/>
                <w:szCs w:val="24"/>
                <w:lang w:val="pt-BR"/>
              </w:rPr>
              <w:t>ures</w:t>
            </w:r>
            <w:r w:rsidR="001A34E7">
              <w:rPr>
                <w:rFonts w:ascii="Times New Roman" w:eastAsia="Times New Roman" w:hAnsi="Times New Roman" w:cs="Times New Roman"/>
                <w:sz w:val="24"/>
                <w:szCs w:val="24"/>
                <w:lang w:val="pt-BR"/>
              </w:rPr>
              <w:t xml:space="preserve"> in diet administration</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r>
      <w:tr w:rsidR="0044487D" w:rsidTr="009B0EA5">
        <w:trPr>
          <w:trHeight w:val="323"/>
        </w:trPr>
        <w:tc>
          <w:tcPr>
            <w:tcW w:w="5205" w:type="dxa"/>
            <w:shd w:val="clear" w:color="auto" w:fill="auto"/>
            <w:vAlign w:val="bottom"/>
          </w:tcPr>
          <w:p w:rsidR="0044487D" w:rsidRDefault="0044487D"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A34E7">
              <w:rPr>
                <w:rFonts w:ascii="Times New Roman" w:eastAsia="Times New Roman" w:hAnsi="Times New Roman" w:cs="Times New Roman"/>
                <w:sz w:val="24"/>
                <w:szCs w:val="24"/>
              </w:rPr>
              <w:t>ronchoaspiration</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r>
      <w:tr w:rsidR="0044487D" w:rsidTr="009B0EA5">
        <w:trPr>
          <w:trHeight w:val="323"/>
        </w:trPr>
        <w:tc>
          <w:tcPr>
            <w:tcW w:w="5205" w:type="dxa"/>
            <w:shd w:val="clear" w:color="auto" w:fill="auto"/>
            <w:vAlign w:val="bottom"/>
          </w:tcPr>
          <w:p w:rsidR="0044487D" w:rsidRPr="001A34E7" w:rsidRDefault="0044487D" w:rsidP="009B0EA5">
            <w:pPr>
              <w:spacing w:line="360" w:lineRule="auto"/>
              <w:ind w:left="567" w:right="-195"/>
              <w:rPr>
                <w:rFonts w:ascii="Times New Roman" w:eastAsia="Times New Roman" w:hAnsi="Times New Roman" w:cs="Times New Roman"/>
                <w:sz w:val="24"/>
                <w:szCs w:val="24"/>
              </w:rPr>
            </w:pPr>
            <w:r w:rsidRPr="001A34E7">
              <w:rPr>
                <w:rFonts w:ascii="Times New Roman" w:eastAsia="Times New Roman" w:hAnsi="Times New Roman" w:cs="Times New Roman"/>
                <w:sz w:val="24"/>
                <w:szCs w:val="24"/>
              </w:rPr>
              <w:t>F</w:t>
            </w:r>
            <w:r w:rsidR="001A34E7" w:rsidRPr="001A34E7">
              <w:rPr>
                <w:rFonts w:ascii="Times New Roman" w:eastAsia="Times New Roman" w:hAnsi="Times New Roman" w:cs="Times New Roman"/>
                <w:sz w:val="24"/>
                <w:szCs w:val="24"/>
              </w:rPr>
              <w:t>ail</w:t>
            </w:r>
            <w:r w:rsidR="0086322E">
              <w:rPr>
                <w:rFonts w:ascii="Times New Roman" w:eastAsia="Times New Roman" w:hAnsi="Times New Roman" w:cs="Times New Roman"/>
                <w:sz w:val="24"/>
                <w:szCs w:val="24"/>
              </w:rPr>
              <w:t>ures</w:t>
            </w:r>
            <w:r w:rsidR="001A34E7" w:rsidRPr="001A34E7">
              <w:rPr>
                <w:rFonts w:ascii="Times New Roman" w:eastAsia="Times New Roman" w:hAnsi="Times New Roman" w:cs="Times New Roman"/>
                <w:sz w:val="24"/>
                <w:szCs w:val="24"/>
              </w:rPr>
              <w:t xml:space="preserve"> in the administration o</w:t>
            </w:r>
            <w:r w:rsidR="001A34E7">
              <w:rPr>
                <w:rFonts w:ascii="Times New Roman" w:eastAsia="Times New Roman" w:hAnsi="Times New Roman" w:cs="Times New Roman"/>
                <w:sz w:val="24"/>
                <w:szCs w:val="24"/>
              </w:rPr>
              <w:t>f O2 and medical gases</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r>
      <w:tr w:rsidR="0044487D" w:rsidTr="009B0EA5">
        <w:trPr>
          <w:trHeight w:val="323"/>
        </w:trPr>
        <w:tc>
          <w:tcPr>
            <w:tcW w:w="5205" w:type="dxa"/>
            <w:shd w:val="clear" w:color="auto" w:fill="auto"/>
            <w:vAlign w:val="bottom"/>
          </w:tcPr>
          <w:p w:rsidR="0044487D" w:rsidRDefault="001A34E7"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Burns</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r>
      <w:tr w:rsidR="0044487D" w:rsidTr="009B0EA5">
        <w:trPr>
          <w:trHeight w:val="323"/>
        </w:trPr>
        <w:tc>
          <w:tcPr>
            <w:tcW w:w="5205" w:type="dxa"/>
            <w:shd w:val="clear" w:color="auto" w:fill="auto"/>
            <w:vAlign w:val="bottom"/>
          </w:tcPr>
          <w:p w:rsidR="0044487D" w:rsidRDefault="001A34E7"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Patient evasion</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44487D" w:rsidTr="009B0EA5">
        <w:trPr>
          <w:trHeight w:val="323"/>
        </w:trPr>
        <w:tc>
          <w:tcPr>
            <w:tcW w:w="5205" w:type="dxa"/>
            <w:shd w:val="clear" w:color="auto" w:fill="auto"/>
            <w:vAlign w:val="bottom"/>
          </w:tcPr>
          <w:p w:rsidR="0044487D" w:rsidRDefault="0044487D"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34E7">
              <w:rPr>
                <w:rFonts w:ascii="Times New Roman" w:eastAsia="Times New Roman" w:hAnsi="Times New Roman" w:cs="Times New Roman"/>
                <w:sz w:val="24"/>
                <w:szCs w:val="24"/>
              </w:rPr>
              <w:t>ail</w:t>
            </w:r>
            <w:r w:rsidR="0086322E">
              <w:rPr>
                <w:rFonts w:ascii="Times New Roman" w:eastAsia="Times New Roman" w:hAnsi="Times New Roman" w:cs="Times New Roman"/>
                <w:sz w:val="24"/>
                <w:szCs w:val="24"/>
              </w:rPr>
              <w:t>ures</w:t>
            </w:r>
            <w:r w:rsidR="001A34E7">
              <w:rPr>
                <w:rFonts w:ascii="Times New Roman" w:eastAsia="Times New Roman" w:hAnsi="Times New Roman" w:cs="Times New Roman"/>
                <w:sz w:val="24"/>
                <w:szCs w:val="24"/>
              </w:rPr>
              <w:t xml:space="preserve"> involving probes </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44487D" w:rsidTr="009B0EA5">
        <w:trPr>
          <w:trHeight w:val="323"/>
        </w:trPr>
        <w:tc>
          <w:tcPr>
            <w:tcW w:w="5205" w:type="dxa"/>
            <w:shd w:val="clear" w:color="auto" w:fill="auto"/>
            <w:vAlign w:val="bottom"/>
          </w:tcPr>
          <w:p w:rsidR="0044487D" w:rsidRDefault="001A34E7" w:rsidP="009B0EA5">
            <w:pPr>
              <w:spacing w:line="360" w:lineRule="auto"/>
              <w:ind w:left="567"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burn</w:t>
            </w:r>
          </w:p>
        </w:tc>
        <w:tc>
          <w:tcPr>
            <w:tcW w:w="945" w:type="dxa"/>
            <w:shd w:val="clear" w:color="auto" w:fill="auto"/>
            <w:vAlign w:val="bottom"/>
          </w:tcPr>
          <w:p w:rsidR="0044487D" w:rsidRDefault="0044487D" w:rsidP="009B0E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auto"/>
            <w:vAlign w:val="bottom"/>
          </w:tcPr>
          <w:p w:rsidR="0044487D" w:rsidRDefault="0044487D" w:rsidP="009B0E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44487D" w:rsidTr="009B0EA5">
        <w:trPr>
          <w:trHeight w:val="323"/>
        </w:trPr>
        <w:tc>
          <w:tcPr>
            <w:tcW w:w="5205" w:type="dxa"/>
            <w:shd w:val="clear" w:color="auto" w:fill="auto"/>
            <w:vAlign w:val="bottom"/>
          </w:tcPr>
          <w:p w:rsidR="0044487D" w:rsidRDefault="0044487D" w:rsidP="009B0EA5">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r>
              <w:rPr>
                <w:rFonts w:ascii="Times New Roman" w:eastAsia="Times New Roman" w:hAnsi="Times New Roman" w:cs="Times New Roman"/>
                <w:sz w:val="24"/>
                <w:szCs w:val="24"/>
              </w:rPr>
              <w:t xml:space="preserve">                                       </w:t>
            </w:r>
          </w:p>
        </w:tc>
        <w:tc>
          <w:tcPr>
            <w:tcW w:w="945" w:type="dxa"/>
            <w:shd w:val="clear" w:color="auto" w:fill="auto"/>
            <w:vAlign w:val="bottom"/>
          </w:tcPr>
          <w:p w:rsidR="0044487D" w:rsidRDefault="0044487D" w:rsidP="009B0EA5">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498  </w:t>
            </w:r>
          </w:p>
        </w:tc>
        <w:tc>
          <w:tcPr>
            <w:tcW w:w="2355" w:type="dxa"/>
            <w:shd w:val="clear" w:color="auto" w:fill="auto"/>
            <w:vAlign w:val="bottom"/>
          </w:tcPr>
          <w:p w:rsidR="0044487D" w:rsidRDefault="0044487D" w:rsidP="009B0EA5">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A06B42" w:rsidRDefault="00A06B42">
      <w:pPr>
        <w:jc w:val="both"/>
        <w:rPr>
          <w:rFonts w:ascii="Arial" w:eastAsia="Arial" w:hAnsi="Arial" w:cs="Arial"/>
        </w:rPr>
      </w:pPr>
    </w:p>
    <w:p w:rsidR="007D6645" w:rsidRPr="007D6645" w:rsidRDefault="00B968F0" w:rsidP="00B968F0">
      <w:pPr>
        <w:jc w:val="both"/>
        <w:rPr>
          <w:rFonts w:ascii="Arial" w:eastAsia="Arial" w:hAnsi="Arial" w:cs="Arial"/>
        </w:rPr>
      </w:pPr>
      <w:r w:rsidRPr="0033446E">
        <w:rPr>
          <w:rFonts w:ascii="Arial" w:eastAsia="Arial" w:hAnsi="Arial" w:cs="Arial"/>
          <w:lang/>
        </w:rPr>
        <w:t>It can be seen that the months that received the most notifications for incidents during healthcare in Pará were the months of January and May 2021, both with 61 notifications to NOTIVISA. On the other hand, the month of February 2021 had the fewest notifications, with only 16 records (graph 1).</w:t>
      </w:r>
    </w:p>
    <w:p w:rsidR="00B968F0" w:rsidRPr="0033446E" w:rsidRDefault="00B968F0" w:rsidP="00B968F0">
      <w:pPr>
        <w:jc w:val="both"/>
        <w:rPr>
          <w:rFonts w:ascii="Arial" w:eastAsia="Arial" w:hAnsi="Arial" w:cs="Arial"/>
        </w:rPr>
      </w:pPr>
      <w:r w:rsidRPr="0033446E">
        <w:rPr>
          <w:rFonts w:ascii="Arial" w:eastAsia="Arial" w:hAnsi="Arial" w:cs="Arial"/>
          <w:lang/>
        </w:rPr>
        <w:t>Graph 1 – Frequency of incidents reported per month, NOTIVISA, Pará, 07/2020 to 06/2021.</w:t>
      </w:r>
    </w:p>
    <w:p w:rsidR="00A06B42" w:rsidRPr="007B19F7" w:rsidRDefault="006F6327">
      <w:pPr>
        <w:jc w:val="both"/>
        <w:rPr>
          <w:rFonts w:ascii="Arial" w:eastAsia="Arial" w:hAnsi="Arial" w:cs="Arial"/>
        </w:rPr>
      </w:pPr>
      <w:r>
        <w:rPr>
          <w:noProof/>
          <w:lang w:val="pt-BR"/>
        </w:rPr>
        <w:drawing>
          <wp:inline distT="0" distB="0" distL="0" distR="0">
            <wp:extent cx="5171222" cy="2593075"/>
            <wp:effectExtent l="19050" t="0" r="10378" b="0"/>
            <wp:docPr id="1505053497"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968F0" w:rsidRPr="00B968F0">
        <w:rPr>
          <w:rFonts w:ascii="Arial" w:eastAsia="Arial" w:hAnsi="Arial" w:cs="Arial"/>
          <w:lang/>
        </w:rPr>
        <w:t xml:space="preserve"> </w:t>
      </w:r>
    </w:p>
    <w:p w:rsidR="00A06B42" w:rsidRDefault="00A06B42">
      <w:pPr>
        <w:jc w:val="both"/>
        <w:rPr>
          <w:rFonts w:ascii="Arial" w:eastAsia="Arial" w:hAnsi="Arial" w:cs="Arial"/>
          <w:sz w:val="22"/>
          <w:szCs w:val="22"/>
        </w:rPr>
      </w:pPr>
    </w:p>
    <w:p w:rsidR="00B968F0" w:rsidRPr="007B19F7" w:rsidRDefault="00B968F0" w:rsidP="00B968F0">
      <w:pPr>
        <w:jc w:val="both"/>
        <w:rPr>
          <w:rFonts w:ascii="Arial" w:eastAsia="Arial" w:hAnsi="Arial" w:cs="Arial"/>
        </w:rPr>
      </w:pPr>
      <w:r w:rsidRPr="00B968F0">
        <w:rPr>
          <w:rFonts w:ascii="Arial" w:eastAsia="Arial" w:hAnsi="Arial" w:cs="Arial"/>
          <w:lang/>
        </w:rPr>
        <w:t>It is clear that the majority of incidents related to health care reported to NOTIVISA occurred in hospitals, with emphasis on notifications in Failures during health care (199) (42.16%), followed by Failures involving venous catheter (78) (16.53%), Pressure ulcer (62) (13.14%), Failure to identify the patient (54) (11.44%), Patient fall (29) (6.14%), Patient accidents (25) (5.30%) and Documentation failure (16) (3.39%).</w:t>
      </w:r>
    </w:p>
    <w:p w:rsidR="00A06B42" w:rsidRDefault="00A06B42">
      <w:pPr>
        <w:jc w:val="both"/>
        <w:rPr>
          <w:rFonts w:ascii="Arial" w:eastAsia="Arial" w:hAnsi="Arial" w:cs="Arial"/>
        </w:rPr>
      </w:pPr>
    </w:p>
    <w:p w:rsidR="00B968F0" w:rsidRPr="007B19F7" w:rsidRDefault="00B968F0" w:rsidP="00B968F0">
      <w:pPr>
        <w:jc w:val="both"/>
        <w:rPr>
          <w:rFonts w:ascii="Arial" w:eastAsia="Arial" w:hAnsi="Arial" w:cs="Arial"/>
        </w:rPr>
      </w:pPr>
      <w:r w:rsidRPr="00B968F0">
        <w:rPr>
          <w:rFonts w:ascii="Arial" w:eastAsia="Arial" w:hAnsi="Arial" w:cs="Arial"/>
          <w:lang/>
        </w:rPr>
        <w:t xml:space="preserve">Regarding the outpatient service, the incidents of </w:t>
      </w:r>
      <w:r w:rsidR="007B19F7" w:rsidRPr="00B968F0">
        <w:rPr>
          <w:rFonts w:ascii="Arial" w:eastAsia="Arial" w:hAnsi="Arial" w:cs="Arial"/>
          <w:lang/>
        </w:rPr>
        <w:t>patient</w:t>
      </w:r>
      <w:r w:rsidRPr="00B968F0">
        <w:rPr>
          <w:rFonts w:ascii="Arial" w:eastAsia="Arial" w:hAnsi="Arial" w:cs="Arial"/>
          <w:lang/>
        </w:rPr>
        <w:t xml:space="preserve"> accidents (</w:t>
      </w:r>
      <w:r w:rsidR="00B417BE">
        <w:rPr>
          <w:rFonts w:ascii="Arial" w:eastAsia="Arial" w:hAnsi="Arial" w:cs="Arial"/>
          <w:lang/>
        </w:rPr>
        <w:t>5</w:t>
      </w:r>
      <w:r w:rsidRPr="00B968F0">
        <w:rPr>
          <w:rFonts w:ascii="Arial" w:eastAsia="Arial" w:hAnsi="Arial" w:cs="Arial"/>
          <w:lang/>
        </w:rPr>
        <w:t>) (</w:t>
      </w:r>
      <w:r w:rsidR="00B417BE">
        <w:rPr>
          <w:rFonts w:ascii="Arial" w:eastAsia="Arial" w:hAnsi="Arial" w:cs="Arial"/>
          <w:lang/>
        </w:rPr>
        <w:t>1.06</w:t>
      </w:r>
      <w:r w:rsidRPr="00B968F0">
        <w:rPr>
          <w:rFonts w:ascii="Arial" w:eastAsia="Arial" w:hAnsi="Arial" w:cs="Arial"/>
          <w:lang/>
        </w:rPr>
        <w:t>%) and Patient falls (2) (0.42%) stand out. In other types of services, failures during healthcare were the most reported event, with 2 records (0.42%).</w:t>
      </w:r>
    </w:p>
    <w:p w:rsidR="00A06B42" w:rsidRDefault="00A06B42">
      <w:pPr>
        <w:jc w:val="both"/>
        <w:rPr>
          <w:rFonts w:ascii="Arial" w:eastAsia="Arial" w:hAnsi="Arial" w:cs="Arial"/>
        </w:rPr>
      </w:pPr>
    </w:p>
    <w:p w:rsidR="00572471" w:rsidRPr="007B19F7" w:rsidRDefault="00572471" w:rsidP="00572471">
      <w:pPr>
        <w:jc w:val="both"/>
        <w:rPr>
          <w:rFonts w:ascii="Arial" w:eastAsia="Arial" w:hAnsi="Arial" w:cs="Arial"/>
        </w:rPr>
      </w:pPr>
      <w:r w:rsidRPr="00572471">
        <w:rPr>
          <w:rFonts w:ascii="Arial" w:eastAsia="Arial" w:hAnsi="Arial" w:cs="Arial"/>
          <w:lang/>
        </w:rPr>
        <w:t>In clinics, the incidents that stand out most are Bronchoaspiration and Failures in the administration of O</w:t>
      </w:r>
      <w:r w:rsidRPr="00572471">
        <w:rPr>
          <w:rFonts w:ascii="Cambria Math" w:eastAsia="Arial" w:hAnsi="Cambria Math" w:cs="Cambria Math"/>
          <w:lang/>
        </w:rPr>
        <w:t>₂</w:t>
      </w:r>
      <w:r w:rsidRPr="00572471">
        <w:rPr>
          <w:rFonts w:ascii="Arial" w:eastAsia="Arial" w:hAnsi="Arial" w:cs="Arial"/>
          <w:lang/>
        </w:rPr>
        <w:t xml:space="preserve"> or medicinal gases, both with 1 notification (0.21%).</w:t>
      </w:r>
    </w:p>
    <w:p w:rsidR="00A06B42" w:rsidRDefault="00A06B42">
      <w:pPr>
        <w:jc w:val="both"/>
        <w:rPr>
          <w:rFonts w:ascii="Arial" w:eastAsia="Arial" w:hAnsi="Arial" w:cs="Arial"/>
        </w:rPr>
      </w:pPr>
    </w:p>
    <w:p w:rsidR="00A06B42" w:rsidRPr="007B19F7" w:rsidRDefault="00572471">
      <w:pPr>
        <w:jc w:val="both"/>
        <w:rPr>
          <w:rFonts w:ascii="Arial" w:eastAsia="Arial" w:hAnsi="Arial" w:cs="Arial"/>
        </w:rPr>
      </w:pPr>
      <w:r w:rsidRPr="00572471">
        <w:rPr>
          <w:rFonts w:ascii="Arial" w:eastAsia="Arial" w:hAnsi="Arial" w:cs="Arial"/>
          <w:lang/>
        </w:rPr>
        <w:t>In this variable, the notification of 26 incidents was not specified. They are: Accidental endotracheal extubation (7), Failures in administrative activities (6), Failures in administering diets (3), Failures during surgical procedures (3), Bronchoaspiration (1), Failures in the administration of O2 or medicinal gases (1), Burns (2), Patient evasion (1), Failures involving probes (1) and Patient burns (1), as described in table 2</w:t>
      </w:r>
      <w:r>
        <w:rPr>
          <w:rFonts w:ascii="Arial" w:eastAsia="Arial" w:hAnsi="Arial" w:cs="Arial"/>
        </w:rPr>
        <w:t>.</w:t>
      </w:r>
    </w:p>
    <w:p w:rsidR="00A06B42" w:rsidRDefault="00A06B42">
      <w:pPr>
        <w:jc w:val="both"/>
        <w:rPr>
          <w:rFonts w:ascii="Arial" w:eastAsia="Arial" w:hAnsi="Arial" w:cs="Arial"/>
        </w:rPr>
      </w:pPr>
    </w:p>
    <w:p w:rsidR="00572471" w:rsidRPr="007B19F7" w:rsidRDefault="00572471" w:rsidP="00572471">
      <w:pPr>
        <w:jc w:val="both"/>
        <w:rPr>
          <w:rFonts w:ascii="Arial" w:eastAsia="Arial" w:hAnsi="Arial" w:cs="Arial"/>
        </w:rPr>
      </w:pPr>
      <w:r w:rsidRPr="00572471">
        <w:rPr>
          <w:rFonts w:ascii="Arial" w:eastAsia="Arial" w:hAnsi="Arial" w:cs="Arial"/>
          <w:lang/>
        </w:rPr>
        <w:t>Table 2 – Incidents reported according to type of health service, NOTIVISA, Pará, 07/2020 to 06/2021.</w:t>
      </w:r>
    </w:p>
    <w:tbl>
      <w:tblPr>
        <w:tblW w:w="9345" w:type="dxa"/>
        <w:tblBorders>
          <w:top w:val="single" w:sz="4" w:space="0" w:color="000000"/>
          <w:bottom w:val="single" w:sz="4" w:space="0" w:color="000000"/>
        </w:tblBorders>
        <w:tblLayout w:type="fixed"/>
        <w:tblLook w:val="0400"/>
      </w:tblPr>
      <w:tblGrid>
        <w:gridCol w:w="2025"/>
        <w:gridCol w:w="4680"/>
        <w:gridCol w:w="615"/>
        <w:gridCol w:w="2025"/>
      </w:tblGrid>
      <w:tr w:rsidR="0044487D" w:rsidTr="009B0EA5">
        <w:trPr>
          <w:trHeight w:val="330"/>
        </w:trPr>
        <w:tc>
          <w:tcPr>
            <w:tcW w:w="2025" w:type="dxa"/>
            <w:tcBorders>
              <w:top w:val="single" w:sz="4" w:space="0" w:color="000000"/>
              <w:bottom w:val="single" w:sz="4" w:space="0" w:color="000000"/>
            </w:tcBorders>
            <w:shd w:val="clear" w:color="auto" w:fill="auto"/>
            <w:vAlign w:val="bottom"/>
          </w:tcPr>
          <w:p w:rsidR="0044487D" w:rsidRPr="00572471" w:rsidRDefault="00572471" w:rsidP="009B0EA5">
            <w:pPr>
              <w:rPr>
                <w:rFonts w:ascii="Times New Roman" w:eastAsia="Times New Roman" w:hAnsi="Times New Roman" w:cs="Times New Roman"/>
                <w:b/>
                <w:sz w:val="24"/>
                <w:szCs w:val="24"/>
                <w:lang w:val="pt-BR"/>
              </w:rPr>
            </w:pPr>
            <w:r w:rsidRPr="00572471">
              <w:rPr>
                <w:rFonts w:ascii="Times New Roman" w:eastAsia="Times New Roman" w:hAnsi="Times New Roman" w:cs="Times New Roman"/>
                <w:b/>
                <w:sz w:val="24"/>
                <w:szCs w:val="24"/>
                <w:lang/>
              </w:rPr>
              <w:t>SERVICE</w:t>
            </w:r>
          </w:p>
        </w:tc>
        <w:tc>
          <w:tcPr>
            <w:tcW w:w="4680" w:type="dxa"/>
            <w:tcBorders>
              <w:top w:val="single" w:sz="4" w:space="0" w:color="000000"/>
              <w:bottom w:val="single" w:sz="4" w:space="0" w:color="000000"/>
            </w:tcBorders>
            <w:shd w:val="clear" w:color="auto" w:fill="auto"/>
            <w:vAlign w:val="bottom"/>
          </w:tcPr>
          <w:p w:rsidR="0044487D" w:rsidRDefault="0044487D" w:rsidP="009B0E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INCIDENT</w:t>
            </w:r>
          </w:p>
        </w:tc>
        <w:tc>
          <w:tcPr>
            <w:tcW w:w="615" w:type="dxa"/>
            <w:tcBorders>
              <w:top w:val="single" w:sz="4" w:space="0" w:color="000000"/>
              <w:bottom w:val="single" w:sz="4" w:space="0" w:color="000000"/>
            </w:tcBorders>
            <w:shd w:val="clear" w:color="auto" w:fill="auto"/>
            <w:vAlign w:val="bottom"/>
          </w:tcPr>
          <w:p w:rsidR="0044487D" w:rsidRDefault="0044487D" w:rsidP="009B0E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2025" w:type="dxa"/>
            <w:tcBorders>
              <w:top w:val="single" w:sz="4" w:space="0" w:color="000000"/>
              <w:bottom w:val="single" w:sz="4" w:space="0" w:color="000000"/>
            </w:tcBorders>
            <w:shd w:val="clear" w:color="auto" w:fill="auto"/>
            <w:vAlign w:val="bottom"/>
          </w:tcPr>
          <w:p w:rsidR="0044487D" w:rsidRDefault="0044487D" w:rsidP="009B0E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Pr="007B19F7" w:rsidRDefault="0044487D" w:rsidP="009B0EA5">
            <w:pPr>
              <w:keepLines/>
              <w:widowControl w:val="0"/>
              <w:spacing w:line="360" w:lineRule="auto"/>
              <w:jc w:val="both"/>
              <w:rPr>
                <w:rFonts w:ascii="Times New Roman" w:eastAsia="Times New Roman" w:hAnsi="Times New Roman" w:cs="Times New Roman"/>
                <w:sz w:val="24"/>
                <w:szCs w:val="24"/>
                <w:lang w:val="pt-BR"/>
              </w:rPr>
            </w:pPr>
            <w:r w:rsidRPr="007B19F7">
              <w:rPr>
                <w:rFonts w:ascii="Times New Roman" w:eastAsia="Times New Roman" w:hAnsi="Times New Roman" w:cs="Times New Roman"/>
                <w:sz w:val="24"/>
                <w:szCs w:val="24"/>
                <w:lang w:val="pt-BR"/>
              </w:rPr>
              <w:t>Fa</w:t>
            </w:r>
            <w:r w:rsidR="0086322E">
              <w:rPr>
                <w:rFonts w:ascii="Times New Roman" w:eastAsia="Times New Roman" w:hAnsi="Times New Roman" w:cs="Times New Roman"/>
                <w:sz w:val="24"/>
                <w:szCs w:val="24"/>
                <w:lang w:val="pt-BR"/>
              </w:rPr>
              <w:t>ilures during health care</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42,16%</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Default="0086322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Failures involving venous catheter</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16,53%</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Default="0086322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Pressure ulcer</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13,14%</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Pr="0086322E" w:rsidRDefault="0086322E" w:rsidP="009B0EA5">
            <w:pPr>
              <w:keepLines/>
              <w:widowControl w:val="0"/>
              <w:spacing w:line="360" w:lineRule="auto"/>
              <w:jc w:val="both"/>
              <w:rPr>
                <w:rFonts w:ascii="Times New Roman" w:eastAsia="Times New Roman" w:hAnsi="Times New Roman" w:cs="Times New Roman"/>
                <w:sz w:val="24"/>
                <w:szCs w:val="24"/>
              </w:rPr>
            </w:pPr>
            <w:r w:rsidRPr="00CA3478">
              <w:rPr>
                <w:rFonts w:ascii="Times New Roman" w:eastAsia="Times New Roman" w:hAnsi="Times New Roman" w:cs="Times New Roman"/>
                <w:sz w:val="24"/>
                <w:szCs w:val="24"/>
              </w:rPr>
              <w:t>Fai</w:t>
            </w:r>
            <w:r>
              <w:rPr>
                <w:rFonts w:ascii="Times New Roman" w:eastAsia="Times New Roman" w:hAnsi="Times New Roman" w:cs="Times New Roman"/>
                <w:sz w:val="24"/>
                <w:szCs w:val="24"/>
              </w:rPr>
              <w:t>lures</w:t>
            </w:r>
            <w:r w:rsidRPr="00CA3478">
              <w:rPr>
                <w:rFonts w:ascii="Times New Roman" w:eastAsia="Times New Roman" w:hAnsi="Times New Roman" w:cs="Times New Roman"/>
                <w:sz w:val="24"/>
                <w:szCs w:val="24"/>
              </w:rPr>
              <w:t xml:space="preserve"> to identif</w:t>
            </w:r>
            <w:r>
              <w:rPr>
                <w:rFonts w:ascii="Times New Roman" w:eastAsia="Times New Roman" w:hAnsi="Times New Roman" w:cs="Times New Roman"/>
                <w:sz w:val="24"/>
                <w:szCs w:val="24"/>
              </w:rPr>
              <w:t>ication</w:t>
            </w:r>
            <w:r w:rsidRPr="00CA3478">
              <w:rPr>
                <w:rFonts w:ascii="Times New Roman" w:eastAsia="Times New Roman" w:hAnsi="Times New Roman" w:cs="Times New Roman"/>
                <w:sz w:val="24"/>
                <w:szCs w:val="24"/>
              </w:rPr>
              <w:t xml:space="preserve"> the p</w:t>
            </w:r>
            <w:r>
              <w:rPr>
                <w:rFonts w:ascii="Times New Roman" w:eastAsia="Times New Roman" w:hAnsi="Times New Roman" w:cs="Times New Roman"/>
                <w:sz w:val="24"/>
                <w:szCs w:val="24"/>
              </w:rPr>
              <w:t>atient</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11,44%</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Default="0086322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 fall</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Default="0086322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 accidents</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4680" w:type="dxa"/>
            <w:shd w:val="clear" w:color="auto" w:fill="auto"/>
            <w:vAlign w:val="bottom"/>
          </w:tcPr>
          <w:p w:rsidR="0044487D" w:rsidRDefault="0086322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failure</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r>
      <w:tr w:rsidR="0044487D" w:rsidTr="009B0EA5">
        <w:trPr>
          <w:trHeight w:val="330"/>
        </w:trPr>
        <w:tc>
          <w:tcPr>
            <w:tcW w:w="2025" w:type="dxa"/>
            <w:shd w:val="clear" w:color="auto" w:fill="auto"/>
            <w:vAlign w:val="bottom"/>
          </w:tcPr>
          <w:p w:rsidR="0044487D" w:rsidRPr="00572471" w:rsidRDefault="00572471" w:rsidP="009B0EA5">
            <w:pPr>
              <w:keepLines/>
              <w:widowControl w:val="0"/>
              <w:spacing w:line="360" w:lineRule="auto"/>
              <w:rPr>
                <w:rFonts w:ascii="Times New Roman" w:eastAsia="Times New Roman" w:hAnsi="Times New Roman" w:cs="Times New Roman"/>
                <w:sz w:val="24"/>
                <w:szCs w:val="24"/>
                <w:lang w:val="pt-BR"/>
              </w:rPr>
            </w:pPr>
            <w:r w:rsidRPr="00572471">
              <w:rPr>
                <w:rFonts w:ascii="Times New Roman" w:eastAsia="Times New Roman" w:hAnsi="Times New Roman" w:cs="Times New Roman"/>
                <w:sz w:val="24"/>
                <w:szCs w:val="24"/>
                <w:lang/>
              </w:rPr>
              <w:t>Outpatient</w:t>
            </w:r>
          </w:p>
        </w:tc>
        <w:tc>
          <w:tcPr>
            <w:tcW w:w="4680" w:type="dxa"/>
            <w:shd w:val="clear" w:color="auto" w:fill="auto"/>
            <w:vAlign w:val="bottom"/>
          </w:tcPr>
          <w:p w:rsidR="0044487D" w:rsidRDefault="00B417B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 fall</w:t>
            </w:r>
          </w:p>
        </w:tc>
        <w:tc>
          <w:tcPr>
            <w:tcW w:w="615" w:type="dxa"/>
            <w:shd w:val="clear" w:color="auto" w:fill="auto"/>
            <w:vAlign w:val="bottom"/>
          </w:tcPr>
          <w:p w:rsidR="0044487D" w:rsidRDefault="00B417BE"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25" w:type="dxa"/>
            <w:shd w:val="clear" w:color="auto" w:fill="auto"/>
            <w:vAlign w:val="bottom"/>
          </w:tcPr>
          <w:p w:rsidR="0044487D" w:rsidRDefault="00B417BE"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4487D">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44487D">
              <w:rPr>
                <w:rFonts w:ascii="Times New Roman" w:eastAsia="Times New Roman" w:hAnsi="Times New Roman" w:cs="Times New Roman"/>
                <w:sz w:val="24"/>
                <w:szCs w:val="24"/>
              </w:rPr>
              <w:t>%</w:t>
            </w:r>
          </w:p>
        </w:tc>
      </w:tr>
      <w:tr w:rsidR="0044487D" w:rsidTr="009B0EA5">
        <w:trPr>
          <w:trHeight w:val="330"/>
        </w:trPr>
        <w:tc>
          <w:tcPr>
            <w:tcW w:w="2025" w:type="dxa"/>
            <w:shd w:val="clear" w:color="auto" w:fill="auto"/>
            <w:vAlign w:val="bottom"/>
          </w:tcPr>
          <w:p w:rsidR="0044487D" w:rsidRPr="00572471" w:rsidRDefault="00572471" w:rsidP="009B0EA5">
            <w:pPr>
              <w:keepLines/>
              <w:widowControl w:val="0"/>
              <w:spacing w:line="360" w:lineRule="auto"/>
              <w:rPr>
                <w:rFonts w:ascii="Times New Roman" w:eastAsia="Times New Roman" w:hAnsi="Times New Roman" w:cs="Times New Roman"/>
                <w:sz w:val="24"/>
                <w:szCs w:val="24"/>
                <w:lang w:val="pt-BR"/>
              </w:rPr>
            </w:pPr>
            <w:r w:rsidRPr="00572471">
              <w:rPr>
                <w:rFonts w:ascii="Times New Roman" w:eastAsia="Times New Roman" w:hAnsi="Times New Roman" w:cs="Times New Roman"/>
                <w:sz w:val="24"/>
                <w:szCs w:val="24"/>
                <w:lang/>
              </w:rPr>
              <w:t>Others</w:t>
            </w:r>
          </w:p>
        </w:tc>
        <w:tc>
          <w:tcPr>
            <w:tcW w:w="4680" w:type="dxa"/>
            <w:shd w:val="clear" w:color="auto" w:fill="auto"/>
            <w:vAlign w:val="bottom"/>
          </w:tcPr>
          <w:p w:rsidR="0044487D" w:rsidRDefault="003B3208"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during assistance</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44487D" w:rsidTr="009B0EA5">
        <w:trPr>
          <w:trHeight w:val="330"/>
        </w:trPr>
        <w:tc>
          <w:tcPr>
            <w:tcW w:w="2025" w:type="dxa"/>
            <w:shd w:val="clear" w:color="auto" w:fill="auto"/>
            <w:vAlign w:val="bottom"/>
          </w:tcPr>
          <w:p w:rsidR="0044487D" w:rsidRPr="00572471" w:rsidRDefault="00572471" w:rsidP="009B0EA5">
            <w:pPr>
              <w:keepLines/>
              <w:widowControl w:val="0"/>
              <w:spacing w:line="360" w:lineRule="auto"/>
              <w:rPr>
                <w:rFonts w:ascii="Times New Roman" w:eastAsia="Times New Roman" w:hAnsi="Times New Roman" w:cs="Times New Roman"/>
                <w:sz w:val="24"/>
                <w:szCs w:val="24"/>
                <w:lang w:val="pt-BR"/>
              </w:rPr>
            </w:pPr>
            <w:r w:rsidRPr="00572471">
              <w:rPr>
                <w:rFonts w:ascii="Times New Roman" w:eastAsia="Times New Roman" w:hAnsi="Times New Roman" w:cs="Times New Roman"/>
                <w:sz w:val="24"/>
                <w:szCs w:val="24"/>
                <w:lang/>
              </w:rPr>
              <w:t>Clinics</w:t>
            </w:r>
          </w:p>
        </w:tc>
        <w:tc>
          <w:tcPr>
            <w:tcW w:w="4680" w:type="dxa"/>
            <w:shd w:val="clear" w:color="auto" w:fill="auto"/>
            <w:vAlign w:val="bottom"/>
          </w:tcPr>
          <w:p w:rsidR="0044487D" w:rsidRDefault="0086322E" w:rsidP="009B0EA5">
            <w:pPr>
              <w:keepLines/>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Bronchoaspiration</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44487D" w:rsidTr="009B0EA5">
        <w:trPr>
          <w:trHeight w:val="330"/>
        </w:trPr>
        <w:tc>
          <w:tcPr>
            <w:tcW w:w="2025" w:type="dxa"/>
            <w:shd w:val="clear" w:color="auto" w:fill="auto"/>
            <w:vAlign w:val="bottom"/>
          </w:tcPr>
          <w:p w:rsidR="0044487D" w:rsidRPr="00572471" w:rsidRDefault="00572471" w:rsidP="009B0EA5">
            <w:pPr>
              <w:keepLines/>
              <w:widowControl w:val="0"/>
              <w:spacing w:line="360" w:lineRule="auto"/>
              <w:rPr>
                <w:rFonts w:ascii="Times New Roman" w:eastAsia="Times New Roman" w:hAnsi="Times New Roman" w:cs="Times New Roman"/>
                <w:sz w:val="24"/>
                <w:szCs w:val="24"/>
                <w:lang w:val="pt-BR"/>
              </w:rPr>
            </w:pPr>
            <w:r w:rsidRPr="00572471">
              <w:rPr>
                <w:rFonts w:ascii="Times New Roman" w:eastAsia="Times New Roman" w:hAnsi="Times New Roman" w:cs="Times New Roman"/>
                <w:sz w:val="24"/>
                <w:szCs w:val="24"/>
                <w:lang/>
              </w:rPr>
              <w:t>Clinics</w:t>
            </w:r>
          </w:p>
        </w:tc>
        <w:tc>
          <w:tcPr>
            <w:tcW w:w="4680" w:type="dxa"/>
            <w:shd w:val="clear" w:color="auto" w:fill="auto"/>
            <w:vAlign w:val="bottom"/>
          </w:tcPr>
          <w:p w:rsidR="0044487D" w:rsidRPr="003B3208" w:rsidRDefault="0044487D" w:rsidP="009B0EA5">
            <w:pPr>
              <w:keepLines/>
              <w:widowControl w:val="0"/>
              <w:spacing w:line="360" w:lineRule="auto"/>
              <w:jc w:val="both"/>
              <w:rPr>
                <w:rFonts w:ascii="Times New Roman" w:eastAsia="Times New Roman" w:hAnsi="Times New Roman" w:cs="Times New Roman"/>
                <w:sz w:val="24"/>
                <w:szCs w:val="24"/>
              </w:rPr>
            </w:pPr>
          </w:p>
          <w:p w:rsidR="0044487D" w:rsidRPr="003B3208" w:rsidRDefault="003B3208" w:rsidP="009B0EA5">
            <w:pPr>
              <w:keepLines/>
              <w:widowControl w:val="0"/>
              <w:spacing w:line="360" w:lineRule="auto"/>
              <w:jc w:val="both"/>
              <w:rPr>
                <w:rFonts w:ascii="Times New Roman" w:eastAsia="Times New Roman" w:hAnsi="Times New Roman" w:cs="Times New Roman"/>
                <w:sz w:val="24"/>
                <w:szCs w:val="24"/>
              </w:rPr>
            </w:pPr>
            <w:r w:rsidRPr="001A34E7">
              <w:rPr>
                <w:rFonts w:ascii="Times New Roman" w:eastAsia="Times New Roman" w:hAnsi="Times New Roman" w:cs="Times New Roman"/>
                <w:sz w:val="24"/>
                <w:szCs w:val="24"/>
              </w:rPr>
              <w:t>Fail</w:t>
            </w:r>
            <w:r>
              <w:rPr>
                <w:rFonts w:ascii="Times New Roman" w:eastAsia="Times New Roman" w:hAnsi="Times New Roman" w:cs="Times New Roman"/>
                <w:sz w:val="24"/>
                <w:szCs w:val="24"/>
              </w:rPr>
              <w:t>ures</w:t>
            </w:r>
            <w:r w:rsidRPr="001A34E7">
              <w:rPr>
                <w:rFonts w:ascii="Times New Roman" w:eastAsia="Times New Roman" w:hAnsi="Times New Roman" w:cs="Times New Roman"/>
                <w:sz w:val="24"/>
                <w:szCs w:val="24"/>
              </w:rPr>
              <w:t xml:space="preserve"> in the administration o</w:t>
            </w:r>
            <w:r>
              <w:rPr>
                <w:rFonts w:ascii="Times New Roman" w:eastAsia="Times New Roman" w:hAnsi="Times New Roman" w:cs="Times New Roman"/>
                <w:sz w:val="24"/>
                <w:szCs w:val="24"/>
              </w:rPr>
              <w:t>f O2 and medical gases</w:t>
            </w: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44487D" w:rsidTr="009B0EA5">
        <w:trPr>
          <w:trHeight w:val="330"/>
        </w:trPr>
        <w:tc>
          <w:tcPr>
            <w:tcW w:w="2025" w:type="dxa"/>
            <w:shd w:val="clear" w:color="auto" w:fill="auto"/>
            <w:vAlign w:val="bottom"/>
          </w:tcPr>
          <w:p w:rsidR="0044487D" w:rsidRPr="00572471" w:rsidRDefault="00572471" w:rsidP="009B0EA5">
            <w:pPr>
              <w:keepLines/>
              <w:widowControl w:val="0"/>
              <w:spacing w:line="360" w:lineRule="auto"/>
              <w:rPr>
                <w:rFonts w:ascii="Times New Roman" w:eastAsia="Times New Roman" w:hAnsi="Times New Roman" w:cs="Times New Roman"/>
                <w:b/>
                <w:sz w:val="24"/>
                <w:szCs w:val="24"/>
                <w:lang w:val="pt-BR"/>
              </w:rPr>
            </w:pPr>
            <w:r w:rsidRPr="00572471">
              <w:rPr>
                <w:rFonts w:ascii="Times New Roman" w:eastAsia="Times New Roman" w:hAnsi="Times New Roman" w:cs="Times New Roman"/>
                <w:b/>
                <w:sz w:val="24"/>
                <w:szCs w:val="24"/>
                <w:lang/>
              </w:rPr>
              <w:t>Not specified</w:t>
            </w:r>
          </w:p>
        </w:tc>
        <w:tc>
          <w:tcPr>
            <w:tcW w:w="4680" w:type="dxa"/>
            <w:shd w:val="clear" w:color="auto" w:fill="auto"/>
            <w:vAlign w:val="bottom"/>
          </w:tcPr>
          <w:p w:rsidR="0044487D" w:rsidRDefault="0044487D" w:rsidP="009B0EA5">
            <w:pPr>
              <w:keepLines/>
              <w:widowControl w:val="0"/>
              <w:spacing w:line="360" w:lineRule="auto"/>
              <w:jc w:val="both"/>
              <w:rPr>
                <w:rFonts w:ascii="Times New Roman" w:eastAsia="Times New Roman" w:hAnsi="Times New Roman" w:cs="Times New Roman"/>
                <w:sz w:val="24"/>
                <w:szCs w:val="24"/>
              </w:rPr>
            </w:pP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p>
        </w:tc>
        <w:tc>
          <w:tcPr>
            <w:tcW w:w="4680" w:type="dxa"/>
            <w:shd w:val="clear" w:color="auto" w:fill="auto"/>
            <w:vAlign w:val="bottom"/>
          </w:tcPr>
          <w:p w:rsidR="0044487D" w:rsidRDefault="0044487D" w:rsidP="009B0EA5">
            <w:pPr>
              <w:keepLines/>
              <w:widowControl w:val="0"/>
              <w:spacing w:line="360" w:lineRule="auto"/>
              <w:jc w:val="both"/>
              <w:rPr>
                <w:rFonts w:ascii="Times New Roman" w:eastAsia="Times New Roman" w:hAnsi="Times New Roman" w:cs="Times New Roman"/>
                <w:sz w:val="24"/>
                <w:szCs w:val="24"/>
              </w:rPr>
            </w:pPr>
          </w:p>
        </w:tc>
        <w:tc>
          <w:tcPr>
            <w:tcW w:w="61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p>
        </w:tc>
      </w:tr>
      <w:tr w:rsidR="0044487D" w:rsidTr="009B0EA5">
        <w:trPr>
          <w:trHeight w:val="330"/>
        </w:trPr>
        <w:tc>
          <w:tcPr>
            <w:tcW w:w="202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4680" w:type="dxa"/>
            <w:shd w:val="clear" w:color="auto" w:fill="auto"/>
            <w:vAlign w:val="bottom"/>
          </w:tcPr>
          <w:p w:rsidR="0044487D" w:rsidRDefault="0044487D" w:rsidP="009B0EA5">
            <w:pPr>
              <w:keepLines/>
              <w:widowControl w:val="0"/>
              <w:spacing w:line="360" w:lineRule="auto"/>
              <w:jc w:val="both"/>
              <w:rPr>
                <w:rFonts w:ascii="Times New Roman" w:eastAsia="Times New Roman" w:hAnsi="Times New Roman" w:cs="Times New Roman"/>
                <w:sz w:val="24"/>
                <w:szCs w:val="24"/>
              </w:rPr>
            </w:pPr>
          </w:p>
        </w:tc>
        <w:tc>
          <w:tcPr>
            <w:tcW w:w="615" w:type="dxa"/>
            <w:shd w:val="clear" w:color="auto" w:fill="auto"/>
            <w:vAlign w:val="bottom"/>
          </w:tcPr>
          <w:p w:rsidR="0044487D" w:rsidRDefault="0044487D" w:rsidP="009B0EA5">
            <w:pPr>
              <w:keepLines/>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c>
          <w:tcPr>
            <w:tcW w:w="2025" w:type="dxa"/>
            <w:shd w:val="clear" w:color="auto" w:fill="auto"/>
            <w:vAlign w:val="bottom"/>
          </w:tcPr>
          <w:p w:rsidR="0044487D" w:rsidRDefault="0044487D" w:rsidP="009B0EA5">
            <w:pPr>
              <w:keepLines/>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D6645" w:rsidRDefault="007D6645">
      <w:pPr>
        <w:spacing w:before="240" w:after="240"/>
        <w:jc w:val="both"/>
        <w:rPr>
          <w:rFonts w:ascii="Arial" w:eastAsia="Arial" w:hAnsi="Arial" w:cs="Arial"/>
        </w:rPr>
      </w:pPr>
    </w:p>
    <w:p w:rsidR="007D6645" w:rsidRDefault="007D6645">
      <w:pPr>
        <w:spacing w:before="240" w:after="240"/>
        <w:jc w:val="both"/>
        <w:rPr>
          <w:rFonts w:ascii="Arial" w:eastAsia="Arial" w:hAnsi="Arial" w:cs="Arial"/>
        </w:rPr>
      </w:pPr>
    </w:p>
    <w:p w:rsidR="00A06B42" w:rsidRPr="007B19F7" w:rsidRDefault="0080563D">
      <w:pPr>
        <w:spacing w:before="240" w:after="240"/>
        <w:jc w:val="both"/>
        <w:rPr>
          <w:rFonts w:ascii="Arial" w:eastAsia="Arial" w:hAnsi="Arial" w:cs="Arial"/>
        </w:rPr>
      </w:pPr>
      <w:r>
        <w:rPr>
          <w:rFonts w:ascii="Arial" w:eastAsia="Arial" w:hAnsi="Arial" w:cs="Arial"/>
        </w:rPr>
        <w:t xml:space="preserve">3.4 </w:t>
      </w:r>
      <w:r w:rsidR="00572471" w:rsidRPr="00572471">
        <w:rPr>
          <w:rFonts w:ascii="Arial" w:eastAsia="Arial" w:hAnsi="Arial" w:cs="Arial"/>
          <w:lang/>
        </w:rPr>
        <w:t>Number of incidents according to degree of damage</w:t>
      </w:r>
      <w:r>
        <w:rPr>
          <w:rFonts w:ascii="Arial" w:eastAsia="Arial" w:hAnsi="Arial" w:cs="Arial"/>
        </w:rPr>
        <w:t>.</w:t>
      </w:r>
    </w:p>
    <w:p w:rsidR="00572471" w:rsidRPr="007B19F7" w:rsidRDefault="00572471" w:rsidP="00572471">
      <w:pPr>
        <w:spacing w:before="240" w:after="240"/>
        <w:jc w:val="both"/>
        <w:rPr>
          <w:rFonts w:ascii="Arial" w:eastAsia="Arial" w:hAnsi="Arial" w:cs="Arial"/>
        </w:rPr>
      </w:pPr>
      <w:r w:rsidRPr="00572471">
        <w:rPr>
          <w:rFonts w:ascii="Arial" w:eastAsia="Arial" w:hAnsi="Arial" w:cs="Arial"/>
          <w:lang/>
        </w:rPr>
        <w:t>In the total of 498 incident notifications, it was observed that Mild Damage stood out with 288 notifications (57.83%), followed by No damage with 82 notifications (16.47%), Moderate damage with 77 records (15.46%), Death with 28 incident records (5.62%) and Serious with 23 notifications (4.62%) (graph 2).</w:t>
      </w:r>
    </w:p>
    <w:p w:rsidR="00572471" w:rsidRPr="007B19F7" w:rsidRDefault="00572471" w:rsidP="00572471">
      <w:pPr>
        <w:spacing w:before="240" w:after="240"/>
        <w:jc w:val="both"/>
        <w:rPr>
          <w:rFonts w:ascii="Arial" w:eastAsia="Arial" w:hAnsi="Arial" w:cs="Arial"/>
        </w:rPr>
      </w:pPr>
      <w:r w:rsidRPr="00572471">
        <w:rPr>
          <w:rFonts w:ascii="Arial" w:eastAsia="Arial" w:hAnsi="Arial" w:cs="Arial"/>
          <w:lang/>
        </w:rPr>
        <w:lastRenderedPageBreak/>
        <w:t>Graph 2 – Number of incidents according to degree of damage, NOTIVISA, Pará, 2020 to 2021.</w:t>
      </w:r>
    </w:p>
    <w:p w:rsidR="00A06B42" w:rsidRPr="007B19F7" w:rsidRDefault="00EF78AA">
      <w:pPr>
        <w:spacing w:before="240" w:after="240"/>
        <w:jc w:val="both"/>
        <w:rPr>
          <w:rFonts w:ascii="Arial" w:eastAsia="Arial" w:hAnsi="Arial" w:cs="Arial"/>
        </w:rPr>
      </w:pPr>
      <w:r>
        <w:rPr>
          <w:noProof/>
          <w:lang w:val="pt-BR"/>
        </w:rPr>
        <w:drawing>
          <wp:inline distT="0" distB="0" distL="0" distR="0">
            <wp:extent cx="5257800" cy="2476500"/>
            <wp:effectExtent l="0" t="0" r="0" b="0"/>
            <wp:docPr id="380061241"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9782F" w:rsidRPr="0039782F">
        <w:rPr>
          <w:rFonts w:ascii="Arial" w:eastAsia="Arial" w:hAnsi="Arial" w:cs="Arial"/>
          <w:lang/>
        </w:rPr>
        <w:t xml:space="preserve"> </w:t>
      </w:r>
    </w:p>
    <w:p w:rsidR="00572471" w:rsidRPr="007B19F7" w:rsidRDefault="00572471" w:rsidP="00572471">
      <w:pPr>
        <w:spacing w:before="240" w:after="240"/>
        <w:jc w:val="both"/>
        <w:rPr>
          <w:rFonts w:ascii="Arial" w:eastAsia="Arial" w:hAnsi="Arial" w:cs="Arial"/>
        </w:rPr>
      </w:pPr>
      <w:r w:rsidRPr="00572471">
        <w:rPr>
          <w:rFonts w:ascii="Arial" w:eastAsia="Arial" w:hAnsi="Arial" w:cs="Arial"/>
          <w:lang/>
        </w:rPr>
        <w:t>The distribution of notifications of incidents related to healthcare, by age group, shows that adults aged 56 to 65 years were the most affected, with 85 records (17.07%), followed by adults aged 36 to 45 years, with 78 notifications (15.66%). In relation to pediatrics, the age group of less than 28 days was the one with the highest number of notifications, with 33 records (6.63%), followed by the age group of 29 days to 1 year with 15 notifications (3.01%) (graph 3).</w:t>
      </w:r>
    </w:p>
    <w:p w:rsidR="00572471" w:rsidRPr="007B19F7" w:rsidRDefault="00572471" w:rsidP="00572471">
      <w:pPr>
        <w:spacing w:before="240" w:after="240"/>
        <w:jc w:val="both"/>
        <w:rPr>
          <w:rFonts w:ascii="Arial" w:eastAsia="Arial" w:hAnsi="Arial" w:cs="Arial"/>
        </w:rPr>
      </w:pPr>
      <w:r w:rsidRPr="00572471">
        <w:rPr>
          <w:rFonts w:ascii="Arial" w:eastAsia="Arial" w:hAnsi="Arial" w:cs="Arial"/>
          <w:lang/>
        </w:rPr>
        <w:t>Graph 3 – Number of incidents by age group, NOTIVISA, Pará, 07/2020 to 06/2021</w:t>
      </w:r>
    </w:p>
    <w:p w:rsidR="00A06B42" w:rsidRDefault="0039782F">
      <w:pPr>
        <w:spacing w:before="240" w:after="240"/>
        <w:jc w:val="both"/>
        <w:rPr>
          <w:rFonts w:ascii="Arial" w:eastAsia="Arial" w:hAnsi="Arial" w:cs="Arial"/>
        </w:rPr>
      </w:pPr>
      <w:r w:rsidRPr="0039782F">
        <w:rPr>
          <w:rFonts w:ascii="Arial" w:eastAsia="Arial" w:hAnsi="Arial" w:cs="Arial"/>
          <w:lang/>
        </w:rPr>
        <w:t xml:space="preserve"> </w:t>
      </w:r>
      <w:r w:rsidR="00213719">
        <w:rPr>
          <w:noProof/>
          <w:lang w:val="pt-BR"/>
        </w:rPr>
        <w:drawing>
          <wp:inline distT="0" distB="0" distL="0" distR="0">
            <wp:extent cx="5248275" cy="2590800"/>
            <wp:effectExtent l="0" t="0" r="9525" b="0"/>
            <wp:docPr id="578048203"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D60C0A1-A6B2-9E09-8287-89B454D69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2471" w:rsidRPr="007B19F7" w:rsidRDefault="00572471" w:rsidP="00572471">
      <w:pPr>
        <w:spacing w:before="240" w:after="240"/>
        <w:jc w:val="both"/>
        <w:rPr>
          <w:rFonts w:ascii="Arial" w:eastAsia="Arial" w:hAnsi="Arial" w:cs="Arial"/>
        </w:rPr>
      </w:pPr>
      <w:r w:rsidRPr="00572471">
        <w:rPr>
          <w:rFonts w:ascii="Arial" w:eastAsia="Arial" w:hAnsi="Arial" w:cs="Arial"/>
          <w:lang/>
        </w:rPr>
        <w:t>Of the deaths resulting from health care-related AEs reported, it is observed that the most frequent in the period observed occurred due to failures during health care (23) (82.14%), patient accidents (2) (7.14%), bronchoaspiration (1) (3.57%), failures involving probes (1) (3.57%) and failures in the administration of O</w:t>
      </w:r>
      <w:r w:rsidRPr="00572471">
        <w:rPr>
          <w:rFonts w:ascii="Cambria Math" w:eastAsia="Arial" w:hAnsi="Cambria Math" w:cs="Cambria Math"/>
          <w:lang/>
        </w:rPr>
        <w:t>₂</w:t>
      </w:r>
      <w:r w:rsidRPr="00572471">
        <w:rPr>
          <w:rFonts w:ascii="Arial" w:eastAsia="Arial" w:hAnsi="Arial" w:cs="Arial"/>
          <w:lang/>
        </w:rPr>
        <w:t xml:space="preserve"> or medicinal gases (1) (3.57%) </w:t>
      </w:r>
      <w:proofErr w:type="gramStart"/>
      <w:r w:rsidRPr="00572471">
        <w:rPr>
          <w:rFonts w:ascii="Arial" w:eastAsia="Arial" w:hAnsi="Arial" w:cs="Arial"/>
          <w:lang/>
        </w:rPr>
        <w:t>(Graph 4).</w:t>
      </w:r>
      <w:proofErr w:type="gramEnd"/>
    </w:p>
    <w:p w:rsidR="007D6645" w:rsidRDefault="007D6645" w:rsidP="00572471">
      <w:pPr>
        <w:spacing w:before="240" w:after="240"/>
        <w:jc w:val="both"/>
        <w:rPr>
          <w:rFonts w:ascii="Arial" w:eastAsia="Arial" w:hAnsi="Arial" w:cs="Arial"/>
          <w:lang/>
        </w:rPr>
      </w:pPr>
    </w:p>
    <w:p w:rsidR="007D6645" w:rsidRDefault="007D6645" w:rsidP="00572471">
      <w:pPr>
        <w:spacing w:before="240" w:after="240"/>
        <w:jc w:val="both"/>
        <w:rPr>
          <w:rFonts w:ascii="Arial" w:eastAsia="Arial" w:hAnsi="Arial" w:cs="Arial"/>
          <w:lang/>
        </w:rPr>
      </w:pPr>
    </w:p>
    <w:p w:rsidR="007D6645" w:rsidRDefault="007D6645" w:rsidP="00572471">
      <w:pPr>
        <w:spacing w:before="240" w:after="240"/>
        <w:jc w:val="both"/>
        <w:rPr>
          <w:rFonts w:ascii="Arial" w:eastAsia="Arial" w:hAnsi="Arial" w:cs="Arial"/>
          <w:lang/>
        </w:rPr>
      </w:pPr>
    </w:p>
    <w:p w:rsidR="007D6645" w:rsidRDefault="007D6645" w:rsidP="00572471">
      <w:pPr>
        <w:spacing w:before="240" w:after="240"/>
        <w:jc w:val="both"/>
        <w:rPr>
          <w:rFonts w:ascii="Arial" w:eastAsia="Arial" w:hAnsi="Arial" w:cs="Arial"/>
          <w:lang/>
        </w:rPr>
      </w:pPr>
    </w:p>
    <w:p w:rsidR="007D6645" w:rsidRDefault="007D6645" w:rsidP="00572471">
      <w:pPr>
        <w:spacing w:before="240" w:after="240"/>
        <w:jc w:val="both"/>
        <w:rPr>
          <w:rFonts w:ascii="Arial" w:eastAsia="Arial" w:hAnsi="Arial" w:cs="Arial"/>
          <w:lang/>
        </w:rPr>
      </w:pPr>
    </w:p>
    <w:p w:rsidR="00EC3F9C" w:rsidRPr="00EC3F9C" w:rsidRDefault="00572471" w:rsidP="00572471">
      <w:pPr>
        <w:spacing w:before="240" w:after="240"/>
        <w:jc w:val="both"/>
        <w:rPr>
          <w:rFonts w:ascii="Arial" w:eastAsia="Arial" w:hAnsi="Arial" w:cs="Arial"/>
          <w:lang/>
        </w:rPr>
      </w:pPr>
      <w:r w:rsidRPr="00572471">
        <w:rPr>
          <w:rFonts w:ascii="Arial" w:eastAsia="Arial" w:hAnsi="Arial" w:cs="Arial"/>
          <w:lang/>
        </w:rPr>
        <w:lastRenderedPageBreak/>
        <w:t>Graph 4 – Types of incidents that resulted in death, NOTIVISA, Pará, 2020 to 2021.</w:t>
      </w:r>
    </w:p>
    <w:p w:rsidR="00A06B42" w:rsidRPr="007B19F7" w:rsidRDefault="00C063CF">
      <w:pPr>
        <w:spacing w:before="240" w:after="240"/>
        <w:jc w:val="both"/>
        <w:rPr>
          <w:rFonts w:ascii="Arial" w:eastAsia="Arial" w:hAnsi="Arial" w:cs="Arial"/>
        </w:rPr>
      </w:pPr>
      <w:r>
        <w:rPr>
          <w:noProof/>
          <w:lang w:val="pt-BR"/>
        </w:rPr>
        <w:drawing>
          <wp:inline distT="0" distB="0" distL="0" distR="0">
            <wp:extent cx="5238750" cy="3232150"/>
            <wp:effectExtent l="0" t="0" r="0" b="6350"/>
            <wp:docPr id="62618109"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BD2A911-1469-E617-939F-E791DA8CD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9782F" w:rsidRPr="0039782F">
        <w:rPr>
          <w:rFonts w:ascii="Arial" w:eastAsia="Arial" w:hAnsi="Arial" w:cs="Arial"/>
          <w:lang/>
        </w:rPr>
        <w:t xml:space="preserve"> </w:t>
      </w:r>
    </w:p>
    <w:p w:rsidR="003B198E" w:rsidRDefault="003B198E">
      <w:pPr>
        <w:spacing w:before="240" w:after="240"/>
        <w:jc w:val="both"/>
        <w:rPr>
          <w:rFonts w:ascii="Arial" w:eastAsia="Arial" w:hAnsi="Arial" w:cs="Arial"/>
        </w:rPr>
      </w:pPr>
      <w:r w:rsidRPr="003B198E">
        <w:rPr>
          <w:rFonts w:ascii="Arial" w:eastAsia="Arial" w:hAnsi="Arial" w:cs="Arial"/>
        </w:rPr>
        <w:t>The never events that occurred during the study period were: Pressure injury (PU) stage III, with 7 reports (87.50%) and unintentional retention of a foreign body in a patient after surgery, with 1 report (12.50%), as described in graph 5. It can therefore be seen that the data relating to this category are limited.</w:t>
      </w:r>
    </w:p>
    <w:p w:rsidR="00DF2FA8" w:rsidRPr="003B198E" w:rsidRDefault="00DF2FA8">
      <w:pPr>
        <w:spacing w:before="240" w:after="240"/>
        <w:jc w:val="both"/>
        <w:rPr>
          <w:rFonts w:ascii="Arial" w:eastAsia="Arial" w:hAnsi="Arial" w:cs="Arial"/>
        </w:rPr>
      </w:pPr>
      <w:r w:rsidRPr="00DF2FA8">
        <w:rPr>
          <w:rFonts w:ascii="Arial" w:eastAsia="Arial" w:hAnsi="Arial" w:cs="Arial"/>
        </w:rPr>
        <w:t>Graph 5 – Notification of incidents considered never events, NOTIVISA, Pará, 2020 to 2021</w:t>
      </w:r>
    </w:p>
    <w:p w:rsidR="00A06B42" w:rsidRPr="007B19F7" w:rsidRDefault="00D63EE0">
      <w:pPr>
        <w:spacing w:before="240" w:after="240"/>
        <w:jc w:val="both"/>
        <w:rPr>
          <w:rFonts w:ascii="Arial" w:eastAsia="Arial" w:hAnsi="Arial" w:cs="Arial"/>
        </w:rPr>
      </w:pPr>
      <w:r>
        <w:rPr>
          <w:noProof/>
          <w:lang w:val="pt-BR"/>
        </w:rPr>
        <w:drawing>
          <wp:inline distT="0" distB="0" distL="0" distR="0">
            <wp:extent cx="5210175" cy="2743200"/>
            <wp:effectExtent l="0" t="0" r="9525" b="0"/>
            <wp:docPr id="27084370"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E6AE7CC-358D-F013-6CAB-6C3038313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9782F" w:rsidRPr="0039782F">
        <w:rPr>
          <w:rFonts w:ascii="Arial" w:eastAsia="Arial" w:hAnsi="Arial" w:cs="Arial"/>
          <w:lang/>
        </w:rPr>
        <w:t xml:space="preserve"> </w:t>
      </w:r>
    </w:p>
    <w:p w:rsidR="00A06B42" w:rsidRPr="00D571C2" w:rsidRDefault="00D571C2">
      <w:pPr>
        <w:spacing w:before="240" w:after="240"/>
        <w:jc w:val="both"/>
        <w:rPr>
          <w:rFonts w:ascii="Arial" w:eastAsia="Arial" w:hAnsi="Arial" w:cs="Arial"/>
          <w:b/>
          <w:sz w:val="22"/>
          <w:szCs w:val="22"/>
        </w:rPr>
      </w:pPr>
      <w:r w:rsidRPr="00D571C2">
        <w:rPr>
          <w:rFonts w:ascii="Arial" w:eastAsia="Arial" w:hAnsi="Arial" w:cs="Arial"/>
          <w:b/>
        </w:rPr>
        <w:t xml:space="preserve">   4. </w:t>
      </w:r>
      <w:r w:rsidRPr="00D571C2">
        <w:rPr>
          <w:rFonts w:ascii="Arial" w:eastAsia="Arial" w:hAnsi="Arial" w:cs="Arial"/>
          <w:b/>
          <w:sz w:val="22"/>
          <w:szCs w:val="22"/>
        </w:rPr>
        <w:t>DISCUS</w:t>
      </w:r>
      <w:r>
        <w:rPr>
          <w:rFonts w:ascii="Arial" w:eastAsia="Arial" w:hAnsi="Arial" w:cs="Arial"/>
          <w:b/>
          <w:sz w:val="22"/>
          <w:szCs w:val="22"/>
        </w:rPr>
        <w:t>SION</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Through the analysis of incident reports related to health care in the state of Pará, it can be seen that the years presented in the research made it possible to identify the dimension and understanding of the reported data, awakening the culture of reporting the harm to which users are subjected.</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 xml:space="preserve">It is estimated that, on average, one in 10 patients suffers an adverse event when receiving hospital care in high-income countries. Available evidence suggests that 134 million adverse events caused by unsafe care occur in hospitals in low- and middle-income countries, contributing to approximately 2.6 million deaths each year. According to recent estimates, the social cost of harm to patients can be estimated at US$ 1 to 2 trillion per year (WHO, 2021). In 2017, Brazil recorded a </w:t>
      </w:r>
      <w:r w:rsidRPr="005F0BC0">
        <w:rPr>
          <w:rFonts w:ascii="Arial" w:eastAsia="Arial" w:hAnsi="Arial" w:cs="Arial"/>
          <w:color w:val="000000"/>
        </w:rPr>
        <w:lastRenderedPageBreak/>
        <w:t>total of 75,296 reports of incidents related to healthcare, but the distribution of incidents reported by the state of Pará in the same year reached only 100 reports, ahead only of the states of Tocantins and Roraima (ANVISA, 2018a).</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Based on the research carried out, it is possible to state that there is a shortage of reports in the state and of studies that aim to show the results of the number of health-related incidents that occur in Pará, which could assist in incident prevention actions. Therefore, it is clear that the reports from the NOTIVISA system show a low number of incidents that are reported in the state, which means that there is still a deficit in the reporting of incidents by healthcare professionals. Among the data obtained, it was observed that there is a significant number of recorded incidents, with a predominance of the incident “failures in health care”, which stands out both in the number of records with 201 cases reported in the period described, and in the count of incidents that resulted in death.</w:t>
      </w:r>
    </w:p>
    <w:p w:rsidR="00A06B42"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These data corroborate those presented by Silva et al., (2020) between 2014 and 2019, showing that 25% of the most frequently reported incidents in the country are related to failures in health care. Therefore, it is worth noting that procedures, treatments and interventions were performed incompletely, inappropriately or outside the indicated time.</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Another finding in Brazil showed 935 reports of incidents in health services between 2014 and 2018. Most incidents and adverse events occurred during the provision of care, treatment or surgery (37.3%), and during the daytime (58.3%). The hospital was the location of the incident with the most records (37.4%); 32.9% of the incidents were considered minor and 2.4% resulted in deaths (Villar, Martins, Rabelo, 2021).</w:t>
      </w:r>
    </w:p>
    <w:p w:rsidR="00E63473" w:rsidRDefault="00E63473" w:rsidP="005F0BC0">
      <w:pPr>
        <w:pBdr>
          <w:top w:val="nil"/>
          <w:left w:val="nil"/>
          <w:bottom w:val="nil"/>
          <w:right w:val="nil"/>
          <w:between w:val="nil"/>
        </w:pBdr>
        <w:jc w:val="both"/>
        <w:rPr>
          <w:rFonts w:ascii="Arial" w:eastAsia="Arial" w:hAnsi="Arial" w:cs="Arial"/>
          <w:color w:val="000000"/>
        </w:rPr>
      </w:pPr>
      <w:r w:rsidRPr="00E63473">
        <w:rPr>
          <w:rFonts w:ascii="Arial" w:eastAsia="Arial" w:hAnsi="Arial" w:cs="Arial"/>
          <w:color w:val="000000"/>
        </w:rPr>
        <w:t>A study published in 2023 with 11 hospitals in Massachusetts, USA, and a random sample of 2,809 hospitalizations, identified at least one adverse event in 23.6% of the sample; 32.3% of them were classified as serious adverse events, highlighting that error associated with medications was the most common (39.0%), followed by surgical events (30.4%)</w:t>
      </w:r>
      <w:r>
        <w:rPr>
          <w:rFonts w:ascii="Arial" w:eastAsia="Arial" w:hAnsi="Arial" w:cs="Arial"/>
          <w:color w:val="000000"/>
        </w:rPr>
        <w:t xml:space="preserve"> </w:t>
      </w:r>
      <w:proofErr w:type="gramStart"/>
      <w:r>
        <w:rPr>
          <w:rFonts w:ascii="Arial" w:eastAsia="Arial" w:hAnsi="Arial" w:cs="Arial"/>
          <w:color w:val="000000"/>
        </w:rPr>
        <w:t>(Bates, et al. 2023)</w:t>
      </w:r>
      <w:r w:rsidRPr="00E63473">
        <w:rPr>
          <w:rFonts w:ascii="Arial" w:eastAsia="Arial" w:hAnsi="Arial" w:cs="Arial"/>
          <w:color w:val="000000"/>
        </w:rPr>
        <w:t>.</w:t>
      </w:r>
      <w:proofErr w:type="gramEnd"/>
    </w:p>
    <w:p w:rsid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In this study, health institutions in Pará reported 498 incidents related to health care. However, analysis of the reports showed that there was a higher prevalence in the count of incidents reported per month in the months of January and May 2021. On the other hand, in the months described in 2020, there was a lower number compared to the rates for the period under study, in which the notification obtained an average count of 11 incidents recorded in each month (ANVISA, 2020a).</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 xml:space="preserve">Hospitals were the institutions that reported the most incidents related to healthcare. This corroborates the survey published by Anvisa (2020), in the period from December 2019 to November </w:t>
      </w:r>
      <w:proofErr w:type="gramStart"/>
      <w:r w:rsidRPr="005F0BC0">
        <w:rPr>
          <w:rFonts w:ascii="Arial" w:eastAsia="Arial" w:hAnsi="Arial" w:cs="Arial"/>
          <w:color w:val="000000"/>
        </w:rPr>
        <w:t>2020,</w:t>
      </w:r>
      <w:proofErr w:type="gramEnd"/>
      <w:r w:rsidRPr="005F0BC0">
        <w:rPr>
          <w:rFonts w:ascii="Arial" w:eastAsia="Arial" w:hAnsi="Arial" w:cs="Arial"/>
          <w:color w:val="000000"/>
        </w:rPr>
        <w:t xml:space="preserve"> hospitals were responsible for 299 of the incident reports, a lower value compared to the year of the period under study. Consequently, a study carried out in referral hospitals in the state of Pará between January and December 2017 revealed that the hospital specialized in trauma recorded 985 incident reports. Meanwhile, the hospital specialized in cardiology recorded 287 reports (Tyll et al., 2019). Reports occur mainly in hospitals, highlighting the relevance of the NSP, since it is a body that has the mandatory responsibility to analyze data on incidents arising from the provision of the service and report adverse events to the National Health Surveillance System (SNVS) in accordance with RDC No. 36/2013 (RAIMONDI et al., 2019). It is worth mentioning that in 2017, among hospital health units, of the 75,296 notifications throughout Brazil, 36,668 notifications occurred in inpatient units, 20,673 in intensive care units (adult, pediatric or neonatal) and 5,426 in emergency services (ANVISA, 2018a).</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In addition, it is a highly complex space intended for the care of critical patients, which requires greater use of techniques and procedures, making it more vulnerable to incidents (Furini et al., 2019).</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Therefore, it is possible to observe the scope of these health service sectors and a greater demand for involved and qualified professionals, aiming at the reduction of incidents and the practice of reporting the occurrence of injuries.</w:t>
      </w:r>
    </w:p>
    <w:p w:rsid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However, the study by Pereira et al. (2024) evaluated the reasons for notifications of Technical Complaints (TC) and Adverse Events (AE) related to medical devices through NOTIVISA, in six federal hospitals in the city of Rio de Janeiro from 2018 to 2020. From the analysis, it was noted the difficulty of adherence by health professionals, mainly due to accountability when there is an association with deviation/breakage/failure, resulting in an AE.</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Regarding the degree of incidents assessed in this study, those considered minor were the most reported. As in the study by Silva et al., (2020), the reporting system demonstrated that 52% of injuries were classified as minor.</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 xml:space="preserve">Injuries considered minor are those that do not cause harm to the patient, and this large number of reports reveals that there are weaknesses in care, therefore their reporting should be encouraged, serving as a source of information and </w:t>
      </w:r>
      <w:proofErr w:type="gramStart"/>
      <w:r w:rsidRPr="005F0BC0">
        <w:rPr>
          <w:rFonts w:ascii="Arial" w:eastAsia="Arial" w:hAnsi="Arial" w:cs="Arial"/>
          <w:color w:val="000000"/>
        </w:rPr>
        <w:t>learning</w:t>
      </w:r>
      <w:proofErr w:type="gramEnd"/>
      <w:r w:rsidRPr="005F0BC0">
        <w:rPr>
          <w:rFonts w:ascii="Arial" w:eastAsia="Arial" w:hAnsi="Arial" w:cs="Arial"/>
          <w:color w:val="000000"/>
        </w:rPr>
        <w:t xml:space="preserve"> (Silva et al., 2020).</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When comparing the results of 2020 with 2021, it was observed that there was an increase in the numbers. With 57.83% of incident reports standing out as minor damage, followed by no damage with 16.47%, moderate damage with 15.46%, deaths with 5.62% and serious damage with 4.62%.</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 xml:space="preserve">Reporting of incidents distributed by age group shows that the numbers have increased, which leads to the conclusion that interventions are still insufficient. The elderly spend more time in health services and are considered a group with a higher risk of comorbidities and polypharmacy, factors that can cause harm to health, in addition to being susceptible to the side effects of medications due to physiological changes that can alter the pharmacokinetic and pharmacodynamic parameters of medications, thus generating incidents (Almeida et al., 2017). According to Maia et al., (2018), between 2014 and 2017, the majority of deaths resulting from failures in care occurred in adults aged 26 or over and elderly people aged 60 or over who were in inpatient wards, mostly with diseases of the circulatory system and respiratory system, with 35.5% of diagnoses among these age groups (Couto; Pedrosa; Rosa, 2016). In pediatrics, the age group under 28 days had the highest number of reported incidents, with 33 notifications. According to Hoffmeister, Moura and Macedo (2019), </w:t>
      </w:r>
      <w:r w:rsidRPr="005F0BC0">
        <w:rPr>
          <w:rFonts w:ascii="Arial" w:eastAsia="Arial" w:hAnsi="Arial" w:cs="Arial"/>
          <w:color w:val="000000"/>
        </w:rPr>
        <w:lastRenderedPageBreak/>
        <w:t>newborns represent at least 10% of the population that has already suffered from at least one incident. In the period from 2015 to May 2016, newborns estimated a total of 54 incidents, which were reported in 34 newborns, that is, some have already suffered more than one incident.</w:t>
      </w:r>
    </w:p>
    <w:p w:rsid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In the research, regarding the types of incidents that resulted in death, there were 23 notifications related to failures during health care, which was the highest number of records in the period under study and which resulted in the highest number of deaths. Such failures are due to errors, failures in execution and inadequacy of procedures, treatments and diagnoses.</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The results of the research showed that never events comprised 8 records, subdivided into 7 notifications of stage III PU (87.50%) and 1 notification of unintentional retention of a foreign body after a surgical procedure (12.50%). Despite the low number compared to other types of adverse events, these notifications are considered highly relevant given their severity.</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Pressure injuries, as they are the most frequently reported in the period, are a multifactorial problem that interferes with the morbidity and mortality and quality of life of hospitalized patients. According to Lima and Barbosa (2015), 25.8% of patients exposed during hospitalization are at high risk of developing PU. Consequently, such incidents cause harm to the user and a longer stay under care in health services.</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The North region concentrates 5.3% of the incidents reported in the country, being the macro-region with the lowest notification rate, reflecting the high rates of underreporting (ANVISA, 2021a). Furthermore, there is a lack of research focused on patient safety, delimiting records and causing a lack of incentive and misinformation regarding reporting (Gomes et al., 2017).</w:t>
      </w:r>
    </w:p>
    <w:p w:rsidR="005F0BC0" w:rsidRPr="005F0BC0" w:rsidRDefault="005F0BC0" w:rsidP="005F0BC0">
      <w:pPr>
        <w:pBdr>
          <w:top w:val="nil"/>
          <w:left w:val="nil"/>
          <w:bottom w:val="nil"/>
          <w:right w:val="nil"/>
          <w:between w:val="nil"/>
        </w:pBdr>
        <w:jc w:val="both"/>
        <w:rPr>
          <w:rFonts w:ascii="Arial" w:eastAsia="Arial" w:hAnsi="Arial" w:cs="Arial"/>
          <w:color w:val="000000"/>
        </w:rPr>
      </w:pPr>
      <w:r w:rsidRPr="005F0BC0">
        <w:rPr>
          <w:rFonts w:ascii="Arial" w:eastAsia="Arial" w:hAnsi="Arial" w:cs="Arial"/>
          <w:color w:val="000000"/>
        </w:rPr>
        <w:t>There is progress in studies focused on patient safety, but they still do not focus on incident reporting. These studies show which incidents occur most frequently and how to prevent them. The first strategy for effective safety is risk identification, followed by reporting, which aims at organizational learning. If incidents are reported accurately, this will help to shift from reactive to proactive risk management (Sagawa et al., 2019).</w:t>
      </w:r>
    </w:p>
    <w:p w:rsidR="00E63473" w:rsidRPr="00E63473" w:rsidRDefault="00E63473" w:rsidP="00E63473">
      <w:pPr>
        <w:pBdr>
          <w:top w:val="nil"/>
          <w:left w:val="nil"/>
          <w:bottom w:val="nil"/>
          <w:right w:val="nil"/>
          <w:between w:val="nil"/>
        </w:pBdr>
        <w:jc w:val="both"/>
        <w:rPr>
          <w:rFonts w:ascii="Arial" w:eastAsia="Arial" w:hAnsi="Arial" w:cs="Arial"/>
          <w:color w:val="000000"/>
        </w:rPr>
      </w:pPr>
      <w:r w:rsidRPr="00E63473">
        <w:rPr>
          <w:rFonts w:ascii="Arial" w:eastAsia="Arial" w:hAnsi="Arial" w:cs="Arial"/>
          <w:color w:val="000000"/>
        </w:rPr>
        <w:t>For Sagawa et al (2019), professionals should adopt a broader stance and not limit themselves to incident resolution actions, but also to reporting them, since the simple act of reporting allows professionals to resolve the incident and reflect on the causes that led to such an error. However, for these changes to occur, the incidents that are reported must be analyzed and used as a basis for prevention strategies and stimulate reflection among professionals.</w:t>
      </w:r>
    </w:p>
    <w:p w:rsidR="00A06B42" w:rsidRDefault="00E63473" w:rsidP="00E63473">
      <w:pPr>
        <w:pBdr>
          <w:top w:val="nil"/>
          <w:left w:val="nil"/>
          <w:bottom w:val="nil"/>
          <w:right w:val="nil"/>
          <w:between w:val="nil"/>
        </w:pBdr>
        <w:jc w:val="both"/>
        <w:rPr>
          <w:rFonts w:ascii="Arial" w:eastAsia="Arial" w:hAnsi="Arial" w:cs="Arial"/>
          <w:color w:val="000000"/>
        </w:rPr>
      </w:pPr>
      <w:r w:rsidRPr="00E63473">
        <w:rPr>
          <w:rFonts w:ascii="Arial" w:eastAsia="Arial" w:hAnsi="Arial" w:cs="Arial"/>
          <w:color w:val="000000"/>
        </w:rPr>
        <w:t xml:space="preserve">In view of this, the study presented limitations in finding reports and research from previous years that have the results of incident reports analyzed in full, since many do not present detailed results. Although the results may have been limited, they reveal the existence of a worrying situation, since the incidents that </w:t>
      </w:r>
      <w:proofErr w:type="gramStart"/>
      <w:r w:rsidRPr="00E63473">
        <w:rPr>
          <w:rFonts w:ascii="Arial" w:eastAsia="Arial" w:hAnsi="Arial" w:cs="Arial"/>
          <w:color w:val="000000"/>
        </w:rPr>
        <w:t>occur</w:t>
      </w:r>
      <w:proofErr w:type="gramEnd"/>
      <w:r w:rsidRPr="00E63473">
        <w:rPr>
          <w:rFonts w:ascii="Arial" w:eastAsia="Arial" w:hAnsi="Arial" w:cs="Arial"/>
          <w:color w:val="000000"/>
        </w:rPr>
        <w:t xml:space="preserve"> end up causing harm to the patient's health, worsening their health condition and increasing their stay in the hospital unit. In healthcare services, the management and operationalization of the proactive and reactive approach to risk management (such as identification, analysis, assessment, monitoring, treatment and communication of risks) are the responsibility of the Patient Safety Unit (NSP). This is a fundamental action to identify and map failures that occurred in care, explore the possible causes that occurred in the incident and draw up action plans to reduce the degree of harm and prevent a possible recurrence (ANVISA, 2018). The most widely used tool in Brazil to investigate clinical incidents in the healthcare area is the Protocol recommended by the Ministry of Health. However, the London Protocol does not allow for scaling the investigation process and operationalizing the method for monitoring improvement actions, in addition to the steps that target the second victim, the accountability matrix and incident management involving senior leadership. In this sense, the study by Mello et al. (2024) proposed developing the first Brazilian instrument to investigate clinical incidents, allowing an approach according to the degree of harm. Another important strategy would be to rethink system design in partnership with users, which could be strategies capable of increasing their participation in reporting incidents in health services provided. Similarly, developing new methodological approaches to capture patient reports would facilitate the engagement of patients and their families in reporting incidents (WHO, 2021). Finally, global efforts to promote patient safety in recent years have culminated in the adoption of the Global Action Plan for Patient Safety 2021-2030, which aims to drive policies, strategies and actions based on science, patient experiences, systems design and partnerships to eliminate all sources of preventable risk and harm to patients and health workers. The benefits of a strategic and coordinated approach to patient safety that addresses the common causes of harm and establishes methods to prevent it are recognized by health policymakers and leaders around the world (WHO, 2021).</w:t>
      </w:r>
    </w:p>
    <w:p w:rsidR="00E63473" w:rsidRPr="00D571C2" w:rsidRDefault="00E63473" w:rsidP="00E63473">
      <w:pPr>
        <w:pBdr>
          <w:top w:val="nil"/>
          <w:left w:val="nil"/>
          <w:bottom w:val="nil"/>
          <w:right w:val="nil"/>
          <w:between w:val="nil"/>
        </w:pBdr>
        <w:jc w:val="both"/>
        <w:rPr>
          <w:rFonts w:ascii="Arial" w:eastAsia="Arial" w:hAnsi="Arial" w:cs="Arial"/>
          <w:color w:val="000000"/>
        </w:rPr>
      </w:pPr>
    </w:p>
    <w:p w:rsidR="00A06B42" w:rsidRPr="007B19F7" w:rsidRDefault="0080563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sz w:val="22"/>
          <w:szCs w:val="22"/>
        </w:rPr>
        <w:t>5</w:t>
      </w:r>
      <w:r>
        <w:rPr>
          <w:rFonts w:ascii="Arial" w:eastAsia="Arial" w:hAnsi="Arial" w:cs="Arial"/>
          <w:b/>
          <w:smallCaps/>
          <w:color w:val="000000"/>
          <w:sz w:val="22"/>
          <w:szCs w:val="22"/>
        </w:rPr>
        <w:t xml:space="preserve">. </w:t>
      </w:r>
      <w:r w:rsidR="00572471" w:rsidRPr="00572471">
        <w:rPr>
          <w:rFonts w:ascii="Arial" w:eastAsia="Arial" w:hAnsi="Arial" w:cs="Arial"/>
          <w:b/>
          <w:smallCaps/>
          <w:color w:val="000000"/>
          <w:sz w:val="22"/>
          <w:szCs w:val="22"/>
          <w:lang/>
        </w:rPr>
        <w:t>CONCLUSION</w:t>
      </w:r>
    </w:p>
    <w:p w:rsidR="00A06B42" w:rsidRDefault="00A06B42">
      <w:pPr>
        <w:keepNext/>
        <w:pBdr>
          <w:top w:val="nil"/>
          <w:left w:val="nil"/>
          <w:bottom w:val="nil"/>
          <w:right w:val="nil"/>
          <w:between w:val="nil"/>
        </w:pBdr>
        <w:jc w:val="both"/>
        <w:rPr>
          <w:rFonts w:ascii="Arial" w:eastAsia="Arial" w:hAnsi="Arial" w:cs="Arial"/>
          <w:b/>
          <w:smallCaps/>
          <w:color w:val="000000"/>
        </w:rPr>
      </w:pPr>
    </w:p>
    <w:p w:rsidR="00572471" w:rsidRPr="00572471" w:rsidRDefault="00572471" w:rsidP="00572471">
      <w:pPr>
        <w:pBdr>
          <w:top w:val="nil"/>
          <w:left w:val="nil"/>
          <w:bottom w:val="nil"/>
          <w:right w:val="nil"/>
          <w:between w:val="nil"/>
        </w:pBdr>
        <w:jc w:val="both"/>
        <w:rPr>
          <w:rFonts w:ascii="Arial" w:eastAsia="Arial" w:hAnsi="Arial" w:cs="Arial"/>
          <w:lang/>
        </w:rPr>
      </w:pPr>
      <w:r w:rsidRPr="00572471">
        <w:rPr>
          <w:rFonts w:ascii="Arial" w:eastAsia="Arial" w:hAnsi="Arial" w:cs="Arial"/>
          <w:lang/>
        </w:rPr>
        <w:t xml:space="preserve">The theme strengthens the importance of patient safety and the reduction of risks of unnecessary harm arising from healthcare, highlighting on the part of professionals the act of identification and notification, as a fundamental factor for the recognition and improvement of assistance in the country's healthcare services. </w:t>
      </w:r>
    </w:p>
    <w:p w:rsidR="00572471" w:rsidRPr="007B19F7" w:rsidRDefault="00572471" w:rsidP="00572471">
      <w:pPr>
        <w:pBdr>
          <w:top w:val="nil"/>
          <w:left w:val="nil"/>
          <w:bottom w:val="nil"/>
          <w:right w:val="nil"/>
          <w:between w:val="nil"/>
        </w:pBdr>
        <w:jc w:val="both"/>
        <w:rPr>
          <w:rFonts w:ascii="Arial" w:eastAsia="Arial" w:hAnsi="Arial" w:cs="Arial"/>
        </w:rPr>
      </w:pPr>
      <w:r w:rsidRPr="00572471">
        <w:rPr>
          <w:rFonts w:ascii="Arial" w:eastAsia="Arial" w:hAnsi="Arial" w:cs="Arial"/>
          <w:lang/>
        </w:rPr>
        <w:t>As evidenced in the research results, through the numbers of notifications, the practice of notifying incidents is not something that is rooted in the professional's culture, consequently, the number of records appears to be well below expectations. It is a major problem in Pará, due to the lack of recognition of problems and limitations in the practice of reporting.</w:t>
      </w:r>
    </w:p>
    <w:p w:rsidR="00572471" w:rsidRDefault="00572471" w:rsidP="00572471">
      <w:pPr>
        <w:pBdr>
          <w:top w:val="nil"/>
          <w:left w:val="nil"/>
          <w:bottom w:val="nil"/>
          <w:right w:val="nil"/>
          <w:between w:val="nil"/>
        </w:pBdr>
        <w:jc w:val="both"/>
        <w:rPr>
          <w:rFonts w:ascii="Arial" w:eastAsia="Arial" w:hAnsi="Arial" w:cs="Arial"/>
          <w:lang/>
        </w:rPr>
      </w:pPr>
      <w:r w:rsidRPr="00572471">
        <w:rPr>
          <w:rFonts w:ascii="Arial" w:eastAsia="Arial" w:hAnsi="Arial" w:cs="Arial"/>
          <w:lang/>
        </w:rPr>
        <w:t xml:space="preserve">Continuing education for healthcare professionals is essential to prevent incidents and promote quality and comprehensive customer service and care. Therefore, one of the ways for professionals to know the magnitude of the </w:t>
      </w:r>
      <w:r w:rsidRPr="00572471">
        <w:rPr>
          <w:rFonts w:ascii="Arial" w:eastAsia="Arial" w:hAnsi="Arial" w:cs="Arial"/>
          <w:lang/>
        </w:rPr>
        <w:lastRenderedPageBreak/>
        <w:t>problem, stands out in the performance of reporting, so that adversities and errors are identified, to obtain a resolution of the problem and a reduction in the punitive and individual culture due to the occurrence of the reported damage, making it possible through the analysis presented to identify each reported incident, highlighting the importance that each notification brings to the professional, awakening and stimulating the practice of reporting and encouraging the perspective of comprehensive care for the user.</w:t>
      </w:r>
    </w:p>
    <w:p w:rsidR="00640C21" w:rsidRDefault="00640C21" w:rsidP="00572471">
      <w:pPr>
        <w:pBdr>
          <w:top w:val="nil"/>
          <w:left w:val="nil"/>
          <w:bottom w:val="nil"/>
          <w:right w:val="nil"/>
          <w:between w:val="nil"/>
        </w:pBdr>
        <w:jc w:val="both"/>
        <w:rPr>
          <w:rFonts w:ascii="Arial" w:eastAsia="Arial" w:hAnsi="Arial" w:cs="Arial"/>
          <w:lang/>
        </w:rPr>
      </w:pPr>
    </w:p>
    <w:p w:rsidR="00640C21" w:rsidRDefault="00640C21" w:rsidP="00572471">
      <w:pPr>
        <w:pBdr>
          <w:top w:val="nil"/>
          <w:left w:val="nil"/>
          <w:bottom w:val="nil"/>
          <w:right w:val="nil"/>
          <w:between w:val="nil"/>
        </w:pBdr>
        <w:jc w:val="both"/>
        <w:rPr>
          <w:rFonts w:ascii="Arial" w:eastAsia="Arial" w:hAnsi="Arial" w:cs="Arial"/>
          <w:lang/>
        </w:rPr>
      </w:pPr>
    </w:p>
    <w:p w:rsidR="007D6645" w:rsidRDefault="007D6645" w:rsidP="00572471">
      <w:pPr>
        <w:pBdr>
          <w:top w:val="nil"/>
          <w:left w:val="nil"/>
          <w:bottom w:val="nil"/>
          <w:right w:val="nil"/>
          <w:between w:val="nil"/>
        </w:pBdr>
        <w:jc w:val="both"/>
        <w:rPr>
          <w:rFonts w:ascii="Arial" w:eastAsia="Arial" w:hAnsi="Arial" w:cs="Arial"/>
          <w:lang/>
        </w:rPr>
      </w:pPr>
    </w:p>
    <w:p w:rsidR="00640C21" w:rsidRDefault="00640C21" w:rsidP="00572471">
      <w:pPr>
        <w:pBdr>
          <w:top w:val="nil"/>
          <w:left w:val="nil"/>
          <w:bottom w:val="nil"/>
          <w:right w:val="nil"/>
          <w:between w:val="nil"/>
        </w:pBdr>
        <w:jc w:val="both"/>
        <w:rPr>
          <w:rFonts w:ascii="Arial" w:eastAsia="Arial" w:hAnsi="Arial" w:cs="Arial"/>
          <w:lang/>
        </w:rPr>
      </w:pPr>
      <w:bookmarkStart w:id="1" w:name="_GoBack"/>
      <w:bookmarkEnd w:id="1"/>
    </w:p>
    <w:p w:rsidR="00640C21" w:rsidRPr="00640C21" w:rsidRDefault="00640C21" w:rsidP="00640C21">
      <w:pPr>
        <w:spacing w:after="200" w:line="276" w:lineRule="auto"/>
        <w:rPr>
          <w:rFonts w:ascii="Calibri" w:eastAsia="Calibri" w:hAnsi="Calibri" w:cs="Times New Roman"/>
          <w:kern w:val="2"/>
          <w:sz w:val="22"/>
          <w:szCs w:val="22"/>
          <w:highlight w:val="yellow"/>
          <w:lang w:eastAsia="en-US"/>
        </w:rPr>
      </w:pPr>
      <w:bookmarkStart w:id="2" w:name="_Hlk180402183"/>
      <w:r w:rsidRPr="00640C21">
        <w:rPr>
          <w:rFonts w:ascii="Calibri" w:eastAsia="Calibri" w:hAnsi="Calibri" w:cs="Times New Roman"/>
          <w:kern w:val="2"/>
          <w:sz w:val="22"/>
          <w:szCs w:val="22"/>
          <w:highlight w:val="yellow"/>
          <w:lang w:eastAsia="en-US"/>
        </w:rPr>
        <w:t>Disclaimer (Artificial intelligence)</w:t>
      </w:r>
    </w:p>
    <w:p w:rsidR="00640C21" w:rsidRPr="00640C21" w:rsidRDefault="00640C21" w:rsidP="00640C21">
      <w:pPr>
        <w:spacing w:after="200" w:line="276" w:lineRule="auto"/>
        <w:rPr>
          <w:rFonts w:ascii="Calibri" w:eastAsia="Calibri" w:hAnsi="Calibri" w:cs="Times New Roman"/>
          <w:kern w:val="2"/>
          <w:sz w:val="22"/>
          <w:szCs w:val="22"/>
          <w:highlight w:val="yellow"/>
          <w:lang w:eastAsia="en-US"/>
        </w:rPr>
      </w:pPr>
      <w:r w:rsidRPr="00640C21">
        <w:rPr>
          <w:rFonts w:ascii="Calibri" w:eastAsia="Calibri" w:hAnsi="Calibri" w:cs="Times New Roman"/>
          <w:kern w:val="2"/>
          <w:sz w:val="22"/>
          <w:szCs w:val="22"/>
          <w:highlight w:val="yellow"/>
          <w:lang w:eastAsia="en-US"/>
        </w:rPr>
        <w:t xml:space="preserve">Option 1: </w:t>
      </w:r>
    </w:p>
    <w:p w:rsidR="00640C21" w:rsidRPr="00640C21" w:rsidRDefault="00640C21" w:rsidP="00640C21">
      <w:pPr>
        <w:spacing w:after="200" w:line="276" w:lineRule="auto"/>
        <w:rPr>
          <w:rFonts w:ascii="Calibri" w:eastAsia="Calibri" w:hAnsi="Calibri" w:cs="Times New Roman"/>
          <w:kern w:val="2"/>
          <w:sz w:val="22"/>
          <w:szCs w:val="22"/>
          <w:highlight w:val="yellow"/>
          <w:lang w:eastAsia="en-US"/>
        </w:rPr>
      </w:pPr>
      <w:r w:rsidRPr="00640C21">
        <w:rPr>
          <w:rFonts w:ascii="Calibri" w:eastAsia="Calibri" w:hAnsi="Calibri" w:cs="Times New Roman"/>
          <w:kern w:val="2"/>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bookmarkEnd w:id="2"/>
    <w:p w:rsidR="00640C21" w:rsidRPr="007B19F7" w:rsidRDefault="00640C21" w:rsidP="00572471">
      <w:pPr>
        <w:pBdr>
          <w:top w:val="nil"/>
          <w:left w:val="nil"/>
          <w:bottom w:val="nil"/>
          <w:right w:val="nil"/>
          <w:between w:val="nil"/>
        </w:pBdr>
        <w:jc w:val="both"/>
        <w:rPr>
          <w:rFonts w:ascii="Arial" w:eastAsia="Arial" w:hAnsi="Arial" w:cs="Arial"/>
        </w:rPr>
      </w:pPr>
    </w:p>
    <w:p w:rsidR="00A06B42" w:rsidRDefault="00A06B42">
      <w:pPr>
        <w:pBdr>
          <w:top w:val="nil"/>
          <w:left w:val="nil"/>
          <w:bottom w:val="nil"/>
          <w:right w:val="nil"/>
          <w:between w:val="nil"/>
        </w:pBdr>
        <w:jc w:val="both"/>
        <w:rPr>
          <w:rFonts w:ascii="Arial" w:eastAsia="Arial" w:hAnsi="Arial" w:cs="Arial"/>
          <w:color w:val="000000"/>
        </w:rPr>
      </w:pPr>
    </w:p>
    <w:p w:rsidR="00A06B42" w:rsidRDefault="0080563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A06B42" w:rsidRDefault="00A06B42">
      <w:pPr>
        <w:keepNext/>
        <w:pBdr>
          <w:top w:val="nil"/>
          <w:left w:val="nil"/>
          <w:bottom w:val="nil"/>
          <w:right w:val="nil"/>
          <w:between w:val="nil"/>
        </w:pBdr>
        <w:jc w:val="both"/>
        <w:rPr>
          <w:rFonts w:ascii="Arial" w:eastAsia="Arial" w:hAnsi="Arial" w:cs="Arial"/>
          <w:b/>
          <w:smallCaps/>
          <w:color w:val="000000"/>
          <w:sz w:val="22"/>
          <w:szCs w:val="22"/>
        </w:rPr>
      </w:pP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 National Health Surveillance Agency (ANVISA). Patient Safety and Quality in Health Services Bulletin No. 18: Incidents Related to Health Care – 2017. General Management of Technology in Health Services. Management of Surveillance and Monitoring in Health Services. National Health Surveillance Agency, 2018a, p. 7. Available at: https://www.gov.br/anvisa/ptbr/centraisdeconteudo/publicacoes/servicosdesaude/boletim-seguranca-dopaciente/boletim-seguranca-do-paciente-e-qualidade-em-servicos-de-saude-n-18-incidents-relacionados-a-assistencia-a-saude-2017.pdf . Accessed on November 18,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 National Health Surveillance Agency (ANVISA). Patient Safety Centers. 2021. Available at: https://www.gov.br/anvisa/ptbr/acessoainformacao/dadosabertos/informacoes-analiticas/nucleos-de-segurancado-paciente . Accessed on: October 27,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 National Health Surveillance Agency (ANVISA). Incidents related to healthcare: results of notifications made in Notivisa - Brazil, April 2020 to March 2021. National Health Surveillance Agency. 2021b. Available at: https://www.gov.br/anvisa/ptbr/centraisdeconteudo/publicacoes/servicosdesaude/relatorios-de-notificacao-dosestados/eventos-adversos/brasil/view . Accessed on: May 10,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 National Health Surveillance Agency (ANVISA). Incidents related to healthcare: results of notifications made in Notivisa - Brazil, September 2020 to August 2021. National Health Surveillance Agency. 2021c. Available at: BR_2020_09_2021_08.pdf. Accessed on: November 11,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 National Health Surveillance Agency (ANVISA). Incidents related to healthcare: results of notifications made in Notivisa - Brazil, December 2019 to November 2020. National Health Surveillance Agency. 2020a, p. 8. Available at: https://www.gov.br/anvisa/ptbr/centraisdeconteudo/publicacoes/servicosdesaude/relatorios-de-notificacao-dosestados/eventos-adversos/brasil/view. Accessed on: February 29, 2021.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6. National Health Surveillance Agency (ANVISA). Incidents related to healthcare: results of notifications made in Notivisa - Pará, December 2019 to November 2020. National Health Surveillance Agency. 2020b, p. 10. Available at: https://www.gov.br/anvisa/ptbr/centraisdeconteudo/publicacoes/servicosdesaude/relatorios-de-notificacao-dosestados/eventos-adversos/para/view. Accessed on: February 29,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7. National Health Surveillance Agency (ANVISA). Incidents related to healthcare: results of notifications made in Notivisa - Pará, July 2020 to June 2021. National Health Surveillance Agency. 2021d. Available at: https://www.gov.br/anvisa/ptbr/centraisdeconteudo/publicacoes/servicosdesaude/relatorios-de-notificacao-dosestados/eventos-adversos/para/view. Accessed on: September 22,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8. National Health Surveillance Agency (ANVISA). Investigation of Adverse Events in Health Services. Module 4. National Health Surveillance Agency. Pan American Health Organization. 2018b, 149 p.</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9. ALMEIDA, N. A; REINERS, A. A. O; AZEVEDO, R. C. S. et al. Prevalence and factors associated with polypharmacy among community-dwelling elderly people. Brazilian Journal of Geriatrics and Gerontology, v. 1, n. 20, nº 1, p.138-148, 2017. Available at: https://www.scielo.br/j/rbgg/a/n5vypZTvfYhhYJxPdYr7Dbb/?lang=pt. Accessed on: November 22,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 xml:space="preserve">10. </w:t>
      </w:r>
      <w:r w:rsidR="00E63473" w:rsidRPr="00E63473">
        <w:rPr>
          <w:rFonts w:ascii="Arial" w:eastAsia="Arial" w:hAnsi="Arial" w:cs="Arial"/>
          <w:color w:val="000000"/>
          <w:lang w:val="pt-BR"/>
        </w:rPr>
        <w:t xml:space="preserve">Bates DW, Levine DM, Salmasian H, Syrowatka A, Shahian DM, Lipsitz S, </w:t>
      </w:r>
      <w:proofErr w:type="gramStart"/>
      <w:r w:rsidR="00E63473" w:rsidRPr="00E63473">
        <w:rPr>
          <w:rFonts w:ascii="Arial" w:eastAsia="Arial" w:hAnsi="Arial" w:cs="Arial"/>
          <w:color w:val="000000"/>
          <w:lang w:val="pt-BR"/>
        </w:rPr>
        <w:t>et</w:t>
      </w:r>
      <w:proofErr w:type="gramEnd"/>
      <w:r w:rsidR="00E63473" w:rsidRPr="00E63473">
        <w:rPr>
          <w:rFonts w:ascii="Arial" w:eastAsia="Arial" w:hAnsi="Arial" w:cs="Arial"/>
          <w:color w:val="000000"/>
          <w:lang w:val="pt-BR"/>
        </w:rPr>
        <w:t xml:space="preserve"> al. The safety of inpatient health care. N Engl J Med. </w:t>
      </w:r>
      <w:proofErr w:type="gramStart"/>
      <w:r w:rsidR="00E63473" w:rsidRPr="00E63473">
        <w:rPr>
          <w:rFonts w:ascii="Arial" w:eastAsia="Arial" w:hAnsi="Arial" w:cs="Arial"/>
          <w:color w:val="000000"/>
          <w:lang w:val="pt-BR"/>
        </w:rPr>
        <w:t>2023;</w:t>
      </w:r>
      <w:proofErr w:type="gramEnd"/>
      <w:r w:rsidR="00E63473" w:rsidRPr="00E63473">
        <w:rPr>
          <w:rFonts w:ascii="Arial" w:eastAsia="Arial" w:hAnsi="Arial" w:cs="Arial"/>
          <w:color w:val="000000"/>
          <w:lang w:val="pt-BR"/>
        </w:rPr>
        <w:t>388(2):142-53.</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11. BATALHA, E. M. S. S.; MELLEIRO, M. M. Patient safety culture: perceptions of the nursing team. HU Revista, v. 42, nº 2, p. 133-142, Jul./Aug. 2016. Available at: https://periodicos.ufjf.br/index.php/hurevista/article/view/2518. Accessed on: March 16,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lastRenderedPageBreak/>
        <w:t>12. BRANDÃO, M. G. S. A.; BRITO, O. D.; BARROS, L. M. Risk management and patient safety: mapping the risks of adverse events in the emergency room of a teaching hospital. Journal of Health Administration, v. 18, n. 70, Jan./Mar. 2018. Available at: https://cqh.org.br/ojs2.4.8/index.php/ras/article/view/84. Accessed on: March 10,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13. BRAZIL. National Health Surveillance Agency. Strategies for patient safety in hospitals and clinics. Brasília: Ministry of Health, 2010.</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14. BRAZIL. Safe Care: a theoretical reflection applied to practice. National Health Surveillance Agency. Brasília, 2017a. 168 p.</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15. BRAZIL. Reference document for the National Patient Safety Program. Ministry of Health. Oswaldo Cruz Foundation. National Health Surveillance Agency. Brasília: Ministry</w:t>
      </w:r>
      <w:r w:rsidRPr="00C13CB2">
        <w:t xml:space="preserve"> </w:t>
      </w:r>
      <w:r w:rsidRPr="00C13CB2">
        <w:rPr>
          <w:rFonts w:ascii="Arial" w:eastAsia="Arial" w:hAnsi="Arial" w:cs="Arial"/>
          <w:color w:val="000000"/>
          <w:lang w:val="pt-BR"/>
        </w:rPr>
        <w:t>Health, 2014. 40 p.</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16. BRAZIL. Risk Management and Investigation of Adverse Events Related to Health Care. National Health Surveillance Agency. Brasília, 2017b. 92 p.</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17. BRAZIL. Implementation of the Patient Safety Center in Health Services. Patient Safety and Quality in Health Services Series. National Health Surveillance Agency. Brasília, 2016a. p. 68.</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18. BRAZIL. Investigation of Adverse Events in Health Services. Patient Safety and Quality in Health Services Series. National Health Surveillance Agency. Brasília: Anvisa, 2016b. p. 68.</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19. BRAZIL. Ministry of Health. Fall prevention protocol. Protocol that is part of the National Patient Safety Program. National Health Surveillance Agency. Oswaldo Cruz Foundation. 2013a. Available at: https://proqualis.net/sites/proqualis.net/files/Protocolo%20%20Preven%C3%A7%C3 %A3o%20de%20Quedas.pdf.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20. BRAZIL. Ministry of Health. Safety protocol for the prescription, use, and administration of medications. Protocol that is part of the National Patient Safety Program. National Health Surveillance Agency. Oswaldo Cruz Foundation. 2013b. Available at: https://proqualis.net/sites/proqualis.net/files/000002490IQmwD8.pdf.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21. BRAZIL. Ministry of Health. Protocol for safe surgery. Protocol that is part of the National Patient Safety Program. National Health Surveillance Agency. Oswaldo Cruz Foundation. 2013c. Available at: https://proqualis.net/sites/proqualis.net/files/0000024279j862R.pdf.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22. BRAZIL. Ministry of Health. Ordinance No. 1,377, of July 9, 2013. Approves the Basic Patient Safety Protocols. Official Gazette of the Union, Brasília, July 9, 2013d. Available at: http://bvsms.saude.gov.br/bvs/saudelegis/gm/2013/prt1377_09_07_2013.html. Accessed on: February 16,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23. BRAZIL. Ministry of Health. Ordinance No. 2,095 of September 24, 2013. Approves the Basic Patient Safety Protocols. Official Gazette of the Union, Brasília, September 24, 2013e. Available at: http://bvsms.saude.gov.br/bvs/saudelegis/gm/2013/prt2095_24_09_2013.html. Accessed on: February 16,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24. BRAZIL. Ministry of Health. Ordinance No. 529 of April 1, 2013. Institutes the National Patient Safety Program (PNSP). Official Gazette of the Union, Brasília, April 1, 2013f. Available at: http://bvsms.saude.gov.br/bvs/saudelegis/gm/2013/prt0529_01_04_2013.html. Accessed on: February 16,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25. BRAZIL. Ministry of Health. Patient identification protocol. Protocol that is part of the National Patient Safety Program. National Health Surveillance Agency. Oswaldo Cruz Foundation. 2013g. Available at: https://proqualis.net/sites/proqualis.net/files/Protocolo%20de%20Identifica%C3%A7 %C3%A3o%20do%20Paciente.pdf.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26. BRAZIL. Ministry of Health. Protocol for the practice of hand hygiene in health services. Protocol that is part of the National Patient Safety Program. National Health Surveillance Agency. Oswaldo Cruz Foundation. 2013h. Available at: https://proqualis.net/sites/proqualis.net/files/000002428z8pha4.pdf.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27. BRAZIL. Ministry of Health. Protocol for the prevention of pressure ulcers. Protocol that is part of the National Patient Safety Program. National Health Surveillance Agency. Oswaldo Cruz Foundation. 2013i. Available at: https://proqualis.net/sites/proqualis.net/files/000002429jFPtGg.pdf.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28. BRAZIL. Resolution RDC No. 36 of July 25, 2013. Institutes actions for patient safety in health services and contains other provisions. Official Gazette of the Union, Brasília, July 25. 2013j. Available at: http://bvsms.saude.gov.br/bvs/saudelegis/anvisa/2013/rdc0036_25_07_2013.html. Accessed on: February 16,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29. COREN DF. Good patient safety practices in different health scenarios. Regional Nursing Council of the Federal District. 1st Edition, Brasília, 2020, p. 68.</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30. COSTA, C. N. D. Health Incident Reporting System: proposed action plan. 2019. Dissertation (Professional Master's Degree in Health and Technology in the Hospital Space) – Federal University of the State of Rio de Janeiro, Rio de Janeiro, 2019. 115 p. Available at: http://www.unirio.br/prae/ppgsteh/produtos1/relatorio-de-pesquisa-trabalho-de-conclusao/turma-2017/claudia-novaisdias/sistema-de-notificacao-de-incidentes-em-saude-proposta-de-plano-de-acao. Accessed on: February 18,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31. COUTO, R. C.; PEDROSA, T. M. G.; ROSA, M. B. Mistakes happen: the power of transparency to address adverse care events in hospitalized patients. Institute of Supplemental Health Studies, p. 49, 2016. Available at: http://www.ismp-brasil.org/site/wp-content/uploads/2016/10/Estudoeventos-adversos-no-Brasil-2016.pdf. Accessed on: November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lastRenderedPageBreak/>
        <w:t>32. CUNHA, E. M. D.; GOMES, L. G. A. Adverse Events Related to</w:t>
      </w:r>
      <w:r w:rsidRPr="00C13CB2">
        <w:t xml:space="preserve"> </w:t>
      </w:r>
      <w:r w:rsidRPr="00C13CB2">
        <w:rPr>
          <w:rFonts w:ascii="Arial" w:eastAsia="Arial" w:hAnsi="Arial" w:cs="Arial"/>
          <w:color w:val="000000"/>
          <w:lang w:val="pt-BR"/>
        </w:rPr>
        <w:t>ionized with Health Care in Ceará. Revista Cadernos ESP CEARÁ, v. 13, nº 2, p. 131- 147, Jul./Dec., 2019. Available at: https://cadernos.esp.ce.gov.br/index.php/cadernos/article/view/204. Accessed on: Nov. 25,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33. ESPERÓN, J. M. T. Quantitative Research in Nursing Science. Anna Nery School Nursing Journal, v. 21, nº1, p. 1-2, 2017. Available at: https://www.scielo.br/j/ean/a/6c6QJ6BLDW3YRjFzfXwMMkC/?lang=pt&amp;format=pdf. Accessed on: Sep. 5, 2021.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34. FIGUEIREDO, M. L.; SILVA, C. S. O.; BRITO, M. F. S. F. et al. Analysis of the occurrence of reported incidents in a general hospital. Brazilian Journal of Nursing, v. 71, n. 1, p.121-30, Feb. 2018. Available at: https://www.scielo.br/scielo.php?pid=S0034- 71672018000100111&amp;script=sci_abstract&amp;tlng=pt. Accessed on: March 2,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35. FIOCRUZ. Proqualis. Adverse event statistics around the world. Rio de Janeiro, 2016. Available at: https://proqualis.net/artigo/estat%C3%ADsticas-deeventos-adversos-pelo-mundo. Accessed on: March 12, 2021. 51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36. FURINI, A. C. A; NUNES, A. A.; DALLORA, M. E. L. V. Reporting of adverse events: characterization of events occurring in a hospital complex. Revista Gaúcha de Enfermagem, v. 40, special series, p. 1-9, 2019. Available at: https://www.scielo.br/scielo.php?script=sci_arttext&amp;pid=S1983-14472019000200419. Accessed on: March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37. GOMES, A. T. L.; SALVADOR, P. T. C. O.; RODRIGUES, C. C. F. M. et al. Patient safety in the paths taken by Brazilian nursing. Revista Brasileira de Enfermagem, v. 2, n. 2, p. 70, nº 1, p. 146-154, 2017. Available at: https://www.scielo.br/pdf/reben/v70n1/0034-7167-reben-70-01-0146.pdf. Accessed on: March 15, 2021.</w:t>
      </w:r>
    </w:p>
    <w:p w:rsidR="00E63473"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 xml:space="preserve">38. GOMES, A. T. L.; SILVA, M. F.; MORAIS, S. H. M. et al. Human error and safety culture in light of the “Swiss cheese” theory: reflective analysis. Revista de Enfermagem UFPE On line, v. 10, nº 4, p. 3646-3652, September, 2016. Available at: https://periodicos.ufpe.br/revistas/revistaenfermagem/article/view/11139. Accessed on: March 2, 2021. 2021. </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39. GOMES, F. A. L.; CAÑEDO, M. C. et al. Analysis of adverse events related to health care. Acervo Saúde Electronic Journal, v. 13, nº 4, p. 1-9, 2021. Available at: https://acervomais.com.br/index.php/saude/article/view/6887/4481. Accessed on: November 15, 2021. HOFFMEISTER, L. V.;</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40. MOURA, G. M. S. S.; MACEDO, A. P. M. C. Learning from mistakes: analysis of incidents in a neonatal care unit. Latin American Journal of Nursing, v. 27, p. 1-8, 2019. Available at: https://www.scielo.br/j/rlae/a/pjz5ZTR9RgfSrbg86Nv5WNy/?format=pdf&amp;lang=pt. Accessed on: November 14,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41. Joint Commission International (JCI). Joint Commission International Accreditation Standards for Hospitals. 4th ed. Rio de Janeiro, 2011. KOHN, L. T; CORRIGAN, J. M; DONALDSON, M. S. Committee on quality of health care in America Institute of Medicine. To err is human: building a safer health system. Washington: National Academy Press, 2000. Available at: https://pubmed.ncbi.nlm.nih.gov/25077248/. Accessed on: February 17,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42. LANZILLOTTI, L. S.; SETA, M. H.; ANDRADE, C. L. T. et al. Adverse events and other incidents in neonatal intensive care units. Ciência e Saúde Coletiva. v. 20, nº 3, p. 937-946, 2015. Available at: https:// doi.org/10.1590/1413- 81232015203.16912013. Accessed on: February 20,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43. LANZILLOTTI, L. S.; ANDRADE, C. L. T.; MENDES, W. et al. Adverse events and incidents without harm in newborns reported in Brazil, from 2007 to 2013. Cadernos de Saúde Pública, v. 20, n. 3, p. 32, nº 9, 2016. Available at: https://www.scielo.br/j/csp/a/Cp9BjnvNRCgGpLBym4pyTbQ/?lang=pt. Accessed on: November 11,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44. LIMA, P. S. C; BARBOSA, F. F. S. Occurrence of adverse events as indicators of quality of care in an intensive care unit. Revista Enfermagem UERJ, v. 23, n° 2, p. 222-228, March/April, 2015. Available at: https://www.epublicacoes.uerj.br/index.php/enfermagemuerj/article/view/6076/12794. Accessed on: November 15,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45. MAIA, C. S.; FREITAS, D. R. C.; GALLO, L. G. et al. Reports of adverse events related to health care that led to deaths in Brazil, 2014-2016. Epidemiology and Health Services, v. 27, no. 2, p. 1-10, 2018. Available at: https://www.scielo.br/pdf/ress/v27n2/2237-9622-ress-27-02- e2017320.pdf. Accessed on: March 31,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46. MATOZINHOS, F. P, ​​VELASQUEZ-MELENDEZ, G, TIENSOLI, S. D. et al. Factors associated with the incidence of pressure ulcers during hospitalization. Journal of the USP School of Nursing, v. 51, p. 1-7, 2017. Available at: https://www.scielo.br/j/reeusp/a/YhkT3FzHB4rWNRPtWRJLjdB/?format=pdf&amp;lang=pt. Accessed on: November 22,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 xml:space="preserve">47. </w:t>
      </w:r>
      <w:r w:rsidR="00E63473" w:rsidRPr="00E63473">
        <w:rPr>
          <w:rFonts w:ascii="Arial" w:eastAsia="Arial" w:hAnsi="Arial" w:cs="Arial"/>
          <w:color w:val="000000"/>
          <w:lang w:val="pt-BR"/>
        </w:rPr>
        <w:t xml:space="preserve">MELLO, Lucas Rodrigo Garcia de; CHRISTOVAM, Barbara Pompeu; REBUSTINI, Flávio; MOREIRA, Ana Paula Amorim; MORAES, Érica Brandão de; PAES, Graciele Oroski. Instrumento brasileiro para investigação de eventos adversos na saúde: estudo de validação. Acta Paulista de Enfermagem, São Paulo, v. 37, </w:t>
      </w:r>
      <w:proofErr w:type="gramStart"/>
      <w:r w:rsidR="00E63473" w:rsidRPr="00E63473">
        <w:rPr>
          <w:rFonts w:ascii="Arial" w:eastAsia="Arial" w:hAnsi="Arial" w:cs="Arial"/>
          <w:color w:val="000000"/>
          <w:lang w:val="pt-BR"/>
        </w:rPr>
        <w:t>eAPE001125</w:t>
      </w:r>
      <w:proofErr w:type="gramEnd"/>
      <w:r w:rsidR="00E63473" w:rsidRPr="00E63473">
        <w:rPr>
          <w:rFonts w:ascii="Arial" w:eastAsia="Arial" w:hAnsi="Arial" w:cs="Arial"/>
          <w:color w:val="000000"/>
          <w:lang w:val="pt-BR"/>
        </w:rPr>
        <w:t>, 2024.</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48. MILANI, M. L.; VANDRESEN, F. The national patient safety program and its implications for health services as a relevant aspect of regional development. DRd - Regional Development in debate, v. 9, p. 478–505, 2019. Available at: https://www.periodicos.unc.br/index.php/drd/article/view/2089. Accessed on: May 28,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49. MOREIRA, I. A. Reporting of adverse events: the knowledge and practice of nurses. 2018. Undergraduate Course Completion Work (Bachelor's Degree in Nursing) - Universidade Federal de Goiás, Goiânia, 2018. Available: https://repositorio.bc.ufg.br/tede/handle/tede/8759. Accessed on: February 20, 2021.</w:t>
      </w:r>
    </w:p>
    <w:p w:rsidR="00C13CB2" w:rsidRPr="00C13CB2" w:rsidRDefault="00C13CB2" w:rsidP="00C13CB2">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50. PEDREIRA, M. L. G. Nursing for patient safety. Acta Paulista de Enfermagem, v. 22, no. 4, 2009. Available at: https://www.scielo.br/scielo.php?script=sci_arttext&amp;pid=S0103-21002009000400001. Accessed on: March 31, 2021.</w:t>
      </w:r>
    </w:p>
    <w:p w:rsidR="00C13CB2" w:rsidRPr="005F0BC0" w:rsidRDefault="00C13CB2" w:rsidP="005F0BC0">
      <w:pPr>
        <w:jc w:val="both"/>
      </w:pPr>
      <w:r w:rsidRPr="00C13CB2">
        <w:rPr>
          <w:rFonts w:ascii="Arial" w:eastAsia="Arial" w:hAnsi="Arial" w:cs="Arial"/>
          <w:color w:val="000000"/>
          <w:lang w:val="pt-BR"/>
        </w:rPr>
        <w:t xml:space="preserve">51. </w:t>
      </w:r>
      <w:r w:rsidR="005F0BC0">
        <w:rPr>
          <w:rFonts w:ascii="Arial" w:hAnsi="Arial" w:cs="Arial"/>
          <w:color w:val="222222"/>
          <w:shd w:val="clear" w:color="auto" w:fill="FFFFFF"/>
        </w:rPr>
        <w:t>PEREIRA, A.R. a et al. Avaliação das queixas técnicas relacionadas à tecnovigilância em hospitais federais do Rio de Janeiro no período de 2018 a 2020 comunicadas no NOTIVISA. </w:t>
      </w:r>
      <w:proofErr w:type="gramStart"/>
      <w:r w:rsidR="005F0BC0">
        <w:rPr>
          <w:rFonts w:ascii="Arial" w:hAnsi="Arial" w:cs="Arial"/>
          <w:b/>
          <w:bCs/>
          <w:color w:val="222222"/>
          <w:shd w:val="clear" w:color="auto" w:fill="FFFFFF"/>
        </w:rPr>
        <w:t>Revista Sustinere</w:t>
      </w:r>
      <w:r w:rsidR="005F0BC0">
        <w:rPr>
          <w:rFonts w:ascii="Arial" w:hAnsi="Arial" w:cs="Arial"/>
          <w:color w:val="222222"/>
          <w:shd w:val="clear" w:color="auto" w:fill="FFFFFF"/>
        </w:rPr>
        <w:t>, v. 12, n. 2, 2024.</w:t>
      </w:r>
      <w:proofErr w:type="gramEnd"/>
      <w:r w:rsidR="005F0BC0" w:rsidRPr="00547A00">
        <w:t xml:space="preserve">  </w:t>
      </w:r>
    </w:p>
    <w:p w:rsidR="00C13CB2" w:rsidRPr="00C13CB2"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lastRenderedPageBreak/>
        <w:t>52. RAIMONDI, D. C; BERNAL, S. C. Z.; OLIVEIRA, J. L. C. et al. Patient safety culture in primary health care: analysis by professional categories. 53 Revista Gaúcha de Enfermagem, v. 40, special issue, p. 1-9, 2019. Available at: https://www.scielo.br/j/rgenf/a/ZQY357fz6cmbgCK9Mjpp4bK/? format=pdf&amp;lang=pt. Accessed on: November 14, 2021.</w:t>
      </w:r>
    </w:p>
    <w:p w:rsidR="005F0BC0" w:rsidRDefault="00C13CB2" w:rsidP="005F0BC0">
      <w:pPr>
        <w:jc w:val="both"/>
        <w:rPr>
          <w:rFonts w:ascii="Arial" w:hAnsi="Arial" w:cs="Arial"/>
          <w:color w:val="222222"/>
          <w:shd w:val="clear" w:color="auto" w:fill="FFFFFF"/>
        </w:rPr>
      </w:pPr>
      <w:r w:rsidRPr="00C13CB2">
        <w:rPr>
          <w:rFonts w:ascii="Arial" w:eastAsia="Arial" w:hAnsi="Arial" w:cs="Arial"/>
          <w:color w:val="000000"/>
          <w:lang w:val="pt-BR"/>
        </w:rPr>
        <w:t xml:space="preserve">53. </w:t>
      </w:r>
      <w:proofErr w:type="gramStart"/>
      <w:r w:rsidR="005F0BC0">
        <w:rPr>
          <w:rFonts w:ascii="Arial" w:hAnsi="Arial" w:cs="Arial"/>
          <w:color w:val="222222"/>
          <w:shd w:val="clear" w:color="auto" w:fill="FFFFFF"/>
        </w:rPr>
        <w:t>VILLAR; MARTINS; RABELLO.</w:t>
      </w:r>
      <w:proofErr w:type="gramEnd"/>
      <w:r w:rsidR="005F0BC0">
        <w:rPr>
          <w:rFonts w:ascii="Arial" w:hAnsi="Arial" w:cs="Arial"/>
          <w:color w:val="222222"/>
          <w:shd w:val="clear" w:color="auto" w:fill="FFFFFF"/>
        </w:rPr>
        <w:t xml:space="preserve"> Incidentes e eventos adversos de segurança do paciente notificados pelos cidadãos no Brasil: estudo descritivo, 2014-2018. </w:t>
      </w:r>
      <w:r w:rsidR="005F0BC0">
        <w:rPr>
          <w:rFonts w:ascii="Arial" w:hAnsi="Arial" w:cs="Arial"/>
          <w:b/>
          <w:bCs/>
          <w:color w:val="222222"/>
          <w:shd w:val="clear" w:color="auto" w:fill="FFFFFF"/>
        </w:rPr>
        <w:t>Epidemiologia e Serviços de Saúde</w:t>
      </w:r>
      <w:r w:rsidR="005F0BC0">
        <w:rPr>
          <w:rFonts w:ascii="Arial" w:hAnsi="Arial" w:cs="Arial"/>
          <w:color w:val="222222"/>
          <w:shd w:val="clear" w:color="auto" w:fill="FFFFFF"/>
        </w:rPr>
        <w:t>, v. 30, p. e2021005, 2021.</w:t>
      </w:r>
      <w:r w:rsidR="005F0BC0" w:rsidRPr="007C3F9A">
        <w:rPr>
          <w:rFonts w:ascii="Arial" w:hAnsi="Arial" w:cs="Arial"/>
          <w:color w:val="222222"/>
          <w:shd w:val="clear" w:color="auto" w:fill="FFFFFF"/>
        </w:rPr>
        <w:t xml:space="preserve"> </w:t>
      </w:r>
    </w:p>
    <w:p w:rsidR="00C13CB2" w:rsidRPr="00C13CB2"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54. SAGAWA, M. R.; SILVA, A. E. B. C.; LIMA, J. C. et al. Analysis of reportable circumstances: incidents that may compromise patient safety. Cogitare Nursing, v. 24, special issue, p. 1-12, 2019. Available at: http://dx.doi.org/10.5380/ce.v24i0.61984. Accessed on: November 14, 2021.</w:t>
      </w:r>
    </w:p>
    <w:p w:rsidR="00C13CB2" w:rsidRPr="00C13CB2"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55. SILVA, H. R.; COSTA, R. H. F.; NETO, J. C. P. et al. Analysis of incidents reported to the National Health Surveillance Notification System (NOTIVISA) in Brazil from 2014 to 2019. Pesquisa, Sociedade e Desenvolvimento, v. 9, nº 7, p. 1-17, 2020. Available at: https://www.researchgate.net/publication/342592553_Analise_dos_incidentes_notific ados_ao_Sistema_Nacional_de_Notificacoes_para_a_Vigilancia_Sanitaria_NOTIVIS A_no_Brasil_de_2014_a_2019. Accessed on: February 11, 2021.</w:t>
      </w:r>
    </w:p>
    <w:p w:rsidR="005F0BC0"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 xml:space="preserve">56. </w:t>
      </w:r>
      <w:r w:rsidR="005F0BC0" w:rsidRPr="005F0BC0">
        <w:rPr>
          <w:rFonts w:ascii="Arial" w:eastAsia="Arial" w:hAnsi="Arial" w:cs="Arial"/>
          <w:color w:val="000000"/>
          <w:lang w:val="pt-BR"/>
        </w:rPr>
        <w:t xml:space="preserve">The Global Patient Safety Collaborative (GPSC) is a strategic initiative established by the joint efforts of WHO and the Government of the United Kingdom of Great Britain and Northern Ireland, which recognizes the importance of patient safety as one of the critical components of health care </w:t>
      </w:r>
      <w:proofErr w:type="gramStart"/>
      <w:r w:rsidR="005F0BC0" w:rsidRPr="005F0BC0">
        <w:rPr>
          <w:rFonts w:ascii="Arial" w:eastAsia="Arial" w:hAnsi="Arial" w:cs="Arial"/>
          <w:color w:val="000000"/>
          <w:lang w:val="pt-BR"/>
        </w:rPr>
        <w:t>delivery</w:t>
      </w:r>
      <w:proofErr w:type="gramEnd"/>
      <w:r w:rsidR="005F0BC0" w:rsidRPr="005F0BC0">
        <w:rPr>
          <w:rFonts w:ascii="Arial" w:eastAsia="Arial" w:hAnsi="Arial" w:cs="Arial"/>
          <w:color w:val="000000"/>
          <w:lang w:val="pt-BR"/>
        </w:rPr>
        <w:t xml:space="preserve"> systems, essential to progressing towards universal health coverage and achieving the Sustainable Development Goals  (WHO,2021).</w:t>
      </w:r>
    </w:p>
    <w:p w:rsidR="00C13CB2" w:rsidRPr="00C13CB2"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57. TYLL, M. G.; LIMA, S. C.; CARVALHO, S. L. S. et al. Patient safety: reporting of incidents in reference hospitals. Enfermagem Brasil, v. 18, nº 6, p. 730-736, 2019. Available at: https://www.portalatlanticaeditora.com.br/index.php/enfermagembrasil/article/view/28 34. Accessed on: February 12, 2021.</w:t>
      </w:r>
    </w:p>
    <w:p w:rsidR="00C13CB2" w:rsidRPr="00C13CB2"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58. World Health Organization (WHO). 10 facts on patient safety. Geneva, 2019. Available at: https://www.who.int/news-room/photo-story/photo-story-detail/10-facts-on-patient-safety. Accessed on: March 12, 2021.</w:t>
      </w:r>
    </w:p>
    <w:p w:rsidR="00C13CB2" w:rsidRDefault="00C13CB2" w:rsidP="005F0BC0">
      <w:pPr>
        <w:pBdr>
          <w:top w:val="nil"/>
          <w:left w:val="nil"/>
          <w:bottom w:val="nil"/>
          <w:right w:val="nil"/>
          <w:between w:val="nil"/>
        </w:pBdr>
        <w:rPr>
          <w:rFonts w:ascii="Arial" w:eastAsia="Arial" w:hAnsi="Arial" w:cs="Arial"/>
          <w:color w:val="000000"/>
          <w:lang w:val="pt-BR"/>
        </w:rPr>
      </w:pPr>
      <w:r w:rsidRPr="00C13CB2">
        <w:rPr>
          <w:rFonts w:ascii="Arial" w:eastAsia="Arial" w:hAnsi="Arial" w:cs="Arial"/>
          <w:color w:val="000000"/>
          <w:lang w:val="pt-BR"/>
        </w:rPr>
        <w:t>59. World Health Organization (WHO). World Health Organization Bulletin 2017. 2017. Available at: https://www.who.int/bulletin/volumes/95/8/17-198002/en/. Accessed on: March 12, 2021.</w:t>
      </w:r>
    </w:p>
    <w:p w:rsidR="005F0BC0" w:rsidRPr="005F0BC0" w:rsidRDefault="005F0BC0" w:rsidP="005F0BC0">
      <w:pPr>
        <w:pBdr>
          <w:top w:val="nil"/>
          <w:left w:val="nil"/>
          <w:bottom w:val="nil"/>
          <w:right w:val="nil"/>
          <w:between w:val="nil"/>
        </w:pBdr>
        <w:rPr>
          <w:rFonts w:ascii="Arial" w:eastAsia="Arial" w:hAnsi="Arial" w:cs="Arial"/>
          <w:color w:val="000000"/>
          <w:lang w:val="pt-BR"/>
        </w:rPr>
      </w:pPr>
      <w:proofErr w:type="gramStart"/>
      <w:r>
        <w:rPr>
          <w:rFonts w:ascii="Arial" w:eastAsia="Arial" w:hAnsi="Arial" w:cs="Arial"/>
          <w:color w:val="000000"/>
          <w:lang w:val="pt-BR"/>
        </w:rPr>
        <w:t>60.</w:t>
      </w:r>
      <w:proofErr w:type="gramEnd"/>
      <w:r w:rsidRPr="005F0BC0">
        <w:rPr>
          <w:rFonts w:ascii="Arial" w:eastAsia="Arial" w:hAnsi="Arial" w:cs="Arial"/>
          <w:color w:val="000000"/>
          <w:lang w:val="pt-BR"/>
        </w:rPr>
        <w:t>World Health Organization. 2020. Protection of health and safety of health workers: checklist for healthcare facilities. Geneva: WHO (</w:t>
      </w:r>
      <w:proofErr w:type="gramStart"/>
      <w:r w:rsidRPr="005F0BC0">
        <w:rPr>
          <w:rFonts w:ascii="Arial" w:eastAsia="Arial" w:hAnsi="Arial" w:cs="Arial"/>
          <w:color w:val="000000"/>
          <w:lang w:val="pt-BR"/>
        </w:rPr>
        <w:t>https</w:t>
      </w:r>
      <w:proofErr w:type="gramEnd"/>
      <w:r w:rsidRPr="005F0BC0">
        <w:rPr>
          <w:rFonts w:ascii="Arial" w:eastAsia="Arial" w:hAnsi="Arial" w:cs="Arial"/>
          <w:color w:val="000000"/>
          <w:lang w:val="pt-BR"/>
        </w:rPr>
        <w:t>://www.who.int/publications/i/item/protection-of-healthand-safety-of-health-workers, acesso em 16 jul. 2021).</w:t>
      </w:r>
    </w:p>
    <w:p w:rsidR="005F0BC0" w:rsidRPr="00C13CB2" w:rsidRDefault="005F0BC0" w:rsidP="005F0BC0">
      <w:pPr>
        <w:pBdr>
          <w:top w:val="nil"/>
          <w:left w:val="nil"/>
          <w:bottom w:val="nil"/>
          <w:right w:val="nil"/>
          <w:between w:val="nil"/>
        </w:pBdr>
        <w:rPr>
          <w:rFonts w:ascii="Arial" w:eastAsia="Arial" w:hAnsi="Arial" w:cs="Arial"/>
          <w:color w:val="000000"/>
          <w:lang w:val="pt-BR"/>
        </w:rPr>
      </w:pPr>
      <w:proofErr w:type="gramStart"/>
      <w:r>
        <w:rPr>
          <w:rFonts w:ascii="Arial" w:eastAsia="Arial" w:hAnsi="Arial" w:cs="Arial"/>
          <w:color w:val="000000"/>
          <w:lang w:val="pt-BR"/>
        </w:rPr>
        <w:t>61.</w:t>
      </w:r>
      <w:proofErr w:type="gramEnd"/>
      <w:r w:rsidRPr="005F0BC0">
        <w:rPr>
          <w:rFonts w:ascii="Arial" w:eastAsia="Arial" w:hAnsi="Arial" w:cs="Arial"/>
          <w:color w:val="000000"/>
          <w:lang w:val="pt-BR"/>
        </w:rPr>
        <w:t>World Health Organization. 2021. Global Patient Safety Collaborative (GPSC) [website]. Geneva: WHO (</w:t>
      </w:r>
      <w:proofErr w:type="gramStart"/>
      <w:r w:rsidRPr="005F0BC0">
        <w:rPr>
          <w:rFonts w:ascii="Arial" w:eastAsia="Arial" w:hAnsi="Arial" w:cs="Arial"/>
          <w:color w:val="000000"/>
          <w:lang w:val="pt-BR"/>
        </w:rPr>
        <w:t>https</w:t>
      </w:r>
      <w:proofErr w:type="gramEnd"/>
      <w:r w:rsidRPr="005F0BC0">
        <w:rPr>
          <w:rFonts w:ascii="Arial" w:eastAsia="Arial" w:hAnsi="Arial" w:cs="Arial"/>
          <w:color w:val="000000"/>
          <w:lang w:val="pt-BR"/>
        </w:rPr>
        <w:t>://www.who.int/initiatives/global-patient-safety-collaborative, acesso em 24 feb. 2025).</w:t>
      </w:r>
    </w:p>
    <w:p w:rsidR="00A06B42" w:rsidRDefault="00A06B42" w:rsidP="005F0BC0">
      <w:pPr>
        <w:pBdr>
          <w:top w:val="nil"/>
          <w:left w:val="nil"/>
          <w:bottom w:val="nil"/>
          <w:right w:val="nil"/>
          <w:between w:val="nil"/>
        </w:pBdr>
        <w:ind w:left="360" w:hanging="360"/>
        <w:jc w:val="both"/>
        <w:rPr>
          <w:rFonts w:ascii="Arial" w:eastAsia="Arial" w:hAnsi="Arial" w:cs="Arial"/>
          <w:color w:val="000000"/>
        </w:rPr>
      </w:pPr>
    </w:p>
    <w:p w:rsidR="00A06B42" w:rsidRDefault="00A06B42" w:rsidP="005F0BC0">
      <w:pPr>
        <w:pBdr>
          <w:top w:val="nil"/>
          <w:left w:val="nil"/>
          <w:bottom w:val="nil"/>
          <w:right w:val="nil"/>
          <w:between w:val="nil"/>
        </w:pBdr>
        <w:jc w:val="both"/>
        <w:rPr>
          <w:rFonts w:ascii="Arial" w:eastAsia="Arial" w:hAnsi="Arial" w:cs="Arial"/>
          <w:color w:val="000000"/>
        </w:rPr>
      </w:pPr>
    </w:p>
    <w:p w:rsidR="00A06B42" w:rsidRDefault="00A06B42" w:rsidP="005F0BC0">
      <w:pPr>
        <w:keepNext/>
        <w:pBdr>
          <w:top w:val="nil"/>
          <w:left w:val="nil"/>
          <w:bottom w:val="nil"/>
          <w:right w:val="nil"/>
          <w:between w:val="nil"/>
        </w:pBdr>
        <w:jc w:val="both"/>
        <w:rPr>
          <w:rFonts w:ascii="Arial" w:eastAsia="Arial" w:hAnsi="Arial" w:cs="Arial"/>
          <w:smallCaps/>
          <w:color w:val="000000"/>
          <w:sz w:val="22"/>
          <w:szCs w:val="22"/>
        </w:rPr>
      </w:pPr>
    </w:p>
    <w:sectPr w:rsidR="00A06B42" w:rsidSect="00A4341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BB" w:rsidRDefault="007670BB">
      <w:r>
        <w:separator/>
      </w:r>
    </w:p>
  </w:endnote>
  <w:endnote w:type="continuationSeparator" w:id="0">
    <w:p w:rsidR="007670BB" w:rsidRDefault="007670BB">
      <w:r>
        <w:continuationSeparator/>
      </w:r>
    </w:p>
  </w:endnote>
</w:endnotes>
</file>

<file path=word/fontTable.xml><?xml version="1.0" encoding="utf-8"?>
<w:fonts xmlns:r="http://schemas.openxmlformats.org/officeDocument/2006/relationships" xmlns:w="http://schemas.openxmlformats.org/wordprocessingml/2006/main">
  <w:font w:name="Helvetica Neue">
    <w:altName w:val="SimSu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AD" w:rsidRDefault="001C35A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42" w:rsidRDefault="00A06B42">
    <w:pPr>
      <w:pBdr>
        <w:top w:val="nil"/>
        <w:left w:val="nil"/>
        <w:bottom w:val="nil"/>
        <w:right w:val="nil"/>
        <w:between w:val="nil"/>
      </w:pBdr>
      <w:tabs>
        <w:tab w:val="center" w:pos="4320"/>
        <w:tab w:val="right" w:pos="8640"/>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AD" w:rsidRDefault="001C35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BB" w:rsidRDefault="007670BB">
      <w:r>
        <w:separator/>
      </w:r>
    </w:p>
  </w:footnote>
  <w:footnote w:type="continuationSeparator" w:id="0">
    <w:p w:rsidR="007670BB" w:rsidRDefault="00767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AD" w:rsidRDefault="00A4341B">
    <w:pPr>
      <w:pStyle w:val="Cabealho"/>
    </w:pPr>
    <w:r w:rsidRPr="00A434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8361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AD" w:rsidRDefault="00A4341B">
    <w:pPr>
      <w:pStyle w:val="Cabealho"/>
    </w:pPr>
    <w:r w:rsidRPr="00A434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8361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AD" w:rsidRDefault="00A4341B">
    <w:pPr>
      <w:pStyle w:val="Cabealho"/>
    </w:pPr>
    <w:r w:rsidRPr="00A434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83609"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4CD4"/>
    <w:multiLevelType w:val="multilevel"/>
    <w:tmpl w:val="584014A8"/>
    <w:lvl w:ilvl="0">
      <w:start w:val="4"/>
      <w:numFmt w:val="decimal"/>
      <w:lvlText w:val="%1."/>
      <w:lvlJc w:val="left"/>
      <w:pPr>
        <w:ind w:left="26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BA69E8"/>
    <w:multiLevelType w:val="multilevel"/>
    <w:tmpl w:val="54BAFB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06B42"/>
    <w:rsid w:val="000B1FB5"/>
    <w:rsid w:val="000E6B25"/>
    <w:rsid w:val="00110B4C"/>
    <w:rsid w:val="0012584C"/>
    <w:rsid w:val="00155743"/>
    <w:rsid w:val="001A34E7"/>
    <w:rsid w:val="001C35AD"/>
    <w:rsid w:val="001E4745"/>
    <w:rsid w:val="001F7B26"/>
    <w:rsid w:val="00213719"/>
    <w:rsid w:val="00267D51"/>
    <w:rsid w:val="002A3235"/>
    <w:rsid w:val="0033446E"/>
    <w:rsid w:val="00336E06"/>
    <w:rsid w:val="0039782F"/>
    <w:rsid w:val="003B198E"/>
    <w:rsid w:val="003B3208"/>
    <w:rsid w:val="003B7E43"/>
    <w:rsid w:val="00416D34"/>
    <w:rsid w:val="00417539"/>
    <w:rsid w:val="00420BB6"/>
    <w:rsid w:val="0044487D"/>
    <w:rsid w:val="004463AF"/>
    <w:rsid w:val="005104D5"/>
    <w:rsid w:val="005119A6"/>
    <w:rsid w:val="00516DC5"/>
    <w:rsid w:val="00531148"/>
    <w:rsid w:val="00572471"/>
    <w:rsid w:val="00575D5C"/>
    <w:rsid w:val="005D41F7"/>
    <w:rsid w:val="005F0BC0"/>
    <w:rsid w:val="0063696C"/>
    <w:rsid w:val="00640C21"/>
    <w:rsid w:val="0065575D"/>
    <w:rsid w:val="006675D5"/>
    <w:rsid w:val="006E0BD6"/>
    <w:rsid w:val="006F5A4F"/>
    <w:rsid w:val="006F6327"/>
    <w:rsid w:val="00765DF0"/>
    <w:rsid w:val="007670BB"/>
    <w:rsid w:val="007750D0"/>
    <w:rsid w:val="00795B1A"/>
    <w:rsid w:val="007A04C0"/>
    <w:rsid w:val="007B19F7"/>
    <w:rsid w:val="007D6645"/>
    <w:rsid w:val="007E114B"/>
    <w:rsid w:val="007F16BB"/>
    <w:rsid w:val="0080563D"/>
    <w:rsid w:val="0086322E"/>
    <w:rsid w:val="0086515A"/>
    <w:rsid w:val="008B5C31"/>
    <w:rsid w:val="008E1D63"/>
    <w:rsid w:val="009826D0"/>
    <w:rsid w:val="009A195B"/>
    <w:rsid w:val="00A06B42"/>
    <w:rsid w:val="00A4341B"/>
    <w:rsid w:val="00A555E7"/>
    <w:rsid w:val="00A93B2E"/>
    <w:rsid w:val="00AB7AC2"/>
    <w:rsid w:val="00B12AAA"/>
    <w:rsid w:val="00B417BE"/>
    <w:rsid w:val="00B502A5"/>
    <w:rsid w:val="00B54ED8"/>
    <w:rsid w:val="00B968F0"/>
    <w:rsid w:val="00BB71D9"/>
    <w:rsid w:val="00C063CF"/>
    <w:rsid w:val="00C13CB2"/>
    <w:rsid w:val="00C80BC4"/>
    <w:rsid w:val="00CA3478"/>
    <w:rsid w:val="00CE3487"/>
    <w:rsid w:val="00D47996"/>
    <w:rsid w:val="00D571C2"/>
    <w:rsid w:val="00D63EE0"/>
    <w:rsid w:val="00DC4FE0"/>
    <w:rsid w:val="00DE4D20"/>
    <w:rsid w:val="00DF2FA8"/>
    <w:rsid w:val="00E63473"/>
    <w:rsid w:val="00EA29CF"/>
    <w:rsid w:val="00EC2A69"/>
    <w:rsid w:val="00EC3F9C"/>
    <w:rsid w:val="00EC4056"/>
    <w:rsid w:val="00EC5D91"/>
    <w:rsid w:val="00EE15C8"/>
    <w:rsid w:val="00EF78AA"/>
    <w:rsid w:val="00F43F6C"/>
    <w:rsid w:val="00F510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Neue" w:eastAsia="Helvetica Neue" w:hAnsi="Helvetica Neue" w:cs="Helvetica Neue"/>
        <w:lang w:val="en-US"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41B"/>
  </w:style>
  <w:style w:type="paragraph" w:styleId="Ttulo1">
    <w:name w:val="heading 1"/>
    <w:basedOn w:val="Normal"/>
    <w:next w:val="Normal"/>
    <w:uiPriority w:val="9"/>
    <w:qFormat/>
    <w:rsid w:val="00A4341B"/>
    <w:pPr>
      <w:keepNext/>
      <w:spacing w:before="240" w:after="60"/>
      <w:outlineLvl w:val="0"/>
    </w:pPr>
    <w:rPr>
      <w:rFonts w:ascii="Arial" w:eastAsia="Arial" w:hAnsi="Arial" w:cs="Arial"/>
      <w:b/>
      <w:sz w:val="28"/>
      <w:szCs w:val="28"/>
    </w:rPr>
  </w:style>
  <w:style w:type="paragraph" w:styleId="Ttulo2">
    <w:name w:val="heading 2"/>
    <w:basedOn w:val="Normal"/>
    <w:next w:val="Normal"/>
    <w:uiPriority w:val="9"/>
    <w:semiHidden/>
    <w:unhideWhenUsed/>
    <w:qFormat/>
    <w:rsid w:val="00A4341B"/>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4341B"/>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4341B"/>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A4341B"/>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A4341B"/>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A4341B"/>
    <w:tblPr>
      <w:tblCellMar>
        <w:top w:w="0" w:type="dxa"/>
        <w:left w:w="0" w:type="dxa"/>
        <w:bottom w:w="0" w:type="dxa"/>
        <w:right w:w="0" w:type="dxa"/>
      </w:tblCellMar>
    </w:tblPr>
  </w:style>
  <w:style w:type="paragraph" w:styleId="Ttulo">
    <w:name w:val="Title"/>
    <w:basedOn w:val="Normal"/>
    <w:next w:val="Normal"/>
    <w:uiPriority w:val="10"/>
    <w:qFormat/>
    <w:rsid w:val="00A4341B"/>
    <w:pPr>
      <w:spacing w:after="360"/>
      <w:jc w:val="right"/>
    </w:pPr>
    <w:rPr>
      <w:b/>
      <w:sz w:val="36"/>
      <w:szCs w:val="36"/>
    </w:rPr>
  </w:style>
  <w:style w:type="paragraph" w:styleId="Subttulo">
    <w:name w:val="Subtitle"/>
    <w:basedOn w:val="Normal"/>
    <w:next w:val="Normal"/>
    <w:uiPriority w:val="11"/>
    <w:qFormat/>
    <w:rsid w:val="00A4341B"/>
    <w:pPr>
      <w:keepNext/>
      <w:keepLines/>
      <w:spacing w:before="360" w:after="80"/>
    </w:pPr>
    <w:rPr>
      <w:rFonts w:ascii="Georgia" w:eastAsia="Georgia" w:hAnsi="Georgia" w:cs="Georgia"/>
      <w:i/>
      <w:color w:val="666666"/>
      <w:sz w:val="48"/>
      <w:szCs w:val="48"/>
    </w:rPr>
  </w:style>
  <w:style w:type="table" w:customStyle="1" w:styleId="a">
    <w:basedOn w:val="TableNormal1"/>
    <w:rsid w:val="00A4341B"/>
    <w:tblPr>
      <w:tblStyleRowBandSize w:val="1"/>
      <w:tblStyleColBandSize w:val="1"/>
      <w:tblCellMar>
        <w:top w:w="0" w:type="dxa"/>
        <w:left w:w="115" w:type="dxa"/>
        <w:bottom w:w="0" w:type="dxa"/>
        <w:right w:w="115" w:type="dxa"/>
      </w:tblCellMar>
    </w:tblPr>
  </w:style>
  <w:style w:type="paragraph" w:styleId="Pr-formataoHTML">
    <w:name w:val="HTML Preformatted"/>
    <w:basedOn w:val="Normal"/>
    <w:link w:val="Pr-formataoHTMLChar"/>
    <w:uiPriority w:val="99"/>
    <w:semiHidden/>
    <w:unhideWhenUsed/>
    <w:rsid w:val="00B968F0"/>
    <w:rPr>
      <w:rFonts w:ascii="Consolas" w:hAnsi="Consolas"/>
    </w:rPr>
  </w:style>
  <w:style w:type="character" w:customStyle="1" w:styleId="Pr-formataoHTMLChar">
    <w:name w:val="Pré-formatação HTML Char"/>
    <w:basedOn w:val="Fontepargpadro"/>
    <w:link w:val="Pr-formataoHTML"/>
    <w:uiPriority w:val="99"/>
    <w:semiHidden/>
    <w:rsid w:val="00B968F0"/>
    <w:rPr>
      <w:rFonts w:ascii="Consolas" w:hAnsi="Consolas"/>
    </w:rPr>
  </w:style>
  <w:style w:type="character" w:styleId="Hyperlink">
    <w:name w:val="Hyperlink"/>
    <w:basedOn w:val="Fontepargpadro"/>
    <w:uiPriority w:val="99"/>
    <w:unhideWhenUsed/>
    <w:rsid w:val="00EA29CF"/>
    <w:rPr>
      <w:color w:val="0000FF" w:themeColor="hyperlink"/>
      <w:u w:val="single"/>
    </w:rPr>
  </w:style>
  <w:style w:type="character" w:customStyle="1" w:styleId="UnresolvedMention">
    <w:name w:val="Unresolved Mention"/>
    <w:basedOn w:val="Fontepargpadro"/>
    <w:uiPriority w:val="99"/>
    <w:semiHidden/>
    <w:unhideWhenUsed/>
    <w:rsid w:val="00EA29CF"/>
    <w:rPr>
      <w:color w:val="605E5C"/>
      <w:shd w:val="clear" w:color="auto" w:fill="E1DFDD"/>
    </w:rPr>
  </w:style>
  <w:style w:type="paragraph" w:styleId="Cabealho">
    <w:name w:val="header"/>
    <w:basedOn w:val="Normal"/>
    <w:link w:val="CabealhoChar"/>
    <w:uiPriority w:val="99"/>
    <w:unhideWhenUsed/>
    <w:rsid w:val="001C35AD"/>
    <w:pPr>
      <w:tabs>
        <w:tab w:val="center" w:pos="4680"/>
        <w:tab w:val="right" w:pos="9360"/>
      </w:tabs>
    </w:pPr>
  </w:style>
  <w:style w:type="character" w:customStyle="1" w:styleId="CabealhoChar">
    <w:name w:val="Cabeçalho Char"/>
    <w:basedOn w:val="Fontepargpadro"/>
    <w:link w:val="Cabealho"/>
    <w:uiPriority w:val="99"/>
    <w:rsid w:val="001C35AD"/>
  </w:style>
  <w:style w:type="paragraph" w:styleId="Rodap">
    <w:name w:val="footer"/>
    <w:basedOn w:val="Normal"/>
    <w:link w:val="RodapChar"/>
    <w:uiPriority w:val="99"/>
    <w:unhideWhenUsed/>
    <w:rsid w:val="001C35AD"/>
    <w:pPr>
      <w:tabs>
        <w:tab w:val="center" w:pos="4680"/>
        <w:tab w:val="right" w:pos="9360"/>
      </w:tabs>
    </w:pPr>
  </w:style>
  <w:style w:type="character" w:customStyle="1" w:styleId="RodapChar">
    <w:name w:val="Rodapé Char"/>
    <w:basedOn w:val="Fontepargpadro"/>
    <w:link w:val="Rodap"/>
    <w:uiPriority w:val="99"/>
    <w:rsid w:val="001C35AD"/>
  </w:style>
  <w:style w:type="paragraph" w:styleId="Textodebalo">
    <w:name w:val="Balloon Text"/>
    <w:basedOn w:val="Normal"/>
    <w:link w:val="TextodebaloChar"/>
    <w:uiPriority w:val="99"/>
    <w:semiHidden/>
    <w:unhideWhenUsed/>
    <w:rsid w:val="005F0BC0"/>
    <w:rPr>
      <w:rFonts w:ascii="Tahoma" w:hAnsi="Tahoma" w:cs="Tahoma"/>
      <w:sz w:val="16"/>
      <w:szCs w:val="16"/>
    </w:rPr>
  </w:style>
  <w:style w:type="character" w:customStyle="1" w:styleId="TextodebaloChar">
    <w:name w:val="Texto de balão Char"/>
    <w:basedOn w:val="Fontepargpadro"/>
    <w:link w:val="Textodebalo"/>
    <w:uiPriority w:val="99"/>
    <w:semiHidden/>
    <w:rsid w:val="005F0B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4675">
      <w:bodyDiv w:val="1"/>
      <w:marLeft w:val="0"/>
      <w:marRight w:val="0"/>
      <w:marTop w:val="0"/>
      <w:marBottom w:val="0"/>
      <w:divBdr>
        <w:top w:val="none" w:sz="0" w:space="0" w:color="auto"/>
        <w:left w:val="none" w:sz="0" w:space="0" w:color="auto"/>
        <w:bottom w:val="none" w:sz="0" w:space="0" w:color="auto"/>
        <w:right w:val="none" w:sz="0" w:space="0" w:color="auto"/>
      </w:divBdr>
    </w:div>
    <w:div w:id="84111097">
      <w:bodyDiv w:val="1"/>
      <w:marLeft w:val="0"/>
      <w:marRight w:val="0"/>
      <w:marTop w:val="0"/>
      <w:marBottom w:val="0"/>
      <w:divBdr>
        <w:top w:val="none" w:sz="0" w:space="0" w:color="auto"/>
        <w:left w:val="none" w:sz="0" w:space="0" w:color="auto"/>
        <w:bottom w:val="none" w:sz="0" w:space="0" w:color="auto"/>
        <w:right w:val="none" w:sz="0" w:space="0" w:color="auto"/>
      </w:divBdr>
    </w:div>
    <w:div w:id="132648366">
      <w:bodyDiv w:val="1"/>
      <w:marLeft w:val="0"/>
      <w:marRight w:val="0"/>
      <w:marTop w:val="0"/>
      <w:marBottom w:val="0"/>
      <w:divBdr>
        <w:top w:val="none" w:sz="0" w:space="0" w:color="auto"/>
        <w:left w:val="none" w:sz="0" w:space="0" w:color="auto"/>
        <w:bottom w:val="none" w:sz="0" w:space="0" w:color="auto"/>
        <w:right w:val="none" w:sz="0" w:space="0" w:color="auto"/>
      </w:divBdr>
    </w:div>
    <w:div w:id="147793270">
      <w:bodyDiv w:val="1"/>
      <w:marLeft w:val="0"/>
      <w:marRight w:val="0"/>
      <w:marTop w:val="0"/>
      <w:marBottom w:val="0"/>
      <w:divBdr>
        <w:top w:val="none" w:sz="0" w:space="0" w:color="auto"/>
        <w:left w:val="none" w:sz="0" w:space="0" w:color="auto"/>
        <w:bottom w:val="none" w:sz="0" w:space="0" w:color="auto"/>
        <w:right w:val="none" w:sz="0" w:space="0" w:color="auto"/>
      </w:divBdr>
    </w:div>
    <w:div w:id="188036328">
      <w:bodyDiv w:val="1"/>
      <w:marLeft w:val="0"/>
      <w:marRight w:val="0"/>
      <w:marTop w:val="0"/>
      <w:marBottom w:val="0"/>
      <w:divBdr>
        <w:top w:val="none" w:sz="0" w:space="0" w:color="auto"/>
        <w:left w:val="none" w:sz="0" w:space="0" w:color="auto"/>
        <w:bottom w:val="none" w:sz="0" w:space="0" w:color="auto"/>
        <w:right w:val="none" w:sz="0" w:space="0" w:color="auto"/>
      </w:divBdr>
    </w:div>
    <w:div w:id="192503414">
      <w:bodyDiv w:val="1"/>
      <w:marLeft w:val="0"/>
      <w:marRight w:val="0"/>
      <w:marTop w:val="0"/>
      <w:marBottom w:val="0"/>
      <w:divBdr>
        <w:top w:val="none" w:sz="0" w:space="0" w:color="auto"/>
        <w:left w:val="none" w:sz="0" w:space="0" w:color="auto"/>
        <w:bottom w:val="none" w:sz="0" w:space="0" w:color="auto"/>
        <w:right w:val="none" w:sz="0" w:space="0" w:color="auto"/>
      </w:divBdr>
    </w:div>
    <w:div w:id="333993326">
      <w:bodyDiv w:val="1"/>
      <w:marLeft w:val="0"/>
      <w:marRight w:val="0"/>
      <w:marTop w:val="0"/>
      <w:marBottom w:val="0"/>
      <w:divBdr>
        <w:top w:val="none" w:sz="0" w:space="0" w:color="auto"/>
        <w:left w:val="none" w:sz="0" w:space="0" w:color="auto"/>
        <w:bottom w:val="none" w:sz="0" w:space="0" w:color="auto"/>
        <w:right w:val="none" w:sz="0" w:space="0" w:color="auto"/>
      </w:divBdr>
    </w:div>
    <w:div w:id="408500230">
      <w:bodyDiv w:val="1"/>
      <w:marLeft w:val="0"/>
      <w:marRight w:val="0"/>
      <w:marTop w:val="0"/>
      <w:marBottom w:val="0"/>
      <w:divBdr>
        <w:top w:val="none" w:sz="0" w:space="0" w:color="auto"/>
        <w:left w:val="none" w:sz="0" w:space="0" w:color="auto"/>
        <w:bottom w:val="none" w:sz="0" w:space="0" w:color="auto"/>
        <w:right w:val="none" w:sz="0" w:space="0" w:color="auto"/>
      </w:divBdr>
    </w:div>
    <w:div w:id="418796213">
      <w:bodyDiv w:val="1"/>
      <w:marLeft w:val="0"/>
      <w:marRight w:val="0"/>
      <w:marTop w:val="0"/>
      <w:marBottom w:val="0"/>
      <w:divBdr>
        <w:top w:val="none" w:sz="0" w:space="0" w:color="auto"/>
        <w:left w:val="none" w:sz="0" w:space="0" w:color="auto"/>
        <w:bottom w:val="none" w:sz="0" w:space="0" w:color="auto"/>
        <w:right w:val="none" w:sz="0" w:space="0" w:color="auto"/>
      </w:divBdr>
    </w:div>
    <w:div w:id="426730636">
      <w:bodyDiv w:val="1"/>
      <w:marLeft w:val="0"/>
      <w:marRight w:val="0"/>
      <w:marTop w:val="0"/>
      <w:marBottom w:val="0"/>
      <w:divBdr>
        <w:top w:val="none" w:sz="0" w:space="0" w:color="auto"/>
        <w:left w:val="none" w:sz="0" w:space="0" w:color="auto"/>
        <w:bottom w:val="none" w:sz="0" w:space="0" w:color="auto"/>
        <w:right w:val="none" w:sz="0" w:space="0" w:color="auto"/>
      </w:divBdr>
    </w:div>
    <w:div w:id="428045396">
      <w:bodyDiv w:val="1"/>
      <w:marLeft w:val="0"/>
      <w:marRight w:val="0"/>
      <w:marTop w:val="0"/>
      <w:marBottom w:val="0"/>
      <w:divBdr>
        <w:top w:val="none" w:sz="0" w:space="0" w:color="auto"/>
        <w:left w:val="none" w:sz="0" w:space="0" w:color="auto"/>
        <w:bottom w:val="none" w:sz="0" w:space="0" w:color="auto"/>
        <w:right w:val="none" w:sz="0" w:space="0" w:color="auto"/>
      </w:divBdr>
    </w:div>
    <w:div w:id="454910125">
      <w:bodyDiv w:val="1"/>
      <w:marLeft w:val="0"/>
      <w:marRight w:val="0"/>
      <w:marTop w:val="0"/>
      <w:marBottom w:val="0"/>
      <w:divBdr>
        <w:top w:val="none" w:sz="0" w:space="0" w:color="auto"/>
        <w:left w:val="none" w:sz="0" w:space="0" w:color="auto"/>
        <w:bottom w:val="none" w:sz="0" w:space="0" w:color="auto"/>
        <w:right w:val="none" w:sz="0" w:space="0" w:color="auto"/>
      </w:divBdr>
    </w:div>
    <w:div w:id="475030413">
      <w:bodyDiv w:val="1"/>
      <w:marLeft w:val="0"/>
      <w:marRight w:val="0"/>
      <w:marTop w:val="0"/>
      <w:marBottom w:val="0"/>
      <w:divBdr>
        <w:top w:val="none" w:sz="0" w:space="0" w:color="auto"/>
        <w:left w:val="none" w:sz="0" w:space="0" w:color="auto"/>
        <w:bottom w:val="none" w:sz="0" w:space="0" w:color="auto"/>
        <w:right w:val="none" w:sz="0" w:space="0" w:color="auto"/>
      </w:divBdr>
    </w:div>
    <w:div w:id="476844268">
      <w:bodyDiv w:val="1"/>
      <w:marLeft w:val="0"/>
      <w:marRight w:val="0"/>
      <w:marTop w:val="0"/>
      <w:marBottom w:val="0"/>
      <w:divBdr>
        <w:top w:val="none" w:sz="0" w:space="0" w:color="auto"/>
        <w:left w:val="none" w:sz="0" w:space="0" w:color="auto"/>
        <w:bottom w:val="none" w:sz="0" w:space="0" w:color="auto"/>
        <w:right w:val="none" w:sz="0" w:space="0" w:color="auto"/>
      </w:divBdr>
    </w:div>
    <w:div w:id="539056681">
      <w:bodyDiv w:val="1"/>
      <w:marLeft w:val="0"/>
      <w:marRight w:val="0"/>
      <w:marTop w:val="0"/>
      <w:marBottom w:val="0"/>
      <w:divBdr>
        <w:top w:val="none" w:sz="0" w:space="0" w:color="auto"/>
        <w:left w:val="none" w:sz="0" w:space="0" w:color="auto"/>
        <w:bottom w:val="none" w:sz="0" w:space="0" w:color="auto"/>
        <w:right w:val="none" w:sz="0" w:space="0" w:color="auto"/>
      </w:divBdr>
    </w:div>
    <w:div w:id="554395311">
      <w:bodyDiv w:val="1"/>
      <w:marLeft w:val="0"/>
      <w:marRight w:val="0"/>
      <w:marTop w:val="0"/>
      <w:marBottom w:val="0"/>
      <w:divBdr>
        <w:top w:val="none" w:sz="0" w:space="0" w:color="auto"/>
        <w:left w:val="none" w:sz="0" w:space="0" w:color="auto"/>
        <w:bottom w:val="none" w:sz="0" w:space="0" w:color="auto"/>
        <w:right w:val="none" w:sz="0" w:space="0" w:color="auto"/>
      </w:divBdr>
    </w:div>
    <w:div w:id="571240891">
      <w:bodyDiv w:val="1"/>
      <w:marLeft w:val="0"/>
      <w:marRight w:val="0"/>
      <w:marTop w:val="0"/>
      <w:marBottom w:val="0"/>
      <w:divBdr>
        <w:top w:val="none" w:sz="0" w:space="0" w:color="auto"/>
        <w:left w:val="none" w:sz="0" w:space="0" w:color="auto"/>
        <w:bottom w:val="none" w:sz="0" w:space="0" w:color="auto"/>
        <w:right w:val="none" w:sz="0" w:space="0" w:color="auto"/>
      </w:divBdr>
    </w:div>
    <w:div w:id="584263621">
      <w:bodyDiv w:val="1"/>
      <w:marLeft w:val="0"/>
      <w:marRight w:val="0"/>
      <w:marTop w:val="0"/>
      <w:marBottom w:val="0"/>
      <w:divBdr>
        <w:top w:val="none" w:sz="0" w:space="0" w:color="auto"/>
        <w:left w:val="none" w:sz="0" w:space="0" w:color="auto"/>
        <w:bottom w:val="none" w:sz="0" w:space="0" w:color="auto"/>
        <w:right w:val="none" w:sz="0" w:space="0" w:color="auto"/>
      </w:divBdr>
    </w:div>
    <w:div w:id="630405842">
      <w:bodyDiv w:val="1"/>
      <w:marLeft w:val="0"/>
      <w:marRight w:val="0"/>
      <w:marTop w:val="0"/>
      <w:marBottom w:val="0"/>
      <w:divBdr>
        <w:top w:val="none" w:sz="0" w:space="0" w:color="auto"/>
        <w:left w:val="none" w:sz="0" w:space="0" w:color="auto"/>
        <w:bottom w:val="none" w:sz="0" w:space="0" w:color="auto"/>
        <w:right w:val="none" w:sz="0" w:space="0" w:color="auto"/>
      </w:divBdr>
    </w:div>
    <w:div w:id="685332435">
      <w:bodyDiv w:val="1"/>
      <w:marLeft w:val="0"/>
      <w:marRight w:val="0"/>
      <w:marTop w:val="0"/>
      <w:marBottom w:val="0"/>
      <w:divBdr>
        <w:top w:val="none" w:sz="0" w:space="0" w:color="auto"/>
        <w:left w:val="none" w:sz="0" w:space="0" w:color="auto"/>
        <w:bottom w:val="none" w:sz="0" w:space="0" w:color="auto"/>
        <w:right w:val="none" w:sz="0" w:space="0" w:color="auto"/>
      </w:divBdr>
    </w:div>
    <w:div w:id="718625269">
      <w:bodyDiv w:val="1"/>
      <w:marLeft w:val="0"/>
      <w:marRight w:val="0"/>
      <w:marTop w:val="0"/>
      <w:marBottom w:val="0"/>
      <w:divBdr>
        <w:top w:val="none" w:sz="0" w:space="0" w:color="auto"/>
        <w:left w:val="none" w:sz="0" w:space="0" w:color="auto"/>
        <w:bottom w:val="none" w:sz="0" w:space="0" w:color="auto"/>
        <w:right w:val="none" w:sz="0" w:space="0" w:color="auto"/>
      </w:divBdr>
    </w:div>
    <w:div w:id="744575616">
      <w:bodyDiv w:val="1"/>
      <w:marLeft w:val="0"/>
      <w:marRight w:val="0"/>
      <w:marTop w:val="0"/>
      <w:marBottom w:val="0"/>
      <w:divBdr>
        <w:top w:val="none" w:sz="0" w:space="0" w:color="auto"/>
        <w:left w:val="none" w:sz="0" w:space="0" w:color="auto"/>
        <w:bottom w:val="none" w:sz="0" w:space="0" w:color="auto"/>
        <w:right w:val="none" w:sz="0" w:space="0" w:color="auto"/>
      </w:divBdr>
    </w:div>
    <w:div w:id="788820112">
      <w:bodyDiv w:val="1"/>
      <w:marLeft w:val="0"/>
      <w:marRight w:val="0"/>
      <w:marTop w:val="0"/>
      <w:marBottom w:val="0"/>
      <w:divBdr>
        <w:top w:val="none" w:sz="0" w:space="0" w:color="auto"/>
        <w:left w:val="none" w:sz="0" w:space="0" w:color="auto"/>
        <w:bottom w:val="none" w:sz="0" w:space="0" w:color="auto"/>
        <w:right w:val="none" w:sz="0" w:space="0" w:color="auto"/>
      </w:divBdr>
    </w:div>
    <w:div w:id="801774793">
      <w:bodyDiv w:val="1"/>
      <w:marLeft w:val="0"/>
      <w:marRight w:val="0"/>
      <w:marTop w:val="0"/>
      <w:marBottom w:val="0"/>
      <w:divBdr>
        <w:top w:val="none" w:sz="0" w:space="0" w:color="auto"/>
        <w:left w:val="none" w:sz="0" w:space="0" w:color="auto"/>
        <w:bottom w:val="none" w:sz="0" w:space="0" w:color="auto"/>
        <w:right w:val="none" w:sz="0" w:space="0" w:color="auto"/>
      </w:divBdr>
    </w:div>
    <w:div w:id="825516276">
      <w:bodyDiv w:val="1"/>
      <w:marLeft w:val="0"/>
      <w:marRight w:val="0"/>
      <w:marTop w:val="0"/>
      <w:marBottom w:val="0"/>
      <w:divBdr>
        <w:top w:val="none" w:sz="0" w:space="0" w:color="auto"/>
        <w:left w:val="none" w:sz="0" w:space="0" w:color="auto"/>
        <w:bottom w:val="none" w:sz="0" w:space="0" w:color="auto"/>
        <w:right w:val="none" w:sz="0" w:space="0" w:color="auto"/>
      </w:divBdr>
    </w:div>
    <w:div w:id="842283938">
      <w:bodyDiv w:val="1"/>
      <w:marLeft w:val="0"/>
      <w:marRight w:val="0"/>
      <w:marTop w:val="0"/>
      <w:marBottom w:val="0"/>
      <w:divBdr>
        <w:top w:val="none" w:sz="0" w:space="0" w:color="auto"/>
        <w:left w:val="none" w:sz="0" w:space="0" w:color="auto"/>
        <w:bottom w:val="none" w:sz="0" w:space="0" w:color="auto"/>
        <w:right w:val="none" w:sz="0" w:space="0" w:color="auto"/>
      </w:divBdr>
    </w:div>
    <w:div w:id="860242267">
      <w:bodyDiv w:val="1"/>
      <w:marLeft w:val="0"/>
      <w:marRight w:val="0"/>
      <w:marTop w:val="0"/>
      <w:marBottom w:val="0"/>
      <w:divBdr>
        <w:top w:val="none" w:sz="0" w:space="0" w:color="auto"/>
        <w:left w:val="none" w:sz="0" w:space="0" w:color="auto"/>
        <w:bottom w:val="none" w:sz="0" w:space="0" w:color="auto"/>
        <w:right w:val="none" w:sz="0" w:space="0" w:color="auto"/>
      </w:divBdr>
    </w:div>
    <w:div w:id="951399681">
      <w:bodyDiv w:val="1"/>
      <w:marLeft w:val="0"/>
      <w:marRight w:val="0"/>
      <w:marTop w:val="0"/>
      <w:marBottom w:val="0"/>
      <w:divBdr>
        <w:top w:val="none" w:sz="0" w:space="0" w:color="auto"/>
        <w:left w:val="none" w:sz="0" w:space="0" w:color="auto"/>
        <w:bottom w:val="none" w:sz="0" w:space="0" w:color="auto"/>
        <w:right w:val="none" w:sz="0" w:space="0" w:color="auto"/>
      </w:divBdr>
    </w:div>
    <w:div w:id="1014261859">
      <w:bodyDiv w:val="1"/>
      <w:marLeft w:val="0"/>
      <w:marRight w:val="0"/>
      <w:marTop w:val="0"/>
      <w:marBottom w:val="0"/>
      <w:divBdr>
        <w:top w:val="none" w:sz="0" w:space="0" w:color="auto"/>
        <w:left w:val="none" w:sz="0" w:space="0" w:color="auto"/>
        <w:bottom w:val="none" w:sz="0" w:space="0" w:color="auto"/>
        <w:right w:val="none" w:sz="0" w:space="0" w:color="auto"/>
      </w:divBdr>
    </w:div>
    <w:div w:id="1033924089">
      <w:bodyDiv w:val="1"/>
      <w:marLeft w:val="0"/>
      <w:marRight w:val="0"/>
      <w:marTop w:val="0"/>
      <w:marBottom w:val="0"/>
      <w:divBdr>
        <w:top w:val="none" w:sz="0" w:space="0" w:color="auto"/>
        <w:left w:val="none" w:sz="0" w:space="0" w:color="auto"/>
        <w:bottom w:val="none" w:sz="0" w:space="0" w:color="auto"/>
        <w:right w:val="none" w:sz="0" w:space="0" w:color="auto"/>
      </w:divBdr>
    </w:div>
    <w:div w:id="1062024480">
      <w:bodyDiv w:val="1"/>
      <w:marLeft w:val="0"/>
      <w:marRight w:val="0"/>
      <w:marTop w:val="0"/>
      <w:marBottom w:val="0"/>
      <w:divBdr>
        <w:top w:val="none" w:sz="0" w:space="0" w:color="auto"/>
        <w:left w:val="none" w:sz="0" w:space="0" w:color="auto"/>
        <w:bottom w:val="none" w:sz="0" w:space="0" w:color="auto"/>
        <w:right w:val="none" w:sz="0" w:space="0" w:color="auto"/>
      </w:divBdr>
    </w:div>
    <w:div w:id="1086806949">
      <w:bodyDiv w:val="1"/>
      <w:marLeft w:val="0"/>
      <w:marRight w:val="0"/>
      <w:marTop w:val="0"/>
      <w:marBottom w:val="0"/>
      <w:divBdr>
        <w:top w:val="none" w:sz="0" w:space="0" w:color="auto"/>
        <w:left w:val="none" w:sz="0" w:space="0" w:color="auto"/>
        <w:bottom w:val="none" w:sz="0" w:space="0" w:color="auto"/>
        <w:right w:val="none" w:sz="0" w:space="0" w:color="auto"/>
      </w:divBdr>
    </w:div>
    <w:div w:id="1127436238">
      <w:bodyDiv w:val="1"/>
      <w:marLeft w:val="0"/>
      <w:marRight w:val="0"/>
      <w:marTop w:val="0"/>
      <w:marBottom w:val="0"/>
      <w:divBdr>
        <w:top w:val="none" w:sz="0" w:space="0" w:color="auto"/>
        <w:left w:val="none" w:sz="0" w:space="0" w:color="auto"/>
        <w:bottom w:val="none" w:sz="0" w:space="0" w:color="auto"/>
        <w:right w:val="none" w:sz="0" w:space="0" w:color="auto"/>
      </w:divBdr>
    </w:div>
    <w:div w:id="1130173621">
      <w:bodyDiv w:val="1"/>
      <w:marLeft w:val="0"/>
      <w:marRight w:val="0"/>
      <w:marTop w:val="0"/>
      <w:marBottom w:val="0"/>
      <w:divBdr>
        <w:top w:val="none" w:sz="0" w:space="0" w:color="auto"/>
        <w:left w:val="none" w:sz="0" w:space="0" w:color="auto"/>
        <w:bottom w:val="none" w:sz="0" w:space="0" w:color="auto"/>
        <w:right w:val="none" w:sz="0" w:space="0" w:color="auto"/>
      </w:divBdr>
    </w:div>
    <w:div w:id="1154179517">
      <w:bodyDiv w:val="1"/>
      <w:marLeft w:val="0"/>
      <w:marRight w:val="0"/>
      <w:marTop w:val="0"/>
      <w:marBottom w:val="0"/>
      <w:divBdr>
        <w:top w:val="none" w:sz="0" w:space="0" w:color="auto"/>
        <w:left w:val="none" w:sz="0" w:space="0" w:color="auto"/>
        <w:bottom w:val="none" w:sz="0" w:space="0" w:color="auto"/>
        <w:right w:val="none" w:sz="0" w:space="0" w:color="auto"/>
      </w:divBdr>
    </w:div>
    <w:div w:id="1183937358">
      <w:bodyDiv w:val="1"/>
      <w:marLeft w:val="0"/>
      <w:marRight w:val="0"/>
      <w:marTop w:val="0"/>
      <w:marBottom w:val="0"/>
      <w:divBdr>
        <w:top w:val="none" w:sz="0" w:space="0" w:color="auto"/>
        <w:left w:val="none" w:sz="0" w:space="0" w:color="auto"/>
        <w:bottom w:val="none" w:sz="0" w:space="0" w:color="auto"/>
        <w:right w:val="none" w:sz="0" w:space="0" w:color="auto"/>
      </w:divBdr>
    </w:div>
    <w:div w:id="1215970182">
      <w:bodyDiv w:val="1"/>
      <w:marLeft w:val="0"/>
      <w:marRight w:val="0"/>
      <w:marTop w:val="0"/>
      <w:marBottom w:val="0"/>
      <w:divBdr>
        <w:top w:val="none" w:sz="0" w:space="0" w:color="auto"/>
        <w:left w:val="none" w:sz="0" w:space="0" w:color="auto"/>
        <w:bottom w:val="none" w:sz="0" w:space="0" w:color="auto"/>
        <w:right w:val="none" w:sz="0" w:space="0" w:color="auto"/>
      </w:divBdr>
    </w:div>
    <w:div w:id="1226917998">
      <w:bodyDiv w:val="1"/>
      <w:marLeft w:val="0"/>
      <w:marRight w:val="0"/>
      <w:marTop w:val="0"/>
      <w:marBottom w:val="0"/>
      <w:divBdr>
        <w:top w:val="none" w:sz="0" w:space="0" w:color="auto"/>
        <w:left w:val="none" w:sz="0" w:space="0" w:color="auto"/>
        <w:bottom w:val="none" w:sz="0" w:space="0" w:color="auto"/>
        <w:right w:val="none" w:sz="0" w:space="0" w:color="auto"/>
      </w:divBdr>
    </w:div>
    <w:div w:id="1263101993">
      <w:bodyDiv w:val="1"/>
      <w:marLeft w:val="0"/>
      <w:marRight w:val="0"/>
      <w:marTop w:val="0"/>
      <w:marBottom w:val="0"/>
      <w:divBdr>
        <w:top w:val="none" w:sz="0" w:space="0" w:color="auto"/>
        <w:left w:val="none" w:sz="0" w:space="0" w:color="auto"/>
        <w:bottom w:val="none" w:sz="0" w:space="0" w:color="auto"/>
        <w:right w:val="none" w:sz="0" w:space="0" w:color="auto"/>
      </w:divBdr>
    </w:div>
    <w:div w:id="1267691362">
      <w:bodyDiv w:val="1"/>
      <w:marLeft w:val="0"/>
      <w:marRight w:val="0"/>
      <w:marTop w:val="0"/>
      <w:marBottom w:val="0"/>
      <w:divBdr>
        <w:top w:val="none" w:sz="0" w:space="0" w:color="auto"/>
        <w:left w:val="none" w:sz="0" w:space="0" w:color="auto"/>
        <w:bottom w:val="none" w:sz="0" w:space="0" w:color="auto"/>
        <w:right w:val="none" w:sz="0" w:space="0" w:color="auto"/>
      </w:divBdr>
    </w:div>
    <w:div w:id="1283926197">
      <w:bodyDiv w:val="1"/>
      <w:marLeft w:val="0"/>
      <w:marRight w:val="0"/>
      <w:marTop w:val="0"/>
      <w:marBottom w:val="0"/>
      <w:divBdr>
        <w:top w:val="none" w:sz="0" w:space="0" w:color="auto"/>
        <w:left w:val="none" w:sz="0" w:space="0" w:color="auto"/>
        <w:bottom w:val="none" w:sz="0" w:space="0" w:color="auto"/>
        <w:right w:val="none" w:sz="0" w:space="0" w:color="auto"/>
      </w:divBdr>
    </w:div>
    <w:div w:id="1290089480">
      <w:bodyDiv w:val="1"/>
      <w:marLeft w:val="0"/>
      <w:marRight w:val="0"/>
      <w:marTop w:val="0"/>
      <w:marBottom w:val="0"/>
      <w:divBdr>
        <w:top w:val="none" w:sz="0" w:space="0" w:color="auto"/>
        <w:left w:val="none" w:sz="0" w:space="0" w:color="auto"/>
        <w:bottom w:val="none" w:sz="0" w:space="0" w:color="auto"/>
        <w:right w:val="none" w:sz="0" w:space="0" w:color="auto"/>
      </w:divBdr>
    </w:div>
    <w:div w:id="1302231511">
      <w:bodyDiv w:val="1"/>
      <w:marLeft w:val="0"/>
      <w:marRight w:val="0"/>
      <w:marTop w:val="0"/>
      <w:marBottom w:val="0"/>
      <w:divBdr>
        <w:top w:val="none" w:sz="0" w:space="0" w:color="auto"/>
        <w:left w:val="none" w:sz="0" w:space="0" w:color="auto"/>
        <w:bottom w:val="none" w:sz="0" w:space="0" w:color="auto"/>
        <w:right w:val="none" w:sz="0" w:space="0" w:color="auto"/>
      </w:divBdr>
    </w:div>
    <w:div w:id="1307466747">
      <w:bodyDiv w:val="1"/>
      <w:marLeft w:val="0"/>
      <w:marRight w:val="0"/>
      <w:marTop w:val="0"/>
      <w:marBottom w:val="0"/>
      <w:divBdr>
        <w:top w:val="none" w:sz="0" w:space="0" w:color="auto"/>
        <w:left w:val="none" w:sz="0" w:space="0" w:color="auto"/>
        <w:bottom w:val="none" w:sz="0" w:space="0" w:color="auto"/>
        <w:right w:val="none" w:sz="0" w:space="0" w:color="auto"/>
      </w:divBdr>
    </w:div>
    <w:div w:id="1313947687">
      <w:bodyDiv w:val="1"/>
      <w:marLeft w:val="0"/>
      <w:marRight w:val="0"/>
      <w:marTop w:val="0"/>
      <w:marBottom w:val="0"/>
      <w:divBdr>
        <w:top w:val="none" w:sz="0" w:space="0" w:color="auto"/>
        <w:left w:val="none" w:sz="0" w:space="0" w:color="auto"/>
        <w:bottom w:val="none" w:sz="0" w:space="0" w:color="auto"/>
        <w:right w:val="none" w:sz="0" w:space="0" w:color="auto"/>
      </w:divBdr>
    </w:div>
    <w:div w:id="1317415871">
      <w:bodyDiv w:val="1"/>
      <w:marLeft w:val="0"/>
      <w:marRight w:val="0"/>
      <w:marTop w:val="0"/>
      <w:marBottom w:val="0"/>
      <w:divBdr>
        <w:top w:val="none" w:sz="0" w:space="0" w:color="auto"/>
        <w:left w:val="none" w:sz="0" w:space="0" w:color="auto"/>
        <w:bottom w:val="none" w:sz="0" w:space="0" w:color="auto"/>
        <w:right w:val="none" w:sz="0" w:space="0" w:color="auto"/>
      </w:divBdr>
    </w:div>
    <w:div w:id="1358390476">
      <w:bodyDiv w:val="1"/>
      <w:marLeft w:val="0"/>
      <w:marRight w:val="0"/>
      <w:marTop w:val="0"/>
      <w:marBottom w:val="0"/>
      <w:divBdr>
        <w:top w:val="none" w:sz="0" w:space="0" w:color="auto"/>
        <w:left w:val="none" w:sz="0" w:space="0" w:color="auto"/>
        <w:bottom w:val="none" w:sz="0" w:space="0" w:color="auto"/>
        <w:right w:val="none" w:sz="0" w:space="0" w:color="auto"/>
      </w:divBdr>
    </w:div>
    <w:div w:id="1465584967">
      <w:bodyDiv w:val="1"/>
      <w:marLeft w:val="0"/>
      <w:marRight w:val="0"/>
      <w:marTop w:val="0"/>
      <w:marBottom w:val="0"/>
      <w:divBdr>
        <w:top w:val="none" w:sz="0" w:space="0" w:color="auto"/>
        <w:left w:val="none" w:sz="0" w:space="0" w:color="auto"/>
        <w:bottom w:val="none" w:sz="0" w:space="0" w:color="auto"/>
        <w:right w:val="none" w:sz="0" w:space="0" w:color="auto"/>
      </w:divBdr>
    </w:div>
    <w:div w:id="1480927672">
      <w:bodyDiv w:val="1"/>
      <w:marLeft w:val="0"/>
      <w:marRight w:val="0"/>
      <w:marTop w:val="0"/>
      <w:marBottom w:val="0"/>
      <w:divBdr>
        <w:top w:val="none" w:sz="0" w:space="0" w:color="auto"/>
        <w:left w:val="none" w:sz="0" w:space="0" w:color="auto"/>
        <w:bottom w:val="none" w:sz="0" w:space="0" w:color="auto"/>
        <w:right w:val="none" w:sz="0" w:space="0" w:color="auto"/>
      </w:divBdr>
    </w:div>
    <w:div w:id="1483889866">
      <w:bodyDiv w:val="1"/>
      <w:marLeft w:val="0"/>
      <w:marRight w:val="0"/>
      <w:marTop w:val="0"/>
      <w:marBottom w:val="0"/>
      <w:divBdr>
        <w:top w:val="none" w:sz="0" w:space="0" w:color="auto"/>
        <w:left w:val="none" w:sz="0" w:space="0" w:color="auto"/>
        <w:bottom w:val="none" w:sz="0" w:space="0" w:color="auto"/>
        <w:right w:val="none" w:sz="0" w:space="0" w:color="auto"/>
      </w:divBdr>
    </w:div>
    <w:div w:id="1592934016">
      <w:bodyDiv w:val="1"/>
      <w:marLeft w:val="0"/>
      <w:marRight w:val="0"/>
      <w:marTop w:val="0"/>
      <w:marBottom w:val="0"/>
      <w:divBdr>
        <w:top w:val="none" w:sz="0" w:space="0" w:color="auto"/>
        <w:left w:val="none" w:sz="0" w:space="0" w:color="auto"/>
        <w:bottom w:val="none" w:sz="0" w:space="0" w:color="auto"/>
        <w:right w:val="none" w:sz="0" w:space="0" w:color="auto"/>
      </w:divBdr>
    </w:div>
    <w:div w:id="1615016867">
      <w:bodyDiv w:val="1"/>
      <w:marLeft w:val="0"/>
      <w:marRight w:val="0"/>
      <w:marTop w:val="0"/>
      <w:marBottom w:val="0"/>
      <w:divBdr>
        <w:top w:val="none" w:sz="0" w:space="0" w:color="auto"/>
        <w:left w:val="none" w:sz="0" w:space="0" w:color="auto"/>
        <w:bottom w:val="none" w:sz="0" w:space="0" w:color="auto"/>
        <w:right w:val="none" w:sz="0" w:space="0" w:color="auto"/>
      </w:divBdr>
    </w:div>
    <w:div w:id="1647126113">
      <w:bodyDiv w:val="1"/>
      <w:marLeft w:val="0"/>
      <w:marRight w:val="0"/>
      <w:marTop w:val="0"/>
      <w:marBottom w:val="0"/>
      <w:divBdr>
        <w:top w:val="none" w:sz="0" w:space="0" w:color="auto"/>
        <w:left w:val="none" w:sz="0" w:space="0" w:color="auto"/>
        <w:bottom w:val="none" w:sz="0" w:space="0" w:color="auto"/>
        <w:right w:val="none" w:sz="0" w:space="0" w:color="auto"/>
      </w:divBdr>
    </w:div>
    <w:div w:id="1670868133">
      <w:bodyDiv w:val="1"/>
      <w:marLeft w:val="0"/>
      <w:marRight w:val="0"/>
      <w:marTop w:val="0"/>
      <w:marBottom w:val="0"/>
      <w:divBdr>
        <w:top w:val="none" w:sz="0" w:space="0" w:color="auto"/>
        <w:left w:val="none" w:sz="0" w:space="0" w:color="auto"/>
        <w:bottom w:val="none" w:sz="0" w:space="0" w:color="auto"/>
        <w:right w:val="none" w:sz="0" w:space="0" w:color="auto"/>
      </w:divBdr>
    </w:div>
    <w:div w:id="1686831509">
      <w:bodyDiv w:val="1"/>
      <w:marLeft w:val="0"/>
      <w:marRight w:val="0"/>
      <w:marTop w:val="0"/>
      <w:marBottom w:val="0"/>
      <w:divBdr>
        <w:top w:val="none" w:sz="0" w:space="0" w:color="auto"/>
        <w:left w:val="none" w:sz="0" w:space="0" w:color="auto"/>
        <w:bottom w:val="none" w:sz="0" w:space="0" w:color="auto"/>
        <w:right w:val="none" w:sz="0" w:space="0" w:color="auto"/>
      </w:divBdr>
    </w:div>
    <w:div w:id="1711104884">
      <w:bodyDiv w:val="1"/>
      <w:marLeft w:val="0"/>
      <w:marRight w:val="0"/>
      <w:marTop w:val="0"/>
      <w:marBottom w:val="0"/>
      <w:divBdr>
        <w:top w:val="none" w:sz="0" w:space="0" w:color="auto"/>
        <w:left w:val="none" w:sz="0" w:space="0" w:color="auto"/>
        <w:bottom w:val="none" w:sz="0" w:space="0" w:color="auto"/>
        <w:right w:val="none" w:sz="0" w:space="0" w:color="auto"/>
      </w:divBdr>
    </w:div>
    <w:div w:id="1719089268">
      <w:bodyDiv w:val="1"/>
      <w:marLeft w:val="0"/>
      <w:marRight w:val="0"/>
      <w:marTop w:val="0"/>
      <w:marBottom w:val="0"/>
      <w:divBdr>
        <w:top w:val="none" w:sz="0" w:space="0" w:color="auto"/>
        <w:left w:val="none" w:sz="0" w:space="0" w:color="auto"/>
        <w:bottom w:val="none" w:sz="0" w:space="0" w:color="auto"/>
        <w:right w:val="none" w:sz="0" w:space="0" w:color="auto"/>
      </w:divBdr>
    </w:div>
    <w:div w:id="1721322287">
      <w:bodyDiv w:val="1"/>
      <w:marLeft w:val="0"/>
      <w:marRight w:val="0"/>
      <w:marTop w:val="0"/>
      <w:marBottom w:val="0"/>
      <w:divBdr>
        <w:top w:val="none" w:sz="0" w:space="0" w:color="auto"/>
        <w:left w:val="none" w:sz="0" w:space="0" w:color="auto"/>
        <w:bottom w:val="none" w:sz="0" w:space="0" w:color="auto"/>
        <w:right w:val="none" w:sz="0" w:space="0" w:color="auto"/>
      </w:divBdr>
    </w:div>
    <w:div w:id="1732776161">
      <w:bodyDiv w:val="1"/>
      <w:marLeft w:val="0"/>
      <w:marRight w:val="0"/>
      <w:marTop w:val="0"/>
      <w:marBottom w:val="0"/>
      <w:divBdr>
        <w:top w:val="none" w:sz="0" w:space="0" w:color="auto"/>
        <w:left w:val="none" w:sz="0" w:space="0" w:color="auto"/>
        <w:bottom w:val="none" w:sz="0" w:space="0" w:color="auto"/>
        <w:right w:val="none" w:sz="0" w:space="0" w:color="auto"/>
      </w:divBdr>
    </w:div>
    <w:div w:id="1791363994">
      <w:bodyDiv w:val="1"/>
      <w:marLeft w:val="0"/>
      <w:marRight w:val="0"/>
      <w:marTop w:val="0"/>
      <w:marBottom w:val="0"/>
      <w:divBdr>
        <w:top w:val="none" w:sz="0" w:space="0" w:color="auto"/>
        <w:left w:val="none" w:sz="0" w:space="0" w:color="auto"/>
        <w:bottom w:val="none" w:sz="0" w:space="0" w:color="auto"/>
        <w:right w:val="none" w:sz="0" w:space="0" w:color="auto"/>
      </w:divBdr>
    </w:div>
    <w:div w:id="1795632297">
      <w:bodyDiv w:val="1"/>
      <w:marLeft w:val="0"/>
      <w:marRight w:val="0"/>
      <w:marTop w:val="0"/>
      <w:marBottom w:val="0"/>
      <w:divBdr>
        <w:top w:val="none" w:sz="0" w:space="0" w:color="auto"/>
        <w:left w:val="none" w:sz="0" w:space="0" w:color="auto"/>
        <w:bottom w:val="none" w:sz="0" w:space="0" w:color="auto"/>
        <w:right w:val="none" w:sz="0" w:space="0" w:color="auto"/>
      </w:divBdr>
    </w:div>
    <w:div w:id="1814709547">
      <w:bodyDiv w:val="1"/>
      <w:marLeft w:val="0"/>
      <w:marRight w:val="0"/>
      <w:marTop w:val="0"/>
      <w:marBottom w:val="0"/>
      <w:divBdr>
        <w:top w:val="none" w:sz="0" w:space="0" w:color="auto"/>
        <w:left w:val="none" w:sz="0" w:space="0" w:color="auto"/>
        <w:bottom w:val="none" w:sz="0" w:space="0" w:color="auto"/>
        <w:right w:val="none" w:sz="0" w:space="0" w:color="auto"/>
      </w:divBdr>
    </w:div>
    <w:div w:id="1825395962">
      <w:bodyDiv w:val="1"/>
      <w:marLeft w:val="0"/>
      <w:marRight w:val="0"/>
      <w:marTop w:val="0"/>
      <w:marBottom w:val="0"/>
      <w:divBdr>
        <w:top w:val="none" w:sz="0" w:space="0" w:color="auto"/>
        <w:left w:val="none" w:sz="0" w:space="0" w:color="auto"/>
        <w:bottom w:val="none" w:sz="0" w:space="0" w:color="auto"/>
        <w:right w:val="none" w:sz="0" w:space="0" w:color="auto"/>
      </w:divBdr>
    </w:div>
    <w:div w:id="1850869657">
      <w:bodyDiv w:val="1"/>
      <w:marLeft w:val="0"/>
      <w:marRight w:val="0"/>
      <w:marTop w:val="0"/>
      <w:marBottom w:val="0"/>
      <w:divBdr>
        <w:top w:val="none" w:sz="0" w:space="0" w:color="auto"/>
        <w:left w:val="none" w:sz="0" w:space="0" w:color="auto"/>
        <w:bottom w:val="none" w:sz="0" w:space="0" w:color="auto"/>
        <w:right w:val="none" w:sz="0" w:space="0" w:color="auto"/>
      </w:divBdr>
    </w:div>
    <w:div w:id="1876648505">
      <w:bodyDiv w:val="1"/>
      <w:marLeft w:val="0"/>
      <w:marRight w:val="0"/>
      <w:marTop w:val="0"/>
      <w:marBottom w:val="0"/>
      <w:divBdr>
        <w:top w:val="none" w:sz="0" w:space="0" w:color="auto"/>
        <w:left w:val="none" w:sz="0" w:space="0" w:color="auto"/>
        <w:bottom w:val="none" w:sz="0" w:space="0" w:color="auto"/>
        <w:right w:val="none" w:sz="0" w:space="0" w:color="auto"/>
      </w:divBdr>
    </w:div>
    <w:div w:id="1879317358">
      <w:bodyDiv w:val="1"/>
      <w:marLeft w:val="0"/>
      <w:marRight w:val="0"/>
      <w:marTop w:val="0"/>
      <w:marBottom w:val="0"/>
      <w:divBdr>
        <w:top w:val="none" w:sz="0" w:space="0" w:color="auto"/>
        <w:left w:val="none" w:sz="0" w:space="0" w:color="auto"/>
        <w:bottom w:val="none" w:sz="0" w:space="0" w:color="auto"/>
        <w:right w:val="none" w:sz="0" w:space="0" w:color="auto"/>
      </w:divBdr>
    </w:div>
    <w:div w:id="1887713751">
      <w:bodyDiv w:val="1"/>
      <w:marLeft w:val="0"/>
      <w:marRight w:val="0"/>
      <w:marTop w:val="0"/>
      <w:marBottom w:val="0"/>
      <w:divBdr>
        <w:top w:val="none" w:sz="0" w:space="0" w:color="auto"/>
        <w:left w:val="none" w:sz="0" w:space="0" w:color="auto"/>
        <w:bottom w:val="none" w:sz="0" w:space="0" w:color="auto"/>
        <w:right w:val="none" w:sz="0" w:space="0" w:color="auto"/>
      </w:divBdr>
    </w:div>
    <w:div w:id="1922909716">
      <w:bodyDiv w:val="1"/>
      <w:marLeft w:val="0"/>
      <w:marRight w:val="0"/>
      <w:marTop w:val="0"/>
      <w:marBottom w:val="0"/>
      <w:divBdr>
        <w:top w:val="none" w:sz="0" w:space="0" w:color="auto"/>
        <w:left w:val="none" w:sz="0" w:space="0" w:color="auto"/>
        <w:bottom w:val="none" w:sz="0" w:space="0" w:color="auto"/>
        <w:right w:val="none" w:sz="0" w:space="0" w:color="auto"/>
      </w:divBdr>
    </w:div>
    <w:div w:id="1939100579">
      <w:bodyDiv w:val="1"/>
      <w:marLeft w:val="0"/>
      <w:marRight w:val="0"/>
      <w:marTop w:val="0"/>
      <w:marBottom w:val="0"/>
      <w:divBdr>
        <w:top w:val="none" w:sz="0" w:space="0" w:color="auto"/>
        <w:left w:val="none" w:sz="0" w:space="0" w:color="auto"/>
        <w:bottom w:val="none" w:sz="0" w:space="0" w:color="auto"/>
        <w:right w:val="none" w:sz="0" w:space="0" w:color="auto"/>
      </w:divBdr>
    </w:div>
    <w:div w:id="1940986322">
      <w:bodyDiv w:val="1"/>
      <w:marLeft w:val="0"/>
      <w:marRight w:val="0"/>
      <w:marTop w:val="0"/>
      <w:marBottom w:val="0"/>
      <w:divBdr>
        <w:top w:val="none" w:sz="0" w:space="0" w:color="auto"/>
        <w:left w:val="none" w:sz="0" w:space="0" w:color="auto"/>
        <w:bottom w:val="none" w:sz="0" w:space="0" w:color="auto"/>
        <w:right w:val="none" w:sz="0" w:space="0" w:color="auto"/>
      </w:divBdr>
    </w:div>
    <w:div w:id="1957592223">
      <w:bodyDiv w:val="1"/>
      <w:marLeft w:val="0"/>
      <w:marRight w:val="0"/>
      <w:marTop w:val="0"/>
      <w:marBottom w:val="0"/>
      <w:divBdr>
        <w:top w:val="none" w:sz="0" w:space="0" w:color="auto"/>
        <w:left w:val="none" w:sz="0" w:space="0" w:color="auto"/>
        <w:bottom w:val="none" w:sz="0" w:space="0" w:color="auto"/>
        <w:right w:val="none" w:sz="0" w:space="0" w:color="auto"/>
      </w:divBdr>
    </w:div>
    <w:div w:id="1976522052">
      <w:bodyDiv w:val="1"/>
      <w:marLeft w:val="0"/>
      <w:marRight w:val="0"/>
      <w:marTop w:val="0"/>
      <w:marBottom w:val="0"/>
      <w:divBdr>
        <w:top w:val="none" w:sz="0" w:space="0" w:color="auto"/>
        <w:left w:val="none" w:sz="0" w:space="0" w:color="auto"/>
        <w:bottom w:val="none" w:sz="0" w:space="0" w:color="auto"/>
        <w:right w:val="none" w:sz="0" w:space="0" w:color="auto"/>
      </w:divBdr>
    </w:div>
    <w:div w:id="1978293004">
      <w:bodyDiv w:val="1"/>
      <w:marLeft w:val="0"/>
      <w:marRight w:val="0"/>
      <w:marTop w:val="0"/>
      <w:marBottom w:val="0"/>
      <w:divBdr>
        <w:top w:val="none" w:sz="0" w:space="0" w:color="auto"/>
        <w:left w:val="none" w:sz="0" w:space="0" w:color="auto"/>
        <w:bottom w:val="none" w:sz="0" w:space="0" w:color="auto"/>
        <w:right w:val="none" w:sz="0" w:space="0" w:color="auto"/>
      </w:divBdr>
    </w:div>
    <w:div w:id="2044011650">
      <w:bodyDiv w:val="1"/>
      <w:marLeft w:val="0"/>
      <w:marRight w:val="0"/>
      <w:marTop w:val="0"/>
      <w:marBottom w:val="0"/>
      <w:divBdr>
        <w:top w:val="none" w:sz="0" w:space="0" w:color="auto"/>
        <w:left w:val="none" w:sz="0" w:space="0" w:color="auto"/>
        <w:bottom w:val="none" w:sz="0" w:space="0" w:color="auto"/>
        <w:right w:val="none" w:sz="0" w:space="0" w:color="auto"/>
      </w:divBdr>
    </w:div>
    <w:div w:id="2050379265">
      <w:bodyDiv w:val="1"/>
      <w:marLeft w:val="0"/>
      <w:marRight w:val="0"/>
      <w:marTop w:val="0"/>
      <w:marBottom w:val="0"/>
      <w:divBdr>
        <w:top w:val="none" w:sz="0" w:space="0" w:color="auto"/>
        <w:left w:val="none" w:sz="0" w:space="0" w:color="auto"/>
        <w:bottom w:val="none" w:sz="0" w:space="0" w:color="auto"/>
        <w:right w:val="none" w:sz="0" w:space="0" w:color="auto"/>
      </w:divBdr>
    </w:div>
    <w:div w:id="2084065382">
      <w:bodyDiv w:val="1"/>
      <w:marLeft w:val="0"/>
      <w:marRight w:val="0"/>
      <w:marTop w:val="0"/>
      <w:marBottom w:val="0"/>
      <w:divBdr>
        <w:top w:val="none" w:sz="0" w:space="0" w:color="auto"/>
        <w:left w:val="none" w:sz="0" w:space="0" w:color="auto"/>
        <w:bottom w:val="none" w:sz="0" w:space="0" w:color="auto"/>
        <w:right w:val="none" w:sz="0" w:space="0" w:color="auto"/>
      </w:divBdr>
    </w:div>
    <w:div w:id="2127188711">
      <w:bodyDiv w:val="1"/>
      <w:marLeft w:val="0"/>
      <w:marRight w:val="0"/>
      <w:marTop w:val="0"/>
      <w:marBottom w:val="0"/>
      <w:divBdr>
        <w:top w:val="none" w:sz="0" w:space="0" w:color="auto"/>
        <w:left w:val="none" w:sz="0" w:space="0" w:color="auto"/>
        <w:bottom w:val="none" w:sz="0" w:space="0" w:color="auto"/>
        <w:right w:val="none" w:sz="0" w:space="0" w:color="auto"/>
      </w:divBdr>
    </w:div>
    <w:div w:id="213070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asmi\Downloads\PLANILHA%201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asmi\Downloads\PLANILHA%201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asmi\Downloads\PLANILHA%201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asmi\Downloads\PLANILHA%201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3"/>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9545733578882751E-2"/>
          <c:y val="5.146198830409357E-2"/>
          <c:w val="0.9134438305709025"/>
          <c:h val="0.46559101164985961"/>
        </c:manualLayout>
      </c:layout>
      <c:bar3DChart>
        <c:barDir val="col"/>
        <c:grouping val="clustered"/>
        <c:ser>
          <c:idx val="0"/>
          <c:order val="0"/>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Planilha1!$A$1:$B$12</c:f>
              <c:multiLvlStrCache>
                <c:ptCount val="12"/>
                <c:lvl>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lvl>
                <c:lvl>
                  <c:pt idx="0">
                    <c:v>2020</c:v>
                  </c:pt>
                  <c:pt idx="1">
                    <c:v>2020</c:v>
                  </c:pt>
                  <c:pt idx="2">
                    <c:v>2020</c:v>
                  </c:pt>
                  <c:pt idx="3">
                    <c:v>2020</c:v>
                  </c:pt>
                  <c:pt idx="4">
                    <c:v>2020</c:v>
                  </c:pt>
                  <c:pt idx="5">
                    <c:v>2020</c:v>
                  </c:pt>
                  <c:pt idx="6">
                    <c:v>2021</c:v>
                  </c:pt>
                  <c:pt idx="7">
                    <c:v>2021</c:v>
                  </c:pt>
                  <c:pt idx="8">
                    <c:v>2021</c:v>
                  </c:pt>
                  <c:pt idx="9">
                    <c:v>2021</c:v>
                  </c:pt>
                  <c:pt idx="10">
                    <c:v>2021</c:v>
                  </c:pt>
                  <c:pt idx="11">
                    <c:v>2021</c:v>
                  </c:pt>
                </c:lvl>
              </c:multiLvlStrCache>
            </c:multiLvlStrRef>
          </c:cat>
          <c:val>
            <c:numRef>
              <c:f>Planilha1!$C$1:$C$12</c:f>
              <c:numCache>
                <c:formatCode>General</c:formatCode>
                <c:ptCount val="12"/>
                <c:pt idx="0">
                  <c:v>51</c:v>
                </c:pt>
                <c:pt idx="1">
                  <c:v>38</c:v>
                </c:pt>
                <c:pt idx="2">
                  <c:v>43</c:v>
                </c:pt>
                <c:pt idx="3">
                  <c:v>22</c:v>
                </c:pt>
                <c:pt idx="4">
                  <c:v>34</c:v>
                </c:pt>
                <c:pt idx="5">
                  <c:v>53</c:v>
                </c:pt>
                <c:pt idx="6">
                  <c:v>61</c:v>
                </c:pt>
                <c:pt idx="7">
                  <c:v>16</c:v>
                </c:pt>
                <c:pt idx="8">
                  <c:v>36</c:v>
                </c:pt>
                <c:pt idx="9">
                  <c:v>56</c:v>
                </c:pt>
                <c:pt idx="10">
                  <c:v>61</c:v>
                </c:pt>
                <c:pt idx="11">
                  <c:v>27</c:v>
                </c:pt>
              </c:numCache>
            </c:numRef>
          </c:val>
          <c:extLst xmlns:c16r2="http://schemas.microsoft.com/office/drawing/2015/06/chart">
            <c:ext xmlns:c16="http://schemas.microsoft.com/office/drawing/2014/chart" uri="{C3380CC4-5D6E-409C-BE32-E72D297353CC}">
              <c16:uniqueId val="{00000000-AF4C-4689-91C9-F910E16AC294}"/>
            </c:ext>
          </c:extLst>
        </c:ser>
        <c:dLbls>
          <c:showVal val="1"/>
        </c:dLbls>
        <c:shape val="box"/>
        <c:axId val="32264576"/>
        <c:axId val="32273920"/>
        <c:axId val="0"/>
      </c:bar3DChart>
      <c:catAx>
        <c:axId val="32264576"/>
        <c:scaling>
          <c:orientation val="minMax"/>
        </c:scaling>
        <c:axPos val="b"/>
        <c:numFmt formatCode="General" sourceLinked="1"/>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273920"/>
        <c:crosses val="autoZero"/>
        <c:lblAlgn val="ctr"/>
        <c:lblOffset val="100"/>
      </c:catAx>
      <c:valAx>
        <c:axId val="32273920"/>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264576"/>
        <c:crosses val="autoZero"/>
        <c:crossBetween val="between"/>
      </c:valAx>
      <c:spPr>
        <a:noFill/>
        <a:ln>
          <a:noFill/>
        </a:ln>
        <a:effectLst/>
      </c:spPr>
    </c:plotArea>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style val="3"/>
  <c:chart>
    <c:autoTitleDeleted val="1"/>
    <c:plotArea>
      <c:layout/>
      <c:barChart>
        <c:barDir val="col"/>
        <c:grouping val="clustered"/>
        <c:ser>
          <c:idx val="0"/>
          <c:order val="0"/>
          <c:spPr>
            <a:gradFill rotWithShape="1">
              <a:gsLst>
                <a:gs pos="0">
                  <a:schemeClr val="accent1">
                    <a:shade val="58000"/>
                    <a:tint val="100000"/>
                    <a:shade val="100000"/>
                    <a:satMod val="130000"/>
                  </a:schemeClr>
                </a:gs>
                <a:gs pos="100000">
                  <a:schemeClr val="accent1">
                    <a:shade val="58000"/>
                    <a:tint val="50000"/>
                    <a:shade val="100000"/>
                    <a:satMod val="350000"/>
                  </a:schemeClr>
                </a:gs>
              </a:gsLst>
              <a:lin ang="16200000" scaled="0"/>
            </a:gradFill>
            <a:ln>
              <a:noFill/>
            </a:ln>
            <a:effectLst/>
          </c:spPr>
          <c:dLbls>
            <c:delete val="1"/>
          </c:dLbls>
          <c:cat>
            <c:strRef>
              <c:f>Planilha2!$A$1:$A$6</c:f>
              <c:strCache>
                <c:ptCount val="6"/>
                <c:pt idx="0">
                  <c:v>NONE</c:v>
                </c:pt>
                <c:pt idx="1">
                  <c:v>LIGHT</c:v>
                </c:pt>
                <c:pt idx="2">
                  <c:v>MODERATE</c:v>
                </c:pt>
                <c:pt idx="3">
                  <c:v>SERIOUS</c:v>
                </c:pt>
                <c:pt idx="4">
                  <c:v>DEATH</c:v>
                </c:pt>
                <c:pt idx="5">
                  <c:v>TOTAL</c:v>
                </c:pt>
              </c:strCache>
            </c:strRef>
          </c:cat>
          <c:val>
            <c:numRef>
              <c:f>Planilha2!$A$1:$A$7</c:f>
              <c:numCache>
                <c:formatCode>General</c:formatCode>
                <c:ptCount val="7"/>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0-1B97-4284-A909-8284955BD846}"/>
            </c:ext>
          </c:extLst>
        </c:ser>
        <c:ser>
          <c:idx val="1"/>
          <c:order val="1"/>
          <c:spPr>
            <a:gradFill rotWithShape="1">
              <a:gsLst>
                <a:gs pos="0">
                  <a:schemeClr val="accent1">
                    <a:shade val="86000"/>
                    <a:tint val="100000"/>
                    <a:shade val="100000"/>
                    <a:satMod val="130000"/>
                  </a:schemeClr>
                </a:gs>
                <a:gs pos="100000">
                  <a:schemeClr val="accent1">
                    <a:shade val="86000"/>
                    <a:tint val="50000"/>
                    <a:shade val="100000"/>
                    <a:satMod val="350000"/>
                  </a:schemeClr>
                </a:gs>
              </a:gsLst>
              <a:lin ang="162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Planilha2!$A$1:$A$6</c:f>
              <c:strCache>
                <c:ptCount val="6"/>
                <c:pt idx="0">
                  <c:v>NONE</c:v>
                </c:pt>
                <c:pt idx="1">
                  <c:v>LIGHT</c:v>
                </c:pt>
                <c:pt idx="2">
                  <c:v>MODERATE</c:v>
                </c:pt>
                <c:pt idx="3">
                  <c:v>SERIOUS</c:v>
                </c:pt>
                <c:pt idx="4">
                  <c:v>DEATH</c:v>
                </c:pt>
                <c:pt idx="5">
                  <c:v>TOTAL</c:v>
                </c:pt>
              </c:strCache>
            </c:strRef>
          </c:cat>
          <c:val>
            <c:numRef>
              <c:f>Planilha2!$B$1:$B$7</c:f>
              <c:numCache>
                <c:formatCode>General</c:formatCode>
                <c:ptCount val="7"/>
                <c:pt idx="0">
                  <c:v>82</c:v>
                </c:pt>
                <c:pt idx="1">
                  <c:v>288</c:v>
                </c:pt>
                <c:pt idx="2">
                  <c:v>77</c:v>
                </c:pt>
                <c:pt idx="3">
                  <c:v>23</c:v>
                </c:pt>
                <c:pt idx="4">
                  <c:v>28</c:v>
                </c:pt>
                <c:pt idx="5">
                  <c:v>498</c:v>
                </c:pt>
              </c:numCache>
            </c:numRef>
          </c:val>
          <c:extLst xmlns:c16r2="http://schemas.microsoft.com/office/drawing/2015/06/chart">
            <c:ext xmlns:c16="http://schemas.microsoft.com/office/drawing/2014/chart" uri="{C3380CC4-5D6E-409C-BE32-E72D297353CC}">
              <c16:uniqueId val="{00000001-1B97-4284-A909-8284955BD846}"/>
            </c:ext>
          </c:extLst>
        </c:ser>
        <c:ser>
          <c:idx val="2"/>
          <c:order val="2"/>
          <c:spPr>
            <a:gradFill rotWithShape="1">
              <a:gsLst>
                <a:gs pos="0">
                  <a:schemeClr val="accent1">
                    <a:tint val="86000"/>
                    <a:tint val="100000"/>
                    <a:shade val="100000"/>
                    <a:satMod val="130000"/>
                  </a:schemeClr>
                </a:gs>
                <a:gs pos="100000">
                  <a:schemeClr val="accent1">
                    <a:tint val="86000"/>
                    <a:tint val="50000"/>
                    <a:shade val="100000"/>
                    <a:satMod val="350000"/>
                  </a:schemeClr>
                </a:gs>
              </a:gsLst>
              <a:lin ang="162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Planilha2!$A$1:$A$6</c:f>
              <c:strCache>
                <c:ptCount val="6"/>
                <c:pt idx="0">
                  <c:v>NONE</c:v>
                </c:pt>
                <c:pt idx="1">
                  <c:v>LIGHT</c:v>
                </c:pt>
                <c:pt idx="2">
                  <c:v>MODERATE</c:v>
                </c:pt>
                <c:pt idx="3">
                  <c:v>SERIOUS</c:v>
                </c:pt>
                <c:pt idx="4">
                  <c:v>DEATH</c:v>
                </c:pt>
                <c:pt idx="5">
                  <c:v>TOTAL</c:v>
                </c:pt>
              </c:strCache>
            </c:strRef>
          </c:cat>
          <c:val>
            <c:numRef>
              <c:f>Planilha2!$C$1:$C$7</c:f>
              <c:numCache>
                <c:formatCode>General</c:formatCode>
                <c:ptCount val="7"/>
              </c:numCache>
            </c:numRef>
          </c:val>
          <c:extLst xmlns:c16r2="http://schemas.microsoft.com/office/drawing/2015/06/chart">
            <c:ext xmlns:c16="http://schemas.microsoft.com/office/drawing/2014/chart" uri="{C3380CC4-5D6E-409C-BE32-E72D297353CC}">
              <c16:uniqueId val="{00000002-1B97-4284-A909-8284955BD846}"/>
            </c:ext>
          </c:extLst>
        </c:ser>
        <c:ser>
          <c:idx val="3"/>
          <c:order val="3"/>
          <c:spPr>
            <a:gradFill rotWithShape="1">
              <a:gsLst>
                <a:gs pos="0">
                  <a:schemeClr val="accent1">
                    <a:tint val="58000"/>
                    <a:tint val="100000"/>
                    <a:shade val="100000"/>
                    <a:satMod val="130000"/>
                  </a:schemeClr>
                </a:gs>
                <a:gs pos="100000">
                  <a:schemeClr val="accent1">
                    <a:tint val="58000"/>
                    <a:tint val="50000"/>
                    <a:shade val="100000"/>
                    <a:satMod val="350000"/>
                  </a:schemeClr>
                </a:gs>
              </a:gsLst>
              <a:lin ang="162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Planilha2!$A$1:$A$6</c:f>
              <c:strCache>
                <c:ptCount val="6"/>
                <c:pt idx="0">
                  <c:v>NONE</c:v>
                </c:pt>
                <c:pt idx="1">
                  <c:v>LIGHT</c:v>
                </c:pt>
                <c:pt idx="2">
                  <c:v>MODERATE</c:v>
                </c:pt>
                <c:pt idx="3">
                  <c:v>SERIOUS</c:v>
                </c:pt>
                <c:pt idx="4">
                  <c:v>DEATH</c:v>
                </c:pt>
                <c:pt idx="5">
                  <c:v>TOTAL</c:v>
                </c:pt>
              </c:strCache>
            </c:strRef>
          </c:cat>
          <c:val>
            <c:numRef>
              <c:f>Planilha2!$D$1:$D$7</c:f>
              <c:numCache>
                <c:formatCode>0.00%</c:formatCode>
                <c:ptCount val="7"/>
                <c:pt idx="0">
                  <c:v>0.16470000000000001</c:v>
                </c:pt>
                <c:pt idx="1">
                  <c:v>0.57830000000000004</c:v>
                </c:pt>
                <c:pt idx="2">
                  <c:v>0.15460000000000004</c:v>
                </c:pt>
                <c:pt idx="3">
                  <c:v>4.6199999999999998E-2</c:v>
                </c:pt>
                <c:pt idx="4">
                  <c:v>5.62E-2</c:v>
                </c:pt>
                <c:pt idx="5">
                  <c:v>1</c:v>
                </c:pt>
              </c:numCache>
            </c:numRef>
          </c:val>
          <c:extLst xmlns:c16r2="http://schemas.microsoft.com/office/drawing/2015/06/chart">
            <c:ext xmlns:c16="http://schemas.microsoft.com/office/drawing/2014/chart" uri="{C3380CC4-5D6E-409C-BE32-E72D297353CC}">
              <c16:uniqueId val="{00000003-1B97-4284-A909-8284955BD846}"/>
            </c:ext>
          </c:extLst>
        </c:ser>
        <c:dLbls>
          <c:showVal val="1"/>
        </c:dLbls>
        <c:gapWidth val="100"/>
        <c:overlap val="-24"/>
        <c:axId val="86299392"/>
        <c:axId val="86301696"/>
      </c:barChart>
      <c:catAx>
        <c:axId val="86299392"/>
        <c:scaling>
          <c:orientation val="minMax"/>
        </c:scaling>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solidFill>
                      <a:sysClr val="windowText" lastClr="000000"/>
                    </a:solidFill>
                    <a:latin typeface="Arial" panose="020B0604020202020204" pitchFamily="34" charset="0"/>
                    <a:cs typeface="Arial" panose="020B0604020202020204" pitchFamily="34" charset="0"/>
                  </a:rPr>
                  <a:t>Notifications  and  %</a:t>
                </a:r>
              </a:p>
            </c:rich>
          </c:tx>
          <c:spPr>
            <a:noFill/>
            <a:ln>
              <a:noFill/>
            </a:ln>
            <a:effectLst/>
          </c:spPr>
        </c:title>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86301696"/>
        <c:crosses val="autoZero"/>
        <c:auto val="1"/>
        <c:lblAlgn val="ctr"/>
        <c:lblOffset val="100"/>
      </c:catAx>
      <c:valAx>
        <c:axId val="86301696"/>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86299392"/>
        <c:crosses val="autoZero"/>
        <c:crossBetween val="between"/>
      </c:valAx>
      <c:spPr>
        <a:noFill/>
        <a:ln>
          <a:noFill/>
        </a:ln>
        <a:effectLst/>
      </c:spPr>
    </c:plotArea>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style val="3"/>
  <c:chart>
    <c:autoTitleDeleted val="1"/>
    <c:plotArea>
      <c:layout/>
      <c:barChart>
        <c:barDir val="bar"/>
        <c:grouping val="stacked"/>
        <c:ser>
          <c:idx val="1"/>
          <c:order val="0"/>
          <c:tx>
            <c:strRef>
              <c:f>Planilha6!$C$19</c:f>
              <c:strCache>
                <c:ptCount val="1"/>
                <c:pt idx="0">
                  <c:v>number of incidents</c:v>
                </c:pt>
              </c:strCache>
            </c:strRef>
          </c:tx>
          <c:spPr>
            <a:solidFill>
              <a:schemeClr val="accent1">
                <a:shade val="86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Planilha6!$A$20:$A$32</c:f>
              <c:strCache>
                <c:ptCount val="13"/>
                <c:pt idx="0">
                  <c:v>Less than 28 days</c:v>
                </c:pt>
                <c:pt idx="1">
                  <c:v>From 29 days to 1 years</c:v>
                </c:pt>
                <c:pt idx="2">
                  <c:v>From 2 to 4 years</c:v>
                </c:pt>
                <c:pt idx="3">
                  <c:v>From 5 to 11 years </c:v>
                </c:pt>
                <c:pt idx="4">
                  <c:v>From 12 to 17 years</c:v>
                </c:pt>
                <c:pt idx="5">
                  <c:v>From 18 to 25 years</c:v>
                </c:pt>
                <c:pt idx="6">
                  <c:v>From 26 to 35 years</c:v>
                </c:pt>
                <c:pt idx="7">
                  <c:v>From 36 to 45 years</c:v>
                </c:pt>
                <c:pt idx="8">
                  <c:v>From 46 to 55 years </c:v>
                </c:pt>
                <c:pt idx="9">
                  <c:v>From 56 to 65 years</c:v>
                </c:pt>
                <c:pt idx="10">
                  <c:v>From 66 to 75 years</c:v>
                </c:pt>
                <c:pt idx="11">
                  <c:v>From 76 to 85 years</c:v>
                </c:pt>
                <c:pt idx="12">
                  <c:v>over 85 years</c:v>
                </c:pt>
              </c:strCache>
            </c:strRef>
          </c:cat>
          <c:val>
            <c:numRef>
              <c:f>Planilha6!$C$20:$C$32</c:f>
              <c:numCache>
                <c:formatCode>General</c:formatCode>
                <c:ptCount val="13"/>
                <c:pt idx="0">
                  <c:v>33</c:v>
                </c:pt>
                <c:pt idx="1">
                  <c:v>15</c:v>
                </c:pt>
                <c:pt idx="2">
                  <c:v>5</c:v>
                </c:pt>
                <c:pt idx="3">
                  <c:v>3</c:v>
                </c:pt>
                <c:pt idx="4">
                  <c:v>6</c:v>
                </c:pt>
                <c:pt idx="5">
                  <c:v>32</c:v>
                </c:pt>
                <c:pt idx="6">
                  <c:v>61</c:v>
                </c:pt>
                <c:pt idx="7">
                  <c:v>78</c:v>
                </c:pt>
                <c:pt idx="8">
                  <c:v>61</c:v>
                </c:pt>
                <c:pt idx="9">
                  <c:v>85</c:v>
                </c:pt>
                <c:pt idx="10">
                  <c:v>67</c:v>
                </c:pt>
                <c:pt idx="11">
                  <c:v>46</c:v>
                </c:pt>
                <c:pt idx="12">
                  <c:v>6</c:v>
                </c:pt>
              </c:numCache>
            </c:numRef>
          </c:val>
          <c:extLst xmlns:c16r2="http://schemas.microsoft.com/office/drawing/2015/06/chart">
            <c:ext xmlns:c16="http://schemas.microsoft.com/office/drawing/2014/chart" uri="{C3380CC4-5D6E-409C-BE32-E72D297353CC}">
              <c16:uniqueId val="{00000000-8FCF-40D5-BAE4-677B6C3968FD}"/>
            </c:ext>
          </c:extLst>
        </c:ser>
        <c:ser>
          <c:idx val="2"/>
          <c:order val="1"/>
          <c:tx>
            <c:strRef>
              <c:f>Planilha6!$D$19</c:f>
              <c:strCache>
                <c:ptCount val="1"/>
                <c:pt idx="0">
                  <c:v>%</c:v>
                </c:pt>
              </c:strCache>
            </c:strRef>
          </c:tx>
          <c:spPr>
            <a:solidFill>
              <a:schemeClr val="accent1">
                <a:tint val="86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Planilha6!$A$20:$A$32</c:f>
              <c:strCache>
                <c:ptCount val="13"/>
                <c:pt idx="0">
                  <c:v>Less than 28 days</c:v>
                </c:pt>
                <c:pt idx="1">
                  <c:v>From 29 days to 1 years</c:v>
                </c:pt>
                <c:pt idx="2">
                  <c:v>From 2 to 4 years</c:v>
                </c:pt>
                <c:pt idx="3">
                  <c:v>From 5 to 11 years </c:v>
                </c:pt>
                <c:pt idx="4">
                  <c:v>From 12 to 17 years</c:v>
                </c:pt>
                <c:pt idx="5">
                  <c:v>From 18 to 25 years</c:v>
                </c:pt>
                <c:pt idx="6">
                  <c:v>From 26 to 35 years</c:v>
                </c:pt>
                <c:pt idx="7">
                  <c:v>From 36 to 45 years</c:v>
                </c:pt>
                <c:pt idx="8">
                  <c:v>From 46 to 55 years </c:v>
                </c:pt>
                <c:pt idx="9">
                  <c:v>From 56 to 65 years</c:v>
                </c:pt>
                <c:pt idx="10">
                  <c:v>From 66 to 75 years</c:v>
                </c:pt>
                <c:pt idx="11">
                  <c:v>From 76 to 85 years</c:v>
                </c:pt>
                <c:pt idx="12">
                  <c:v>over 85 years</c:v>
                </c:pt>
              </c:strCache>
            </c:strRef>
          </c:cat>
          <c:val>
            <c:numRef>
              <c:f>Planilha6!$D$20:$D$32</c:f>
              <c:numCache>
                <c:formatCode>0.00%</c:formatCode>
                <c:ptCount val="13"/>
                <c:pt idx="0">
                  <c:v>6.6299999999999998E-2</c:v>
                </c:pt>
                <c:pt idx="1">
                  <c:v>3.0100000000000002E-2</c:v>
                </c:pt>
                <c:pt idx="2">
                  <c:v>1.0000000000000004E-2</c:v>
                </c:pt>
                <c:pt idx="3">
                  <c:v>6.0000000000000019E-3</c:v>
                </c:pt>
                <c:pt idx="4">
                  <c:v>1.2E-2</c:v>
                </c:pt>
                <c:pt idx="5">
                  <c:v>6.4300000000000024E-2</c:v>
                </c:pt>
                <c:pt idx="6">
                  <c:v>0.12250000000000003</c:v>
                </c:pt>
                <c:pt idx="7">
                  <c:v>0.15660000000000004</c:v>
                </c:pt>
                <c:pt idx="8">
                  <c:v>0.12250000000000003</c:v>
                </c:pt>
                <c:pt idx="9">
                  <c:v>0.17069999999999999</c:v>
                </c:pt>
                <c:pt idx="10">
                  <c:v>0.13450000000000001</c:v>
                </c:pt>
                <c:pt idx="11">
                  <c:v>9.240000000000001E-2</c:v>
                </c:pt>
                <c:pt idx="12">
                  <c:v>1.2E-2</c:v>
                </c:pt>
              </c:numCache>
            </c:numRef>
          </c:val>
          <c:extLst xmlns:c16r2="http://schemas.microsoft.com/office/drawing/2015/06/chart">
            <c:ext xmlns:c16="http://schemas.microsoft.com/office/drawing/2014/chart" uri="{C3380CC4-5D6E-409C-BE32-E72D297353CC}">
              <c16:uniqueId val="{00000001-8FCF-40D5-BAE4-677B6C3968FD}"/>
            </c:ext>
          </c:extLst>
        </c:ser>
        <c:dLbls>
          <c:showVal val="1"/>
        </c:dLbls>
        <c:overlap val="100"/>
        <c:axId val="94710400"/>
        <c:axId val="9475353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Planilha6!$B$19</c15:sqref>
                        </c15:formulaRef>
                      </c:ext>
                    </c:extLst>
                    <c:strCache>
                      <c:ptCount val="1"/>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Planilha6!$A$20:$A$32</c15:sqref>
                        </c15:formulaRef>
                      </c:ext>
                    </c:extLst>
                    <c:strCache>
                      <c:ptCount val="13"/>
                      <c:pt idx="0">
                        <c:v>Less than 28 days</c:v>
                      </c:pt>
                      <c:pt idx="1">
                        <c:v>From 29 days to 1 years</c:v>
                      </c:pt>
                      <c:pt idx="2">
                        <c:v>From 2 to 4 years</c:v>
                      </c:pt>
                      <c:pt idx="3">
                        <c:v>From 5 to 11 years </c:v>
                      </c:pt>
                      <c:pt idx="4">
                        <c:v>From 12 to 17 years</c:v>
                      </c:pt>
                      <c:pt idx="5">
                        <c:v>From 18 to 25 years</c:v>
                      </c:pt>
                      <c:pt idx="6">
                        <c:v>From 26 to 35 years</c:v>
                      </c:pt>
                      <c:pt idx="7">
                        <c:v>From 36 to 45 years</c:v>
                      </c:pt>
                      <c:pt idx="8">
                        <c:v>From 46 to 55 years </c:v>
                      </c:pt>
                      <c:pt idx="9">
                        <c:v>From 56 to 65 years</c:v>
                      </c:pt>
                      <c:pt idx="10">
                        <c:v>From 66 to 75 years</c:v>
                      </c:pt>
                      <c:pt idx="11">
                        <c:v>From 76 to 85 years</c:v>
                      </c:pt>
                      <c:pt idx="12">
                        <c:v>over 85 years</c:v>
                      </c:pt>
                    </c:strCache>
                  </c:strRef>
                </c:cat>
                <c:val>
                  <c:numRef>
                    <c:extLst>
                      <c:ext uri="{02D57815-91ED-43cb-92C2-25804820EDAC}">
                        <c15:formulaRef>
                          <c15:sqref>Planilha6!$B$20:$B$32</c15:sqref>
                        </c15:formulaRef>
                      </c:ext>
                    </c:extLst>
                    <c:numCache>
                      <c:formatCode>General</c:formatCode>
                      <c:ptCount val="13"/>
                    </c:numCache>
                  </c:numRef>
                </c:val>
                <c:extLst>
                  <c:ext xmlns:c16="http://schemas.microsoft.com/office/drawing/2014/chart" uri="{C3380CC4-5D6E-409C-BE32-E72D297353CC}">
                    <c16:uniqueId val="{00000002-8FCF-40D5-BAE4-677B6C3968F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Planilha6!$E$19</c15:sqref>
                        </c15:formulaRef>
                      </c:ext>
                    </c:extLst>
                    <c:strCache>
                      <c:ptCount val="1"/>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Planilha6!$A$20:$A$32</c15:sqref>
                        </c15:formulaRef>
                      </c:ext>
                    </c:extLst>
                    <c:strCache>
                      <c:ptCount val="13"/>
                      <c:pt idx="0">
                        <c:v>Less than 28 days</c:v>
                      </c:pt>
                      <c:pt idx="1">
                        <c:v>From 29 days to 1 years</c:v>
                      </c:pt>
                      <c:pt idx="2">
                        <c:v>From 2 to 4 years</c:v>
                      </c:pt>
                      <c:pt idx="3">
                        <c:v>From 5 to 11 years </c:v>
                      </c:pt>
                      <c:pt idx="4">
                        <c:v>From 12 to 17 years</c:v>
                      </c:pt>
                      <c:pt idx="5">
                        <c:v>From 18 to 25 years</c:v>
                      </c:pt>
                      <c:pt idx="6">
                        <c:v>From 26 to 35 years</c:v>
                      </c:pt>
                      <c:pt idx="7">
                        <c:v>From 36 to 45 years</c:v>
                      </c:pt>
                      <c:pt idx="8">
                        <c:v>From 46 to 55 years </c:v>
                      </c:pt>
                      <c:pt idx="9">
                        <c:v>From 56 to 65 years</c:v>
                      </c:pt>
                      <c:pt idx="10">
                        <c:v>From 66 to 75 years</c:v>
                      </c:pt>
                      <c:pt idx="11">
                        <c:v>From 76 to 85 years</c:v>
                      </c:pt>
                      <c:pt idx="12">
                        <c:v>over 85 years</c:v>
                      </c:pt>
                    </c:strCache>
                  </c:strRef>
                </c:cat>
                <c:val>
                  <c:numRef>
                    <c:extLst xmlns:c15="http://schemas.microsoft.com/office/drawing/2012/chart">
                      <c:ext xmlns:c15="http://schemas.microsoft.com/office/drawing/2012/chart" uri="{02D57815-91ED-43cb-92C2-25804820EDAC}">
                        <c15:formulaRef>
                          <c15:sqref>Planilha6!$E$20:$E$32</c15:sqref>
                        </c15:formulaRef>
                      </c:ext>
                    </c:extLst>
                    <c:numCache>
                      <c:formatCode>General</c:formatCode>
                      <c:ptCount val="13"/>
                    </c:numCache>
                  </c:numRef>
                </c:val>
                <c:extLst xmlns:c15="http://schemas.microsoft.com/office/drawing/2012/chart">
                  <c:ext xmlns:c16="http://schemas.microsoft.com/office/drawing/2014/chart" uri="{C3380CC4-5D6E-409C-BE32-E72D297353CC}">
                    <c16:uniqueId val="{00000003-8FCF-40D5-BAE4-677B6C3968FD}"/>
                  </c:ext>
                </c:extLst>
              </c15:ser>
            </c15:filteredBarSeries>
          </c:ext>
        </c:extLst>
      </c:barChart>
      <c:catAx>
        <c:axId val="9471040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4753536"/>
        <c:crosses val="autoZero"/>
        <c:auto val="1"/>
        <c:lblAlgn val="ctr"/>
        <c:lblOffset val="100"/>
      </c:catAx>
      <c:valAx>
        <c:axId val="9475353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4710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style val="7"/>
  <c:chart>
    <c:autoTitleDeleted val="1"/>
    <c:plotArea>
      <c:layout/>
      <c:barChart>
        <c:barDir val="bar"/>
        <c:grouping val="clustered"/>
        <c:ser>
          <c:idx val="4"/>
          <c:order val="0"/>
          <c:tx>
            <c:strRef>
              <c:f>Planilha4!$H$9</c:f>
              <c:strCache>
                <c:ptCount val="1"/>
                <c:pt idx="0">
                  <c:v>Death</c:v>
                </c:pt>
              </c:strCache>
            </c:strRef>
          </c:tx>
          <c:spPr>
            <a:solidFill>
              <a:schemeClr val="accent5">
                <a:tint val="7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Planilha4!$C$10:$C$14</c:f>
              <c:strCache>
                <c:ptCount val="5"/>
                <c:pt idx="0">
                  <c:v>Failures during health care</c:v>
                </c:pt>
                <c:pt idx="1">
                  <c:v>Patient accidents</c:v>
                </c:pt>
                <c:pt idx="2">
                  <c:v>Bronchoaspiration</c:v>
                </c:pt>
                <c:pt idx="3">
                  <c:v>Failures involving probes</c:v>
                </c:pt>
                <c:pt idx="4">
                  <c:v>Failures in the administrations of O2 and medical gases </c:v>
                </c:pt>
              </c:strCache>
            </c:strRef>
          </c:cat>
          <c:val>
            <c:numRef>
              <c:f>Planilha4!$H$10:$H$14</c:f>
              <c:numCache>
                <c:formatCode>General</c:formatCode>
                <c:ptCount val="5"/>
                <c:pt idx="0">
                  <c:v>23</c:v>
                </c:pt>
                <c:pt idx="1">
                  <c:v>2</c:v>
                </c:pt>
                <c:pt idx="2">
                  <c:v>1</c:v>
                </c:pt>
                <c:pt idx="3">
                  <c:v>1</c:v>
                </c:pt>
                <c:pt idx="4">
                  <c:v>1</c:v>
                </c:pt>
              </c:numCache>
            </c:numRef>
          </c:val>
          <c:extLst xmlns:c16r2="http://schemas.microsoft.com/office/drawing/2015/06/chart">
            <c:ext xmlns:c16="http://schemas.microsoft.com/office/drawing/2014/chart" uri="{C3380CC4-5D6E-409C-BE32-E72D297353CC}">
              <c16:uniqueId val="{00000000-B6C3-4B4F-A9A9-F1A0E37A90FF}"/>
            </c:ext>
          </c:extLst>
        </c:ser>
        <c:ser>
          <c:idx val="5"/>
          <c:order val="1"/>
          <c:tx>
            <c:strRef>
              <c:f>Planilha4!$I$9</c:f>
              <c:strCache>
                <c:ptCount val="1"/>
                <c:pt idx="0">
                  <c:v>%</c:v>
                </c:pt>
              </c:strCache>
            </c:strRef>
          </c:tx>
          <c:spPr>
            <a:solidFill>
              <a:schemeClr val="accent5">
                <a:tint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Planilha4!$C$10:$C$14</c:f>
              <c:strCache>
                <c:ptCount val="5"/>
                <c:pt idx="0">
                  <c:v>Failures during health care</c:v>
                </c:pt>
                <c:pt idx="1">
                  <c:v>Patient accidents</c:v>
                </c:pt>
                <c:pt idx="2">
                  <c:v>Bronchoaspiration</c:v>
                </c:pt>
                <c:pt idx="3">
                  <c:v>Failures involving probes</c:v>
                </c:pt>
                <c:pt idx="4">
                  <c:v>Failures in the administrations of O2 and medical gases </c:v>
                </c:pt>
              </c:strCache>
            </c:strRef>
          </c:cat>
          <c:val>
            <c:numRef>
              <c:f>Planilha4!$I$10:$I$14</c:f>
              <c:numCache>
                <c:formatCode>0.00%</c:formatCode>
                <c:ptCount val="5"/>
                <c:pt idx="0">
                  <c:v>0.82140000000000002</c:v>
                </c:pt>
                <c:pt idx="1">
                  <c:v>7.1400000000000019E-2</c:v>
                </c:pt>
                <c:pt idx="2">
                  <c:v>3.570000000000001E-2</c:v>
                </c:pt>
                <c:pt idx="3">
                  <c:v>3.570000000000001E-2</c:v>
                </c:pt>
                <c:pt idx="4">
                  <c:v>3.570000000000001E-2</c:v>
                </c:pt>
              </c:numCache>
            </c:numRef>
          </c:val>
          <c:extLst xmlns:c16r2="http://schemas.microsoft.com/office/drawing/2015/06/chart">
            <c:ext xmlns:c16="http://schemas.microsoft.com/office/drawing/2014/chart" uri="{C3380CC4-5D6E-409C-BE32-E72D297353CC}">
              <c16:uniqueId val="{00000001-B6C3-4B4F-A9A9-F1A0E37A90FF}"/>
            </c:ext>
          </c:extLst>
        </c:ser>
        <c:dLbls>
          <c:showVal val="1"/>
        </c:dLbls>
        <c:gapWidth val="182"/>
        <c:axId val="107480192"/>
        <c:axId val="107481728"/>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Planilha4!$D$9</c15:sqref>
                        </c15:formulaRef>
                      </c:ext>
                    </c:extLst>
                    <c:strCache>
                      <c:ptCount val="1"/>
                    </c:strCache>
                  </c:strRef>
                </c:tx>
                <c:spPr>
                  <a:solidFill>
                    <a:schemeClr val="accent5">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Planilha4!$C$10:$C$14</c15:sqref>
                        </c15:formulaRef>
                      </c:ext>
                    </c:extLst>
                    <c:strCache>
                      <c:ptCount val="5"/>
                      <c:pt idx="0">
                        <c:v>Failures during health care</c:v>
                      </c:pt>
                      <c:pt idx="1">
                        <c:v>Patient accidents</c:v>
                      </c:pt>
                      <c:pt idx="2">
                        <c:v>Bronchoaspiration</c:v>
                      </c:pt>
                      <c:pt idx="3">
                        <c:v>Failures involving probes</c:v>
                      </c:pt>
                      <c:pt idx="4">
                        <c:v>Failures in the administrations of O2 and medical gases </c:v>
                      </c:pt>
                    </c:strCache>
                  </c:strRef>
                </c:cat>
                <c:val>
                  <c:numRef>
                    <c:extLst>
                      <c:ext uri="{02D57815-91ED-43cb-92C2-25804820EDAC}">
                        <c15:formulaRef>
                          <c15:sqref>Planilha4!$D$10:$D$14</c15:sqref>
                        </c15:formulaRef>
                      </c:ext>
                    </c:extLst>
                    <c:numCache>
                      <c:formatCode>General</c:formatCode>
                      <c:ptCount val="5"/>
                    </c:numCache>
                  </c:numRef>
                </c:val>
                <c:extLst>
                  <c:ext xmlns:c16="http://schemas.microsoft.com/office/drawing/2014/chart" uri="{C3380CC4-5D6E-409C-BE32-E72D297353CC}">
                    <c16:uniqueId val="{00000002-B6C3-4B4F-A9A9-F1A0E37A90FF}"/>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Planilha4!$E$9</c15:sqref>
                        </c15:formulaRef>
                      </c:ext>
                    </c:extLst>
                    <c:strCache>
                      <c:ptCount val="1"/>
                    </c:strCache>
                  </c:strRef>
                </c:tx>
                <c:spPr>
                  <a:solidFill>
                    <a:schemeClr val="accent5">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Planilha4!$C$10:$C$14</c15:sqref>
                        </c15:formulaRef>
                      </c:ext>
                    </c:extLst>
                    <c:strCache>
                      <c:ptCount val="5"/>
                      <c:pt idx="0">
                        <c:v>Failures during health care</c:v>
                      </c:pt>
                      <c:pt idx="1">
                        <c:v>Patient accidents</c:v>
                      </c:pt>
                      <c:pt idx="2">
                        <c:v>Bronchoaspiration</c:v>
                      </c:pt>
                      <c:pt idx="3">
                        <c:v>Failures involving probes</c:v>
                      </c:pt>
                      <c:pt idx="4">
                        <c:v>Failures in the administrations of O2 and medical gases </c:v>
                      </c:pt>
                    </c:strCache>
                  </c:strRef>
                </c:cat>
                <c:val>
                  <c:numRef>
                    <c:extLst xmlns:c15="http://schemas.microsoft.com/office/drawing/2012/chart">
                      <c:ext xmlns:c15="http://schemas.microsoft.com/office/drawing/2012/chart" uri="{02D57815-91ED-43cb-92C2-25804820EDAC}">
                        <c15:formulaRef>
                          <c15:sqref>Planilha4!$E$10:$E$14</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B6C3-4B4F-A9A9-F1A0E37A90F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Planilha4!$F$9</c15:sqref>
                        </c15:formulaRef>
                      </c:ext>
                    </c:extLst>
                    <c:strCache>
                      <c:ptCount val="1"/>
                    </c:strCache>
                  </c:strRef>
                </c:tx>
                <c:spPr>
                  <a:solidFill>
                    <a:schemeClr val="accent5">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Planilha4!$C$10:$C$14</c15:sqref>
                        </c15:formulaRef>
                      </c:ext>
                    </c:extLst>
                    <c:strCache>
                      <c:ptCount val="5"/>
                      <c:pt idx="0">
                        <c:v>Failures during health care</c:v>
                      </c:pt>
                      <c:pt idx="1">
                        <c:v>Patient accidents</c:v>
                      </c:pt>
                      <c:pt idx="2">
                        <c:v>Bronchoaspiration</c:v>
                      </c:pt>
                      <c:pt idx="3">
                        <c:v>Failures involving probes</c:v>
                      </c:pt>
                      <c:pt idx="4">
                        <c:v>Failures in the administrations of O2 and medical gases </c:v>
                      </c:pt>
                    </c:strCache>
                  </c:strRef>
                </c:cat>
                <c:val>
                  <c:numRef>
                    <c:extLst xmlns:c15="http://schemas.microsoft.com/office/drawing/2012/chart">
                      <c:ext xmlns:c15="http://schemas.microsoft.com/office/drawing/2012/chart" uri="{02D57815-91ED-43cb-92C2-25804820EDAC}">
                        <c15:formulaRef>
                          <c15:sqref>Planilha4!$F$10:$F$14</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B6C3-4B4F-A9A9-F1A0E37A90FF}"/>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Planilha4!$G$9</c15:sqref>
                        </c15:formulaRef>
                      </c:ext>
                    </c:extLst>
                    <c:strCache>
                      <c:ptCount val="1"/>
                    </c:strCache>
                  </c:strRef>
                </c:tx>
                <c:spPr>
                  <a:solidFill>
                    <a:schemeClr val="accent5">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Planilha4!$C$10:$C$14</c15:sqref>
                        </c15:formulaRef>
                      </c:ext>
                    </c:extLst>
                    <c:strCache>
                      <c:ptCount val="5"/>
                      <c:pt idx="0">
                        <c:v>Failures during health care</c:v>
                      </c:pt>
                      <c:pt idx="1">
                        <c:v>Patient accidents</c:v>
                      </c:pt>
                      <c:pt idx="2">
                        <c:v>Bronchoaspiration</c:v>
                      </c:pt>
                      <c:pt idx="3">
                        <c:v>Failures involving probes</c:v>
                      </c:pt>
                      <c:pt idx="4">
                        <c:v>Failures in the administrations of O2 and medical gases </c:v>
                      </c:pt>
                    </c:strCache>
                  </c:strRef>
                </c:cat>
                <c:val>
                  <c:numRef>
                    <c:extLst xmlns:c15="http://schemas.microsoft.com/office/drawing/2012/chart">
                      <c:ext xmlns:c15="http://schemas.microsoft.com/office/drawing/2012/chart" uri="{02D57815-91ED-43cb-92C2-25804820EDAC}">
                        <c15:formulaRef>
                          <c15:sqref>Planilha4!$G$10:$G$14</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5-B6C3-4B4F-A9A9-F1A0E37A90FF}"/>
                  </c:ext>
                </c:extLst>
              </c15:ser>
            </c15:filteredBarSeries>
          </c:ext>
        </c:extLst>
      </c:barChart>
      <c:catAx>
        <c:axId val="107480192"/>
        <c:scaling>
          <c:orientation val="minMax"/>
        </c:scaling>
        <c:axPos val="l"/>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107481728"/>
        <c:crosses val="autoZero"/>
        <c:auto val="1"/>
        <c:lblAlgn val="ctr"/>
        <c:lblOffset val="100"/>
      </c:catAx>
      <c:valAx>
        <c:axId val="10748172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1074801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7"/>
  <c:chart>
    <c:autoTitleDeleted val="1"/>
    <c:plotArea>
      <c:layout/>
      <c:barChart>
        <c:barDir val="bar"/>
        <c:grouping val="clustered"/>
        <c:ser>
          <c:idx val="12"/>
          <c:order val="0"/>
          <c:tx>
            <c:strRef>
              <c:f>Planilha1!$N$1</c:f>
              <c:strCache>
                <c:ptCount val="1"/>
                <c:pt idx="0">
                  <c:v>Never events</c:v>
                </c:pt>
              </c:strCache>
            </c:strRef>
          </c:tx>
          <c:spPr>
            <a:solidFill>
              <a:schemeClr val="accent5">
                <a:tint val="57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Planilha1!$A$2:$A$3</c:f>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f>Planilha1!$N$2:$N$3</c:f>
              <c:numCache>
                <c:formatCode>General</c:formatCode>
                <c:ptCount val="2"/>
                <c:pt idx="0">
                  <c:v>7</c:v>
                </c:pt>
                <c:pt idx="1">
                  <c:v>1</c:v>
                </c:pt>
              </c:numCache>
            </c:numRef>
          </c:val>
          <c:extLst xmlns:c16r2="http://schemas.microsoft.com/office/drawing/2015/06/chart">
            <c:ext xmlns:c16="http://schemas.microsoft.com/office/drawing/2014/chart" uri="{C3380CC4-5D6E-409C-BE32-E72D297353CC}">
              <c16:uniqueId val="{00000000-B831-4A4D-842D-AA144BB60BCB}"/>
            </c:ext>
          </c:extLst>
        </c:ser>
        <c:ser>
          <c:idx val="13"/>
          <c:order val="1"/>
          <c:tx>
            <c:strRef>
              <c:f>Planilha1!$O$1</c:f>
              <c:strCache>
                <c:ptCount val="1"/>
                <c:pt idx="0">
                  <c:v>%</c:v>
                </c:pt>
              </c:strCache>
            </c:strRef>
          </c:tx>
          <c:spPr>
            <a:solidFill>
              <a:schemeClr val="accent5">
                <a:tint val="48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Planilha1!$A$2:$A$3</c:f>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f>Planilha1!$O$2:$O$3</c:f>
              <c:numCache>
                <c:formatCode>0.00%</c:formatCode>
                <c:ptCount val="2"/>
                <c:pt idx="0">
                  <c:v>0.87500000000000022</c:v>
                </c:pt>
                <c:pt idx="1">
                  <c:v>0.125</c:v>
                </c:pt>
              </c:numCache>
            </c:numRef>
          </c:val>
          <c:extLst xmlns:c16r2="http://schemas.microsoft.com/office/drawing/2015/06/chart">
            <c:ext xmlns:c16="http://schemas.microsoft.com/office/drawing/2014/chart" uri="{C3380CC4-5D6E-409C-BE32-E72D297353CC}">
              <c16:uniqueId val="{00000001-B831-4A4D-842D-AA144BB60BCB}"/>
            </c:ext>
          </c:extLst>
        </c:ser>
        <c:dLbls>
          <c:showVal val="1"/>
        </c:dLbls>
        <c:gapWidth val="182"/>
        <c:axId val="113263744"/>
        <c:axId val="113265664"/>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Planilha1!$B$1</c15:sqref>
                        </c15:formulaRef>
                      </c:ext>
                    </c:extLst>
                    <c:strCache>
                      <c:ptCount val="1"/>
                    </c:strCache>
                  </c:strRef>
                </c:tx>
                <c:spPr>
                  <a:solidFill>
                    <a:schemeClr val="accent5">
                      <a:shade val="3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c:ext uri="{02D57815-91ED-43cb-92C2-25804820EDAC}">
                        <c15:formulaRef>
                          <c15:sqref>Planilha1!$B$2:$B$3</c15:sqref>
                        </c15:formulaRef>
                      </c:ext>
                    </c:extLst>
                    <c:numCache>
                      <c:formatCode>General</c:formatCode>
                      <c:ptCount val="2"/>
                    </c:numCache>
                  </c:numRef>
                </c:val>
                <c:extLst>
                  <c:ext xmlns:c16="http://schemas.microsoft.com/office/drawing/2014/chart" uri="{C3380CC4-5D6E-409C-BE32-E72D297353CC}">
                    <c16:uniqueId val="{00000002-B831-4A4D-842D-AA144BB60BC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Planilha1!$C$1</c15:sqref>
                        </c15:formulaRef>
                      </c:ext>
                    </c:extLst>
                    <c:strCache>
                      <c:ptCount val="1"/>
                    </c:strCache>
                  </c:strRef>
                </c:tx>
                <c:spPr>
                  <a:solidFill>
                    <a:schemeClr val="accent5">
                      <a:shade val="4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Planilha1!$C$2:$C$3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3-B831-4A4D-842D-AA144BB60BC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Planilha1!$D$1</c15:sqref>
                        </c15:formulaRef>
                      </c:ext>
                    </c:extLst>
                    <c:strCache>
                      <c:ptCount val="1"/>
                    </c:strCache>
                  </c:strRef>
                </c:tx>
                <c:spPr>
                  <a:solidFill>
                    <a:schemeClr val="accent5">
                      <a:shade val="5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Planilha1!$D$2:$D$3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4-B831-4A4D-842D-AA144BB60BC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Planilha1!$E$1</c15:sqref>
                        </c15:formulaRef>
                      </c:ext>
                    </c:extLst>
                    <c:strCache>
                      <c:ptCount val="1"/>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Planilha1!$E$2:$E$3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5-B831-4A4D-842D-AA144BB60BC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Planilha1!$F$1</c15:sqref>
                        </c15:formulaRef>
                      </c:ext>
                    </c:extLst>
                    <c:strCache>
                      <c:ptCount val="1"/>
                    </c:strCache>
                  </c:strRef>
                </c:tx>
                <c:spPr>
                  <a:solidFill>
                    <a:schemeClr val="accent5">
                      <a:shade val="7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Planilha1!$F$2:$F$3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6-B831-4A4D-842D-AA144BB60BC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Planilha1!$G$1</c15:sqref>
                        </c15:formulaRef>
                      </c:ext>
                    </c:extLst>
                    <c:strCache>
                      <c:ptCount val="1"/>
                    </c:strCache>
                  </c:strRef>
                </c:tx>
                <c:spPr>
                  <a:solidFill>
                    <a:schemeClr val="accent5">
                      <a:shade val="8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Planilha1!$G$2:$G$3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7-B831-4A4D-842D-AA144BB60BC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Planilha1!$H$1</c15:sqref>
                        </c15:formulaRef>
                      </c:ext>
                    </c:extLst>
                    <c:strCache>
                      <c:ptCount val="1"/>
                    </c:strCache>
                  </c:strRef>
                </c:tx>
                <c:spPr>
                  <a:solidFill>
                    <a:schemeClr val="accent5">
                      <a:shade val="9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Planilha1!$H$2:$H$3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8-B831-4A4D-842D-AA144BB60BCB}"/>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Planilha1!$I$1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Planilha1!$I$2:$I$3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9-B831-4A4D-842D-AA144BB60BC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Planilha1!$J$1</c15:sqref>
                        </c15:formulaRef>
                      </c:ext>
                    </c:extLst>
                    <c:strCache>
                      <c:ptCount val="1"/>
                    </c:strCache>
                  </c:strRef>
                </c:tx>
                <c:spPr>
                  <a:solidFill>
                    <a:schemeClr val="accent5">
                      <a:tint val="9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Planilha1!$J$2:$J$3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A-B831-4A4D-842D-AA144BB60BCB}"/>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Planilha1!$K$1</c15:sqref>
                        </c15:formulaRef>
                      </c:ext>
                    </c:extLst>
                    <c:strCache>
                      <c:ptCount val="1"/>
                    </c:strCache>
                  </c:strRef>
                </c:tx>
                <c:spPr>
                  <a:solidFill>
                    <a:schemeClr val="accent5">
                      <a:tint val="8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Planilha1!$K$2:$K$3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B-B831-4A4D-842D-AA144BB60BCB}"/>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Planilha1!$L$1</c15:sqref>
                        </c15:formulaRef>
                      </c:ext>
                    </c:extLst>
                    <c:strCache>
                      <c:ptCount val="1"/>
                    </c:strCache>
                  </c:strRef>
                </c:tx>
                <c:spPr>
                  <a:solidFill>
                    <a:schemeClr val="accent5">
                      <a:tint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Planilha1!$L$2:$L$3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C-B831-4A4D-842D-AA144BB60BCB}"/>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Planilha1!$M$1</c15:sqref>
                        </c15:formulaRef>
                      </c:ext>
                    </c:extLst>
                    <c:strCache>
                      <c:ptCount val="1"/>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Planilha1!$M$2:$M$3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D-B831-4A4D-842D-AA144BB60BCB}"/>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Planilha1!$P$1</c15:sqref>
                        </c15:formulaRef>
                      </c:ext>
                    </c:extLst>
                    <c:strCache>
                      <c:ptCount val="1"/>
                    </c:strCache>
                  </c:strRef>
                </c:tx>
                <c:spPr>
                  <a:solidFill>
                    <a:schemeClr val="accent5">
                      <a:tint val="3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Planilha1!$A$2:$A$3</c15:sqref>
                        </c15:formulaRef>
                      </c:ext>
                    </c:extLst>
                    <c:strCache>
                      <c:ptCount val="2"/>
                      <c:pt idx="0">
                        <c:v>LPP III: total loss of tissue thickness - subcutaneous adipose tissue may be visible, but bones, tendons or muscles are not exposed</c:v>
                      </c:pt>
                      <c:pt idx="1">
                        <c:v>Unintentional retention of a foreign body in a patient after surgery</c:v>
                      </c:pt>
                    </c:strCache>
                  </c:strRef>
                </c:cat>
                <c:val>
                  <c:numRef>
                    <c:extLst xmlns:c15="http://schemas.microsoft.com/office/drawing/2012/chart">
                      <c:ext xmlns:c15="http://schemas.microsoft.com/office/drawing/2012/chart" uri="{02D57815-91ED-43cb-92C2-25804820EDAC}">
                        <c15:formulaRef>
                          <c15:sqref>Planilha1!$P$2:$P$3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E-B831-4A4D-842D-AA144BB60BCB}"/>
                  </c:ext>
                </c:extLst>
              </c15:ser>
            </c15:filteredBarSeries>
          </c:ext>
        </c:extLst>
      </c:barChart>
      <c:catAx>
        <c:axId val="1132637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3265664"/>
        <c:crosses val="autoZero"/>
        <c:auto val="1"/>
        <c:lblAlgn val="ctr"/>
        <c:lblOffset val="100"/>
      </c:catAx>
      <c:valAx>
        <c:axId val="11326566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32637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7255</Words>
  <Characters>39181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dc:creator>
  <cp:lastModifiedBy>mayarakimura</cp:lastModifiedBy>
  <cp:revision>6</cp:revision>
  <dcterms:created xsi:type="dcterms:W3CDTF">2025-02-25T12:59:00Z</dcterms:created>
  <dcterms:modified xsi:type="dcterms:W3CDTF">2025-02-25T14:13:00Z</dcterms:modified>
</cp:coreProperties>
</file>