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36B" w:rsidRDefault="00930A3F">
      <w:pPr>
        <w:autoSpaceDE w:val="0"/>
        <w:autoSpaceDN w:val="0"/>
        <w:adjustRightInd w:val="0"/>
        <w:spacing w:line="240" w:lineRule="auto"/>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Neuroprotective and Anticonvulsant Effects of Guava Leaf Extract (Psidium guajava): Implications for Seizure Management and Cognitive Health</w:t>
      </w:r>
    </w:p>
    <w:p w:rsidR="0021636B" w:rsidRDefault="0021636B">
      <w:pPr>
        <w:spacing w:line="240" w:lineRule="auto"/>
        <w:rPr>
          <w:rFonts w:ascii="Times New Roman" w:hAnsi="Times New Roman" w:cs="Times New Roman"/>
          <w:b/>
          <w:bCs/>
          <w:sz w:val="24"/>
          <w:szCs w:val="24"/>
        </w:rPr>
      </w:pPr>
    </w:p>
    <w:p w:rsidR="0021636B" w:rsidRDefault="00930A3F">
      <w:pPr>
        <w:spacing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Epilepsy is a chronic neurological disorder characterized by </w:t>
      </w:r>
      <w:r>
        <w:rPr>
          <w:rFonts w:ascii="Times New Roman" w:hAnsi="Times New Roman" w:cs="Times New Roman"/>
          <w:sz w:val="24"/>
          <w:szCs w:val="24"/>
        </w:rPr>
        <w:t>recurrent seizures that severely impact quality of life. The increasing need for safer and more effective anticonvulsant therapies has led to the exploration of herbal remedies. This study investigates the anticonvulsant and neuroprotective properties of P</w:t>
      </w:r>
      <w:r>
        <w:rPr>
          <w:rFonts w:ascii="Times New Roman" w:hAnsi="Times New Roman" w:cs="Times New Roman"/>
          <w:sz w:val="24"/>
          <w:szCs w:val="24"/>
        </w:rPr>
        <w:t>sidium guajava leaf extract using a pentylenetetrazol (PTZ) model of induced seizures in rats.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Methods: Twenty-five male Wistar rats were divided into five groups: a normal control, an epileptic control, a standard drug (Diazepam), and two groups treated w</w:t>
      </w:r>
      <w:r>
        <w:rPr>
          <w:rFonts w:ascii="Times New Roman" w:hAnsi="Times New Roman" w:cs="Times New Roman"/>
          <w:sz w:val="24"/>
          <w:szCs w:val="24"/>
        </w:rPr>
        <w:t>ith low (200 mg/kg) and high (400 mg/kg) doses of guava leaf extract. After a week of treatment, seizures were induced using PTZ (65 mg/kg), and seizure parameters were recorded. Cognitive function was assessed using the Novel Object Recognition Task. Hist</w:t>
      </w:r>
      <w:r>
        <w:rPr>
          <w:rFonts w:ascii="Times New Roman" w:hAnsi="Times New Roman" w:cs="Times New Roman"/>
          <w:sz w:val="24"/>
          <w:szCs w:val="24"/>
        </w:rPr>
        <w:t>opathological evaluations were conducted on the hippocampus, and statistical analyses were performed with a significance level set at p &lt; 0.05.</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Results: The PTZ group exhibited increased seizure frequency and duration compared to controls, with significant</w:t>
      </w:r>
      <w:r>
        <w:rPr>
          <w:rFonts w:ascii="Times New Roman" w:hAnsi="Times New Roman" w:cs="Times New Roman"/>
          <w:sz w:val="24"/>
          <w:szCs w:val="24"/>
        </w:rPr>
        <w:t xml:space="preserve"> differences (p &lt; 0.05). Both doses of guava leaf extract significantly reduced seizure activity (p &lt; 0.05), with the high dose showing markedly greater efficacy. Cognitive assessments revealed improved memory and habituation indices in extract-treated gro</w:t>
      </w:r>
      <w:r>
        <w:rPr>
          <w:rFonts w:ascii="Times New Roman" w:hAnsi="Times New Roman" w:cs="Times New Roman"/>
          <w:sz w:val="24"/>
          <w:szCs w:val="24"/>
        </w:rPr>
        <w:t>ups relative to the PTZ control (p &lt; 0.05), while Diazepam treatment resulted in cognitive impairments. Histological analysis revealed severe neurodegeneration in the PTZ group, whereas guava leaf extract groups showed reduced degeneration and better-prese</w:t>
      </w:r>
      <w:r>
        <w:rPr>
          <w:rFonts w:ascii="Times New Roman" w:hAnsi="Times New Roman" w:cs="Times New Roman"/>
          <w:sz w:val="24"/>
          <w:szCs w:val="24"/>
        </w:rPr>
        <w:t>rved neuronal architecture (p &lt; 0.05).</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Conclusion: Psidium guajava leaf extract exhibits significant anticonvulsant and neuroprotective properties in a PTZ-induced seizure model, suggesting its potential as a complementary therapy in the management of epil</w:t>
      </w:r>
      <w:r>
        <w:rPr>
          <w:rFonts w:ascii="Times New Roman" w:hAnsi="Times New Roman" w:cs="Times New Roman"/>
          <w:sz w:val="24"/>
          <w:szCs w:val="24"/>
        </w:rPr>
        <w:t>epsy. The findings underscore the need for further studies to explore the extract's mechanisms of action and its applicability in clinical settings.</w:t>
      </w:r>
    </w:p>
    <w:p w:rsidR="0021636B" w:rsidRDefault="0021636B">
      <w:pPr>
        <w:spacing w:line="240" w:lineRule="auto"/>
        <w:jc w:val="both"/>
        <w:rPr>
          <w:rFonts w:ascii="Times New Roman" w:hAnsi="Times New Roman" w:cs="Times New Roman"/>
          <w:sz w:val="24"/>
          <w:szCs w:val="24"/>
        </w:rPr>
      </w:pP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Psidium guajava; Anticonvulsant; Neuroprotective; Pentylenetetrazol (PTZ); Epilepsy; Cognitive f</w:t>
      </w:r>
      <w:r>
        <w:rPr>
          <w:rFonts w:ascii="Times New Roman" w:hAnsi="Times New Roman" w:cs="Times New Roman"/>
          <w:sz w:val="24"/>
          <w:szCs w:val="24"/>
        </w:rPr>
        <w:t>unction</w:t>
      </w: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21636B">
      <w:pPr>
        <w:spacing w:line="240" w:lineRule="auto"/>
        <w:rPr>
          <w:rFonts w:ascii="Times New Roman" w:hAnsi="Times New Roman" w:cs="Times New Roman"/>
          <w:b/>
          <w:bCs/>
          <w:sz w:val="24"/>
          <w:szCs w:val="24"/>
        </w:rPr>
      </w:pPr>
    </w:p>
    <w:p w:rsidR="0021636B" w:rsidRDefault="00930A3F">
      <w:pPr>
        <w:spacing w:line="240" w:lineRule="auto"/>
        <w:rPr>
          <w:rFonts w:ascii="Times New Roman" w:hAnsi="Times New Roman" w:cs="Times New Roman"/>
          <w:b/>
          <w:bCs/>
          <w:sz w:val="24"/>
          <w:szCs w:val="24"/>
        </w:rPr>
      </w:pPr>
      <w:r>
        <w:rPr>
          <w:rFonts w:ascii="Times New Roman" w:hAnsi="Times New Roman" w:cs="Times New Roman"/>
          <w:b/>
          <w:bCs/>
          <w:sz w:val="24"/>
          <w:szCs w:val="24"/>
        </w:rPr>
        <w:t>1. INTRODUCTION</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Epilepsy is a chronic neurological disorder marked by recurrent seizures that adversely affect quality of life (Sirven, 2015; England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2012). Seizures result from sudden electrical activity in the brain and vary in t</w:t>
      </w:r>
      <w:r>
        <w:rPr>
          <w:rFonts w:ascii="Times New Roman" w:hAnsi="Times New Roman" w:cs="Times New Roman"/>
          <w:sz w:val="24"/>
          <w:szCs w:val="24"/>
          <w:shd w:val="clear" w:color="auto" w:fill="FFFFFF"/>
        </w:rPr>
        <w:t xml:space="preserve">ype and severity, leading to various physical and emotional challenges (Stafstrom &amp; Carmant, 2015). Individuals with epilepsy often confront stigma, safety concerns, and activity limitations (Kerr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2012). Effective management typically involves medi</w:t>
      </w:r>
      <w:r>
        <w:rPr>
          <w:rFonts w:ascii="Times New Roman" w:hAnsi="Times New Roman" w:cs="Times New Roman"/>
          <w:sz w:val="24"/>
          <w:szCs w:val="24"/>
          <w:shd w:val="clear" w:color="auto" w:fill="FFFFFF"/>
        </w:rPr>
        <w:t>cation, lifestyle changes, and support systems to enhance overall well-being (Al-Aqeel et al., 2020).</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World Health Organization (WHO) estimates that approximately 50 mi</w:t>
      </w:r>
      <w:r>
        <w:rPr>
          <w:rFonts w:ascii="Times New Roman" w:hAnsi="Times New Roman" w:cs="Times New Roman"/>
          <w:sz w:val="24"/>
          <w:szCs w:val="24"/>
          <w:shd w:val="clear" w:color="auto" w:fill="FFFFFF"/>
        </w:rPr>
        <w:t xml:space="preserve">llion people globally have epilepsy, making it one of the most prevalent neurological disorders (Liu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2023; Chen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2023). This prevalence highlights its importance as a public health issue (Kassahunb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Epilepsy affects all age gro</w:t>
      </w:r>
      <w:r>
        <w:rPr>
          <w:rFonts w:ascii="Times New Roman" w:hAnsi="Times New Roman" w:cs="Times New Roman"/>
          <w:sz w:val="24"/>
          <w:szCs w:val="24"/>
          <w:shd w:val="clear" w:color="auto" w:fill="FFFFFF"/>
        </w:rPr>
        <w:t xml:space="preserve">ups and demographics, leading to challenges such as social stigma, limited treatment access, and increased comorbidity with mental health disorders (Tsigebrhan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2021). Thus, raising awareness, improving diagnostic methods, and enhancing treatment op</w:t>
      </w:r>
      <w:r>
        <w:rPr>
          <w:rFonts w:ascii="Times New Roman" w:hAnsi="Times New Roman" w:cs="Times New Roman"/>
          <w:sz w:val="24"/>
          <w:szCs w:val="24"/>
          <w:shd w:val="clear" w:color="auto" w:fill="FFFFFF"/>
        </w:rPr>
        <w:t>tions are essential for effective management and support of individuals living with epilepsy.</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Pharmacological treatments for epilepsy, including benzodiazepines and antiepileptic drugs (AEDs), have notable limitations such as side effects, dependence poten</w:t>
      </w:r>
      <w:r>
        <w:rPr>
          <w:rFonts w:ascii="Times New Roman" w:hAnsi="Times New Roman" w:cs="Times New Roman"/>
          <w:sz w:val="24"/>
          <w:szCs w:val="24"/>
          <w:shd w:val="clear" w:color="auto" w:fill="FFFFFF"/>
        </w:rPr>
        <w:t xml:space="preserve">tial, and incomplete seizure control (Wahab, 2010). While AEDs provide benefits, they can also cause side effects like aggression, agitation, and irritability in some patients (Brodie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2016). Furthermore, these treatments often fail to address cogni</w:t>
      </w:r>
      <w:r>
        <w:rPr>
          <w:rFonts w:ascii="Times New Roman" w:hAnsi="Times New Roman" w:cs="Times New Roman"/>
          <w:sz w:val="24"/>
          <w:szCs w:val="24"/>
          <w:shd w:val="clear" w:color="auto" w:fill="FFFFFF"/>
        </w:rPr>
        <w:t xml:space="preserve">tive deficits commonly associated with seizure disorders, which can further diminish quality of life (Foster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2020).</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Individuals with epilepsy often experience cognitive impairment (Holmes, 2015). This impairment can impact various cognitive functio</w:t>
      </w:r>
      <w:r>
        <w:rPr>
          <w:rFonts w:ascii="Times New Roman" w:hAnsi="Times New Roman" w:cs="Times New Roman"/>
          <w:sz w:val="24"/>
          <w:szCs w:val="24"/>
          <w:shd w:val="clear" w:color="auto" w:fill="FFFFFF"/>
        </w:rPr>
        <w:t xml:space="preserve">ns such as memory, attention, and problem-solving skills (Hoxhaj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Many cognitive challenges are shaped by a range of interconnected factors, including the early onset of epilepsy and the frequency, intensity, and duration of seizures, as well</w:t>
      </w:r>
      <w:r>
        <w:rPr>
          <w:rFonts w:ascii="Times New Roman" w:hAnsi="Times New Roman" w:cs="Times New Roman"/>
          <w:sz w:val="24"/>
          <w:szCs w:val="24"/>
          <w:shd w:val="clear" w:color="auto" w:fill="FFFFFF"/>
        </w:rPr>
        <w:t xml:space="preserve"> as the effects of antiepileptic drug treatments (Novak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2022). It is crucial to recognize and address these cognitive concerns to enhance the overall quality of life for people with epilepsy, as they can significantly affect educational and occupat</w:t>
      </w:r>
      <w:r>
        <w:rPr>
          <w:rFonts w:ascii="Times New Roman" w:hAnsi="Times New Roman" w:cs="Times New Roman"/>
          <w:sz w:val="24"/>
          <w:szCs w:val="24"/>
          <w:shd w:val="clear" w:color="auto" w:fill="FFFFFF"/>
        </w:rPr>
        <w:t>ional outcomes, as well as social interactions.</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In the quest for alternative therapeutic strategies, herbal medicine has garnered attention for its perceived effectiveness and reduced side effects compared to conventional pharmaceuticals (Wang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w:t>
      </w:r>
      <w:r>
        <w:rPr>
          <w:rFonts w:ascii="Times New Roman" w:hAnsi="Times New Roman" w:cs="Times New Roman"/>
          <w:sz w:val="24"/>
          <w:szCs w:val="24"/>
          <w:shd w:val="clear" w:color="auto" w:fill="FFFFFF"/>
        </w:rPr>
        <w:t xml:space="preserve">3; Anani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2024). Psidium guajava, or guava, has been traditionally employed in various cultures for its medicinal benefits, including its potential antiseizure effects (Pushpa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2014). The leaves of guava contain numerous pharmacologically act</w:t>
      </w:r>
      <w:r>
        <w:rPr>
          <w:rFonts w:ascii="Times New Roman" w:hAnsi="Times New Roman" w:cs="Times New Roman"/>
          <w:sz w:val="24"/>
          <w:szCs w:val="24"/>
          <w:shd w:val="clear" w:color="auto" w:fill="FFFFFF"/>
        </w:rPr>
        <w:t xml:space="preserve">ive compounds, such as flavonoids and polyphenols, which are known for their antioxidant and anti-inflammatory properties (Huynh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2025). Recent studies emphasize the potential neuroprotective effects of guava leaf extract, indicating its capacity to</w:t>
      </w:r>
      <w:r>
        <w:rPr>
          <w:rFonts w:ascii="Times New Roman" w:hAnsi="Times New Roman" w:cs="Times New Roman"/>
          <w:sz w:val="24"/>
          <w:szCs w:val="24"/>
          <w:shd w:val="clear" w:color="auto" w:fill="FFFFFF"/>
        </w:rPr>
        <w:t xml:space="preserve"> reduce oxidative stress and inflammation—two critical factors in neuronal damage associated with seizures (Saad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2020; Sahal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2024).</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present study aims to investigate the anticonvulsant and neuroprotective properties of guava leaf extrac</w:t>
      </w:r>
      <w:r>
        <w:rPr>
          <w:rFonts w:ascii="Times New Roman" w:hAnsi="Times New Roman" w:cs="Times New Roman"/>
          <w:sz w:val="24"/>
          <w:szCs w:val="24"/>
          <w:shd w:val="clear" w:color="auto" w:fill="FFFFFF"/>
        </w:rPr>
        <w:t xml:space="preserve">t using a pentylenetetrazol (PTZ) model of seizures in rats. The PTZ-induced seizure model is well-established for its reliability in replicating the pathological features of epilepsy and is characterized by altered neurotransmission, particularly through </w:t>
      </w:r>
      <w:r>
        <w:rPr>
          <w:rFonts w:ascii="Times New Roman" w:hAnsi="Times New Roman" w:cs="Times New Roman"/>
          <w:sz w:val="24"/>
          <w:szCs w:val="24"/>
          <w:shd w:val="clear" w:color="auto" w:fill="FFFFFF"/>
        </w:rPr>
        <w:t xml:space="preserve">the modulation of GABAergic and glutamatergic pathways (Shimada &amp; Yamagata, 2018; Aleshin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In light of the adverse cognitive effects associated with seizure activity, this study will also evaluate the cognitive function of the experimental an</w:t>
      </w:r>
      <w:r>
        <w:rPr>
          <w:rFonts w:ascii="Times New Roman" w:hAnsi="Times New Roman" w:cs="Times New Roman"/>
          <w:sz w:val="24"/>
          <w:szCs w:val="24"/>
          <w:shd w:val="clear" w:color="auto" w:fill="FFFFFF"/>
        </w:rPr>
        <w:t xml:space="preserve">imals concurrently with the assessment of the anticonvulsant effects </w:t>
      </w:r>
      <w:r>
        <w:rPr>
          <w:rFonts w:ascii="Times New Roman" w:hAnsi="Times New Roman" w:cs="Times New Roman"/>
          <w:sz w:val="24"/>
          <w:szCs w:val="24"/>
          <w:shd w:val="clear" w:color="auto" w:fill="FFFFFF"/>
        </w:rPr>
        <w:lastRenderedPageBreak/>
        <w:t>of guava leaf extract. This dual focus aims to provide a comprehensive understanding of the extract's potential benefits in mitigating both seizure activity and cognitive impairment.</w:t>
      </w:r>
    </w:p>
    <w:p w:rsidR="0021636B" w:rsidRDefault="00930A3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research is grounded in the hypothesis that guava leaf extract can effectively reduce both the frequency and duration of seizures while simultaneously enhancing cognitive function, attributable to its neuroprotective properties. Furthermore, the study aims</w:t>
      </w:r>
      <w:r>
        <w:rPr>
          <w:rFonts w:ascii="Times New Roman" w:hAnsi="Times New Roman" w:cs="Times New Roman"/>
          <w:sz w:val="24"/>
          <w:szCs w:val="24"/>
          <w:shd w:val="clear" w:color="auto" w:fill="FFFFFF"/>
        </w:rPr>
        <w:t xml:space="preserve"> to compare the efficacy of guava leaf extract with that of diazepam, a widely utilized anticonvulsant, and assess any potential cognitive impairments associated with diazepam use. This investigation seeks to provide valuable insights into the therapeutic </w:t>
      </w:r>
      <w:r>
        <w:rPr>
          <w:rFonts w:ascii="Times New Roman" w:hAnsi="Times New Roman" w:cs="Times New Roman"/>
          <w:sz w:val="24"/>
          <w:szCs w:val="24"/>
          <w:shd w:val="clear" w:color="auto" w:fill="FFFFFF"/>
        </w:rPr>
        <w:t>potential of guava leaf extract as a complementary treatment for epilepsy, particularly in addressing seizure-related cognitive deficits. By elucidating the advantages of guava leaf extract, this research could pave the way for developing alternative thera</w:t>
      </w:r>
      <w:r>
        <w:rPr>
          <w:rFonts w:ascii="Times New Roman" w:hAnsi="Times New Roman" w:cs="Times New Roman"/>
          <w:sz w:val="24"/>
          <w:szCs w:val="24"/>
          <w:shd w:val="clear" w:color="auto" w:fill="FFFFFF"/>
        </w:rPr>
        <w:t>pies with fewer side effects that could improve the quality of life for individuals living with epilepsy.</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shd w:val="clear" w:color="auto" w:fill="FFFFFF"/>
        </w:rPr>
        <w:t>By elucidating the effects of guava leaf extract on seizure activity and cognitive function, this study aims to pave the way for future research and c</w:t>
      </w:r>
      <w:r>
        <w:rPr>
          <w:rFonts w:ascii="Times New Roman" w:hAnsi="Times New Roman" w:cs="Times New Roman"/>
          <w:sz w:val="24"/>
          <w:szCs w:val="24"/>
          <w:shd w:val="clear" w:color="auto" w:fill="FFFFFF"/>
        </w:rPr>
        <w:t>linical applications in the management of epilepsy and related neurodegenerative conditions. In investigating the neuroprotective effects of guava leaf extract, we aspire to identify viable alternatives that could enhance overall treatment outcomes for ind</w:t>
      </w:r>
      <w:r>
        <w:rPr>
          <w:rFonts w:ascii="Times New Roman" w:hAnsi="Times New Roman" w:cs="Times New Roman"/>
          <w:sz w:val="24"/>
          <w:szCs w:val="24"/>
          <w:shd w:val="clear" w:color="auto" w:fill="FFFFFF"/>
        </w:rPr>
        <w:t>ividuals suffering from seizure disorders. Additionally, this research may foster a better understanding of the underlying mechanisms through which natural compounds, like guava leaf extract, exert their therapeutic effects, facilitating the development of</w:t>
      </w:r>
      <w:r>
        <w:rPr>
          <w:rFonts w:ascii="Times New Roman" w:hAnsi="Times New Roman" w:cs="Times New Roman"/>
          <w:sz w:val="24"/>
          <w:szCs w:val="24"/>
          <w:shd w:val="clear" w:color="auto" w:fill="FFFFFF"/>
        </w:rPr>
        <w:t xml:space="preserve"> more effective and safer treatment options. Ultimately, the findings could contribute to expanding the repertoire of therapies available for managing epilepsy, promoting not just seizure control but also improved cognitive health for those affected.</w:t>
      </w: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 MATERIALS AND METHODS</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 Materials</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2.1.1 Guava Leaf Extract Preparation</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The guava (Psidium guajava) leaves used in this experiment were sourced from guava trees located in the compound of Mr. Blessing Eteng at No. 4 Archibong Ika Street, Calaba</w:t>
      </w:r>
      <w:r>
        <w:rPr>
          <w:rFonts w:ascii="Times New Roman" w:hAnsi="Times New Roman" w:cs="Times New Roman"/>
          <w:sz w:val="24"/>
          <w:szCs w:val="24"/>
        </w:rPr>
        <w:t xml:space="preserve">r South, Cross River State. To verify their authenticity, the leaves underwent botanical authentication at the Plant </w:t>
      </w:r>
      <w:r>
        <w:rPr>
          <w:rFonts w:ascii="Times New Roman" w:hAnsi="Times New Roman" w:cs="Times New Roman"/>
          <w:sz w:val="24"/>
          <w:szCs w:val="24"/>
        </w:rPr>
        <w:lastRenderedPageBreak/>
        <w:t>Science Department of the University of Calabar, Nigeria, where a specimen record was established in the department's plant collection with</w:t>
      </w:r>
      <w:r>
        <w:rPr>
          <w:rFonts w:ascii="Times New Roman" w:hAnsi="Times New Roman" w:cs="Times New Roman"/>
          <w:sz w:val="24"/>
          <w:szCs w:val="24"/>
        </w:rPr>
        <w:t xml:space="preserve"> the voucher code Bot/Herb/UCC/0095. </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prepare the extract, freshly harvested guava leaves were washed with tap water to eliminate contaminants and left to air dry naturally at room temperature in a laboratory setting for 14 days. After drying, the </w:t>
      </w:r>
      <w:r>
        <w:rPr>
          <w:rFonts w:ascii="Times New Roman" w:hAnsi="Times New Roman" w:cs="Times New Roman"/>
          <w:noProof/>
          <w:sz w:val="24"/>
          <w:szCs w:val="24"/>
        </w:rPr>
        <w:t>leaves were initially crushed using a mortar and pestle, followed by grinding into a fine powder with a blender. For the hydro-solvent tincture, 650g of the powdered guava leaves were combined with 3000ml of distilled water and allowed to steep for 48 hour</w:t>
      </w:r>
      <w:r>
        <w:rPr>
          <w:rFonts w:ascii="Times New Roman" w:hAnsi="Times New Roman" w:cs="Times New Roman"/>
          <w:noProof/>
          <w:sz w:val="24"/>
          <w:szCs w:val="24"/>
        </w:rPr>
        <w:t>s. The resulting mixture was filtered twice, first through cheesecloth and subsequently with Whatman No. 1 filter paper, to achieve a clear solution.</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The filtrate was then concentrated under reduced pressure at 45°C using a rotary evaporator until it reach</w:t>
      </w:r>
      <w:r>
        <w:rPr>
          <w:rFonts w:ascii="Times New Roman" w:hAnsi="Times New Roman" w:cs="Times New Roman"/>
          <w:noProof/>
          <w:sz w:val="24"/>
          <w:szCs w:val="24"/>
        </w:rPr>
        <w:t>ed one-tenth of its original volume. This concentration process was followed by complete drying in a vacuum water bath, resulting in a yield of 56g of crude extract from Psidium guajava, following methods adapted from Harborne (1998). This careful extracti</w:t>
      </w:r>
      <w:r>
        <w:rPr>
          <w:rFonts w:ascii="Times New Roman" w:hAnsi="Times New Roman" w:cs="Times New Roman"/>
          <w:noProof/>
          <w:sz w:val="24"/>
          <w:szCs w:val="24"/>
        </w:rPr>
        <w:t>on process ensures the preservation of the potential bioactive compounds within the guava leaves, setting the stage for further analysis of their efficacy in the treatment of seizure disorders and cognitive impairments.</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2.1.2 Chemicals and Reagents</w:t>
      </w:r>
    </w:p>
    <w:p w:rsidR="0021636B" w:rsidRDefault="00930A3F">
      <w:p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sz w:val="24"/>
          <w:szCs w:val="24"/>
        </w:rPr>
        <w:t>The pen</w:t>
      </w:r>
      <w:r>
        <w:rPr>
          <w:rFonts w:ascii="Times New Roman" w:hAnsi="Times New Roman" w:cs="Times New Roman"/>
          <w:sz w:val="24"/>
          <w:szCs w:val="24"/>
        </w:rPr>
        <w:t>tylenetetrazol (PTZ) utilized in the experiment was procured commercially from Sigma Aldrich, Germany. In addition, Diazepam (Jarzepam), with a concentration of 10mg/2ml, was obtained from Bez Pharmacy, located in Calabar, Cross River State. Both chemicals</w:t>
      </w:r>
      <w:r>
        <w:rPr>
          <w:rFonts w:ascii="Times New Roman" w:hAnsi="Times New Roman" w:cs="Times New Roman"/>
          <w:sz w:val="24"/>
          <w:szCs w:val="24"/>
        </w:rPr>
        <w:t xml:space="preserve"> were of high purity and conformed to analytical grade standards, ensuring their reliability and consistency, which is crucial for producing accurate and reproducible outcomes in the study.</w:t>
      </w:r>
    </w:p>
    <w:p w:rsidR="0021636B" w:rsidRDefault="00930A3F">
      <w:p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For the experiment, the required concentration of PTZ was prepared</w:t>
      </w:r>
      <w:r>
        <w:rPr>
          <w:rFonts w:ascii="Times New Roman" w:hAnsi="Times New Roman" w:cs="Times New Roman"/>
          <w:noProof/>
          <w:sz w:val="24"/>
          <w:szCs w:val="24"/>
        </w:rPr>
        <w:t xml:space="preserve"> by dissolving 195mg of PTZ in 15ml of normal saline. This process resulted in a solution with a concentration of 13mg/ml, suitable for inducing seizure activity in the experimental model. The precise preparation of the PTZ solution is vital for the standa</w:t>
      </w:r>
      <w:r>
        <w:rPr>
          <w:rFonts w:ascii="Times New Roman" w:hAnsi="Times New Roman" w:cs="Times New Roman"/>
          <w:noProof/>
          <w:sz w:val="24"/>
          <w:szCs w:val="24"/>
        </w:rPr>
        <w:t>rdization of doses used in the seizure induction process, ensuring that the effects of the guava leaf extract can be adequately assessed against a consistent baseline. This methodological rigor is integral to validating the findings of this study and suppo</w:t>
      </w:r>
      <w:r>
        <w:rPr>
          <w:rFonts w:ascii="Times New Roman" w:hAnsi="Times New Roman" w:cs="Times New Roman"/>
          <w:noProof/>
          <w:sz w:val="24"/>
          <w:szCs w:val="24"/>
        </w:rPr>
        <w:t>rts the potential for further research into the therapeutic applications of guava leaf extract in managing seizure disorders.</w:t>
      </w:r>
    </w:p>
    <w:p w:rsidR="0021636B" w:rsidRDefault="00930A3F">
      <w:pPr>
        <w:autoSpaceDE w:val="0"/>
        <w:autoSpaceDN w:val="0"/>
        <w:adjustRightInd w:val="0"/>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2.1.3 Study Animals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The experiment utilized 25 healthy male Wistar rats, each weighing between 90-110g. These rats were acquired f</w:t>
      </w:r>
      <w:r>
        <w:rPr>
          <w:rFonts w:ascii="Times New Roman" w:hAnsi="Times New Roman" w:cs="Times New Roman"/>
          <w:sz w:val="24"/>
          <w:szCs w:val="24"/>
        </w:rPr>
        <w:t>rom the animal house of the Faculty of Basic Medical Science at the University of Calabar. Upon arrival, they were housed in standard wooden cages equipped with iron nettings to ensure proper ventilation while maintaining a safe environment.</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rats were </w:t>
      </w:r>
      <w:r>
        <w:rPr>
          <w:rFonts w:ascii="Times New Roman" w:hAnsi="Times New Roman" w:cs="Times New Roman"/>
          <w:noProof/>
          <w:sz w:val="24"/>
          <w:szCs w:val="24"/>
        </w:rPr>
        <w:t xml:space="preserve">kept in a controlled environment with a temperature maintained at 25±2°C and relative humidity at 50±5%. Additionally, a 12-hour light/dark cycle was implemented to mimic natural conditions, thereby promoting normal physiological and behavioral rhythms in </w:t>
      </w:r>
      <w:r>
        <w:rPr>
          <w:rFonts w:ascii="Times New Roman" w:hAnsi="Times New Roman" w:cs="Times New Roman"/>
          <w:noProof/>
          <w:sz w:val="24"/>
          <w:szCs w:val="24"/>
        </w:rPr>
        <w:t>the animals. Prior to the commencement of the experiments, the rats were acclimatized to their surroundings for a sufficient period, which is critical to minimize stress and ensure reliable results.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Each rat was carefully monitored for health and well-bein</w:t>
      </w:r>
      <w:r>
        <w:rPr>
          <w:rFonts w:ascii="Times New Roman" w:hAnsi="Times New Roman" w:cs="Times New Roman"/>
          <w:noProof/>
          <w:sz w:val="24"/>
          <w:szCs w:val="24"/>
        </w:rPr>
        <w:t>g during the acclimatization and experimental periods. The ethical considerations for the use of laboratory animals adhered to the principles outlined by relevant animal care and use guidelines. This careful management of the laboratory environment and the</w:t>
      </w:r>
      <w:r>
        <w:rPr>
          <w:rFonts w:ascii="Times New Roman" w:hAnsi="Times New Roman" w:cs="Times New Roman"/>
          <w:noProof/>
          <w:sz w:val="24"/>
          <w:szCs w:val="24"/>
        </w:rPr>
        <w:t xml:space="preserve"> welfare of the rats contributed to the integrity of the study, allowing </w:t>
      </w:r>
      <w:r>
        <w:rPr>
          <w:rFonts w:ascii="Times New Roman" w:hAnsi="Times New Roman" w:cs="Times New Roman"/>
          <w:noProof/>
          <w:sz w:val="24"/>
          <w:szCs w:val="24"/>
        </w:rPr>
        <w:lastRenderedPageBreak/>
        <w:t>for a comprehensive assessment of the effects of the guava leaf extract on seizure activity and any associated cognitive impairment in the experimental model.</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 Experimental Design</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w:t>
      </w:r>
      <w:r>
        <w:rPr>
          <w:rFonts w:ascii="Times New Roman" w:hAnsi="Times New Roman" w:cs="Times New Roman"/>
          <w:b/>
          <w:bCs/>
          <w:noProof/>
          <w:sz w:val="24"/>
          <w:szCs w:val="24"/>
        </w:rPr>
        <w:t>.2 Study Groups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The study involved 25 male Wistar rats, which were systematically divided into five distinct groups (A, B, C, D, and E), with each group consisting of five rats. The groups were designed to assess the anti-convulsant effects of the Psidium </w:t>
      </w:r>
      <w:r>
        <w:rPr>
          <w:rFonts w:ascii="Times New Roman" w:hAnsi="Times New Roman" w:cs="Times New Roman"/>
          <w:sz w:val="24"/>
          <w:szCs w:val="24"/>
        </w:rPr>
        <w:t>guajava leaf extract, using Diazepam as a reference drug for comparison.</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A (Normal Control): This group received standard rat feed and distilled water for a duration of 14 days to establish a baseline for typical behavior and physiological responses.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B (Epileptic Control): In this group, epilepsy was induced by administering a single dose of pentylenetetrazol (PTZ) at a concentration of 65 mg/kg. This serves as the baseline for evaluating seizures in the absence of treatment.</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C (Standard D</w:t>
      </w:r>
      <w:r>
        <w:rPr>
          <w:rFonts w:ascii="Times New Roman" w:hAnsi="Times New Roman" w:cs="Times New Roman"/>
          <w:noProof/>
          <w:sz w:val="24"/>
          <w:szCs w:val="24"/>
        </w:rPr>
        <w:t>rug): This group received 4 mg/kg of Diazepam prior to the induction of epilepsy with PTZ. The purpose of this group was to provide a comparative benchmark for assessing the efficacy of the guava leaf extract in mitigating seizure activity.</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D: Rats i</w:t>
      </w:r>
      <w:r>
        <w:rPr>
          <w:rFonts w:ascii="Times New Roman" w:hAnsi="Times New Roman" w:cs="Times New Roman"/>
          <w:noProof/>
          <w:sz w:val="24"/>
          <w:szCs w:val="24"/>
        </w:rPr>
        <w:t xml:space="preserve">n this group were treated with 200 mg/kg of Psidium guajava leaf extract, administered orally every day at 9 am for one week, before the induction of epilepsy with PTZ. </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E: This group received a higher dosage of Psidium guajava leaf extract at 400 mg</w:t>
      </w:r>
      <w:r>
        <w:rPr>
          <w:rFonts w:ascii="Times New Roman" w:hAnsi="Times New Roman" w:cs="Times New Roman"/>
          <w:noProof/>
          <w:sz w:val="24"/>
          <w:szCs w:val="24"/>
        </w:rPr>
        <w:t>/kg, administered similarly as in Group D, for one week prior to the PTZ challenge.</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The careful administration of treatments and induction of seizures within this framework was crucial for systematically evaluating how the Psidium guajava leaf extract infl</w:t>
      </w:r>
      <w:r>
        <w:rPr>
          <w:rFonts w:ascii="Times New Roman" w:hAnsi="Times New Roman" w:cs="Times New Roman"/>
          <w:noProof/>
          <w:sz w:val="24"/>
          <w:szCs w:val="24"/>
        </w:rPr>
        <w:t>uences seizure activity and the overall behavioral outcomes in the Wistar rats. The findings from this study are anticipated to contribute valuable insights into the potential therapeutic applications of guava leaf extract in epilepsy management. Statistic</w:t>
      </w:r>
      <w:r>
        <w:rPr>
          <w:rFonts w:ascii="Times New Roman" w:hAnsi="Times New Roman" w:cs="Times New Roman"/>
          <w:noProof/>
          <w:sz w:val="24"/>
          <w:szCs w:val="24"/>
        </w:rPr>
        <w:t>al analyses was conducted to assess the significance of differences observed between groups in terms of seizure frequency, duration, and other related parameters.</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2.3 Dosage and Administration Protocol</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shd w:val="clear" w:color="FFFFFF" w:fill="FFFFFF"/>
        </w:rPr>
        <w:t>After a week of treatment, Psidium guajava leaf extrac</w:t>
      </w:r>
      <w:r>
        <w:rPr>
          <w:rFonts w:ascii="Times New Roman" w:hAnsi="Times New Roman" w:cs="Times New Roman"/>
          <w:sz w:val="24"/>
          <w:szCs w:val="24"/>
          <w:shd w:val="clear" w:color="FFFFFF" w:fill="FFFFFF"/>
        </w:rPr>
        <w:t xml:space="preserve">t and Diazepam were administered to their respective groups, setting the stage for the subsequent seizure induction. </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The specific treatment protocol was as follows: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 xml:space="preserve">1. Treatment Phase: The Psidium guajava extracts (200 mg/kg for Group D and 400 mg/kg for </w:t>
      </w:r>
      <w:r>
        <w:rPr>
          <w:rFonts w:ascii="Times New Roman" w:hAnsi="Times New Roman" w:cs="Times New Roman"/>
          <w:noProof/>
          <w:sz w:val="24"/>
          <w:szCs w:val="24"/>
          <w:shd w:val="clear" w:color="FFFFFF" w:fill="FFFFFF"/>
        </w:rPr>
        <w:t>Group E) were administered orally once daily at 9 am for a total of seven days. Meanwhile, Group C received Diazepam at a dose of 4 mg/kg, which was administered intraperitoneally on the same schedule prior to seizure induction. This approach allowed for a</w:t>
      </w:r>
      <w:r>
        <w:rPr>
          <w:rFonts w:ascii="Times New Roman" w:hAnsi="Times New Roman" w:cs="Times New Roman"/>
          <w:noProof/>
          <w:sz w:val="24"/>
          <w:szCs w:val="24"/>
          <w:shd w:val="clear" w:color="FFFFFF" w:fill="FFFFFF"/>
        </w:rPr>
        <w:t xml:space="preserve"> consistent administration of the extracts and the standard drug.</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2. Seizure Induction: Following the 7-day treatment period, all groups except the normal control (Group A) were subjected to seizure induction using pentylenetetrazol (PTZ), administered int</w:t>
      </w:r>
      <w:r>
        <w:rPr>
          <w:rFonts w:ascii="Times New Roman" w:hAnsi="Times New Roman" w:cs="Times New Roman"/>
          <w:noProof/>
          <w:sz w:val="24"/>
          <w:szCs w:val="24"/>
          <w:shd w:val="clear" w:color="FFFFFF" w:fill="FFFFFF"/>
        </w:rPr>
        <w:t>raperitoneally at a single dose of 65 mg/kg. This model is well-established for studying convulsive activity, allowing for an objective assessment of the impact of the treatments on seizure severity.</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lastRenderedPageBreak/>
        <w:t xml:space="preserve">3. Observations: Post-PTZ administration, the rats were </w:t>
      </w:r>
      <w:r>
        <w:rPr>
          <w:rFonts w:ascii="Times New Roman" w:hAnsi="Times New Roman" w:cs="Times New Roman"/>
          <w:noProof/>
          <w:sz w:val="24"/>
          <w:szCs w:val="24"/>
          <w:shd w:val="clear" w:color="FFFFFF" w:fill="FFFFFF"/>
        </w:rPr>
        <w:t>carefully monitored for seizure onset, frequency, duration, and any other behavioral changes indicative of convulsive activity. The responses were recorded within a specified observation period following the administration of PTZ, typically lasting from th</w:t>
      </w:r>
      <w:r>
        <w:rPr>
          <w:rFonts w:ascii="Times New Roman" w:hAnsi="Times New Roman" w:cs="Times New Roman"/>
          <w:noProof/>
          <w:sz w:val="24"/>
          <w:szCs w:val="24"/>
          <w:shd w:val="clear" w:color="FFFFFF" w:fill="FFFFFF"/>
        </w:rPr>
        <w:t>e point of injection until the cessation of seizure activity.</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4. Data Analysis: The data collected after seizure induction were analyzed to compare the efficacy of Psidium guajava leaf extract against the PTZ-induced seizures relative to the control and Di</w:t>
      </w:r>
      <w:r>
        <w:rPr>
          <w:rFonts w:ascii="Times New Roman" w:hAnsi="Times New Roman" w:cs="Times New Roman"/>
          <w:noProof/>
          <w:sz w:val="24"/>
          <w:szCs w:val="24"/>
          <w:shd w:val="clear" w:color="FFFFFF" w:fill="FFFFFF"/>
        </w:rPr>
        <w:t>azepam groups. Parameters such as the number of seizures, the total duration of seizures, and the latency to the first seizure were evaluated to determine the potential anticonvulsant properties of the guava leaf extract.</w:t>
      </w:r>
    </w:p>
    <w:p w:rsidR="0021636B" w:rsidRDefault="00930A3F">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2.4 </w:t>
      </w:r>
      <w:r>
        <w:rPr>
          <w:rFonts w:ascii="Times New Roman" w:hAnsi="Times New Roman" w:cs="Times New Roman"/>
          <w:b/>
          <w:bCs/>
          <w:noProof/>
          <w:sz w:val="24"/>
          <w:szCs w:val="24"/>
          <w:shd w:val="clear" w:color="FFFFFF" w:fill="FFFFFF"/>
        </w:rPr>
        <w:t>Treatment Phase</w:t>
      </w:r>
      <w:r>
        <w:rPr>
          <w:rFonts w:ascii="Times New Roman" w:hAnsi="Times New Roman" w:cs="Times New Roman"/>
          <w:b/>
          <w:bCs/>
          <w:noProof/>
          <w:sz w:val="24"/>
          <w:szCs w:val="24"/>
        </w:rPr>
        <w:t xml:space="preserve"> </w:t>
      </w:r>
    </w:p>
    <w:p w:rsidR="0021636B" w:rsidRDefault="00930A3F">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2.4.1 Administration of </w:t>
      </w:r>
      <w:r>
        <w:rPr>
          <w:rFonts w:ascii="Times New Roman" w:hAnsi="Times New Roman" w:cs="Times New Roman"/>
          <w:b/>
          <w:bCs/>
          <w:i/>
          <w:iCs/>
          <w:noProof/>
          <w:sz w:val="24"/>
          <w:szCs w:val="24"/>
        </w:rPr>
        <w:t>Psidium guajava</w:t>
      </w:r>
      <w:r>
        <w:rPr>
          <w:rFonts w:ascii="Times New Roman" w:hAnsi="Times New Roman" w:cs="Times New Roman"/>
          <w:b/>
          <w:bCs/>
          <w:noProof/>
          <w:sz w:val="24"/>
          <w:szCs w:val="24"/>
        </w:rPr>
        <w:t xml:space="preserve"> leaf extract </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dose of 200 mg/kg and 400 mg/kg of Psidium guajava leaf extract was administered orally. </w:t>
      </w:r>
      <w:r>
        <w:rPr>
          <w:rFonts w:ascii="Times New Roman" w:hAnsi="Times New Roman" w:cs="Times New Roman"/>
          <w:sz w:val="24"/>
          <w:szCs w:val="24"/>
        </w:rPr>
        <w:t xml:space="preserve">Dosages were based on a previous study by study by Babatola </w:t>
      </w:r>
      <w:r>
        <w:rPr>
          <w:rFonts w:ascii="Times New Roman" w:hAnsi="Times New Roman" w:cs="Times New Roman"/>
          <w:i/>
          <w:iCs/>
          <w:sz w:val="24"/>
          <w:szCs w:val="24"/>
        </w:rPr>
        <w:t>et al.,</w:t>
      </w:r>
      <w:r>
        <w:rPr>
          <w:rFonts w:ascii="Times New Roman" w:hAnsi="Times New Roman" w:cs="Times New Roman"/>
          <w:sz w:val="24"/>
          <w:szCs w:val="24"/>
        </w:rPr>
        <w:t xml:space="preserve"> (2019) indicating the extract's safety marg</w:t>
      </w:r>
      <w:r>
        <w:rPr>
          <w:rFonts w:ascii="Times New Roman" w:hAnsi="Times New Roman" w:cs="Times New Roman"/>
          <w:sz w:val="24"/>
          <w:szCs w:val="24"/>
        </w:rPr>
        <w:t xml:space="preserve">in of over 5000mg/kg. </w:t>
      </w:r>
      <w:r>
        <w:rPr>
          <w:rFonts w:ascii="Times New Roman" w:hAnsi="Times New Roman" w:cs="Times New Roman"/>
          <w:noProof/>
          <w:sz w:val="24"/>
          <w:szCs w:val="24"/>
        </w:rPr>
        <w:t xml:space="preserve">The extract was dissolved in distilled water to prepare the solution for administration. The appropriate volume of the solution containing each dose was measured and delivered to the subjects, ensuring accurate dosing. Care was taken </w:t>
      </w:r>
      <w:r>
        <w:rPr>
          <w:rFonts w:ascii="Times New Roman" w:hAnsi="Times New Roman" w:cs="Times New Roman"/>
          <w:noProof/>
          <w:sz w:val="24"/>
          <w:szCs w:val="24"/>
        </w:rPr>
        <w:t>to administer the extract comfortably and safely, allowing for proper absorption. Following administration, the subjects were monitored for any immediate responses or side effects related to the treatment.</w:t>
      </w:r>
    </w:p>
    <w:p w:rsidR="0021636B" w:rsidRDefault="00930A3F">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t>2.4.2 Diazepam Administration.</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A dose of 4 mg/kg d</w:t>
      </w:r>
      <w:r>
        <w:rPr>
          <w:rFonts w:ascii="Times New Roman" w:hAnsi="Times New Roman" w:cs="Times New Roman"/>
          <w:sz w:val="24"/>
          <w:szCs w:val="24"/>
        </w:rPr>
        <w:t xml:space="preserve">iazepam was given to the rats via intraperitoneal injection using a sterile technique as described by Supasai </w:t>
      </w:r>
      <w:r>
        <w:rPr>
          <w:rFonts w:ascii="Times New Roman" w:hAnsi="Times New Roman" w:cs="Times New Roman"/>
          <w:i/>
          <w:iCs/>
          <w:sz w:val="24"/>
          <w:szCs w:val="24"/>
        </w:rPr>
        <w:t>et al</w:t>
      </w:r>
      <w:r>
        <w:rPr>
          <w:rFonts w:ascii="Times New Roman" w:hAnsi="Times New Roman" w:cs="Times New Roman"/>
          <w:sz w:val="24"/>
          <w:szCs w:val="24"/>
        </w:rPr>
        <w:t>., (2020). For a rat weighing 100 grams (0.1 kg), this equated to a dose of 0.4 mg of diazepam. The diazepam was prepared by dissolving the a</w:t>
      </w:r>
      <w:r>
        <w:rPr>
          <w:rFonts w:ascii="Times New Roman" w:hAnsi="Times New Roman" w:cs="Times New Roman"/>
          <w:sz w:val="24"/>
          <w:szCs w:val="24"/>
        </w:rPr>
        <w:t xml:space="preserve">ppropriate </w:t>
      </w:r>
      <w:r>
        <w:rPr>
          <w:rFonts w:ascii="Times New Roman" w:hAnsi="Times New Roman" w:cs="Times New Roman"/>
          <w:sz w:val="24"/>
          <w:szCs w:val="24"/>
        </w:rPr>
        <w:lastRenderedPageBreak/>
        <w:t>amount in a suitable solvent, such as normal saline, to achieve the desired concentration. A sterile syringe was used to draw the calculated volume of the diazepam solution, ensuring accurate dosing. The injection was carefully administered into</w:t>
      </w:r>
      <w:r>
        <w:rPr>
          <w:rFonts w:ascii="Times New Roman" w:hAnsi="Times New Roman" w:cs="Times New Roman"/>
          <w:sz w:val="24"/>
          <w:szCs w:val="24"/>
        </w:rPr>
        <w:t xml:space="preserve"> the peritoneal cavity, avoiding major blood vessels and minimizing stress to the animal. After the injection, the rats were closely monitored for any immediate adverse reactions to ensure their safety and well-being throughout the observation period.</w:t>
      </w:r>
    </w:p>
    <w:p w:rsidR="0021636B" w:rsidRDefault="00930A3F">
      <w:pPr>
        <w:spacing w:line="480" w:lineRule="auto"/>
        <w:jc w:val="both"/>
        <w:rPr>
          <w:rFonts w:ascii="Times New Roman" w:hAnsi="Times New Roman" w:cs="Times New Roman"/>
          <w:b/>
          <w:bCs/>
          <w:noProof/>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rPr>
        <w:t>2.5</w:t>
      </w:r>
      <w:r>
        <w:rPr>
          <w:rFonts w:ascii="Times New Roman" w:hAnsi="Times New Roman" w:cs="Times New Roman"/>
          <w:b/>
          <w:bCs/>
          <w:noProof/>
          <w:sz w:val="24"/>
          <w:szCs w:val="24"/>
        </w:rPr>
        <w:t xml:space="preserve"> Induction of Seizures</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Pentylenetetrazol (PTZ) was used to induce seizures in test rats. PTZ is a chemical compound commonly used in research to induce seizures in animal models for the study of epilepsy and seizure disorders. PTZ acts as a central nervous</w:t>
      </w:r>
      <w:r>
        <w:rPr>
          <w:rFonts w:ascii="Times New Roman" w:hAnsi="Times New Roman" w:cs="Times New Roman"/>
          <w:sz w:val="24"/>
          <w:szCs w:val="24"/>
        </w:rPr>
        <w:t xml:space="preserve"> system stimulant and is known to inhibit gamma-aminobutyric acid (GABA) receptors, which normally help inhibit neuronal activity. By blocking these inhibitory signals, PTZ increases neuronal excitability, leading to the onset of seizures (Shimada &amp; Yamaga</w:t>
      </w:r>
      <w:r>
        <w:rPr>
          <w:rFonts w:ascii="Times New Roman" w:hAnsi="Times New Roman" w:cs="Times New Roman"/>
          <w:sz w:val="24"/>
          <w:szCs w:val="24"/>
        </w:rPr>
        <w:t>ta, 2018). This makes it a valuable tool for researchers to study the mechanisms of seizures and to evaluate the effects of antiepileptic drugs or treatments, such as Diazepam, on seizure activity and characteristics.</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2.5.1 Pentylenetetrazol (PTZ) Administ</w:t>
      </w:r>
      <w:r>
        <w:rPr>
          <w:rFonts w:ascii="Times New Roman" w:hAnsi="Times New Roman" w:cs="Times New Roman"/>
          <w:b/>
          <w:bCs/>
          <w:noProof/>
          <w:sz w:val="24"/>
          <w:szCs w:val="24"/>
        </w:rPr>
        <w:t>ration.</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65 mg/kg dose of pentylenetetrazol (PTZ) was administered to the rats via intraperitoneal injection using a sterile technique as described by Yuskaitis </w:t>
      </w:r>
      <w:r>
        <w:rPr>
          <w:rFonts w:ascii="Times New Roman" w:hAnsi="Times New Roman" w:cs="Times New Roman"/>
          <w:i/>
          <w:iCs/>
          <w:sz w:val="24"/>
          <w:szCs w:val="24"/>
        </w:rPr>
        <w:t>et al</w:t>
      </w:r>
      <w:r>
        <w:rPr>
          <w:rFonts w:ascii="Times New Roman" w:hAnsi="Times New Roman" w:cs="Times New Roman"/>
          <w:sz w:val="24"/>
          <w:szCs w:val="24"/>
        </w:rPr>
        <w:t>., (2021). To prepare for the injection, the weight of each rat was measured to calculate</w:t>
      </w:r>
      <w:r>
        <w:rPr>
          <w:rFonts w:ascii="Times New Roman" w:hAnsi="Times New Roman" w:cs="Times New Roman"/>
          <w:sz w:val="24"/>
          <w:szCs w:val="24"/>
        </w:rPr>
        <w:t xml:space="preserve"> the appropriate dose; for example, a rat weighing 100 grams would receive 6.5 mg of PTZ. The PTZ was dissolved in an appropriate solvent, typically normal saline, to create a solution at the desired concentration, such as 1 mg/mL. A sterile syringe was us</w:t>
      </w:r>
      <w:r>
        <w:rPr>
          <w:rFonts w:ascii="Times New Roman" w:hAnsi="Times New Roman" w:cs="Times New Roman"/>
          <w:sz w:val="24"/>
          <w:szCs w:val="24"/>
        </w:rPr>
        <w:t xml:space="preserve">ed to draw the calculated volume of the PTZ solution, ensuring that the </w:t>
      </w:r>
      <w:r>
        <w:rPr>
          <w:rFonts w:ascii="Times New Roman" w:hAnsi="Times New Roman" w:cs="Times New Roman"/>
          <w:sz w:val="24"/>
          <w:szCs w:val="24"/>
        </w:rPr>
        <w:lastRenderedPageBreak/>
        <w:t>administration was precise. The injection was delivered carefully into the peritoneal cavity while avoiding major blood vessels and minimizing stress to the animal. After the injection</w:t>
      </w:r>
      <w:r>
        <w:rPr>
          <w:rFonts w:ascii="Times New Roman" w:hAnsi="Times New Roman" w:cs="Times New Roman"/>
          <w:sz w:val="24"/>
          <w:szCs w:val="24"/>
        </w:rPr>
        <w:t>, the rats were monitored for any immediate adverse reactions to ensure their safety and welfare throughout the observation period.</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2.5.2 Observation of Seizure and  Scoring Criteria</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High-definition cameras were strategically positioned to visually capture any behavioral manifestations of seizures during the observation period. This setup ensured that all seizure activity was recorded accurately for further analysis</w:t>
      </w:r>
      <w:r>
        <w:rPr>
          <w:rFonts w:hAnsi="Times New Roman" w:cs="Times New Roman"/>
          <w:sz w:val="24"/>
          <w:szCs w:val="24"/>
        </w:rPr>
        <w:t xml:space="preserve"> (</w:t>
      </w:r>
      <w:r>
        <w:rPr>
          <w:rFonts w:ascii="Times New Roman" w:hAnsi="Times New Roman" w:cs="Times New Roman"/>
          <w:sz w:val="24"/>
          <w:szCs w:val="24"/>
        </w:rPr>
        <w:t xml:space="preserve">Pediaditis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sz w:val="24"/>
          <w:szCs w:val="24"/>
        </w:rPr>
        <w:t xml:space="preserve"> 2012). After the induction of seizures, a 30-minute observation period was initiated. This was a critical timeframe allowed for the monitoring of the subjects to identify and record seizure events. During the observation period, various parameters related</w:t>
      </w:r>
      <w:r>
        <w:rPr>
          <w:rFonts w:ascii="Times New Roman" w:hAnsi="Times New Roman" w:cs="Times New Roman"/>
          <w:sz w:val="24"/>
          <w:szCs w:val="24"/>
        </w:rPr>
        <w:t xml:space="preserve"> to seizure activity were systematically documented, including the precise time at which each seizure began, the number of myoclonic jerks experienced by the subjects, the duration of each tonic-clonic seizure, and the total time spent in seizure activity </w:t>
      </w:r>
      <w:r>
        <w:rPr>
          <w:rFonts w:ascii="Times New Roman" w:hAnsi="Times New Roman" w:cs="Times New Roman"/>
          <w:sz w:val="24"/>
          <w:szCs w:val="24"/>
        </w:rPr>
        <w:t>for each subject.</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Novel Object recognition task</w:t>
      </w:r>
    </w:p>
    <w:p w:rsidR="0021636B" w:rsidRDefault="00930A3F">
      <w:pPr>
        <w:spacing w:before="100" w:beforeAutospacing="1" w:after="100" w:afterAutospacing="1" w:line="48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GB"/>
        </w:rPr>
        <w:t>Three days to the termination of experiment, the novel object recognition task (NORT) was carried out. The</w:t>
      </w:r>
      <w:r>
        <w:rPr>
          <w:rFonts w:ascii="Times New Roman" w:eastAsia="Times New Roman" w:hAnsi="Times New Roman" w:cs="Times New Roman"/>
          <w:kern w:val="0"/>
          <w:sz w:val="24"/>
          <w:szCs w:val="24"/>
          <w:lang w:val="en-GB" w:eastAsia="en-GB"/>
        </w:rPr>
        <w:t xml:space="preserve"> novel object recognition task (NORT) involves an initial habituation phase for subjects to adjust to </w:t>
      </w:r>
      <w:r>
        <w:rPr>
          <w:rFonts w:ascii="Times New Roman" w:eastAsia="Times New Roman" w:hAnsi="Times New Roman" w:cs="Times New Roman"/>
          <w:kern w:val="0"/>
          <w:sz w:val="24"/>
          <w:szCs w:val="24"/>
          <w:lang w:val="en-GB" w:eastAsia="en-GB"/>
        </w:rPr>
        <w:t>the experimental setup, and was conducted in an open field (OF) box (38 x 38 cm). Both acquisition and recognition trials were conducted on the same day with intertrial intervals of 5 minutes to 1 hour. In the first trial, two identical objects (O1 and O2)</w:t>
      </w:r>
      <w:r>
        <w:rPr>
          <w:rFonts w:ascii="Times New Roman" w:eastAsia="Times New Roman" w:hAnsi="Times New Roman" w:cs="Times New Roman"/>
          <w:kern w:val="0"/>
          <w:sz w:val="24"/>
          <w:szCs w:val="24"/>
          <w:lang w:val="en-GB" w:eastAsia="en-GB"/>
        </w:rPr>
        <w:t xml:space="preserve"> were placed diagonally in an arena and secured with Tac’NStik. Rats were introduced to the arena from their home cages via a yogurt container and allowed to explore for 5 minutes. After the trial, rats were returned to their </w:t>
      </w:r>
      <w:r>
        <w:rPr>
          <w:rFonts w:ascii="Times New Roman" w:eastAsia="Times New Roman" w:hAnsi="Times New Roman" w:cs="Times New Roman"/>
          <w:kern w:val="0"/>
          <w:sz w:val="24"/>
          <w:szCs w:val="24"/>
          <w:lang w:val="en-GB" w:eastAsia="en-GB"/>
        </w:rPr>
        <w:lastRenderedPageBreak/>
        <w:t>home cages. Following the inte</w:t>
      </w:r>
      <w:r>
        <w:rPr>
          <w:rFonts w:ascii="Times New Roman" w:eastAsia="Times New Roman" w:hAnsi="Times New Roman" w:cs="Times New Roman"/>
          <w:kern w:val="0"/>
          <w:sz w:val="24"/>
          <w:szCs w:val="24"/>
          <w:lang w:val="en-GB" w:eastAsia="en-GB"/>
        </w:rPr>
        <w:t>rtrial interval, rats were brought back for a second trial featuring one familiar object and one novel object (N). The exploration behavior of the rats was observed and recorded for another 5 minutes to assess changes in recognition and memory recall</w:t>
      </w:r>
      <w:r>
        <w:rPr>
          <w:rFonts w:ascii="Times New Roman" w:eastAsia="Times New Roman" w:hAnsi="Times New Roman" w:cs="Times New Roman"/>
          <w:kern w:val="0"/>
          <w:sz w:val="24"/>
          <w:szCs w:val="24"/>
          <w:lang w:eastAsia="en-GB"/>
        </w:rPr>
        <w:t xml:space="preserve"> (</w:t>
      </w:r>
      <w:r>
        <w:rPr>
          <w:rFonts w:ascii="Times New Roman" w:hAnsi="Times New Roman" w:cs="Times New Roman"/>
          <w:sz w:val="24"/>
          <w:szCs w:val="24"/>
        </w:rPr>
        <w:t>Antu</w:t>
      </w:r>
      <w:r>
        <w:rPr>
          <w:rFonts w:ascii="Times New Roman" w:hAnsi="Times New Roman" w:cs="Times New Roman"/>
          <w:sz w:val="24"/>
          <w:szCs w:val="24"/>
        </w:rPr>
        <w:t>nes &amp; Biala,  2012).</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2.6 Termination of Experiment </w:t>
      </w:r>
    </w:p>
    <w:p w:rsidR="0021636B" w:rsidRDefault="00930A3F">
      <w:pPr>
        <w:spacing w:line="480" w:lineRule="auto"/>
        <w:rPr>
          <w:rFonts w:ascii="Times New Roman" w:hAnsi="Times New Roman" w:cs="Times New Roman"/>
          <w:noProof/>
          <w:sz w:val="24"/>
          <w:szCs w:val="24"/>
        </w:rPr>
      </w:pPr>
      <w:r>
        <w:rPr>
          <w:rFonts w:ascii="Times New Roman" w:hAnsi="Times New Roman" w:cs="Times New Roman"/>
          <w:b/>
          <w:bCs/>
          <w:sz w:val="24"/>
          <w:szCs w:val="24"/>
        </w:rPr>
        <w:t>2.6.1 Collection of tissue samples for analysis</w:t>
      </w:r>
    </w:p>
    <w:p w:rsidR="0021636B" w:rsidRDefault="00930A3F">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val="en-GB" w:eastAsia="en-GB"/>
        </w:rPr>
        <w:t xml:space="preserve">At the end of the 14-day experiment, the animals were sacrificed and perfused using chloroform vapour and dissected. Their </w:t>
      </w:r>
      <w:r>
        <w:rPr>
          <w:rFonts w:ascii="Times New Roman" w:eastAsia="Times New Roman" w:hAnsi="Times New Roman" w:cs="Times New Roman"/>
          <w:kern w:val="0"/>
          <w:sz w:val="24"/>
          <w:szCs w:val="24"/>
          <w:lang w:eastAsia="en-GB"/>
        </w:rPr>
        <w:t>cerebral structures were carefull</w:t>
      </w:r>
      <w:r>
        <w:rPr>
          <w:rFonts w:ascii="Times New Roman" w:eastAsia="Times New Roman" w:hAnsi="Times New Roman" w:cs="Times New Roman"/>
          <w:kern w:val="0"/>
          <w:sz w:val="24"/>
          <w:szCs w:val="24"/>
          <w:lang w:eastAsia="en-GB"/>
        </w:rPr>
        <w:t>y extracted, and specific focus was directed towards the identification and isolation of the hippocampus which was fixed in formal saline preparation for histological analysis.</w:t>
      </w:r>
    </w:p>
    <w:p w:rsidR="0021636B" w:rsidRDefault="00930A3F">
      <w:pPr>
        <w:spacing w:before="100" w:beforeAutospacing="1" w:after="100" w:afterAutospacing="1" w:line="480" w:lineRule="auto"/>
        <w:jc w:val="both"/>
        <w:rPr>
          <w:rFonts w:ascii="Times New Roman" w:hAnsi="Times New Roman" w:cs="Times New Roman"/>
          <w:noProof/>
          <w:sz w:val="24"/>
          <w:szCs w:val="24"/>
        </w:rPr>
      </w:pPr>
      <w:r>
        <w:rPr>
          <w:rStyle w:val="Strong"/>
          <w:rFonts w:ascii="Times New Roman" w:eastAsia="Times New Roman" w:hAnsi="Times New Roman" w:cs="Times New Roman"/>
          <w:kern w:val="0"/>
          <w:sz w:val="24"/>
          <w:szCs w:val="24"/>
          <w:lang w:eastAsia="en-GB"/>
        </w:rPr>
        <w:t>2.7 Histological</w:t>
      </w:r>
      <w:r>
        <w:rPr>
          <w:rStyle w:val="Strong"/>
          <w:rFonts w:ascii="Times New Roman" w:eastAsia="Times New Roman" w:hAnsi="Times New Roman" w:cs="Times New Roman"/>
          <w:kern w:val="0"/>
          <w:sz w:val="24"/>
          <w:szCs w:val="24"/>
          <w:lang w:val="en-GB" w:eastAsia="en-GB"/>
        </w:rPr>
        <w:t xml:space="preserve"> evaluation</w:t>
      </w:r>
    </w:p>
    <w:p w:rsidR="0021636B" w:rsidRDefault="00930A3F">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eastAsia="en-GB"/>
        </w:rPr>
        <w:t xml:space="preserve">Fixed hippocampal tissue was processed for histopathological examination through several steps: dehydration, clearing, infiltration, embedding, blocking, sectioning, and staining. After fixation, the tissue was washed, dehydrated in ethanol (70%, 90%, and </w:t>
      </w:r>
      <w:r>
        <w:rPr>
          <w:rFonts w:ascii="Times New Roman" w:eastAsia="Times New Roman" w:hAnsi="Times New Roman" w:cs="Times New Roman"/>
          <w:kern w:val="0"/>
          <w:sz w:val="24"/>
          <w:szCs w:val="24"/>
          <w:lang w:eastAsia="en-GB"/>
        </w:rPr>
        <w:t>100%), and cleared in xylene. It was then infiltrated with paraffin wax at 60˚C for 2½ hours per step. The tissue was embedded in wax blocks and sectioned into 5µm slices using a rotary microtome. The sections were placed on slides, air-dried, and preserve</w:t>
      </w:r>
      <w:r>
        <w:rPr>
          <w:rFonts w:ascii="Times New Roman" w:eastAsia="Times New Roman" w:hAnsi="Times New Roman" w:cs="Times New Roman"/>
          <w:kern w:val="0"/>
          <w:sz w:val="24"/>
          <w:szCs w:val="24"/>
          <w:lang w:eastAsia="en-GB"/>
        </w:rPr>
        <w:t xml:space="preserve">d for staining. </w:t>
      </w:r>
      <w:r>
        <w:rPr>
          <w:rFonts w:ascii="Times New Roman" w:eastAsia="Times New Roman" w:hAnsi="Times New Roman" w:cs="Times New Roman"/>
          <w:kern w:val="0"/>
          <w:sz w:val="24"/>
          <w:szCs w:val="24"/>
          <w:lang w:val="en-GB" w:eastAsia="en-GB"/>
        </w:rPr>
        <w:t>The tissue sections were stained using haematoxylin and eosin (H&amp;E) as described by Bancroft and Stephens (1982). Images were captured with a light microscope at a magnification of X400.</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b/>
          <w:bCs/>
          <w:sz w:val="24"/>
          <w:szCs w:val="24"/>
        </w:rPr>
        <w:t>2.8 Statistical analysis</w:t>
      </w:r>
    </w:p>
    <w:p w:rsidR="0021636B" w:rsidRDefault="00930A3F">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val="en-GB" w:eastAsia="en-GB"/>
        </w:rPr>
        <w:lastRenderedPageBreak/>
        <w:t>The results were presented a</w:t>
      </w:r>
      <w:r>
        <w:rPr>
          <w:rFonts w:ascii="Times New Roman" w:eastAsia="Times New Roman" w:hAnsi="Times New Roman" w:cs="Times New Roman"/>
          <w:kern w:val="0"/>
          <w:sz w:val="24"/>
          <w:szCs w:val="24"/>
          <w:lang w:val="en-GB" w:eastAsia="en-GB"/>
        </w:rPr>
        <w:t>s mean mean ±standard error of mean. To compare mean values of antiepileptic activity and neurobehavioral tests among groups, one-way ANOVA was used. Data interpretation was performed using SPSS version 26 for Windows. A significance level of p&lt;0.05 was se</w:t>
      </w:r>
      <w:r>
        <w:rPr>
          <w:rFonts w:ascii="Times New Roman" w:eastAsia="Times New Roman" w:hAnsi="Times New Roman" w:cs="Times New Roman"/>
          <w:kern w:val="0"/>
          <w:sz w:val="24"/>
          <w:szCs w:val="24"/>
          <w:lang w:val="en-GB" w:eastAsia="en-GB"/>
        </w:rPr>
        <w:t>t, and considered statistically significant.</w:t>
      </w: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rPr>
          <w:rFonts w:ascii="Times New Roman" w:hAnsi="Times New Roman" w:cs="Times New Roman"/>
          <w:noProof/>
          <w:sz w:val="24"/>
          <w:szCs w:val="24"/>
        </w:rPr>
      </w:pPr>
    </w:p>
    <w:p w:rsidR="0021636B" w:rsidRDefault="0021636B">
      <w:pPr>
        <w:spacing w:line="480" w:lineRule="auto"/>
        <w:rPr>
          <w:rFonts w:ascii="Times New Roman" w:hAnsi="Times New Roman" w:cs="Times New Roman"/>
          <w:noProof/>
          <w:sz w:val="24"/>
          <w:szCs w:val="24"/>
        </w:rPr>
      </w:pP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3. RESULTS </w:t>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3.1 Effects of Guava Leaf Extract on Seizure Parameter</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assessment showed differences in critical metrics used to characterize and evaluate seizure activity in the experimental animals with epilepsy. </w:t>
      </w:r>
      <w:r>
        <w:rPr>
          <w:rFonts w:ascii="Times New Roman" w:hAnsi="Times New Roman" w:cs="Times New Roman"/>
          <w:sz w:val="24"/>
          <w:szCs w:val="24"/>
        </w:rPr>
        <w:t>PTZ group showed i</w:t>
      </w:r>
      <w:r>
        <w:rPr>
          <w:rFonts w:ascii="Times New Roman" w:hAnsi="Times New Roman" w:cs="Times New Roman"/>
          <w:sz w:val="24"/>
          <w:szCs w:val="24"/>
        </w:rPr>
        <w:t xml:space="preserve">ncreased frequency and duration of seizure jerks, as well as prolonged tonic-clonic seizures. Low dose group show reduction in the frequency and duration of jerks and tonic-clonic seizures. High dose group showed </w:t>
      </w:r>
      <w:r>
        <w:rPr>
          <w:rFonts w:ascii="Times New Roman" w:hAnsi="Times New Roman" w:cs="Times New Roman"/>
          <w:sz w:val="24"/>
          <w:szCs w:val="24"/>
        </w:rPr>
        <w:lastRenderedPageBreak/>
        <w:t>further reductions in the frequency and dur</w:t>
      </w:r>
      <w:r>
        <w:rPr>
          <w:rFonts w:ascii="Times New Roman" w:hAnsi="Times New Roman" w:cs="Times New Roman"/>
          <w:sz w:val="24"/>
          <w:szCs w:val="24"/>
        </w:rPr>
        <w:t xml:space="preserve">ation of jerks and tonic-clonic seizures. Diazepam treatment group experienced no episodes of jerk, duration for jerks, or tonic-clonic seizures as (fig. 1). </w:t>
      </w:r>
    </w:p>
    <w:p w:rsidR="0021636B" w:rsidRDefault="00930A3F">
      <w:pPr>
        <w:spacing w:line="240" w:lineRule="auto"/>
        <w:jc w:val="both"/>
        <w:rPr>
          <w:rFonts w:ascii="Times New Roman" w:hAnsi="Times New Roman" w:cs="Times New Roman"/>
          <w:noProof/>
          <w:sz w:val="24"/>
          <w:szCs w:val="24"/>
        </w:rPr>
      </w:pPr>
      <w:r>
        <w:rPr>
          <w:noProof/>
        </w:rPr>
        <w:drawing>
          <wp:inline distT="0" distB="0" distL="114300" distR="114300">
            <wp:extent cx="5898570" cy="4610229"/>
            <wp:effectExtent l="0" t="0" r="6985"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1636B" w:rsidRDefault="0021636B">
      <w:pPr>
        <w:rPr>
          <w:rFonts w:ascii="Times New Roman" w:hAnsi="Times New Roman" w:cs="Times New Roman"/>
          <w:noProof/>
          <w:sz w:val="24"/>
          <w:szCs w:val="24"/>
        </w:rPr>
      </w:pPr>
    </w:p>
    <w:p w:rsidR="0021636B" w:rsidRDefault="00930A3F">
      <w:pPr>
        <w:rPr>
          <w:rFonts w:ascii="Times New Roman" w:hAnsi="Times New Roman" w:cs="Times New Roman"/>
          <w:noProof/>
          <w:sz w:val="24"/>
          <w:szCs w:val="24"/>
        </w:rPr>
      </w:pPr>
      <w:r>
        <w:rPr>
          <w:noProof/>
        </w:rPr>
        <w:lastRenderedPageBreak/>
        <w:drawing>
          <wp:inline distT="0" distB="0" distL="114300" distR="114300">
            <wp:extent cx="6232948" cy="755396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1636B" w:rsidRDefault="00930A3F">
      <w:pPr>
        <w:rPr>
          <w:rFonts w:ascii="Times New Roman" w:hAnsi="Times New Roman" w:cs="Times New Roman"/>
          <w:noProof/>
          <w:sz w:val="24"/>
          <w:szCs w:val="24"/>
        </w:rPr>
      </w:pPr>
      <w:r>
        <w:rPr>
          <w:noProof/>
        </w:rPr>
        <w:lastRenderedPageBreak/>
        <w:drawing>
          <wp:inline distT="0" distB="0" distL="114300" distR="114300">
            <wp:extent cx="5692139" cy="755396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636B" w:rsidRDefault="00930A3F">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3.2 Cognitive Function Assessment Results</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Neurobehavioral Assessment showed differences in</w:t>
      </w:r>
      <w:r>
        <w:rPr>
          <w:rFonts w:ascii="Times New Roman" w:hAnsi="Times New Roman" w:cs="Times New Roman"/>
          <w:sz w:val="24"/>
          <w:szCs w:val="24"/>
        </w:rPr>
        <w:t xml:space="preserve"> the various measurable aspects of cognitive abilities in the experimental animals. PTZ group showed decreased habituation indices for both short-term and long-term memory, low dose group showed  significantly improved habituation indices for both short- a</w:t>
      </w:r>
      <w:r>
        <w:rPr>
          <w:rFonts w:ascii="Times New Roman" w:hAnsi="Times New Roman" w:cs="Times New Roman"/>
          <w:sz w:val="24"/>
          <w:szCs w:val="24"/>
        </w:rPr>
        <w:t>nd long-term memory. High dose showed more substantial increase in short-term habituation and only a modest increase in long-term habituation indices. The Diazepam group showed exhibited decreased habituation indices for both short- and long-term memory co</w:t>
      </w:r>
      <w:r>
        <w:rPr>
          <w:rFonts w:ascii="Times New Roman" w:hAnsi="Times New Roman" w:cs="Times New Roman"/>
          <w:sz w:val="24"/>
          <w:szCs w:val="24"/>
        </w:rPr>
        <w:t xml:space="preserve">mpared to the guava leaf extract groups (fig. 5). </w:t>
      </w:r>
    </w:p>
    <w:p w:rsidR="0021636B" w:rsidRDefault="0021636B">
      <w:pPr>
        <w:rPr>
          <w:rFonts w:ascii="Times New Roman" w:hAnsi="Times New Roman" w:cs="Times New Roman"/>
          <w:noProof/>
          <w:sz w:val="24"/>
          <w:szCs w:val="24"/>
        </w:rPr>
      </w:pPr>
    </w:p>
    <w:p w:rsidR="0021636B" w:rsidRDefault="00930A3F">
      <w:pPr>
        <w:rPr>
          <w:rFonts w:ascii="Times New Roman" w:hAnsi="Times New Roman" w:cs="Times New Roman"/>
          <w:noProof/>
          <w:sz w:val="24"/>
          <w:szCs w:val="24"/>
        </w:rPr>
      </w:pPr>
      <w:r>
        <w:rPr>
          <w:noProof/>
        </w:rPr>
        <w:drawing>
          <wp:inline distT="0" distB="0" distL="114300" distR="114300">
            <wp:extent cx="5959473" cy="404577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636B" w:rsidRDefault="0021636B">
      <w:pPr>
        <w:rPr>
          <w:rFonts w:ascii="Times New Roman" w:hAnsi="Times New Roman" w:cs="Times New Roman"/>
          <w:noProof/>
          <w:sz w:val="24"/>
          <w:szCs w:val="24"/>
        </w:rPr>
      </w:pPr>
    </w:p>
    <w:p w:rsidR="0021636B" w:rsidRDefault="00930A3F">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114300" distR="114300">
            <wp:extent cx="5247640" cy="756158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t xml:space="preserve">3.3  Histological features </w:t>
      </w:r>
    </w:p>
    <w:p w:rsidR="0021636B" w:rsidRDefault="00930A3F">
      <w:pPr>
        <w:spacing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Histological Analysis showed differences in the microscopic characteristics of the Hippocampus tissues as observed under a microscope. PTZ group revealed </w:t>
      </w:r>
      <w:r>
        <w:rPr>
          <w:rFonts w:ascii="Times New Roman" w:hAnsi="Times New Roman" w:cs="Times New Roman"/>
          <w:sz w:val="24"/>
          <w:szCs w:val="24"/>
        </w:rPr>
        <w:t>neurodegeneration, vacuolation, gliosis, layer degeneration, and neuroinflammation in the CA2 area of the hippocampus in the PTZ group. Low dose group demonstrated reduced neuronal degeneration, decreased vacuolation, lower gliosis, enhanced vascular integ</w:t>
      </w:r>
      <w:r>
        <w:rPr>
          <w:rFonts w:ascii="Times New Roman" w:hAnsi="Times New Roman" w:cs="Times New Roman"/>
          <w:sz w:val="24"/>
          <w:szCs w:val="24"/>
        </w:rPr>
        <w:t>rity, and partial restoration of the polymorphic layer in the hippocampus. High dose group revealed near-normal neuronal architecture, minimal vacuolation, minimal gliosis, fully restored vascular integrity, and well-preserved polymorphic layers compared t</w:t>
      </w:r>
      <w:r>
        <w:rPr>
          <w:rFonts w:ascii="Times New Roman" w:hAnsi="Times New Roman" w:cs="Times New Roman"/>
          <w:sz w:val="24"/>
          <w:szCs w:val="24"/>
        </w:rPr>
        <w:t>o the low dose group. Diazepam displayed histological features comparable to those observed in the high dose guava leaf extract group (plate 1-5).</w:t>
      </w:r>
    </w:p>
    <w:p w:rsidR="0021636B" w:rsidRDefault="0021636B">
      <w:pPr>
        <w:jc w:val="both"/>
        <w:rPr>
          <w:rFonts w:ascii="Times New Roman" w:hAnsi="Times New Roman" w:cs="Times New Roman"/>
          <w:noProof/>
          <w:sz w:val="24"/>
          <w:szCs w:val="24"/>
        </w:rPr>
      </w:pPr>
    </w:p>
    <w:p w:rsidR="0021636B" w:rsidRDefault="0021636B">
      <w:pPr>
        <w:jc w:val="center"/>
        <w:rPr>
          <w:rFonts w:ascii="Times New Roman" w:hAnsi="Times New Roman" w:cs="Times New Roman"/>
          <w:noProof/>
          <w:sz w:val="24"/>
          <w:szCs w:val="24"/>
        </w:rPr>
      </w:pPr>
    </w:p>
    <w:p w:rsidR="0021636B" w:rsidRDefault="00930A3F">
      <w:pPr>
        <w:jc w:val="center"/>
        <w:rPr>
          <w:rFonts w:ascii="Times New Roman" w:hAnsi="Times New Roman" w:cs="Times New Roman"/>
          <w:sz w:val="24"/>
          <w:szCs w:val="24"/>
        </w:rPr>
      </w:pPr>
      <w:r>
        <w:rPr>
          <w:rFonts w:ascii="Times New Roman" w:hAnsi="Times New Roman" w:cs="Times New Roman"/>
          <w:noProof/>
          <w:sz w:val="24"/>
          <w:szCs w:val="24"/>
        </w:rPr>
        <w:object w:dxaOrig="8601" w:dyaOrig="6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7" o:spid="_x0000_i1025" type="#_x0000_t75" style="width:429pt;height:321pt;visibility:visible;mso-wrap-distance-left:0;mso-wrap-distance-right:0" o:ole="">
            <v:imagedata r:id="rId12" o:title="" embosscolor="white"/>
          </v:shape>
          <o:OLEObject Type="Embed" ProgID="Excel.Sheet.8" ShapeID="1037" DrawAspect="Content" ObjectID="_1804666372" r:id="rId13"/>
        </w:object>
      </w:r>
    </w:p>
    <w:p w:rsidR="0021636B" w:rsidRDefault="00930A3F">
      <w:pPr>
        <w:jc w:val="both"/>
        <w:rPr>
          <w:rFonts w:ascii="Times New Roman" w:hAnsi="Times New Roman" w:cs="Times New Roman"/>
          <w:sz w:val="24"/>
          <w:szCs w:val="24"/>
        </w:rPr>
      </w:pPr>
      <w:r>
        <w:rPr>
          <w:rFonts w:ascii="Times New Roman" w:hAnsi="Times New Roman" w:cs="Times New Roman"/>
          <w:sz w:val="24"/>
          <w:szCs w:val="24"/>
        </w:rPr>
        <w:lastRenderedPageBreak/>
        <w:t>PLATE 1: Photomicrograph of a section of hippo</w:t>
      </w:r>
      <w:r>
        <w:rPr>
          <w:rFonts w:ascii="Times New Roman" w:hAnsi="Times New Roman" w:cs="Times New Roman"/>
          <w:sz w:val="24"/>
          <w:szCs w:val="24"/>
        </w:rPr>
        <w:t xml:space="preserve">campus from group A (normal control) showing pyramidal layer, pyramidal layer (P), molecular later (M), polymorphic layer (PO) and vascular structures (V)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rsidR="0021636B" w:rsidRDefault="00930A3F">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828030" cy="4380865"/>
            <wp:effectExtent l="0" t="0" r="0" b="0"/>
            <wp:docPr id="10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6"/>
                    <pic:cNvPicPr/>
                  </pic:nvPicPr>
                  <pic:blipFill>
                    <a:blip r:embed="rId14" cstate="print"/>
                    <a:srcRect/>
                    <a:stretch/>
                  </pic:blipFill>
                  <pic:spPr>
                    <a:xfrm>
                      <a:off x="0" y="0"/>
                      <a:ext cx="5828030" cy="4380865"/>
                    </a:xfrm>
                    <a:prstGeom prst="rect">
                      <a:avLst/>
                    </a:prstGeom>
                    <a:ln>
                      <a:noFill/>
                    </a:ln>
                  </pic:spPr>
                </pic:pic>
              </a:graphicData>
            </a:graphic>
          </wp:inline>
        </w:drawing>
      </w:r>
    </w:p>
    <w:p w:rsidR="0021636B" w:rsidRDefault="00930A3F">
      <w:pPr>
        <w:jc w:val="both"/>
        <w:rPr>
          <w:rFonts w:ascii="Times New Roman" w:hAnsi="Times New Roman" w:cs="Times New Roman"/>
          <w:sz w:val="24"/>
          <w:szCs w:val="24"/>
        </w:rPr>
      </w:pPr>
      <w:r>
        <w:rPr>
          <w:rFonts w:ascii="Times New Roman" w:hAnsi="Times New Roman" w:cs="Times New Roman"/>
          <w:noProof/>
          <w:sz w:val="24"/>
          <w:szCs w:val="24"/>
        </w:rPr>
        <w:t xml:space="preserve">PLATE 2: </w:t>
      </w:r>
      <w:r>
        <w:rPr>
          <w:rFonts w:ascii="Times New Roman" w:hAnsi="Times New Roman" w:cs="Times New Roman"/>
          <w:sz w:val="24"/>
          <w:szCs w:val="24"/>
        </w:rPr>
        <w:t>Photomicrograph of a section of hippocampus from group B (PTZ control).</w:t>
      </w:r>
      <w:r>
        <w:rPr>
          <w:rFonts w:ascii="Times New Roman" w:hAnsi="Times New Roman" w:cs="Times New Roman"/>
          <w:sz w:val="24"/>
          <w:szCs w:val="24"/>
        </w:rPr>
        <w:t xml:space="preserve"> In the pyramidal layer (P), some pyramidal neurons appear shrunken and darkly stained with l</w:t>
      </w:r>
      <w:r>
        <w:rPr>
          <w:rFonts w:ascii="Times New Roman" w:hAnsi="Times New Roman" w:cs="Times New Roman"/>
          <w:noProof/>
          <w:sz w:val="24"/>
          <w:szCs w:val="24"/>
        </w:rPr>
        <w:t>oss of normal neuronal architecture and irregular arrangement of pyramidal cells. There is presence of vacuolated spaces in the neuropil. There is presence of incr</w:t>
      </w:r>
      <w:r>
        <w:rPr>
          <w:rFonts w:ascii="Times New Roman" w:hAnsi="Times New Roman" w:cs="Times New Roman"/>
          <w:noProof/>
          <w:sz w:val="24"/>
          <w:szCs w:val="24"/>
        </w:rPr>
        <w:t>eased glial cells (astrocytes and microglia) (G). There is disrupted arrangement of pyramidal neurons in the CA2 area of the Hippocampus (L). There is also increased presence of dark-stained nuclei in the polymorphic layer (PO)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rsidR="0021636B" w:rsidRDefault="00930A3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43905" cy="4397375"/>
            <wp:effectExtent l="0" t="0" r="0" b="0"/>
            <wp:docPr id="104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8"/>
                    <pic:cNvPicPr/>
                  </pic:nvPicPr>
                  <pic:blipFill>
                    <a:blip r:embed="rId15" cstate="print"/>
                    <a:srcRect/>
                    <a:stretch/>
                  </pic:blipFill>
                  <pic:spPr>
                    <a:xfrm>
                      <a:off x="0" y="0"/>
                      <a:ext cx="5843905" cy="4397375"/>
                    </a:xfrm>
                    <a:prstGeom prst="rect">
                      <a:avLst/>
                    </a:prstGeom>
                    <a:ln>
                      <a:noFill/>
                    </a:ln>
                  </pic:spPr>
                </pic:pic>
              </a:graphicData>
            </a:graphic>
          </wp:inline>
        </w:drawing>
      </w:r>
    </w:p>
    <w:p w:rsidR="0021636B" w:rsidRDefault="00930A3F">
      <w:pPr>
        <w:jc w:val="both"/>
        <w:rPr>
          <w:rFonts w:ascii="Times New Roman" w:hAnsi="Times New Roman" w:cs="Times New Roman"/>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 xml:space="preserve">LATE 3: </w:t>
      </w:r>
      <w:r>
        <w:rPr>
          <w:rFonts w:ascii="Times New Roman" w:hAnsi="Times New Roman" w:cs="Times New Roman"/>
          <w:sz w:val="24"/>
          <w:szCs w:val="24"/>
        </w:rPr>
        <w:t>Photomicrograph of a section of hippocampus from group C (PTZ + DZP). Pyramidal cells (P) appear fully intact, with no visible degeneration. There is absence of vacuolization. Reactive gliosis is significantly reduced (G). Blood vessels are fully i</w:t>
      </w:r>
      <w:r>
        <w:rPr>
          <w:rFonts w:ascii="Times New Roman" w:hAnsi="Times New Roman" w:cs="Times New Roman"/>
          <w:sz w:val="24"/>
          <w:szCs w:val="24"/>
        </w:rPr>
        <w:t xml:space="preserve">ntact with no congestion (V). </w:t>
      </w:r>
      <w:r>
        <w:rPr>
          <w:rFonts w:ascii="Times New Roman" w:hAnsi="Times New Roman" w:cs="Times New Roman"/>
          <w:noProof/>
          <w:sz w:val="24"/>
          <w:szCs w:val="24"/>
        </w:rPr>
        <w:t xml:space="preserve">There is completely intact polymorphic layer (PO) </w:t>
      </w:r>
      <w:r>
        <w:rPr>
          <w:rFonts w:ascii="Times New Roman" w:hAnsi="Times New Roman" w:cs="Times New Roman"/>
          <w:sz w:val="24"/>
          <w:szCs w:val="24"/>
        </w:rPr>
        <w:t xml:space="preserve">H &amp; E, Mag. X100. </w:t>
      </w:r>
    </w:p>
    <w:p w:rsidR="0021636B" w:rsidRDefault="00930A3F">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716905" cy="4317365"/>
            <wp:effectExtent l="0" t="0" r="0" b="0"/>
            <wp:docPr id="104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1"/>
                    <pic:cNvPicPr/>
                  </pic:nvPicPr>
                  <pic:blipFill>
                    <a:blip r:embed="rId16" cstate="print"/>
                    <a:srcRect/>
                    <a:stretch/>
                  </pic:blipFill>
                  <pic:spPr>
                    <a:xfrm>
                      <a:off x="0" y="0"/>
                      <a:ext cx="5716905" cy="4317365"/>
                    </a:xfrm>
                    <a:prstGeom prst="rect">
                      <a:avLst/>
                    </a:prstGeom>
                    <a:ln>
                      <a:noFill/>
                    </a:ln>
                  </pic:spPr>
                </pic:pic>
              </a:graphicData>
            </a:graphic>
          </wp:inline>
        </w:drawing>
      </w:r>
    </w:p>
    <w:p w:rsidR="0021636B" w:rsidRDefault="00930A3F">
      <w:pPr>
        <w:jc w:val="both"/>
        <w:rPr>
          <w:rFonts w:ascii="Times New Roman" w:hAnsi="Times New Roman" w:cs="Times New Roman"/>
          <w:sz w:val="24"/>
          <w:szCs w:val="24"/>
        </w:rPr>
      </w:pPr>
      <w:r>
        <w:rPr>
          <w:rFonts w:ascii="Times New Roman" w:hAnsi="Times New Roman" w:cs="Times New Roman"/>
          <w:noProof/>
          <w:sz w:val="24"/>
          <w:szCs w:val="24"/>
        </w:rPr>
        <w:t xml:space="preserve">PLATE 4: </w:t>
      </w:r>
      <w:r>
        <w:rPr>
          <w:rFonts w:ascii="Times New Roman" w:hAnsi="Times New Roman" w:cs="Times New Roman"/>
          <w:sz w:val="24"/>
          <w:szCs w:val="24"/>
        </w:rPr>
        <w:t xml:space="preserve">Photomicrograph of a section of hippocampus from group D (PTZ + </w:t>
      </w:r>
      <w:r>
        <w:rPr>
          <w:rFonts w:ascii="Times New Roman" w:hAnsi="Times New Roman" w:cs="Times New Roman"/>
          <w:i/>
          <w:iCs/>
          <w:sz w:val="24"/>
          <w:szCs w:val="24"/>
        </w:rPr>
        <w:t>Psidium guajava</w:t>
      </w:r>
      <w:r>
        <w:rPr>
          <w:rFonts w:ascii="Times New Roman" w:hAnsi="Times New Roman" w:cs="Times New Roman"/>
          <w:sz w:val="24"/>
          <w:szCs w:val="24"/>
        </w:rPr>
        <w:t xml:space="preserve"> [LD])</w:t>
      </w:r>
      <w:r>
        <w:rPr>
          <w:rFonts w:ascii="Times New Roman" w:eastAsia="Arial" w:hAnsi="Times New Roman" w:cs="Times New Roman"/>
          <w:sz w:val="24"/>
          <w:szCs w:val="24"/>
        </w:rPr>
        <w:t xml:space="preserve"> The pyramidal cells (P) appear more intact and well-organize</w:t>
      </w:r>
      <w:r>
        <w:rPr>
          <w:rFonts w:ascii="Times New Roman" w:eastAsia="Arial" w:hAnsi="Times New Roman" w:cs="Times New Roman"/>
          <w:sz w:val="24"/>
          <w:szCs w:val="24"/>
        </w:rPr>
        <w:t>d, with less shrinkage and pyknosis compared to the previous sections (P). Neuronal layers seem more structured. There is fewer vacuolated spaces in the neuropil. Compared to the other plate, there appears to be less reactive gliosis (G) with a decrease in</w:t>
      </w:r>
      <w:r>
        <w:rPr>
          <w:rFonts w:ascii="Times New Roman" w:eastAsia="Arial" w:hAnsi="Times New Roman" w:cs="Times New Roman"/>
          <w:sz w:val="24"/>
          <w:szCs w:val="24"/>
        </w:rPr>
        <w:t xml:space="preserve"> dark-stained glial cells. The blood vessels appear less congested or damaged, indicating improved circulatory function (V). The polymorphic layer looks less disrupted (PO).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rsidR="0021636B" w:rsidRDefault="00930A3F">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661025" cy="4269740"/>
            <wp:effectExtent l="0" t="0" r="0" b="0"/>
            <wp:docPr id="10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2"/>
                    <pic:cNvPicPr/>
                  </pic:nvPicPr>
                  <pic:blipFill>
                    <a:blip r:embed="rId17" cstate="print"/>
                    <a:srcRect/>
                    <a:stretch/>
                  </pic:blipFill>
                  <pic:spPr>
                    <a:xfrm>
                      <a:off x="0" y="0"/>
                      <a:ext cx="5661025" cy="4269740"/>
                    </a:xfrm>
                    <a:prstGeom prst="rect">
                      <a:avLst/>
                    </a:prstGeom>
                    <a:ln>
                      <a:noFill/>
                    </a:ln>
                  </pic:spPr>
                </pic:pic>
              </a:graphicData>
            </a:graphic>
          </wp:inline>
        </w:drawing>
      </w:r>
    </w:p>
    <w:p w:rsidR="0021636B" w:rsidRDefault="00930A3F">
      <w:pPr>
        <w:jc w:val="both"/>
        <w:rPr>
          <w:rFonts w:ascii="Times New Roman" w:hAnsi="Times New Roman" w:cs="Times New Roman"/>
          <w:sz w:val="24"/>
          <w:szCs w:val="24"/>
        </w:rPr>
      </w:pPr>
      <w:r>
        <w:rPr>
          <w:rFonts w:ascii="Times New Roman" w:hAnsi="Times New Roman" w:cs="Times New Roman"/>
          <w:noProof/>
          <w:sz w:val="24"/>
          <w:szCs w:val="24"/>
        </w:rPr>
        <w:t xml:space="preserve">PLATE 5: </w:t>
      </w:r>
      <w:r>
        <w:rPr>
          <w:rFonts w:ascii="Times New Roman" w:hAnsi="Times New Roman" w:cs="Times New Roman"/>
          <w:sz w:val="24"/>
          <w:szCs w:val="24"/>
        </w:rPr>
        <w:t>Photomicrograph of a section of hippocampus from gro</w:t>
      </w:r>
      <w:r>
        <w:rPr>
          <w:rFonts w:ascii="Times New Roman" w:hAnsi="Times New Roman" w:cs="Times New Roman"/>
          <w:sz w:val="24"/>
          <w:szCs w:val="24"/>
        </w:rPr>
        <w:t xml:space="preserve">up D (PTZ + </w:t>
      </w:r>
      <w:r>
        <w:rPr>
          <w:rFonts w:ascii="Times New Roman" w:hAnsi="Times New Roman" w:cs="Times New Roman"/>
          <w:i/>
          <w:iCs/>
          <w:sz w:val="24"/>
          <w:szCs w:val="24"/>
        </w:rPr>
        <w:t>Psidium guajava</w:t>
      </w:r>
      <w:r>
        <w:rPr>
          <w:rFonts w:ascii="Times New Roman" w:hAnsi="Times New Roman" w:cs="Times New Roman"/>
          <w:sz w:val="24"/>
          <w:szCs w:val="24"/>
        </w:rPr>
        <w:t xml:space="preserve"> [HD]). Pyramidal cells (P) appear fully intact, with no visible degeneration. There is absence of vacuolization. Reactive gliosis is significantly reduced (G). Blood vessels are fully intact with no congestion (V). </w:t>
      </w:r>
      <w:r>
        <w:rPr>
          <w:rFonts w:ascii="Times New Roman" w:hAnsi="Times New Roman" w:cs="Times New Roman"/>
          <w:noProof/>
          <w:sz w:val="24"/>
          <w:szCs w:val="24"/>
        </w:rPr>
        <w:t>There is comp</w:t>
      </w:r>
      <w:r>
        <w:rPr>
          <w:rFonts w:ascii="Times New Roman" w:hAnsi="Times New Roman" w:cs="Times New Roman"/>
          <w:noProof/>
          <w:sz w:val="24"/>
          <w:szCs w:val="24"/>
        </w:rPr>
        <w:t xml:space="preserve">letely intact polymorphic layer (PO) </w:t>
      </w:r>
      <w:r>
        <w:rPr>
          <w:rFonts w:ascii="Times New Roman" w:hAnsi="Times New Roman" w:cs="Times New Roman"/>
          <w:sz w:val="24"/>
          <w:szCs w:val="24"/>
        </w:rPr>
        <w:t xml:space="preserve">H &amp; E, Mag. X100. </w:t>
      </w:r>
    </w:p>
    <w:p w:rsidR="0021636B" w:rsidRDefault="0021636B">
      <w:pPr>
        <w:spacing w:line="480" w:lineRule="auto"/>
        <w:ind w:firstLine="720"/>
        <w:jc w:val="both"/>
        <w:rPr>
          <w:rFonts w:ascii="Times New Roman" w:hAnsi="Times New Roman" w:cs="Times New Roman"/>
          <w:sz w:val="24"/>
          <w:szCs w:val="24"/>
        </w:rPr>
      </w:pPr>
    </w:p>
    <w:p w:rsidR="0021636B" w:rsidRDefault="0021636B">
      <w:pPr>
        <w:jc w:val="both"/>
        <w:rPr>
          <w:rFonts w:ascii="Times New Roman" w:hAnsi="Times New Roman" w:cs="Times New Roman"/>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21636B">
      <w:pPr>
        <w:spacing w:line="240" w:lineRule="auto"/>
        <w:jc w:val="both"/>
        <w:rPr>
          <w:rFonts w:ascii="Times New Roman" w:eastAsia="Arial" w:hAnsi="Times New Roman" w:cs="Times New Roman"/>
          <w:b/>
          <w:sz w:val="24"/>
          <w:szCs w:val="24"/>
        </w:rPr>
      </w:pPr>
    </w:p>
    <w:p w:rsidR="0021636B" w:rsidRDefault="00930A3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 DISCUSSION</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findings of this study provide significant insights into the anticonvulsant and neuroprotective properties of guava leaf extract in a rat model of seizures induced by pentyle</w:t>
      </w:r>
      <w:r>
        <w:rPr>
          <w:rFonts w:ascii="Times New Roman" w:hAnsi="Times New Roman" w:cs="Times New Roman"/>
          <w:sz w:val="24"/>
          <w:szCs w:val="24"/>
        </w:rPr>
        <w:t>netetrazol (PTZ). The results underscore the potential therapeutic implications of guava leaf extract in the management of epilepsy and its associated cognitive impairments.</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The administration of PTZ reliably induced seizures, evidenced by the increased fr</w:t>
      </w:r>
      <w:r>
        <w:rPr>
          <w:rFonts w:ascii="Times New Roman" w:hAnsi="Times New Roman" w:cs="Times New Roman"/>
          <w:sz w:val="24"/>
          <w:szCs w:val="24"/>
        </w:rPr>
        <w:t>equency and duration of seizure jerks, as well as prolonged tonic-clonic seizures. This aligns with established literature indicating that PTZ is a potent proconvulsant agent that can exacerbate seizure activity through the modulation of GABAergic and glut</w:t>
      </w:r>
      <w:r>
        <w:rPr>
          <w:rFonts w:ascii="Times New Roman" w:hAnsi="Times New Roman" w:cs="Times New Roman"/>
          <w:sz w:val="24"/>
          <w:szCs w:val="24"/>
        </w:rPr>
        <w:t xml:space="preserve">amatergic neurotransmission pathways (Ruszczak </w:t>
      </w:r>
      <w:r>
        <w:rPr>
          <w:rFonts w:ascii="Times New Roman" w:hAnsi="Times New Roman" w:cs="Times New Roman"/>
          <w:i/>
          <w:iCs/>
          <w:sz w:val="24"/>
          <w:szCs w:val="24"/>
        </w:rPr>
        <w:t>et al</w:t>
      </w:r>
      <w:r>
        <w:rPr>
          <w:rFonts w:ascii="Times New Roman" w:hAnsi="Times New Roman" w:cs="Times New Roman"/>
          <w:sz w:val="24"/>
          <w:szCs w:val="24"/>
        </w:rPr>
        <w:t>., 2024). . Importantly, the observed impairments in habituation further highlight the cognitive deficits associated with seizure activity. The decrease in habituation indices for both short-term and long</w:t>
      </w:r>
      <w:r>
        <w:rPr>
          <w:rFonts w:ascii="Times New Roman" w:hAnsi="Times New Roman" w:cs="Times New Roman"/>
          <w:sz w:val="24"/>
          <w:szCs w:val="24"/>
        </w:rPr>
        <w:t>-term memory suggests that repeated seizure episodes can adversely affect cognitive processes, possibly through mechanisms involving stress-induced neurotoxicity and dysregulation of synaptic plasticity in the hippocampus, a brain region critical for memor</w:t>
      </w:r>
      <w:r>
        <w:rPr>
          <w:rFonts w:ascii="Times New Roman" w:hAnsi="Times New Roman" w:cs="Times New Roman"/>
          <w:sz w:val="24"/>
          <w:szCs w:val="24"/>
        </w:rPr>
        <w:t>y formation and retention.</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The administration of guava leaf extract, particularly at both the low and high doses, conferred significant neuroprotective effects, as indicated by the reduction in seizure frequency and duration, as well as improvements in cog</w:t>
      </w:r>
      <w:r>
        <w:rPr>
          <w:rFonts w:ascii="Times New Roman" w:hAnsi="Times New Roman" w:cs="Times New Roman"/>
          <w:sz w:val="24"/>
          <w:szCs w:val="24"/>
        </w:rPr>
        <w:t>nitive function. The observed decrease in neuronal degeneration, reduced vacuolation, lower levels of gliosis, and enhanced vascular integrity in histological evaluations of the hippocampus further corroborate the extract's neuroprotective properties. Thes</w:t>
      </w:r>
      <w:r>
        <w:rPr>
          <w:rFonts w:ascii="Times New Roman" w:hAnsi="Times New Roman" w:cs="Times New Roman"/>
          <w:sz w:val="24"/>
          <w:szCs w:val="24"/>
        </w:rPr>
        <w:t xml:space="preserve">e findings may be attributed to the antioxidant and anti-inflammatory components present in guava leaf extract, such as flavonoids and polyphenols, which have been shown to mitigate neuroinflammation and oxidative stress (Irondi </w:t>
      </w:r>
      <w:r>
        <w:rPr>
          <w:rFonts w:ascii="Times New Roman" w:hAnsi="Times New Roman" w:cs="Times New Roman"/>
          <w:i/>
          <w:iCs/>
          <w:sz w:val="24"/>
          <w:szCs w:val="24"/>
        </w:rPr>
        <w:t>et al</w:t>
      </w:r>
      <w:r>
        <w:rPr>
          <w:rFonts w:ascii="Times New Roman" w:hAnsi="Times New Roman" w:cs="Times New Roman"/>
          <w:sz w:val="24"/>
          <w:szCs w:val="24"/>
        </w:rPr>
        <w:t>., 2016)—key contribut</w:t>
      </w:r>
      <w:r>
        <w:rPr>
          <w:rFonts w:ascii="Times New Roman" w:hAnsi="Times New Roman" w:cs="Times New Roman"/>
          <w:sz w:val="24"/>
          <w:szCs w:val="24"/>
        </w:rPr>
        <w:t xml:space="preserve">ors to excitotoxicity and neuronal injury in seizure-induced models (Ambrogini </w:t>
      </w:r>
      <w:r>
        <w:rPr>
          <w:rFonts w:ascii="Times New Roman" w:hAnsi="Times New Roman" w:cs="Times New Roman"/>
          <w:i/>
          <w:iCs/>
          <w:sz w:val="24"/>
          <w:szCs w:val="24"/>
        </w:rPr>
        <w:t>et a</w:t>
      </w:r>
      <w:r>
        <w:rPr>
          <w:rFonts w:ascii="Times New Roman" w:hAnsi="Times New Roman" w:cs="Times New Roman"/>
          <w:sz w:val="24"/>
          <w:szCs w:val="24"/>
        </w:rPr>
        <w:t xml:space="preserve">l., 2019). </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higher dose of guava leaf extract yielded more pronounced benefits, reinforcing the hypothesis that a dose-dependent response exists for its protective effec</w:t>
      </w:r>
      <w:r>
        <w:rPr>
          <w:rFonts w:ascii="Times New Roman" w:hAnsi="Times New Roman" w:cs="Times New Roman"/>
          <w:sz w:val="24"/>
          <w:szCs w:val="24"/>
        </w:rPr>
        <w:t xml:space="preserve">ts (Tsatsakis </w:t>
      </w:r>
      <w:r>
        <w:rPr>
          <w:rFonts w:ascii="Times New Roman" w:hAnsi="Times New Roman" w:cs="Times New Roman"/>
          <w:i/>
          <w:iCs/>
          <w:sz w:val="24"/>
          <w:szCs w:val="24"/>
        </w:rPr>
        <w:t>et al</w:t>
      </w:r>
      <w:r>
        <w:rPr>
          <w:rFonts w:ascii="Times New Roman" w:hAnsi="Times New Roman" w:cs="Times New Roman"/>
          <w:sz w:val="24"/>
          <w:szCs w:val="24"/>
        </w:rPr>
        <w:t>., 2018). The near-normal neuronal architecture alongside minimal gliosis and vacuolation observed in the high-dose group contrasts starkly with the significant hippocampal damage seen in PTZ-treated animals, suggesting that guava leaf e</w:t>
      </w:r>
      <w:r>
        <w:rPr>
          <w:rFonts w:ascii="Times New Roman" w:hAnsi="Times New Roman" w:cs="Times New Roman"/>
          <w:sz w:val="24"/>
          <w:szCs w:val="24"/>
        </w:rPr>
        <w:t>xtract not only protects but may also contribute to neuronal repair mechanisms.</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diazepam treatment group displayed a complete absence of seizure activity, aligning with the known efficacy of benzodiazepines in controlling seizure episodes (Kienitz </w:t>
      </w:r>
      <w:r>
        <w:rPr>
          <w:rFonts w:ascii="Times New Roman" w:hAnsi="Times New Roman" w:cs="Times New Roman"/>
          <w:i/>
          <w:iCs/>
          <w:sz w:val="24"/>
          <w:szCs w:val="24"/>
        </w:rPr>
        <w:t>et a</w:t>
      </w:r>
      <w:r>
        <w:rPr>
          <w:rFonts w:ascii="Times New Roman" w:hAnsi="Times New Roman" w:cs="Times New Roman"/>
          <w:i/>
          <w:iCs/>
          <w:sz w:val="24"/>
          <w:szCs w:val="24"/>
        </w:rPr>
        <w:t>l</w:t>
      </w:r>
      <w:r>
        <w:rPr>
          <w:rFonts w:ascii="Times New Roman" w:hAnsi="Times New Roman" w:cs="Times New Roman"/>
          <w:sz w:val="24"/>
          <w:szCs w:val="24"/>
        </w:rPr>
        <w:t>., 2022). However, the observed cognitive implications, as evidenced by decreased habituation indices, signal a potential drawback of diazepam, which may impair cognitive fu</w:t>
      </w:r>
      <w:r>
        <w:rPr>
          <w:rFonts w:ascii="Times New Roman" w:hAnsi="Times New Roman" w:cs="Times New Roman"/>
          <w:sz w:val="24"/>
          <w:szCs w:val="24"/>
        </w:rPr>
        <w:t xml:space="preserve">nction despite its anticonvulsant efficacy. The results indicate a critical differentiation between the neuroprotective properties of guava leaf extract and the side effects associated with conventional antiepileptic drugs such as diazepam. While diazepam </w:t>
      </w:r>
      <w:r>
        <w:rPr>
          <w:rFonts w:ascii="Times New Roman" w:hAnsi="Times New Roman" w:cs="Times New Roman"/>
          <w:sz w:val="24"/>
          <w:szCs w:val="24"/>
        </w:rPr>
        <w:t>can effectively manage seizure episodes, it may not address the underlying cognitive deficits associated with epilepsy, emphasizing the need for adjunct therapies like guava leaf extract to enhance overall treatment outcomes.</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t>The positive outcomes observed</w:t>
      </w:r>
      <w:r>
        <w:rPr>
          <w:rFonts w:ascii="Times New Roman" w:hAnsi="Times New Roman" w:cs="Times New Roman"/>
          <w:sz w:val="24"/>
          <w:szCs w:val="24"/>
        </w:rPr>
        <w:t xml:space="preserve"> in this study warrant further exploration into the mechanisms of action of guava leaf extract, particularly its active constituents and their specific neuroprotective effects. Future studies should also aim to elucidate the long-term implications of guava</w:t>
      </w:r>
      <w:r>
        <w:rPr>
          <w:rFonts w:ascii="Times New Roman" w:hAnsi="Times New Roman" w:cs="Times New Roman"/>
          <w:sz w:val="24"/>
          <w:szCs w:val="24"/>
        </w:rPr>
        <w:t xml:space="preserve"> leaf extract treatment on cognitive functions and neuronal health in chronic seizure models. Further investigation into the clinical applicability of guava leaf extract as a complementary or adjunct therapy in human subjects may offer new avenues for effe</w:t>
      </w:r>
      <w:r>
        <w:rPr>
          <w:rFonts w:ascii="Times New Roman" w:hAnsi="Times New Roman" w:cs="Times New Roman"/>
          <w:sz w:val="24"/>
          <w:szCs w:val="24"/>
        </w:rPr>
        <w:t>ctive epilepsy management, minimizing side effects, and enhancing quality of life for individuals suffering from seizures.</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rsidR="0021636B" w:rsidRDefault="00930A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conclusion, the results of this study present compelling evidence supporting the anticonvulsant and neuroprotective pr</w:t>
      </w:r>
      <w:r>
        <w:rPr>
          <w:rFonts w:ascii="Times New Roman" w:hAnsi="Times New Roman" w:cs="Times New Roman"/>
          <w:sz w:val="24"/>
          <w:szCs w:val="24"/>
        </w:rPr>
        <w:t>operties of guava leaf extract, highlighting its potential role as a beneficial adjunct therapy in the treatment of seizure disorders and related cognitive impairments.</w:t>
      </w:r>
    </w:p>
    <w:p w:rsidR="00CD071E" w:rsidRPr="00CD071E" w:rsidRDefault="00CD071E" w:rsidP="00CD071E">
      <w:pPr>
        <w:spacing w:line="240" w:lineRule="auto"/>
        <w:jc w:val="both"/>
        <w:rPr>
          <w:rFonts w:ascii="Times New Roman" w:hAnsi="Times New Roman" w:cs="Times New Roman"/>
          <w:b/>
          <w:sz w:val="24"/>
          <w:szCs w:val="24"/>
        </w:rPr>
      </w:pPr>
    </w:p>
    <w:p w:rsidR="00CD071E" w:rsidRPr="00CD071E" w:rsidRDefault="00CD071E" w:rsidP="00CD071E">
      <w:pPr>
        <w:spacing w:line="240" w:lineRule="auto"/>
        <w:jc w:val="both"/>
        <w:rPr>
          <w:rFonts w:ascii="Times New Roman" w:hAnsi="Times New Roman" w:cs="Times New Roman"/>
          <w:b/>
          <w:sz w:val="24"/>
          <w:szCs w:val="24"/>
        </w:rPr>
      </w:pPr>
      <w:r w:rsidRPr="00CD071E">
        <w:rPr>
          <w:rFonts w:ascii="Times New Roman" w:hAnsi="Times New Roman" w:cs="Times New Roman"/>
          <w:b/>
          <w:sz w:val="24"/>
          <w:szCs w:val="24"/>
        </w:rPr>
        <w:t>Ethical approval</w:t>
      </w:r>
    </w:p>
    <w:p w:rsidR="0021636B"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Ethical clearance for all experimental protocols was obtained from the Faculty Animal Research Ethics Committee of the Faculty of Basic Medical Sciences, University of Calabar, Calabar, Cross River State, Nigeria. The research proposal was thoroughly reviewed and granted approval under the assigned number 137ANA1821, signifying compliance with ethical guidelines and ensuring the welfare and appropriate treatment of the animals involved in the study.</w:t>
      </w:r>
    </w:p>
    <w:p w:rsidR="0021636B" w:rsidRDefault="0021636B">
      <w:pPr>
        <w:spacing w:line="240" w:lineRule="auto"/>
        <w:jc w:val="both"/>
        <w:rPr>
          <w:rFonts w:ascii="Times New Roman" w:hAnsi="Times New Roman" w:cs="Times New Roman"/>
          <w:sz w:val="24"/>
          <w:szCs w:val="24"/>
        </w:rPr>
      </w:pPr>
    </w:p>
    <w:p w:rsidR="00CD071E" w:rsidRPr="00CD071E" w:rsidRDefault="00CD071E" w:rsidP="00CD071E">
      <w:pPr>
        <w:spacing w:line="240" w:lineRule="auto"/>
        <w:jc w:val="both"/>
        <w:rPr>
          <w:rFonts w:ascii="Times New Roman" w:hAnsi="Times New Roman" w:cs="Times New Roman"/>
          <w:b/>
          <w:sz w:val="24"/>
          <w:szCs w:val="24"/>
        </w:rPr>
      </w:pPr>
      <w:r w:rsidRPr="00CD071E">
        <w:rPr>
          <w:rFonts w:ascii="Times New Roman" w:hAnsi="Times New Roman" w:cs="Times New Roman"/>
          <w:b/>
          <w:sz w:val="24"/>
          <w:szCs w:val="24"/>
        </w:rPr>
        <w:t>Disclaimer (Artificial intelligence)</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 xml:space="preserve">Option </w:t>
      </w:r>
      <w:bookmarkStart w:id="0" w:name="_GoBack"/>
      <w:bookmarkEnd w:id="0"/>
      <w:r w:rsidRPr="00CD071E">
        <w:rPr>
          <w:rFonts w:ascii="Times New Roman" w:hAnsi="Times New Roman" w:cs="Times New Roman"/>
          <w:sz w:val="24"/>
          <w:szCs w:val="24"/>
        </w:rPr>
        <w:t xml:space="preserve">1: </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Author(s) hereby declare that NO generative AI technologies such as Large Language Models (</w:t>
      </w:r>
      <w:proofErr w:type="spellStart"/>
      <w:r w:rsidRPr="00CD071E">
        <w:rPr>
          <w:rFonts w:ascii="Times New Roman" w:hAnsi="Times New Roman" w:cs="Times New Roman"/>
          <w:sz w:val="24"/>
          <w:szCs w:val="24"/>
        </w:rPr>
        <w:t>ChatGPT</w:t>
      </w:r>
      <w:proofErr w:type="spellEnd"/>
      <w:r w:rsidRPr="00CD071E">
        <w:rPr>
          <w:rFonts w:ascii="Times New Roman" w:hAnsi="Times New Roman" w:cs="Times New Roman"/>
          <w:sz w:val="24"/>
          <w:szCs w:val="24"/>
        </w:rPr>
        <w:t xml:space="preserve">, COPILOT, etc.) and text-to-image generators have been used during the writing or editing of this manuscript. </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 xml:space="preserve">Option 2: </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Details of the AI usage are given below:</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1.</w:t>
      </w:r>
    </w:p>
    <w:p w:rsidR="00CD071E" w:rsidRPr="00CD071E"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2.</w:t>
      </w:r>
    </w:p>
    <w:p w:rsidR="0021636B" w:rsidRDefault="00CD071E" w:rsidP="00CD071E">
      <w:pPr>
        <w:spacing w:line="240" w:lineRule="auto"/>
        <w:jc w:val="both"/>
        <w:rPr>
          <w:rFonts w:ascii="Times New Roman" w:hAnsi="Times New Roman" w:cs="Times New Roman"/>
          <w:sz w:val="24"/>
          <w:szCs w:val="24"/>
        </w:rPr>
      </w:pPr>
      <w:r w:rsidRPr="00CD071E">
        <w:rPr>
          <w:rFonts w:ascii="Times New Roman" w:hAnsi="Times New Roman" w:cs="Times New Roman"/>
          <w:sz w:val="24"/>
          <w:szCs w:val="24"/>
        </w:rPr>
        <w:t>3.</w:t>
      </w: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 xml:space="preserve"> </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Sirven, J. I. (2015). Epilepsy: A spectrum disorder. </w:t>
      </w:r>
      <w:r>
        <w:rPr>
          <w:rFonts w:ascii="Times New Roman" w:hAnsi="Times New Roman" w:cs="Times New Roman"/>
          <w:i/>
          <w:iCs/>
          <w:sz w:val="24"/>
          <w:szCs w:val="24"/>
        </w:rPr>
        <w:t>Cold Spring Harbor Pe</w:t>
      </w:r>
      <w:r>
        <w:rPr>
          <w:rFonts w:ascii="Times New Roman" w:hAnsi="Times New Roman" w:cs="Times New Roman"/>
          <w:i/>
          <w:iCs/>
          <w:sz w:val="24"/>
          <w:szCs w:val="24"/>
        </w:rPr>
        <w:t xml:space="preserve">rspectives in Medicine, 5 </w:t>
      </w:r>
      <w:r>
        <w:rPr>
          <w:rFonts w:ascii="Times New Roman" w:hAnsi="Times New Roman" w:cs="Times New Roman"/>
          <w:sz w:val="24"/>
          <w:szCs w:val="24"/>
        </w:rPr>
        <w:t>(9), a022848. https://doi.org/10.1101/cshperspect.a022848</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 England, M. J., Liverman, C. T., Schultz, A. M., &amp; Strawbridge, L. M. (2012). Epilepsy across the spectrum: Promoting health and understanding. A summary of the Institut</w:t>
      </w:r>
      <w:r>
        <w:rPr>
          <w:rFonts w:ascii="Times New Roman" w:hAnsi="Times New Roman" w:cs="Times New Roman"/>
          <w:sz w:val="24"/>
          <w:szCs w:val="24"/>
        </w:rPr>
        <w:t xml:space="preserve">e of Medicine report. </w:t>
      </w:r>
      <w:r>
        <w:rPr>
          <w:rFonts w:ascii="Times New Roman" w:hAnsi="Times New Roman" w:cs="Times New Roman"/>
          <w:i/>
          <w:iCs/>
          <w:sz w:val="24"/>
          <w:szCs w:val="24"/>
        </w:rPr>
        <w:t>Epilepsy &amp; Behavior,</w:t>
      </w:r>
      <w:r>
        <w:rPr>
          <w:rFonts w:ascii="Times New Roman" w:hAnsi="Times New Roman" w:cs="Times New Roman"/>
          <w:sz w:val="24"/>
          <w:szCs w:val="24"/>
        </w:rPr>
        <w:t xml:space="preserve"> 25 (2), 266-276. https://doi.org/10.1016/j.yebeh.2012.06.016</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Stafstrom, C. E., &amp; Carmant, L. (2015). Seizures and epilepsy: An overview for neuroscientists. </w:t>
      </w:r>
      <w:r>
        <w:rPr>
          <w:rFonts w:ascii="Times New Roman" w:hAnsi="Times New Roman" w:cs="Times New Roman"/>
          <w:i/>
          <w:iCs/>
          <w:sz w:val="24"/>
          <w:szCs w:val="24"/>
        </w:rPr>
        <w:t xml:space="preserve">Cold Spring Harbor Perspectives in Medicine, 5 </w:t>
      </w:r>
      <w:r>
        <w:rPr>
          <w:rFonts w:ascii="Times New Roman" w:hAnsi="Times New Roman" w:cs="Times New Roman"/>
          <w:sz w:val="24"/>
          <w:szCs w:val="24"/>
        </w:rPr>
        <w:t>(6), a</w:t>
      </w:r>
      <w:r>
        <w:rPr>
          <w:rFonts w:ascii="Times New Roman" w:hAnsi="Times New Roman" w:cs="Times New Roman"/>
          <w:sz w:val="24"/>
          <w:szCs w:val="24"/>
        </w:rPr>
        <w:t>022426. https://doi.org/10.1101/cshperspect.a022426</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Kerr, C., Nixon, A., &amp; Angalakuditi, M. (2011). The impact of epilepsy on children and adult patients’ lives: Development of a conceptual model from qualitative literature. </w:t>
      </w:r>
      <w:r>
        <w:rPr>
          <w:rFonts w:ascii="Times New Roman" w:hAnsi="Times New Roman" w:cs="Times New Roman"/>
          <w:i/>
          <w:iCs/>
          <w:sz w:val="24"/>
          <w:szCs w:val="24"/>
        </w:rPr>
        <w:t xml:space="preserve">Seizure, 20 </w:t>
      </w:r>
      <w:r>
        <w:rPr>
          <w:rFonts w:ascii="Times New Roman" w:hAnsi="Times New Roman" w:cs="Times New Roman"/>
          <w:sz w:val="24"/>
          <w:szCs w:val="24"/>
        </w:rPr>
        <w:t>(10), 764-774. h</w:t>
      </w:r>
      <w:r>
        <w:rPr>
          <w:rFonts w:ascii="Times New Roman" w:hAnsi="Times New Roman" w:cs="Times New Roman"/>
          <w:sz w:val="24"/>
          <w:szCs w:val="24"/>
        </w:rPr>
        <w:t>ttps://doi.org/10.1016/j.seizure.2011.07.007</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Al-Aqeel, S., Gershuni, O., Al-Sabhan, J., &amp; Hiligsmann, M. (2020). Strategies for improving adherence to antiepileptic drug treatment in people with epilepsy. </w:t>
      </w:r>
      <w:r>
        <w:rPr>
          <w:rFonts w:ascii="Times New Roman" w:hAnsi="Times New Roman" w:cs="Times New Roman"/>
          <w:i/>
          <w:iCs/>
          <w:sz w:val="24"/>
          <w:szCs w:val="24"/>
        </w:rPr>
        <w:t xml:space="preserve">Cochrane Database of Systematic Reviews, 2020 </w:t>
      </w:r>
      <w:r>
        <w:rPr>
          <w:rFonts w:ascii="Times New Roman" w:hAnsi="Times New Roman" w:cs="Times New Roman"/>
          <w:sz w:val="24"/>
          <w:szCs w:val="24"/>
        </w:rPr>
        <w:t>(1</w:t>
      </w:r>
      <w:r>
        <w:rPr>
          <w:rFonts w:ascii="Times New Roman" w:hAnsi="Times New Roman" w:cs="Times New Roman"/>
          <w:sz w:val="24"/>
          <w:szCs w:val="24"/>
        </w:rPr>
        <w:t>0), CD008312. https://doi.org/10.1002/14651858.CD008312.pub4</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Holmes, G. L. (2015). Cognitive impairment in epilepsy: The role of network abnormalities. </w:t>
      </w:r>
      <w:r>
        <w:rPr>
          <w:rFonts w:ascii="Times New Roman" w:hAnsi="Times New Roman" w:cs="Times New Roman"/>
          <w:i/>
          <w:iCs/>
          <w:sz w:val="24"/>
          <w:szCs w:val="24"/>
        </w:rPr>
        <w:t xml:space="preserve">Epileptic Disorders, 17 </w:t>
      </w:r>
      <w:r>
        <w:rPr>
          <w:rFonts w:ascii="Times New Roman" w:hAnsi="Times New Roman" w:cs="Times New Roman"/>
          <w:sz w:val="24"/>
          <w:szCs w:val="24"/>
        </w:rPr>
        <w:t>(2), 101-116. https://doi.org/10.1684/epd.2015.0739</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7. Hoxhaj, P., Habiya, S.</w:t>
      </w:r>
      <w:r>
        <w:rPr>
          <w:rFonts w:ascii="Times New Roman" w:hAnsi="Times New Roman" w:cs="Times New Roman"/>
          <w:sz w:val="24"/>
          <w:szCs w:val="24"/>
        </w:rPr>
        <w:t xml:space="preserve"> K., Sayabugari, R., Balaji, R., Xavier, R., Ahmad, A., Khanam, M., Kachhadia, M. P., Patel, T., Abdin, Z. U., Haider, A., &amp; Nazir, Z. (2023). Investigating the impact of epilepsy on cognitive function: A narrative review. </w:t>
      </w:r>
      <w:r>
        <w:rPr>
          <w:rFonts w:ascii="Times New Roman" w:hAnsi="Times New Roman" w:cs="Times New Roman"/>
          <w:i/>
          <w:iCs/>
          <w:sz w:val="24"/>
          <w:szCs w:val="24"/>
        </w:rPr>
        <w:t xml:space="preserve">Cureus, 15 </w:t>
      </w:r>
      <w:r>
        <w:rPr>
          <w:rFonts w:ascii="Times New Roman" w:hAnsi="Times New Roman" w:cs="Times New Roman"/>
          <w:sz w:val="24"/>
          <w:szCs w:val="24"/>
        </w:rPr>
        <w:t>(6), e41223. https://d</w:t>
      </w:r>
      <w:r>
        <w:rPr>
          <w:rFonts w:ascii="Times New Roman" w:hAnsi="Times New Roman" w:cs="Times New Roman"/>
          <w:sz w:val="24"/>
          <w:szCs w:val="24"/>
        </w:rPr>
        <w:t>oi.org/10.7759/cureus.41223</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8. Kassahun Bekele, B., Nebieridze, A., Moses Daniel, I., Byiringiro, C., Nazir, A., Algawork Kibru, E., Wojtara, M., &amp; Uwishema, O. (2023). Epilepsy in Africa: A multifaceted perspective on diagnosis, treatment, and community s</w:t>
      </w:r>
      <w:r>
        <w:rPr>
          <w:rFonts w:ascii="Times New Roman" w:hAnsi="Times New Roman" w:cs="Times New Roman"/>
          <w:sz w:val="24"/>
          <w:szCs w:val="24"/>
        </w:rPr>
        <w:t xml:space="preserve">upport. </w:t>
      </w:r>
      <w:r>
        <w:rPr>
          <w:rFonts w:ascii="Times New Roman" w:hAnsi="Times New Roman" w:cs="Times New Roman"/>
          <w:i/>
          <w:iCs/>
          <w:sz w:val="24"/>
          <w:szCs w:val="24"/>
        </w:rPr>
        <w:t xml:space="preserve">Annals of Medicine and Surgery, 86 </w:t>
      </w:r>
      <w:r>
        <w:rPr>
          <w:rFonts w:ascii="Times New Roman" w:hAnsi="Times New Roman" w:cs="Times New Roman"/>
          <w:sz w:val="24"/>
          <w:szCs w:val="24"/>
        </w:rPr>
        <w:t>(1), 624-627. https://doi.org/10.1097/MS9.0000000000001536</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9. Tsigebrhan, R., Fekadu, A., Medhin, G., Newton, C. R., Prince, M. J., &amp; Hanlon, C. (2021). Comorbid mental disorders and quality of life of people with</w:t>
      </w:r>
      <w:r>
        <w:rPr>
          <w:rFonts w:ascii="Times New Roman" w:hAnsi="Times New Roman" w:cs="Times New Roman"/>
          <w:sz w:val="24"/>
          <w:szCs w:val="24"/>
        </w:rPr>
        <w:t xml:space="preserve"> epilepsy attending primary health care clinics in rural Ethiopia. </w:t>
      </w:r>
      <w:r>
        <w:rPr>
          <w:rFonts w:ascii="Times New Roman" w:hAnsi="Times New Roman" w:cs="Times New Roman"/>
          <w:i/>
          <w:iCs/>
          <w:sz w:val="24"/>
          <w:szCs w:val="24"/>
        </w:rPr>
        <w:t xml:space="preserve">PLoS One, 16 </w:t>
      </w:r>
      <w:r>
        <w:rPr>
          <w:rFonts w:ascii="Times New Roman" w:hAnsi="Times New Roman" w:cs="Times New Roman"/>
          <w:sz w:val="24"/>
          <w:szCs w:val="24"/>
        </w:rPr>
        <w:t>(1), e0238137. https://doi.org/10.1371/journal.pone.0238137</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Wahab, A. (2010). Difficulties in treatment and management of epilepsy and challenges in new drug development. </w:t>
      </w:r>
      <w:r>
        <w:rPr>
          <w:rFonts w:ascii="Times New Roman" w:hAnsi="Times New Roman" w:cs="Times New Roman"/>
          <w:i/>
          <w:iCs/>
          <w:sz w:val="24"/>
          <w:szCs w:val="24"/>
        </w:rPr>
        <w:t>P</w:t>
      </w:r>
      <w:r>
        <w:rPr>
          <w:rFonts w:ascii="Times New Roman" w:hAnsi="Times New Roman" w:cs="Times New Roman"/>
          <w:i/>
          <w:iCs/>
          <w:sz w:val="24"/>
          <w:szCs w:val="24"/>
        </w:rPr>
        <w:t>harmaceuticals, 3</w:t>
      </w:r>
      <w:r>
        <w:rPr>
          <w:rFonts w:ascii="Times New Roman" w:hAnsi="Times New Roman" w:cs="Times New Roman"/>
          <w:sz w:val="24"/>
          <w:szCs w:val="24"/>
        </w:rPr>
        <w:t xml:space="preserve"> (7), 2090-2110. https://doi.org/10.3390/ph3072090</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Anani, S. E., Nnenna, W. A., Agaba, E. A., Umoh, N. M., Bassey, I. F., Eru, M. E., Oku, M. E., Uruakpa, K. C., Odey, P. A., Isamoh, T. E., Ajang, C. U., Uzor, G., Udo-affah, G. U., &amp; Igiri</w:t>
      </w:r>
      <w:r>
        <w:rPr>
          <w:rFonts w:ascii="Times New Roman" w:hAnsi="Times New Roman" w:cs="Times New Roman"/>
          <w:sz w:val="24"/>
          <w:szCs w:val="24"/>
        </w:rPr>
        <w:t xml:space="preserve">, A. O. (2024). Neuroprotective effect of Dacryodes edulis ethanolic leaf extract on the hippocampus of rats of ketamine-induced neurotoxicity. </w:t>
      </w:r>
      <w:r>
        <w:rPr>
          <w:rFonts w:ascii="Times New Roman" w:hAnsi="Times New Roman" w:cs="Times New Roman"/>
          <w:i/>
          <w:iCs/>
          <w:sz w:val="24"/>
          <w:szCs w:val="24"/>
        </w:rPr>
        <w:t xml:space="preserve">Asian Journal of Research and Reports in Neurology, 7 </w:t>
      </w:r>
      <w:r>
        <w:rPr>
          <w:rFonts w:ascii="Times New Roman" w:hAnsi="Times New Roman" w:cs="Times New Roman"/>
          <w:sz w:val="24"/>
          <w:szCs w:val="24"/>
        </w:rPr>
        <w:t>(1), 130-145. https://doi.org/10.9734/AJORRIN/2024/v7i1138</w:t>
      </w:r>
      <w:r>
        <w:rPr>
          <w:rFonts w:ascii="Times New Roman" w:hAnsi="Times New Roman" w:cs="Times New Roman"/>
          <w:sz w:val="24"/>
          <w:szCs w:val="24"/>
        </w:rPr>
        <w:t>13</w:t>
      </w:r>
    </w:p>
    <w:p w:rsidR="0021636B" w:rsidRDefault="0021636B">
      <w:pPr>
        <w:spacing w:line="240" w:lineRule="auto"/>
        <w:jc w:val="both"/>
        <w:rPr>
          <w:rFonts w:ascii="Times New Roman" w:hAnsi="Times New Roman" w:cs="Times New Roman"/>
          <w:sz w:val="24"/>
          <w:szCs w:val="24"/>
        </w:rPr>
      </w:pP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Foster, E., Malpas, C. B., Ye, K., Johnstone, B., Carney, P. W., Velakoulis, D., O'Brien, T. J., &amp; Kwan, P. (2020). Antiepileptic drugs are not independently associated with cognitive dysfunction. </w:t>
      </w:r>
      <w:r>
        <w:rPr>
          <w:rFonts w:ascii="Times New Roman" w:hAnsi="Times New Roman" w:cs="Times New Roman"/>
          <w:i/>
          <w:iCs/>
          <w:sz w:val="24"/>
          <w:szCs w:val="24"/>
        </w:rPr>
        <w:t xml:space="preserve">Neurology, 94 </w:t>
      </w:r>
      <w:r>
        <w:rPr>
          <w:rFonts w:ascii="Times New Roman" w:hAnsi="Times New Roman" w:cs="Times New Roman"/>
          <w:sz w:val="24"/>
          <w:szCs w:val="24"/>
        </w:rPr>
        <w:t xml:space="preserve">(10), e1051-e1061. </w:t>
      </w:r>
      <w:r>
        <w:rPr>
          <w:rFonts w:ascii="Times New Roman" w:hAnsi="Times New Roman" w:cs="Times New Roman"/>
          <w:sz w:val="24"/>
          <w:szCs w:val="24"/>
        </w:rPr>
        <w:t>https://doi.org/10.1212/WNL.0000000000009061</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Pushpa, V. H., Shetty, K. P., Sushma, N., Kalabaharathi, H. L., &amp; Satish, A. M. (2014). Evaluation of the anticonvulsant activity of ethanol extract of </w:t>
      </w:r>
      <w:r>
        <w:rPr>
          <w:rFonts w:ascii="Times New Roman" w:hAnsi="Times New Roman" w:cs="Times New Roman"/>
          <w:i/>
          <w:iCs/>
          <w:sz w:val="24"/>
          <w:szCs w:val="24"/>
        </w:rPr>
        <w:t>Psidium guajava</w:t>
      </w:r>
      <w:r>
        <w:rPr>
          <w:rFonts w:ascii="Times New Roman" w:hAnsi="Times New Roman" w:cs="Times New Roman"/>
          <w:sz w:val="24"/>
          <w:szCs w:val="24"/>
        </w:rPr>
        <w:t xml:space="preserve"> (guava leaves) in albino mice. </w:t>
      </w:r>
      <w:r>
        <w:rPr>
          <w:rFonts w:ascii="Times New Roman" w:hAnsi="Times New Roman" w:cs="Times New Roman"/>
          <w:i/>
          <w:iCs/>
          <w:sz w:val="24"/>
          <w:szCs w:val="24"/>
        </w:rPr>
        <w:t>Internat</w:t>
      </w:r>
      <w:r>
        <w:rPr>
          <w:rFonts w:ascii="Times New Roman" w:hAnsi="Times New Roman" w:cs="Times New Roman"/>
          <w:i/>
          <w:iCs/>
          <w:sz w:val="24"/>
          <w:szCs w:val="24"/>
        </w:rPr>
        <w:t xml:space="preserve">ional Journal of Pharmaceutical Sciences and Research, 5 </w:t>
      </w:r>
      <w:r>
        <w:rPr>
          <w:rFonts w:ascii="Times New Roman" w:hAnsi="Times New Roman" w:cs="Times New Roman"/>
          <w:sz w:val="24"/>
          <w:szCs w:val="24"/>
        </w:rPr>
        <w:t>(10), 4288-4292. https://doi.org/10.13040/IJPSR.0975-8232(5)(10).4288-92</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Huynh, H. D., Nargotra, P., Wang, H.-M. D., Shieh, C.-J., Liu, Y.-C., &amp; Kuo, C.-H. (2025). Bioactive compounds from guava </w:t>
      </w:r>
      <w:r>
        <w:rPr>
          <w:rFonts w:ascii="Times New Roman" w:hAnsi="Times New Roman" w:cs="Times New Roman"/>
          <w:sz w:val="24"/>
          <w:szCs w:val="24"/>
        </w:rPr>
        <w:t>leaves (</w:t>
      </w:r>
      <w:r>
        <w:rPr>
          <w:rFonts w:ascii="Times New Roman" w:hAnsi="Times New Roman" w:cs="Times New Roman"/>
          <w:i/>
          <w:iCs/>
          <w:sz w:val="24"/>
          <w:szCs w:val="24"/>
        </w:rPr>
        <w:t>Psidium guajava</w:t>
      </w:r>
      <w:r>
        <w:rPr>
          <w:rFonts w:ascii="Times New Roman" w:hAnsi="Times New Roman" w:cs="Times New Roman"/>
          <w:sz w:val="24"/>
          <w:szCs w:val="24"/>
        </w:rPr>
        <w:t xml:space="preserve"> L.): Characterization, biological activity, synergistic effects, and technological applications. </w:t>
      </w:r>
      <w:r>
        <w:rPr>
          <w:rFonts w:ascii="Times New Roman" w:hAnsi="Times New Roman" w:cs="Times New Roman"/>
          <w:i/>
          <w:iCs/>
          <w:sz w:val="24"/>
          <w:szCs w:val="24"/>
        </w:rPr>
        <w:t xml:space="preserve">Molecules, 30 </w:t>
      </w:r>
      <w:r>
        <w:rPr>
          <w:rFonts w:ascii="Times New Roman" w:hAnsi="Times New Roman" w:cs="Times New Roman"/>
          <w:sz w:val="24"/>
          <w:szCs w:val="24"/>
        </w:rPr>
        <w:t>(6), 1278. https://doi.org/10.3390/molecules30061278</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14. Chen, Z., Brodie, M. J., Ding, D., &amp; Kwan, P. (2023). Editorial:</w:t>
      </w:r>
      <w:r>
        <w:rPr>
          <w:rFonts w:ascii="Times New Roman" w:hAnsi="Times New Roman" w:cs="Times New Roman"/>
          <w:sz w:val="24"/>
          <w:szCs w:val="24"/>
        </w:rPr>
        <w:t xml:space="preserve"> Epidemiology of epilepsy and seizures. </w:t>
      </w:r>
      <w:r>
        <w:rPr>
          <w:rFonts w:ascii="Times New Roman" w:hAnsi="Times New Roman" w:cs="Times New Roman"/>
          <w:i/>
          <w:iCs/>
          <w:sz w:val="24"/>
          <w:szCs w:val="24"/>
        </w:rPr>
        <w:t>Frontiers in Epidemiology, 3</w:t>
      </w:r>
      <w:r>
        <w:rPr>
          <w:rFonts w:ascii="Times New Roman" w:hAnsi="Times New Roman" w:cs="Times New Roman"/>
          <w:sz w:val="24"/>
          <w:szCs w:val="24"/>
        </w:rPr>
        <w:t>, 1273163. https://doi.org/10.3389/fepid.2023.1273163</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15. Liu, J., Zhang, P., Zou, Q., Liang, J., Chen, Y., Cai, Y., Li, S., Li, J., Su</w:t>
      </w:r>
      <w:r>
        <w:rPr>
          <w:rFonts w:ascii="Times New Roman" w:hAnsi="Times New Roman" w:cs="Times New Roman"/>
          <w:sz w:val="24"/>
          <w:szCs w:val="24"/>
        </w:rPr>
        <w:t xml:space="preserve">, J., &amp; Li, Q. (2023). Status of epilepsy in the tropics: An overlooked perspective. </w:t>
      </w:r>
      <w:r>
        <w:rPr>
          <w:rFonts w:ascii="Times New Roman" w:hAnsi="Times New Roman" w:cs="Times New Roman"/>
          <w:i/>
          <w:iCs/>
          <w:sz w:val="24"/>
          <w:szCs w:val="24"/>
        </w:rPr>
        <w:t xml:space="preserve">Epilepsia Open, 8 </w:t>
      </w:r>
      <w:r>
        <w:rPr>
          <w:rFonts w:ascii="Times New Roman" w:hAnsi="Times New Roman" w:cs="Times New Roman"/>
          <w:sz w:val="24"/>
          <w:szCs w:val="24"/>
        </w:rPr>
        <w:t>(1), 32-45. https://doi.org/10.1002/epi4.12686</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Novak, A., Vizjak, K., &amp; Rakusa, M. (2022). Cognitive impairment in people with epilepsy. </w:t>
      </w:r>
      <w:r>
        <w:rPr>
          <w:rFonts w:ascii="Times New Roman" w:hAnsi="Times New Roman" w:cs="Times New Roman"/>
          <w:i/>
          <w:iCs/>
          <w:sz w:val="24"/>
          <w:szCs w:val="24"/>
        </w:rPr>
        <w:t>Journal of C</w:t>
      </w:r>
      <w:r>
        <w:rPr>
          <w:rFonts w:ascii="Times New Roman" w:hAnsi="Times New Roman" w:cs="Times New Roman"/>
          <w:i/>
          <w:iCs/>
          <w:sz w:val="24"/>
          <w:szCs w:val="24"/>
        </w:rPr>
        <w:t xml:space="preserve">linical Medicine, 11 </w:t>
      </w:r>
      <w:r>
        <w:rPr>
          <w:rFonts w:ascii="Times New Roman" w:hAnsi="Times New Roman" w:cs="Times New Roman"/>
          <w:sz w:val="24"/>
          <w:szCs w:val="24"/>
        </w:rPr>
        <w:t>(1), 267. https://doi.org/10.3390/jcm11010267</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17. Babatola, L., Ganiyu, Oboh., &amp; Adedayo, A. (2019). Toxicological evaluation of aqueous extract of different varieties of guava (</w:t>
      </w:r>
      <w:r>
        <w:rPr>
          <w:rFonts w:ascii="Times New Roman" w:hAnsi="Times New Roman" w:cs="Times New Roman"/>
          <w:i/>
          <w:iCs/>
          <w:sz w:val="24"/>
          <w:szCs w:val="24"/>
        </w:rPr>
        <w:t>Psidium guajava</w:t>
      </w:r>
      <w:r>
        <w:rPr>
          <w:rFonts w:ascii="Times New Roman" w:hAnsi="Times New Roman" w:cs="Times New Roman"/>
          <w:sz w:val="24"/>
          <w:szCs w:val="24"/>
        </w:rPr>
        <w:t xml:space="preserve"> Linn) leaves. </w:t>
      </w:r>
      <w:r>
        <w:rPr>
          <w:rFonts w:ascii="Times New Roman" w:hAnsi="Times New Roman" w:cs="Times New Roman"/>
          <w:i/>
          <w:iCs/>
          <w:sz w:val="24"/>
          <w:szCs w:val="24"/>
        </w:rPr>
        <w:t>Comparative Clinical Pathol</w:t>
      </w:r>
      <w:r>
        <w:rPr>
          <w:rFonts w:ascii="Times New Roman" w:hAnsi="Times New Roman" w:cs="Times New Roman"/>
          <w:i/>
          <w:iCs/>
          <w:sz w:val="24"/>
          <w:szCs w:val="24"/>
        </w:rPr>
        <w:t>ogy, 28</w:t>
      </w:r>
      <w:r>
        <w:rPr>
          <w:rFonts w:ascii="Times New Roman" w:hAnsi="Times New Roman" w:cs="Times New Roman"/>
          <w:sz w:val="24"/>
          <w:szCs w:val="24"/>
        </w:rPr>
        <w:t>. https://doi.org/10.1007/s00580-019-03002-0</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Shimada, T., &amp; Yamagata, K. (2018). Pentylenetetrazole-induced kindling mouse model. </w:t>
      </w:r>
      <w:r>
        <w:rPr>
          <w:rFonts w:ascii="Times New Roman" w:hAnsi="Times New Roman" w:cs="Times New Roman"/>
          <w:i/>
          <w:iCs/>
          <w:sz w:val="24"/>
          <w:szCs w:val="24"/>
        </w:rPr>
        <w:t>Journal of Visualized Experiments, (136)</w:t>
      </w:r>
      <w:r>
        <w:rPr>
          <w:rFonts w:ascii="Times New Roman" w:hAnsi="Times New Roman" w:cs="Times New Roman"/>
          <w:sz w:val="24"/>
          <w:szCs w:val="24"/>
        </w:rPr>
        <w:t>, Article 56573. https://doi.org/10.3791/56573</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19. Aleshin, V. A., Graf, A.</w:t>
      </w:r>
      <w:r>
        <w:rPr>
          <w:rFonts w:ascii="Times New Roman" w:hAnsi="Times New Roman" w:cs="Times New Roman"/>
          <w:sz w:val="24"/>
          <w:szCs w:val="24"/>
        </w:rPr>
        <w:t xml:space="preserve"> V., Artiukhov, A. V., Ksenofontov, A. L., Zavileyskiy, L. G., Maslova, M. V., &amp; Bunik, V. I. (2023). Pentylenetetrazole-induced seizures are increased after kindling, exhibiting vitamin-responsive correlations to the post-seizures behavior, amino acids me</w:t>
      </w:r>
      <w:r>
        <w:rPr>
          <w:rFonts w:ascii="Times New Roman" w:hAnsi="Times New Roman" w:cs="Times New Roman"/>
          <w:sz w:val="24"/>
          <w:szCs w:val="24"/>
        </w:rPr>
        <w:t>tabolism and key metabolic regulators in the rat brain. International Journal of Molecular Sciences, 24 (15), 12405. https://doi.org/10.3390/ijms241512405</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 Pediaditis, M., Tsiknakis, M., &amp; Leitgeb, N. (2012). Vision-based motion detection, analysis and </w:t>
      </w:r>
      <w:r>
        <w:rPr>
          <w:rFonts w:ascii="Times New Roman" w:hAnsi="Times New Roman" w:cs="Times New Roman"/>
          <w:sz w:val="24"/>
          <w:szCs w:val="24"/>
        </w:rPr>
        <w:t xml:space="preserve">recognition of epileptic seizures: A systematic review. </w:t>
      </w:r>
      <w:r>
        <w:rPr>
          <w:rFonts w:ascii="Times New Roman" w:hAnsi="Times New Roman" w:cs="Times New Roman"/>
          <w:i/>
          <w:iCs/>
          <w:sz w:val="24"/>
          <w:szCs w:val="24"/>
        </w:rPr>
        <w:t xml:space="preserve">Computer Methods and Programs in Biomedicine, 108 </w:t>
      </w:r>
      <w:r>
        <w:rPr>
          <w:rFonts w:ascii="Times New Roman" w:hAnsi="Times New Roman" w:cs="Times New Roman"/>
          <w:sz w:val="24"/>
          <w:szCs w:val="24"/>
        </w:rPr>
        <w:t>(3), 696-703. https://doi.org/10.1016/j.cmpb.2012.08.005</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21. Yuskaitis, C. J., Rossitto, L. A., Groff, K. J., Dhamne, S. C., Zhang, B., Lalani, L. K.,</w:t>
      </w:r>
      <w:r>
        <w:rPr>
          <w:rFonts w:ascii="Times New Roman" w:hAnsi="Times New Roman" w:cs="Times New Roman"/>
          <w:sz w:val="24"/>
          <w:szCs w:val="24"/>
        </w:rPr>
        <w:t xml:space="preserve"> Singh, A. K., Rotenberg, A., &amp; Sahin, M. (2021). Factors influencing the acute pentylenetetrazole-</w:t>
      </w:r>
      <w:r>
        <w:rPr>
          <w:rFonts w:ascii="Times New Roman" w:hAnsi="Times New Roman" w:cs="Times New Roman"/>
          <w:sz w:val="24"/>
          <w:szCs w:val="24"/>
        </w:rPr>
        <w:lastRenderedPageBreak/>
        <w:t xml:space="preserve">induced seizure paradigm and a literature review. </w:t>
      </w:r>
      <w:r>
        <w:rPr>
          <w:rFonts w:ascii="Times New Roman" w:hAnsi="Times New Roman" w:cs="Times New Roman"/>
          <w:i/>
          <w:iCs/>
          <w:sz w:val="24"/>
          <w:szCs w:val="24"/>
        </w:rPr>
        <w:t xml:space="preserve">Annals of Clinical and Translational Neurology, 8 </w:t>
      </w:r>
      <w:r>
        <w:rPr>
          <w:rFonts w:ascii="Times New Roman" w:hAnsi="Times New Roman" w:cs="Times New Roman"/>
          <w:sz w:val="24"/>
          <w:szCs w:val="24"/>
        </w:rPr>
        <w:t>(7), 1388-1397. https://doi.org/10.1002/acn3.51375</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22. Su</w:t>
      </w:r>
      <w:r>
        <w:rPr>
          <w:rFonts w:ascii="Times New Roman" w:hAnsi="Times New Roman" w:cs="Times New Roman"/>
          <w:sz w:val="24"/>
          <w:szCs w:val="24"/>
        </w:rPr>
        <w:t>pasai, S., González, E. A., Rowland, D. J., Hobson, B., Bruun, D. A., Guignet, M. A., Soares, S., Singh, V., Wulff, H., Saito, N., Harvey, D. J., &amp; Lein, P. J. (2020). Acute administration of diazepam or midazolam minimally alters long-term neuropathologic</w:t>
      </w:r>
      <w:r>
        <w:rPr>
          <w:rFonts w:ascii="Times New Roman" w:hAnsi="Times New Roman" w:cs="Times New Roman"/>
          <w:sz w:val="24"/>
          <w:szCs w:val="24"/>
        </w:rPr>
        <w:t xml:space="preserve">al effects in the rat brain following acute intoxication with diisopropylfluorophosphate. </w:t>
      </w:r>
      <w:r>
        <w:rPr>
          <w:rFonts w:ascii="Times New Roman" w:hAnsi="Times New Roman" w:cs="Times New Roman"/>
          <w:i/>
          <w:iCs/>
          <w:sz w:val="24"/>
          <w:szCs w:val="24"/>
        </w:rPr>
        <w:t>European Journal of Pharmacology, 886</w:t>
      </w:r>
      <w:r>
        <w:rPr>
          <w:rFonts w:ascii="Times New Roman" w:hAnsi="Times New Roman" w:cs="Times New Roman"/>
          <w:sz w:val="24"/>
          <w:szCs w:val="24"/>
        </w:rPr>
        <w:t>, 173538. https://doi.org/10.1016/j.ejphar.2020.173538</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Bancroft, J. D., &amp; Stevens, A. (1990). </w:t>
      </w:r>
      <w:r>
        <w:rPr>
          <w:rFonts w:ascii="Times New Roman" w:hAnsi="Times New Roman" w:cs="Times New Roman"/>
          <w:i/>
          <w:iCs/>
          <w:sz w:val="24"/>
          <w:szCs w:val="24"/>
        </w:rPr>
        <w:t xml:space="preserve">Histological techniques </w:t>
      </w:r>
      <w:r>
        <w:rPr>
          <w:rFonts w:ascii="Times New Roman" w:hAnsi="Times New Roman" w:cs="Times New Roman"/>
          <w:sz w:val="24"/>
          <w:szCs w:val="24"/>
        </w:rPr>
        <w:t>(3rd ed</w:t>
      </w:r>
      <w:r>
        <w:rPr>
          <w:rFonts w:ascii="Times New Roman" w:hAnsi="Times New Roman" w:cs="Times New Roman"/>
          <w:sz w:val="24"/>
          <w:szCs w:val="24"/>
        </w:rPr>
        <w:t>.). Churchill Livingstone.</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24. Antunes, M., &amp; Biala, G. (2012). The novel object recognition memory: Neurobiology, test procedure, and its modifications. </w:t>
      </w:r>
      <w:r>
        <w:rPr>
          <w:rFonts w:ascii="Times New Roman" w:hAnsi="Times New Roman" w:cs="Times New Roman"/>
          <w:i/>
          <w:iCs/>
          <w:sz w:val="24"/>
          <w:szCs w:val="24"/>
        </w:rPr>
        <w:t xml:space="preserve">Cognitive Processing, 13 </w:t>
      </w:r>
      <w:r>
        <w:rPr>
          <w:rFonts w:ascii="Times New Roman" w:hAnsi="Times New Roman" w:cs="Times New Roman"/>
          <w:sz w:val="24"/>
          <w:szCs w:val="24"/>
        </w:rPr>
        <w:t>(2), 93-110. https://doi.org/10.1007/s10339-011-0430-z</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25. Irondi, E. A., Agb</w:t>
      </w:r>
      <w:r>
        <w:rPr>
          <w:rFonts w:ascii="Times New Roman" w:hAnsi="Times New Roman" w:cs="Times New Roman"/>
          <w:sz w:val="24"/>
          <w:szCs w:val="24"/>
        </w:rPr>
        <w:t xml:space="preserve">oola, S. O., Oboh, G., Boligon, A. A., Athayde, M. L., &amp; Shode, F. O. (2016). Guava leaves polyphenolics-rich extract inhibits vital enzymes implicated in gout and hypertension in vitro. </w:t>
      </w:r>
      <w:r>
        <w:rPr>
          <w:rFonts w:ascii="Times New Roman" w:hAnsi="Times New Roman" w:cs="Times New Roman"/>
          <w:i/>
          <w:iCs/>
          <w:sz w:val="24"/>
          <w:szCs w:val="24"/>
        </w:rPr>
        <w:t>Journal of Intercultural Ethnopharmacology, 5</w:t>
      </w:r>
      <w:r>
        <w:rPr>
          <w:rFonts w:ascii="Times New Roman" w:hAnsi="Times New Roman" w:cs="Times New Roman"/>
          <w:sz w:val="24"/>
          <w:szCs w:val="24"/>
        </w:rPr>
        <w:t xml:space="preserve"> (2), 122-130. https://d</w:t>
      </w:r>
      <w:r>
        <w:rPr>
          <w:rFonts w:ascii="Times New Roman" w:hAnsi="Times New Roman" w:cs="Times New Roman"/>
          <w:sz w:val="24"/>
          <w:szCs w:val="24"/>
        </w:rPr>
        <w:t>oi.org/10.5455/jice.20160321115402</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26. Ambrogini, P., Torquato, P., Bartolini, D., Albertini, M. C., Lattanzi, D., Di Palma, M., Marinelli, R., Betti, M., Minelli, A., Cuppini, R., &amp; Galli, F. (2019). Excitotoxicity, neuroinflammation, and oxidant stress a</w:t>
      </w:r>
      <w:r>
        <w:rPr>
          <w:rFonts w:ascii="Times New Roman" w:hAnsi="Times New Roman" w:cs="Times New Roman"/>
          <w:sz w:val="24"/>
          <w:szCs w:val="24"/>
        </w:rPr>
        <w:t xml:space="preserve">s molecular bases of epileptogenesis and epilepsy-derived neurodegeneration: The role of vitamin E. </w:t>
      </w:r>
      <w:r>
        <w:rPr>
          <w:rFonts w:ascii="Times New Roman" w:hAnsi="Times New Roman" w:cs="Times New Roman"/>
          <w:i/>
          <w:iCs/>
          <w:sz w:val="24"/>
          <w:szCs w:val="24"/>
        </w:rPr>
        <w:t xml:space="preserve">Biochimica et Biophysica Acta (BBA) - Molecular Basis of Disease, 1865 </w:t>
      </w:r>
      <w:r>
        <w:rPr>
          <w:rFonts w:ascii="Times New Roman" w:hAnsi="Times New Roman" w:cs="Times New Roman"/>
          <w:sz w:val="24"/>
          <w:szCs w:val="24"/>
        </w:rPr>
        <w:t>(6), 1098-1112. https://doi.org/10.1016/j.bbadis.2019.01.026</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27. Tsatsakis, A. M., Va</w:t>
      </w:r>
      <w:r>
        <w:rPr>
          <w:rFonts w:ascii="Times New Roman" w:hAnsi="Times New Roman" w:cs="Times New Roman"/>
          <w:sz w:val="24"/>
          <w:szCs w:val="24"/>
        </w:rPr>
        <w:t>ssilopoulou, L., Kovatsi, L., Tsitsimpikou, C., Karamanou, M., Leon, G., Liesivuori, J., Hayes, A. W., &amp; Spandidos, D. A. (2018). The dose response principle from philosophy to modern toxicology: The impact of ancient philosophy and medicine in modern toxi</w:t>
      </w:r>
      <w:r>
        <w:rPr>
          <w:rFonts w:ascii="Times New Roman" w:hAnsi="Times New Roman" w:cs="Times New Roman"/>
          <w:sz w:val="24"/>
          <w:szCs w:val="24"/>
        </w:rPr>
        <w:t xml:space="preserve">cology science. </w:t>
      </w:r>
      <w:r>
        <w:rPr>
          <w:rFonts w:ascii="Times New Roman" w:hAnsi="Times New Roman" w:cs="Times New Roman"/>
          <w:i/>
          <w:iCs/>
          <w:sz w:val="24"/>
          <w:szCs w:val="24"/>
        </w:rPr>
        <w:t>Toxicology Reports, 5</w:t>
      </w:r>
      <w:r>
        <w:rPr>
          <w:rFonts w:ascii="Times New Roman" w:hAnsi="Times New Roman" w:cs="Times New Roman"/>
          <w:sz w:val="24"/>
          <w:szCs w:val="24"/>
        </w:rPr>
        <w:t>, 1107-1113. https://doi.org/10.1016/j.toxrep.2018.10.001</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28. Kienitz, R., Kay, L., Beuchat, I., Gelhard, S., von Brauchitsch, S., Mann, C., Lucaciu, A., Schäfer, J. H., Siebenbrodt, K., Zöllner, J. P., Schubert-Bast, S</w:t>
      </w:r>
      <w:r>
        <w:rPr>
          <w:rFonts w:ascii="Times New Roman" w:hAnsi="Times New Roman" w:cs="Times New Roman"/>
          <w:sz w:val="24"/>
          <w:szCs w:val="24"/>
        </w:rPr>
        <w:t xml:space="preserve">., Rosenow, F., Strzelczyk, A., &amp; Willems, L. M. (2022). Benzodiazepines in the management of seizures and status epilepticus: A review of routes of delivery, pharmacokinetics, efficacy, and tolerability. </w:t>
      </w:r>
      <w:r>
        <w:rPr>
          <w:rFonts w:ascii="Times New Roman" w:hAnsi="Times New Roman" w:cs="Times New Roman"/>
          <w:i/>
          <w:iCs/>
          <w:sz w:val="24"/>
          <w:szCs w:val="24"/>
        </w:rPr>
        <w:t xml:space="preserve">CNS Drugs, 36 </w:t>
      </w:r>
      <w:r>
        <w:rPr>
          <w:rFonts w:ascii="Times New Roman" w:hAnsi="Times New Roman" w:cs="Times New Roman"/>
          <w:sz w:val="24"/>
          <w:szCs w:val="24"/>
        </w:rPr>
        <w:t>(9), 951-975. https://doi.org/10.1007</w:t>
      </w:r>
      <w:r>
        <w:rPr>
          <w:rFonts w:ascii="Times New Roman" w:hAnsi="Times New Roman" w:cs="Times New Roman"/>
          <w:sz w:val="24"/>
          <w:szCs w:val="24"/>
        </w:rPr>
        <w:t>/s40263-022-00940-2</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Anani, S. E., Nnenna, W. A., Agaba, E. A., Umoh, N. M., Bassey, I. F., Eru, M. E., Oku, M. E., Uruakpa, K. C., Odey, P. A., Isamoh, T. E., Ajang, C. U., Uzor, G., Udo-affah, G. U., &amp; Igiri, A. O. (2024). Neuroprotective effect of Dacryo</w:t>
      </w:r>
      <w:r>
        <w:rPr>
          <w:rFonts w:ascii="Times New Roman" w:hAnsi="Times New Roman" w:cs="Times New Roman"/>
          <w:sz w:val="24"/>
          <w:szCs w:val="24"/>
        </w:rPr>
        <w:t xml:space="preserve">des edulis ethanolic leaf extract on the hippocampus of rats of ketamine-induced neurotoxicity. </w:t>
      </w:r>
      <w:r>
        <w:rPr>
          <w:rFonts w:ascii="Times New Roman" w:hAnsi="Times New Roman" w:cs="Times New Roman"/>
          <w:i/>
          <w:iCs/>
          <w:sz w:val="24"/>
          <w:szCs w:val="24"/>
        </w:rPr>
        <w:t xml:space="preserve">Asian Journal of Research and Reports in Neurology, 7 </w:t>
      </w:r>
      <w:r>
        <w:rPr>
          <w:rFonts w:ascii="Times New Roman" w:hAnsi="Times New Roman" w:cs="Times New Roman"/>
          <w:sz w:val="24"/>
          <w:szCs w:val="24"/>
        </w:rPr>
        <w:t>(1), 130-145. https://doi.org/10.9734/AJORRIN/2024/v7i113813</w:t>
      </w: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930A3F">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Terms and Definitions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Epilepsy: A c</w:t>
      </w:r>
      <w:r>
        <w:rPr>
          <w:rFonts w:ascii="Times New Roman" w:hAnsi="Times New Roman" w:cs="Times New Roman"/>
          <w:sz w:val="24"/>
          <w:szCs w:val="24"/>
        </w:rPr>
        <w:t>hronic neurological disorder characterized by recurrent seizures, which are sudden bursts of electrical activity in the brain that can affect behavior, consciousness, and motor control.</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2. Seizure: A sudden and uncontrolled electrical disturbance in the br</w:t>
      </w:r>
      <w:r>
        <w:rPr>
          <w:rFonts w:ascii="Times New Roman" w:hAnsi="Times New Roman" w:cs="Times New Roman"/>
          <w:sz w:val="24"/>
          <w:szCs w:val="24"/>
        </w:rPr>
        <w:t>ain that can lead to changes in behavior, movements, feelings, and consciousness. Seizures can vary significantly in type, duration, and severity.</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3. Anticonvulsant: A class of medication used to prevent or control seizures. Anticonvulsants can vary in the</w:t>
      </w:r>
      <w:r>
        <w:rPr>
          <w:rFonts w:ascii="Times New Roman" w:hAnsi="Times New Roman" w:cs="Times New Roman"/>
          <w:sz w:val="24"/>
          <w:szCs w:val="24"/>
        </w:rPr>
        <w:t>ir mechanism of action and efficacy against different types of seizures.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4. Pentylenetetrazol (PTZ): A chemical compound used in research to induce seizures in animal models. PTZ acts as a central nervous system stimulant and inhibits the action of the neu</w:t>
      </w:r>
      <w:r>
        <w:rPr>
          <w:rFonts w:ascii="Times New Roman" w:hAnsi="Times New Roman" w:cs="Times New Roman"/>
          <w:sz w:val="24"/>
          <w:szCs w:val="24"/>
        </w:rPr>
        <w:t>rotransmitter gamma-aminobutyric acid (GABA).</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Neuroprotection: Strategies or interventions that help to protect neuronal structure and function from injury or degeneration. Neuroprotective agents may reduce inflammation, oxidative stress, or other </w:t>
      </w:r>
      <w:r>
        <w:rPr>
          <w:rFonts w:ascii="Times New Roman" w:hAnsi="Times New Roman" w:cs="Times New Roman"/>
          <w:sz w:val="24"/>
          <w:szCs w:val="24"/>
        </w:rPr>
        <w:t>damaging processes involved in neurological diseases.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Cognitive Impairment: A reduction in cognitive function or ability, affecting processes such as memory, attention, and problem-solving skills. Cognitive impairment can be a consequence of various </w:t>
      </w:r>
      <w:r>
        <w:rPr>
          <w:rFonts w:ascii="Times New Roman" w:hAnsi="Times New Roman" w:cs="Times New Roman"/>
          <w:sz w:val="24"/>
          <w:szCs w:val="24"/>
        </w:rPr>
        <w:t>factors, including neurological disorders, brain injury, and age-related decline.</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7. Flavonoids: A diverse group of plant metabolites known for their antioxidant properties. Flavonoids are thought to provide health benefits, including anti-inflammatory eff</w:t>
      </w:r>
      <w:r>
        <w:rPr>
          <w:rFonts w:ascii="Times New Roman" w:hAnsi="Times New Roman" w:cs="Times New Roman"/>
          <w:sz w:val="24"/>
          <w:szCs w:val="24"/>
        </w:rPr>
        <w:t>ects and neuroprotection.</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8. Polyphenols: A group of naturally occurring compounds in plants, characterized by the presence of multiple phenolic units. Like flavonoids, polyphenols exhibit antioxidant and anti-inflammatory properties and are believed to ha</w:t>
      </w:r>
      <w:r>
        <w:rPr>
          <w:rFonts w:ascii="Times New Roman" w:hAnsi="Times New Roman" w:cs="Times New Roman"/>
          <w:sz w:val="24"/>
          <w:szCs w:val="24"/>
        </w:rPr>
        <w:t>ve therapeutic potential.</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9. Diazepam: A widely used benzodiazepine medication that acts as an anticonvulsant, anxiolytic, and muscle relaxant. It is often prescribed for the management of anxiety, muscle spasms, and seizures.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10. Cognitive Function Assess</w:t>
      </w:r>
      <w:r>
        <w:rPr>
          <w:rFonts w:ascii="Times New Roman" w:hAnsi="Times New Roman" w:cs="Times New Roman"/>
          <w:sz w:val="24"/>
          <w:szCs w:val="24"/>
        </w:rPr>
        <w:t>ment: The evaluation of mental processes, including attention, memory, problem-solving, and decision-making, typically through various tested tasks or measures.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Habituation: A decrease in response to a stimulus after repeated exposures, often measured </w:t>
      </w:r>
      <w:r>
        <w:rPr>
          <w:rFonts w:ascii="Times New Roman" w:hAnsi="Times New Roman" w:cs="Times New Roman"/>
          <w:sz w:val="24"/>
          <w:szCs w:val="24"/>
        </w:rPr>
        <w:t>in behavioral experiments assessing memory and learning capacities.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12. Histological Analysis: A laboratory method used to study the microscopic structure of tissues. Histological techniques involve preparing tissue samples for examination under a microsco</w:t>
      </w:r>
      <w:r>
        <w:rPr>
          <w:rFonts w:ascii="Times New Roman" w:hAnsi="Times New Roman" w:cs="Times New Roman"/>
          <w:sz w:val="24"/>
          <w:szCs w:val="24"/>
        </w:rPr>
        <w:t>pe after being subjected to specific staining methods.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13. GABAergic Pathway: Refers to the neural pathways that utilize gamma-aminobutyric acid (GABA) as their neurotransmitter. These pathways are crucial for inhibitory signaling in the brain and play a k</w:t>
      </w:r>
      <w:r>
        <w:rPr>
          <w:rFonts w:ascii="Times New Roman" w:hAnsi="Times New Roman" w:cs="Times New Roman"/>
          <w:sz w:val="24"/>
          <w:szCs w:val="24"/>
        </w:rPr>
        <w:t>ey role in regulating neuronal excitability.</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14. Glutamatergic Pathway: Refers to the neural pathways that utilize glutamate as their neurotransmitter. These pathways are associated with excitatory signaling in the brain and are involved in processes such </w:t>
      </w:r>
      <w:r>
        <w:rPr>
          <w:rFonts w:ascii="Times New Roman" w:hAnsi="Times New Roman" w:cs="Times New Roman"/>
          <w:sz w:val="24"/>
          <w:szCs w:val="24"/>
        </w:rPr>
        <w:t>as synaptic plasticity and learning.</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 Neuroinflammation: The inflammatory response within the central nervous system (CNS), which can be triggered by injury, infection, or disease and lead to neuronal damage.</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Neurodegeneration: The progressive loss </w:t>
      </w:r>
      <w:r>
        <w:rPr>
          <w:rFonts w:ascii="Times New Roman" w:hAnsi="Times New Roman" w:cs="Times New Roman"/>
          <w:sz w:val="24"/>
          <w:szCs w:val="24"/>
        </w:rPr>
        <w:t>of structure or function of neurons, which can lead to various neurological disorders, including Alzheimer's disease, Parkinson's disease, and epilepsy.</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17. Tonic-Clonic Seizures: A type of generalized seizure characterized by intense muscle contractions (</w:t>
      </w:r>
      <w:r>
        <w:rPr>
          <w:rFonts w:ascii="Times New Roman" w:hAnsi="Times New Roman" w:cs="Times New Roman"/>
          <w:sz w:val="24"/>
          <w:szCs w:val="24"/>
        </w:rPr>
        <w:t>tonic phase) followed by rhythmic jerking (clonic phase). These seizures typically involve a loss of consciousness.</w:t>
      </w:r>
    </w:p>
    <w:p w:rsidR="0021636B" w:rsidRDefault="00930A3F">
      <w:pPr>
        <w:spacing w:line="240" w:lineRule="auto"/>
        <w:jc w:val="both"/>
        <w:rPr>
          <w:rFonts w:ascii="Times New Roman" w:hAnsi="Times New Roman" w:cs="Times New Roman"/>
          <w:sz w:val="24"/>
          <w:szCs w:val="24"/>
        </w:rPr>
      </w:pPr>
      <w:r>
        <w:rPr>
          <w:rFonts w:ascii="Times New Roman" w:hAnsi="Times New Roman" w:cs="Times New Roman"/>
          <w:sz w:val="24"/>
          <w:szCs w:val="24"/>
        </w:rPr>
        <w:t>18. Wistar rat: A commonly used laboratory rat strain, known for its docility and adaptability, often employed in biomedical research, parti</w:t>
      </w:r>
      <w:r>
        <w:rPr>
          <w:rFonts w:ascii="Times New Roman" w:hAnsi="Times New Roman" w:cs="Times New Roman"/>
          <w:sz w:val="24"/>
          <w:szCs w:val="24"/>
        </w:rPr>
        <w:t>cularly in studies related to pharmacology and toxicology.</w:t>
      </w: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rPr>
      </w:pPr>
    </w:p>
    <w:p w:rsidR="0021636B" w:rsidRDefault="0021636B">
      <w:pPr>
        <w:spacing w:line="240" w:lineRule="auto"/>
        <w:jc w:val="both"/>
        <w:rPr>
          <w:rFonts w:ascii="Times New Roman" w:hAnsi="Times New Roman" w:cs="Times New Roman"/>
          <w:sz w:val="24"/>
          <w:szCs w:val="24"/>
          <w:shd w:val="clear" w:color="FFFFFF" w:fill="FFFFFF"/>
        </w:rPr>
      </w:pPr>
    </w:p>
    <w:p w:rsidR="0021636B" w:rsidRDefault="0021636B">
      <w:pPr>
        <w:spacing w:line="240" w:lineRule="auto"/>
        <w:jc w:val="both"/>
        <w:rPr>
          <w:rFonts w:ascii="Times New Roman" w:hAnsi="Times New Roman" w:cs="Times New Roman"/>
          <w:sz w:val="24"/>
          <w:szCs w:val="24"/>
          <w:shd w:val="clear" w:color="FFFFFF" w:fill="FFFFFF"/>
        </w:rPr>
      </w:pPr>
    </w:p>
    <w:p w:rsidR="0021636B" w:rsidRDefault="0021636B">
      <w:pPr>
        <w:spacing w:line="240" w:lineRule="auto"/>
        <w:jc w:val="both"/>
        <w:rPr>
          <w:rFonts w:ascii="Times New Roman" w:hAnsi="Times New Roman" w:cs="Times New Roman"/>
          <w:sz w:val="24"/>
          <w:szCs w:val="24"/>
          <w:shd w:val="clear" w:color="FFFFFF" w:fill="FFFFFF"/>
        </w:rPr>
      </w:pPr>
    </w:p>
    <w:p w:rsidR="0021636B" w:rsidRDefault="0021636B">
      <w:pPr>
        <w:spacing w:line="240" w:lineRule="auto"/>
        <w:jc w:val="both"/>
        <w:rPr>
          <w:rFonts w:ascii="Times New Roman" w:hAnsi="Times New Roman" w:cs="Times New Roman"/>
          <w:sz w:val="24"/>
          <w:szCs w:val="24"/>
          <w:shd w:val="clear" w:color="FFFFFF" w:fill="FFFFFF"/>
        </w:rPr>
      </w:pPr>
    </w:p>
    <w:p w:rsidR="0021636B" w:rsidRDefault="0021636B">
      <w:pPr>
        <w:autoSpaceDE w:val="0"/>
        <w:autoSpaceDN w:val="0"/>
        <w:adjustRightInd w:val="0"/>
        <w:ind w:left="720" w:hanging="720"/>
        <w:rPr>
          <w:rFonts w:ascii="Times New Roman" w:hAnsi="Times New Roman" w:cs="Times New Roman"/>
          <w:sz w:val="24"/>
          <w:szCs w:val="24"/>
        </w:rPr>
      </w:pPr>
    </w:p>
    <w:sectPr w:rsidR="0021636B">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A3F" w:rsidRDefault="00930A3F">
      <w:pPr>
        <w:spacing w:after="0" w:line="240" w:lineRule="auto"/>
      </w:pPr>
      <w:r>
        <w:separator/>
      </w:r>
    </w:p>
  </w:endnote>
  <w:endnote w:type="continuationSeparator" w:id="0">
    <w:p w:rsidR="00930A3F" w:rsidRDefault="0093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6B" w:rsidRDefault="00216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6B" w:rsidRDefault="0021636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A3F" w:rsidRDefault="00930A3F">
      <w:pPr>
        <w:spacing w:after="0" w:line="240" w:lineRule="auto"/>
      </w:pPr>
      <w:r>
        <w:separator/>
      </w:r>
    </w:p>
  </w:footnote>
  <w:footnote w:type="continuationSeparator" w:id="0">
    <w:p w:rsidR="00930A3F" w:rsidRDefault="00930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6B" w:rsidRDefault="00930A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6B" w:rsidRDefault="00930A3F">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left:0;text-align:left;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6B" w:rsidRDefault="00930A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F86AA7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6B"/>
    <w:rsid w:val="0021636B"/>
    <w:rsid w:val="00530302"/>
    <w:rsid w:val="00930A3F"/>
    <w:rsid w:val="00CD0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58BF26"/>
  <w15:docId w15:val="{E4861572-ED42-4B6C-AD56-3EC24008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ot-block-node">
    <w:name w:val="root-block-node"/>
    <w:basedOn w:val="Normal"/>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Pr>
      <w:b/>
      <w:bCs/>
    </w:rPr>
  </w:style>
  <w:style w:type="character" w:customStyle="1" w:styleId="nowrap">
    <w:name w:val="nowrap"/>
    <w:basedOn w:val="DefaultParagraphFont"/>
  </w:style>
  <w:style w:type="paragraph" w:styleId="NoSpacing">
    <w:name w:val="No Spacing"/>
    <w:uiPriority w:val="1"/>
    <w:qFormat/>
    <w:pPr>
      <w:spacing w:after="0" w:line="240" w:lineRule="auto"/>
    </w:pPr>
    <w:rPr>
      <w:rFonts w:cs="Times New Roman"/>
      <w:kern w:val="0"/>
      <w14:ligatures w14:val="none"/>
    </w:rPr>
  </w:style>
  <w:style w:type="character" w:styleId="Emphasis">
    <w:name w:val="Emphasis"/>
    <w:uiPriority w:val="20"/>
    <w:qFormat/>
    <w:rPr>
      <w:i/>
      <w:iCs/>
    </w:rPr>
  </w:style>
  <w:style w:type="character" w:customStyle="1" w:styleId="ref-vol">
    <w:name w:val="ref-vol"/>
    <w:basedOn w:val="DefaultParagraphFont"/>
  </w:style>
  <w:style w:type="character" w:customStyle="1" w:styleId="citationsource-journal">
    <w:name w:val="citation_source-journal"/>
    <w:basedOn w:val="DefaultParagraphFont"/>
  </w:style>
  <w:style w:type="character" w:customStyle="1" w:styleId="nlmfpage">
    <w:name w:val="nlm_fpage"/>
    <w:basedOn w:val="DefaultParagraphFont"/>
  </w:style>
  <w:style w:type="character" w:customStyle="1" w:styleId="nlmlpage">
    <w:name w:val="nlm_lpage"/>
    <w:basedOn w:val="DefaultParagraphFont"/>
  </w:style>
  <w:style w:type="character" w:customStyle="1" w:styleId="citation">
    <w:name w:val="citation"/>
    <w:basedOn w:val="DefaultParagraphFont"/>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Microsoft_Excel_97-2003_Worksheet.xls"/><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b="1"/>
              <a:t>FIG. 1 </a:t>
            </a:r>
            <a:r>
              <a:rPr lang="en-US"/>
              <a:t>Frequency of jerk in the different experimental groups. 
Values are expressed as mean +SEM, n = 5.
* = significantly difference from epileptic at p&lt;0.05
a = significantly difference from EPI + DIAZ at p&lt;0.05</a:t>
            </a:r>
          </a:p>
        </c:rich>
      </c:tx>
      <c:layout>
        <c:manualLayout>
          <c:xMode val="edge"/>
          <c:yMode val="edge"/>
          <c:x val="0.2304075235109718"/>
          <c:y val="0.65505984766050052"/>
        </c:manualLayout>
      </c:layout>
      <c:overlay val="0"/>
      <c:spPr>
        <a:noFill/>
        <a:ln w="25400">
          <a:noFill/>
        </a:ln>
      </c:spPr>
    </c:title>
    <c:autoTitleDeleted val="0"/>
    <c:plotArea>
      <c:layout>
        <c:manualLayout>
          <c:layoutTarget val="inner"/>
          <c:xMode val="edge"/>
          <c:yMode val="edge"/>
          <c:x val="0.16457680250783699"/>
          <c:y val="0.20021762785636563"/>
          <c:w val="0.83385579937304077"/>
          <c:h val="0.39064200217627859"/>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Sheet2!$D$11</c:f>
                <c:numCache>
                  <c:formatCode>General</c:formatCode>
                  <c:ptCount val="1"/>
                  <c:pt idx="0">
                    <c:v>4.8104053883222697</c:v>
                  </c:pt>
                </c:numCache>
              </c:numRef>
            </c:plus>
            <c:spPr>
              <a:ln w="12700">
                <a:solidFill>
                  <a:srgbClr val="000000"/>
                </a:solidFill>
                <a:prstDash val="solid"/>
              </a:ln>
            </c:spPr>
          </c:errBars>
          <c:val>
            <c:numRef>
              <c:f>Sheet2!$D$6</c:f>
              <c:numCache>
                <c:formatCode>0.00</c:formatCode>
                <c:ptCount val="1"/>
                <c:pt idx="0">
                  <c:v>58.8</c:v>
                </c:pt>
              </c:numCache>
            </c:numRef>
          </c:val>
          <c:extLst>
            <c:ext xmlns:c16="http://schemas.microsoft.com/office/drawing/2014/chart" uri="{C3380CC4-5D6E-409C-BE32-E72D297353CC}">
              <c16:uniqueId val="{00000000-1AFD-4823-8A35-5AE76DA68DC7}"/>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Sheet2!$D$7</c:f>
              <c:numCache>
                <c:formatCode>0.00</c:formatCode>
                <c:ptCount val="1"/>
                <c:pt idx="0">
                  <c:v>0</c:v>
                </c:pt>
              </c:numCache>
            </c:numRef>
          </c:val>
          <c:extLst>
            <c:ext xmlns:c16="http://schemas.microsoft.com/office/drawing/2014/chart" uri="{C3380CC4-5D6E-409C-BE32-E72D297353CC}">
              <c16:uniqueId val="{00000001-1AFD-4823-8A35-5AE76DA68DC7}"/>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Sheet2!$D$13</c:f>
                <c:numCache>
                  <c:formatCode>General</c:formatCode>
                  <c:ptCount val="1"/>
                  <c:pt idx="0">
                    <c:v>4.2825226210727703</c:v>
                  </c:pt>
                </c:numCache>
              </c:numRef>
            </c:plus>
            <c:spPr>
              <a:ln w="12700">
                <a:solidFill>
                  <a:srgbClr val="000000"/>
                </a:solidFill>
                <a:prstDash val="solid"/>
              </a:ln>
            </c:spPr>
          </c:errBars>
          <c:val>
            <c:numRef>
              <c:f>Sheet2!$D$8</c:f>
              <c:numCache>
                <c:formatCode>0.00</c:formatCode>
                <c:ptCount val="1"/>
                <c:pt idx="0">
                  <c:v>29.8</c:v>
                </c:pt>
              </c:numCache>
            </c:numRef>
          </c:val>
          <c:extLst>
            <c:ext xmlns:c16="http://schemas.microsoft.com/office/drawing/2014/chart" uri="{C3380CC4-5D6E-409C-BE32-E72D297353CC}">
              <c16:uniqueId val="{00000002-1AFD-4823-8A35-5AE76DA68DC7}"/>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Sheet2!$D$14</c:f>
                <c:numCache>
                  <c:formatCode>General</c:formatCode>
                  <c:ptCount val="1"/>
                  <c:pt idx="0">
                    <c:v>3.2465366161495801</c:v>
                  </c:pt>
                </c:numCache>
              </c:numRef>
            </c:plus>
            <c:spPr>
              <a:ln w="12700">
                <a:solidFill>
                  <a:srgbClr val="000000"/>
                </a:solidFill>
                <a:prstDash val="solid"/>
              </a:ln>
            </c:spPr>
          </c:errBars>
          <c:val>
            <c:numRef>
              <c:f>Sheet2!$D$9</c:f>
              <c:numCache>
                <c:formatCode>0.00</c:formatCode>
                <c:ptCount val="1"/>
                <c:pt idx="0">
                  <c:v>19.8</c:v>
                </c:pt>
              </c:numCache>
            </c:numRef>
          </c:val>
          <c:extLst>
            <c:ext xmlns:c16="http://schemas.microsoft.com/office/drawing/2014/chart" uri="{C3380CC4-5D6E-409C-BE32-E72D297353CC}">
              <c16:uniqueId val="{00000003-1AFD-4823-8A35-5AE76DA68DC7}"/>
            </c:ext>
          </c:extLst>
        </c:ser>
        <c:dLbls>
          <c:showLegendKey val="0"/>
          <c:showVal val="0"/>
          <c:showCatName val="0"/>
          <c:showSerName val="0"/>
          <c:showPercent val="0"/>
          <c:showBubbleSize val="0"/>
        </c:dLbls>
        <c:gapWidth val="150"/>
        <c:overlap val="-10"/>
        <c:axId val="57620687"/>
        <c:axId val="1"/>
      </c:barChart>
      <c:catAx>
        <c:axId val="57620687"/>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Experimental group</a:t>
                </a:r>
              </a:p>
            </c:rich>
          </c:tx>
          <c:layout>
            <c:manualLayout>
              <c:xMode val="edge"/>
              <c:yMode val="edge"/>
              <c:x val="0.47178683385579939"/>
              <c:y val="0.60500544069640916"/>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Frequency (/5min)</a:t>
                </a:r>
              </a:p>
            </c:rich>
          </c:tx>
          <c:layout>
            <c:manualLayout>
              <c:xMode val="edge"/>
              <c:yMode val="edge"/>
              <c:x val="3.6050156739811913E-2"/>
              <c:y val="0.3242655059847660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57620687"/>
        <c:crosses val="autoZero"/>
        <c:crossBetween val="between"/>
      </c:valAx>
      <c:spPr>
        <a:noFill/>
        <a:ln w="25400">
          <a:noFill/>
        </a:ln>
      </c:spPr>
    </c:plotArea>
    <c:legend>
      <c:legendPos val="t"/>
      <c:layout>
        <c:manualLayout>
          <c:xMode val="edge"/>
          <c:yMode val="edge"/>
          <c:x val="0.69435736677115989"/>
          <c:y val="4.2437431991294884E-2"/>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b="1"/>
              <a:t>FIG. 2: </a:t>
            </a:r>
            <a:r>
              <a:rPr lang="en-US"/>
              <a:t>Duration of seizure in the different experimental groups. 
</a:t>
            </a:r>
          </a:p>
        </c:rich>
      </c:tx>
      <c:layout>
        <c:manualLayout>
          <c:xMode val="edge"/>
          <c:yMode val="edge"/>
          <c:x val="0.21943573667711599"/>
          <c:y val="0.6463547334058759"/>
        </c:manualLayout>
      </c:layout>
      <c:overlay val="0"/>
      <c:spPr>
        <a:noFill/>
        <a:ln w="25400">
          <a:noFill/>
        </a:ln>
      </c:spPr>
    </c:title>
    <c:autoTitleDeleted val="0"/>
    <c:plotArea>
      <c:layout>
        <c:manualLayout>
          <c:layoutTarget val="inner"/>
          <c:xMode val="edge"/>
          <c:yMode val="edge"/>
          <c:x val="0.17711598746081506"/>
          <c:y val="0.17845484221980412"/>
          <c:w val="0.82131661442006265"/>
          <c:h val="0.40043525571273125"/>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Sheet2!$E$11</c:f>
                <c:numCache>
                  <c:formatCode>General</c:formatCode>
                  <c:ptCount val="1"/>
                  <c:pt idx="0">
                    <c:v>75.902620771617606</c:v>
                  </c:pt>
                </c:numCache>
              </c:numRef>
            </c:plus>
            <c:spPr>
              <a:ln w="12700">
                <a:solidFill>
                  <a:srgbClr val="000000"/>
                </a:solidFill>
                <a:prstDash val="solid"/>
              </a:ln>
            </c:spPr>
          </c:errBars>
          <c:val>
            <c:numRef>
              <c:f>Sheet2!$E$6</c:f>
              <c:numCache>
                <c:formatCode>0.00</c:formatCode>
                <c:ptCount val="1"/>
                <c:pt idx="0">
                  <c:v>1535.99</c:v>
                </c:pt>
              </c:numCache>
            </c:numRef>
          </c:val>
          <c:extLst>
            <c:ext xmlns:c16="http://schemas.microsoft.com/office/drawing/2014/chart" uri="{C3380CC4-5D6E-409C-BE32-E72D297353CC}">
              <c16:uniqueId val="{00000000-A7A1-4044-98BB-A2B668B883A6}"/>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Sheet2!$E$7</c:f>
              <c:numCache>
                <c:formatCode>0.00</c:formatCode>
                <c:ptCount val="1"/>
                <c:pt idx="0">
                  <c:v>0</c:v>
                </c:pt>
              </c:numCache>
            </c:numRef>
          </c:val>
          <c:extLst>
            <c:ext xmlns:c16="http://schemas.microsoft.com/office/drawing/2014/chart" uri="{C3380CC4-5D6E-409C-BE32-E72D297353CC}">
              <c16:uniqueId val="{00000001-A7A1-4044-98BB-A2B668B883A6}"/>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Sheet2!$E$13</c:f>
                <c:numCache>
                  <c:formatCode>General</c:formatCode>
                  <c:ptCount val="1"/>
                  <c:pt idx="0">
                    <c:v>118.40710126508399</c:v>
                  </c:pt>
                </c:numCache>
              </c:numRef>
            </c:plus>
            <c:spPr>
              <a:ln w="12700">
                <a:solidFill>
                  <a:srgbClr val="000000"/>
                </a:solidFill>
                <a:prstDash val="solid"/>
              </a:ln>
            </c:spPr>
          </c:errBars>
          <c:val>
            <c:numRef>
              <c:f>Sheet2!$E$8</c:f>
              <c:numCache>
                <c:formatCode>0.00</c:formatCode>
                <c:ptCount val="1"/>
                <c:pt idx="0">
                  <c:v>1082.3699999999999</c:v>
                </c:pt>
              </c:numCache>
            </c:numRef>
          </c:val>
          <c:extLst>
            <c:ext xmlns:c16="http://schemas.microsoft.com/office/drawing/2014/chart" uri="{C3380CC4-5D6E-409C-BE32-E72D297353CC}">
              <c16:uniqueId val="{00000002-A7A1-4044-98BB-A2B668B883A6}"/>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Sheet2!$E$14</c:f>
                <c:numCache>
                  <c:formatCode>General</c:formatCode>
                  <c:ptCount val="1"/>
                  <c:pt idx="0">
                    <c:v>35.816403699980903</c:v>
                  </c:pt>
                </c:numCache>
              </c:numRef>
            </c:plus>
            <c:spPr>
              <a:ln w="12700">
                <a:solidFill>
                  <a:srgbClr val="000000"/>
                </a:solidFill>
                <a:prstDash val="solid"/>
              </a:ln>
            </c:spPr>
          </c:errBars>
          <c:val>
            <c:numRef>
              <c:f>Sheet2!$E$9</c:f>
              <c:numCache>
                <c:formatCode>0.00</c:formatCode>
                <c:ptCount val="1"/>
                <c:pt idx="0">
                  <c:v>543.428</c:v>
                </c:pt>
              </c:numCache>
            </c:numRef>
          </c:val>
          <c:extLst>
            <c:ext xmlns:c16="http://schemas.microsoft.com/office/drawing/2014/chart" uri="{C3380CC4-5D6E-409C-BE32-E72D297353CC}">
              <c16:uniqueId val="{00000003-A7A1-4044-98BB-A2B668B883A6}"/>
            </c:ext>
          </c:extLst>
        </c:ser>
        <c:dLbls>
          <c:showLegendKey val="0"/>
          <c:showVal val="0"/>
          <c:showCatName val="0"/>
          <c:showSerName val="0"/>
          <c:showPercent val="0"/>
          <c:showBubbleSize val="0"/>
        </c:dLbls>
        <c:gapWidth val="150"/>
        <c:overlap val="-10"/>
        <c:axId val="59570111"/>
        <c:axId val="1"/>
      </c:barChart>
      <c:catAx>
        <c:axId val="59570111"/>
        <c:scaling>
          <c:orientation val="minMax"/>
        </c:scaling>
        <c:delete val="0"/>
        <c:axPos val="b"/>
        <c:title>
          <c:tx>
            <c:rich>
              <a:bodyPr/>
              <a:lstStyle/>
              <a:p>
                <a:pPr>
                  <a:defRPr sz="1225" b="0" i="0" u="none" strike="noStrike" baseline="0">
                    <a:solidFill>
                      <a:srgbClr val="000000"/>
                    </a:solidFill>
                    <a:latin typeface="Arial"/>
                    <a:ea typeface="Arial"/>
                    <a:cs typeface="Arial"/>
                  </a:defRPr>
                </a:pPr>
                <a:r>
                  <a:rPr lang="en-US"/>
                  <a:t>Experimental group</a:t>
                </a:r>
              </a:p>
            </c:rich>
          </c:tx>
          <c:layout>
            <c:manualLayout>
              <c:xMode val="edge"/>
              <c:yMode val="edge"/>
              <c:x val="0.4780564263322884"/>
              <c:y val="0.59303590859630029"/>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225" b="0" i="0" u="none" strike="noStrike" baseline="0">
                    <a:solidFill>
                      <a:srgbClr val="000000"/>
                    </a:solidFill>
                    <a:latin typeface="Arial"/>
                    <a:ea typeface="Arial"/>
                    <a:cs typeface="Arial"/>
                  </a:defRPr>
                </a:pPr>
                <a:r>
                  <a:rPr lang="en-US"/>
                  <a:t>Duration (sec)</a:t>
                </a:r>
              </a:p>
            </c:rich>
          </c:tx>
          <c:layout>
            <c:manualLayout>
              <c:xMode val="edge"/>
              <c:yMode val="edge"/>
              <c:x val="2.037617554858934E-2"/>
              <c:y val="0.322089227421109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225" b="0" i="0" u="none" strike="noStrike" baseline="0">
                <a:solidFill>
                  <a:srgbClr val="000000"/>
                </a:solidFill>
                <a:latin typeface="Arial"/>
                <a:ea typeface="Arial"/>
                <a:cs typeface="Arial"/>
              </a:defRPr>
            </a:pPr>
            <a:endParaRPr lang="en-US"/>
          </a:p>
        </c:txPr>
        <c:crossAx val="59570111"/>
        <c:crosses val="autoZero"/>
        <c:crossBetween val="between"/>
      </c:valAx>
      <c:spPr>
        <a:noFill/>
        <a:ln w="25400">
          <a:noFill/>
        </a:ln>
      </c:spPr>
    </c:plotArea>
    <c:legend>
      <c:legendPos val="r"/>
      <c:layout>
        <c:manualLayout>
          <c:xMode val="edge"/>
          <c:yMode val="edge"/>
          <c:x val="0.6849529780564263"/>
          <c:y val="0.12840043525571274"/>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3: Duration of tonic cyclonic in the different experimental groups. 
Values are expressed as mean +SEM, n = 5.
* = significantly different from epileptic at p&lt;0.05.
a = significantly difference from EPI + Diaz. at p&lt;0.05</a:t>
            </a:r>
          </a:p>
        </c:rich>
      </c:tx>
      <c:layout>
        <c:manualLayout>
          <c:xMode val="edge"/>
          <c:yMode val="edge"/>
          <c:x val="0.22884012539184953"/>
          <c:y val="0.6398258977149075"/>
        </c:manualLayout>
      </c:layout>
      <c:overlay val="0"/>
      <c:spPr>
        <a:noFill/>
        <a:ln w="25400">
          <a:noFill/>
        </a:ln>
      </c:spPr>
    </c:title>
    <c:autoTitleDeleted val="0"/>
    <c:plotArea>
      <c:layout>
        <c:manualLayout>
          <c:layoutTarget val="inner"/>
          <c:xMode val="edge"/>
          <c:yMode val="edge"/>
          <c:x val="0.15830721003134796"/>
          <c:y val="0.17192600652883569"/>
          <c:w val="0.84012539184952983"/>
          <c:h val="0.39934711643090315"/>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Sheet2!$F$11</c:f>
                <c:numCache>
                  <c:formatCode>General</c:formatCode>
                  <c:ptCount val="1"/>
                  <c:pt idx="0">
                    <c:v>45.371304918417302</c:v>
                  </c:pt>
                </c:numCache>
              </c:numRef>
            </c:plus>
            <c:spPr>
              <a:ln w="12700">
                <a:solidFill>
                  <a:srgbClr val="000000"/>
                </a:solidFill>
                <a:prstDash val="solid"/>
              </a:ln>
            </c:spPr>
          </c:errBars>
          <c:val>
            <c:numRef>
              <c:f>Sheet2!$F$6</c:f>
              <c:numCache>
                <c:formatCode>0.00</c:formatCode>
                <c:ptCount val="1"/>
                <c:pt idx="0">
                  <c:v>500.23</c:v>
                </c:pt>
              </c:numCache>
            </c:numRef>
          </c:val>
          <c:extLst>
            <c:ext xmlns:c16="http://schemas.microsoft.com/office/drawing/2014/chart" uri="{C3380CC4-5D6E-409C-BE32-E72D297353CC}">
              <c16:uniqueId val="{00000000-A67F-45BA-9B1A-0EB2AFF16334}"/>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Sheet2!$F$7</c:f>
              <c:numCache>
                <c:formatCode>0.00</c:formatCode>
                <c:ptCount val="1"/>
                <c:pt idx="0">
                  <c:v>0</c:v>
                </c:pt>
              </c:numCache>
            </c:numRef>
          </c:val>
          <c:extLst>
            <c:ext xmlns:c16="http://schemas.microsoft.com/office/drawing/2014/chart" uri="{C3380CC4-5D6E-409C-BE32-E72D297353CC}">
              <c16:uniqueId val="{00000001-A67F-45BA-9B1A-0EB2AFF16334}"/>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Sheet2!$F$13</c:f>
                <c:numCache>
                  <c:formatCode>General</c:formatCode>
                  <c:ptCount val="1"/>
                  <c:pt idx="0">
                    <c:v>36.5709052390011</c:v>
                  </c:pt>
                </c:numCache>
              </c:numRef>
            </c:plus>
            <c:spPr>
              <a:ln w="12700">
                <a:solidFill>
                  <a:srgbClr val="000000"/>
                </a:solidFill>
                <a:prstDash val="solid"/>
              </a:ln>
            </c:spPr>
          </c:errBars>
          <c:val>
            <c:numRef>
              <c:f>Sheet2!$F$8</c:f>
              <c:numCache>
                <c:formatCode>0.00</c:formatCode>
                <c:ptCount val="1"/>
                <c:pt idx="0">
                  <c:v>190.44</c:v>
                </c:pt>
              </c:numCache>
            </c:numRef>
          </c:val>
          <c:extLst>
            <c:ext xmlns:c16="http://schemas.microsoft.com/office/drawing/2014/chart" uri="{C3380CC4-5D6E-409C-BE32-E72D297353CC}">
              <c16:uniqueId val="{00000002-A67F-45BA-9B1A-0EB2AFF16334}"/>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Sheet2!$F$14</c:f>
                <c:numCache>
                  <c:formatCode>General</c:formatCode>
                  <c:ptCount val="1"/>
                  <c:pt idx="0">
                    <c:v>13.9008145085099</c:v>
                  </c:pt>
                </c:numCache>
              </c:numRef>
            </c:plus>
            <c:spPr>
              <a:ln w="12700">
                <a:solidFill>
                  <a:srgbClr val="000000"/>
                </a:solidFill>
                <a:prstDash val="solid"/>
              </a:ln>
            </c:spPr>
          </c:errBars>
          <c:val>
            <c:numRef>
              <c:f>Sheet2!$F$9</c:f>
              <c:numCache>
                <c:formatCode>0.00</c:formatCode>
                <c:ptCount val="1"/>
                <c:pt idx="0">
                  <c:v>112.598</c:v>
                </c:pt>
              </c:numCache>
            </c:numRef>
          </c:val>
          <c:extLst>
            <c:ext xmlns:c16="http://schemas.microsoft.com/office/drawing/2014/chart" uri="{C3380CC4-5D6E-409C-BE32-E72D297353CC}">
              <c16:uniqueId val="{00000003-A67F-45BA-9B1A-0EB2AFF16334}"/>
            </c:ext>
          </c:extLst>
        </c:ser>
        <c:dLbls>
          <c:showLegendKey val="0"/>
          <c:showVal val="0"/>
          <c:showCatName val="0"/>
          <c:showSerName val="0"/>
          <c:showPercent val="0"/>
          <c:showBubbleSize val="0"/>
        </c:dLbls>
        <c:gapWidth val="150"/>
        <c:overlap val="-10"/>
        <c:axId val="59570527"/>
        <c:axId val="1"/>
      </c:barChart>
      <c:catAx>
        <c:axId val="59570527"/>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Experimental group</a:t>
                </a:r>
              </a:p>
            </c:rich>
          </c:tx>
          <c:layout>
            <c:manualLayout>
              <c:xMode val="edge"/>
              <c:yMode val="edge"/>
              <c:x val="0.46394984326018807"/>
              <c:y val="0.58759521218715993"/>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Duration (sec)</a:t>
                </a:r>
              </a:p>
            </c:rich>
          </c:tx>
          <c:layout>
            <c:manualLayout>
              <c:xMode val="edge"/>
              <c:yMode val="edge"/>
              <c:x val="7.8369905956112845E-3"/>
              <c:y val="0.3112078346028291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9570527"/>
        <c:crosses val="autoZero"/>
        <c:crossBetween val="between"/>
      </c:valAx>
      <c:spPr>
        <a:noFill/>
        <a:ln w="25400">
          <a:noFill/>
        </a:ln>
      </c:spPr>
    </c:plotArea>
    <c:legend>
      <c:legendPos val="r"/>
      <c:layout>
        <c:manualLayout>
          <c:xMode val="edge"/>
          <c:yMode val="edge"/>
          <c:x val="0.67868338557993735"/>
          <c:y val="0.16539717083786726"/>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4 Habituation index for short term memory during the novel object recognition task in different experimental groups.</a:t>
            </a:r>
          </a:p>
        </c:rich>
      </c:tx>
      <c:layout>
        <c:manualLayout>
          <c:xMode val="edge"/>
          <c:yMode val="edge"/>
          <c:x val="0.19278996865203762"/>
          <c:y val="0.64526659412404785"/>
        </c:manualLayout>
      </c:layout>
      <c:overlay val="0"/>
      <c:spPr>
        <a:noFill/>
        <a:ln w="25400">
          <a:noFill/>
        </a:ln>
      </c:spPr>
    </c:title>
    <c:autoTitleDeleted val="0"/>
    <c:plotArea>
      <c:layout>
        <c:manualLayout>
          <c:layoutTarget val="inner"/>
          <c:xMode val="edge"/>
          <c:yMode val="edge"/>
          <c:x val="0.13636363636363635"/>
          <c:y val="0.17192600652883569"/>
          <c:w val="0.86050156739811912"/>
          <c:h val="0.42437431991294888"/>
        </c:manualLayout>
      </c:layout>
      <c:barChart>
        <c:barDir val="col"/>
        <c:grouping val="clustered"/>
        <c:varyColors val="0"/>
        <c:ser>
          <c:idx val="0"/>
          <c:order val="0"/>
          <c:tx>
            <c:strRef>
              <c:f>Sheet2!$I$6</c:f>
              <c:strCache>
                <c:ptCount val="1"/>
                <c:pt idx="0">
                  <c:v>Control</c:v>
                </c:pt>
              </c:strCache>
            </c:strRef>
          </c:tx>
          <c:spPr>
            <a:solidFill>
              <a:srgbClr val="9999FF"/>
            </a:solidFill>
            <a:ln w="12700">
              <a:solidFill>
                <a:srgbClr val="000000"/>
              </a:solidFill>
              <a:prstDash val="solid"/>
            </a:ln>
          </c:spPr>
          <c:invertIfNegative val="0"/>
          <c:errBars>
            <c:errBarType val="plus"/>
            <c:errValType val="cust"/>
            <c:noEndCap val="0"/>
            <c:plus>
              <c:numRef>
                <c:f>Sheet2!$Y$12</c:f>
                <c:numCache>
                  <c:formatCode>General</c:formatCode>
                  <c:ptCount val="1"/>
                  <c:pt idx="0">
                    <c:v>1.7680791837471499</c:v>
                  </c:pt>
                </c:numCache>
              </c:numRef>
            </c:plus>
            <c:spPr>
              <a:ln w="12700">
                <a:solidFill>
                  <a:srgbClr val="000000"/>
                </a:solidFill>
                <a:prstDash val="solid"/>
              </a:ln>
            </c:spPr>
          </c:errBars>
          <c:cat>
            <c:strRef>
              <c:f>Sheet2!$Y$5</c:f>
              <c:strCache>
                <c:ptCount val="1"/>
                <c:pt idx="0">
                  <c:v>HI-ST</c:v>
                </c:pt>
              </c:strCache>
            </c:strRef>
          </c:cat>
          <c:val>
            <c:numRef>
              <c:f>Sheet2!$Y$6</c:f>
              <c:numCache>
                <c:formatCode>0.00</c:formatCode>
                <c:ptCount val="1"/>
                <c:pt idx="0">
                  <c:v>10.532</c:v>
                </c:pt>
              </c:numCache>
            </c:numRef>
          </c:val>
          <c:extLst>
            <c:ext xmlns:c16="http://schemas.microsoft.com/office/drawing/2014/chart" uri="{C3380CC4-5D6E-409C-BE32-E72D297353CC}">
              <c16:uniqueId val="{00000000-B13F-4526-84BF-8D92C8113A8C}"/>
            </c:ext>
          </c:extLst>
        </c:ser>
        <c:ser>
          <c:idx val="1"/>
          <c:order val="1"/>
          <c:tx>
            <c:strRef>
              <c:f>Sheet2!$I$7</c:f>
              <c:strCache>
                <c:ptCount val="1"/>
                <c:pt idx="0">
                  <c:v>Epileptic</c:v>
                </c:pt>
              </c:strCache>
            </c:strRef>
          </c:tx>
          <c:spPr>
            <a:solidFill>
              <a:srgbClr val="993366"/>
            </a:solidFill>
            <a:ln w="12700">
              <a:solidFill>
                <a:srgbClr val="000000"/>
              </a:solidFill>
              <a:prstDash val="solid"/>
            </a:ln>
          </c:spPr>
          <c:invertIfNegative val="0"/>
          <c:cat>
            <c:strRef>
              <c:f>Sheet2!$Y$5</c:f>
              <c:strCache>
                <c:ptCount val="1"/>
                <c:pt idx="0">
                  <c:v>HI-ST</c:v>
                </c:pt>
              </c:strCache>
            </c:strRef>
          </c:cat>
          <c:val>
            <c:numRef>
              <c:f>Sheet2!$Y$7</c:f>
              <c:numCache>
                <c:formatCode>0.00</c:formatCode>
                <c:ptCount val="1"/>
                <c:pt idx="0">
                  <c:v>0</c:v>
                </c:pt>
              </c:numCache>
            </c:numRef>
          </c:val>
          <c:extLst>
            <c:ext xmlns:c16="http://schemas.microsoft.com/office/drawing/2014/chart" uri="{C3380CC4-5D6E-409C-BE32-E72D297353CC}">
              <c16:uniqueId val="{00000001-B13F-4526-84BF-8D92C8113A8C}"/>
            </c:ext>
          </c:extLst>
        </c:ser>
        <c:ser>
          <c:idx val="2"/>
          <c:order val="2"/>
          <c:tx>
            <c:strRef>
              <c:f>Sheet2!$I$8</c:f>
              <c:strCache>
                <c:ptCount val="1"/>
                <c:pt idx="0">
                  <c:v>EPI + DIAZ</c:v>
                </c:pt>
              </c:strCache>
            </c:strRef>
          </c:tx>
          <c:spPr>
            <a:solidFill>
              <a:srgbClr val="FFFFCC"/>
            </a:solidFill>
            <a:ln w="12700">
              <a:solidFill>
                <a:srgbClr val="000000"/>
              </a:solidFill>
              <a:prstDash val="solid"/>
            </a:ln>
          </c:spPr>
          <c:invertIfNegative val="0"/>
          <c:errBars>
            <c:errBarType val="plus"/>
            <c:errValType val="cust"/>
            <c:noEndCap val="0"/>
            <c:plus>
              <c:numRef>
                <c:f>Sheet2!$Y$14</c:f>
                <c:numCache>
                  <c:formatCode>General</c:formatCode>
                  <c:ptCount val="1"/>
                  <c:pt idx="0">
                    <c:v>1.5762023981710001</c:v>
                  </c:pt>
                </c:numCache>
              </c:numRef>
            </c:plus>
            <c:spPr>
              <a:ln w="12700">
                <a:solidFill>
                  <a:srgbClr val="000000"/>
                </a:solidFill>
                <a:prstDash val="solid"/>
              </a:ln>
            </c:spPr>
          </c:errBars>
          <c:cat>
            <c:strRef>
              <c:f>Sheet2!$Y$5</c:f>
              <c:strCache>
                <c:ptCount val="1"/>
                <c:pt idx="0">
                  <c:v>HI-ST</c:v>
                </c:pt>
              </c:strCache>
            </c:strRef>
          </c:cat>
          <c:val>
            <c:numRef>
              <c:f>Sheet2!$Y$8</c:f>
              <c:numCache>
                <c:formatCode>0.00</c:formatCode>
                <c:ptCount val="1"/>
                <c:pt idx="0">
                  <c:v>2.0579999999999998</c:v>
                </c:pt>
              </c:numCache>
            </c:numRef>
          </c:val>
          <c:extLst>
            <c:ext xmlns:c16="http://schemas.microsoft.com/office/drawing/2014/chart" uri="{C3380CC4-5D6E-409C-BE32-E72D297353CC}">
              <c16:uniqueId val="{00000002-B13F-4526-84BF-8D92C8113A8C}"/>
            </c:ext>
          </c:extLst>
        </c:ser>
        <c:ser>
          <c:idx val="3"/>
          <c:order val="3"/>
          <c:tx>
            <c:strRef>
              <c:f>Sheet2!$I$9</c:f>
              <c:strCache>
                <c:ptCount val="1"/>
                <c:pt idx="0">
                  <c:v>EPI + Extract (LD)</c:v>
                </c:pt>
              </c:strCache>
            </c:strRef>
          </c:tx>
          <c:spPr>
            <a:solidFill>
              <a:srgbClr val="CCFFFF"/>
            </a:solidFill>
            <a:ln w="12700">
              <a:solidFill>
                <a:srgbClr val="000000"/>
              </a:solidFill>
              <a:prstDash val="solid"/>
            </a:ln>
          </c:spPr>
          <c:invertIfNegative val="0"/>
          <c:errBars>
            <c:errBarType val="plus"/>
            <c:errValType val="cust"/>
            <c:noEndCap val="0"/>
            <c:plus>
              <c:numRef>
                <c:f>Sheet2!$Y$15</c:f>
                <c:numCache>
                  <c:formatCode>General</c:formatCode>
                  <c:ptCount val="1"/>
                  <c:pt idx="0">
                    <c:v>0.74935305430751398</c:v>
                  </c:pt>
                </c:numCache>
              </c:numRef>
            </c:plus>
            <c:spPr>
              <a:ln w="12700">
                <a:solidFill>
                  <a:srgbClr val="000000"/>
                </a:solidFill>
                <a:prstDash val="solid"/>
              </a:ln>
            </c:spPr>
          </c:errBars>
          <c:cat>
            <c:strRef>
              <c:f>Sheet2!$Y$5</c:f>
              <c:strCache>
                <c:ptCount val="1"/>
                <c:pt idx="0">
                  <c:v>HI-ST</c:v>
                </c:pt>
              </c:strCache>
            </c:strRef>
          </c:cat>
          <c:val>
            <c:numRef>
              <c:f>Sheet2!$Y$9</c:f>
              <c:numCache>
                <c:formatCode>0.00</c:formatCode>
                <c:ptCount val="1"/>
                <c:pt idx="0">
                  <c:v>2.21</c:v>
                </c:pt>
              </c:numCache>
            </c:numRef>
          </c:val>
          <c:extLst>
            <c:ext xmlns:c16="http://schemas.microsoft.com/office/drawing/2014/chart" uri="{C3380CC4-5D6E-409C-BE32-E72D297353CC}">
              <c16:uniqueId val="{00000003-B13F-4526-84BF-8D92C8113A8C}"/>
            </c:ext>
          </c:extLst>
        </c:ser>
        <c:ser>
          <c:idx val="4"/>
          <c:order val="4"/>
          <c:tx>
            <c:strRef>
              <c:f>Sheet2!$I$10</c:f>
              <c:strCache>
                <c:ptCount val="1"/>
                <c:pt idx="0">
                  <c:v>EPI + Extract (HD)</c:v>
                </c:pt>
              </c:strCache>
            </c:strRef>
          </c:tx>
          <c:spPr>
            <a:solidFill>
              <a:srgbClr val="660066"/>
            </a:solidFill>
            <a:ln w="12700">
              <a:solidFill>
                <a:srgbClr val="000000"/>
              </a:solidFill>
              <a:prstDash val="solid"/>
            </a:ln>
          </c:spPr>
          <c:invertIfNegative val="0"/>
          <c:errBars>
            <c:errBarType val="plus"/>
            <c:errValType val="cust"/>
            <c:noEndCap val="0"/>
            <c:plus>
              <c:numRef>
                <c:f>Sheet2!$Y$16</c:f>
                <c:numCache>
                  <c:formatCode>General</c:formatCode>
                  <c:ptCount val="1"/>
                  <c:pt idx="0">
                    <c:v>4.9244335714882004</c:v>
                  </c:pt>
                </c:numCache>
              </c:numRef>
            </c:plus>
            <c:spPr>
              <a:ln w="12700">
                <a:solidFill>
                  <a:srgbClr val="000000"/>
                </a:solidFill>
                <a:prstDash val="solid"/>
              </a:ln>
            </c:spPr>
          </c:errBars>
          <c:cat>
            <c:strRef>
              <c:f>Sheet2!$Y$5</c:f>
              <c:strCache>
                <c:ptCount val="1"/>
                <c:pt idx="0">
                  <c:v>HI-ST</c:v>
                </c:pt>
              </c:strCache>
            </c:strRef>
          </c:cat>
          <c:val>
            <c:numRef>
              <c:f>Sheet2!$Y$10</c:f>
              <c:numCache>
                <c:formatCode>0.00</c:formatCode>
                <c:ptCount val="1"/>
                <c:pt idx="0">
                  <c:v>12.236000000000001</c:v>
                </c:pt>
              </c:numCache>
            </c:numRef>
          </c:val>
          <c:extLst>
            <c:ext xmlns:c16="http://schemas.microsoft.com/office/drawing/2014/chart" uri="{C3380CC4-5D6E-409C-BE32-E72D297353CC}">
              <c16:uniqueId val="{00000004-B13F-4526-84BF-8D92C8113A8C}"/>
            </c:ext>
          </c:extLst>
        </c:ser>
        <c:dLbls>
          <c:showLegendKey val="0"/>
          <c:showVal val="0"/>
          <c:showCatName val="0"/>
          <c:showSerName val="0"/>
          <c:showPercent val="0"/>
          <c:showBubbleSize val="0"/>
        </c:dLbls>
        <c:gapWidth val="150"/>
        <c:overlap val="-10"/>
        <c:axId val="57622351"/>
        <c:axId val="1"/>
      </c:barChart>
      <c:catAx>
        <c:axId val="57622351"/>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Variable</a:t>
                </a:r>
              </a:p>
            </c:rich>
          </c:tx>
          <c:layout>
            <c:manualLayout>
              <c:xMode val="edge"/>
              <c:yMode val="edge"/>
              <c:x val="0.50156739811912221"/>
              <c:y val="0.60718171926006526"/>
            </c:manualLayout>
          </c:layout>
          <c:overlay val="0"/>
          <c:spPr>
            <a:noFill/>
            <a:ln w="25400">
              <a:noFill/>
            </a:ln>
          </c:spPr>
        </c:title>
        <c:numFmt formatCode="General" sourceLinked="1"/>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Habituation index</a:t>
                </a:r>
              </a:p>
            </c:rich>
          </c:tx>
          <c:layout>
            <c:manualLayout>
              <c:xMode val="edge"/>
              <c:yMode val="edge"/>
              <c:x val="0"/>
              <c:y val="0.3133841131664852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7622351"/>
        <c:crosses val="autoZero"/>
        <c:crossBetween val="between"/>
      </c:valAx>
      <c:spPr>
        <a:noFill/>
        <a:ln w="25400">
          <a:noFill/>
        </a:ln>
      </c:spPr>
    </c:plotArea>
    <c:legend>
      <c:legendPos val="r"/>
      <c:layout>
        <c:manualLayout>
          <c:xMode val="edge"/>
          <c:yMode val="edge"/>
          <c:x val="0.67554858934169282"/>
          <c:y val="3.1556039173014146E-2"/>
          <c:w val="0.32131661442006271"/>
          <c:h val="0.1534276387377584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5: Habituation index for long term memory during the novel object recognition task in different experimental groups.</a:t>
            </a:r>
          </a:p>
        </c:rich>
      </c:tx>
      <c:layout>
        <c:manualLayout>
          <c:xMode val="edge"/>
          <c:yMode val="edge"/>
          <c:x val="0.20532915360501566"/>
          <c:y val="0.64526659412404785"/>
        </c:manualLayout>
      </c:layout>
      <c:overlay val="0"/>
      <c:spPr>
        <a:noFill/>
        <a:ln w="25400">
          <a:noFill/>
        </a:ln>
      </c:spPr>
    </c:title>
    <c:autoTitleDeleted val="0"/>
    <c:plotArea>
      <c:layout>
        <c:manualLayout>
          <c:layoutTarget val="inner"/>
          <c:xMode val="edge"/>
          <c:yMode val="edge"/>
          <c:x val="0.14576802507836992"/>
          <c:y val="0.17301414581066377"/>
          <c:w val="0.85109717868338552"/>
          <c:h val="0.42981501632208924"/>
        </c:manualLayout>
      </c:layout>
      <c:barChart>
        <c:barDir val="col"/>
        <c:grouping val="clustered"/>
        <c:varyColors val="0"/>
        <c:ser>
          <c:idx val="0"/>
          <c:order val="0"/>
          <c:tx>
            <c:strRef>
              <c:f>Sheet2!$I$6</c:f>
              <c:strCache>
                <c:ptCount val="1"/>
                <c:pt idx="0">
                  <c:v>Control</c:v>
                </c:pt>
              </c:strCache>
            </c:strRef>
          </c:tx>
          <c:spPr>
            <a:solidFill>
              <a:srgbClr val="9999FF"/>
            </a:solidFill>
            <a:ln w="12700">
              <a:solidFill>
                <a:srgbClr val="000000"/>
              </a:solidFill>
              <a:prstDash val="solid"/>
            </a:ln>
          </c:spPr>
          <c:invertIfNegative val="0"/>
          <c:errBars>
            <c:errBarType val="plus"/>
            <c:errValType val="cust"/>
            <c:noEndCap val="0"/>
            <c:plus>
              <c:numRef>
                <c:f>Sheet2!$Z$12</c:f>
                <c:numCache>
                  <c:formatCode>General</c:formatCode>
                  <c:ptCount val="1"/>
                  <c:pt idx="0">
                    <c:v>3.4430785643083999</c:v>
                  </c:pt>
                </c:numCache>
              </c:numRef>
            </c:plus>
            <c:spPr>
              <a:ln w="12700">
                <a:solidFill>
                  <a:srgbClr val="000000"/>
                </a:solidFill>
                <a:prstDash val="solid"/>
              </a:ln>
            </c:spPr>
          </c:errBars>
          <c:cat>
            <c:strRef>
              <c:f>Sheet2!$Z$5</c:f>
              <c:strCache>
                <c:ptCount val="1"/>
                <c:pt idx="0">
                  <c:v>HI-LT</c:v>
                </c:pt>
              </c:strCache>
            </c:strRef>
          </c:cat>
          <c:val>
            <c:numRef>
              <c:f>Sheet2!$Z$6</c:f>
              <c:numCache>
                <c:formatCode>0.00</c:formatCode>
                <c:ptCount val="1"/>
                <c:pt idx="0">
                  <c:v>6.97</c:v>
                </c:pt>
              </c:numCache>
            </c:numRef>
          </c:val>
          <c:extLst>
            <c:ext xmlns:c16="http://schemas.microsoft.com/office/drawing/2014/chart" uri="{C3380CC4-5D6E-409C-BE32-E72D297353CC}">
              <c16:uniqueId val="{00000000-A5DE-4DA7-AD10-221AD9C7E9AA}"/>
            </c:ext>
          </c:extLst>
        </c:ser>
        <c:ser>
          <c:idx val="1"/>
          <c:order val="1"/>
          <c:tx>
            <c:strRef>
              <c:f>Sheet2!$I$7</c:f>
              <c:strCache>
                <c:ptCount val="1"/>
                <c:pt idx="0">
                  <c:v>Epileptic</c:v>
                </c:pt>
              </c:strCache>
            </c:strRef>
          </c:tx>
          <c:spPr>
            <a:solidFill>
              <a:srgbClr val="993366"/>
            </a:solidFill>
            <a:ln w="12700">
              <a:solidFill>
                <a:srgbClr val="000000"/>
              </a:solidFill>
              <a:prstDash val="solid"/>
            </a:ln>
          </c:spPr>
          <c:invertIfNegative val="0"/>
          <c:errBars>
            <c:errBarType val="minus"/>
            <c:errValType val="cust"/>
            <c:noEndCap val="0"/>
            <c:minus>
              <c:numRef>
                <c:f>Sheet2!$Z$13</c:f>
                <c:numCache>
                  <c:formatCode>General</c:formatCode>
                  <c:ptCount val="1"/>
                  <c:pt idx="0">
                    <c:v>3.3047066435615702</c:v>
                  </c:pt>
                </c:numCache>
              </c:numRef>
            </c:minus>
            <c:spPr>
              <a:ln w="12700">
                <a:solidFill>
                  <a:srgbClr val="000000"/>
                </a:solidFill>
                <a:prstDash val="solid"/>
              </a:ln>
            </c:spPr>
          </c:errBars>
          <c:cat>
            <c:strRef>
              <c:f>Sheet2!$Z$5</c:f>
              <c:strCache>
                <c:ptCount val="1"/>
                <c:pt idx="0">
                  <c:v>HI-LT</c:v>
                </c:pt>
              </c:strCache>
            </c:strRef>
          </c:cat>
          <c:val>
            <c:numRef>
              <c:f>Sheet2!$Z$7</c:f>
              <c:numCache>
                <c:formatCode>0.00</c:formatCode>
                <c:ptCount val="1"/>
                <c:pt idx="0">
                  <c:v>-25.853999999999999</c:v>
                </c:pt>
              </c:numCache>
            </c:numRef>
          </c:val>
          <c:extLst>
            <c:ext xmlns:c16="http://schemas.microsoft.com/office/drawing/2014/chart" uri="{C3380CC4-5D6E-409C-BE32-E72D297353CC}">
              <c16:uniqueId val="{00000001-A5DE-4DA7-AD10-221AD9C7E9AA}"/>
            </c:ext>
          </c:extLst>
        </c:ser>
        <c:ser>
          <c:idx val="2"/>
          <c:order val="2"/>
          <c:tx>
            <c:strRef>
              <c:f>Sheet2!$I$8</c:f>
              <c:strCache>
                <c:ptCount val="1"/>
                <c:pt idx="0">
                  <c:v>EPI + DIAZ</c:v>
                </c:pt>
              </c:strCache>
            </c:strRef>
          </c:tx>
          <c:spPr>
            <a:solidFill>
              <a:srgbClr val="FFFFCC"/>
            </a:solidFill>
            <a:ln w="12700">
              <a:solidFill>
                <a:srgbClr val="000000"/>
              </a:solidFill>
              <a:prstDash val="solid"/>
            </a:ln>
          </c:spPr>
          <c:invertIfNegative val="0"/>
          <c:errBars>
            <c:errBarType val="minus"/>
            <c:errValType val="cust"/>
            <c:noEndCap val="0"/>
            <c:minus>
              <c:numRef>
                <c:f>Sheet2!$Z$14</c:f>
                <c:numCache>
                  <c:formatCode>General</c:formatCode>
                  <c:ptCount val="1"/>
                  <c:pt idx="0">
                    <c:v>2.57721555171468</c:v>
                  </c:pt>
                </c:numCache>
              </c:numRef>
            </c:minus>
            <c:spPr>
              <a:ln w="12700">
                <a:solidFill>
                  <a:srgbClr val="000000"/>
                </a:solidFill>
                <a:prstDash val="solid"/>
              </a:ln>
            </c:spPr>
          </c:errBars>
          <c:cat>
            <c:strRef>
              <c:f>Sheet2!$Z$5</c:f>
              <c:strCache>
                <c:ptCount val="1"/>
                <c:pt idx="0">
                  <c:v>HI-LT</c:v>
                </c:pt>
              </c:strCache>
            </c:strRef>
          </c:cat>
          <c:val>
            <c:numRef>
              <c:f>Sheet2!$Z$8</c:f>
              <c:numCache>
                <c:formatCode>0.00</c:formatCode>
                <c:ptCount val="1"/>
                <c:pt idx="0">
                  <c:v>-4.1500000000000004</c:v>
                </c:pt>
              </c:numCache>
            </c:numRef>
          </c:val>
          <c:extLst>
            <c:ext xmlns:c16="http://schemas.microsoft.com/office/drawing/2014/chart" uri="{C3380CC4-5D6E-409C-BE32-E72D297353CC}">
              <c16:uniqueId val="{00000002-A5DE-4DA7-AD10-221AD9C7E9AA}"/>
            </c:ext>
          </c:extLst>
        </c:ser>
        <c:ser>
          <c:idx val="3"/>
          <c:order val="3"/>
          <c:tx>
            <c:strRef>
              <c:f>Sheet2!$I$9</c:f>
              <c:strCache>
                <c:ptCount val="1"/>
                <c:pt idx="0">
                  <c:v>EPI + Extract (LD)</c:v>
                </c:pt>
              </c:strCache>
            </c:strRef>
          </c:tx>
          <c:spPr>
            <a:solidFill>
              <a:srgbClr val="CCFFFF"/>
            </a:solidFill>
            <a:ln w="12700">
              <a:solidFill>
                <a:srgbClr val="000000"/>
              </a:solidFill>
              <a:prstDash val="solid"/>
            </a:ln>
          </c:spPr>
          <c:invertIfNegative val="0"/>
          <c:errBars>
            <c:errBarType val="plus"/>
            <c:errValType val="cust"/>
            <c:noEndCap val="0"/>
            <c:plus>
              <c:numRef>
                <c:f>Sheet2!$Z$15</c:f>
                <c:numCache>
                  <c:formatCode>General</c:formatCode>
                  <c:ptCount val="1"/>
                  <c:pt idx="0">
                    <c:v>2.6670440566289901</c:v>
                  </c:pt>
                </c:numCache>
              </c:numRef>
            </c:plus>
            <c:spPr>
              <a:ln w="12700">
                <a:solidFill>
                  <a:srgbClr val="000000"/>
                </a:solidFill>
                <a:prstDash val="solid"/>
              </a:ln>
            </c:spPr>
          </c:errBars>
          <c:cat>
            <c:strRef>
              <c:f>Sheet2!$Z$5</c:f>
              <c:strCache>
                <c:ptCount val="1"/>
                <c:pt idx="0">
                  <c:v>HI-LT</c:v>
                </c:pt>
              </c:strCache>
            </c:strRef>
          </c:cat>
          <c:val>
            <c:numRef>
              <c:f>Sheet2!$Z$9</c:f>
              <c:numCache>
                <c:formatCode>0.00</c:formatCode>
                <c:ptCount val="1"/>
                <c:pt idx="0">
                  <c:v>7.1379999999999999</c:v>
                </c:pt>
              </c:numCache>
            </c:numRef>
          </c:val>
          <c:extLst>
            <c:ext xmlns:c16="http://schemas.microsoft.com/office/drawing/2014/chart" uri="{C3380CC4-5D6E-409C-BE32-E72D297353CC}">
              <c16:uniqueId val="{00000003-A5DE-4DA7-AD10-221AD9C7E9AA}"/>
            </c:ext>
          </c:extLst>
        </c:ser>
        <c:ser>
          <c:idx val="4"/>
          <c:order val="4"/>
          <c:tx>
            <c:strRef>
              <c:f>Sheet2!$I$10</c:f>
              <c:strCache>
                <c:ptCount val="1"/>
                <c:pt idx="0">
                  <c:v>EPI + Extract (HD)</c:v>
                </c:pt>
              </c:strCache>
            </c:strRef>
          </c:tx>
          <c:spPr>
            <a:solidFill>
              <a:srgbClr val="660066"/>
            </a:solidFill>
            <a:ln w="12700">
              <a:solidFill>
                <a:srgbClr val="000000"/>
              </a:solidFill>
              <a:prstDash val="solid"/>
            </a:ln>
          </c:spPr>
          <c:invertIfNegative val="0"/>
          <c:errBars>
            <c:errBarType val="plus"/>
            <c:errValType val="cust"/>
            <c:noEndCap val="0"/>
            <c:plus>
              <c:numRef>
                <c:f>Sheet2!$Z$16</c:f>
                <c:numCache>
                  <c:formatCode>General</c:formatCode>
                  <c:ptCount val="1"/>
                  <c:pt idx="0">
                    <c:v>1.4293690915925099</c:v>
                  </c:pt>
                </c:numCache>
              </c:numRef>
            </c:plus>
            <c:spPr>
              <a:ln w="12700">
                <a:solidFill>
                  <a:srgbClr val="000000"/>
                </a:solidFill>
                <a:prstDash val="solid"/>
              </a:ln>
            </c:spPr>
          </c:errBars>
          <c:cat>
            <c:strRef>
              <c:f>Sheet2!$Z$5</c:f>
              <c:strCache>
                <c:ptCount val="1"/>
                <c:pt idx="0">
                  <c:v>HI-LT</c:v>
                </c:pt>
              </c:strCache>
            </c:strRef>
          </c:cat>
          <c:val>
            <c:numRef>
              <c:f>Sheet2!$Z$10</c:f>
              <c:numCache>
                <c:formatCode>0.00</c:formatCode>
                <c:ptCount val="1"/>
                <c:pt idx="0">
                  <c:v>5.1760000000000002</c:v>
                </c:pt>
              </c:numCache>
            </c:numRef>
          </c:val>
          <c:extLst>
            <c:ext xmlns:c16="http://schemas.microsoft.com/office/drawing/2014/chart" uri="{C3380CC4-5D6E-409C-BE32-E72D297353CC}">
              <c16:uniqueId val="{00000004-A5DE-4DA7-AD10-221AD9C7E9AA}"/>
            </c:ext>
          </c:extLst>
        </c:ser>
        <c:dLbls>
          <c:showLegendKey val="0"/>
          <c:showVal val="0"/>
          <c:showCatName val="0"/>
          <c:showSerName val="0"/>
          <c:showPercent val="0"/>
          <c:showBubbleSize val="0"/>
        </c:dLbls>
        <c:gapWidth val="150"/>
        <c:overlap val="-10"/>
        <c:axId val="57620271"/>
        <c:axId val="1"/>
      </c:barChart>
      <c:catAx>
        <c:axId val="57620271"/>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Variable</a:t>
                </a:r>
              </a:p>
            </c:rich>
          </c:tx>
          <c:layout>
            <c:manualLayout>
              <c:xMode val="edge"/>
              <c:yMode val="edge"/>
              <c:x val="0.5109717868338558"/>
              <c:y val="0.59738846572361259"/>
            </c:manualLayout>
          </c:layout>
          <c:overlay val="0"/>
          <c:spPr>
            <a:noFill/>
            <a:ln w="25400">
              <a:noFill/>
            </a:ln>
          </c:spPr>
        </c:title>
        <c:numFmt formatCode="General" sourceLinked="1"/>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Habituation index</a:t>
                </a:r>
              </a:p>
            </c:rich>
          </c:tx>
          <c:layout>
            <c:manualLayout>
              <c:xMode val="edge"/>
              <c:yMode val="edge"/>
              <c:x val="0"/>
              <c:y val="0.31664853101196955"/>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7620271"/>
        <c:crosses val="autoZero"/>
        <c:crossBetween val="between"/>
      </c:valAx>
      <c:spPr>
        <a:noFill/>
        <a:ln w="25400">
          <a:noFill/>
        </a:ln>
      </c:spPr>
    </c:plotArea>
    <c:legend>
      <c:legendPos val="t"/>
      <c:layout>
        <c:manualLayout>
          <c:xMode val="edge"/>
          <c:yMode val="edge"/>
          <c:x val="0.62539184952978055"/>
          <c:y val="0"/>
          <c:w val="0.32131661442006271"/>
          <c:h val="0.1534276387377584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10416</TotalTime>
  <Pages>32</Pages>
  <Words>6801</Words>
  <Characters>38766</Characters>
  <Application>Microsoft Office Word</Application>
  <DocSecurity>0</DocSecurity>
  <Lines>323</Lines>
  <Paragraphs>90</Paragraphs>
  <ScaleCrop>false</ScaleCrop>
  <Company/>
  <LinksUpToDate>false</LinksUpToDate>
  <CharactersWithSpaces>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Ifiok Bassey</dc:creator>
  <cp:lastModifiedBy>SDI 1183</cp:lastModifiedBy>
  <cp:revision>31</cp:revision>
  <dcterms:created xsi:type="dcterms:W3CDTF">2024-05-28T14:32:00Z</dcterms:created>
  <dcterms:modified xsi:type="dcterms:W3CDTF">2025-03-28T05:56:00Z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fbcc9394ca82444a80f3ddecbed01611</vt:lpwstr>
  </property>
</Properties>
</file>