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5314B" w14:textId="1970F204" w:rsidR="00163BC4" w:rsidRPr="00965C03" w:rsidRDefault="00483C28" w:rsidP="00441B6F">
      <w:pPr>
        <w:pStyle w:val="Author"/>
        <w:spacing w:line="240" w:lineRule="auto"/>
        <w:rPr>
          <w:b w:val="0"/>
          <w:bCs/>
          <w:sz w:val="32"/>
          <w:szCs w:val="18"/>
        </w:rPr>
      </w:pPr>
      <w:r w:rsidRPr="00965C03">
        <w:rPr>
          <w:b w:val="0"/>
          <w:bCs/>
          <w:sz w:val="32"/>
          <w:szCs w:val="18"/>
        </w:rPr>
        <w:t>Bridging Gaps</w:t>
      </w:r>
      <w:r w:rsidR="003954CE">
        <w:rPr>
          <w:b w:val="0"/>
          <w:bCs/>
          <w:sz w:val="32"/>
          <w:szCs w:val="18"/>
        </w:rPr>
        <w:t xml:space="preserve"> and </w:t>
      </w:r>
      <w:r w:rsidRPr="00965C03">
        <w:rPr>
          <w:b w:val="0"/>
          <w:bCs/>
          <w:sz w:val="32"/>
          <w:szCs w:val="18"/>
        </w:rPr>
        <w:t>Enhancing Smile: A Multidisciplinary Approach</w:t>
      </w:r>
    </w:p>
    <w:p w14:paraId="2A6F6C2E" w14:textId="77777777" w:rsidR="00965C03" w:rsidRPr="00A37EFB" w:rsidRDefault="00965C03" w:rsidP="00441B6F">
      <w:pPr>
        <w:pStyle w:val="Author"/>
        <w:spacing w:line="240" w:lineRule="auto"/>
        <w:rPr>
          <w:rFonts w:cs="Arial"/>
          <w:b w:val="0"/>
          <w:bCs/>
          <w:iCs/>
          <w:kern w:val="28"/>
          <w:sz w:val="48"/>
        </w:rPr>
      </w:pPr>
    </w:p>
    <w:p w14:paraId="1C3FB0FB" w14:textId="77777777" w:rsidR="00B15305" w:rsidRDefault="00B15305" w:rsidP="00441B6F">
      <w:pPr>
        <w:pStyle w:val="Copyright"/>
        <w:spacing w:after="0" w:line="240" w:lineRule="auto"/>
        <w:jc w:val="both"/>
        <w:rPr>
          <w:rFonts w:cs="Arial"/>
        </w:rPr>
      </w:pPr>
    </w:p>
    <w:p w14:paraId="767DCDBA" w14:textId="77777777" w:rsidR="00B15305" w:rsidRDefault="00B15305" w:rsidP="00441B6F">
      <w:pPr>
        <w:pStyle w:val="Copyright"/>
        <w:spacing w:after="0" w:line="240" w:lineRule="auto"/>
        <w:jc w:val="both"/>
        <w:rPr>
          <w:rFonts w:cs="Arial"/>
        </w:rPr>
      </w:pPr>
    </w:p>
    <w:p w14:paraId="674D8977" w14:textId="77777777" w:rsidR="00B15305" w:rsidRDefault="00B15305" w:rsidP="00441B6F">
      <w:pPr>
        <w:pStyle w:val="Copyright"/>
        <w:spacing w:after="0" w:line="240" w:lineRule="auto"/>
        <w:jc w:val="both"/>
        <w:rPr>
          <w:rFonts w:cs="Arial"/>
        </w:rPr>
      </w:pPr>
    </w:p>
    <w:p w14:paraId="150C3E84" w14:textId="77777777" w:rsidR="00B15305" w:rsidRDefault="00B15305" w:rsidP="00441B6F">
      <w:pPr>
        <w:pStyle w:val="Copyright"/>
        <w:spacing w:after="0" w:line="240" w:lineRule="auto"/>
        <w:jc w:val="both"/>
        <w:rPr>
          <w:rFonts w:cs="Arial"/>
        </w:rPr>
      </w:pPr>
    </w:p>
    <w:p w14:paraId="1A2A0F29" w14:textId="77777777" w:rsidR="00B15305" w:rsidRDefault="00B15305" w:rsidP="00441B6F">
      <w:pPr>
        <w:pStyle w:val="Copyright"/>
        <w:spacing w:after="0" w:line="240" w:lineRule="auto"/>
        <w:jc w:val="both"/>
        <w:rPr>
          <w:rFonts w:cs="Arial"/>
        </w:rPr>
      </w:pPr>
    </w:p>
    <w:p w14:paraId="370A2065" w14:textId="11C6FECF" w:rsidR="00B01FCD" w:rsidRPr="00FB3A86" w:rsidRDefault="00780885" w:rsidP="00441B6F">
      <w:pPr>
        <w:pStyle w:val="Copyright"/>
        <w:spacing w:after="0" w:line="240" w:lineRule="auto"/>
        <w:jc w:val="both"/>
        <w:rPr>
          <w:rFonts w:cs="Arial"/>
        </w:rPr>
        <w:sectPr w:rsidR="00B01FCD" w:rsidRPr="00FB3A86" w:rsidSect="00B1530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5406B25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1A898F0C" w14:textId="77777777" w:rsidR="00B01FCD" w:rsidRDefault="00B01FCD" w:rsidP="00441B6F">
      <w:pPr>
        <w:pStyle w:val="AbstHead"/>
        <w:spacing w:after="0"/>
        <w:jc w:val="both"/>
        <w:rPr>
          <w:rFonts w:cs="Arial"/>
        </w:rPr>
      </w:pPr>
      <w:r w:rsidRPr="00FB3A86">
        <w:rPr>
          <w:rFonts w:cs="Arial"/>
        </w:rPr>
        <w:t>ABSTRACT</w:t>
      </w:r>
      <w:r w:rsidR="0066510A">
        <w:rPr>
          <w:rFonts w:cs="Arial"/>
        </w:rPr>
        <w:t xml:space="preserve"> </w:t>
      </w:r>
    </w:p>
    <w:p w14:paraId="2A41765C"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3A00D2D" w14:textId="77777777" w:rsidTr="001E44FE">
        <w:tc>
          <w:tcPr>
            <w:tcW w:w="9576" w:type="dxa"/>
            <w:shd w:val="clear" w:color="auto" w:fill="F2F2F2"/>
          </w:tcPr>
          <w:p w14:paraId="2C666756" w14:textId="77777777" w:rsidR="002E31C9" w:rsidRPr="002E31C9" w:rsidRDefault="002E31C9" w:rsidP="002E31C9">
            <w:pPr>
              <w:jc w:val="both"/>
              <w:rPr>
                <w:rFonts w:cs="Arial"/>
              </w:rPr>
            </w:pPr>
            <w:r w:rsidRPr="002E31C9">
              <w:rPr>
                <w:rStyle w:val="Strong"/>
                <w:rFonts w:cs="Arial"/>
              </w:rPr>
              <w:t>Introduction:</w:t>
            </w:r>
            <w:r w:rsidRPr="002E31C9">
              <w:rPr>
                <w:rFonts w:cs="Arial"/>
              </w:rPr>
              <w:t xml:space="preserve"> Dental aesthetics significantly influence facial harmony and self-confidence. Gingival hyperpigmentation, high labial frenum attachment, midline diastema, and asymmetrical gingival zenith are common aesthetic concerns. Addressing these issues requires a multidisciplinary treatment approach combining periodontal surgical interventions and restorative procedures.</w:t>
            </w:r>
          </w:p>
          <w:p w14:paraId="6F9725C1" w14:textId="0CD2B5F2" w:rsidR="002E31C9" w:rsidRPr="002E31C9" w:rsidRDefault="002E31C9" w:rsidP="002E31C9">
            <w:pPr>
              <w:jc w:val="both"/>
              <w:rPr>
                <w:rFonts w:cs="Arial"/>
              </w:rPr>
            </w:pPr>
            <w:r w:rsidRPr="002E31C9">
              <w:rPr>
                <w:rStyle w:val="Strong"/>
                <w:rFonts w:cs="Arial"/>
              </w:rPr>
              <w:t>Objective:</w:t>
            </w:r>
            <w:r w:rsidRPr="002E31C9">
              <w:rPr>
                <w:rFonts w:cs="Arial"/>
              </w:rPr>
              <w:t xml:space="preserve"> This case report </w:t>
            </w:r>
            <w:r w:rsidR="00262B45" w:rsidRPr="00097B49">
              <w:rPr>
                <w:rFonts w:cs="Arial"/>
                <w:highlight w:val="cyan"/>
              </w:rPr>
              <w:t>presents</w:t>
            </w:r>
            <w:r w:rsidR="00262B45">
              <w:rPr>
                <w:rFonts w:cs="Arial"/>
              </w:rPr>
              <w:t xml:space="preserve"> a </w:t>
            </w:r>
            <w:r w:rsidRPr="002E31C9">
              <w:rPr>
                <w:rFonts w:cs="Arial"/>
              </w:rPr>
              <w:t xml:space="preserve">comprehensive treatment plan involving frenectomy, gingival depigmentation, </w:t>
            </w:r>
            <w:proofErr w:type="spellStart"/>
            <w:r w:rsidRPr="002E31C9">
              <w:rPr>
                <w:rFonts w:cs="Arial"/>
              </w:rPr>
              <w:t>gingivoplasty</w:t>
            </w:r>
            <w:proofErr w:type="spellEnd"/>
            <w:r w:rsidRPr="002E31C9">
              <w:rPr>
                <w:rFonts w:cs="Arial"/>
              </w:rPr>
              <w:t>, and veneer placement to enhance dental aesthetics and smile harmony.</w:t>
            </w:r>
          </w:p>
          <w:p w14:paraId="14906350" w14:textId="77777777" w:rsidR="002E31C9" w:rsidRPr="002E31C9" w:rsidRDefault="002E31C9" w:rsidP="002E31C9">
            <w:pPr>
              <w:jc w:val="both"/>
              <w:rPr>
                <w:rFonts w:cs="Arial"/>
              </w:rPr>
            </w:pPr>
            <w:r w:rsidRPr="002E31C9">
              <w:rPr>
                <w:rStyle w:val="Strong"/>
                <w:rFonts w:cs="Arial"/>
              </w:rPr>
              <w:t>Methodology:</w:t>
            </w:r>
            <w:r w:rsidRPr="002E31C9">
              <w:rPr>
                <w:rFonts w:cs="Arial"/>
              </w:rPr>
              <w:t xml:space="preserve"> A 22-year-old female patient presented with gingival hyperpigmentation, papilla penetrating labial frenum with midline diastema, and asymmetrical gingival zenith in upper anterior teeth region. The treatment plan included:</w:t>
            </w:r>
          </w:p>
          <w:p w14:paraId="023EB3D5" w14:textId="77777777" w:rsidR="002E31C9" w:rsidRPr="002E31C9" w:rsidRDefault="002E31C9" w:rsidP="002E31C9">
            <w:pPr>
              <w:jc w:val="both"/>
              <w:rPr>
                <w:rFonts w:cs="Arial"/>
              </w:rPr>
            </w:pPr>
            <w:r w:rsidRPr="002E31C9">
              <w:rPr>
                <w:rFonts w:cs="Arial"/>
              </w:rPr>
              <w:t>Frenectomy using the paralleling technique to address the high frenum attachment.</w:t>
            </w:r>
          </w:p>
          <w:p w14:paraId="3A859599" w14:textId="77777777" w:rsidR="002E31C9" w:rsidRPr="002E31C9" w:rsidRDefault="002E31C9" w:rsidP="002E31C9">
            <w:pPr>
              <w:jc w:val="both"/>
              <w:rPr>
                <w:rFonts w:cs="Arial"/>
              </w:rPr>
            </w:pPr>
            <w:r w:rsidRPr="002E31C9">
              <w:rPr>
                <w:rFonts w:cs="Arial"/>
              </w:rPr>
              <w:t xml:space="preserve">Gingival depigmentation using a scalpel technique combined with Vitamin E gel and platelet-rich fibrin (PRF) membrane application on contralateral quadrant </w:t>
            </w:r>
            <w:r w:rsidR="00483C28">
              <w:rPr>
                <w:rFonts w:cs="Arial"/>
              </w:rPr>
              <w:t xml:space="preserve">to </w:t>
            </w:r>
            <w:r w:rsidRPr="002E31C9">
              <w:rPr>
                <w:rFonts w:cs="Arial"/>
              </w:rPr>
              <w:t>accelerat</w:t>
            </w:r>
            <w:r w:rsidR="00483C28">
              <w:rPr>
                <w:rFonts w:cs="Arial"/>
              </w:rPr>
              <w:t xml:space="preserve">e </w:t>
            </w:r>
            <w:r w:rsidR="004737C8">
              <w:rPr>
                <w:rFonts w:cs="Arial"/>
              </w:rPr>
              <w:t>healing and less</w:t>
            </w:r>
            <w:r w:rsidRPr="002E31C9">
              <w:rPr>
                <w:rFonts w:cs="Arial"/>
              </w:rPr>
              <w:t xml:space="preserve"> discomfort. Healing assessments were conducted at </w:t>
            </w:r>
            <w:proofErr w:type="gramStart"/>
            <w:r w:rsidRPr="002E31C9">
              <w:rPr>
                <w:rFonts w:cs="Arial"/>
              </w:rPr>
              <w:t>15 and 45 days</w:t>
            </w:r>
            <w:proofErr w:type="gramEnd"/>
            <w:r w:rsidRPr="002E31C9">
              <w:rPr>
                <w:rFonts w:cs="Arial"/>
              </w:rPr>
              <w:t xml:space="preserve"> post-treatment using methylene blue staining and the Landry healing index.</w:t>
            </w:r>
          </w:p>
          <w:p w14:paraId="31C8D04C" w14:textId="77777777" w:rsidR="002E31C9" w:rsidRPr="002E31C9" w:rsidRDefault="002E31C9" w:rsidP="002E31C9">
            <w:pPr>
              <w:jc w:val="both"/>
              <w:rPr>
                <w:rFonts w:cs="Arial"/>
              </w:rPr>
            </w:pPr>
            <w:proofErr w:type="spellStart"/>
            <w:r w:rsidRPr="002E31C9">
              <w:rPr>
                <w:rFonts w:cs="Arial"/>
              </w:rPr>
              <w:t>Gingivoplasty</w:t>
            </w:r>
            <w:proofErr w:type="spellEnd"/>
            <w:r w:rsidRPr="002E31C9">
              <w:rPr>
                <w:rFonts w:cs="Arial"/>
              </w:rPr>
              <w:t xml:space="preserve"> to achi</w:t>
            </w:r>
            <w:r w:rsidR="004737C8">
              <w:rPr>
                <w:rFonts w:cs="Arial"/>
              </w:rPr>
              <w:t>eve symmetrical gingival zenith followed by v</w:t>
            </w:r>
            <w:r w:rsidRPr="002E31C9">
              <w:rPr>
                <w:rFonts w:cs="Arial"/>
              </w:rPr>
              <w:t xml:space="preserve">eneer placement with digital impressions, 3D-printed mock-ups, and lithium disilicate restorations for diastema closure. </w:t>
            </w:r>
          </w:p>
          <w:p w14:paraId="7FEBC98C" w14:textId="77777777" w:rsidR="00505F06" w:rsidRPr="00BA1B01" w:rsidRDefault="002E31C9" w:rsidP="002E31C9">
            <w:pPr>
              <w:jc w:val="both"/>
              <w:rPr>
                <w:rFonts w:eastAsia="Calibri" w:cs="Arial"/>
                <w:szCs w:val="22"/>
              </w:rPr>
            </w:pPr>
            <w:r w:rsidRPr="002E31C9">
              <w:rPr>
                <w:rStyle w:val="Strong"/>
                <w:rFonts w:cs="Arial"/>
              </w:rPr>
              <w:t>Conclusion:</w:t>
            </w:r>
            <w:r w:rsidRPr="002E31C9">
              <w:rPr>
                <w:rFonts w:cs="Arial"/>
              </w:rPr>
              <w:t xml:space="preserve"> The multidisciplinary approach effectively enhanced the patient's dental aesthetics, achieving successful diastema closure, normal color and contour of gingiva. This comprehensive approach enhanced the patient's smile, reinforcing the value of tailored treatment strategies in achieving optimal periodontal health and aesthetics.</w:t>
            </w:r>
          </w:p>
        </w:tc>
      </w:tr>
    </w:tbl>
    <w:p w14:paraId="7E264100" w14:textId="77777777" w:rsidR="00636EB2" w:rsidRDefault="00636EB2" w:rsidP="00441B6F">
      <w:pPr>
        <w:pStyle w:val="Body"/>
        <w:spacing w:after="0"/>
        <w:rPr>
          <w:rFonts w:cs="Arial"/>
          <w:i/>
        </w:rPr>
      </w:pPr>
    </w:p>
    <w:p w14:paraId="1C988C0C" w14:textId="77777777" w:rsidR="00A24E7E" w:rsidRDefault="00A24E7E" w:rsidP="00441B6F">
      <w:pPr>
        <w:pStyle w:val="Body"/>
        <w:spacing w:after="0"/>
        <w:rPr>
          <w:rFonts w:cs="Arial"/>
          <w:i/>
        </w:rPr>
      </w:pPr>
      <w:r>
        <w:rPr>
          <w:rFonts w:cs="Arial"/>
          <w:i/>
        </w:rPr>
        <w:t xml:space="preserve">Keywords: </w:t>
      </w:r>
      <w:r w:rsidR="002E31C9">
        <w:rPr>
          <w:rFonts w:cs="Arial"/>
          <w:i/>
        </w:rPr>
        <w:t>Platelet rich fibrin membrane, Vitamin E, Diastema closure,</w:t>
      </w:r>
      <w:r w:rsidR="00FE0C04">
        <w:rPr>
          <w:rFonts w:cs="Arial"/>
          <w:i/>
        </w:rPr>
        <w:t xml:space="preserve"> Gingival zenith correction,</w:t>
      </w:r>
      <w:r w:rsidR="009540B8">
        <w:rPr>
          <w:rFonts w:cs="Arial"/>
          <w:i/>
        </w:rPr>
        <w:t xml:space="preserve"> Gingival depigmentation</w:t>
      </w:r>
    </w:p>
    <w:p w14:paraId="23416354" w14:textId="77777777" w:rsidR="00790ADA" w:rsidRDefault="00790ADA" w:rsidP="00441B6F">
      <w:pPr>
        <w:pStyle w:val="Body"/>
        <w:spacing w:after="0"/>
        <w:rPr>
          <w:rFonts w:cs="Arial"/>
          <w:i/>
        </w:rPr>
      </w:pPr>
    </w:p>
    <w:p w14:paraId="1E8C657C" w14:textId="77777777"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r w:rsidR="007F7B32">
        <w:rPr>
          <w:rFonts w:cs="Arial"/>
        </w:rPr>
        <w:t xml:space="preserve"> </w:t>
      </w:r>
    </w:p>
    <w:p w14:paraId="0B1E02F8" w14:textId="77777777" w:rsidR="00790ADA" w:rsidRDefault="002E31C9" w:rsidP="001E1EC6">
      <w:pPr>
        <w:pStyle w:val="Body"/>
        <w:spacing w:after="0" w:line="276" w:lineRule="auto"/>
      </w:pPr>
      <w:r>
        <w:t xml:space="preserve">Dental aesthetics play a vital role in an individual’s overall facial harmony and self-confidence. One of the most expressive and universally recognized gestures is a smile, which reflects genuine joy and enhances facial expression. A beautiful smile is a result of three primary factors: competent lips, </w:t>
      </w:r>
      <w:r w:rsidRPr="00631651">
        <w:t>the shape, size, and alignment of teeth in the arch</w:t>
      </w:r>
      <w:r>
        <w:t>, and healthy gingival color and architecture</w:t>
      </w:r>
      <w:r w:rsidR="00A02602">
        <w:t xml:space="preserve"> (Malhotra et al., 2011)</w:t>
      </w:r>
      <w:r w:rsidR="00A96A6A">
        <w:t>.</w:t>
      </w:r>
      <w:r w:rsidR="001B4BDF" w:rsidRPr="001B4BDF">
        <w:t xml:space="preserve"> </w:t>
      </w:r>
      <w:r w:rsidR="001B4BDF">
        <w:t>The gingival display, color, form and symmetry of zenith contribute significantly to the aesthetics of a smile. In different populations, the normal gingival color varies; for instance, it appears coral pink in the British population and pale pink in the Indian population. This coloration depends largely on skin pigmentation and underlying pigments such as melanin, hemoglobin, and keratin, with melanin exerting the most influence.</w:t>
      </w:r>
      <w:r w:rsidR="001B4BDF" w:rsidRPr="00632498">
        <w:t xml:space="preserve"> </w:t>
      </w:r>
      <w:r w:rsidR="001B4BDF">
        <w:t xml:space="preserve">Excess melanin deposition leads to gingival </w:t>
      </w:r>
      <w:r w:rsidR="001B4BDF">
        <w:lastRenderedPageBreak/>
        <w:t xml:space="preserve">pigmentation, manifesting in shades ranging from </w:t>
      </w:r>
      <w:r w:rsidR="001B4BDF" w:rsidRPr="00631651">
        <w:t>blackish, bluish, to brownish</w:t>
      </w:r>
      <w:r w:rsidR="001B4BDF">
        <w:t>, which may be of aesthetic concern to patients</w:t>
      </w:r>
      <w:r w:rsidR="00A96A6A">
        <w:t xml:space="preserve"> </w:t>
      </w:r>
      <w:r w:rsidR="00A02602">
        <w:t>(Mahesh et al., 2012)</w:t>
      </w:r>
      <w:r w:rsidR="00A96A6A">
        <w:t>.</w:t>
      </w:r>
    </w:p>
    <w:p w14:paraId="19648B0F" w14:textId="77777777" w:rsidR="001B4BDF" w:rsidRDefault="001B4BDF" w:rsidP="001E1EC6">
      <w:pPr>
        <w:spacing w:line="276" w:lineRule="auto"/>
        <w:jc w:val="both"/>
      </w:pPr>
      <w:r>
        <w:t xml:space="preserve">To address gingival hyperpigmentation, a procedure known as depigmentation is performed. Various surgical techniques for gingival depigmentation include scalpel surgery, cryosurgery, electrosurgery, lasers, and radiosurgery. Alternatively, treatments such as free gingival grafts, acellular dermal matrix allografts, and plasma therapy can help </w:t>
      </w:r>
      <w:r w:rsidR="00AE3AA2">
        <w:t xml:space="preserve">to </w:t>
      </w:r>
      <w:r>
        <w:t>mask pigmentation. Non-invasive approaches, including formulations containing kojic acid, placental extract, and vitamin C derivatives, are also gaining popularity for their melanin-reducing properties</w:t>
      </w:r>
      <w:r w:rsidR="00A02602">
        <w:t xml:space="preserve"> (</w:t>
      </w:r>
      <w:r w:rsidR="009577E2">
        <w:t>Mari</w:t>
      </w:r>
      <w:r w:rsidR="00A02602">
        <w:t xml:space="preserve"> et al., 2022)</w:t>
      </w:r>
      <w:r w:rsidR="00A96A6A">
        <w:t>.</w:t>
      </w:r>
      <w:r w:rsidRPr="001B4BDF">
        <w:t xml:space="preserve"> </w:t>
      </w:r>
      <w:r>
        <w:t xml:space="preserve">The choice of treatment depends on factors such as severity, </w:t>
      </w:r>
      <w:r w:rsidRPr="00E53D21">
        <w:t>the intended purpose</w:t>
      </w:r>
      <w:r>
        <w:t>, clinician expertise, and available armamentarium.</w:t>
      </w:r>
    </w:p>
    <w:p w14:paraId="4137834F" w14:textId="77777777" w:rsidR="001B4BDF" w:rsidRDefault="001B4BDF" w:rsidP="001E1EC6">
      <w:pPr>
        <w:spacing w:line="276" w:lineRule="auto"/>
        <w:jc w:val="both"/>
      </w:pPr>
      <w:r>
        <w:t>To promote wound healing and improve patient outcomes, agents such as vitamin E, vitamin C, and platelet-rich fibrin (PRF) membranes may be used</w:t>
      </w:r>
      <w:r w:rsidR="00A02602" w:rsidRPr="00A02602">
        <w:t xml:space="preserve"> </w:t>
      </w:r>
      <w:r w:rsidR="00A02602">
        <w:t>(Debnath et al., 2018)</w:t>
      </w:r>
      <w:r w:rsidR="00A96A6A">
        <w:t>.</w:t>
      </w:r>
      <w:r>
        <w:t xml:space="preserve"> Vitamin E enhances collagen synthesis, which is crucial for the structural integrity of healing tissues.</w:t>
      </w:r>
      <w:r w:rsidR="00B53497" w:rsidRPr="00B53497">
        <w:t xml:space="preserve"> </w:t>
      </w:r>
      <w:r w:rsidR="00B53497">
        <w:t>(Bansal et al., 2016)</w:t>
      </w:r>
      <w:r w:rsidR="00A96A6A">
        <w:t xml:space="preserve"> </w:t>
      </w:r>
      <w:r>
        <w:t>Additionally, it plays a role in immune function and inflammatory regulation, aiding in the transition from the inflammatory phase to the proliferative phase of wound healing, where new tissue formation occurs</w:t>
      </w:r>
      <w:r w:rsidR="00105C55">
        <w:t xml:space="preserve"> (Malhotra et al., 2011).</w:t>
      </w:r>
      <w:r>
        <w:t xml:space="preserve"> These properties make vitamin E particularly beneficial for wounds resulting from gingival depigmentation</w:t>
      </w:r>
      <w:r w:rsidR="008D5B85">
        <w:t xml:space="preserve"> (Sanadi et al., 2015). </w:t>
      </w:r>
      <w:r>
        <w:t xml:space="preserve">Similarly, PRF membranes act as bioactive scaffolds, facilitating wound healing by gradually releasing growth factors that promote cell proliferation, migration, and </w:t>
      </w:r>
      <w:r w:rsidR="008D5B85">
        <w:t>angiogenesis (Gill et al., 1998)</w:t>
      </w:r>
      <w:r>
        <w:t>.</w:t>
      </w:r>
      <w:r w:rsidR="008D5B85">
        <w:t xml:space="preserve"> </w:t>
      </w:r>
      <w:r>
        <w:t xml:space="preserve">These growth factors, including platelet-derived growth factors (PDGFs), stimulate fibroblast and endothelial cell activity, enhancing tissue </w:t>
      </w:r>
      <w:r w:rsidR="008D5B85">
        <w:t>regeneration (Singer et al., 1999).</w:t>
      </w:r>
      <w:r>
        <w:t xml:space="preserve"> </w:t>
      </w:r>
    </w:p>
    <w:p w14:paraId="09B544C5" w14:textId="77777777" w:rsidR="008D5B85" w:rsidRDefault="001B4BDF" w:rsidP="001E1EC6">
      <w:pPr>
        <w:spacing w:line="276" w:lineRule="auto"/>
        <w:jc w:val="both"/>
      </w:pPr>
      <w:r w:rsidRPr="00E53D21">
        <w:t>Another crucial aspect of dental aesthetics is the management of midline diastema</w:t>
      </w:r>
      <w:r w:rsidR="000F1E9E">
        <w:t xml:space="preserve"> which is defined as the</w:t>
      </w:r>
      <w:r w:rsidRPr="00E53D21">
        <w:t xml:space="preserve"> space greater than 0.5 mm between the proximal surfaces of adjacent central incisors.</w:t>
      </w:r>
      <w:r>
        <w:t xml:space="preserve"> While midline diastema is often a normal occurrence during the mixed dentition phase, it may persist due to factors such as high labial frenal attachment, </w:t>
      </w:r>
      <w:proofErr w:type="spellStart"/>
      <w:r>
        <w:t>mesiodens</w:t>
      </w:r>
      <w:proofErr w:type="spellEnd"/>
      <w:r>
        <w:t>, or pathologic migration resulting from periodontal disease. Among these, an abnormal frenum attachment, particularly the papillary or papilla-penetrating labial frenum, is a frequent etiological factor</w:t>
      </w:r>
      <w:r w:rsidR="008D5B85">
        <w:t xml:space="preserve"> (Korkut et al., 2016)</w:t>
      </w:r>
      <w:r>
        <w:t>.</w:t>
      </w:r>
    </w:p>
    <w:p w14:paraId="0A1BEF98" w14:textId="5331E380" w:rsidR="001B4BDF" w:rsidRDefault="001B4BDF" w:rsidP="001E1EC6">
      <w:pPr>
        <w:spacing w:line="276" w:lineRule="auto"/>
        <w:jc w:val="both"/>
      </w:pPr>
      <w:r>
        <w:t>Treatment of high frenum attachment involves a surgical procedure known as frenectomy or frenotomy, depending on the level of attachment. In cases where the frenum is causing excessive tension on the gingiva and contributing to diastema, frenectomy is performed using scalpel, laser, or electrosurgical techniques. This procedure excises the frenum, reducing its pull on the gingiva and facilitating orthodontic or restorative diastema closure.</w:t>
      </w:r>
      <w:r w:rsidRPr="00BA15E8">
        <w:t xml:space="preserve"> </w:t>
      </w:r>
      <w:r>
        <w:t>In instances where the diastema is due to an underlying pathology, such as a supernumerary tooth (</w:t>
      </w:r>
      <w:proofErr w:type="spellStart"/>
      <w:r>
        <w:t>mesiodens</w:t>
      </w:r>
      <w:proofErr w:type="spellEnd"/>
      <w:r>
        <w:t>), extraction and subsequent space management are necessary to achieve optimal results</w:t>
      </w:r>
      <w:r w:rsidR="004E0D9B">
        <w:t xml:space="preserve"> </w:t>
      </w:r>
      <w:r w:rsidR="004E0D9B" w:rsidRPr="004E0D9B">
        <w:rPr>
          <w:highlight w:val="cyan"/>
        </w:rPr>
        <w:t>(Verma et al., 2019)</w:t>
      </w:r>
      <w:r>
        <w:t>.</w:t>
      </w:r>
    </w:p>
    <w:p w14:paraId="6CC34C45" w14:textId="6A47939E" w:rsidR="001B4BDF" w:rsidRDefault="001B4BDF" w:rsidP="001E1EC6">
      <w:pPr>
        <w:spacing w:line="276" w:lineRule="auto"/>
        <w:jc w:val="both"/>
      </w:pPr>
      <w:r>
        <w:t xml:space="preserve">In conclusion, dental aesthetics extend beyond tooth alignment to encompass gingival health, hyperpigmentation management, and the correction of anomalies such as high frenum attachment, midline diastema </w:t>
      </w:r>
      <w:r w:rsidRPr="00E53D21">
        <w:t>and asymmetrical zenith correction followed by restorative procedure</w:t>
      </w:r>
      <w:r>
        <w:t xml:space="preserve">s. Through advanced surgical and restorative </w:t>
      </w:r>
      <w:r w:rsidR="00ED6CFA" w:rsidRPr="00ED6CFA">
        <w:t>procedures</w:t>
      </w:r>
      <w:r w:rsidRPr="000F1E9E">
        <w:rPr>
          <w:b/>
        </w:rPr>
        <w:t>,</w:t>
      </w:r>
      <w:r>
        <w:t xml:space="preserve"> clinicians can enhance </w:t>
      </w:r>
      <w:r w:rsidR="004E0D9B" w:rsidRPr="004E0D9B">
        <w:rPr>
          <w:highlight w:val="cyan"/>
        </w:rPr>
        <w:t>the overall harmony of the patient’s smile</w:t>
      </w:r>
      <w:r>
        <w:t>, boosting patient confidence and improving oral health.</w:t>
      </w:r>
    </w:p>
    <w:p w14:paraId="1B51D9CC" w14:textId="77777777" w:rsidR="001B4BDF" w:rsidRPr="00FB3A86" w:rsidRDefault="001B4BDF" w:rsidP="001B4BDF">
      <w:pPr>
        <w:pStyle w:val="Body"/>
        <w:spacing w:after="0" w:line="276" w:lineRule="auto"/>
        <w:rPr>
          <w:rFonts w:cs="Arial"/>
        </w:rPr>
      </w:pPr>
    </w:p>
    <w:p w14:paraId="2E1D1BC9" w14:textId="77777777" w:rsidR="007F7B32" w:rsidRDefault="00902823" w:rsidP="00441B6F">
      <w:pPr>
        <w:pStyle w:val="AbstHead"/>
        <w:spacing w:after="0"/>
        <w:jc w:val="both"/>
        <w:rPr>
          <w:rFonts w:cs="Arial"/>
        </w:rPr>
      </w:pPr>
      <w:r>
        <w:rPr>
          <w:rFonts w:cs="Arial"/>
        </w:rPr>
        <w:lastRenderedPageBreak/>
        <w:t xml:space="preserve">2. </w:t>
      </w:r>
      <w:r w:rsidR="001B4BDF">
        <w:t>CASE PRESENTATION</w:t>
      </w:r>
    </w:p>
    <w:p w14:paraId="2DBFBC19" w14:textId="77777777" w:rsidR="00790ADA" w:rsidRPr="00FB3A86" w:rsidRDefault="00790ADA" w:rsidP="00441B6F">
      <w:pPr>
        <w:pStyle w:val="AbstHead"/>
        <w:spacing w:after="0"/>
        <w:jc w:val="both"/>
        <w:rPr>
          <w:rFonts w:cs="Arial"/>
        </w:rPr>
      </w:pPr>
    </w:p>
    <w:p w14:paraId="2F9FC8E6" w14:textId="77777777" w:rsidR="001B4BDF" w:rsidRDefault="001B4BDF" w:rsidP="001E1EC6">
      <w:pPr>
        <w:spacing w:line="276" w:lineRule="auto"/>
        <w:jc w:val="both"/>
      </w:pPr>
      <w:r>
        <w:t>A 22-year-old systemically healthy female patient visited the department of periodontology with a chief complaint of brownish discoloration of gums (</w:t>
      </w:r>
      <w:r>
        <w:fldChar w:fldCharType="begin"/>
      </w:r>
      <w:r>
        <w:instrText xml:space="preserve"> REF _Ref190209147 \h  \* MERGEFORMAT </w:instrText>
      </w:r>
      <w:r>
        <w:fldChar w:fldCharType="separate"/>
      </w:r>
      <w:r>
        <w:t xml:space="preserve">Figure </w:t>
      </w:r>
      <w:r>
        <w:rPr>
          <w:noProof/>
        </w:rPr>
        <w:t>1</w:t>
      </w:r>
      <w:r>
        <w:fldChar w:fldCharType="end"/>
      </w:r>
      <w:r>
        <w:t>).</w:t>
      </w:r>
      <w:r w:rsidRPr="00E57AC4">
        <w:t xml:space="preserve"> </w:t>
      </w:r>
      <w:r>
        <w:t xml:space="preserve">She also complained of spacing between her two front teeth in </w:t>
      </w:r>
      <w:r w:rsidRPr="00E53D21">
        <w:rPr>
          <w:color w:val="000000" w:themeColor="text1"/>
        </w:rPr>
        <w:t xml:space="preserve">upper anterior </w:t>
      </w:r>
      <w:r w:rsidRPr="00764B7E">
        <w:t>t</w:t>
      </w:r>
      <w:r w:rsidR="00764B7E" w:rsidRPr="00764B7E">
        <w:t>ee</w:t>
      </w:r>
      <w:r w:rsidRPr="00764B7E">
        <w:t>th r</w:t>
      </w:r>
      <w:r>
        <w:t xml:space="preserve">egion and </w:t>
      </w:r>
      <w:r w:rsidRPr="00E53D21">
        <w:t>uneven gingival margin</w:t>
      </w:r>
      <w:r>
        <w:t>. Intraoral examination revealed hyper pigmentation of gingiva extending from molar of one side to the contralateral side along with a papillary penetrating maxillary frenal attachment consequently leading to the presence of a midline diastema</w:t>
      </w:r>
      <w:r>
        <w:rPr>
          <w:color w:val="FF0000"/>
        </w:rPr>
        <w:t xml:space="preserve"> </w:t>
      </w:r>
      <w:r w:rsidRPr="00E53D21">
        <w:rPr>
          <w:color w:val="000000" w:themeColor="text1"/>
        </w:rPr>
        <w:t>and asymmetrical gingival zenith of maxillary central incisors.</w:t>
      </w:r>
      <w:r>
        <w:rPr>
          <w:color w:val="FF0000"/>
        </w:rPr>
        <w:t xml:space="preserve"> </w:t>
      </w:r>
      <w:r>
        <w:t>The treatment plan that was formulated encompassed,</w:t>
      </w:r>
    </w:p>
    <w:p w14:paraId="1FEAF3C7"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r w:rsidRPr="001B4BDF">
        <w:rPr>
          <w:rFonts w:ascii="Arial" w:hAnsi="Arial" w:cs="Arial"/>
          <w:sz w:val="20"/>
          <w:szCs w:val="20"/>
        </w:rPr>
        <w:t>Frenectomy i.r.t 11and 21.</w:t>
      </w:r>
    </w:p>
    <w:p w14:paraId="1396D311"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r w:rsidRPr="001B4BDF">
        <w:rPr>
          <w:rFonts w:ascii="Arial" w:hAnsi="Arial" w:cs="Arial"/>
          <w:sz w:val="20"/>
          <w:szCs w:val="20"/>
        </w:rPr>
        <w:t>Gingival Depigmentation i.r.t 13,12,11,21,22,23.</w:t>
      </w:r>
    </w:p>
    <w:p w14:paraId="1C2BE861"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proofErr w:type="spellStart"/>
      <w:r w:rsidRPr="001B4BDF">
        <w:rPr>
          <w:rFonts w:ascii="Arial" w:hAnsi="Arial" w:cs="Arial"/>
          <w:sz w:val="20"/>
          <w:szCs w:val="20"/>
        </w:rPr>
        <w:t>Gingivoplasty</w:t>
      </w:r>
      <w:proofErr w:type="spellEnd"/>
      <w:r w:rsidRPr="001B4BDF">
        <w:rPr>
          <w:rFonts w:ascii="Arial" w:hAnsi="Arial" w:cs="Arial"/>
          <w:sz w:val="20"/>
          <w:szCs w:val="20"/>
        </w:rPr>
        <w:t xml:space="preserve"> i.r.t 12,11,21,22.</w:t>
      </w:r>
    </w:p>
    <w:p w14:paraId="5B7E835D" w14:textId="77777777" w:rsidR="00B95236" w:rsidRPr="001B4BDF" w:rsidRDefault="001B4BDF" w:rsidP="001B4BDF">
      <w:pPr>
        <w:pStyle w:val="Body"/>
        <w:numPr>
          <w:ilvl w:val="0"/>
          <w:numId w:val="34"/>
        </w:numPr>
        <w:spacing w:after="0" w:line="276" w:lineRule="auto"/>
        <w:ind w:left="709"/>
        <w:rPr>
          <w:rFonts w:cs="Arial"/>
        </w:rPr>
      </w:pPr>
      <w:r w:rsidRPr="001B4BDF">
        <w:rPr>
          <w:rFonts w:cs="Arial"/>
        </w:rPr>
        <w:t>Prosthetic rehabilitation using veneers i.r.t 12,11,21,22.</w:t>
      </w:r>
    </w:p>
    <w:p w14:paraId="1F82747C" w14:textId="77777777" w:rsidR="00790ADA" w:rsidRDefault="00790ADA" w:rsidP="00441B6F">
      <w:pPr>
        <w:pStyle w:val="Body"/>
        <w:spacing w:after="0"/>
        <w:rPr>
          <w:rFonts w:cs="Arial"/>
        </w:rPr>
      </w:pPr>
    </w:p>
    <w:p w14:paraId="6ABB6986" w14:textId="77777777" w:rsidR="001B4BDF" w:rsidRDefault="001B4BDF" w:rsidP="001B4BDF">
      <w:pPr>
        <w:jc w:val="center"/>
      </w:pPr>
      <w:r w:rsidRPr="005F0CCF">
        <w:rPr>
          <w:noProof/>
        </w:rPr>
        <w:drawing>
          <wp:inline distT="0" distB="0" distL="0" distR="0" wp14:anchorId="1FF5D482" wp14:editId="34E64B94">
            <wp:extent cx="2160506" cy="1440000"/>
            <wp:effectExtent l="19050" t="19050" r="11430" b="27305"/>
            <wp:docPr id="1" name="Picture 1" descr="D:\CR\NEHA BAUDH\SELECTED\darktable_exported\FRONT\20240926_12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R\NEHA BAUDH\SELECTED\darktable_exported\FRONT\20240926_121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506" cy="1440000"/>
                    </a:xfrm>
                    <a:prstGeom prst="rect">
                      <a:avLst/>
                    </a:prstGeom>
                    <a:noFill/>
                    <a:ln>
                      <a:solidFill>
                        <a:schemeClr val="tx1"/>
                      </a:solidFill>
                    </a:ln>
                  </pic:spPr>
                </pic:pic>
              </a:graphicData>
            </a:graphic>
          </wp:inline>
        </w:drawing>
      </w:r>
    </w:p>
    <w:p w14:paraId="32CC2787" w14:textId="77777777" w:rsidR="001B4BDF" w:rsidRDefault="001B4BDF" w:rsidP="001B4BDF">
      <w:pPr>
        <w:jc w:val="center"/>
      </w:pPr>
      <w:bookmarkStart w:id="0" w:name="_Ref190209147"/>
      <w:r>
        <w:t xml:space="preserve">Figure </w:t>
      </w:r>
      <w:r w:rsidR="00780885">
        <w:fldChar w:fldCharType="begin"/>
      </w:r>
      <w:r w:rsidR="00780885">
        <w:instrText xml:space="preserve"> SEQ Figure \* ARABIC </w:instrText>
      </w:r>
      <w:r w:rsidR="00780885">
        <w:fldChar w:fldCharType="separate"/>
      </w:r>
      <w:r>
        <w:rPr>
          <w:noProof/>
        </w:rPr>
        <w:t>1</w:t>
      </w:r>
      <w:r w:rsidR="00780885">
        <w:rPr>
          <w:noProof/>
        </w:rPr>
        <w:fldChar w:fldCharType="end"/>
      </w:r>
      <w:bookmarkEnd w:id="0"/>
      <w:r>
        <w:t>: Pre-operative view</w:t>
      </w:r>
    </w:p>
    <w:p w14:paraId="5D152475" w14:textId="77777777" w:rsidR="00790ADA" w:rsidRPr="00FB3A86" w:rsidRDefault="00790ADA" w:rsidP="00441B6F">
      <w:pPr>
        <w:pStyle w:val="Body"/>
        <w:spacing w:after="0"/>
        <w:rPr>
          <w:rFonts w:cs="Arial"/>
        </w:rPr>
      </w:pPr>
    </w:p>
    <w:p w14:paraId="0F24821C" w14:textId="77777777" w:rsidR="001B4BDF" w:rsidRDefault="00AA74E0" w:rsidP="00441B6F">
      <w:pPr>
        <w:pStyle w:val="Body"/>
        <w:spacing w:after="0"/>
        <w:rPr>
          <w:rFonts w:cs="Arial"/>
          <w:b/>
          <w:sz w:val="22"/>
        </w:rPr>
      </w:pPr>
      <w:r w:rsidRPr="00C30A0F">
        <w:rPr>
          <w:rFonts w:cs="Arial"/>
          <w:b/>
          <w:caps/>
          <w:sz w:val="22"/>
        </w:rPr>
        <w:t xml:space="preserve">2.1 </w:t>
      </w:r>
      <w:r w:rsidR="001B4BDF" w:rsidRPr="001B4BDF">
        <w:rPr>
          <w:b/>
          <w:sz w:val="22"/>
        </w:rPr>
        <w:t>Preoperative protocol</w:t>
      </w:r>
    </w:p>
    <w:p w14:paraId="06A02B57" w14:textId="77777777" w:rsidR="00AA74E0" w:rsidRDefault="001B4BDF" w:rsidP="001B4BDF">
      <w:pPr>
        <w:pStyle w:val="Body"/>
        <w:spacing w:after="0" w:line="276" w:lineRule="auto"/>
        <w:rPr>
          <w:rFonts w:cs="Arial"/>
        </w:rPr>
      </w:pPr>
      <w:r>
        <w:t>Before performing the surgical procedure, the entire treatment plan was thoroughly explained to the patient, and informed written consent was obtained. The preoperative protocol comprised of Phase I therapy, wherein professional mechanical plaque removal was carried out, followed by Phase IV maintenance therapy.</w:t>
      </w:r>
      <w:r w:rsidR="00AA74E0" w:rsidRPr="00FB3A86">
        <w:rPr>
          <w:rFonts w:cs="Arial"/>
        </w:rPr>
        <w:t xml:space="preserve">  </w:t>
      </w:r>
    </w:p>
    <w:p w14:paraId="49AB60CD" w14:textId="77777777" w:rsidR="001B4BDF" w:rsidRDefault="001B4BDF" w:rsidP="001B4BDF">
      <w:pPr>
        <w:pStyle w:val="Body"/>
        <w:spacing w:after="0" w:line="276" w:lineRule="auto"/>
        <w:rPr>
          <w:rFonts w:cs="Arial"/>
        </w:rPr>
      </w:pPr>
    </w:p>
    <w:p w14:paraId="4EAD7B27" w14:textId="77777777" w:rsidR="001B4BDF" w:rsidRPr="001B4BDF" w:rsidRDefault="001B4BDF" w:rsidP="001B4BDF">
      <w:pPr>
        <w:rPr>
          <w:b/>
          <w:sz w:val="22"/>
          <w:szCs w:val="24"/>
        </w:rPr>
      </w:pPr>
      <w:r w:rsidRPr="001B4BDF">
        <w:rPr>
          <w:rFonts w:cs="Arial"/>
          <w:b/>
          <w:caps/>
          <w:sz w:val="22"/>
          <w:szCs w:val="24"/>
        </w:rPr>
        <w:t xml:space="preserve">2.2 </w:t>
      </w:r>
      <w:r w:rsidRPr="001B4BDF">
        <w:rPr>
          <w:b/>
          <w:sz w:val="22"/>
          <w:szCs w:val="24"/>
        </w:rPr>
        <w:t>Frenectomy</w:t>
      </w:r>
    </w:p>
    <w:p w14:paraId="705A6979" w14:textId="63D3D60B" w:rsidR="001B4BDF" w:rsidRDefault="001B4BDF" w:rsidP="001E1EC6">
      <w:pPr>
        <w:spacing w:line="276" w:lineRule="auto"/>
        <w:jc w:val="both"/>
      </w:pPr>
      <w:r w:rsidRPr="004F71BC">
        <w:t xml:space="preserve">After Phase I evaluation, </w:t>
      </w:r>
      <w:r>
        <w:t>f</w:t>
      </w:r>
      <w:r w:rsidRPr="004F71BC">
        <w:t>renectomy was planned using paralleling technique</w:t>
      </w:r>
      <w:r w:rsidR="00202628">
        <w:t xml:space="preserve"> </w:t>
      </w:r>
      <w:r w:rsidRPr="004F71BC">
        <w:t>(</w:t>
      </w:r>
      <w:proofErr w:type="spellStart"/>
      <w:r w:rsidRPr="004F71BC">
        <w:rPr>
          <w:b/>
        </w:rPr>
        <w:t>Abullais</w:t>
      </w:r>
      <w:proofErr w:type="spellEnd"/>
      <w:r w:rsidRPr="004F71BC">
        <w:rPr>
          <w:b/>
        </w:rPr>
        <w:t xml:space="preserve"> et al.</w:t>
      </w:r>
      <w:r w:rsidR="008D5B85">
        <w:rPr>
          <w:b/>
        </w:rPr>
        <w:t>,</w:t>
      </w:r>
      <w:r w:rsidRPr="004F71BC">
        <w:rPr>
          <w:b/>
        </w:rPr>
        <w:t xml:space="preserve"> 2016</w:t>
      </w:r>
      <w:r w:rsidR="008D5B85">
        <w:t>)</w:t>
      </w:r>
      <w:r w:rsidRPr="004F71BC">
        <w:t>.</w:t>
      </w:r>
      <w:r>
        <w:t xml:space="preserve"> </w:t>
      </w:r>
      <w:r w:rsidRPr="004F71BC">
        <w:t>2% lignocaine with epinephrine (1:80000) local anesthetic was administered at the surgical sites. The frenum was</w:t>
      </w:r>
      <w:r w:rsidRPr="00E53D21">
        <w:rPr>
          <w:color w:val="000000" w:themeColor="text1"/>
        </w:rPr>
        <w:t xml:space="preserve"> retracted</w:t>
      </w:r>
      <w:r w:rsidRPr="004F71BC">
        <w:t xml:space="preserve">, and two parallel incisions were made along its ridge using a number 15 blade. After the initial incision, the frenum was excised by making releasing incisions at both its upper and lower margins </w:t>
      </w:r>
      <w:r w:rsidR="002B56D8">
        <w:t>(</w:t>
      </w:r>
      <w:r w:rsidRPr="004F71BC">
        <w:t xml:space="preserve">Figure 2 </w:t>
      </w:r>
      <w:r w:rsidR="008D5B85">
        <w:t>(</w:t>
      </w:r>
      <w:r w:rsidRPr="004F71BC">
        <w:t>b</w:t>
      </w:r>
      <w:r w:rsidR="008D5B85">
        <w:t>)</w:t>
      </w:r>
      <w:r w:rsidR="002B56D8">
        <w:t>)</w:t>
      </w:r>
      <w:r w:rsidRPr="004F71BC">
        <w:t xml:space="preserve">, followed by a deep dissection to </w:t>
      </w:r>
      <w:r w:rsidR="004E0D9B" w:rsidRPr="004E0D9B">
        <w:rPr>
          <w:highlight w:val="cyan"/>
        </w:rPr>
        <w:t>release</w:t>
      </w:r>
      <w:r w:rsidRPr="004F71BC">
        <w:t xml:space="preserve"> all the muscle fiber attachments. The incision was extended onto the palatal aspect to excise the frenum in entirety </w:t>
      </w:r>
      <w:r w:rsidR="002B56D8">
        <w:t>(</w:t>
      </w:r>
      <w:r w:rsidRPr="004F71BC">
        <w:t xml:space="preserve">Figure 2 </w:t>
      </w:r>
      <w:r w:rsidR="008D5B85">
        <w:t>(</w:t>
      </w:r>
      <w:r w:rsidRPr="004F71BC">
        <w:t>c</w:t>
      </w:r>
      <w:r w:rsidR="008D5B85">
        <w:t>)</w:t>
      </w:r>
      <w:r w:rsidR="002B56D8">
        <w:t>)</w:t>
      </w:r>
      <w:r w:rsidRPr="004F71BC">
        <w:t xml:space="preserve">. Interrupted sutures were taken using 4-0 </w:t>
      </w:r>
      <w:proofErr w:type="spellStart"/>
      <w:r>
        <w:t>Vicryl</w:t>
      </w:r>
      <w:proofErr w:type="spellEnd"/>
      <w:r>
        <w:t xml:space="preserve"> </w:t>
      </w:r>
      <w:r w:rsidRPr="004F71BC">
        <w:t xml:space="preserve">to achieve healing via primary intention </w:t>
      </w:r>
      <w:r w:rsidR="002B56D8">
        <w:t>(</w:t>
      </w:r>
      <w:r w:rsidRPr="004F71BC">
        <w:t xml:space="preserve">Figure 2 </w:t>
      </w:r>
      <w:r w:rsidR="008D5B85">
        <w:t>(</w:t>
      </w:r>
      <w:r w:rsidRPr="004F71BC">
        <w:t>d</w:t>
      </w:r>
      <w:r w:rsidR="008D5B85">
        <w:t>)</w:t>
      </w:r>
      <w:r w:rsidR="002B56D8">
        <w:t>)</w:t>
      </w:r>
      <w:r>
        <w:t xml:space="preserve"> and p</w:t>
      </w:r>
      <w:r w:rsidRPr="004F71BC">
        <w:t xml:space="preserve">eriodontal </w:t>
      </w:r>
      <w:r>
        <w:t xml:space="preserve">pack was applied. </w:t>
      </w:r>
      <w:r w:rsidRPr="004F71BC">
        <w:t>Suture removal was done after 7 days. The patient was instructed no</w:t>
      </w:r>
      <w:r>
        <w:t>t to brush on the surgical area and</w:t>
      </w:r>
      <w:r w:rsidRPr="004F71BC">
        <w:t xml:space="preserve"> to </w:t>
      </w:r>
      <w:r>
        <w:t>rinse</w:t>
      </w:r>
      <w:r w:rsidRPr="004F71BC">
        <w:t xml:space="preserve"> </w:t>
      </w:r>
      <w:r>
        <w:t xml:space="preserve">the </w:t>
      </w:r>
      <w:r w:rsidRPr="004F71BC">
        <w:t>mouth using chlorhexidine gluconate (0.2%) mouthwash twice daily for 14 days.</w:t>
      </w:r>
    </w:p>
    <w:p w14:paraId="578D2CC9" w14:textId="77777777" w:rsidR="00D81715" w:rsidRDefault="001B4BDF" w:rsidP="00D81715">
      <w:pPr>
        <w:jc w:val="center"/>
      </w:pPr>
      <w:r w:rsidRPr="00F1317F">
        <w:rPr>
          <w:noProof/>
        </w:rPr>
        <w:lastRenderedPageBreak/>
        <w:drawing>
          <wp:inline distT="0" distB="0" distL="0" distR="0" wp14:anchorId="01EE4A21" wp14:editId="2D9E93E7">
            <wp:extent cx="2167280" cy="1440000"/>
            <wp:effectExtent l="19050" t="19050" r="4445" b="8255"/>
            <wp:docPr id="4" name="Picture 4" descr="D:\CR\NEHA BAUDH\SELECTED\darktable_exported\FRENECTOMY\CML\PRE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NEHA BAUDH\SELECTED\darktable_exported\FRENECTOMY\CML\PRE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7280" cy="1440000"/>
                    </a:xfrm>
                    <a:prstGeom prst="rect">
                      <a:avLst/>
                    </a:prstGeom>
                    <a:noFill/>
                    <a:ln>
                      <a:solidFill>
                        <a:schemeClr val="tx1"/>
                      </a:solidFill>
                    </a:ln>
                  </pic:spPr>
                </pic:pic>
              </a:graphicData>
            </a:graphic>
          </wp:inline>
        </w:drawing>
      </w:r>
      <w:r w:rsidR="008E4453">
        <w:tab/>
      </w:r>
      <w:r w:rsidR="008E4453">
        <w:tab/>
      </w:r>
      <w:r w:rsidRPr="00F1317F">
        <w:rPr>
          <w:noProof/>
        </w:rPr>
        <w:drawing>
          <wp:inline distT="0" distB="0" distL="0" distR="0" wp14:anchorId="379CDC70" wp14:editId="17C1852A">
            <wp:extent cx="2165580" cy="1440000"/>
            <wp:effectExtent l="19050" t="19050" r="6350" b="8255"/>
            <wp:docPr id="3" name="Picture 3" descr="D:\CR\NEHA BAUDH\SELECTED\darktable_exported\FRENECTOMY\CML\IN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R\NEHA BAUDH\SELECTED\darktable_exported\FRENECTOMY\CML\INCIS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5580" cy="1440000"/>
                    </a:xfrm>
                    <a:prstGeom prst="rect">
                      <a:avLst/>
                    </a:prstGeom>
                    <a:noFill/>
                    <a:ln>
                      <a:solidFill>
                        <a:schemeClr val="tx1"/>
                      </a:solidFill>
                    </a:ln>
                  </pic:spPr>
                </pic:pic>
              </a:graphicData>
            </a:graphic>
          </wp:inline>
        </w:drawing>
      </w:r>
    </w:p>
    <w:p w14:paraId="5DFBEF2A" w14:textId="77777777" w:rsidR="00D81715" w:rsidRDefault="00D81715" w:rsidP="005D4A3D">
      <w:pPr>
        <w:ind w:left="720" w:firstLine="720"/>
      </w:pPr>
      <w:r>
        <w:t>(a)</w:t>
      </w:r>
      <w:r w:rsidR="005D4A3D">
        <w:tab/>
      </w:r>
      <w:r>
        <w:tab/>
      </w:r>
      <w:r>
        <w:tab/>
      </w:r>
      <w:r w:rsidR="008E4453">
        <w:tab/>
      </w:r>
      <w:r w:rsidR="008E4453">
        <w:tab/>
      </w:r>
      <w:r w:rsidR="008E4453">
        <w:tab/>
      </w:r>
      <w:r w:rsidR="008E4453">
        <w:tab/>
      </w:r>
      <w:r>
        <w:t>(b)</w:t>
      </w:r>
    </w:p>
    <w:p w14:paraId="2512F76D" w14:textId="77777777" w:rsidR="002B56D8" w:rsidRDefault="001B4BDF" w:rsidP="00D81715">
      <w:pPr>
        <w:jc w:val="center"/>
      </w:pPr>
      <w:r w:rsidRPr="00F1317F">
        <w:rPr>
          <w:noProof/>
        </w:rPr>
        <w:drawing>
          <wp:inline distT="0" distB="0" distL="0" distR="0" wp14:anchorId="761E52E1" wp14:editId="045E6B8A">
            <wp:extent cx="2163891" cy="1440000"/>
            <wp:effectExtent l="19050" t="19050" r="8255" b="8255"/>
            <wp:docPr id="5" name="Picture 5" descr="D:\CR\NEHA BAUDH\SELECTED\darktable_exported\FRENECTOMY\CML\PA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NEHA BAUDH\SELECTED\darktable_exported\FRENECTOMY\CML\PALA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3891" cy="1440000"/>
                    </a:xfrm>
                    <a:prstGeom prst="rect">
                      <a:avLst/>
                    </a:prstGeom>
                    <a:noFill/>
                    <a:ln>
                      <a:solidFill>
                        <a:schemeClr val="tx1"/>
                      </a:solidFill>
                    </a:ln>
                  </pic:spPr>
                </pic:pic>
              </a:graphicData>
            </a:graphic>
          </wp:inline>
        </w:drawing>
      </w:r>
      <w:r w:rsidR="008E4453">
        <w:tab/>
      </w:r>
      <w:r w:rsidR="008E4453">
        <w:tab/>
      </w:r>
      <w:r w:rsidR="00D81715" w:rsidRPr="00F1317F">
        <w:rPr>
          <w:noProof/>
        </w:rPr>
        <w:drawing>
          <wp:inline distT="0" distB="0" distL="0" distR="0" wp14:anchorId="355052E4" wp14:editId="6588D2C9">
            <wp:extent cx="2163888" cy="1440000"/>
            <wp:effectExtent l="19050" t="19050" r="8255" b="8255"/>
            <wp:docPr id="6" name="Picture 6" descr="D:\CR\NEHA BAUDH\SELECTED\darktable_exported\FRENECTOMY\CML\WhatsApp Image 2025-02-06 at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R\NEHA BAUDH\SELECTED\darktable_exported\FRENECTOMY\CML\WhatsApp Image 2025-02-06 at 1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888" cy="1440000"/>
                    </a:xfrm>
                    <a:prstGeom prst="rect">
                      <a:avLst/>
                    </a:prstGeom>
                    <a:noFill/>
                    <a:ln>
                      <a:solidFill>
                        <a:schemeClr val="tx1"/>
                      </a:solidFill>
                    </a:ln>
                  </pic:spPr>
                </pic:pic>
              </a:graphicData>
            </a:graphic>
          </wp:inline>
        </w:drawing>
      </w:r>
    </w:p>
    <w:p w14:paraId="63AAC9EA" w14:textId="77777777" w:rsidR="005D4A3D" w:rsidRDefault="005D4A3D" w:rsidP="005D4A3D">
      <w:pPr>
        <w:ind w:left="720" w:firstLine="720"/>
      </w:pPr>
      <w:r>
        <w:t>(c)</w:t>
      </w:r>
      <w:r>
        <w:tab/>
      </w:r>
      <w:r>
        <w:tab/>
      </w:r>
      <w:r>
        <w:tab/>
      </w:r>
      <w:r>
        <w:tab/>
      </w:r>
      <w:r>
        <w:tab/>
      </w:r>
      <w:r>
        <w:tab/>
      </w:r>
      <w:r>
        <w:tab/>
        <w:t>(d)</w:t>
      </w:r>
    </w:p>
    <w:p w14:paraId="2A11147D" w14:textId="77777777" w:rsidR="001B4BDF" w:rsidRDefault="001B4BDF" w:rsidP="00D81715">
      <w:pPr>
        <w:jc w:val="center"/>
      </w:pPr>
      <w:r w:rsidRPr="000A4C04">
        <w:rPr>
          <w:noProof/>
        </w:rPr>
        <w:drawing>
          <wp:inline distT="0" distB="0" distL="0" distR="0" wp14:anchorId="4D0B60AE" wp14:editId="4888D01F">
            <wp:extent cx="2160000" cy="1440000"/>
            <wp:effectExtent l="0" t="0" r="0" b="0"/>
            <wp:docPr id="13" name="Picture 13" descr="D:\CR\NEHA BAUDH\Pt Nehaaa\20241025_09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NEHA BAUDH\Pt Nehaaa\20241025_0949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271" t="1226" r="24820" b="26719"/>
                    <a:stretch/>
                  </pic:blipFill>
                  <pic:spPr bwMode="auto">
                    <a:xfrm>
                      <a:off x="0" y="0"/>
                      <a:ext cx="216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C4BCA43" w14:textId="77777777" w:rsidR="002B56D8" w:rsidRDefault="00DA64EC" w:rsidP="00DA64EC">
      <w:pPr>
        <w:ind w:left="3600"/>
      </w:pPr>
      <w:r>
        <w:t xml:space="preserve">           </w:t>
      </w:r>
      <w:r w:rsidR="002B56D8">
        <w:t>(e)</w:t>
      </w:r>
    </w:p>
    <w:p w14:paraId="329B57CA" w14:textId="77777777" w:rsidR="001B4BDF" w:rsidRDefault="001B4BDF" w:rsidP="001B4BDF">
      <w:bookmarkStart w:id="1" w:name="_Ref190345286"/>
      <w:r w:rsidRPr="00D81715">
        <w:rPr>
          <w:b/>
        </w:rPr>
        <w:t xml:space="preserve">Figure </w:t>
      </w:r>
      <w:r w:rsidRPr="00D81715">
        <w:rPr>
          <w:b/>
        </w:rPr>
        <w:fldChar w:fldCharType="begin"/>
      </w:r>
      <w:r w:rsidRPr="00D81715">
        <w:rPr>
          <w:b/>
        </w:rPr>
        <w:instrText xml:space="preserve"> SEQ Figure \* ARABIC </w:instrText>
      </w:r>
      <w:r w:rsidRPr="00D81715">
        <w:rPr>
          <w:b/>
        </w:rPr>
        <w:fldChar w:fldCharType="separate"/>
      </w:r>
      <w:r w:rsidRPr="00D81715">
        <w:rPr>
          <w:b/>
          <w:noProof/>
        </w:rPr>
        <w:t>2</w:t>
      </w:r>
      <w:r w:rsidRPr="00D81715">
        <w:rPr>
          <w:b/>
          <w:noProof/>
        </w:rPr>
        <w:fldChar w:fldCharType="end"/>
      </w:r>
      <w:bookmarkEnd w:id="1"/>
      <w:r w:rsidRPr="00D81715">
        <w:rPr>
          <w:b/>
        </w:rPr>
        <w:t xml:space="preserve"> : Paralleling technique frenectomy.</w:t>
      </w:r>
      <w:r>
        <w:t xml:space="preserve"> </w:t>
      </w:r>
      <w:r w:rsidR="00D81715">
        <w:t>(</w:t>
      </w:r>
      <w:r w:rsidR="007011F9">
        <w:t>a) Preoperative</w:t>
      </w:r>
      <w:r>
        <w:t xml:space="preserve">, </w:t>
      </w:r>
      <w:r w:rsidR="00D81715">
        <w:t>(</w:t>
      </w:r>
      <w:r>
        <w:t xml:space="preserve">b) Excision of frenum, </w:t>
      </w:r>
      <w:r w:rsidR="00D81715">
        <w:t>(</w:t>
      </w:r>
      <w:r>
        <w:t xml:space="preserve">c) Palatal View, </w:t>
      </w:r>
      <w:r w:rsidR="00D81715">
        <w:t>(</w:t>
      </w:r>
      <w:r>
        <w:t xml:space="preserve">d) </w:t>
      </w:r>
      <w:r w:rsidRPr="002F1D26">
        <w:t>Primary closure obtained by suturing</w:t>
      </w:r>
      <w:r>
        <w:t xml:space="preserve"> and </w:t>
      </w:r>
      <w:r w:rsidR="00D81715">
        <w:t>(</w:t>
      </w:r>
      <w:r>
        <w:t>e) 7</w:t>
      </w:r>
      <w:r>
        <w:rPr>
          <w:vertAlign w:val="superscript"/>
        </w:rPr>
        <w:t xml:space="preserve"> </w:t>
      </w:r>
      <w:r>
        <w:t>day Follow up.</w:t>
      </w:r>
    </w:p>
    <w:p w14:paraId="0C83A625" w14:textId="77777777" w:rsidR="002B56D8" w:rsidRDefault="002B56D8" w:rsidP="001B4BDF"/>
    <w:p w14:paraId="3189910A" w14:textId="77777777" w:rsidR="001B4BDF" w:rsidRPr="002B56D8" w:rsidRDefault="002B56D8" w:rsidP="001B4BDF">
      <w:pPr>
        <w:pStyle w:val="Heading2"/>
        <w:rPr>
          <w:rFonts w:ascii="Arial" w:hAnsi="Arial" w:cs="Arial"/>
          <w:b/>
          <w:color w:val="000000" w:themeColor="text1"/>
          <w:sz w:val="22"/>
        </w:rPr>
      </w:pPr>
      <w:r>
        <w:rPr>
          <w:rFonts w:ascii="Arial" w:hAnsi="Arial" w:cs="Arial"/>
          <w:b/>
          <w:color w:val="000000" w:themeColor="text1"/>
          <w:sz w:val="22"/>
        </w:rPr>
        <w:t xml:space="preserve">2.3 </w:t>
      </w:r>
      <w:r w:rsidR="001B4BDF" w:rsidRPr="002B56D8">
        <w:rPr>
          <w:rFonts w:ascii="Arial" w:hAnsi="Arial" w:cs="Arial"/>
          <w:b/>
          <w:color w:val="000000" w:themeColor="text1"/>
          <w:sz w:val="22"/>
        </w:rPr>
        <w:t>Gingival Depigmentation</w:t>
      </w:r>
    </w:p>
    <w:p w14:paraId="058DFDEF" w14:textId="77777777" w:rsidR="001B4BDF" w:rsidRPr="001E1EC6" w:rsidRDefault="001B4BDF" w:rsidP="001E1EC6">
      <w:pPr>
        <w:spacing w:line="276" w:lineRule="auto"/>
        <w:jc w:val="both"/>
        <w:rPr>
          <w:rFonts w:cs="Arial"/>
        </w:rPr>
      </w:pPr>
      <w:r w:rsidRPr="001E1EC6">
        <w:rPr>
          <w:rFonts w:cs="Arial"/>
        </w:rPr>
        <w:t>After achieving adequate healing of frenectomy, gingival depigmentation was planned. For preparation of the PRF membrane, 10 ml of blood was drawn from the antecubital fossa, transferred to test tubes without anticoagulant, and centrifuged immediately in the REMI4 (*R</w:t>
      </w:r>
      <w:r w:rsidRPr="001E1EC6">
        <w:rPr>
          <w:rFonts w:ascii="Cambria Math" w:hAnsi="Cambria Math" w:cs="Cambria Math"/>
        </w:rPr>
        <w:t>‐</w:t>
      </w:r>
      <w:r w:rsidRPr="001E1EC6">
        <w:rPr>
          <w:rFonts w:cs="Arial"/>
        </w:rPr>
        <w:t>4C, REMI Laboratory Instruments, Mumbai, India) centrifugation machine at 2700 rpm for 12 min. (</w:t>
      </w:r>
      <w:proofErr w:type="spellStart"/>
      <w:r w:rsidRPr="001E1EC6">
        <w:rPr>
          <w:rFonts w:cs="Arial"/>
          <w:b/>
        </w:rPr>
        <w:t>Chokroun</w:t>
      </w:r>
      <w:proofErr w:type="spellEnd"/>
      <w:r w:rsidRPr="001E1EC6">
        <w:rPr>
          <w:rFonts w:cs="Arial"/>
          <w:b/>
        </w:rPr>
        <w:t xml:space="preserve"> et al., 2001</w:t>
      </w:r>
      <w:r w:rsidRPr="001E1EC6">
        <w:rPr>
          <w:rFonts w:cs="Arial"/>
        </w:rPr>
        <w:t>)</w:t>
      </w:r>
      <w:r w:rsidR="0001458A">
        <w:rPr>
          <w:rFonts w:cs="Arial"/>
        </w:rPr>
        <w:t>.</w:t>
      </w:r>
      <w:r w:rsidRPr="001E1EC6">
        <w:rPr>
          <w:rFonts w:cs="Arial"/>
        </w:rPr>
        <w:t xml:space="preserve"> A membrane of uniform thickness was then formed by placing the PRF clot under pressure in the PRF box.</w:t>
      </w:r>
    </w:p>
    <w:p w14:paraId="33537060" w14:textId="77777777" w:rsidR="001B4BDF" w:rsidRDefault="001B4BDF" w:rsidP="001E1EC6">
      <w:pPr>
        <w:spacing w:line="276" w:lineRule="auto"/>
        <w:jc w:val="both"/>
        <w:rPr>
          <w:rFonts w:cs="Arial"/>
        </w:rPr>
      </w:pPr>
      <w:r w:rsidRPr="001E1EC6">
        <w:rPr>
          <w:rFonts w:cs="Arial"/>
        </w:rPr>
        <w:t xml:space="preserve">A 2% lignocaine with epinephrine (1:80000) local anesthetic was administered at the surgical sites, and scalpel-based depigmentation was performed until complete </w:t>
      </w:r>
      <w:proofErr w:type="spellStart"/>
      <w:r w:rsidRPr="001E1EC6">
        <w:rPr>
          <w:rFonts w:cs="Arial"/>
        </w:rPr>
        <w:t>deepithelialization</w:t>
      </w:r>
      <w:proofErr w:type="spellEnd"/>
      <w:r w:rsidRPr="001E1EC6">
        <w:rPr>
          <w:rFonts w:cs="Arial"/>
        </w:rPr>
        <w:t xml:space="preserve"> from the marginal gingiva to the mucogingival junction was achieved. On the right side, vitamin E gel was applied, followed by the immediate placement of </w:t>
      </w:r>
      <w:proofErr w:type="spellStart"/>
      <w:r w:rsidRPr="001E1EC6">
        <w:rPr>
          <w:rFonts w:cs="Arial"/>
        </w:rPr>
        <w:t>Abgel</w:t>
      </w:r>
      <w:proofErr w:type="spellEnd"/>
      <w:r w:rsidRPr="001E1EC6">
        <w:rPr>
          <w:rFonts w:cs="Arial"/>
        </w:rPr>
        <w:t>, which was secured with sutures. On the left side, an L-PRF membrane was sutured in place, followed by the application of tin foil and a periodontal pack</w:t>
      </w:r>
      <w:r w:rsidR="000F1E9E">
        <w:rPr>
          <w:rFonts w:cs="Arial"/>
        </w:rPr>
        <w:t xml:space="preserve"> on both the sides</w:t>
      </w:r>
      <w:r w:rsidRPr="001E1EC6">
        <w:rPr>
          <w:rFonts w:cs="Arial"/>
        </w:rPr>
        <w:t>.</w:t>
      </w:r>
      <w:r w:rsidR="000F1E9E">
        <w:rPr>
          <w:rFonts w:cs="Arial"/>
        </w:rPr>
        <w:t xml:space="preserve"> </w:t>
      </w:r>
      <w:r w:rsidRPr="001E1EC6">
        <w:rPr>
          <w:rFonts w:cs="Arial"/>
        </w:rPr>
        <w:t xml:space="preserve"> Post-operative instructions given.</w:t>
      </w:r>
    </w:p>
    <w:p w14:paraId="230ACF58" w14:textId="77777777" w:rsidR="001A4D65" w:rsidRDefault="00FB2536" w:rsidP="001A4D65">
      <w:pPr>
        <w:jc w:val="center"/>
        <w:rPr>
          <w:noProof/>
        </w:rPr>
      </w:pPr>
      <w:r w:rsidRPr="000A4C04">
        <w:rPr>
          <w:noProof/>
        </w:rPr>
        <w:lastRenderedPageBreak/>
        <w:drawing>
          <wp:inline distT="0" distB="0" distL="0" distR="0" wp14:anchorId="43A51818" wp14:editId="2F9A1A99">
            <wp:extent cx="2160000" cy="1440000"/>
            <wp:effectExtent l="0" t="0" r="0" b="0"/>
            <wp:docPr id="2" name="Picture 2" descr="D:\CR\NEHA BAUDH\Pt Nehaaa\20241025_09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NEHA BAUDH\Pt Nehaaa\20241025_0949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271" t="1226" r="24820" b="26719"/>
                    <a:stretch/>
                  </pic:blipFill>
                  <pic:spPr bwMode="auto">
                    <a:xfrm>
                      <a:off x="0" y="0"/>
                      <a:ext cx="2160000"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Pr>
          <w:noProof/>
        </w:rPr>
        <w:tab/>
      </w:r>
      <w:r w:rsidR="001A4D65" w:rsidRPr="000A4C04">
        <w:rPr>
          <w:noProof/>
        </w:rPr>
        <w:drawing>
          <wp:inline distT="0" distB="0" distL="0" distR="0" wp14:anchorId="45FB3D2B" wp14:editId="52666F70">
            <wp:extent cx="2160000" cy="1440000"/>
            <wp:effectExtent l="19050" t="19050" r="0" b="8255"/>
            <wp:docPr id="14" name="Picture 14" descr="D:\CR\NEHA BAUDH\Pt Nehaaa\20241025_10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R\NEHA BAUDH\Pt Nehaaa\20241025_10554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127" t="1267" r="27315" b="11390"/>
                    <a:stretch/>
                  </pic:blipFill>
                  <pic:spPr bwMode="auto">
                    <a:xfrm>
                      <a:off x="0" y="0"/>
                      <a:ext cx="2160000" cy="144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C12CD8" w14:textId="77777777" w:rsidR="001A4D65" w:rsidRDefault="001A4D65" w:rsidP="001A4D65">
      <w:pPr>
        <w:jc w:val="center"/>
      </w:pPr>
      <w:r>
        <w:rPr>
          <w:noProof/>
        </w:rPr>
        <w:t>(a)</w:t>
      </w:r>
      <w:r>
        <w:rPr>
          <w:noProof/>
        </w:rPr>
        <w:tab/>
      </w:r>
      <w:r>
        <w:rPr>
          <w:noProof/>
        </w:rPr>
        <w:tab/>
      </w:r>
      <w:r>
        <w:rPr>
          <w:noProof/>
        </w:rPr>
        <w:tab/>
      </w:r>
      <w:r>
        <w:rPr>
          <w:noProof/>
        </w:rPr>
        <w:tab/>
      </w:r>
      <w:r>
        <w:rPr>
          <w:noProof/>
        </w:rPr>
        <w:tab/>
      </w:r>
      <w:r>
        <w:rPr>
          <w:noProof/>
        </w:rPr>
        <w:tab/>
      </w:r>
      <w:r w:rsidRPr="008E4453">
        <w:t xml:space="preserve"> </w:t>
      </w:r>
      <w:r>
        <w:t>(b)</w:t>
      </w:r>
    </w:p>
    <w:p w14:paraId="3DE25E6B" w14:textId="77777777" w:rsidR="001A4D65" w:rsidRDefault="00FB2536" w:rsidP="001A4D65">
      <w:pPr>
        <w:jc w:val="center"/>
      </w:pPr>
      <w:r w:rsidRPr="00E26850">
        <w:rPr>
          <w:noProof/>
        </w:rPr>
        <w:drawing>
          <wp:inline distT="0" distB="0" distL="0" distR="0" wp14:anchorId="3ECE0D34" wp14:editId="01DD64DA">
            <wp:extent cx="2160000" cy="1440000"/>
            <wp:effectExtent l="19050" t="19050" r="12065" b="27305"/>
            <wp:docPr id="22" name="Picture 22" descr="D:\CR\NEHA BAUDH\SELECTED\darktable_exported\LEFT\20241025_12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NEHA BAUDH\SELECTED\darktable_exported\LEFT\20241025_1226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32"/>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ab/>
      </w:r>
      <w:r>
        <w:tab/>
      </w:r>
      <w:r w:rsidR="001A4D65" w:rsidRPr="00432F1B">
        <w:rPr>
          <w:noProof/>
        </w:rPr>
        <w:drawing>
          <wp:inline distT="0" distB="0" distL="0" distR="0" wp14:anchorId="2572B452" wp14:editId="3C7C7F50">
            <wp:extent cx="2160000" cy="1440000"/>
            <wp:effectExtent l="19050" t="19050" r="12065" b="27305"/>
            <wp:docPr id="34" name="Picture 34" descr="D:\CR\NEHA BAUDH\SELECTED\darktable_exported\FRONT\20241025_12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R\NEHA BAUDH\SELECTED\darktable_exported\FRONT\20241025_12061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16" b="5416"/>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A4D65">
        <w:tab/>
      </w:r>
    </w:p>
    <w:p w14:paraId="304D03C4" w14:textId="77777777" w:rsidR="001A4D65" w:rsidRDefault="001A4D65" w:rsidP="001A4D65">
      <w:pPr>
        <w:jc w:val="center"/>
      </w:pPr>
      <w:r>
        <w:t>(c)</w:t>
      </w:r>
      <w:r>
        <w:tab/>
      </w:r>
      <w:r>
        <w:tab/>
      </w:r>
      <w:r>
        <w:tab/>
      </w:r>
      <w:r>
        <w:tab/>
      </w:r>
      <w:r>
        <w:tab/>
      </w:r>
      <w:r>
        <w:tab/>
        <w:t>(d)</w:t>
      </w:r>
    </w:p>
    <w:p w14:paraId="15964854" w14:textId="77777777" w:rsidR="001A4D65" w:rsidRDefault="0081699F" w:rsidP="001A4D65">
      <w:pPr>
        <w:jc w:val="center"/>
      </w:pPr>
      <w:r w:rsidRPr="005C4638">
        <w:rPr>
          <w:noProof/>
        </w:rPr>
        <w:drawing>
          <wp:inline distT="0" distB="0" distL="0" distR="0" wp14:anchorId="0F2D0286" wp14:editId="4CC675B8">
            <wp:extent cx="2162026" cy="1440000"/>
            <wp:effectExtent l="19050" t="19050" r="0" b="8255"/>
            <wp:docPr id="29" name="Picture 29" descr="D:\CR\NEHA BAUDH\SELECTED\darktable_exported\FRONT\20241025_12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R\NEHA BAUDH\SELECTED\darktable_exported\FRONT\20241025_125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2026" cy="1440000"/>
                    </a:xfrm>
                    <a:prstGeom prst="rect">
                      <a:avLst/>
                    </a:prstGeom>
                    <a:noFill/>
                    <a:ln>
                      <a:solidFill>
                        <a:schemeClr val="tx1"/>
                      </a:solidFill>
                    </a:ln>
                  </pic:spPr>
                </pic:pic>
              </a:graphicData>
            </a:graphic>
          </wp:inline>
        </w:drawing>
      </w:r>
      <w:r>
        <w:tab/>
      </w:r>
      <w:r>
        <w:tab/>
      </w:r>
      <w:r w:rsidR="001A4D65" w:rsidRPr="00433A49">
        <w:rPr>
          <w:noProof/>
        </w:rPr>
        <w:drawing>
          <wp:inline distT="0" distB="0" distL="0" distR="0" wp14:anchorId="749EDFAB" wp14:editId="0DF79C6F">
            <wp:extent cx="2160000" cy="1440000"/>
            <wp:effectExtent l="19050" t="19050" r="0" b="8255"/>
            <wp:docPr id="16" name="Picture 16" descr="D:\CR\NEHA BAUDH\after depig 45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R\NEHA BAUDH\after depig 45t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703" t="2298" r="25166" b="25378"/>
                    <a:stretch/>
                  </pic:blipFill>
                  <pic:spPr bwMode="auto">
                    <a:xfrm>
                      <a:off x="0" y="0"/>
                      <a:ext cx="2160000" cy="144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6174FD" w14:textId="77777777" w:rsidR="001A4D65" w:rsidRDefault="001A4D65" w:rsidP="001A4D65">
      <w:pPr>
        <w:jc w:val="center"/>
      </w:pPr>
      <w:r>
        <w:t>(e)</w:t>
      </w:r>
      <w:r w:rsidRPr="008E4453">
        <w:t xml:space="preserve"> </w:t>
      </w:r>
      <w:r>
        <w:tab/>
      </w:r>
      <w:r>
        <w:tab/>
      </w:r>
      <w:r>
        <w:tab/>
      </w:r>
      <w:r>
        <w:tab/>
      </w:r>
      <w:r>
        <w:tab/>
      </w:r>
      <w:r>
        <w:tab/>
        <w:t>(f)</w:t>
      </w:r>
    </w:p>
    <w:p w14:paraId="52D1E9C5" w14:textId="77777777" w:rsidR="001A4D65" w:rsidRDefault="001A4D65" w:rsidP="001A4D65">
      <w:r w:rsidRPr="008E4453">
        <w:rPr>
          <w:b/>
        </w:rPr>
        <w:t xml:space="preserve">Figure </w:t>
      </w:r>
      <w:r w:rsidRPr="008E4453">
        <w:rPr>
          <w:b/>
        </w:rPr>
        <w:fldChar w:fldCharType="begin"/>
      </w:r>
      <w:r w:rsidRPr="008E4453">
        <w:rPr>
          <w:b/>
        </w:rPr>
        <w:instrText xml:space="preserve"> SEQ Figure \* ARABIC </w:instrText>
      </w:r>
      <w:r w:rsidRPr="008E4453">
        <w:rPr>
          <w:b/>
        </w:rPr>
        <w:fldChar w:fldCharType="separate"/>
      </w:r>
      <w:r w:rsidRPr="008E4453">
        <w:rPr>
          <w:b/>
          <w:noProof/>
        </w:rPr>
        <w:t>3</w:t>
      </w:r>
      <w:r w:rsidRPr="008E4453">
        <w:rPr>
          <w:b/>
          <w:noProof/>
        </w:rPr>
        <w:fldChar w:fldCharType="end"/>
      </w:r>
      <w:r w:rsidRPr="008E4453">
        <w:rPr>
          <w:b/>
        </w:rPr>
        <w:t xml:space="preserve"> : Gingival Depigmentation.</w:t>
      </w:r>
      <w:r>
        <w:t xml:space="preserve"> </w:t>
      </w:r>
      <w:r w:rsidR="00FB2536">
        <w:t xml:space="preserve">(a)Pre-operative </w:t>
      </w:r>
      <w:r>
        <w:t>(</w:t>
      </w:r>
      <w:r w:rsidR="00FB2536">
        <w:t>b</w:t>
      </w:r>
      <w:r>
        <w:t>) Removal of epithelial cells, (</w:t>
      </w:r>
      <w:r w:rsidR="0081699F">
        <w:t>c</w:t>
      </w:r>
      <w:r>
        <w:t xml:space="preserve">) application of vitamin E followed by </w:t>
      </w:r>
      <w:proofErr w:type="spellStart"/>
      <w:r>
        <w:t>abgel</w:t>
      </w:r>
      <w:proofErr w:type="spellEnd"/>
      <w:r>
        <w:t>, (</w:t>
      </w:r>
      <w:r w:rsidR="0081699F">
        <w:t>d</w:t>
      </w:r>
      <w:r>
        <w:t>) placement of PRF membrane, (e)</w:t>
      </w:r>
      <w:r w:rsidR="0081699F">
        <w:t xml:space="preserve"> Periodontal Pack</w:t>
      </w:r>
      <w:r>
        <w:t>, and (f) Follow up at 45</w:t>
      </w:r>
      <w:r w:rsidRPr="00433A49">
        <w:rPr>
          <w:vertAlign w:val="superscript"/>
        </w:rPr>
        <w:t>th</w:t>
      </w:r>
      <w:r>
        <w:t xml:space="preserve"> day.</w:t>
      </w:r>
    </w:p>
    <w:p w14:paraId="5A021EEE" w14:textId="77777777" w:rsidR="001A4D65" w:rsidRPr="001E1EC6" w:rsidRDefault="001A4D65" w:rsidP="001E1EC6">
      <w:pPr>
        <w:spacing w:line="276" w:lineRule="auto"/>
        <w:jc w:val="both"/>
        <w:rPr>
          <w:rFonts w:cs="Arial"/>
        </w:rPr>
      </w:pPr>
    </w:p>
    <w:p w14:paraId="1E696DAD" w14:textId="77777777" w:rsidR="001B4BDF" w:rsidRPr="002B56D8" w:rsidRDefault="002B56D8" w:rsidP="001B4BDF">
      <w:pPr>
        <w:pStyle w:val="Heading3"/>
        <w:rPr>
          <w:rFonts w:ascii="Arial" w:hAnsi="Arial" w:cs="Arial"/>
          <w:b/>
          <w:color w:val="000000" w:themeColor="text1"/>
          <w:u w:val="single"/>
        </w:rPr>
      </w:pPr>
      <w:r w:rsidRPr="002B56D8">
        <w:rPr>
          <w:rFonts w:ascii="Arial" w:hAnsi="Arial" w:cs="Arial"/>
          <w:b/>
          <w:color w:val="000000" w:themeColor="text1"/>
          <w:sz w:val="22"/>
          <w:u w:val="single"/>
        </w:rPr>
        <w:t>2.3.1</w:t>
      </w:r>
      <w:r w:rsidRPr="002B56D8">
        <w:rPr>
          <w:rFonts w:ascii="Arial" w:hAnsi="Arial" w:cs="Arial"/>
          <w:b/>
          <w:color w:val="000000" w:themeColor="text1"/>
          <w:sz w:val="22"/>
        </w:rPr>
        <w:t xml:space="preserve"> </w:t>
      </w:r>
      <w:r w:rsidR="001B4BDF" w:rsidRPr="002B56D8">
        <w:rPr>
          <w:rFonts w:ascii="Arial" w:hAnsi="Arial" w:cs="Arial"/>
          <w:b/>
          <w:color w:val="000000" w:themeColor="text1"/>
          <w:sz w:val="22"/>
          <w:u w:val="single"/>
        </w:rPr>
        <w:t>Epithelialization test to evaluate healing</w:t>
      </w:r>
    </w:p>
    <w:p w14:paraId="4DA137D3" w14:textId="77777777" w:rsidR="001B4BDF" w:rsidRDefault="001B4BDF" w:rsidP="001E1EC6">
      <w:pPr>
        <w:spacing w:line="276" w:lineRule="auto"/>
        <w:jc w:val="both"/>
      </w:pPr>
      <w:r>
        <w:t xml:space="preserve">The patient was recalled after 14 days, </w:t>
      </w:r>
      <w:r w:rsidR="007011F9">
        <w:t xml:space="preserve">for removal of </w:t>
      </w:r>
      <w:r>
        <w:t>pack. The epithelialization test with 1% methylene blue was done at 15</w:t>
      </w:r>
      <w:r w:rsidRPr="008F20A0">
        <w:rPr>
          <w:vertAlign w:val="superscript"/>
        </w:rPr>
        <w:t>th</w:t>
      </w:r>
      <w:r>
        <w:t xml:space="preserve"> and 45</w:t>
      </w:r>
      <w:r w:rsidRPr="008F20A0">
        <w:rPr>
          <w:vertAlign w:val="superscript"/>
        </w:rPr>
        <w:t>th</w:t>
      </w:r>
      <w:r>
        <w:t xml:space="preserve"> day. The healing index (</w:t>
      </w:r>
      <w:r w:rsidRPr="008F20A0">
        <w:rPr>
          <w:b/>
          <w:bCs/>
        </w:rPr>
        <w:t>Landry et al. 1988</w:t>
      </w:r>
      <w:r>
        <w:rPr>
          <w:b/>
          <w:bCs/>
        </w:rPr>
        <w:t>)</w:t>
      </w:r>
      <w:r>
        <w:rPr>
          <w:bCs/>
        </w:rPr>
        <w:t xml:space="preserve"> was recorded at 15</w:t>
      </w:r>
      <w:r w:rsidRPr="00AA33FF">
        <w:rPr>
          <w:bCs/>
          <w:vertAlign w:val="superscript"/>
        </w:rPr>
        <w:t>th</w:t>
      </w:r>
      <w:r>
        <w:rPr>
          <w:bCs/>
        </w:rPr>
        <w:t xml:space="preserve"> and 45</w:t>
      </w:r>
      <w:r w:rsidRPr="00AA33FF">
        <w:rPr>
          <w:bCs/>
          <w:vertAlign w:val="superscript"/>
        </w:rPr>
        <w:t>th</w:t>
      </w:r>
      <w:r>
        <w:rPr>
          <w:bCs/>
        </w:rPr>
        <w:t xml:space="preserve"> day. Epithelialization score at 15</w:t>
      </w:r>
      <w:r w:rsidRPr="003073CD">
        <w:rPr>
          <w:bCs/>
          <w:vertAlign w:val="superscript"/>
        </w:rPr>
        <w:t>th</w:t>
      </w:r>
      <w:r>
        <w:rPr>
          <w:bCs/>
        </w:rPr>
        <w:t xml:space="preserve"> day</w:t>
      </w:r>
      <w:r w:rsidR="005202A7">
        <w:rPr>
          <w:bCs/>
        </w:rPr>
        <w:t xml:space="preserve"> (Figure 6 (a))</w:t>
      </w:r>
      <w:r>
        <w:rPr>
          <w:bCs/>
        </w:rPr>
        <w:t xml:space="preserve"> was 2 and at 45</w:t>
      </w:r>
      <w:r w:rsidRPr="003073CD">
        <w:rPr>
          <w:bCs/>
          <w:vertAlign w:val="superscript"/>
        </w:rPr>
        <w:t>th</w:t>
      </w:r>
      <w:r>
        <w:rPr>
          <w:bCs/>
        </w:rPr>
        <w:t xml:space="preserve"> day</w:t>
      </w:r>
      <w:r w:rsidR="005202A7">
        <w:rPr>
          <w:bCs/>
        </w:rPr>
        <w:t xml:space="preserve"> (Figure 6 (b))</w:t>
      </w:r>
      <w:r>
        <w:rPr>
          <w:bCs/>
        </w:rPr>
        <w:t xml:space="preserve"> was 4. Healing Score at 15</w:t>
      </w:r>
      <w:r w:rsidRPr="00765FE2">
        <w:rPr>
          <w:bCs/>
          <w:vertAlign w:val="superscript"/>
        </w:rPr>
        <w:t>th</w:t>
      </w:r>
      <w:r>
        <w:rPr>
          <w:bCs/>
        </w:rPr>
        <w:t xml:space="preserve"> day was 3 and at 45</w:t>
      </w:r>
      <w:r w:rsidRPr="00765FE2">
        <w:rPr>
          <w:bCs/>
          <w:vertAlign w:val="superscript"/>
        </w:rPr>
        <w:t>th</w:t>
      </w:r>
      <w:r>
        <w:rPr>
          <w:bCs/>
        </w:rPr>
        <w:t xml:space="preserve"> day was 5. </w:t>
      </w:r>
      <w:r w:rsidRPr="0001458A">
        <w:rPr>
          <w:bCs/>
        </w:rPr>
        <w:t>This indicate</w:t>
      </w:r>
      <w:r w:rsidR="004F2FFF" w:rsidRPr="0001458A">
        <w:rPr>
          <w:bCs/>
        </w:rPr>
        <w:t>s, better healing was achieved where</w:t>
      </w:r>
      <w:r w:rsidRPr="0001458A">
        <w:rPr>
          <w:bCs/>
        </w:rPr>
        <w:t xml:space="preserve"> the vitamin </w:t>
      </w:r>
      <w:r w:rsidR="004F2FFF" w:rsidRPr="0001458A">
        <w:rPr>
          <w:bCs/>
        </w:rPr>
        <w:t>E</w:t>
      </w:r>
      <w:r w:rsidRPr="0001458A">
        <w:rPr>
          <w:bCs/>
        </w:rPr>
        <w:t xml:space="preserve"> </w:t>
      </w:r>
      <w:r w:rsidR="004F2FFF" w:rsidRPr="0001458A">
        <w:rPr>
          <w:bCs/>
        </w:rPr>
        <w:t>was applied.</w:t>
      </w:r>
    </w:p>
    <w:p w14:paraId="3CE77969" w14:textId="77777777" w:rsidR="002B56D8" w:rsidRDefault="002B56D8" w:rsidP="002B56D8"/>
    <w:p w14:paraId="1729903B" w14:textId="77777777" w:rsidR="001A4D65" w:rsidRDefault="001A4D65" w:rsidP="001A4D65">
      <w:pPr>
        <w:jc w:val="center"/>
      </w:pPr>
      <w:r w:rsidRPr="005C4638">
        <w:rPr>
          <w:noProof/>
        </w:rPr>
        <w:lastRenderedPageBreak/>
        <w:drawing>
          <wp:inline distT="0" distB="0" distL="0" distR="0" wp14:anchorId="6F3904CB" wp14:editId="7979E1F8">
            <wp:extent cx="2160000" cy="1440000"/>
            <wp:effectExtent l="19050" t="19050" r="0" b="8255"/>
            <wp:docPr id="26" name="Picture 26" descr="D:\CR\NEHA BAUDH\SELECTED\darktable_exported\FRONT\WhatsApp Image 2025-02-09 at 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R\NEHA BAUDH\SELECTED\darktable_exported\FRONT\WhatsApp Image 2025-02-09 at 12.1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 r="47"/>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ab/>
      </w:r>
      <w:r>
        <w:tab/>
      </w:r>
      <w:r w:rsidRPr="00432F1B">
        <w:rPr>
          <w:noProof/>
        </w:rPr>
        <w:drawing>
          <wp:inline distT="0" distB="0" distL="0" distR="0" wp14:anchorId="53DEDB9B" wp14:editId="279BB488">
            <wp:extent cx="2160000" cy="1438651"/>
            <wp:effectExtent l="19050" t="19050" r="12065" b="28575"/>
            <wp:docPr id="31" name="Picture 31" descr="D:\CR\NEHA BAUDH\SELECTED\darktable_exported\FRONT\20241219_12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R\NEHA BAUDH\SELECTED\darktable_exported\FRONT\20241219_1233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38651"/>
                    </a:xfrm>
                    <a:prstGeom prst="rect">
                      <a:avLst/>
                    </a:prstGeom>
                    <a:noFill/>
                    <a:ln>
                      <a:solidFill>
                        <a:schemeClr val="tx1"/>
                      </a:solidFill>
                    </a:ln>
                  </pic:spPr>
                </pic:pic>
              </a:graphicData>
            </a:graphic>
          </wp:inline>
        </w:drawing>
      </w:r>
    </w:p>
    <w:p w14:paraId="308EEE2B" w14:textId="77777777" w:rsidR="001A4D65" w:rsidRDefault="001A4D65" w:rsidP="001A4D65">
      <w:pPr>
        <w:jc w:val="center"/>
      </w:pPr>
      <w:r>
        <w:t>(a)</w:t>
      </w:r>
      <w:r>
        <w:tab/>
      </w:r>
      <w:r>
        <w:tab/>
      </w:r>
      <w:r>
        <w:tab/>
      </w:r>
      <w:r>
        <w:tab/>
      </w:r>
      <w:r>
        <w:tab/>
      </w:r>
      <w:r>
        <w:tab/>
        <w:t>(b)</w:t>
      </w:r>
    </w:p>
    <w:p w14:paraId="7653AD14" w14:textId="77777777" w:rsidR="005202A7" w:rsidRDefault="005202A7" w:rsidP="005202A7">
      <w:pPr>
        <w:jc w:val="center"/>
      </w:pPr>
      <w:r w:rsidRPr="00FB2536">
        <w:rPr>
          <w:b/>
        </w:rPr>
        <w:t xml:space="preserve">Figure </w:t>
      </w:r>
      <w:r w:rsidR="00202628">
        <w:rPr>
          <w:b/>
        </w:rPr>
        <w:t>4</w:t>
      </w:r>
      <w:r w:rsidRPr="00FB2536">
        <w:rPr>
          <w:b/>
        </w:rPr>
        <w:t>: Epithelialization test.</w:t>
      </w:r>
      <w:r>
        <w:t xml:space="preserve"> (a) At 15</w:t>
      </w:r>
      <w:r w:rsidRPr="00433A49">
        <w:rPr>
          <w:vertAlign w:val="superscript"/>
        </w:rPr>
        <w:t>th</w:t>
      </w:r>
      <w:r>
        <w:t xml:space="preserve"> day and (b)</w:t>
      </w:r>
      <w:r w:rsidRPr="005202A7">
        <w:t xml:space="preserve"> </w:t>
      </w:r>
      <w:r>
        <w:t>At 45</w:t>
      </w:r>
      <w:r w:rsidRPr="00433A49">
        <w:rPr>
          <w:vertAlign w:val="superscript"/>
        </w:rPr>
        <w:t>th</w:t>
      </w:r>
      <w:r>
        <w:t xml:space="preserve"> day</w:t>
      </w:r>
    </w:p>
    <w:p w14:paraId="0323C0B8" w14:textId="77777777" w:rsidR="001B4BDF" w:rsidRPr="002B56D8" w:rsidRDefault="002B56D8" w:rsidP="001B4BDF">
      <w:pPr>
        <w:pStyle w:val="Heading2"/>
        <w:rPr>
          <w:rFonts w:ascii="Arial" w:hAnsi="Arial" w:cs="Arial"/>
          <w:b/>
          <w:color w:val="000000" w:themeColor="text1"/>
          <w:sz w:val="22"/>
        </w:rPr>
      </w:pPr>
      <w:r w:rsidRPr="002B56D8">
        <w:rPr>
          <w:rFonts w:ascii="Arial" w:hAnsi="Arial" w:cs="Arial"/>
          <w:b/>
          <w:color w:val="000000" w:themeColor="text1"/>
          <w:sz w:val="22"/>
        </w:rPr>
        <w:t xml:space="preserve">2.4 </w:t>
      </w:r>
      <w:proofErr w:type="spellStart"/>
      <w:r w:rsidR="001B4BDF" w:rsidRPr="002B56D8">
        <w:rPr>
          <w:rFonts w:ascii="Arial" w:hAnsi="Arial" w:cs="Arial"/>
          <w:b/>
          <w:color w:val="000000" w:themeColor="text1"/>
          <w:sz w:val="22"/>
        </w:rPr>
        <w:t>Gingivoplasty</w:t>
      </w:r>
      <w:proofErr w:type="spellEnd"/>
    </w:p>
    <w:p w14:paraId="0DA50E6A" w14:textId="77777777" w:rsidR="001B4BDF" w:rsidRPr="00613BED" w:rsidRDefault="001B4BDF" w:rsidP="001E1EC6">
      <w:pPr>
        <w:spacing w:line="276" w:lineRule="auto"/>
        <w:jc w:val="both"/>
      </w:pPr>
      <w:r>
        <w:t xml:space="preserve">After adequate healing of gingival depigmentation, </w:t>
      </w:r>
      <w:proofErr w:type="spellStart"/>
      <w:r w:rsidR="003D2D63">
        <w:t>gingivoplasty</w:t>
      </w:r>
      <w:proofErr w:type="spellEnd"/>
      <w:r w:rsidR="003D2D63">
        <w:t xml:space="preserve"> </w:t>
      </w:r>
      <w:r>
        <w:t xml:space="preserve">and </w:t>
      </w:r>
      <w:r w:rsidR="003D2D63">
        <w:t xml:space="preserve">veneers were </w:t>
      </w:r>
      <w:r>
        <w:t>planned (Figure 5</w:t>
      </w:r>
      <w:r w:rsidR="005D4A3D">
        <w:t>b</w:t>
      </w:r>
      <w:r>
        <w:t xml:space="preserve">). </w:t>
      </w:r>
      <w:r w:rsidRPr="00613BED">
        <w:t xml:space="preserve">A 2% lignocaine local anesthetic with epinephrine (1:80,000) was administered at the surgical sites related to </w:t>
      </w:r>
      <w:r>
        <w:t>maxillary incisors</w:t>
      </w:r>
      <w:r w:rsidRPr="00613BED">
        <w:t xml:space="preserve">. </w:t>
      </w:r>
      <w:r>
        <w:t>The gingival contour was mark</w:t>
      </w:r>
      <w:r w:rsidR="00D41E8E">
        <w:t>ed</w:t>
      </w:r>
      <w:r>
        <w:t xml:space="preserve"> with the marker. </w:t>
      </w:r>
      <w:r w:rsidRPr="00613BED">
        <w:t>An external bevel incision was made u</w:t>
      </w:r>
      <w:r w:rsidR="00D41E8E">
        <w:t xml:space="preserve">sing a scalpel, followed by removal </w:t>
      </w:r>
      <w:r w:rsidRPr="00613BED">
        <w:t xml:space="preserve">of the </w:t>
      </w:r>
      <w:r w:rsidR="00D41E8E">
        <w:t xml:space="preserve">excised </w:t>
      </w:r>
      <w:r w:rsidRPr="00613BED">
        <w:t>gingival tissu</w:t>
      </w:r>
      <w:r>
        <w:t>e (Figure 5c). Periodontal pack was given</w:t>
      </w:r>
      <w:r w:rsidRPr="00613BED">
        <w:t>.</w:t>
      </w:r>
      <w:r>
        <w:t xml:space="preserve"> Post-operative instructions given. </w:t>
      </w:r>
    </w:p>
    <w:p w14:paraId="1026BB80" w14:textId="77777777" w:rsidR="00667EDA" w:rsidRDefault="001B4BDF" w:rsidP="00667EDA">
      <w:pPr>
        <w:ind w:left="360"/>
        <w:jc w:val="center"/>
      </w:pPr>
      <w:r w:rsidRPr="003C6652">
        <w:rPr>
          <w:noProof/>
        </w:rPr>
        <w:drawing>
          <wp:inline distT="0" distB="0" distL="0" distR="0" wp14:anchorId="1B699C7A" wp14:editId="3DA4AA58">
            <wp:extent cx="2160000" cy="1440000"/>
            <wp:effectExtent l="19050" t="19050" r="12065" b="27305"/>
            <wp:docPr id="7" name="Picture 7" descr="D:\CR\NEHA BAUDH\SELECTED\GINGIVECTOMY\WhatsApp Image 2025-02-06 at 19.17.44_bb57f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NEHA BAUDH\SELECTED\GINGIVECTOMY\WhatsApp Image 2025-02-06 at 19.17.44_bb57fc3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295" t="5556" r="12525" b="5556"/>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67EDA">
        <w:tab/>
      </w:r>
      <w:r w:rsidRPr="00165F02">
        <w:rPr>
          <w:noProof/>
        </w:rPr>
        <w:drawing>
          <wp:inline distT="0" distB="0" distL="0" distR="0" wp14:anchorId="7127CA62" wp14:editId="1E8BF855">
            <wp:extent cx="2262293" cy="2539577"/>
            <wp:effectExtent l="0" t="0" r="5080" b="0"/>
            <wp:docPr id="11" name="Picture 10">
              <a:extLst xmlns:a="http://schemas.openxmlformats.org/drawingml/2006/main">
                <a:ext uri="{FF2B5EF4-FFF2-40B4-BE49-F238E27FC236}">
                  <a16:creationId xmlns:a16="http://schemas.microsoft.com/office/drawing/2014/main" id="{6F9646D2-B72F-63CF-DA07-7EFF48BCA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F9646D2-B72F-63CF-DA07-7EFF48BCAC3F}"/>
                        </a:ext>
                      </a:extLst>
                    </pic:cNvPr>
                    <pic:cNvPicPr>
                      <a:picLocks noChangeAspect="1"/>
                    </pic:cNvPicPr>
                  </pic:nvPicPr>
                  <pic:blipFill rotWithShape="1">
                    <a:blip r:embed="rId28">
                      <a:extLst>
                        <a:ext uri="{28A0092B-C50C-407E-A947-70E740481C1C}">
                          <a14:useLocalDpi xmlns:a14="http://schemas.microsoft.com/office/drawing/2010/main" val="0"/>
                        </a:ext>
                      </a:extLst>
                    </a:blip>
                    <a:srcRect l="6618" t="15733" r="53911"/>
                    <a:stretch/>
                  </pic:blipFill>
                  <pic:spPr bwMode="auto">
                    <a:xfrm>
                      <a:off x="0" y="0"/>
                      <a:ext cx="2262293" cy="2539577"/>
                    </a:xfrm>
                    <a:prstGeom prst="rect">
                      <a:avLst/>
                    </a:prstGeom>
                    <a:ln>
                      <a:noFill/>
                    </a:ln>
                    <a:extLst>
                      <a:ext uri="{53640926-AAD7-44D8-BBD7-CCE9431645EC}">
                        <a14:shadowObscured xmlns:a14="http://schemas.microsoft.com/office/drawing/2010/main"/>
                      </a:ext>
                    </a:extLst>
                  </pic:spPr>
                </pic:pic>
              </a:graphicData>
            </a:graphic>
          </wp:inline>
        </w:drawing>
      </w:r>
    </w:p>
    <w:p w14:paraId="38F3D074" w14:textId="77777777" w:rsidR="001B4BDF" w:rsidRDefault="00667EDA" w:rsidP="00667EDA">
      <w:pPr>
        <w:ind w:left="360"/>
        <w:jc w:val="center"/>
      </w:pPr>
      <w:r>
        <w:t>(a)</w:t>
      </w:r>
      <w:r>
        <w:tab/>
      </w:r>
      <w:r>
        <w:tab/>
      </w:r>
      <w:r>
        <w:tab/>
      </w:r>
      <w:r>
        <w:tab/>
      </w:r>
      <w:r>
        <w:tab/>
      </w:r>
      <w:r>
        <w:tab/>
        <w:t>(b)</w:t>
      </w:r>
    </w:p>
    <w:p w14:paraId="7C90B965" w14:textId="77777777" w:rsidR="001B4BDF" w:rsidRDefault="00667EDA" w:rsidP="00667EDA">
      <w:pPr>
        <w:ind w:left="360"/>
      </w:pPr>
      <w:r>
        <w:t xml:space="preserve">  </w:t>
      </w:r>
      <w:r w:rsidR="001B4BDF" w:rsidRPr="003C6652">
        <w:rPr>
          <w:noProof/>
        </w:rPr>
        <w:drawing>
          <wp:inline distT="0" distB="0" distL="0" distR="0" wp14:anchorId="7AC2898D" wp14:editId="1423DAAA">
            <wp:extent cx="2161689" cy="1440000"/>
            <wp:effectExtent l="19050" t="19050" r="10160" b="27305"/>
            <wp:docPr id="8" name="Picture 8" descr="D:\CR\NEHA BAUDH\SELECTED\darktable_exported\FRENECTOMY\GINGI\WhatsApp Image 2025-02-06 at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R\NEHA BAUDH\SELECTED\darktable_exported\FRENECTOMY\GINGI\WhatsApp Image 2025-02-06 at 19.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1689" cy="1440000"/>
                    </a:xfrm>
                    <a:prstGeom prst="rect">
                      <a:avLst/>
                    </a:prstGeom>
                    <a:noFill/>
                    <a:ln>
                      <a:solidFill>
                        <a:schemeClr val="tx1"/>
                      </a:solidFill>
                    </a:ln>
                  </pic:spPr>
                </pic:pic>
              </a:graphicData>
            </a:graphic>
          </wp:inline>
        </w:drawing>
      </w:r>
    </w:p>
    <w:p w14:paraId="57254DED" w14:textId="77777777" w:rsidR="00667EDA" w:rsidRDefault="00667EDA" w:rsidP="00667EDA">
      <w:pPr>
        <w:ind w:left="1800" w:firstLine="360"/>
      </w:pPr>
      <w:r>
        <w:t>(c)</w:t>
      </w:r>
    </w:p>
    <w:p w14:paraId="4D2B6F37" w14:textId="77777777" w:rsidR="00D81715" w:rsidRDefault="00D81715" w:rsidP="001B4BDF">
      <w:pPr>
        <w:ind w:left="360"/>
      </w:pPr>
    </w:p>
    <w:p w14:paraId="16565CF6" w14:textId="77777777" w:rsidR="001B4BDF" w:rsidRDefault="001B4BDF" w:rsidP="001B4BDF">
      <w:r w:rsidRPr="005D4A3D">
        <w:rPr>
          <w:b/>
        </w:rPr>
        <w:t xml:space="preserve">Figure </w:t>
      </w:r>
      <w:r w:rsidRPr="005D4A3D">
        <w:rPr>
          <w:b/>
        </w:rPr>
        <w:fldChar w:fldCharType="begin"/>
      </w:r>
      <w:r w:rsidRPr="005D4A3D">
        <w:rPr>
          <w:b/>
        </w:rPr>
        <w:instrText xml:space="preserve"> SEQ Figure \* ARABIC </w:instrText>
      </w:r>
      <w:r w:rsidRPr="005D4A3D">
        <w:rPr>
          <w:b/>
        </w:rPr>
        <w:fldChar w:fldCharType="separate"/>
      </w:r>
      <w:r w:rsidRPr="005D4A3D">
        <w:rPr>
          <w:b/>
          <w:noProof/>
        </w:rPr>
        <w:t>5</w:t>
      </w:r>
      <w:r w:rsidRPr="005D4A3D">
        <w:rPr>
          <w:b/>
          <w:noProof/>
        </w:rPr>
        <w:fldChar w:fldCharType="end"/>
      </w:r>
      <w:r w:rsidRPr="005D4A3D">
        <w:rPr>
          <w:b/>
        </w:rPr>
        <w:t xml:space="preserve"> : </w:t>
      </w:r>
      <w:proofErr w:type="spellStart"/>
      <w:r w:rsidRPr="005D4A3D">
        <w:rPr>
          <w:b/>
        </w:rPr>
        <w:t>Gingivoplasty</w:t>
      </w:r>
      <w:proofErr w:type="spellEnd"/>
      <w:r w:rsidRPr="005D4A3D">
        <w:rPr>
          <w:b/>
        </w:rPr>
        <w:t>.</w:t>
      </w:r>
      <w:r>
        <w:t xml:space="preserve"> </w:t>
      </w:r>
      <w:r w:rsidR="005D4A3D">
        <w:t>(</w:t>
      </w:r>
      <w:r>
        <w:t xml:space="preserve">a) Pre-operative view, </w:t>
      </w:r>
      <w:r w:rsidR="005D4A3D">
        <w:t>(</w:t>
      </w:r>
      <w:r>
        <w:t>b)</w:t>
      </w:r>
      <w:r w:rsidRPr="00433A49">
        <w:t xml:space="preserve"> </w:t>
      </w:r>
      <w:r>
        <w:t xml:space="preserve">Digital planning for veneers and </w:t>
      </w:r>
      <w:r w:rsidR="005D4A3D">
        <w:t>(</w:t>
      </w:r>
      <w:r>
        <w:t>c) Immediate Post-operative view.</w:t>
      </w:r>
    </w:p>
    <w:p w14:paraId="0A3903E4" w14:textId="77777777" w:rsidR="00D81715" w:rsidRDefault="00D81715" w:rsidP="001B4BDF">
      <w:pPr>
        <w:pStyle w:val="Heading2"/>
        <w:rPr>
          <w:rFonts w:ascii="Arial" w:hAnsi="Arial" w:cs="Arial"/>
          <w:b/>
          <w:color w:val="000000" w:themeColor="text1"/>
          <w:sz w:val="22"/>
        </w:rPr>
      </w:pPr>
    </w:p>
    <w:p w14:paraId="4856EFFC" w14:textId="77777777" w:rsidR="001B4BDF" w:rsidRPr="002B56D8" w:rsidRDefault="002B56D8" w:rsidP="001B4BDF">
      <w:pPr>
        <w:pStyle w:val="Heading2"/>
        <w:rPr>
          <w:rFonts w:ascii="Arial" w:hAnsi="Arial" w:cs="Arial"/>
          <w:b/>
          <w:color w:val="000000" w:themeColor="text1"/>
          <w:sz w:val="22"/>
        </w:rPr>
      </w:pPr>
      <w:r w:rsidRPr="002B56D8">
        <w:rPr>
          <w:rFonts w:ascii="Arial" w:hAnsi="Arial" w:cs="Arial"/>
          <w:b/>
          <w:color w:val="000000" w:themeColor="text1"/>
          <w:sz w:val="22"/>
        </w:rPr>
        <w:t xml:space="preserve">2.5 </w:t>
      </w:r>
      <w:r w:rsidR="001B4BDF" w:rsidRPr="002B56D8">
        <w:rPr>
          <w:rFonts w:ascii="Arial" w:hAnsi="Arial" w:cs="Arial"/>
          <w:b/>
          <w:color w:val="000000" w:themeColor="text1"/>
          <w:sz w:val="22"/>
        </w:rPr>
        <w:t>Veneers</w:t>
      </w:r>
      <w:r w:rsidR="001B4BDF" w:rsidRPr="002B56D8">
        <w:rPr>
          <w:rFonts w:ascii="Arial" w:eastAsia="Times New Roman" w:hAnsi="Arial" w:cs="Arial"/>
          <w:b/>
          <w:snapToGrid w:val="0"/>
          <w:color w:val="000000" w:themeColor="text1"/>
          <w:w w:val="0"/>
          <w:sz w:val="2"/>
          <w:szCs w:val="0"/>
          <w:u w:color="000000"/>
          <w:bdr w:val="none" w:sz="0" w:space="0" w:color="000000"/>
          <w:shd w:val="clear" w:color="000000" w:fill="000000"/>
          <w:lang w:val="x-none" w:eastAsia="x-none" w:bidi="x-none"/>
        </w:rPr>
        <w:t xml:space="preserve"> </w:t>
      </w:r>
    </w:p>
    <w:p w14:paraId="4A416C31" w14:textId="786A0C74" w:rsidR="001B4BDF" w:rsidRDefault="001B4BDF" w:rsidP="001E1EC6">
      <w:pPr>
        <w:spacing w:line="276" w:lineRule="auto"/>
        <w:jc w:val="both"/>
      </w:pPr>
      <w:r>
        <w:t xml:space="preserve">The veneers were planned, </w:t>
      </w:r>
      <w:r w:rsidRPr="00A00A69">
        <w:t>beginning with a thorough consultation and treatment planning.</w:t>
      </w:r>
      <w:r>
        <w:t xml:space="preserve"> Digital impressions </w:t>
      </w:r>
      <w:r w:rsidR="004E0D9B" w:rsidRPr="004E0D9B">
        <w:rPr>
          <w:highlight w:val="cyan"/>
        </w:rPr>
        <w:t>were</w:t>
      </w:r>
      <w:r>
        <w:t xml:space="preserve"> then obtained to facilitate precise digital planning using EXOCAD Smile Creator software, followed by the fabrication of a 3D-printed mock-up for trial and patient approval.</w:t>
      </w:r>
      <w:r w:rsidRPr="00232107">
        <w:t xml:space="preserve"> </w:t>
      </w:r>
      <w:r>
        <w:t xml:space="preserve">Tooth preparation involves creating 0.4mm depth grooves on teeth 12, 11, 21, and 22, followed by the careful removal of a thin enamel layer (0.5-1mm) and the establishment of a chamfer finish line. Post-preparation Digital impressions (Figure </w:t>
      </w:r>
      <w:r w:rsidR="00707872">
        <w:t>6</w:t>
      </w:r>
      <w:r>
        <w:t xml:space="preserve"> </w:t>
      </w:r>
      <w:r w:rsidR="00707872">
        <w:t>(</w:t>
      </w:r>
      <w:r>
        <w:t>a</w:t>
      </w:r>
      <w:r w:rsidR="00707872">
        <w:t>)</w:t>
      </w:r>
      <w:r>
        <w:t xml:space="preserve">) </w:t>
      </w:r>
      <w:r w:rsidR="004E0D9B" w:rsidRPr="004E0D9B">
        <w:rPr>
          <w:highlight w:val="cyan"/>
        </w:rPr>
        <w:t>were</w:t>
      </w:r>
      <w:r>
        <w:t xml:space="preserve"> recorded to fabricate custom veneers, and temporization with bis-acryl resin material </w:t>
      </w:r>
      <w:r w:rsidR="004E0D9B" w:rsidRPr="004E0D9B">
        <w:rPr>
          <w:highlight w:val="cyan"/>
        </w:rPr>
        <w:t>wa</w:t>
      </w:r>
      <w:r w:rsidRPr="004E0D9B">
        <w:rPr>
          <w:highlight w:val="cyan"/>
        </w:rPr>
        <w:t>s</w:t>
      </w:r>
      <w:r>
        <w:t xml:space="preserve"> carried out to protect the prepared teeth. The digital design of the veneers </w:t>
      </w:r>
      <w:r w:rsidR="004E0D9B" w:rsidRPr="004E0D9B">
        <w:rPr>
          <w:highlight w:val="cyan"/>
        </w:rPr>
        <w:t>wa</w:t>
      </w:r>
      <w:r w:rsidRPr="004E0D9B">
        <w:rPr>
          <w:highlight w:val="cyan"/>
        </w:rPr>
        <w:t>s</w:t>
      </w:r>
      <w:r>
        <w:t xml:space="preserve"> then created using CAD software, and a stereolithographic (3D-printed) master cast </w:t>
      </w:r>
      <w:r w:rsidR="004E0D9B" w:rsidRPr="004E0D9B">
        <w:rPr>
          <w:highlight w:val="cyan"/>
        </w:rPr>
        <w:t>wa</w:t>
      </w:r>
      <w:r w:rsidRPr="004E0D9B">
        <w:rPr>
          <w:highlight w:val="cyan"/>
        </w:rPr>
        <w:t>s</w:t>
      </w:r>
      <w:r>
        <w:t xml:space="preserve"> fabricated for enhanced accuracy.</w:t>
      </w:r>
      <w:r w:rsidRPr="00232107">
        <w:t xml:space="preserve"> </w:t>
      </w:r>
      <w:r>
        <w:t xml:space="preserve">A 3D-printed pattern trial (Figure </w:t>
      </w:r>
      <w:r w:rsidR="00707872">
        <w:t>6</w:t>
      </w:r>
      <w:r>
        <w:t xml:space="preserve"> </w:t>
      </w:r>
      <w:r w:rsidR="00707872">
        <w:t>(</w:t>
      </w:r>
      <w:r>
        <w:t>b</w:t>
      </w:r>
      <w:r w:rsidR="00707872">
        <w:t>)</w:t>
      </w:r>
      <w:r>
        <w:t xml:space="preserve">) </w:t>
      </w:r>
      <w:r w:rsidR="004E0D9B" w:rsidRPr="004E0D9B">
        <w:rPr>
          <w:highlight w:val="cyan"/>
        </w:rPr>
        <w:t>wa</w:t>
      </w:r>
      <w:r w:rsidRPr="004E0D9B">
        <w:rPr>
          <w:highlight w:val="cyan"/>
        </w:rPr>
        <w:t>s</w:t>
      </w:r>
      <w:r>
        <w:t xml:space="preserve"> conducted to assess the fit, color, and aesthetics before finalizing the prosthesis.</w:t>
      </w:r>
    </w:p>
    <w:p w14:paraId="4AE05EE1" w14:textId="4D9B6463" w:rsidR="001B4BDF" w:rsidRDefault="001B4BDF" w:rsidP="001E1EC6">
      <w:pPr>
        <w:spacing w:line="276" w:lineRule="auto"/>
        <w:jc w:val="both"/>
      </w:pPr>
      <w:r>
        <w:t xml:space="preserve">The final lithium disilicate </w:t>
      </w:r>
      <w:proofErr w:type="spellStart"/>
      <w:r>
        <w:t>E.max</w:t>
      </w:r>
      <w:proofErr w:type="spellEnd"/>
      <w:r>
        <w:t xml:space="preserve"> (Figure </w:t>
      </w:r>
      <w:r w:rsidR="00707872">
        <w:t>6</w:t>
      </w:r>
      <w:r>
        <w:t xml:space="preserve"> </w:t>
      </w:r>
      <w:r w:rsidR="00707872">
        <w:t>(</w:t>
      </w:r>
      <w:r>
        <w:t>c</w:t>
      </w:r>
      <w:r w:rsidR="00707872">
        <w:t>)</w:t>
      </w:r>
      <w:r>
        <w:t xml:space="preserve">) veneers undergo surface treatment with 9% HF gel for etching and </w:t>
      </w:r>
      <w:proofErr w:type="spellStart"/>
      <w:r>
        <w:t>Monobond</w:t>
      </w:r>
      <w:proofErr w:type="spellEnd"/>
      <w:r>
        <w:t xml:space="preserve"> N silane coupling agent for bonding preparation. The prepared teeth </w:t>
      </w:r>
      <w:r w:rsidR="004E0D9B" w:rsidRPr="004E0D9B">
        <w:rPr>
          <w:highlight w:val="cyan"/>
        </w:rPr>
        <w:t>were</w:t>
      </w:r>
      <w:r>
        <w:t xml:space="preserve"> acid-etched with 37% phosphoric acid, rinsed, and dried. Multilink N Primer A/B </w:t>
      </w:r>
      <w:r w:rsidR="004E0D9B" w:rsidRPr="004E0D9B">
        <w:rPr>
          <w:highlight w:val="cyan"/>
        </w:rPr>
        <w:t>was</w:t>
      </w:r>
      <w:r>
        <w:t xml:space="preserve"> applied to promote adhesion, followed by the application of Multilink translucent resin cement. The veneers </w:t>
      </w:r>
      <w:r w:rsidR="004E0D9B" w:rsidRPr="004E0D9B">
        <w:rPr>
          <w:highlight w:val="cyan"/>
        </w:rPr>
        <w:t>were</w:t>
      </w:r>
      <w:r>
        <w:t xml:space="preserve"> then positioned, tacked, and the cement margins light-cured for 20 seconds to ensure secure bonding. </w:t>
      </w:r>
      <w:r w:rsidR="004E0D9B">
        <w:t>T</w:t>
      </w:r>
      <w:r>
        <w:t xml:space="preserve">he excess cement </w:t>
      </w:r>
      <w:r w:rsidR="004E0D9B" w:rsidRPr="004E0D9B">
        <w:rPr>
          <w:highlight w:val="cyan"/>
        </w:rPr>
        <w:t>wa</w:t>
      </w:r>
      <w:r w:rsidRPr="004E0D9B">
        <w:rPr>
          <w:highlight w:val="cyan"/>
        </w:rPr>
        <w:t>s</w:t>
      </w:r>
      <w:r>
        <w:t xml:space="preserve"> removed</w:t>
      </w:r>
      <w:r w:rsidR="004E0D9B">
        <w:t xml:space="preserve"> </w:t>
      </w:r>
      <w:r w:rsidR="004E0D9B" w:rsidRPr="004E0D9B">
        <w:rPr>
          <w:highlight w:val="cyan"/>
        </w:rPr>
        <w:t>and</w:t>
      </w:r>
      <w:r w:rsidRPr="004E0D9B">
        <w:rPr>
          <w:highlight w:val="cyan"/>
        </w:rPr>
        <w:t xml:space="preserve"> the veneers </w:t>
      </w:r>
      <w:r w:rsidR="004E0D9B">
        <w:rPr>
          <w:highlight w:val="cyan"/>
        </w:rPr>
        <w:t>wer</w:t>
      </w:r>
      <w:r w:rsidRPr="004E0D9B">
        <w:rPr>
          <w:highlight w:val="cyan"/>
        </w:rPr>
        <w:t>e</w:t>
      </w:r>
      <w:r>
        <w:t xml:space="preserve"> polished to achieve a smooth, natural finish. Post-procedure care instructions </w:t>
      </w:r>
      <w:r w:rsidR="004E0D9B">
        <w:t xml:space="preserve">were given, and follow-up </w:t>
      </w:r>
      <w:r w:rsidR="004E0D9B" w:rsidRPr="004E0D9B">
        <w:rPr>
          <w:highlight w:val="cyan"/>
        </w:rPr>
        <w:t>visit was</w:t>
      </w:r>
      <w:r>
        <w:t xml:space="preserve"> scheduled to monitor the outcome and ensure long-term success.</w:t>
      </w:r>
    </w:p>
    <w:p w14:paraId="1CA4B7BB" w14:textId="77777777" w:rsidR="001B1C14" w:rsidRDefault="001B1C14">
      <w:r>
        <w:br w:type="page"/>
      </w:r>
    </w:p>
    <w:p w14:paraId="76293A2D" w14:textId="77777777" w:rsidR="00C653B8" w:rsidRDefault="001B4BDF" w:rsidP="00C653B8">
      <w:pPr>
        <w:jc w:val="center"/>
        <w:rPr>
          <w:lang w:val="en-IN"/>
        </w:rPr>
      </w:pPr>
      <w:r w:rsidRPr="00165F02">
        <w:rPr>
          <w:noProof/>
        </w:rPr>
        <w:lastRenderedPageBreak/>
        <w:drawing>
          <wp:inline distT="0" distB="0" distL="0" distR="0" wp14:anchorId="3E8869B9" wp14:editId="124CC05E">
            <wp:extent cx="2400000" cy="1800000"/>
            <wp:effectExtent l="19050" t="19050" r="19685" b="10160"/>
            <wp:docPr id="12" name="Picture 3">
              <a:extLst xmlns:a="http://schemas.openxmlformats.org/drawingml/2006/main">
                <a:ext uri="{FF2B5EF4-FFF2-40B4-BE49-F238E27FC236}">
                  <a16:creationId xmlns:a16="http://schemas.microsoft.com/office/drawing/2014/main" id="{EA5DF1BA-A0FA-12D5-EFBB-A77CBC1A7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A5DF1BA-A0FA-12D5-EFBB-A77CBC1A7D0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1911" t="37675" r="10688" b="36202"/>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653B8">
        <w:rPr>
          <w:lang w:val="en-IN"/>
        </w:rPr>
        <w:tab/>
      </w:r>
      <w:r w:rsidRPr="00165F02">
        <w:rPr>
          <w:noProof/>
        </w:rPr>
        <w:drawing>
          <wp:inline distT="0" distB="0" distL="0" distR="0" wp14:anchorId="257C87AE" wp14:editId="356DD429">
            <wp:extent cx="2400000" cy="1800000"/>
            <wp:effectExtent l="19050" t="19050" r="19685" b="10160"/>
            <wp:docPr id="9" name="Content Placeholder 4">
              <a:extLst xmlns:a="http://schemas.openxmlformats.org/drawingml/2006/main">
                <a:ext uri="{FF2B5EF4-FFF2-40B4-BE49-F238E27FC236}">
                  <a16:creationId xmlns:a16="http://schemas.microsoft.com/office/drawing/2014/main" id="{A95E7FFE-8A1F-8DC0-08AC-C0DEF3364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95E7FFE-8A1F-8DC0-08AC-C0DEF3364EF9}"/>
                        </a:ext>
                      </a:extLst>
                    </pic:cNvPr>
                    <pic:cNvPicPr>
                      <a:picLocks noGrp="1" noChangeAspect="1"/>
                    </pic:cNvPicPr>
                  </pic:nvPicPr>
                  <pic:blipFill rotWithShape="1">
                    <a:blip r:embed="rId31" cstate="print">
                      <a:extLst>
                        <a:ext uri="{28A0092B-C50C-407E-A947-70E740481C1C}">
                          <a14:useLocalDpi xmlns:a14="http://schemas.microsoft.com/office/drawing/2010/main" val="0"/>
                        </a:ext>
                      </a:extLst>
                    </a:blip>
                    <a:srcRect l="20978" t="-376" r="14002" b="376"/>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A9C7DC" w14:textId="77777777" w:rsidR="001B4BDF" w:rsidRDefault="00C653B8" w:rsidP="00C653B8">
      <w:pPr>
        <w:jc w:val="center"/>
        <w:rPr>
          <w:lang w:val="en-IN"/>
        </w:rPr>
      </w:pPr>
      <w:r>
        <w:t>(</w:t>
      </w:r>
      <w:r>
        <w:rPr>
          <w:lang w:val="en-IN"/>
        </w:rPr>
        <w:t>a)</w:t>
      </w:r>
      <w:r>
        <w:rPr>
          <w:lang w:val="en-IN"/>
        </w:rPr>
        <w:tab/>
      </w:r>
      <w:r>
        <w:rPr>
          <w:lang w:val="en-IN"/>
        </w:rPr>
        <w:tab/>
      </w:r>
      <w:r>
        <w:rPr>
          <w:lang w:val="en-IN"/>
        </w:rPr>
        <w:tab/>
      </w:r>
      <w:r>
        <w:rPr>
          <w:lang w:val="en-IN"/>
        </w:rPr>
        <w:tab/>
      </w:r>
      <w:r>
        <w:rPr>
          <w:lang w:val="en-IN"/>
        </w:rPr>
        <w:tab/>
      </w:r>
      <w:r>
        <w:rPr>
          <w:lang w:val="en-IN"/>
        </w:rPr>
        <w:tab/>
      </w:r>
      <w:r>
        <w:t>(</w:t>
      </w:r>
      <w:r>
        <w:rPr>
          <w:lang w:val="en-IN"/>
        </w:rPr>
        <w:t>b)</w:t>
      </w:r>
    </w:p>
    <w:p w14:paraId="5A6511F8" w14:textId="77777777" w:rsidR="001B4BDF" w:rsidRDefault="001B4BDF" w:rsidP="00C653B8">
      <w:pPr>
        <w:jc w:val="center"/>
      </w:pPr>
      <w:r w:rsidRPr="00CE45C1">
        <w:rPr>
          <w:noProof/>
        </w:rPr>
        <w:drawing>
          <wp:inline distT="0" distB="0" distL="0" distR="0" wp14:anchorId="5170FA57" wp14:editId="7640C673">
            <wp:extent cx="1890544" cy="1799472"/>
            <wp:effectExtent l="19050" t="19050" r="1460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69" r="-1"/>
                    <a:stretch/>
                  </pic:blipFill>
                  <pic:spPr bwMode="auto">
                    <a:xfrm>
                      <a:off x="0" y="0"/>
                      <a:ext cx="1891099" cy="180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lang w:val="en-IN"/>
        </w:rPr>
        <w:t xml:space="preserve"> </w:t>
      </w:r>
      <w:r w:rsidR="00C653B8">
        <w:rPr>
          <w:lang w:val="en-IN"/>
        </w:rPr>
        <w:tab/>
      </w:r>
      <w:r w:rsidR="00C653B8">
        <w:rPr>
          <w:lang w:val="en-IN"/>
        </w:rPr>
        <w:tab/>
      </w:r>
      <w:r w:rsidRPr="00165F02">
        <w:rPr>
          <w:noProof/>
        </w:rPr>
        <w:drawing>
          <wp:inline distT="0" distB="0" distL="0" distR="0" wp14:anchorId="2E0A2ABB" wp14:editId="571612A3">
            <wp:extent cx="2400000" cy="1800000"/>
            <wp:effectExtent l="19050" t="19050" r="19685" b="10160"/>
            <wp:docPr id="15" name="Picture 5">
              <a:extLst xmlns:a="http://schemas.openxmlformats.org/drawingml/2006/main">
                <a:ext uri="{FF2B5EF4-FFF2-40B4-BE49-F238E27FC236}">
                  <a16:creationId xmlns:a16="http://schemas.microsoft.com/office/drawing/2014/main" id="{CEB47AA8-E1DD-800D-88F2-0D710B75B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EB47AA8-E1DD-800D-88F2-0D710B75B52C}"/>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6249" r="22713"/>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6F4922" w14:textId="77777777" w:rsidR="00C653B8" w:rsidRDefault="00C653B8" w:rsidP="00C653B8">
      <w:pPr>
        <w:jc w:val="center"/>
      </w:pPr>
      <w:r>
        <w:t>(</w:t>
      </w:r>
      <w:r>
        <w:rPr>
          <w:lang w:val="en-IN"/>
        </w:rPr>
        <w:t>c</w:t>
      </w:r>
      <w:r>
        <w:t>)</w:t>
      </w:r>
      <w:r w:rsidRPr="00C653B8">
        <w:t xml:space="preserve"> </w:t>
      </w:r>
      <w:r>
        <w:tab/>
      </w:r>
      <w:r>
        <w:tab/>
      </w:r>
      <w:r>
        <w:tab/>
      </w:r>
      <w:r>
        <w:tab/>
      </w:r>
      <w:r>
        <w:tab/>
      </w:r>
      <w:r>
        <w:tab/>
        <w:t>(d)</w:t>
      </w:r>
    </w:p>
    <w:p w14:paraId="325588BA" w14:textId="77777777" w:rsidR="00C653B8" w:rsidRDefault="00C653B8" w:rsidP="00C653B8">
      <w:pPr>
        <w:jc w:val="center"/>
        <w:rPr>
          <w:lang w:val="en-IN"/>
        </w:rPr>
      </w:pPr>
    </w:p>
    <w:p w14:paraId="166B064A" w14:textId="77777777" w:rsidR="001B4BDF" w:rsidRPr="003B38C0" w:rsidRDefault="001B4BDF" w:rsidP="001B4BDF">
      <w:r w:rsidRPr="00202628">
        <w:rPr>
          <w:b/>
          <w:lang w:val="en-IN"/>
        </w:rPr>
        <w:t xml:space="preserve">Figure </w:t>
      </w:r>
      <w:r w:rsidR="00202628" w:rsidRPr="00202628">
        <w:rPr>
          <w:b/>
          <w:lang w:val="en-IN"/>
        </w:rPr>
        <w:t>6</w:t>
      </w:r>
      <w:r w:rsidRPr="00202628">
        <w:rPr>
          <w:b/>
          <w:lang w:val="en-IN"/>
        </w:rPr>
        <w:t>: Veneer Placement.</w:t>
      </w:r>
      <w:r>
        <w:rPr>
          <w:lang w:val="en-IN"/>
        </w:rPr>
        <w:t xml:space="preserve"> </w:t>
      </w:r>
      <w:r w:rsidR="00202628">
        <w:rPr>
          <w:lang w:val="en-IN"/>
        </w:rPr>
        <w:t>(</w:t>
      </w:r>
      <w:r>
        <w:rPr>
          <w:lang w:val="en-IN"/>
        </w:rPr>
        <w:t xml:space="preserve">a) Post-Preparation Digital impression </w:t>
      </w:r>
      <w:r w:rsidR="00202628">
        <w:rPr>
          <w:lang w:val="en-IN"/>
        </w:rPr>
        <w:t>(</w:t>
      </w:r>
      <w:r>
        <w:rPr>
          <w:lang w:val="en-IN"/>
        </w:rPr>
        <w:t>b)</w:t>
      </w:r>
      <w:r w:rsidRPr="00A67065">
        <w:rPr>
          <w:lang w:val="en-IN"/>
        </w:rPr>
        <w:t xml:space="preserve"> </w:t>
      </w:r>
      <w:r>
        <w:rPr>
          <w:lang w:val="en-IN"/>
        </w:rPr>
        <w:t xml:space="preserve">3D Printed Pattern trial </w:t>
      </w:r>
      <w:r w:rsidR="00202628">
        <w:rPr>
          <w:lang w:val="en-IN"/>
        </w:rPr>
        <w:t>(</w:t>
      </w:r>
      <w:r>
        <w:rPr>
          <w:lang w:val="en-IN"/>
        </w:rPr>
        <w:t xml:space="preserve">c) Final Prosthesis and </w:t>
      </w:r>
      <w:r w:rsidR="00202628">
        <w:rPr>
          <w:lang w:val="en-IN"/>
        </w:rPr>
        <w:t>(</w:t>
      </w:r>
      <w:r>
        <w:rPr>
          <w:lang w:val="en-IN"/>
        </w:rPr>
        <w:t>d)</w:t>
      </w:r>
      <w:r w:rsidRPr="00A67065">
        <w:t xml:space="preserve"> </w:t>
      </w:r>
      <w:r>
        <w:t>Final prosthesis in placement.</w:t>
      </w:r>
    </w:p>
    <w:p w14:paraId="22DCF9A2" w14:textId="77777777" w:rsidR="00790ADA" w:rsidRPr="00FB3A86" w:rsidRDefault="00790ADA" w:rsidP="00441B6F">
      <w:pPr>
        <w:pStyle w:val="Body"/>
        <w:spacing w:after="0"/>
        <w:rPr>
          <w:rFonts w:cs="Arial"/>
        </w:rPr>
      </w:pPr>
    </w:p>
    <w:p w14:paraId="126190E6" w14:textId="1B7CF324" w:rsidR="00902823" w:rsidRDefault="00000F8F" w:rsidP="00441B6F">
      <w:pPr>
        <w:pStyle w:val="Head1"/>
        <w:spacing w:after="0"/>
        <w:jc w:val="both"/>
        <w:rPr>
          <w:rFonts w:cs="Arial"/>
        </w:rPr>
      </w:pPr>
      <w:r>
        <w:rPr>
          <w:rFonts w:cs="Arial"/>
        </w:rPr>
        <w:t>3</w:t>
      </w:r>
      <w:r w:rsidR="00902823">
        <w:rPr>
          <w:rFonts w:cs="Arial"/>
        </w:rPr>
        <w:t xml:space="preserve">. </w:t>
      </w:r>
      <w:bookmarkStart w:id="2" w:name="_GoBack"/>
      <w:bookmarkEnd w:id="2"/>
      <w:r>
        <w:rPr>
          <w:rFonts w:cs="Arial"/>
        </w:rPr>
        <w:t>discussion</w:t>
      </w:r>
    </w:p>
    <w:p w14:paraId="44008140" w14:textId="77777777" w:rsidR="00D80437" w:rsidRDefault="00D80437" w:rsidP="00D80437">
      <w:pPr>
        <w:spacing w:line="276" w:lineRule="auto"/>
        <w:jc w:val="both"/>
      </w:pPr>
      <w:r>
        <w:t>T</w:t>
      </w:r>
      <w:r w:rsidRPr="00683199">
        <w:t xml:space="preserve">he </w:t>
      </w:r>
      <w:r w:rsidRPr="00683199">
        <w:rPr>
          <w:bCs/>
        </w:rPr>
        <w:t>scalpel gingival depigmentation</w:t>
      </w:r>
      <w:r w:rsidRPr="00683199">
        <w:t xml:space="preserve"> technique was chosen due to its proven effectiveness, affordability, and faster healing process. The scalpel method, also known as the split-thickness epithelial excision technique, is widely recognized for its precision in removing the pigmented epithelial layer, resulting in improved gingival aesthetics. This technique is preferred for its faster healing time compared to other methods and its low recurrence rate, making it an effective choice for immediate esthetic improvement​</w:t>
      </w:r>
      <w:r w:rsidR="009577E2">
        <w:t xml:space="preserve"> </w:t>
      </w:r>
      <w:r w:rsidR="00BD499B">
        <w:t>(</w:t>
      </w:r>
      <w:r w:rsidR="009577E2">
        <w:t>Mari</w:t>
      </w:r>
      <w:r w:rsidR="00BD499B">
        <w:t xml:space="preserve"> et al., 2022)</w:t>
      </w:r>
      <w:r w:rsidRPr="00683199">
        <w:t>.</w:t>
      </w:r>
      <w:r w:rsidR="00BD499B">
        <w:t xml:space="preserve"> </w:t>
      </w:r>
    </w:p>
    <w:p w14:paraId="626B48D8" w14:textId="77777777" w:rsidR="00D80437" w:rsidRPr="00D80437" w:rsidRDefault="00D80437" w:rsidP="00D80437">
      <w:pPr>
        <w:spacing w:line="276" w:lineRule="auto"/>
        <w:jc w:val="both"/>
        <w:rPr>
          <w:rFonts w:cs="Arial"/>
        </w:rPr>
      </w:pPr>
    </w:p>
    <w:p w14:paraId="48D66314" w14:textId="77777777" w:rsidR="00707872" w:rsidRDefault="00D80437" w:rsidP="00707872">
      <w:pPr>
        <w:spacing w:line="276" w:lineRule="auto"/>
        <w:jc w:val="both"/>
        <w:rPr>
          <w:rFonts w:cs="Arial"/>
        </w:rPr>
      </w:pPr>
      <w:r w:rsidRPr="00D80437">
        <w:rPr>
          <w:rFonts w:cs="Arial"/>
        </w:rPr>
        <w:t xml:space="preserve">To assess the healing process, an epithelialization test with 1% methylene blue was conducted on the 15th and 45th day, confirming </w:t>
      </w:r>
      <w:r w:rsidR="00F8265F">
        <w:rPr>
          <w:rFonts w:cs="Arial"/>
        </w:rPr>
        <w:t>uneventful healing</w:t>
      </w:r>
      <w:r w:rsidRPr="00D80437">
        <w:rPr>
          <w:rFonts w:cs="Arial"/>
        </w:rPr>
        <w:t xml:space="preserve">. The gingiva was uniform pink in color, free from excessive pigmentation. Additionally, the use of vitamin </w:t>
      </w:r>
      <w:r w:rsidR="00C1148F">
        <w:rPr>
          <w:rFonts w:cs="Arial"/>
        </w:rPr>
        <w:t>E</w:t>
      </w:r>
      <w:r w:rsidRPr="00D80437">
        <w:rPr>
          <w:rFonts w:cs="Arial"/>
        </w:rPr>
        <w:t xml:space="preserve"> facilitated accelerated healing and minimized postoperative discomfort, proving to be a non-invasive alternative to PRF membranes.</w:t>
      </w:r>
    </w:p>
    <w:p w14:paraId="63A3E396" w14:textId="77777777" w:rsidR="00707872" w:rsidRDefault="00707872" w:rsidP="00707872">
      <w:pPr>
        <w:spacing w:line="276" w:lineRule="auto"/>
        <w:jc w:val="both"/>
        <w:rPr>
          <w:rFonts w:cs="Arial"/>
        </w:rPr>
      </w:pPr>
    </w:p>
    <w:p w14:paraId="215ECBDC" w14:textId="77777777" w:rsidR="00D80437" w:rsidRPr="00D80437" w:rsidRDefault="00D80437" w:rsidP="00707872">
      <w:pPr>
        <w:spacing w:line="276" w:lineRule="auto"/>
        <w:jc w:val="both"/>
        <w:rPr>
          <w:rFonts w:cs="Arial"/>
        </w:rPr>
      </w:pPr>
      <w:r w:rsidRPr="00BD499B">
        <w:rPr>
          <w:rFonts w:cs="Arial"/>
        </w:rPr>
        <w:t>Aishwarya Kale et al. (2023)</w:t>
      </w:r>
      <w:r w:rsidR="00C92A7B" w:rsidRPr="00BD499B">
        <w:rPr>
          <w:rFonts w:cs="Arial"/>
        </w:rPr>
        <w:t xml:space="preserve"> </w:t>
      </w:r>
      <w:r w:rsidR="00F62D1E" w:rsidRPr="00BD499B">
        <w:rPr>
          <w:rFonts w:cs="Arial"/>
        </w:rPr>
        <w:t>conducted study</w:t>
      </w:r>
      <w:r w:rsidRPr="00D80437">
        <w:rPr>
          <w:rFonts w:cs="Arial"/>
        </w:rPr>
        <w:t>, demonstrating that PRF membranes and 0.2% HA gel contribute to faster healing of depigmented gingival wounds. Similarly, Ritu Agrawal et al. (2024) evaluated the effects of Vitamin E and C application, concluding that Vitamin E led to improved healing and pain reduction post-depigmentation.</w:t>
      </w:r>
    </w:p>
    <w:p w14:paraId="4CBF6CA5" w14:textId="55958201" w:rsidR="00D80437" w:rsidRPr="00D80437" w:rsidRDefault="00D80437" w:rsidP="00D80437">
      <w:pPr>
        <w:pStyle w:val="NormalWeb"/>
        <w:jc w:val="both"/>
        <w:rPr>
          <w:rFonts w:ascii="Arial" w:hAnsi="Arial" w:cs="Arial"/>
          <w:sz w:val="20"/>
          <w:szCs w:val="20"/>
        </w:rPr>
      </w:pPr>
      <w:r w:rsidRPr="00D80437">
        <w:rPr>
          <w:rFonts w:ascii="Arial" w:hAnsi="Arial" w:cs="Arial"/>
          <w:sz w:val="20"/>
          <w:szCs w:val="20"/>
        </w:rPr>
        <w:lastRenderedPageBreak/>
        <w:t xml:space="preserve">The paralleling technique was selected for the frenectomy procedure due to its precision and favorable postoperative outcomes. This method involves making two parallel incisions along the frenum ridge, ensuring controlled removal of muscle fibers while minimizing trauma to surrounding tissues. Studies by </w:t>
      </w:r>
      <w:proofErr w:type="spellStart"/>
      <w:r w:rsidRPr="00D80437">
        <w:rPr>
          <w:rFonts w:ascii="Arial" w:hAnsi="Arial" w:cs="Arial"/>
          <w:sz w:val="20"/>
          <w:szCs w:val="20"/>
        </w:rPr>
        <w:t>Abullias</w:t>
      </w:r>
      <w:proofErr w:type="spellEnd"/>
      <w:r w:rsidRPr="00D80437">
        <w:rPr>
          <w:rFonts w:ascii="Arial" w:hAnsi="Arial" w:cs="Arial"/>
          <w:sz w:val="20"/>
          <w:szCs w:val="20"/>
        </w:rPr>
        <w:t xml:space="preserve"> et a</w:t>
      </w:r>
      <w:r w:rsidR="00097B49">
        <w:rPr>
          <w:rFonts w:ascii="Arial" w:hAnsi="Arial" w:cs="Arial"/>
          <w:sz w:val="20"/>
          <w:szCs w:val="20"/>
        </w:rPr>
        <w:t xml:space="preserve">l. (2016), </w:t>
      </w:r>
      <w:proofErr w:type="spellStart"/>
      <w:r w:rsidR="00707872">
        <w:rPr>
          <w:rFonts w:ascii="Arial" w:hAnsi="Arial" w:cs="Arial"/>
          <w:sz w:val="20"/>
          <w:szCs w:val="20"/>
        </w:rPr>
        <w:t>Riwan</w:t>
      </w:r>
      <w:proofErr w:type="spellEnd"/>
      <w:r w:rsidR="00707872">
        <w:rPr>
          <w:rFonts w:ascii="Arial" w:hAnsi="Arial" w:cs="Arial"/>
          <w:sz w:val="20"/>
          <w:szCs w:val="20"/>
        </w:rPr>
        <w:t xml:space="preserve"> et al. (2018</w:t>
      </w:r>
      <w:r w:rsidRPr="00D80437">
        <w:rPr>
          <w:rFonts w:ascii="Arial" w:hAnsi="Arial" w:cs="Arial"/>
          <w:sz w:val="20"/>
          <w:szCs w:val="20"/>
        </w:rPr>
        <w:t>)</w:t>
      </w:r>
      <w:r w:rsidR="00C92A7B">
        <w:rPr>
          <w:rFonts w:ascii="Arial" w:hAnsi="Arial" w:cs="Arial"/>
          <w:sz w:val="20"/>
          <w:szCs w:val="20"/>
        </w:rPr>
        <w:t xml:space="preserve"> </w:t>
      </w:r>
      <w:r w:rsidR="00097B49">
        <w:rPr>
          <w:rFonts w:ascii="Arial" w:hAnsi="Arial" w:cs="Arial"/>
          <w:sz w:val="20"/>
          <w:szCs w:val="20"/>
        </w:rPr>
        <w:t xml:space="preserve">and </w:t>
      </w:r>
      <w:proofErr w:type="spellStart"/>
      <w:r w:rsidR="00097B49" w:rsidRPr="00097B49">
        <w:rPr>
          <w:rFonts w:ascii="Arial" w:hAnsi="Arial" w:cs="Arial"/>
          <w:sz w:val="20"/>
          <w:szCs w:val="20"/>
          <w:highlight w:val="cyan"/>
        </w:rPr>
        <w:t>Sumitro</w:t>
      </w:r>
      <w:proofErr w:type="spellEnd"/>
      <w:r w:rsidR="00097B49" w:rsidRPr="00097B49">
        <w:rPr>
          <w:rFonts w:ascii="Arial" w:hAnsi="Arial" w:cs="Arial"/>
          <w:sz w:val="20"/>
          <w:szCs w:val="20"/>
          <w:highlight w:val="cyan"/>
        </w:rPr>
        <w:t xml:space="preserve"> et al. (2022)</w:t>
      </w:r>
      <w:r w:rsidR="00097B49">
        <w:rPr>
          <w:rFonts w:ascii="Arial" w:hAnsi="Arial" w:cs="Arial"/>
          <w:sz w:val="20"/>
          <w:szCs w:val="20"/>
        </w:rPr>
        <w:t xml:space="preserve"> </w:t>
      </w:r>
      <w:r w:rsidRPr="00D80437">
        <w:rPr>
          <w:rFonts w:ascii="Arial" w:hAnsi="Arial" w:cs="Arial"/>
          <w:sz w:val="20"/>
          <w:szCs w:val="20"/>
        </w:rPr>
        <w:t>have shown that the paralleling technique significantly reduces post-operative pain, enhances patient comfort, and improves speech function compared to conventional frenectomy techniques. Additionally, this approach promotes better healing by enabling primary closure, minimizing scar formation, and reducing the risk of recurrence.</w:t>
      </w:r>
    </w:p>
    <w:p w14:paraId="66B7D8D8" w14:textId="77777777" w:rsidR="00D80437" w:rsidRPr="00D80437" w:rsidRDefault="00D80437" w:rsidP="00D80437">
      <w:pPr>
        <w:pStyle w:val="NormalWeb"/>
        <w:jc w:val="both"/>
        <w:rPr>
          <w:rFonts w:ascii="Arial" w:hAnsi="Arial" w:cs="Arial"/>
          <w:sz w:val="20"/>
          <w:szCs w:val="20"/>
        </w:rPr>
      </w:pPr>
      <w:proofErr w:type="spellStart"/>
      <w:r w:rsidRPr="00D80437">
        <w:rPr>
          <w:rFonts w:ascii="Arial" w:hAnsi="Arial" w:cs="Arial"/>
          <w:sz w:val="20"/>
          <w:szCs w:val="20"/>
        </w:rPr>
        <w:t>Gingivoplasty</w:t>
      </w:r>
      <w:proofErr w:type="spellEnd"/>
      <w:r w:rsidRPr="00D80437">
        <w:rPr>
          <w:rFonts w:ascii="Arial" w:hAnsi="Arial" w:cs="Arial"/>
          <w:sz w:val="20"/>
          <w:szCs w:val="20"/>
        </w:rPr>
        <w:t xml:space="preserve"> was performed on the upper anterior teeth to reshape the gingival contours, correcting the gingival zenith and achieving a symmetric</w:t>
      </w:r>
      <w:r w:rsidR="00E6237A">
        <w:rPr>
          <w:rFonts w:ascii="Arial" w:hAnsi="Arial" w:cs="Arial"/>
          <w:sz w:val="20"/>
          <w:szCs w:val="20"/>
        </w:rPr>
        <w:t xml:space="preserve">al gingival margin. </w:t>
      </w:r>
      <w:r w:rsidRPr="00D80437">
        <w:rPr>
          <w:rFonts w:ascii="Arial" w:hAnsi="Arial" w:cs="Arial"/>
          <w:sz w:val="20"/>
          <w:szCs w:val="20"/>
        </w:rPr>
        <w:t>The gingival zenith, which is the most apical point of the gingival contour, plays a crucial role in maintaining smile symmetry and balance</w:t>
      </w:r>
      <w:r w:rsidR="00E6237A" w:rsidRPr="00E6237A">
        <w:rPr>
          <w:rFonts w:ascii="Arial" w:hAnsi="Arial" w:cs="Arial"/>
          <w:b/>
          <w:sz w:val="20"/>
          <w:szCs w:val="20"/>
        </w:rPr>
        <w:t xml:space="preserve"> </w:t>
      </w:r>
      <w:r w:rsidR="00E6237A" w:rsidRPr="00745936">
        <w:rPr>
          <w:rFonts w:ascii="Arial" w:hAnsi="Arial" w:cs="Arial"/>
          <w:sz w:val="20"/>
          <w:szCs w:val="20"/>
        </w:rPr>
        <w:t>(</w:t>
      </w:r>
      <w:r w:rsidR="00E6237A" w:rsidRPr="00E6237A">
        <w:rPr>
          <w:rFonts w:ascii="Arial" w:hAnsi="Arial" w:cs="Arial"/>
          <w:sz w:val="20"/>
          <w:szCs w:val="20"/>
        </w:rPr>
        <w:t>Pawar et al.</w:t>
      </w:r>
      <w:r w:rsidR="00E6237A">
        <w:rPr>
          <w:rFonts w:ascii="Arial" w:hAnsi="Arial" w:cs="Arial"/>
          <w:sz w:val="20"/>
          <w:szCs w:val="20"/>
        </w:rPr>
        <w:t>,2011)</w:t>
      </w:r>
      <w:r w:rsidRPr="00D80437">
        <w:rPr>
          <w:rFonts w:ascii="Arial" w:hAnsi="Arial" w:cs="Arial"/>
          <w:sz w:val="20"/>
          <w:szCs w:val="20"/>
        </w:rPr>
        <w:t>. Proper positioning of the gingival zenith aligns the axial inclination of the teeth, ensuring a harmonious and natural esthetic outcome. This correction not only improved the visual appeal of the smile but also contributed to optimal dental proportions.</w:t>
      </w:r>
    </w:p>
    <w:p w14:paraId="3606CDAE" w14:textId="77777777" w:rsidR="00D80437" w:rsidRPr="00D80437" w:rsidRDefault="00D80437" w:rsidP="00D80437">
      <w:pPr>
        <w:pStyle w:val="NormalWeb"/>
        <w:jc w:val="both"/>
        <w:rPr>
          <w:rFonts w:ascii="Arial" w:hAnsi="Arial" w:cs="Arial"/>
          <w:sz w:val="20"/>
          <w:szCs w:val="20"/>
        </w:rPr>
      </w:pPr>
      <w:r w:rsidRPr="00D80437">
        <w:rPr>
          <w:rFonts w:ascii="Arial" w:hAnsi="Arial" w:cs="Arial"/>
          <w:sz w:val="20"/>
          <w:szCs w:val="20"/>
        </w:rPr>
        <w:t>Following the surgical procedures, laminate veneer restorations were placed to close the diastema, providing excellent shade matching and shape correction. The patient expressed high satisfaction with the aesthetic and functional improvements. The integration of periodontal surgical and restorative procedures significantly enhanced the overall smile aesthetics, demonstrating the effectiveness of a comprehensive treatment approach in addressing esthetic concerns.</w:t>
      </w:r>
    </w:p>
    <w:p w14:paraId="3E0D65AD" w14:textId="77777777" w:rsidR="00B01FCD" w:rsidRDefault="00781A9E" w:rsidP="00441B6F">
      <w:pPr>
        <w:pStyle w:val="ConcHead"/>
        <w:spacing w:after="0"/>
        <w:jc w:val="both"/>
        <w:rPr>
          <w:rFonts w:cs="Arial"/>
        </w:rPr>
      </w:pPr>
      <w:r>
        <w:rPr>
          <w:rFonts w:cs="Arial"/>
        </w:rPr>
        <w:t>4</w:t>
      </w:r>
      <w:r w:rsidR="00000F8F">
        <w:rPr>
          <w:rFonts w:cs="Arial"/>
        </w:rPr>
        <w:t xml:space="preserve">. </w:t>
      </w:r>
      <w:r w:rsidR="00B01FCD" w:rsidRPr="00FB3A86">
        <w:rPr>
          <w:rFonts w:cs="Arial"/>
        </w:rPr>
        <w:t>Conclusion</w:t>
      </w:r>
    </w:p>
    <w:p w14:paraId="2302730B" w14:textId="77777777" w:rsidR="00790ADA" w:rsidRPr="00FB3A86" w:rsidRDefault="00790ADA" w:rsidP="00441B6F">
      <w:pPr>
        <w:pStyle w:val="ConcHead"/>
        <w:spacing w:after="0"/>
        <w:jc w:val="both"/>
        <w:rPr>
          <w:rFonts w:cs="Arial"/>
        </w:rPr>
      </w:pPr>
    </w:p>
    <w:p w14:paraId="300434A1" w14:textId="77777777" w:rsidR="00315186" w:rsidRPr="00315186" w:rsidRDefault="00886AF3" w:rsidP="00F44F80">
      <w:pPr>
        <w:pStyle w:val="Body"/>
        <w:spacing w:after="0" w:line="276" w:lineRule="auto"/>
      </w:pPr>
      <w:r w:rsidRPr="00D075AE">
        <w:t xml:space="preserve">The integration of surgical interventions such as </w:t>
      </w:r>
      <w:r>
        <w:t xml:space="preserve">depigmentation, </w:t>
      </w:r>
      <w:r w:rsidRPr="00D075AE">
        <w:t xml:space="preserve">frenectomy, </w:t>
      </w:r>
      <w:proofErr w:type="spellStart"/>
      <w:r w:rsidRPr="00D075AE">
        <w:t>gingivoplasty</w:t>
      </w:r>
      <w:proofErr w:type="spellEnd"/>
      <w:r w:rsidRPr="00D075AE">
        <w:t>, and veneer placement successfully addressed both aesthetic concerns and functional issues. This comprehensive approach enhanced the patient's smile, reinforcing the value of tailored treatment strategies in achieving optimal periodontal health and aesthetics.</w:t>
      </w:r>
      <w:r w:rsidRPr="0065491F">
        <w:t xml:space="preserve"> </w:t>
      </w:r>
      <w:r w:rsidRPr="00D075AE">
        <w:t xml:space="preserve">Overall, the </w:t>
      </w:r>
      <w:r>
        <w:t xml:space="preserve">report </w:t>
      </w:r>
      <w:r w:rsidRPr="00D075AE">
        <w:t>underscores the importance of individualized treatment planning and a multidisciplinary approach to enhance dental aesthetics.</w:t>
      </w:r>
    </w:p>
    <w:p w14:paraId="50BACBB5" w14:textId="4A531EA3" w:rsidR="00AB5DDD" w:rsidRDefault="00AB5DDD">
      <w:pPr>
        <w:rPr>
          <w:rFonts w:cs="Arial"/>
          <w:bCs/>
        </w:rPr>
      </w:pPr>
    </w:p>
    <w:p w14:paraId="71CB21A9" w14:textId="114A023E" w:rsidR="003954CE" w:rsidRPr="003954CE" w:rsidRDefault="003954CE">
      <w:pPr>
        <w:rPr>
          <w:rFonts w:cs="Arial"/>
          <w:b/>
          <w:bCs/>
        </w:rPr>
      </w:pPr>
      <w:r w:rsidRPr="003954CE">
        <w:rPr>
          <w:rFonts w:cs="Arial"/>
          <w:b/>
          <w:bCs/>
        </w:rPr>
        <w:t xml:space="preserve">Consent: </w:t>
      </w:r>
    </w:p>
    <w:p w14:paraId="5F44D119" w14:textId="1765482B" w:rsidR="003954CE" w:rsidRDefault="003954CE">
      <w:pPr>
        <w:rPr>
          <w:rFonts w:cs="Arial"/>
          <w:bCs/>
        </w:rPr>
      </w:pPr>
      <w:r w:rsidRPr="003954CE">
        <w:rPr>
          <w:rFonts w:cs="Arial"/>
          <w:bCs/>
        </w:rPr>
        <w:t>Before performing the surgical procedure, the entire treatment plan was thoroughly explained to the patient, and informed written consent was obtained.</w:t>
      </w:r>
    </w:p>
    <w:p w14:paraId="3406B609" w14:textId="77777777" w:rsidR="00AB5DDD" w:rsidRPr="00AB5DDD" w:rsidRDefault="00AB5DDD" w:rsidP="00AB5DDD">
      <w:pPr>
        <w:tabs>
          <w:tab w:val="left" w:pos="2696"/>
        </w:tabs>
        <w:spacing w:after="200" w:line="276" w:lineRule="auto"/>
        <w:rPr>
          <w:rFonts w:eastAsiaTheme="minorHAnsi" w:cs="Arial"/>
          <w:lang w:val="en-GB"/>
        </w:rPr>
      </w:pPr>
      <w:bookmarkStart w:id="3" w:name="_Hlk183685723"/>
    </w:p>
    <w:p w14:paraId="00825143" w14:textId="77777777" w:rsidR="00AB5DDD" w:rsidRPr="003954CE" w:rsidRDefault="00AB5DDD" w:rsidP="00AB5DDD">
      <w:pPr>
        <w:spacing w:after="200" w:line="276" w:lineRule="auto"/>
        <w:rPr>
          <w:rFonts w:ascii="Calibri" w:eastAsia="Calibri" w:hAnsi="Calibri"/>
          <w:b/>
          <w:kern w:val="2"/>
          <w:sz w:val="22"/>
          <w:szCs w:val="22"/>
          <w:highlight w:val="yellow"/>
        </w:rPr>
      </w:pPr>
      <w:bookmarkStart w:id="4" w:name="_Hlk180402183"/>
      <w:bookmarkStart w:id="5" w:name="_Hlk183680988"/>
      <w:r w:rsidRPr="003954CE">
        <w:rPr>
          <w:rFonts w:ascii="Calibri" w:eastAsia="Calibri" w:hAnsi="Calibri"/>
          <w:b/>
          <w:kern w:val="2"/>
          <w:sz w:val="22"/>
          <w:szCs w:val="22"/>
          <w:highlight w:val="yellow"/>
        </w:rPr>
        <w:t>Disclaimer (Artificial intelligence)</w:t>
      </w:r>
    </w:p>
    <w:p w14:paraId="22743096" w14:textId="77777777" w:rsidR="00AB5DDD" w:rsidRPr="00AB5DDD" w:rsidRDefault="00AB5DDD" w:rsidP="00AB5DDD">
      <w:pPr>
        <w:spacing w:after="200" w:line="276" w:lineRule="auto"/>
        <w:rPr>
          <w:rFonts w:ascii="Calibri" w:eastAsia="Calibri" w:hAnsi="Calibri"/>
          <w:kern w:val="2"/>
          <w:sz w:val="22"/>
          <w:szCs w:val="22"/>
          <w:highlight w:val="yellow"/>
        </w:rPr>
      </w:pPr>
      <w:r w:rsidRPr="00AB5DDD">
        <w:rPr>
          <w:rFonts w:ascii="Calibri" w:eastAsia="Calibri" w:hAnsi="Calibri"/>
          <w:kern w:val="2"/>
          <w:sz w:val="22"/>
          <w:szCs w:val="22"/>
          <w:highlight w:val="yellow"/>
        </w:rPr>
        <w:t xml:space="preserve">Option 1: </w:t>
      </w:r>
    </w:p>
    <w:p w14:paraId="5E78BBA4" w14:textId="77777777" w:rsidR="00AB5DDD" w:rsidRPr="00AB5DDD" w:rsidRDefault="00AB5DDD" w:rsidP="00AB5DDD">
      <w:pPr>
        <w:spacing w:after="200" w:line="276" w:lineRule="auto"/>
        <w:rPr>
          <w:rFonts w:ascii="Calibri" w:eastAsia="Calibri" w:hAnsi="Calibri"/>
          <w:kern w:val="2"/>
          <w:sz w:val="22"/>
          <w:szCs w:val="22"/>
          <w:highlight w:val="yellow"/>
        </w:rPr>
      </w:pPr>
      <w:r w:rsidRPr="00AB5DDD">
        <w:rPr>
          <w:rFonts w:ascii="Calibri" w:eastAsia="Calibri" w:hAnsi="Calibri"/>
          <w:kern w:val="2"/>
          <w:sz w:val="22"/>
          <w:szCs w:val="22"/>
          <w:highlight w:val="yellow"/>
        </w:rPr>
        <w:t>Author(s) hereby declare that NO generative AI technologies such as Large Language Models (</w:t>
      </w:r>
      <w:proofErr w:type="spellStart"/>
      <w:r w:rsidRPr="00AB5DDD">
        <w:rPr>
          <w:rFonts w:ascii="Calibri" w:eastAsia="Calibri" w:hAnsi="Calibri"/>
          <w:kern w:val="2"/>
          <w:sz w:val="22"/>
          <w:szCs w:val="22"/>
          <w:highlight w:val="yellow"/>
        </w:rPr>
        <w:t>ChatGPT</w:t>
      </w:r>
      <w:proofErr w:type="spellEnd"/>
      <w:r w:rsidRPr="00AB5DDD">
        <w:rPr>
          <w:rFonts w:ascii="Calibri" w:eastAsia="Calibri" w:hAnsi="Calibri"/>
          <w:kern w:val="2"/>
          <w:sz w:val="22"/>
          <w:szCs w:val="22"/>
          <w:highlight w:val="yellow"/>
        </w:rPr>
        <w:t xml:space="preserve">, COPILOT, etc.) and text-to-image generators have been used during the writing or editing of this manuscript. </w:t>
      </w:r>
    </w:p>
    <w:bookmarkEnd w:id="3"/>
    <w:bookmarkEnd w:id="4"/>
    <w:bookmarkEnd w:id="5"/>
    <w:p w14:paraId="2C63D0D7" w14:textId="2F11962B" w:rsidR="0092743E" w:rsidRDefault="0092743E">
      <w:pPr>
        <w:rPr>
          <w:rFonts w:cs="Arial"/>
          <w:b/>
          <w:bCs/>
          <w:caps/>
          <w:sz w:val="22"/>
        </w:rPr>
      </w:pPr>
      <w:r>
        <w:rPr>
          <w:rFonts w:cs="Arial"/>
          <w:bCs/>
        </w:rPr>
        <w:br w:type="page"/>
      </w:r>
    </w:p>
    <w:p w14:paraId="0C4FA578" w14:textId="77777777" w:rsidR="00B01FCD" w:rsidRDefault="00B01FCD" w:rsidP="00441B6F">
      <w:pPr>
        <w:pStyle w:val="ReferHead"/>
        <w:spacing w:after="0"/>
        <w:jc w:val="both"/>
        <w:rPr>
          <w:rFonts w:cs="Arial"/>
        </w:rPr>
      </w:pPr>
      <w:r w:rsidRPr="00FB3A86">
        <w:rPr>
          <w:rFonts w:cs="Arial"/>
        </w:rPr>
        <w:lastRenderedPageBreak/>
        <w:t>References</w:t>
      </w:r>
    </w:p>
    <w:p w14:paraId="668BAC81" w14:textId="00C8A8C9" w:rsidR="00707872" w:rsidRPr="00EF5B4E" w:rsidRDefault="00707872" w:rsidP="00707872">
      <w:pPr>
        <w:pStyle w:val="NormalWeb"/>
        <w:rPr>
          <w:rFonts w:ascii="Arial" w:hAnsi="Arial" w:cs="Arial"/>
          <w:sz w:val="20"/>
          <w:szCs w:val="20"/>
        </w:rPr>
      </w:pPr>
      <w:proofErr w:type="spellStart"/>
      <w:r w:rsidRPr="00EF5B4E">
        <w:rPr>
          <w:rFonts w:ascii="Arial" w:hAnsi="Arial" w:cs="Arial"/>
          <w:sz w:val="20"/>
          <w:szCs w:val="20"/>
        </w:rPr>
        <w:t>Abullais</w:t>
      </w:r>
      <w:proofErr w:type="spellEnd"/>
      <w:r w:rsidRPr="00EF5B4E">
        <w:rPr>
          <w:rFonts w:ascii="Arial" w:hAnsi="Arial" w:cs="Arial"/>
          <w:sz w:val="20"/>
          <w:szCs w:val="20"/>
        </w:rPr>
        <w:t xml:space="preserve">, S. S., Dani, N., Ningappa, P., </w:t>
      </w:r>
      <w:proofErr w:type="spellStart"/>
      <w:r w:rsidRPr="00EF5B4E">
        <w:rPr>
          <w:rFonts w:ascii="Arial" w:hAnsi="Arial" w:cs="Arial"/>
          <w:sz w:val="20"/>
          <w:szCs w:val="20"/>
        </w:rPr>
        <w:t>Golvankar</w:t>
      </w:r>
      <w:proofErr w:type="spellEnd"/>
      <w:r w:rsidRPr="00EF5B4E">
        <w:rPr>
          <w:rFonts w:ascii="Arial" w:hAnsi="Arial" w:cs="Arial"/>
          <w:sz w:val="20"/>
          <w:szCs w:val="20"/>
        </w:rPr>
        <w:t xml:space="preserve">, K., Chavan, A., </w:t>
      </w:r>
      <w:proofErr w:type="spellStart"/>
      <w:r w:rsidRPr="00EF5B4E">
        <w:rPr>
          <w:rFonts w:ascii="Arial" w:hAnsi="Arial" w:cs="Arial"/>
          <w:sz w:val="20"/>
          <w:szCs w:val="20"/>
        </w:rPr>
        <w:t>Malgaonkar</w:t>
      </w:r>
      <w:proofErr w:type="spellEnd"/>
      <w:r w:rsidRPr="00EF5B4E">
        <w:rPr>
          <w:rFonts w:ascii="Arial" w:hAnsi="Arial" w:cs="Arial"/>
          <w:sz w:val="20"/>
          <w:szCs w:val="20"/>
        </w:rPr>
        <w:t xml:space="preserve">, N., et al. (2016). Paralleling technique for frenectomy and oral hygiene evaluation after frenectomy. </w:t>
      </w:r>
      <w:r w:rsidRPr="00EF5B4E">
        <w:rPr>
          <w:rStyle w:val="Emphasis"/>
          <w:rFonts w:ascii="Arial" w:hAnsi="Arial" w:cs="Arial"/>
          <w:sz w:val="20"/>
          <w:szCs w:val="20"/>
        </w:rPr>
        <w:t>Journal of Indian Society of Periodontology, 20(1)</w:t>
      </w:r>
      <w:r w:rsidRPr="00EF5B4E">
        <w:rPr>
          <w:rFonts w:ascii="Arial" w:hAnsi="Arial" w:cs="Arial"/>
          <w:sz w:val="20"/>
          <w:szCs w:val="20"/>
        </w:rPr>
        <w:t xml:space="preserve">, </w:t>
      </w:r>
      <w:r w:rsidRPr="00262B45">
        <w:rPr>
          <w:rFonts w:ascii="Arial" w:hAnsi="Arial" w:cs="Arial"/>
          <w:sz w:val="20"/>
          <w:szCs w:val="20"/>
          <w:highlight w:val="cyan"/>
        </w:rPr>
        <w:t>28</w:t>
      </w:r>
      <w:r w:rsidR="00380F1E" w:rsidRPr="00262B45">
        <w:rPr>
          <w:rFonts w:ascii="Arial" w:hAnsi="Arial" w:cs="Arial"/>
          <w:sz w:val="20"/>
          <w:szCs w:val="20"/>
          <w:highlight w:val="cyan"/>
        </w:rPr>
        <w:t>-31</w:t>
      </w:r>
      <w:r w:rsidRPr="00EF5B4E">
        <w:rPr>
          <w:rFonts w:ascii="Arial" w:hAnsi="Arial" w:cs="Arial"/>
          <w:sz w:val="20"/>
          <w:szCs w:val="20"/>
        </w:rPr>
        <w:t>.</w:t>
      </w:r>
    </w:p>
    <w:p w14:paraId="1765CEBF" w14:textId="2E03393D"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Agrawal, R., Chauhan, S., Sinha, A., Sharma, S., Singh, G., &amp; Garg, A. (2024). Effect of vitamin E versus vitamin C application on wound healing in the gingival depigmentation procedure: A split-mouth clinical comparative study. </w:t>
      </w:r>
      <w:r w:rsidRPr="00EF5B4E">
        <w:rPr>
          <w:rStyle w:val="Emphasis"/>
          <w:rFonts w:ascii="Arial" w:hAnsi="Arial" w:cs="Arial"/>
          <w:sz w:val="20"/>
          <w:szCs w:val="20"/>
        </w:rPr>
        <w:t>Dental Medicine Research, 12(2)</w:t>
      </w:r>
      <w:r w:rsidRPr="00EF5B4E">
        <w:rPr>
          <w:rFonts w:ascii="Arial" w:hAnsi="Arial" w:cs="Arial"/>
          <w:sz w:val="20"/>
          <w:szCs w:val="20"/>
        </w:rPr>
        <w:t xml:space="preserve">, </w:t>
      </w:r>
      <w:r w:rsidRPr="004E0D9B">
        <w:rPr>
          <w:rFonts w:ascii="Arial" w:hAnsi="Arial" w:cs="Arial"/>
          <w:sz w:val="20"/>
          <w:szCs w:val="20"/>
          <w:highlight w:val="cyan"/>
        </w:rPr>
        <w:t>65</w:t>
      </w:r>
      <w:r w:rsidR="004E0D9B" w:rsidRPr="004E0D9B">
        <w:rPr>
          <w:rFonts w:ascii="Arial" w:hAnsi="Arial" w:cs="Arial"/>
          <w:sz w:val="20"/>
          <w:szCs w:val="20"/>
          <w:highlight w:val="cyan"/>
        </w:rPr>
        <w:t>-69</w:t>
      </w:r>
      <w:r w:rsidRPr="00EF5B4E">
        <w:rPr>
          <w:rFonts w:ascii="Arial" w:hAnsi="Arial" w:cs="Arial"/>
          <w:sz w:val="20"/>
          <w:szCs w:val="20"/>
        </w:rPr>
        <w:t>.</w:t>
      </w:r>
    </w:p>
    <w:p w14:paraId="37B92EDC"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Bansal, M., Kumar, A., Puri, K., Khatri, M., Gupta, G., &amp; Vij, H. (2016). Clinical and histologic evaluation of platelet-rich fibrin accelerated epithelization of gingival wound. </w:t>
      </w:r>
      <w:r w:rsidRPr="00EF5B4E">
        <w:rPr>
          <w:rStyle w:val="Emphasis"/>
          <w:rFonts w:ascii="Arial" w:hAnsi="Arial" w:cs="Arial"/>
          <w:sz w:val="20"/>
          <w:szCs w:val="20"/>
        </w:rPr>
        <w:t>Journal of Cutaneous and Aesthetic Surgery, 9(3)</w:t>
      </w:r>
      <w:r w:rsidRPr="00EF5B4E">
        <w:rPr>
          <w:rFonts w:ascii="Arial" w:hAnsi="Arial" w:cs="Arial"/>
          <w:sz w:val="20"/>
          <w:szCs w:val="20"/>
        </w:rPr>
        <w:t>, 196–200.</w:t>
      </w:r>
    </w:p>
    <w:p w14:paraId="56476D9C"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Debnath, K., &amp; Chatterjee, A. (2018). Clinical and histological evaluation on application of platelet concentrates on depigmented gingival epithelium. </w:t>
      </w:r>
      <w:r w:rsidRPr="00EF5B4E">
        <w:rPr>
          <w:rStyle w:val="Emphasis"/>
          <w:rFonts w:ascii="Arial" w:hAnsi="Arial" w:cs="Arial"/>
          <w:sz w:val="20"/>
          <w:szCs w:val="20"/>
        </w:rPr>
        <w:t>Journal of Indian Society of Periodontology, 22(2)</w:t>
      </w:r>
      <w:r w:rsidRPr="00EF5B4E">
        <w:rPr>
          <w:rFonts w:ascii="Arial" w:hAnsi="Arial" w:cs="Arial"/>
          <w:sz w:val="20"/>
          <w:szCs w:val="20"/>
        </w:rPr>
        <w:t>, 150–157.</w:t>
      </w:r>
    </w:p>
    <w:p w14:paraId="0D44E2A6"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Gill, D. (1998). Angiogenic modulation. </w:t>
      </w:r>
      <w:r w:rsidRPr="00EF5B4E">
        <w:rPr>
          <w:rStyle w:val="Emphasis"/>
          <w:rFonts w:ascii="Arial" w:hAnsi="Arial" w:cs="Arial"/>
          <w:sz w:val="20"/>
          <w:szCs w:val="20"/>
        </w:rPr>
        <w:t>Journal of Wound Care, 7(8)</w:t>
      </w:r>
      <w:r w:rsidRPr="00EF5B4E">
        <w:rPr>
          <w:rFonts w:ascii="Arial" w:hAnsi="Arial" w:cs="Arial"/>
          <w:sz w:val="20"/>
          <w:szCs w:val="20"/>
        </w:rPr>
        <w:t>, 411–414.</w:t>
      </w:r>
    </w:p>
    <w:p w14:paraId="26B7C024" w14:textId="77777777" w:rsidR="00707872" w:rsidRPr="00EF5B4E" w:rsidRDefault="00707872" w:rsidP="00707872">
      <w:pPr>
        <w:rPr>
          <w:rFonts w:cs="Arial"/>
        </w:rPr>
      </w:pPr>
      <w:r w:rsidRPr="00EF5B4E">
        <w:rPr>
          <w:rFonts w:cs="Arial"/>
        </w:rPr>
        <w:t xml:space="preserve">Kale, A.M., Sethi, K.S., Mahale, S.A., Karde, P.A., Kale, L.M., &amp; Choudhary, S.H. (2023). Comparative analysis of platelet-rich fibrin membrane and 0.2% hyaluronic acid gel on healing following gingival depigmentation procedure. </w:t>
      </w:r>
      <w:r w:rsidRPr="00EF5B4E">
        <w:rPr>
          <w:rStyle w:val="Emphasis"/>
          <w:rFonts w:cs="Arial"/>
        </w:rPr>
        <w:t>Journal of Indian Society of Periodontology</w:t>
      </w:r>
      <w:r w:rsidRPr="00EF5B4E">
        <w:rPr>
          <w:rFonts w:cs="Arial"/>
        </w:rPr>
        <w:t>, 27(6), 636–41.</w:t>
      </w:r>
    </w:p>
    <w:p w14:paraId="7252E3A4"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Korkut, B., </w:t>
      </w:r>
      <w:proofErr w:type="spellStart"/>
      <w:r w:rsidRPr="00EF5B4E">
        <w:rPr>
          <w:rFonts w:ascii="Arial" w:hAnsi="Arial" w:cs="Arial"/>
          <w:sz w:val="20"/>
          <w:szCs w:val="20"/>
        </w:rPr>
        <w:t>Yanikoglu</w:t>
      </w:r>
      <w:proofErr w:type="spellEnd"/>
      <w:r w:rsidRPr="00EF5B4E">
        <w:rPr>
          <w:rFonts w:ascii="Arial" w:hAnsi="Arial" w:cs="Arial"/>
          <w:sz w:val="20"/>
          <w:szCs w:val="20"/>
        </w:rPr>
        <w:t xml:space="preserve">, F., &amp; </w:t>
      </w:r>
      <w:proofErr w:type="spellStart"/>
      <w:r w:rsidRPr="00EF5B4E">
        <w:rPr>
          <w:rFonts w:ascii="Arial" w:hAnsi="Arial" w:cs="Arial"/>
          <w:sz w:val="20"/>
          <w:szCs w:val="20"/>
        </w:rPr>
        <w:t>Tagtekin</w:t>
      </w:r>
      <w:proofErr w:type="spellEnd"/>
      <w:r w:rsidRPr="00EF5B4E">
        <w:rPr>
          <w:rFonts w:ascii="Arial" w:hAnsi="Arial" w:cs="Arial"/>
          <w:sz w:val="20"/>
          <w:szCs w:val="20"/>
        </w:rPr>
        <w:t xml:space="preserve">, D. (2016). Direct midline diastema closure with composite layering technique: A one-year follow-up. </w:t>
      </w:r>
      <w:r w:rsidRPr="00EF5B4E">
        <w:rPr>
          <w:rStyle w:val="Emphasis"/>
          <w:rFonts w:ascii="Arial" w:hAnsi="Arial" w:cs="Arial"/>
          <w:sz w:val="20"/>
          <w:szCs w:val="20"/>
        </w:rPr>
        <w:t>Case Reports in Dentistry, 2016</w:t>
      </w:r>
      <w:r w:rsidRPr="00EF5B4E">
        <w:rPr>
          <w:rFonts w:ascii="Arial" w:hAnsi="Arial" w:cs="Arial"/>
          <w:sz w:val="20"/>
          <w:szCs w:val="20"/>
        </w:rPr>
        <w:t>, 6810984.</w:t>
      </w:r>
    </w:p>
    <w:p w14:paraId="70F3FE1D" w14:textId="50DDB9C5"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Mahesh, H. V., Harish, M. R., Shashikumar, B. M., &amp; Ramya, K. S. (2012). Gingival pigmentation reduction: A novel therapeutic modality. </w:t>
      </w:r>
      <w:r w:rsidRPr="00EF5B4E">
        <w:rPr>
          <w:rStyle w:val="Emphasis"/>
          <w:rFonts w:ascii="Arial" w:hAnsi="Arial" w:cs="Arial"/>
          <w:sz w:val="20"/>
          <w:szCs w:val="20"/>
        </w:rPr>
        <w:t>Journal of Cutaneous and Aesthetic Surgery, 5(2)</w:t>
      </w:r>
      <w:r w:rsidRPr="00EF5B4E">
        <w:rPr>
          <w:rFonts w:ascii="Arial" w:hAnsi="Arial" w:cs="Arial"/>
          <w:sz w:val="20"/>
          <w:szCs w:val="20"/>
        </w:rPr>
        <w:t xml:space="preserve">, </w:t>
      </w:r>
      <w:r w:rsidRPr="004E0D9B">
        <w:rPr>
          <w:rFonts w:ascii="Arial" w:hAnsi="Arial" w:cs="Arial"/>
          <w:sz w:val="20"/>
          <w:szCs w:val="20"/>
          <w:highlight w:val="cyan"/>
        </w:rPr>
        <w:t>137</w:t>
      </w:r>
      <w:r w:rsidR="004E0D9B" w:rsidRPr="004E0D9B">
        <w:rPr>
          <w:rFonts w:ascii="Arial" w:hAnsi="Arial" w:cs="Arial"/>
          <w:sz w:val="20"/>
          <w:szCs w:val="20"/>
          <w:highlight w:val="cyan"/>
        </w:rPr>
        <w:t>-140</w:t>
      </w:r>
      <w:r w:rsidRPr="00EF5B4E">
        <w:rPr>
          <w:rFonts w:ascii="Arial" w:hAnsi="Arial" w:cs="Arial"/>
          <w:sz w:val="20"/>
          <w:szCs w:val="20"/>
        </w:rPr>
        <w:t>.</w:t>
      </w:r>
    </w:p>
    <w:p w14:paraId="5B68A255"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Malhotra, S., </w:t>
      </w:r>
      <w:proofErr w:type="spellStart"/>
      <w:r w:rsidRPr="00EF5B4E">
        <w:rPr>
          <w:rFonts w:ascii="Arial" w:hAnsi="Arial" w:cs="Arial"/>
          <w:sz w:val="20"/>
          <w:szCs w:val="20"/>
        </w:rPr>
        <w:t>Khuller</w:t>
      </w:r>
      <w:proofErr w:type="spellEnd"/>
      <w:r w:rsidRPr="00EF5B4E">
        <w:rPr>
          <w:rFonts w:ascii="Arial" w:hAnsi="Arial" w:cs="Arial"/>
          <w:sz w:val="20"/>
          <w:szCs w:val="20"/>
        </w:rPr>
        <w:t xml:space="preserve">, N., Sharma, N., &amp; Basavaraj, P. (2011). Gingival esthetics by depigmentation. </w:t>
      </w:r>
      <w:r w:rsidRPr="00EF5B4E">
        <w:rPr>
          <w:rStyle w:val="Emphasis"/>
          <w:rFonts w:ascii="Arial" w:hAnsi="Arial" w:cs="Arial"/>
          <w:sz w:val="20"/>
          <w:szCs w:val="20"/>
        </w:rPr>
        <w:t>Journal of Indian Association of Public Health Dentistry, 9</w:t>
      </w:r>
      <w:r w:rsidRPr="00EF5B4E">
        <w:rPr>
          <w:rFonts w:ascii="Arial" w:hAnsi="Arial" w:cs="Arial"/>
          <w:sz w:val="20"/>
          <w:szCs w:val="20"/>
        </w:rPr>
        <w:t>(Suppl 2), S611–S615.</w:t>
      </w:r>
    </w:p>
    <w:p w14:paraId="58288433"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Mari, R., Nath, A. R., Peter, M. R., </w:t>
      </w:r>
      <w:proofErr w:type="spellStart"/>
      <w:r w:rsidRPr="00EF5B4E">
        <w:rPr>
          <w:rFonts w:ascii="Arial" w:hAnsi="Arial" w:cs="Arial"/>
          <w:sz w:val="20"/>
          <w:szCs w:val="20"/>
        </w:rPr>
        <w:t>Vyloppillil</w:t>
      </w:r>
      <w:proofErr w:type="spellEnd"/>
      <w:r w:rsidRPr="00EF5B4E">
        <w:rPr>
          <w:rFonts w:ascii="Arial" w:hAnsi="Arial" w:cs="Arial"/>
          <w:sz w:val="20"/>
          <w:szCs w:val="20"/>
        </w:rPr>
        <w:t xml:space="preserve">, R., Balakrishnan, B., &amp; Suresh, R. (2022). Periodontal approaches to esthetic dentistry: A review on current trends. </w:t>
      </w:r>
      <w:r w:rsidRPr="00EF5B4E">
        <w:rPr>
          <w:rStyle w:val="Emphasis"/>
          <w:rFonts w:ascii="Arial" w:hAnsi="Arial" w:cs="Arial"/>
          <w:sz w:val="20"/>
          <w:szCs w:val="20"/>
        </w:rPr>
        <w:t>Journal of Contemporary Dental Practice, 23(2)</w:t>
      </w:r>
      <w:r w:rsidRPr="00EF5B4E">
        <w:rPr>
          <w:rFonts w:ascii="Arial" w:hAnsi="Arial" w:cs="Arial"/>
          <w:sz w:val="20"/>
          <w:szCs w:val="20"/>
        </w:rPr>
        <w:t xml:space="preserve">, 251–267. </w:t>
      </w:r>
      <w:hyperlink r:id="rId34" w:history="1">
        <w:r w:rsidRPr="00EF5B4E">
          <w:rPr>
            <w:rStyle w:val="Hyperlink"/>
            <w:rFonts w:ascii="Arial" w:hAnsi="Arial" w:cs="Arial"/>
            <w:sz w:val="20"/>
            <w:szCs w:val="20"/>
          </w:rPr>
          <w:t>https://doi.org/10.5005/jp-journals-10024-3254</w:t>
        </w:r>
      </w:hyperlink>
    </w:p>
    <w:p w14:paraId="256472E5" w14:textId="02761C12"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Pawar, B., Mishra, P., Banga, P., &amp; </w:t>
      </w:r>
      <w:proofErr w:type="spellStart"/>
      <w:r w:rsidRPr="00EF5B4E">
        <w:rPr>
          <w:rFonts w:ascii="Arial" w:hAnsi="Arial" w:cs="Arial"/>
          <w:sz w:val="20"/>
          <w:szCs w:val="20"/>
        </w:rPr>
        <w:t>Marawar</w:t>
      </w:r>
      <w:proofErr w:type="spellEnd"/>
      <w:r w:rsidRPr="00EF5B4E">
        <w:rPr>
          <w:rFonts w:ascii="Arial" w:hAnsi="Arial" w:cs="Arial"/>
          <w:sz w:val="20"/>
          <w:szCs w:val="20"/>
        </w:rPr>
        <w:t xml:space="preserve">, P. P. (2011). Gingival zenith and its role in redefining esthetics: A clinical study. </w:t>
      </w:r>
      <w:r w:rsidRPr="00EF5B4E">
        <w:rPr>
          <w:rStyle w:val="Emphasis"/>
          <w:rFonts w:ascii="Arial" w:hAnsi="Arial" w:cs="Arial"/>
          <w:sz w:val="20"/>
          <w:szCs w:val="20"/>
        </w:rPr>
        <w:t>Journal of Indian Society of Periodontology, 15(2)</w:t>
      </w:r>
      <w:r w:rsidRPr="00EF5B4E">
        <w:rPr>
          <w:rFonts w:ascii="Arial" w:hAnsi="Arial" w:cs="Arial"/>
          <w:sz w:val="20"/>
          <w:szCs w:val="20"/>
        </w:rPr>
        <w:t xml:space="preserve">, </w:t>
      </w:r>
      <w:r w:rsidRPr="004E0D9B">
        <w:rPr>
          <w:rFonts w:ascii="Arial" w:hAnsi="Arial" w:cs="Arial"/>
          <w:sz w:val="20"/>
          <w:szCs w:val="20"/>
          <w:highlight w:val="cyan"/>
        </w:rPr>
        <w:t>135</w:t>
      </w:r>
      <w:r w:rsidR="004E0D9B" w:rsidRPr="004E0D9B">
        <w:rPr>
          <w:rFonts w:ascii="Arial" w:hAnsi="Arial" w:cs="Arial"/>
          <w:sz w:val="20"/>
          <w:szCs w:val="20"/>
          <w:highlight w:val="cyan"/>
        </w:rPr>
        <w:t>-138</w:t>
      </w:r>
      <w:r w:rsidRPr="00EF5B4E">
        <w:rPr>
          <w:rFonts w:ascii="Arial" w:hAnsi="Arial" w:cs="Arial"/>
          <w:sz w:val="20"/>
          <w:szCs w:val="20"/>
        </w:rPr>
        <w:t>.</w:t>
      </w:r>
    </w:p>
    <w:p w14:paraId="199870EB"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Rizwan, D., Sanadi, M., &amp; Singh, U. (2018). Cyanoacrylate vs. vitamin E application after laser depigmentation: A clinical study. </w:t>
      </w:r>
      <w:r w:rsidRPr="00EF5B4E">
        <w:rPr>
          <w:rStyle w:val="Emphasis"/>
          <w:rFonts w:ascii="Arial" w:hAnsi="Arial" w:cs="Arial"/>
          <w:sz w:val="20"/>
          <w:szCs w:val="20"/>
        </w:rPr>
        <w:t>IOSR Journal of Dental and Medical Sciences, 17(1)</w:t>
      </w:r>
      <w:r w:rsidRPr="00EF5B4E">
        <w:rPr>
          <w:rFonts w:ascii="Arial" w:hAnsi="Arial" w:cs="Arial"/>
          <w:sz w:val="20"/>
          <w:szCs w:val="20"/>
        </w:rPr>
        <w:t>, 41–48.</w:t>
      </w:r>
    </w:p>
    <w:p w14:paraId="0830A3EB"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lastRenderedPageBreak/>
        <w:t xml:space="preserve">Sanadi, R. M., Doshi, M., &amp; </w:t>
      </w:r>
      <w:proofErr w:type="spellStart"/>
      <w:r w:rsidRPr="00EF5B4E">
        <w:rPr>
          <w:rFonts w:ascii="Arial" w:hAnsi="Arial" w:cs="Arial"/>
          <w:sz w:val="20"/>
          <w:szCs w:val="20"/>
        </w:rPr>
        <w:t>Ambulgekar</w:t>
      </w:r>
      <w:proofErr w:type="spellEnd"/>
      <w:r w:rsidRPr="00EF5B4E">
        <w:rPr>
          <w:rFonts w:ascii="Arial" w:hAnsi="Arial" w:cs="Arial"/>
          <w:sz w:val="20"/>
          <w:szCs w:val="20"/>
        </w:rPr>
        <w:t xml:space="preserve">, J. R. (2015). Gingival depigmentation for an aesthetic smile: A case report. </w:t>
      </w:r>
      <w:r w:rsidRPr="00EF5B4E">
        <w:rPr>
          <w:rStyle w:val="Emphasis"/>
          <w:rFonts w:ascii="Arial" w:hAnsi="Arial" w:cs="Arial"/>
          <w:sz w:val="20"/>
          <w:szCs w:val="20"/>
        </w:rPr>
        <w:t>International Journal of Multidisciplinary Studies, 1(3)</w:t>
      </w:r>
      <w:r w:rsidRPr="00EF5B4E">
        <w:rPr>
          <w:rFonts w:ascii="Arial" w:hAnsi="Arial" w:cs="Arial"/>
          <w:sz w:val="20"/>
          <w:szCs w:val="20"/>
        </w:rPr>
        <w:t>, 1–5.</w:t>
      </w:r>
    </w:p>
    <w:p w14:paraId="2B8A26DF" w14:textId="6E021565" w:rsidR="00097B49" w:rsidRPr="00097B49" w:rsidRDefault="00097B49" w:rsidP="00707872">
      <w:pPr>
        <w:pStyle w:val="NormalWeb"/>
        <w:rPr>
          <w:rFonts w:ascii="Arial" w:hAnsi="Arial" w:cs="Arial"/>
          <w:sz w:val="16"/>
          <w:szCs w:val="20"/>
        </w:rPr>
      </w:pPr>
      <w:proofErr w:type="spellStart"/>
      <w:r w:rsidRPr="00097B49">
        <w:rPr>
          <w:rFonts w:ascii="Arial" w:hAnsi="Arial" w:cs="Arial"/>
          <w:sz w:val="20"/>
        </w:rPr>
        <w:t>Sumitro</w:t>
      </w:r>
      <w:proofErr w:type="spellEnd"/>
      <w:r w:rsidRPr="00097B49">
        <w:rPr>
          <w:rFonts w:ascii="Arial" w:hAnsi="Arial" w:cs="Arial"/>
          <w:sz w:val="20"/>
        </w:rPr>
        <w:t xml:space="preserve"> NA, Sari R. (2022). “Paralleling Technique for Frenectomy to Prevent Black Triangle in Pre-Orthodontic Patients: A Case Report” in </w:t>
      </w:r>
      <w:r w:rsidRPr="00097B49">
        <w:rPr>
          <w:rStyle w:val="Emphasis"/>
          <w:rFonts w:ascii="Arial" w:hAnsi="Arial" w:cs="Arial"/>
          <w:sz w:val="20"/>
        </w:rPr>
        <w:t>The International Online Seminar Series on Periodontology in conjunction with Scientific Seminar</w:t>
      </w:r>
      <w:r w:rsidRPr="00097B49">
        <w:rPr>
          <w:rFonts w:ascii="Arial" w:hAnsi="Arial" w:cs="Arial"/>
          <w:sz w:val="20"/>
        </w:rPr>
        <w:t xml:space="preserve">, </w:t>
      </w:r>
      <w:proofErr w:type="spellStart"/>
      <w:r w:rsidRPr="00097B49">
        <w:rPr>
          <w:rFonts w:ascii="Arial" w:hAnsi="Arial" w:cs="Arial"/>
          <w:sz w:val="20"/>
        </w:rPr>
        <w:t>KnE</w:t>
      </w:r>
      <w:proofErr w:type="spellEnd"/>
      <w:r w:rsidRPr="00097B49">
        <w:rPr>
          <w:rFonts w:ascii="Arial" w:hAnsi="Arial" w:cs="Arial"/>
          <w:sz w:val="20"/>
        </w:rPr>
        <w:t xml:space="preserve"> Medicine, pages 252–259. DOI: 10.18502/</w:t>
      </w:r>
      <w:proofErr w:type="gramStart"/>
      <w:r w:rsidRPr="00097B49">
        <w:rPr>
          <w:rFonts w:ascii="Arial" w:hAnsi="Arial" w:cs="Arial"/>
          <w:sz w:val="20"/>
        </w:rPr>
        <w:t>kme.v</w:t>
      </w:r>
      <w:proofErr w:type="gramEnd"/>
      <w:r w:rsidRPr="00097B49">
        <w:rPr>
          <w:rFonts w:ascii="Arial" w:hAnsi="Arial" w:cs="Arial"/>
          <w:sz w:val="20"/>
        </w:rPr>
        <w:t>2i1.10858.</w:t>
      </w:r>
    </w:p>
    <w:p w14:paraId="4D0D18DB" w14:textId="1FDDB654" w:rsidR="00790ADA" w:rsidRDefault="00707872" w:rsidP="00707872">
      <w:pPr>
        <w:pStyle w:val="NormalWeb"/>
        <w:rPr>
          <w:rFonts w:ascii="Arial" w:hAnsi="Arial" w:cs="Arial"/>
          <w:sz w:val="20"/>
          <w:szCs w:val="20"/>
        </w:rPr>
      </w:pPr>
      <w:r w:rsidRPr="00EF5B4E">
        <w:rPr>
          <w:rFonts w:ascii="Arial" w:hAnsi="Arial" w:cs="Arial"/>
          <w:sz w:val="20"/>
          <w:szCs w:val="20"/>
        </w:rPr>
        <w:t xml:space="preserve">Singer, A. J., &amp; Clark, R. A. (1999). Cutaneous wound healing. </w:t>
      </w:r>
      <w:r w:rsidRPr="00EF5B4E">
        <w:rPr>
          <w:rStyle w:val="Emphasis"/>
          <w:rFonts w:ascii="Arial" w:hAnsi="Arial" w:cs="Arial"/>
          <w:sz w:val="20"/>
          <w:szCs w:val="20"/>
        </w:rPr>
        <w:t>New England Journal of Medicine, 341(10)</w:t>
      </w:r>
      <w:r w:rsidRPr="00EF5B4E">
        <w:rPr>
          <w:rFonts w:ascii="Arial" w:hAnsi="Arial" w:cs="Arial"/>
          <w:sz w:val="20"/>
          <w:szCs w:val="20"/>
        </w:rPr>
        <w:t>, 738–746.</w:t>
      </w:r>
    </w:p>
    <w:p w14:paraId="17A879D4" w14:textId="35566E2B" w:rsidR="00097B49" w:rsidRPr="00097B49" w:rsidRDefault="00097B49" w:rsidP="00707872">
      <w:pPr>
        <w:pStyle w:val="NormalWeb"/>
        <w:rPr>
          <w:rFonts w:ascii="Arial" w:hAnsi="Arial" w:cs="Arial"/>
          <w:sz w:val="16"/>
          <w:szCs w:val="20"/>
        </w:rPr>
      </w:pPr>
      <w:r w:rsidRPr="00097B49">
        <w:rPr>
          <w:rFonts w:ascii="Arial" w:hAnsi="Arial" w:cs="Arial"/>
          <w:sz w:val="20"/>
        </w:rPr>
        <w:t xml:space="preserve">Verma SK, Thakur J, Kumar BD, Sharma N. (2019). “Gingival Depigmentation Along with Frenectomy and Diastema Closure – A Case Report” in </w:t>
      </w:r>
      <w:r w:rsidRPr="00097B49">
        <w:rPr>
          <w:rStyle w:val="Emphasis"/>
          <w:rFonts w:ascii="Arial" w:hAnsi="Arial" w:cs="Arial"/>
          <w:sz w:val="20"/>
        </w:rPr>
        <w:t>International Journal of Contemporary Medical Research</w:t>
      </w:r>
      <w:r w:rsidRPr="00097B49">
        <w:rPr>
          <w:rFonts w:ascii="Arial" w:hAnsi="Arial" w:cs="Arial"/>
          <w:sz w:val="20"/>
        </w:rPr>
        <w:t>, 6(11</w:t>
      </w:r>
      <w:proofErr w:type="gramStart"/>
      <w:r w:rsidRPr="00097B49">
        <w:rPr>
          <w:rFonts w:ascii="Arial" w:hAnsi="Arial" w:cs="Arial"/>
          <w:sz w:val="20"/>
        </w:rPr>
        <w:t>):K</w:t>
      </w:r>
      <w:proofErr w:type="gramEnd"/>
      <w:r w:rsidRPr="00097B49">
        <w:rPr>
          <w:rFonts w:ascii="Arial" w:hAnsi="Arial" w:cs="Arial"/>
          <w:sz w:val="20"/>
        </w:rPr>
        <w:t xml:space="preserve">25-K27. DOI: </w:t>
      </w:r>
      <w:hyperlink r:id="rId35" w:history="1">
        <w:r w:rsidRPr="00097B49">
          <w:rPr>
            <w:rStyle w:val="Hyperlink"/>
            <w:rFonts w:ascii="Arial" w:hAnsi="Arial" w:cs="Arial"/>
            <w:sz w:val="20"/>
          </w:rPr>
          <w:t>http://dx.doi.org/10.21276/ijcmr.2019.6.11.33</w:t>
        </w:r>
      </w:hyperlink>
      <w:r w:rsidRPr="00097B49">
        <w:rPr>
          <w:rFonts w:ascii="Arial" w:hAnsi="Arial" w:cs="Arial"/>
          <w:sz w:val="20"/>
        </w:rPr>
        <w:t>.</w:t>
      </w:r>
    </w:p>
    <w:sectPr w:rsidR="00097B49" w:rsidRPr="00097B49" w:rsidSect="00B1530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3A5F9" w14:textId="77777777" w:rsidR="00780885" w:rsidRDefault="00780885" w:rsidP="00C37E61">
      <w:r>
        <w:separator/>
      </w:r>
    </w:p>
  </w:endnote>
  <w:endnote w:type="continuationSeparator" w:id="0">
    <w:p w14:paraId="13682650" w14:textId="77777777" w:rsidR="00780885" w:rsidRDefault="0078088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509B" w14:textId="77777777" w:rsidR="004D6685" w:rsidRDefault="004D6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B8E1C" w14:textId="77777777" w:rsidR="004D6685" w:rsidRDefault="004D6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22FD7" w14:textId="5A946811" w:rsidR="007011F9" w:rsidRPr="00B15305" w:rsidRDefault="007011F9" w:rsidP="00B15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91693" w14:textId="77777777" w:rsidR="00780885" w:rsidRDefault="00780885" w:rsidP="00C37E61">
      <w:r>
        <w:separator/>
      </w:r>
    </w:p>
  </w:footnote>
  <w:footnote w:type="continuationSeparator" w:id="0">
    <w:p w14:paraId="3421B351" w14:textId="77777777" w:rsidR="00780885" w:rsidRDefault="0078088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3B51B" w14:textId="19E7AAAE" w:rsidR="004D6685" w:rsidRDefault="00780885">
    <w:pPr>
      <w:pStyle w:val="Header"/>
    </w:pPr>
    <w:r>
      <w:rPr>
        <w:noProof/>
      </w:rPr>
      <w:pict w14:anchorId="3BB13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E936" w14:textId="2F2E55A9" w:rsidR="004D6685" w:rsidRDefault="00780885">
    <w:pPr>
      <w:pStyle w:val="Header"/>
    </w:pPr>
    <w:r>
      <w:rPr>
        <w:noProof/>
      </w:rPr>
      <w:pict w14:anchorId="2F176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04EB" w14:textId="45582FB7" w:rsidR="007011F9" w:rsidRPr="00296529" w:rsidRDefault="00780885" w:rsidP="00296529">
    <w:pPr>
      <w:ind w:left="2160"/>
      <w:jc w:val="center"/>
      <w:rPr>
        <w:rFonts w:ascii="Times New Roman" w:eastAsia="Calibri" w:hAnsi="Times New Roman"/>
        <w:i/>
        <w:sz w:val="18"/>
        <w:szCs w:val="22"/>
      </w:rPr>
    </w:pPr>
    <w:r>
      <w:rPr>
        <w:noProof/>
      </w:rPr>
      <w:pict w14:anchorId="6A1F1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379B9BD7" w14:textId="77777777" w:rsidR="007011F9" w:rsidRPr="00296529" w:rsidRDefault="007011F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7B6533B" w14:textId="77777777" w:rsidR="007011F9" w:rsidRPr="00296529" w:rsidRDefault="007011F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A3ED40" w14:textId="77777777" w:rsidR="007011F9" w:rsidRPr="00296529" w:rsidRDefault="007011F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D1A2E4" w14:textId="77777777" w:rsidR="007011F9" w:rsidRDefault="007011F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62DB39" w14:textId="77777777" w:rsidR="007011F9" w:rsidRDefault="007011F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780DDBE" w14:textId="77777777" w:rsidR="007011F9" w:rsidRDefault="007011F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DC5365"/>
    <w:multiLevelType w:val="hybridMultilevel"/>
    <w:tmpl w:val="2D22CB1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202A1D"/>
    <w:multiLevelType w:val="multilevel"/>
    <w:tmpl w:val="89D0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B66F2C"/>
    <w:multiLevelType w:val="hybridMultilevel"/>
    <w:tmpl w:val="9938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ADB3369"/>
    <w:multiLevelType w:val="hybridMultilevel"/>
    <w:tmpl w:val="1E7E46D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9"/>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16"/>
  </w:num>
  <w:num w:numId="32">
    <w:abstractNumId w:val="20"/>
  </w:num>
  <w:num w:numId="33">
    <w:abstractNumId w:val="7"/>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58A"/>
    <w:rsid w:val="00021788"/>
    <w:rsid w:val="00030174"/>
    <w:rsid w:val="0003386A"/>
    <w:rsid w:val="000441A5"/>
    <w:rsid w:val="0004579C"/>
    <w:rsid w:val="0005423D"/>
    <w:rsid w:val="00097B49"/>
    <w:rsid w:val="000A47FA"/>
    <w:rsid w:val="000A65D3"/>
    <w:rsid w:val="000B1E33"/>
    <w:rsid w:val="000C6408"/>
    <w:rsid w:val="000D689F"/>
    <w:rsid w:val="000E7B7B"/>
    <w:rsid w:val="000E7D62"/>
    <w:rsid w:val="000F1E9E"/>
    <w:rsid w:val="00103357"/>
    <w:rsid w:val="00105C55"/>
    <w:rsid w:val="00111725"/>
    <w:rsid w:val="00123C9F"/>
    <w:rsid w:val="00126190"/>
    <w:rsid w:val="00130F17"/>
    <w:rsid w:val="001320BF"/>
    <w:rsid w:val="001321C1"/>
    <w:rsid w:val="00163BC4"/>
    <w:rsid w:val="00191062"/>
    <w:rsid w:val="00192B72"/>
    <w:rsid w:val="001A29D8"/>
    <w:rsid w:val="001A4D65"/>
    <w:rsid w:val="001A5CAA"/>
    <w:rsid w:val="001A7DC6"/>
    <w:rsid w:val="001B0427"/>
    <w:rsid w:val="001B1C14"/>
    <w:rsid w:val="001B4BDF"/>
    <w:rsid w:val="001D3A51"/>
    <w:rsid w:val="001E10D2"/>
    <w:rsid w:val="001E1EC6"/>
    <w:rsid w:val="001E25B4"/>
    <w:rsid w:val="001E44FE"/>
    <w:rsid w:val="00200595"/>
    <w:rsid w:val="00202628"/>
    <w:rsid w:val="00204835"/>
    <w:rsid w:val="00231920"/>
    <w:rsid w:val="0023195C"/>
    <w:rsid w:val="0024282C"/>
    <w:rsid w:val="002460DC"/>
    <w:rsid w:val="00250985"/>
    <w:rsid w:val="002556F6"/>
    <w:rsid w:val="00262B45"/>
    <w:rsid w:val="00283105"/>
    <w:rsid w:val="00284C4C"/>
    <w:rsid w:val="00287E68"/>
    <w:rsid w:val="00296529"/>
    <w:rsid w:val="002B27FB"/>
    <w:rsid w:val="002B56D8"/>
    <w:rsid w:val="002B685A"/>
    <w:rsid w:val="002C57D2"/>
    <w:rsid w:val="002E0D56"/>
    <w:rsid w:val="002E31C9"/>
    <w:rsid w:val="00315186"/>
    <w:rsid w:val="0033343E"/>
    <w:rsid w:val="00336868"/>
    <w:rsid w:val="003512C2"/>
    <w:rsid w:val="00371FB6"/>
    <w:rsid w:val="003763C1"/>
    <w:rsid w:val="00376BBE"/>
    <w:rsid w:val="00380F1E"/>
    <w:rsid w:val="0039224F"/>
    <w:rsid w:val="003954CE"/>
    <w:rsid w:val="003A43A4"/>
    <w:rsid w:val="003A7E18"/>
    <w:rsid w:val="003C4C86"/>
    <w:rsid w:val="003C6258"/>
    <w:rsid w:val="003D2D63"/>
    <w:rsid w:val="003E2904"/>
    <w:rsid w:val="003E58AC"/>
    <w:rsid w:val="003F67A4"/>
    <w:rsid w:val="00401927"/>
    <w:rsid w:val="0041027F"/>
    <w:rsid w:val="0041067B"/>
    <w:rsid w:val="00412475"/>
    <w:rsid w:val="00423789"/>
    <w:rsid w:val="00436D1F"/>
    <w:rsid w:val="00440F43"/>
    <w:rsid w:val="00441B6F"/>
    <w:rsid w:val="00446221"/>
    <w:rsid w:val="00450E62"/>
    <w:rsid w:val="004539DB"/>
    <w:rsid w:val="0045687E"/>
    <w:rsid w:val="00471A80"/>
    <w:rsid w:val="004737C8"/>
    <w:rsid w:val="00483C28"/>
    <w:rsid w:val="004D305E"/>
    <w:rsid w:val="004D4277"/>
    <w:rsid w:val="004D6685"/>
    <w:rsid w:val="004E0D9B"/>
    <w:rsid w:val="004E5750"/>
    <w:rsid w:val="004F2FFF"/>
    <w:rsid w:val="00502516"/>
    <w:rsid w:val="00505F06"/>
    <w:rsid w:val="00506828"/>
    <w:rsid w:val="005202A7"/>
    <w:rsid w:val="0053056E"/>
    <w:rsid w:val="00554FDA"/>
    <w:rsid w:val="005C784C"/>
    <w:rsid w:val="005D17F6"/>
    <w:rsid w:val="005D4A3D"/>
    <w:rsid w:val="005E5539"/>
    <w:rsid w:val="00602BF5"/>
    <w:rsid w:val="00606297"/>
    <w:rsid w:val="00617FDD"/>
    <w:rsid w:val="00633614"/>
    <w:rsid w:val="00633B67"/>
    <w:rsid w:val="00633F68"/>
    <w:rsid w:val="00636EB2"/>
    <w:rsid w:val="006375B8"/>
    <w:rsid w:val="0066510A"/>
    <w:rsid w:val="00667EDA"/>
    <w:rsid w:val="00672ED5"/>
    <w:rsid w:val="00673F9F"/>
    <w:rsid w:val="00686953"/>
    <w:rsid w:val="00687DEA"/>
    <w:rsid w:val="00687E67"/>
    <w:rsid w:val="006967F7"/>
    <w:rsid w:val="006A250C"/>
    <w:rsid w:val="006B21D3"/>
    <w:rsid w:val="006B57D0"/>
    <w:rsid w:val="006D30FF"/>
    <w:rsid w:val="006D6940"/>
    <w:rsid w:val="006F11EC"/>
    <w:rsid w:val="0070082C"/>
    <w:rsid w:val="007011F9"/>
    <w:rsid w:val="00707872"/>
    <w:rsid w:val="007369E6"/>
    <w:rsid w:val="00745936"/>
    <w:rsid w:val="00746E59"/>
    <w:rsid w:val="00751A0C"/>
    <w:rsid w:val="00752AC2"/>
    <w:rsid w:val="00754C9A"/>
    <w:rsid w:val="0075599A"/>
    <w:rsid w:val="00761D52"/>
    <w:rsid w:val="00764B7E"/>
    <w:rsid w:val="0077603E"/>
    <w:rsid w:val="0077749E"/>
    <w:rsid w:val="00780885"/>
    <w:rsid w:val="00781A9E"/>
    <w:rsid w:val="00790ADA"/>
    <w:rsid w:val="007D2288"/>
    <w:rsid w:val="007E088F"/>
    <w:rsid w:val="007F7B32"/>
    <w:rsid w:val="00804BC2"/>
    <w:rsid w:val="0081431A"/>
    <w:rsid w:val="0081699F"/>
    <w:rsid w:val="0083216F"/>
    <w:rsid w:val="00860000"/>
    <w:rsid w:val="00863BD3"/>
    <w:rsid w:val="008641ED"/>
    <w:rsid w:val="00866D66"/>
    <w:rsid w:val="008671C6"/>
    <w:rsid w:val="00870AC8"/>
    <w:rsid w:val="00875803"/>
    <w:rsid w:val="00882EE6"/>
    <w:rsid w:val="00886AF3"/>
    <w:rsid w:val="008B459E"/>
    <w:rsid w:val="008D5B85"/>
    <w:rsid w:val="008E13AE"/>
    <w:rsid w:val="008E1506"/>
    <w:rsid w:val="008E4453"/>
    <w:rsid w:val="008E710C"/>
    <w:rsid w:val="008F69D6"/>
    <w:rsid w:val="00902823"/>
    <w:rsid w:val="00915CA6"/>
    <w:rsid w:val="0092743E"/>
    <w:rsid w:val="00927834"/>
    <w:rsid w:val="009500A6"/>
    <w:rsid w:val="009540B8"/>
    <w:rsid w:val="009577E2"/>
    <w:rsid w:val="00957C18"/>
    <w:rsid w:val="009659BA"/>
    <w:rsid w:val="00965C03"/>
    <w:rsid w:val="00983040"/>
    <w:rsid w:val="009B3FB9"/>
    <w:rsid w:val="009C2465"/>
    <w:rsid w:val="009D35A0"/>
    <w:rsid w:val="009D7EB7"/>
    <w:rsid w:val="009E048A"/>
    <w:rsid w:val="009E08E9"/>
    <w:rsid w:val="009E3DB9"/>
    <w:rsid w:val="009E6E35"/>
    <w:rsid w:val="009F0EDA"/>
    <w:rsid w:val="00A02602"/>
    <w:rsid w:val="00A03B96"/>
    <w:rsid w:val="00A05B19"/>
    <w:rsid w:val="00A1134E"/>
    <w:rsid w:val="00A24E7E"/>
    <w:rsid w:val="00A258C3"/>
    <w:rsid w:val="00A347C0"/>
    <w:rsid w:val="00A37EFB"/>
    <w:rsid w:val="00A51431"/>
    <w:rsid w:val="00A539AD"/>
    <w:rsid w:val="00A94063"/>
    <w:rsid w:val="00A96A6A"/>
    <w:rsid w:val="00AA6219"/>
    <w:rsid w:val="00AA74E0"/>
    <w:rsid w:val="00AB5DDD"/>
    <w:rsid w:val="00AB703F"/>
    <w:rsid w:val="00AC6BB8"/>
    <w:rsid w:val="00AC7A9E"/>
    <w:rsid w:val="00AE008F"/>
    <w:rsid w:val="00AE3AA2"/>
    <w:rsid w:val="00B01FCD"/>
    <w:rsid w:val="00B15305"/>
    <w:rsid w:val="00B1776C"/>
    <w:rsid w:val="00B52583"/>
    <w:rsid w:val="00B52896"/>
    <w:rsid w:val="00B53497"/>
    <w:rsid w:val="00B76ADF"/>
    <w:rsid w:val="00B95236"/>
    <w:rsid w:val="00B96BD9"/>
    <w:rsid w:val="00BA1B01"/>
    <w:rsid w:val="00BA2641"/>
    <w:rsid w:val="00BB37AA"/>
    <w:rsid w:val="00BC53A0"/>
    <w:rsid w:val="00BD499B"/>
    <w:rsid w:val="00BE62AD"/>
    <w:rsid w:val="00BF121F"/>
    <w:rsid w:val="00BF1F80"/>
    <w:rsid w:val="00C1148F"/>
    <w:rsid w:val="00C166EF"/>
    <w:rsid w:val="00C17EB0"/>
    <w:rsid w:val="00C27F5F"/>
    <w:rsid w:val="00C30A0F"/>
    <w:rsid w:val="00C30A17"/>
    <w:rsid w:val="00C37E61"/>
    <w:rsid w:val="00C653B8"/>
    <w:rsid w:val="00C70F1B"/>
    <w:rsid w:val="00C71A47"/>
    <w:rsid w:val="00C7464C"/>
    <w:rsid w:val="00C85588"/>
    <w:rsid w:val="00C92A7B"/>
    <w:rsid w:val="00CD6755"/>
    <w:rsid w:val="00CD6856"/>
    <w:rsid w:val="00CE0089"/>
    <w:rsid w:val="00CE793C"/>
    <w:rsid w:val="00CF193C"/>
    <w:rsid w:val="00D173F1"/>
    <w:rsid w:val="00D41E8E"/>
    <w:rsid w:val="00D74CB0"/>
    <w:rsid w:val="00D80437"/>
    <w:rsid w:val="00D81715"/>
    <w:rsid w:val="00D8295D"/>
    <w:rsid w:val="00DA64EC"/>
    <w:rsid w:val="00DC2A65"/>
    <w:rsid w:val="00DD18FB"/>
    <w:rsid w:val="00DE15F0"/>
    <w:rsid w:val="00DE5663"/>
    <w:rsid w:val="00DE78AA"/>
    <w:rsid w:val="00E053D0"/>
    <w:rsid w:val="00E15994"/>
    <w:rsid w:val="00E2077B"/>
    <w:rsid w:val="00E3114E"/>
    <w:rsid w:val="00E31A70"/>
    <w:rsid w:val="00E35B02"/>
    <w:rsid w:val="00E6237A"/>
    <w:rsid w:val="00E630F2"/>
    <w:rsid w:val="00E66496"/>
    <w:rsid w:val="00E66B35"/>
    <w:rsid w:val="00E66E10"/>
    <w:rsid w:val="00E769F6"/>
    <w:rsid w:val="00E8407C"/>
    <w:rsid w:val="00E84F3C"/>
    <w:rsid w:val="00EA012C"/>
    <w:rsid w:val="00EC6A55"/>
    <w:rsid w:val="00ED0288"/>
    <w:rsid w:val="00ED6CFA"/>
    <w:rsid w:val="00EE52CB"/>
    <w:rsid w:val="00EF581D"/>
    <w:rsid w:val="00EF5B4E"/>
    <w:rsid w:val="00EF7FD8"/>
    <w:rsid w:val="00F06F59"/>
    <w:rsid w:val="00F17988"/>
    <w:rsid w:val="00F44F80"/>
    <w:rsid w:val="00F469F0"/>
    <w:rsid w:val="00F53273"/>
    <w:rsid w:val="00F62D1E"/>
    <w:rsid w:val="00F755E4"/>
    <w:rsid w:val="00F77D02"/>
    <w:rsid w:val="00F8265F"/>
    <w:rsid w:val="00FB2536"/>
    <w:rsid w:val="00FB3A86"/>
    <w:rsid w:val="00FD36C8"/>
    <w:rsid w:val="00FE0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61DAF1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02A7"/>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paragraph" w:styleId="Heading2">
    <w:name w:val="heading 2"/>
    <w:basedOn w:val="Normal"/>
    <w:next w:val="Normal"/>
    <w:link w:val="Heading2Char"/>
    <w:semiHidden/>
    <w:unhideWhenUsed/>
    <w:qFormat/>
    <w:rsid w:val="001B4B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B4B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2E31C9"/>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E31C9"/>
    <w:rPr>
      <w:b/>
      <w:bCs/>
    </w:rPr>
  </w:style>
  <w:style w:type="paragraph" w:styleId="ListParagraph">
    <w:name w:val="List Paragraph"/>
    <w:basedOn w:val="Normal"/>
    <w:uiPriority w:val="34"/>
    <w:qFormat/>
    <w:rsid w:val="001B4BDF"/>
    <w:pPr>
      <w:spacing w:before="100" w:beforeAutospacing="1" w:after="100" w:afterAutospacing="1" w:line="360" w:lineRule="auto"/>
      <w:ind w:left="720"/>
      <w:contextualSpacing/>
      <w:jc w:val="both"/>
    </w:pPr>
    <w:rPr>
      <w:rFonts w:ascii="Times New Roman" w:eastAsiaTheme="minorHAnsi" w:hAnsi="Times New Roman" w:cstheme="minorBidi"/>
      <w:sz w:val="24"/>
      <w:szCs w:val="22"/>
    </w:rPr>
  </w:style>
  <w:style w:type="character" w:customStyle="1" w:styleId="Heading2Char">
    <w:name w:val="Heading 2 Char"/>
    <w:basedOn w:val="DefaultParagraphFont"/>
    <w:link w:val="Heading2"/>
    <w:semiHidden/>
    <w:rsid w:val="001B4BD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B4BDF"/>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965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97344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854982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3125998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doi.org/10.5005/jp-journals-10024-325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dx.doi.org/10.21276/ijcmr.2019.6.11.33"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C0956-4CCE-4333-98A8-167888DA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1016</TotalTime>
  <Pages>11</Pages>
  <Words>2332</Words>
  <Characters>18661</Characters>
  <Application>Microsoft Office Word</Application>
  <DocSecurity>0</DocSecurity>
  <Lines>1866</Lines>
  <Paragraphs>1234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19759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68</cp:revision>
  <cp:lastPrinted>1999-07-06T11:00:00Z</cp:lastPrinted>
  <dcterms:created xsi:type="dcterms:W3CDTF">2014-10-25T14:34:00Z</dcterms:created>
  <dcterms:modified xsi:type="dcterms:W3CDTF">2025-03-20T06:00:00Z</dcterms:modified>
</cp:coreProperties>
</file>