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27B86" w14:textId="224F24B7" w:rsidR="00B37D8E" w:rsidRPr="007435B4" w:rsidRDefault="00B37D8E" w:rsidP="00B97F3F">
      <w:pPr>
        <w:spacing w:after="0"/>
        <w:ind w:left="-567" w:right="-187"/>
        <w:jc w:val="center"/>
        <w:textAlignment w:val="baseline"/>
        <w:rPr>
          <w:rFonts w:ascii="Times New Roman" w:eastAsia="Calibri" w:hAnsi="Times New Roman" w:cs="Times New Roman"/>
          <w:b/>
          <w:color w:val="000000" w:themeColor="text1"/>
          <w:kern w:val="24"/>
          <w:sz w:val="28"/>
          <w:szCs w:val="28"/>
          <w:lang w:eastAsia="en-IN" w:bidi="hi-IN"/>
        </w:rPr>
      </w:pPr>
      <w:bookmarkStart w:id="0" w:name="_GoBack"/>
      <w:bookmarkEnd w:id="0"/>
      <w:r w:rsidRPr="007435B4">
        <w:rPr>
          <w:rFonts w:ascii="Times New Roman" w:eastAsia="Calibri" w:hAnsi="Times New Roman" w:cs="Times New Roman"/>
          <w:b/>
          <w:color w:val="000000" w:themeColor="text1"/>
          <w:kern w:val="24"/>
          <w:sz w:val="28"/>
          <w:szCs w:val="28"/>
          <w:lang w:eastAsia="en-IN" w:bidi="hi-IN"/>
        </w:rPr>
        <w:t>Original Research Article</w:t>
      </w:r>
    </w:p>
    <w:p w14:paraId="2912D8C9" w14:textId="77777777" w:rsidR="00B37D8E" w:rsidRPr="007435B4" w:rsidRDefault="00B37D8E" w:rsidP="00B97F3F">
      <w:pPr>
        <w:spacing w:after="0"/>
        <w:ind w:left="-567" w:right="-187"/>
        <w:jc w:val="center"/>
        <w:textAlignment w:val="baseline"/>
        <w:rPr>
          <w:rFonts w:ascii="Times New Roman" w:eastAsia="Calibri" w:hAnsi="Times New Roman" w:cs="Times New Roman"/>
          <w:b/>
          <w:color w:val="000000" w:themeColor="text1"/>
          <w:kern w:val="24"/>
          <w:sz w:val="28"/>
          <w:szCs w:val="28"/>
          <w:lang w:eastAsia="en-IN" w:bidi="hi-IN"/>
        </w:rPr>
      </w:pPr>
    </w:p>
    <w:p w14:paraId="4FC96F7C" w14:textId="5350E9B4" w:rsidR="007B3724" w:rsidRPr="007435B4" w:rsidRDefault="000E46B7" w:rsidP="00B97F3F">
      <w:pPr>
        <w:spacing w:after="0"/>
        <w:ind w:left="-567" w:right="-187"/>
        <w:jc w:val="center"/>
        <w:textAlignment w:val="baseline"/>
        <w:rPr>
          <w:rFonts w:ascii="Times New Roman" w:eastAsia="Calibri" w:hAnsi="Times New Roman" w:cs="Times New Roman"/>
          <w:b/>
          <w:color w:val="000000" w:themeColor="text1"/>
          <w:kern w:val="24"/>
          <w:sz w:val="28"/>
          <w:szCs w:val="28"/>
          <w:lang w:eastAsia="en-IN" w:bidi="hi-IN"/>
        </w:rPr>
      </w:pPr>
      <w:r w:rsidRPr="007435B4">
        <w:rPr>
          <w:rFonts w:ascii="Times New Roman" w:eastAsia="Calibri" w:hAnsi="Times New Roman" w:cs="Times New Roman"/>
          <w:b/>
          <w:color w:val="000000" w:themeColor="text1"/>
          <w:kern w:val="24"/>
          <w:sz w:val="28"/>
          <w:szCs w:val="28"/>
          <w:lang w:eastAsia="en-IN" w:bidi="hi-IN"/>
        </w:rPr>
        <w:t xml:space="preserve">Assessment of physiological maturity through pod and seed </w:t>
      </w:r>
      <w:r w:rsidR="007B3724" w:rsidRPr="007435B4">
        <w:rPr>
          <w:rFonts w:ascii="Times New Roman" w:eastAsia="Calibri" w:hAnsi="Times New Roman" w:cs="Times New Roman"/>
          <w:b/>
          <w:color w:val="000000" w:themeColor="text1"/>
          <w:kern w:val="24"/>
          <w:sz w:val="28"/>
          <w:szCs w:val="28"/>
          <w:lang w:eastAsia="en-IN" w:bidi="hi-IN"/>
        </w:rPr>
        <w:t xml:space="preserve">developmental pattern </w:t>
      </w:r>
      <w:r w:rsidRPr="007435B4">
        <w:rPr>
          <w:rFonts w:ascii="Times New Roman" w:eastAsia="Calibri" w:hAnsi="Times New Roman" w:cs="Times New Roman"/>
          <w:b/>
          <w:color w:val="000000" w:themeColor="text1"/>
          <w:kern w:val="24"/>
          <w:sz w:val="28"/>
          <w:szCs w:val="28"/>
          <w:lang w:eastAsia="en-IN" w:bidi="hi-IN"/>
        </w:rPr>
        <w:t>in local land races of green gram (</w:t>
      </w:r>
      <w:r w:rsidRPr="007435B4">
        <w:rPr>
          <w:rFonts w:ascii="Times New Roman" w:eastAsia="Calibri" w:hAnsi="Times New Roman" w:cs="Times New Roman"/>
          <w:b/>
          <w:i/>
          <w:color w:val="000000" w:themeColor="text1"/>
          <w:kern w:val="24"/>
          <w:sz w:val="28"/>
          <w:szCs w:val="28"/>
          <w:lang w:eastAsia="en-IN" w:bidi="hi-IN"/>
        </w:rPr>
        <w:t>Vigna radiata</w:t>
      </w:r>
      <w:r w:rsidRPr="007435B4">
        <w:rPr>
          <w:rFonts w:ascii="Times New Roman" w:eastAsia="Calibri" w:hAnsi="Times New Roman" w:cs="Times New Roman"/>
          <w:b/>
          <w:color w:val="000000" w:themeColor="text1"/>
          <w:kern w:val="24"/>
          <w:sz w:val="28"/>
          <w:szCs w:val="28"/>
          <w:lang w:eastAsia="en-IN" w:bidi="hi-IN"/>
        </w:rPr>
        <w:t xml:space="preserve"> L. Wilczek)</w:t>
      </w:r>
      <w:r w:rsidR="007B3724" w:rsidRPr="007435B4">
        <w:rPr>
          <w:rFonts w:ascii="Times New Roman" w:eastAsia="Calibri" w:hAnsi="Times New Roman" w:cs="Times New Roman"/>
          <w:b/>
          <w:color w:val="000000" w:themeColor="text1"/>
          <w:kern w:val="24"/>
          <w:sz w:val="28"/>
          <w:szCs w:val="28"/>
          <w:lang w:eastAsia="en-IN" w:bidi="hi-IN"/>
        </w:rPr>
        <w:t xml:space="preserve"> </w:t>
      </w:r>
    </w:p>
    <w:p w14:paraId="7DC6CCAC" w14:textId="77777777" w:rsidR="00BA03DA" w:rsidRPr="00AE0EFF" w:rsidRDefault="00BA03DA" w:rsidP="005428F8">
      <w:pPr>
        <w:spacing w:after="0" w:line="360" w:lineRule="auto"/>
        <w:jc w:val="center"/>
        <w:rPr>
          <w:rFonts w:ascii="Times New Roman" w:hAnsi="Times New Roman" w:cs="Times New Roman"/>
          <w:b/>
          <w:i/>
          <w:sz w:val="24"/>
          <w:szCs w:val="24"/>
        </w:rPr>
      </w:pPr>
    </w:p>
    <w:p w14:paraId="73923E11" w14:textId="77777777" w:rsidR="000155FB" w:rsidRDefault="000155FB" w:rsidP="00B97F3F">
      <w:pPr>
        <w:spacing w:line="360" w:lineRule="auto"/>
        <w:rPr>
          <w:rFonts w:ascii="Times New Roman" w:hAnsi="Times New Roman" w:cs="Times New Roman"/>
          <w:b/>
          <w:color w:val="000000" w:themeColor="text1"/>
          <w:sz w:val="24"/>
          <w:szCs w:val="24"/>
        </w:rPr>
      </w:pPr>
    </w:p>
    <w:p w14:paraId="5480E716" w14:textId="6CA791D3" w:rsidR="00761ADE" w:rsidRPr="00D70D68" w:rsidRDefault="00B97F3F" w:rsidP="00B97F3F">
      <w:pPr>
        <w:spacing w:line="360" w:lineRule="auto"/>
        <w:rPr>
          <w:rFonts w:ascii="Times New Roman" w:hAnsi="Times New Roman" w:cs="Times New Roman"/>
          <w:b/>
          <w:color w:val="000000" w:themeColor="text1"/>
          <w:sz w:val="24"/>
          <w:szCs w:val="24"/>
        </w:rPr>
      </w:pPr>
      <w:r w:rsidRPr="00D70D68">
        <w:rPr>
          <w:rFonts w:ascii="Times New Roman" w:hAnsi="Times New Roman" w:cs="Times New Roman"/>
          <w:b/>
          <w:color w:val="000000" w:themeColor="text1"/>
          <w:sz w:val="24"/>
          <w:szCs w:val="24"/>
        </w:rPr>
        <w:t>ABSTRACT</w:t>
      </w:r>
    </w:p>
    <w:p w14:paraId="702E2AD4" w14:textId="577770EC" w:rsidR="002C3CBF" w:rsidRPr="00AE0EFF" w:rsidRDefault="002C3CBF" w:rsidP="00131BC5">
      <w:pPr>
        <w:spacing w:after="0"/>
        <w:ind w:firstLine="720"/>
        <w:contextualSpacing/>
        <w:jc w:val="both"/>
        <w:textAlignment w:val="baseline"/>
        <w:rPr>
          <w:rFonts w:ascii="Times New Roman" w:eastAsia="Calibri" w:hAnsi="Times New Roman" w:cs="Times New Roman"/>
          <w:sz w:val="24"/>
          <w:szCs w:val="24"/>
        </w:rPr>
      </w:pPr>
      <w:r w:rsidRPr="00AE0EFF">
        <w:rPr>
          <w:rFonts w:ascii="Times New Roman" w:eastAsia="Calibri" w:hAnsi="Times New Roman" w:cs="Times New Roman"/>
          <w:sz w:val="24"/>
          <w:szCs w:val="24"/>
        </w:rPr>
        <w:t>For assessing physiological maturity through pod and seed developmental pattern</w:t>
      </w:r>
      <w:r w:rsidR="000B03D1">
        <w:rPr>
          <w:rFonts w:ascii="Times New Roman" w:eastAsia="Calibri" w:hAnsi="Times New Roman" w:cs="Times New Roman"/>
          <w:sz w:val="24"/>
          <w:szCs w:val="24"/>
        </w:rPr>
        <w:t>s</w:t>
      </w:r>
      <w:r w:rsidRPr="00AE0EFF">
        <w:rPr>
          <w:rFonts w:ascii="Times New Roman" w:eastAsia="Calibri" w:hAnsi="Times New Roman" w:cs="Times New Roman"/>
          <w:sz w:val="24"/>
          <w:szCs w:val="24"/>
        </w:rPr>
        <w:t xml:space="preserve"> in local landraces of green gram (</w:t>
      </w:r>
      <w:r w:rsidRPr="00AE0EFF">
        <w:rPr>
          <w:rFonts w:ascii="Times New Roman" w:eastAsia="Calibri" w:hAnsi="Times New Roman" w:cs="Times New Roman"/>
          <w:i/>
          <w:sz w:val="24"/>
          <w:szCs w:val="24"/>
        </w:rPr>
        <w:t>Vigna radiata</w:t>
      </w:r>
      <w:r w:rsidRPr="00AE0EFF">
        <w:rPr>
          <w:rFonts w:ascii="Times New Roman" w:eastAsia="Calibri" w:hAnsi="Times New Roman" w:cs="Times New Roman"/>
          <w:sz w:val="24"/>
          <w:szCs w:val="24"/>
        </w:rPr>
        <w:t xml:space="preserve"> L. </w:t>
      </w:r>
      <w:proofErr w:type="spellStart"/>
      <w:r w:rsidRPr="00AE0EFF">
        <w:rPr>
          <w:rFonts w:ascii="Times New Roman" w:eastAsia="Calibri" w:hAnsi="Times New Roman" w:cs="Times New Roman"/>
          <w:sz w:val="24"/>
          <w:szCs w:val="24"/>
        </w:rPr>
        <w:t>Wilczek</w:t>
      </w:r>
      <w:proofErr w:type="spellEnd"/>
      <w:r w:rsidRPr="00AE0EFF">
        <w:rPr>
          <w:rFonts w:ascii="Times New Roman" w:eastAsia="Calibri" w:hAnsi="Times New Roman" w:cs="Times New Roman"/>
          <w:sz w:val="24"/>
          <w:szCs w:val="24"/>
        </w:rPr>
        <w:t xml:space="preserve">), </w:t>
      </w:r>
      <w:r w:rsidR="000B03D1">
        <w:rPr>
          <w:rFonts w:ascii="Times New Roman" w:eastAsia="Calibri" w:hAnsi="Times New Roman" w:cs="Times New Roman"/>
          <w:sz w:val="24"/>
          <w:szCs w:val="24"/>
        </w:rPr>
        <w:t xml:space="preserve">a </w:t>
      </w:r>
      <w:r w:rsidRPr="00AE0EFF">
        <w:rPr>
          <w:rFonts w:ascii="Times New Roman" w:eastAsia="Calibri" w:hAnsi="Times New Roman" w:cs="Times New Roman"/>
          <w:sz w:val="24"/>
          <w:szCs w:val="24"/>
        </w:rPr>
        <w:t xml:space="preserve">sufficient number of flowers were tagged on the day of anthesis for all the genotypes. Ten fruits were harvested per replication for each </w:t>
      </w:r>
      <w:r w:rsidR="00B97F3F" w:rsidRPr="00AE0EFF">
        <w:rPr>
          <w:rFonts w:ascii="Times New Roman" w:eastAsia="Calibri" w:hAnsi="Times New Roman" w:cs="Times New Roman"/>
          <w:sz w:val="24"/>
          <w:szCs w:val="24"/>
        </w:rPr>
        <w:t>genotype of</w:t>
      </w:r>
      <w:r w:rsidRPr="00AE0EFF">
        <w:rPr>
          <w:rFonts w:ascii="Times New Roman" w:eastAsia="Calibri" w:hAnsi="Times New Roman" w:cs="Times New Roman"/>
          <w:sz w:val="24"/>
          <w:szCs w:val="24"/>
        </w:rPr>
        <w:t xml:space="preserve"> five harvesting stages starting from 7 days after anthesis and at seven</w:t>
      </w:r>
      <w:r w:rsidR="000B03D1">
        <w:rPr>
          <w:rFonts w:ascii="Times New Roman" w:eastAsia="Calibri" w:hAnsi="Times New Roman" w:cs="Times New Roman"/>
          <w:sz w:val="24"/>
          <w:szCs w:val="24"/>
        </w:rPr>
        <w:t>-day</w:t>
      </w:r>
      <w:r w:rsidRPr="00AE0EFF">
        <w:rPr>
          <w:rFonts w:ascii="Times New Roman" w:eastAsia="Calibri" w:hAnsi="Times New Roman" w:cs="Times New Roman"/>
          <w:sz w:val="24"/>
          <w:szCs w:val="24"/>
        </w:rPr>
        <w:t xml:space="preserve"> interval</w:t>
      </w:r>
      <w:r w:rsidR="000B03D1">
        <w:rPr>
          <w:rFonts w:ascii="Times New Roman" w:eastAsia="Calibri" w:hAnsi="Times New Roman" w:cs="Times New Roman"/>
          <w:sz w:val="24"/>
          <w:szCs w:val="24"/>
        </w:rPr>
        <w:t>s</w:t>
      </w:r>
      <w:r w:rsidRPr="00AE0EFF">
        <w:rPr>
          <w:rFonts w:ascii="Times New Roman" w:eastAsia="Calibri" w:hAnsi="Times New Roman" w:cs="Times New Roman"/>
          <w:sz w:val="24"/>
          <w:szCs w:val="24"/>
        </w:rPr>
        <w:t>. The harvested pods and seeds were utilized for the study. Enhancement in pod length, weight, no of seed/pod and 1000 seed weight was noted up</w:t>
      </w:r>
      <w:r w:rsidR="000B03D1">
        <w:rPr>
          <w:rFonts w:ascii="Times New Roman" w:eastAsia="Calibri" w:hAnsi="Times New Roman" w:cs="Times New Roman"/>
          <w:sz w:val="24"/>
          <w:szCs w:val="24"/>
        </w:rPr>
        <w:t xml:space="preserve"> </w:t>
      </w:r>
      <w:r w:rsidRPr="00AE0EFF">
        <w:rPr>
          <w:rFonts w:ascii="Times New Roman" w:eastAsia="Calibri" w:hAnsi="Times New Roman" w:cs="Times New Roman"/>
          <w:sz w:val="24"/>
          <w:szCs w:val="24"/>
        </w:rPr>
        <w:t xml:space="preserve">to 28 DAA in most of the genotypes. </w:t>
      </w:r>
      <w:r w:rsidR="00B97F3F" w:rsidRPr="00AE0EFF">
        <w:rPr>
          <w:rFonts w:ascii="Times New Roman" w:eastAsia="Calibri" w:hAnsi="Times New Roman" w:cs="Times New Roman"/>
          <w:sz w:val="24"/>
          <w:szCs w:val="24"/>
        </w:rPr>
        <w:t>Continuous</w:t>
      </w:r>
      <w:r w:rsidRPr="00AE0EFF">
        <w:rPr>
          <w:rFonts w:ascii="Times New Roman" w:eastAsia="Calibri" w:hAnsi="Times New Roman" w:cs="Times New Roman"/>
          <w:sz w:val="24"/>
          <w:szCs w:val="24"/>
        </w:rPr>
        <w:t xml:space="preserve"> increase in seed fresh weight was noted </w:t>
      </w:r>
      <w:r w:rsidR="000B03D1" w:rsidRPr="00AE0EFF">
        <w:rPr>
          <w:rFonts w:ascii="Times New Roman" w:eastAsia="Calibri" w:hAnsi="Times New Roman" w:cs="Times New Roman"/>
          <w:sz w:val="24"/>
          <w:szCs w:val="24"/>
        </w:rPr>
        <w:t>up</w:t>
      </w:r>
      <w:r w:rsidR="000B03D1">
        <w:rPr>
          <w:rFonts w:ascii="Times New Roman" w:eastAsia="Calibri" w:hAnsi="Times New Roman" w:cs="Times New Roman"/>
          <w:sz w:val="24"/>
          <w:szCs w:val="24"/>
        </w:rPr>
        <w:t xml:space="preserve"> to </w:t>
      </w:r>
      <w:r w:rsidR="000B03D1" w:rsidRPr="00AE0EFF">
        <w:rPr>
          <w:rFonts w:ascii="Times New Roman" w:eastAsia="Calibri" w:hAnsi="Times New Roman" w:cs="Times New Roman"/>
          <w:sz w:val="24"/>
          <w:szCs w:val="24"/>
        </w:rPr>
        <w:t xml:space="preserve">28 </w:t>
      </w:r>
      <w:r w:rsidRPr="00AE0EFF">
        <w:rPr>
          <w:rFonts w:ascii="Times New Roman" w:eastAsia="Calibri" w:hAnsi="Times New Roman" w:cs="Times New Roman"/>
          <w:sz w:val="24"/>
          <w:szCs w:val="24"/>
        </w:rPr>
        <w:t>DAA whereas dry weight continued to increase till 35 DAA in correspondence with loss in moisture. Maximum dry matter accumulation was between 14 DAA-</w:t>
      </w:r>
      <w:r w:rsidRPr="003767D2">
        <w:rPr>
          <w:rFonts w:ascii="Times New Roman" w:eastAsia="Calibri" w:hAnsi="Times New Roman" w:cs="Times New Roman"/>
          <w:sz w:val="24"/>
          <w:szCs w:val="24"/>
          <w:highlight w:val="yellow"/>
        </w:rPr>
        <w:t xml:space="preserve">21 DAA. Significant moisture loss was recorded for all genotypes from 21 DAA-35 DAA. </w:t>
      </w:r>
      <w:r w:rsidR="000B03D1" w:rsidRPr="003767D2">
        <w:rPr>
          <w:rFonts w:ascii="Times New Roman" w:eastAsia="Calibri" w:hAnsi="Times New Roman" w:cs="Times New Roman"/>
          <w:sz w:val="24"/>
          <w:szCs w:val="24"/>
          <w:highlight w:val="yellow"/>
        </w:rPr>
        <w:t xml:space="preserve">The highest </w:t>
      </w:r>
      <w:r w:rsidRPr="003767D2">
        <w:rPr>
          <w:rFonts w:ascii="Times New Roman" w:eastAsia="Calibri" w:hAnsi="Times New Roman" w:cs="Times New Roman"/>
          <w:sz w:val="24"/>
          <w:szCs w:val="24"/>
          <w:highlight w:val="yellow"/>
        </w:rPr>
        <w:t xml:space="preserve">germination was </w:t>
      </w:r>
      <w:r w:rsidR="00B97F3F" w:rsidRPr="003767D2">
        <w:rPr>
          <w:rFonts w:ascii="Times New Roman" w:eastAsia="Calibri" w:hAnsi="Times New Roman" w:cs="Times New Roman"/>
          <w:sz w:val="24"/>
          <w:szCs w:val="24"/>
          <w:highlight w:val="yellow"/>
        </w:rPr>
        <w:t>achieved at</w:t>
      </w:r>
      <w:r w:rsidRPr="003767D2">
        <w:rPr>
          <w:rFonts w:ascii="Times New Roman" w:eastAsia="Calibri" w:hAnsi="Times New Roman" w:cs="Times New Roman"/>
          <w:sz w:val="24"/>
          <w:szCs w:val="24"/>
          <w:highlight w:val="yellow"/>
        </w:rPr>
        <w:t xml:space="preserve"> 35 DAA for all genotypes except V1 and V4 for whi</w:t>
      </w:r>
      <w:r w:rsidRPr="00AE0EFF">
        <w:rPr>
          <w:rFonts w:ascii="Times New Roman" w:eastAsia="Calibri" w:hAnsi="Times New Roman" w:cs="Times New Roman"/>
          <w:sz w:val="24"/>
          <w:szCs w:val="24"/>
        </w:rPr>
        <w:t xml:space="preserve">ch </w:t>
      </w:r>
      <w:r w:rsidR="000B03D1">
        <w:rPr>
          <w:rFonts w:ascii="Times New Roman" w:eastAsia="Calibri" w:hAnsi="Times New Roman" w:cs="Times New Roman"/>
          <w:sz w:val="24"/>
          <w:szCs w:val="24"/>
        </w:rPr>
        <w:t xml:space="preserve">the </w:t>
      </w:r>
      <w:r w:rsidRPr="00AE0EFF">
        <w:rPr>
          <w:rFonts w:ascii="Times New Roman" w:eastAsia="Calibri" w:hAnsi="Times New Roman" w:cs="Times New Roman"/>
          <w:sz w:val="24"/>
          <w:szCs w:val="24"/>
        </w:rPr>
        <w:t>highest germination was recorded at 28 DAA.</w:t>
      </w:r>
      <w:r w:rsidR="00BF127D" w:rsidRPr="00AE0EFF">
        <w:rPr>
          <w:rFonts w:ascii="Times New Roman" w:eastAsia="Calibri" w:hAnsi="Times New Roman" w:cs="Times New Roman"/>
          <w:sz w:val="24"/>
          <w:szCs w:val="24"/>
        </w:rPr>
        <w:t xml:space="preserve"> Enhancement in shoot length was </w:t>
      </w:r>
      <w:r w:rsidR="00B97F3F" w:rsidRPr="00AE0EFF">
        <w:rPr>
          <w:rFonts w:ascii="Times New Roman" w:eastAsia="Calibri" w:hAnsi="Times New Roman" w:cs="Times New Roman"/>
          <w:sz w:val="24"/>
          <w:szCs w:val="24"/>
        </w:rPr>
        <w:t>up to</w:t>
      </w:r>
      <w:r w:rsidR="00BF127D" w:rsidRPr="00AE0EFF">
        <w:rPr>
          <w:rFonts w:ascii="Times New Roman" w:eastAsia="Calibri" w:hAnsi="Times New Roman" w:cs="Times New Roman"/>
          <w:sz w:val="24"/>
          <w:szCs w:val="24"/>
        </w:rPr>
        <w:t xml:space="preserve"> 35 DAA for all genotypes whereas for root length it was till 28 DAA for most of the genotypes. </w:t>
      </w:r>
      <w:proofErr w:type="spellStart"/>
      <w:r w:rsidR="00BF127D" w:rsidRPr="00AE0EFF">
        <w:rPr>
          <w:rFonts w:ascii="Times New Roman" w:eastAsia="Calibri" w:hAnsi="Times New Roman" w:cs="Times New Roman"/>
          <w:sz w:val="24"/>
          <w:szCs w:val="24"/>
        </w:rPr>
        <w:t>Vigour</w:t>
      </w:r>
      <w:proofErr w:type="spellEnd"/>
      <w:r w:rsidR="00BF127D" w:rsidRPr="00AE0EFF">
        <w:rPr>
          <w:rFonts w:ascii="Times New Roman" w:eastAsia="Calibri" w:hAnsi="Times New Roman" w:cs="Times New Roman"/>
          <w:sz w:val="24"/>
          <w:szCs w:val="24"/>
        </w:rPr>
        <w:t xml:space="preserve"> Index 1 was noted to be constantly enhanced with progress in development </w:t>
      </w:r>
      <w:r w:rsidR="00B97F3F" w:rsidRPr="00AE0EFF">
        <w:rPr>
          <w:rFonts w:ascii="Times New Roman" w:eastAsia="Calibri" w:hAnsi="Times New Roman" w:cs="Times New Roman"/>
          <w:sz w:val="24"/>
          <w:szCs w:val="24"/>
        </w:rPr>
        <w:t>up to</w:t>
      </w:r>
      <w:r w:rsidR="00BF127D" w:rsidRPr="00AE0EFF">
        <w:rPr>
          <w:rFonts w:ascii="Times New Roman" w:eastAsia="Calibri" w:hAnsi="Times New Roman" w:cs="Times New Roman"/>
          <w:sz w:val="24"/>
          <w:szCs w:val="24"/>
        </w:rPr>
        <w:t xml:space="preserve"> 35 DAA for most of </w:t>
      </w:r>
      <w:r w:rsidR="000B03D1">
        <w:rPr>
          <w:rFonts w:ascii="Times New Roman" w:eastAsia="Calibri" w:hAnsi="Times New Roman" w:cs="Times New Roman"/>
          <w:sz w:val="24"/>
          <w:szCs w:val="24"/>
        </w:rPr>
        <w:t xml:space="preserve">the </w:t>
      </w:r>
      <w:r w:rsidR="00BF127D" w:rsidRPr="00AE0EFF">
        <w:rPr>
          <w:rFonts w:ascii="Times New Roman" w:eastAsia="Calibri" w:hAnsi="Times New Roman" w:cs="Times New Roman"/>
          <w:sz w:val="24"/>
          <w:szCs w:val="24"/>
        </w:rPr>
        <w:t xml:space="preserve">genotypes whereas </w:t>
      </w:r>
      <w:r w:rsidR="000B03D1">
        <w:rPr>
          <w:rFonts w:ascii="Times New Roman" w:eastAsia="Calibri" w:hAnsi="Times New Roman" w:cs="Times New Roman"/>
          <w:sz w:val="24"/>
          <w:szCs w:val="24"/>
        </w:rPr>
        <w:t xml:space="preserve">an </w:t>
      </w:r>
      <w:r w:rsidR="00BF127D" w:rsidRPr="00AE0EFF">
        <w:rPr>
          <w:rFonts w:ascii="Times New Roman" w:eastAsia="Calibri" w:hAnsi="Times New Roman" w:cs="Times New Roman"/>
          <w:sz w:val="24"/>
          <w:szCs w:val="24"/>
        </w:rPr>
        <w:t xml:space="preserve">increase in </w:t>
      </w:r>
      <w:proofErr w:type="spellStart"/>
      <w:r w:rsidR="00B97F3F" w:rsidRPr="00AE0EFF">
        <w:rPr>
          <w:rFonts w:ascii="Times New Roman" w:eastAsia="Calibri" w:hAnsi="Times New Roman" w:cs="Times New Roman"/>
          <w:sz w:val="24"/>
          <w:szCs w:val="24"/>
        </w:rPr>
        <w:t>vigo</w:t>
      </w:r>
      <w:r w:rsidR="000B03D1">
        <w:rPr>
          <w:rFonts w:ascii="Times New Roman" w:eastAsia="Calibri" w:hAnsi="Times New Roman" w:cs="Times New Roman"/>
          <w:sz w:val="24"/>
          <w:szCs w:val="24"/>
        </w:rPr>
        <w:t>u</w:t>
      </w:r>
      <w:r w:rsidR="00B97F3F" w:rsidRPr="00AE0EFF">
        <w:rPr>
          <w:rFonts w:ascii="Times New Roman" w:eastAsia="Calibri" w:hAnsi="Times New Roman" w:cs="Times New Roman"/>
          <w:sz w:val="24"/>
          <w:szCs w:val="24"/>
        </w:rPr>
        <w:t>r</w:t>
      </w:r>
      <w:proofErr w:type="spellEnd"/>
      <w:r w:rsidR="00BF127D" w:rsidRPr="00AE0EFF">
        <w:rPr>
          <w:rFonts w:ascii="Times New Roman" w:eastAsia="Calibri" w:hAnsi="Times New Roman" w:cs="Times New Roman"/>
          <w:sz w:val="24"/>
          <w:szCs w:val="24"/>
        </w:rPr>
        <w:t xml:space="preserve"> index II was 28 DAA except V5. Germination and </w:t>
      </w:r>
      <w:r w:rsidR="00B97F3F" w:rsidRPr="00AE0EFF">
        <w:rPr>
          <w:rFonts w:ascii="Times New Roman" w:eastAsia="Calibri" w:hAnsi="Times New Roman" w:cs="Times New Roman"/>
          <w:sz w:val="24"/>
          <w:szCs w:val="24"/>
        </w:rPr>
        <w:t>vigor</w:t>
      </w:r>
      <w:r w:rsidR="00BF127D" w:rsidRPr="00AE0EFF">
        <w:rPr>
          <w:rFonts w:ascii="Times New Roman" w:eastAsia="Calibri" w:hAnsi="Times New Roman" w:cs="Times New Roman"/>
          <w:sz w:val="24"/>
          <w:szCs w:val="24"/>
        </w:rPr>
        <w:t xml:space="preserve"> index decreased after 28 DAA in 2 genotypes and 35 DAA for 3 genotypes indicating attainment of physiological maturity between 28-35 DAA.</w:t>
      </w:r>
      <w:r w:rsidRPr="00AE0EFF">
        <w:rPr>
          <w:rFonts w:ascii="Times New Roman" w:eastAsia="Calibri" w:hAnsi="Times New Roman" w:cs="Times New Roman"/>
          <w:sz w:val="24"/>
          <w:szCs w:val="24"/>
        </w:rPr>
        <w:t xml:space="preserve"> </w:t>
      </w:r>
    </w:p>
    <w:p w14:paraId="362E002D" w14:textId="77777777" w:rsidR="00B97F3F" w:rsidRPr="00AE0EFF" w:rsidRDefault="00B97F3F" w:rsidP="00B97F3F">
      <w:pPr>
        <w:spacing w:after="0" w:line="360" w:lineRule="auto"/>
        <w:contextualSpacing/>
        <w:jc w:val="both"/>
        <w:textAlignment w:val="baseline"/>
        <w:rPr>
          <w:rFonts w:ascii="Times New Roman" w:eastAsia="Calibri" w:hAnsi="Times New Roman" w:cs="Times New Roman"/>
          <w:sz w:val="24"/>
          <w:szCs w:val="24"/>
        </w:rPr>
      </w:pPr>
    </w:p>
    <w:p w14:paraId="1DC98D40" w14:textId="1C33FEE1" w:rsidR="005428F8" w:rsidRPr="0002095D" w:rsidRDefault="00B97F3F" w:rsidP="00B97F3F">
      <w:pPr>
        <w:spacing w:after="0" w:line="360" w:lineRule="auto"/>
        <w:contextualSpacing/>
        <w:jc w:val="both"/>
        <w:textAlignment w:val="baseline"/>
        <w:rPr>
          <w:rFonts w:ascii="Times New Roman" w:eastAsia="Calibri" w:hAnsi="Times New Roman" w:cs="Times New Roman"/>
          <w:color w:val="000000" w:themeColor="text1"/>
          <w:sz w:val="24"/>
          <w:szCs w:val="24"/>
        </w:rPr>
      </w:pPr>
      <w:r w:rsidRPr="0002095D">
        <w:rPr>
          <w:rFonts w:ascii="Times New Roman" w:eastAsia="Calibri" w:hAnsi="Times New Roman" w:cs="Times New Roman"/>
          <w:b/>
          <w:color w:val="000000" w:themeColor="text1"/>
          <w:sz w:val="24"/>
          <w:szCs w:val="24"/>
        </w:rPr>
        <w:t>KEYWORDS</w:t>
      </w:r>
      <w:r w:rsidRPr="0002095D">
        <w:rPr>
          <w:rFonts w:ascii="Times New Roman" w:eastAsia="Calibri" w:hAnsi="Times New Roman" w:cs="Times New Roman"/>
          <w:color w:val="000000" w:themeColor="text1"/>
          <w:sz w:val="24"/>
          <w:szCs w:val="24"/>
        </w:rPr>
        <w:t xml:space="preserve"> </w:t>
      </w:r>
    </w:p>
    <w:p w14:paraId="583C8DFD" w14:textId="77777777" w:rsidR="00B97F3F" w:rsidRPr="00AE0EFF" w:rsidRDefault="00B97F3F" w:rsidP="005428F8">
      <w:pPr>
        <w:spacing w:after="0"/>
        <w:contextualSpacing/>
        <w:jc w:val="both"/>
        <w:textAlignment w:val="baseline"/>
        <w:rPr>
          <w:rFonts w:ascii="Times New Roman" w:eastAsia="Calibri" w:hAnsi="Times New Roman" w:cs="Times New Roman"/>
          <w:sz w:val="24"/>
          <w:szCs w:val="24"/>
        </w:rPr>
      </w:pPr>
      <w:r w:rsidRPr="00AE0EFF">
        <w:rPr>
          <w:rFonts w:ascii="Times New Roman" w:eastAsia="Calibri" w:hAnsi="Times New Roman" w:cs="Times New Roman"/>
          <w:sz w:val="24"/>
          <w:szCs w:val="24"/>
        </w:rPr>
        <w:t xml:space="preserve">Green gram, Seed Development Pattern, Days </w:t>
      </w:r>
      <w:r w:rsidR="00FD50FF" w:rsidRPr="00AE0EFF">
        <w:rPr>
          <w:rFonts w:ascii="Times New Roman" w:eastAsia="Calibri" w:hAnsi="Times New Roman" w:cs="Times New Roman"/>
          <w:sz w:val="24"/>
          <w:szCs w:val="24"/>
        </w:rPr>
        <w:t>A</w:t>
      </w:r>
      <w:r w:rsidRPr="00AE0EFF">
        <w:rPr>
          <w:rFonts w:ascii="Times New Roman" w:eastAsia="Calibri" w:hAnsi="Times New Roman" w:cs="Times New Roman"/>
          <w:sz w:val="24"/>
          <w:szCs w:val="24"/>
        </w:rPr>
        <w:t xml:space="preserve">fter </w:t>
      </w:r>
      <w:r w:rsidR="00FD50FF" w:rsidRPr="00AE0EFF">
        <w:rPr>
          <w:rFonts w:ascii="Times New Roman" w:eastAsia="Calibri" w:hAnsi="Times New Roman" w:cs="Times New Roman"/>
          <w:sz w:val="24"/>
          <w:szCs w:val="24"/>
        </w:rPr>
        <w:t>A</w:t>
      </w:r>
      <w:r w:rsidRPr="00AE0EFF">
        <w:rPr>
          <w:rFonts w:ascii="Times New Roman" w:eastAsia="Calibri" w:hAnsi="Times New Roman" w:cs="Times New Roman"/>
          <w:sz w:val="24"/>
          <w:szCs w:val="24"/>
        </w:rPr>
        <w:t>nthesis (DAA), Vigor Index, Physiological Maturity, Genotypes</w:t>
      </w:r>
    </w:p>
    <w:p w14:paraId="26201687" w14:textId="77777777" w:rsidR="005428F8" w:rsidRPr="00AE0EFF" w:rsidRDefault="005428F8" w:rsidP="005428F8">
      <w:pPr>
        <w:spacing w:after="0"/>
        <w:contextualSpacing/>
        <w:jc w:val="both"/>
        <w:textAlignment w:val="baseline"/>
        <w:rPr>
          <w:rFonts w:ascii="Times New Roman" w:eastAsia="Calibri" w:hAnsi="Times New Roman" w:cs="Times New Roman"/>
          <w:sz w:val="24"/>
          <w:szCs w:val="24"/>
        </w:rPr>
      </w:pPr>
    </w:p>
    <w:p w14:paraId="380CF6EF" w14:textId="77777777" w:rsidR="005428F8" w:rsidRPr="00AE0EFF" w:rsidRDefault="005428F8" w:rsidP="005428F8">
      <w:pPr>
        <w:spacing w:after="0"/>
        <w:contextualSpacing/>
        <w:jc w:val="both"/>
        <w:textAlignment w:val="baseline"/>
        <w:rPr>
          <w:rFonts w:ascii="Times New Roman" w:eastAsia="Calibri" w:hAnsi="Times New Roman" w:cs="Times New Roman"/>
          <w:sz w:val="24"/>
          <w:szCs w:val="24"/>
        </w:rPr>
      </w:pPr>
    </w:p>
    <w:p w14:paraId="646A0A03" w14:textId="77777777" w:rsidR="005428F8" w:rsidRPr="00AE0EFF" w:rsidRDefault="00767B56" w:rsidP="005428F8">
      <w:pPr>
        <w:spacing w:after="0"/>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rPr>
        <w:pict w14:anchorId="424DEA69">
          <v:shapetype id="_x0000_t32" coordsize="21600,21600" o:spt="32" o:oned="t" path="m,l21600,21600e" filled="f">
            <v:path arrowok="t" fillok="f" o:connecttype="none"/>
            <o:lock v:ext="edit" shapetype="t"/>
          </v:shapetype>
          <v:shape id="_x0000_s1039" type="#_x0000_t32" style="position:absolute;left:0;text-align:left;margin-left:-2.25pt;margin-top:7.85pt;width:461.25pt;height:0;z-index:251684864" o:connectortype="straight" wrapcoords="1 1 616 1 616 1 1 1 1 1">
            <w10:wrap type="tight"/>
          </v:shape>
        </w:pict>
      </w:r>
    </w:p>
    <w:p w14:paraId="6C39CEA3" w14:textId="77777777" w:rsidR="0013676E" w:rsidRDefault="0013676E" w:rsidP="002F330E">
      <w:pPr>
        <w:spacing w:after="0" w:line="240" w:lineRule="auto"/>
        <w:ind w:right="-471"/>
        <w:rPr>
          <w:rFonts w:ascii="Times New Roman" w:hAnsi="Times New Roman" w:cs="Times New Roman"/>
        </w:rPr>
      </w:pPr>
    </w:p>
    <w:p w14:paraId="00B93D6D" w14:textId="77777777" w:rsidR="0013676E" w:rsidRDefault="0013676E" w:rsidP="002F330E">
      <w:pPr>
        <w:spacing w:after="0" w:line="240" w:lineRule="auto"/>
        <w:ind w:right="-471"/>
        <w:rPr>
          <w:rFonts w:ascii="Times New Roman" w:hAnsi="Times New Roman" w:cs="Times New Roman"/>
        </w:rPr>
      </w:pPr>
    </w:p>
    <w:p w14:paraId="0BC94C81" w14:textId="77777777" w:rsidR="0013676E" w:rsidRDefault="0013676E" w:rsidP="002F330E">
      <w:pPr>
        <w:spacing w:after="0" w:line="240" w:lineRule="auto"/>
        <w:ind w:right="-471"/>
        <w:rPr>
          <w:rFonts w:ascii="Times New Roman" w:hAnsi="Times New Roman" w:cs="Times New Roman"/>
        </w:rPr>
      </w:pPr>
    </w:p>
    <w:p w14:paraId="44889F52" w14:textId="77777777" w:rsidR="0013676E" w:rsidRDefault="0013676E" w:rsidP="002F330E">
      <w:pPr>
        <w:spacing w:after="0" w:line="240" w:lineRule="auto"/>
        <w:ind w:right="-471"/>
        <w:rPr>
          <w:rFonts w:ascii="Times New Roman" w:hAnsi="Times New Roman" w:cs="Times New Roman"/>
        </w:rPr>
      </w:pPr>
    </w:p>
    <w:p w14:paraId="4854D7F1" w14:textId="77777777" w:rsidR="0013676E" w:rsidRDefault="0013676E" w:rsidP="002F330E">
      <w:pPr>
        <w:spacing w:after="0" w:line="240" w:lineRule="auto"/>
        <w:ind w:right="-471"/>
        <w:rPr>
          <w:rFonts w:ascii="Times New Roman" w:hAnsi="Times New Roman" w:cs="Times New Roman"/>
        </w:rPr>
      </w:pPr>
    </w:p>
    <w:p w14:paraId="79ED1981" w14:textId="77777777" w:rsidR="0013676E" w:rsidRDefault="0013676E" w:rsidP="002F330E">
      <w:pPr>
        <w:spacing w:after="0" w:line="240" w:lineRule="auto"/>
        <w:ind w:right="-471"/>
        <w:rPr>
          <w:rFonts w:ascii="Times New Roman" w:hAnsi="Times New Roman" w:cs="Times New Roman"/>
        </w:rPr>
      </w:pPr>
    </w:p>
    <w:p w14:paraId="17F86BB7" w14:textId="77777777" w:rsidR="0013676E" w:rsidRPr="00AE0EFF" w:rsidRDefault="0013676E" w:rsidP="002F330E">
      <w:pPr>
        <w:spacing w:after="0" w:line="240" w:lineRule="auto"/>
        <w:ind w:right="-471"/>
        <w:rPr>
          <w:rFonts w:ascii="Times New Roman" w:hAnsi="Times New Roman" w:cs="Times New Roman"/>
        </w:rPr>
      </w:pPr>
    </w:p>
    <w:p w14:paraId="30491D14" w14:textId="4C63FA1A" w:rsidR="00223DF6" w:rsidRDefault="00223DF6" w:rsidP="00B97F3F">
      <w:pPr>
        <w:spacing w:line="360" w:lineRule="auto"/>
        <w:rPr>
          <w:rFonts w:ascii="Times New Roman" w:hAnsi="Times New Roman" w:cs="Times New Roman"/>
          <w:b/>
          <w:color w:val="000000" w:themeColor="text1"/>
          <w:sz w:val="24"/>
          <w:szCs w:val="24"/>
        </w:rPr>
      </w:pPr>
    </w:p>
    <w:p w14:paraId="327E8EE3" w14:textId="3C3C7355" w:rsidR="000155FB" w:rsidRDefault="000155FB" w:rsidP="00B97F3F">
      <w:pPr>
        <w:spacing w:line="360" w:lineRule="auto"/>
        <w:rPr>
          <w:rFonts w:ascii="Times New Roman" w:hAnsi="Times New Roman" w:cs="Times New Roman"/>
          <w:b/>
          <w:color w:val="000000" w:themeColor="text1"/>
          <w:sz w:val="24"/>
          <w:szCs w:val="24"/>
        </w:rPr>
      </w:pPr>
    </w:p>
    <w:p w14:paraId="762147B0" w14:textId="77777777" w:rsidR="000155FB" w:rsidRPr="0002095D" w:rsidRDefault="000155FB" w:rsidP="00B97F3F">
      <w:pPr>
        <w:spacing w:line="360" w:lineRule="auto"/>
        <w:rPr>
          <w:rFonts w:ascii="Times New Roman" w:hAnsi="Times New Roman" w:cs="Times New Roman"/>
          <w:b/>
          <w:color w:val="000000" w:themeColor="text1"/>
          <w:sz w:val="24"/>
          <w:szCs w:val="24"/>
        </w:rPr>
      </w:pPr>
    </w:p>
    <w:p w14:paraId="7FED5AAF" w14:textId="77777777" w:rsidR="007B3724" w:rsidRPr="0002095D" w:rsidRDefault="00B97F3F" w:rsidP="00B97F3F">
      <w:pPr>
        <w:spacing w:line="360" w:lineRule="auto"/>
        <w:rPr>
          <w:rFonts w:ascii="Times New Roman" w:hAnsi="Times New Roman" w:cs="Times New Roman"/>
          <w:b/>
          <w:color w:val="000000" w:themeColor="text1"/>
          <w:sz w:val="24"/>
          <w:szCs w:val="24"/>
        </w:rPr>
      </w:pPr>
      <w:r w:rsidRPr="0002095D">
        <w:rPr>
          <w:rFonts w:ascii="Times New Roman" w:hAnsi="Times New Roman" w:cs="Times New Roman"/>
          <w:b/>
          <w:color w:val="000000" w:themeColor="text1"/>
          <w:sz w:val="24"/>
          <w:szCs w:val="24"/>
        </w:rPr>
        <w:t>INTRODUCTION</w:t>
      </w:r>
    </w:p>
    <w:p w14:paraId="4FBCE448" w14:textId="1267C628" w:rsidR="007B3724" w:rsidRPr="00AE0EFF" w:rsidRDefault="007B3724" w:rsidP="00131BC5">
      <w:pPr>
        <w:autoSpaceDE w:val="0"/>
        <w:autoSpaceDN w:val="0"/>
        <w:adjustRightInd w:val="0"/>
        <w:spacing w:after="0" w:line="360" w:lineRule="auto"/>
        <w:ind w:firstLine="720"/>
        <w:jc w:val="both"/>
        <w:rPr>
          <w:rFonts w:ascii="Times New Roman" w:hAnsi="Times New Roman" w:cs="Times New Roman"/>
          <w:sz w:val="24"/>
          <w:szCs w:val="24"/>
        </w:rPr>
      </w:pPr>
      <w:proofErr w:type="spellStart"/>
      <w:r w:rsidRPr="00AE0EFF">
        <w:rPr>
          <w:rFonts w:ascii="Times New Roman" w:eastAsia="Calibri" w:hAnsi="Times New Roman" w:cs="Times New Roman"/>
          <w:sz w:val="24"/>
          <w:szCs w:val="24"/>
        </w:rPr>
        <w:t>Greengram</w:t>
      </w:r>
      <w:proofErr w:type="spellEnd"/>
      <w:r w:rsidRPr="00AE0EFF">
        <w:rPr>
          <w:rFonts w:ascii="Times New Roman" w:eastAsia="Calibri" w:hAnsi="Times New Roman" w:cs="Times New Roman"/>
          <w:sz w:val="24"/>
          <w:szCs w:val="24"/>
        </w:rPr>
        <w:t xml:space="preserve"> (</w:t>
      </w:r>
      <w:r w:rsidRPr="00AE0EFF">
        <w:rPr>
          <w:rFonts w:ascii="Times New Roman" w:eastAsia="Calibri" w:hAnsi="Times New Roman" w:cs="Times New Roman"/>
          <w:i/>
          <w:iCs/>
          <w:sz w:val="24"/>
          <w:szCs w:val="24"/>
        </w:rPr>
        <w:t xml:space="preserve">Vigna </w:t>
      </w:r>
      <w:r w:rsidRPr="003767D2">
        <w:rPr>
          <w:rFonts w:ascii="Times New Roman" w:eastAsia="Calibri" w:hAnsi="Times New Roman" w:cs="Times New Roman"/>
          <w:i/>
          <w:iCs/>
          <w:sz w:val="24"/>
          <w:szCs w:val="24"/>
          <w:highlight w:val="yellow"/>
        </w:rPr>
        <w:t xml:space="preserve">radiata L. </w:t>
      </w:r>
      <w:r w:rsidRPr="003767D2">
        <w:rPr>
          <w:rFonts w:ascii="Times New Roman" w:eastAsia="Calibri" w:hAnsi="Times New Roman" w:cs="Times New Roman"/>
          <w:sz w:val="24"/>
          <w:szCs w:val="24"/>
          <w:highlight w:val="yellow"/>
        </w:rPr>
        <w:t xml:space="preserve">Wilczek) belongs to the family </w:t>
      </w:r>
      <w:proofErr w:type="spellStart"/>
      <w:r w:rsidRPr="003767D2">
        <w:rPr>
          <w:rFonts w:ascii="Times New Roman" w:eastAsia="Calibri" w:hAnsi="Times New Roman" w:cs="Times New Roman"/>
          <w:sz w:val="24"/>
          <w:szCs w:val="24"/>
          <w:highlight w:val="yellow"/>
        </w:rPr>
        <w:t>leguminoceae</w:t>
      </w:r>
      <w:proofErr w:type="spellEnd"/>
      <w:r w:rsidRPr="003767D2">
        <w:rPr>
          <w:rFonts w:ascii="Times New Roman" w:eastAsia="Calibri" w:hAnsi="Times New Roman" w:cs="Times New Roman"/>
          <w:sz w:val="24"/>
          <w:szCs w:val="24"/>
          <w:highlight w:val="yellow"/>
        </w:rPr>
        <w:t xml:space="preserve"> and sub family </w:t>
      </w:r>
      <w:proofErr w:type="spellStart"/>
      <w:r w:rsidRPr="003767D2">
        <w:rPr>
          <w:rFonts w:ascii="Times New Roman" w:eastAsia="Calibri" w:hAnsi="Times New Roman" w:cs="Times New Roman"/>
          <w:sz w:val="24"/>
          <w:szCs w:val="24"/>
          <w:highlight w:val="yellow"/>
        </w:rPr>
        <w:t>papilionaceae</w:t>
      </w:r>
      <w:proofErr w:type="spellEnd"/>
      <w:r w:rsidRPr="003767D2">
        <w:rPr>
          <w:rFonts w:ascii="Times New Roman" w:eastAsia="Calibri" w:hAnsi="Times New Roman" w:cs="Times New Roman"/>
          <w:sz w:val="24"/>
          <w:szCs w:val="24"/>
          <w:highlight w:val="yellow"/>
        </w:rPr>
        <w:t xml:space="preserve">, </w:t>
      </w:r>
      <w:r w:rsidR="000B03D1" w:rsidRPr="003767D2">
        <w:rPr>
          <w:rFonts w:ascii="Times New Roman" w:eastAsia="Calibri" w:hAnsi="Times New Roman" w:cs="Times New Roman"/>
          <w:sz w:val="24"/>
          <w:szCs w:val="24"/>
          <w:highlight w:val="yellow"/>
        </w:rPr>
        <w:t>and has been</w:t>
      </w:r>
      <w:r w:rsidRPr="003767D2">
        <w:rPr>
          <w:rFonts w:ascii="Times New Roman" w:eastAsia="Calibri" w:hAnsi="Times New Roman" w:cs="Times New Roman"/>
          <w:sz w:val="24"/>
          <w:szCs w:val="24"/>
          <w:highlight w:val="yellow"/>
        </w:rPr>
        <w:t xml:space="preserve"> grown as one of the principal </w:t>
      </w:r>
      <w:proofErr w:type="gramStart"/>
      <w:r w:rsidRPr="003767D2">
        <w:rPr>
          <w:rFonts w:ascii="Times New Roman" w:eastAsia="Calibri" w:hAnsi="Times New Roman" w:cs="Times New Roman"/>
          <w:sz w:val="24"/>
          <w:szCs w:val="24"/>
          <w:highlight w:val="yellow"/>
        </w:rPr>
        <w:t>crop</w:t>
      </w:r>
      <w:proofErr w:type="gramEnd"/>
      <w:r w:rsidRPr="003767D2">
        <w:rPr>
          <w:rFonts w:ascii="Times New Roman" w:eastAsia="Calibri" w:hAnsi="Times New Roman" w:cs="Times New Roman"/>
          <w:sz w:val="24"/>
          <w:szCs w:val="24"/>
          <w:highlight w:val="yellow"/>
        </w:rPr>
        <w:t xml:space="preserve"> </w:t>
      </w:r>
      <w:r w:rsidR="000B03D1" w:rsidRPr="003767D2">
        <w:rPr>
          <w:rFonts w:ascii="Times New Roman" w:eastAsia="Calibri" w:hAnsi="Times New Roman" w:cs="Times New Roman"/>
          <w:sz w:val="24"/>
          <w:szCs w:val="24"/>
          <w:highlight w:val="yellow"/>
        </w:rPr>
        <w:t xml:space="preserve">for </w:t>
      </w:r>
      <w:r w:rsidRPr="003767D2">
        <w:rPr>
          <w:rFonts w:ascii="Times New Roman" w:eastAsia="Calibri" w:hAnsi="Times New Roman" w:cs="Times New Roman"/>
          <w:sz w:val="24"/>
          <w:szCs w:val="24"/>
          <w:highlight w:val="yellow"/>
        </w:rPr>
        <w:t xml:space="preserve">ages in India. Being the third largest pulse crop in </w:t>
      </w:r>
      <w:r w:rsidRPr="00AE0EFF">
        <w:rPr>
          <w:rFonts w:ascii="Times New Roman" w:eastAsia="Calibri" w:hAnsi="Times New Roman" w:cs="Times New Roman"/>
          <w:sz w:val="24"/>
          <w:szCs w:val="24"/>
        </w:rPr>
        <w:t xml:space="preserve">India, it occupies 4.26 </w:t>
      </w:r>
      <w:proofErr w:type="spellStart"/>
      <w:r w:rsidRPr="00AE0EFF">
        <w:rPr>
          <w:rFonts w:ascii="Times New Roman" w:eastAsia="Calibri" w:hAnsi="Times New Roman" w:cs="Times New Roman"/>
          <w:sz w:val="24"/>
          <w:szCs w:val="24"/>
        </w:rPr>
        <w:t>Mha</w:t>
      </w:r>
      <w:proofErr w:type="spellEnd"/>
      <w:r w:rsidRPr="00AE0EFF">
        <w:rPr>
          <w:rFonts w:ascii="Times New Roman" w:eastAsia="Calibri" w:hAnsi="Times New Roman" w:cs="Times New Roman"/>
          <w:sz w:val="24"/>
          <w:szCs w:val="24"/>
        </w:rPr>
        <w:t xml:space="preserve"> in kharif and </w:t>
      </w:r>
      <w:proofErr w:type="spellStart"/>
      <w:r w:rsidRPr="00AE0EFF">
        <w:rPr>
          <w:rFonts w:ascii="Times New Roman" w:eastAsia="Calibri" w:hAnsi="Times New Roman" w:cs="Times New Roman"/>
          <w:sz w:val="24"/>
          <w:szCs w:val="24"/>
        </w:rPr>
        <w:t>rabi</w:t>
      </w:r>
      <w:proofErr w:type="spellEnd"/>
      <w:r w:rsidRPr="00AE0EFF">
        <w:rPr>
          <w:rFonts w:ascii="Times New Roman" w:eastAsia="Calibri" w:hAnsi="Times New Roman" w:cs="Times New Roman"/>
          <w:sz w:val="24"/>
          <w:szCs w:val="24"/>
        </w:rPr>
        <w:t xml:space="preserve"> with a production of </w:t>
      </w:r>
      <w:proofErr w:type="gramStart"/>
      <w:r w:rsidRPr="00AE0EFF">
        <w:rPr>
          <w:rFonts w:ascii="Times New Roman" w:eastAsia="Calibri" w:hAnsi="Times New Roman" w:cs="Times New Roman"/>
          <w:sz w:val="24"/>
          <w:szCs w:val="24"/>
        </w:rPr>
        <w:t>2.01  Mt</w:t>
      </w:r>
      <w:proofErr w:type="gramEnd"/>
      <w:r w:rsidRPr="00AE0EFF">
        <w:rPr>
          <w:rFonts w:ascii="Times New Roman" w:eastAsia="Calibri" w:hAnsi="Times New Roman" w:cs="Times New Roman"/>
          <w:sz w:val="24"/>
          <w:szCs w:val="24"/>
        </w:rPr>
        <w:t xml:space="preserve">  at  and yield level of  472  kg/ha during 2017-18. In Odisha, during the same year, it was grown in an area of 2.21 lakh hectares with </w:t>
      </w:r>
      <w:r w:rsidR="000B03D1">
        <w:rPr>
          <w:rFonts w:ascii="Times New Roman" w:eastAsia="Calibri" w:hAnsi="Times New Roman" w:cs="Times New Roman"/>
          <w:sz w:val="24"/>
          <w:szCs w:val="24"/>
        </w:rPr>
        <w:t xml:space="preserve">an </w:t>
      </w:r>
      <w:r w:rsidRPr="00AE0EFF">
        <w:rPr>
          <w:rFonts w:ascii="Times New Roman" w:eastAsia="Calibri" w:hAnsi="Times New Roman" w:cs="Times New Roman"/>
          <w:sz w:val="24"/>
          <w:szCs w:val="24"/>
        </w:rPr>
        <w:t xml:space="preserve">annual production of 0.80 lakh </w:t>
      </w:r>
      <w:proofErr w:type="spellStart"/>
      <w:r w:rsidRPr="00AE0EFF">
        <w:rPr>
          <w:rFonts w:ascii="Times New Roman" w:eastAsia="Calibri" w:hAnsi="Times New Roman" w:cs="Times New Roman"/>
          <w:sz w:val="24"/>
          <w:szCs w:val="24"/>
        </w:rPr>
        <w:t>tonnes</w:t>
      </w:r>
      <w:proofErr w:type="spellEnd"/>
      <w:r w:rsidRPr="00AE0EFF">
        <w:rPr>
          <w:rFonts w:ascii="Times New Roman" w:eastAsia="Calibri" w:hAnsi="Times New Roman" w:cs="Times New Roman"/>
          <w:sz w:val="24"/>
          <w:szCs w:val="24"/>
        </w:rPr>
        <w:t xml:space="preserve"> with a </w:t>
      </w:r>
      <w:r w:rsidRPr="003767D2">
        <w:rPr>
          <w:rFonts w:ascii="Times New Roman" w:eastAsia="Calibri" w:hAnsi="Times New Roman" w:cs="Times New Roman"/>
          <w:sz w:val="24"/>
          <w:szCs w:val="24"/>
          <w:highlight w:val="yellow"/>
        </w:rPr>
        <w:t xml:space="preserve">contribution of 5.42% in area and 4.22% in production (Ministry of Agriculture, GOI, 2018). </w:t>
      </w:r>
      <w:proofErr w:type="spellStart"/>
      <w:r w:rsidR="009B3A5E" w:rsidRPr="003767D2">
        <w:rPr>
          <w:rFonts w:ascii="Times New Roman" w:eastAsia="Calibri" w:hAnsi="Times New Roman" w:cs="Times New Roman"/>
          <w:sz w:val="24"/>
          <w:szCs w:val="24"/>
          <w:highlight w:val="yellow"/>
        </w:rPr>
        <w:t>Greengram</w:t>
      </w:r>
      <w:proofErr w:type="spellEnd"/>
      <w:r w:rsidR="009B3A5E" w:rsidRPr="003767D2">
        <w:rPr>
          <w:rFonts w:ascii="Times New Roman" w:eastAsia="Calibri" w:hAnsi="Times New Roman" w:cs="Times New Roman"/>
          <w:sz w:val="24"/>
          <w:szCs w:val="24"/>
          <w:highlight w:val="yellow"/>
        </w:rPr>
        <w:t xml:space="preserve"> </w:t>
      </w:r>
      <w:proofErr w:type="gramStart"/>
      <w:r w:rsidR="0093555C" w:rsidRPr="003767D2">
        <w:rPr>
          <w:rFonts w:ascii="Times New Roman" w:eastAsia="Calibri" w:hAnsi="Times New Roman" w:cs="Times New Roman"/>
          <w:sz w:val="24"/>
          <w:szCs w:val="24"/>
          <w:highlight w:val="yellow"/>
        </w:rPr>
        <w:t>is  a</w:t>
      </w:r>
      <w:proofErr w:type="gramEnd"/>
      <w:r w:rsidR="0093555C" w:rsidRPr="003767D2">
        <w:rPr>
          <w:rFonts w:ascii="Times New Roman" w:eastAsia="Calibri" w:hAnsi="Times New Roman" w:cs="Times New Roman"/>
          <w:sz w:val="24"/>
          <w:szCs w:val="24"/>
          <w:highlight w:val="yellow"/>
        </w:rPr>
        <w:t xml:space="preserve">  short-day,  self-pollinated,  warm-season crop grown mainly in the semi-arid to sub humid tropics and tropics with 600 to 1000 mm of annual  rainfall.  It requires 22 to 35˚C mean temperature     during     crop     production     and elevations not exceeding 1800 to 2000m above mean sea level</w:t>
      </w:r>
      <w:r w:rsidR="00B469EA" w:rsidRPr="003767D2">
        <w:rPr>
          <w:rFonts w:ascii="Times New Roman" w:eastAsia="Calibri" w:hAnsi="Times New Roman" w:cs="Times New Roman"/>
          <w:sz w:val="24"/>
          <w:szCs w:val="24"/>
          <w:highlight w:val="yellow"/>
        </w:rPr>
        <w:t xml:space="preserve"> (Srivastava et al., 2024)</w:t>
      </w:r>
      <w:r w:rsidR="0093555C" w:rsidRPr="003767D2">
        <w:rPr>
          <w:rFonts w:ascii="Times New Roman" w:eastAsia="Calibri" w:hAnsi="Times New Roman" w:cs="Times New Roman"/>
          <w:sz w:val="24"/>
          <w:szCs w:val="24"/>
          <w:highlight w:val="yellow"/>
        </w:rPr>
        <w:t xml:space="preserve">. </w:t>
      </w:r>
      <w:r w:rsidR="000B03D1" w:rsidRPr="003767D2">
        <w:rPr>
          <w:rFonts w:ascii="Times New Roman" w:eastAsia="Calibri" w:hAnsi="Times New Roman" w:cs="Times New Roman"/>
          <w:sz w:val="24"/>
          <w:szCs w:val="24"/>
          <w:highlight w:val="yellow"/>
        </w:rPr>
        <w:t>Green gram production is constrained by low soil moisture levels due to high temperatures caused by climate change, with average yields ranging from 300-700 kg/Ha despite the high potential of 1250   kg/Ha to 3000 kg/Ha obtained in trials. Low yields in green grams are caused by high temperatures, among other factors that result from increased solar radiation reaching the earth's surface</w:t>
      </w:r>
      <w:r w:rsidR="004F23E7" w:rsidRPr="003767D2">
        <w:rPr>
          <w:rFonts w:ascii="Times New Roman" w:eastAsia="Calibri" w:hAnsi="Times New Roman" w:cs="Times New Roman"/>
          <w:sz w:val="24"/>
          <w:szCs w:val="24"/>
          <w:highlight w:val="yellow"/>
        </w:rPr>
        <w:t xml:space="preserve"> (Mwangi et al., 2024</w:t>
      </w:r>
      <w:r w:rsidR="006D10D1" w:rsidRPr="003767D2">
        <w:rPr>
          <w:rFonts w:ascii="Times New Roman" w:eastAsia="Calibri" w:hAnsi="Times New Roman" w:cs="Times New Roman"/>
          <w:sz w:val="24"/>
          <w:szCs w:val="24"/>
          <w:highlight w:val="yellow"/>
        </w:rPr>
        <w:t>; Patra et al., 2024</w:t>
      </w:r>
      <w:r w:rsidR="004F23E7" w:rsidRPr="003767D2">
        <w:rPr>
          <w:rFonts w:ascii="Times New Roman" w:eastAsia="Calibri" w:hAnsi="Times New Roman" w:cs="Times New Roman"/>
          <w:sz w:val="24"/>
          <w:szCs w:val="24"/>
          <w:highlight w:val="yellow"/>
        </w:rPr>
        <w:t>)</w:t>
      </w:r>
      <w:r w:rsidR="000B03D1" w:rsidRPr="003767D2">
        <w:rPr>
          <w:rFonts w:ascii="Times New Roman" w:eastAsia="Calibri" w:hAnsi="Times New Roman" w:cs="Times New Roman"/>
          <w:sz w:val="24"/>
          <w:szCs w:val="24"/>
          <w:highlight w:val="yellow"/>
        </w:rPr>
        <w:t xml:space="preserve">. </w:t>
      </w:r>
      <w:r w:rsidRPr="003767D2">
        <w:rPr>
          <w:rFonts w:ascii="Times New Roman" w:hAnsi="Times New Roman" w:cs="Times New Roman"/>
          <w:sz w:val="24"/>
          <w:szCs w:val="24"/>
          <w:highlight w:val="yellow"/>
        </w:rPr>
        <w:t>The difficulty of obtaining seeds of good physiological quality is among the limiting factors in the production of green</w:t>
      </w:r>
      <w:r w:rsidR="00D94D1E" w:rsidRPr="003767D2">
        <w:rPr>
          <w:rFonts w:ascii="Times New Roman" w:hAnsi="Times New Roman" w:cs="Times New Roman"/>
          <w:sz w:val="24"/>
          <w:szCs w:val="24"/>
          <w:highlight w:val="yellow"/>
        </w:rPr>
        <w:t xml:space="preserve"> </w:t>
      </w:r>
      <w:r w:rsidRPr="003767D2">
        <w:rPr>
          <w:rFonts w:ascii="Times New Roman" w:hAnsi="Times New Roman" w:cs="Times New Roman"/>
          <w:sz w:val="24"/>
          <w:szCs w:val="24"/>
          <w:highlight w:val="yellow"/>
        </w:rPr>
        <w:t xml:space="preserve">gram. To express its full potential, </w:t>
      </w:r>
      <w:r w:rsidR="000B03D1">
        <w:rPr>
          <w:rFonts w:ascii="Times New Roman" w:hAnsi="Times New Roman" w:cs="Times New Roman"/>
          <w:sz w:val="24"/>
          <w:szCs w:val="24"/>
        </w:rPr>
        <w:t>the harvest must occur</w:t>
      </w:r>
      <w:r w:rsidRPr="00AE0EFF">
        <w:rPr>
          <w:rFonts w:ascii="Times New Roman" w:hAnsi="Times New Roman" w:cs="Times New Roman"/>
          <w:sz w:val="24"/>
          <w:szCs w:val="24"/>
        </w:rPr>
        <w:t xml:space="preserve"> at the ideal moment, with maximum dry matter accumulation, reaching high germination and vigor potential (Nogueira 2014). The seed </w:t>
      </w:r>
      <w:r w:rsidR="00D94D1E" w:rsidRPr="00AE0EFF">
        <w:rPr>
          <w:rFonts w:ascii="Times New Roman" w:hAnsi="Times New Roman" w:cs="Times New Roman"/>
          <w:sz w:val="24"/>
          <w:szCs w:val="24"/>
        </w:rPr>
        <w:t>development process</w:t>
      </w:r>
      <w:r w:rsidRPr="00AE0EFF">
        <w:rPr>
          <w:rFonts w:ascii="Times New Roman" w:hAnsi="Times New Roman" w:cs="Times New Roman"/>
          <w:sz w:val="24"/>
          <w:szCs w:val="24"/>
        </w:rPr>
        <w:t xml:space="preserve"> is genetically controlled and involves an organized sequence of physical, biochemical, physiological and morphological changes, from fertilization until its independence from the plant, these changes also include a set of preparatory steps for the process of germination, which are characterized by the synthesis and accumulation of nutrient reserves (</w:t>
      </w:r>
      <w:proofErr w:type="gramStart"/>
      <w:r w:rsidRPr="00AE0EFF">
        <w:rPr>
          <w:rFonts w:ascii="Times New Roman" w:hAnsi="Times New Roman" w:cs="Times New Roman"/>
          <w:sz w:val="24"/>
          <w:szCs w:val="24"/>
        </w:rPr>
        <w:t>Filho  et al.</w:t>
      </w:r>
      <w:proofErr w:type="gramEnd"/>
      <w:r w:rsidRPr="00AE0EFF">
        <w:rPr>
          <w:rFonts w:ascii="Times New Roman" w:hAnsi="Times New Roman" w:cs="Times New Roman"/>
          <w:sz w:val="24"/>
          <w:szCs w:val="24"/>
        </w:rPr>
        <w:t xml:space="preserve">, 2015). Seed </w:t>
      </w:r>
      <w:proofErr w:type="spellStart"/>
      <w:r w:rsidRPr="003767D2">
        <w:rPr>
          <w:rFonts w:ascii="Times New Roman" w:hAnsi="Times New Roman" w:cs="Times New Roman"/>
          <w:sz w:val="24"/>
          <w:szCs w:val="24"/>
          <w:highlight w:val="yellow"/>
        </w:rPr>
        <w:t>vigour</w:t>
      </w:r>
      <w:proofErr w:type="spellEnd"/>
      <w:r w:rsidRPr="003767D2">
        <w:rPr>
          <w:rFonts w:ascii="Times New Roman" w:hAnsi="Times New Roman" w:cs="Times New Roman"/>
          <w:sz w:val="24"/>
          <w:szCs w:val="24"/>
          <w:highlight w:val="yellow"/>
        </w:rPr>
        <w:t xml:space="preserve"> and viability reach a peak at physiological maturity (Ching </w:t>
      </w:r>
      <w:r w:rsidRPr="003767D2">
        <w:rPr>
          <w:rFonts w:ascii="Times New Roman" w:hAnsi="Times New Roman" w:cs="Times New Roman"/>
          <w:i/>
          <w:sz w:val="24"/>
          <w:szCs w:val="24"/>
          <w:highlight w:val="yellow"/>
        </w:rPr>
        <w:t>et al.,</w:t>
      </w:r>
      <w:r w:rsidRPr="003767D2">
        <w:rPr>
          <w:rFonts w:ascii="Times New Roman" w:hAnsi="Times New Roman" w:cs="Times New Roman"/>
          <w:sz w:val="24"/>
          <w:szCs w:val="24"/>
          <w:highlight w:val="yellow"/>
        </w:rPr>
        <w:t xml:space="preserve"> 1972; Andrews, 1966</w:t>
      </w:r>
      <w:r w:rsidR="000B03D1" w:rsidRPr="003767D2">
        <w:rPr>
          <w:rFonts w:ascii="Times New Roman" w:hAnsi="Times New Roman" w:cs="Times New Roman"/>
          <w:sz w:val="24"/>
          <w:szCs w:val="24"/>
          <w:highlight w:val="yellow"/>
        </w:rPr>
        <w:t>;</w:t>
      </w:r>
      <w:r w:rsidRPr="003767D2">
        <w:rPr>
          <w:rFonts w:ascii="Times New Roman" w:hAnsi="Times New Roman" w:cs="Times New Roman"/>
          <w:sz w:val="24"/>
          <w:szCs w:val="24"/>
          <w:highlight w:val="yellow"/>
        </w:rPr>
        <w:t xml:space="preserve"> </w:t>
      </w:r>
      <w:proofErr w:type="spellStart"/>
      <w:r w:rsidRPr="003767D2">
        <w:rPr>
          <w:rFonts w:ascii="Times New Roman" w:hAnsi="Times New Roman" w:cs="Times New Roman"/>
          <w:sz w:val="24"/>
          <w:szCs w:val="24"/>
          <w:highlight w:val="yellow"/>
        </w:rPr>
        <w:t>Trammeli</w:t>
      </w:r>
      <w:proofErr w:type="spellEnd"/>
      <w:r w:rsidRPr="003767D2">
        <w:rPr>
          <w:rFonts w:ascii="Times New Roman" w:hAnsi="Times New Roman" w:cs="Times New Roman"/>
          <w:sz w:val="24"/>
          <w:szCs w:val="24"/>
          <w:highlight w:val="yellow"/>
        </w:rPr>
        <w:t>, 1983).</w:t>
      </w:r>
      <w:r w:rsidRPr="003767D2">
        <w:rPr>
          <w:rFonts w:ascii="Times New Roman" w:eastAsia="Calibri" w:hAnsi="Times New Roman" w:cs="Times New Roman"/>
          <w:sz w:val="24"/>
          <w:szCs w:val="24"/>
          <w:highlight w:val="yellow"/>
        </w:rPr>
        <w:t xml:space="preserve"> In pulses, </w:t>
      </w:r>
      <w:r w:rsidR="000B03D1" w:rsidRPr="003767D2">
        <w:rPr>
          <w:rFonts w:ascii="Times New Roman" w:eastAsia="Calibri" w:hAnsi="Times New Roman" w:cs="Times New Roman"/>
          <w:sz w:val="24"/>
          <w:szCs w:val="24"/>
          <w:highlight w:val="yellow"/>
        </w:rPr>
        <w:t xml:space="preserve">the </w:t>
      </w:r>
      <w:r w:rsidRPr="003767D2">
        <w:rPr>
          <w:rFonts w:ascii="Times New Roman" w:eastAsia="Calibri" w:hAnsi="Times New Roman" w:cs="Times New Roman"/>
          <w:sz w:val="24"/>
          <w:szCs w:val="24"/>
          <w:highlight w:val="yellow"/>
        </w:rPr>
        <w:t>development of seeds may start only after the fruit wall has grown</w:t>
      </w:r>
      <w:r w:rsidRPr="00AE0EFF">
        <w:rPr>
          <w:rFonts w:ascii="Times New Roman" w:eastAsia="Calibri" w:hAnsi="Times New Roman" w:cs="Times New Roman"/>
          <w:sz w:val="24"/>
          <w:szCs w:val="24"/>
        </w:rPr>
        <w:t xml:space="preserve"> to </w:t>
      </w:r>
      <w:r w:rsidR="000B03D1">
        <w:rPr>
          <w:rFonts w:ascii="Times New Roman" w:eastAsia="Calibri" w:hAnsi="Times New Roman" w:cs="Times New Roman"/>
          <w:sz w:val="24"/>
          <w:szCs w:val="24"/>
        </w:rPr>
        <w:t xml:space="preserve">a </w:t>
      </w:r>
      <w:r w:rsidRPr="00AE0EFF">
        <w:rPr>
          <w:rFonts w:ascii="Times New Roman" w:eastAsia="Calibri" w:hAnsi="Times New Roman" w:cs="Times New Roman"/>
          <w:sz w:val="24"/>
          <w:szCs w:val="24"/>
        </w:rPr>
        <w:t xml:space="preserve">large extent (e.g. Pea and Chickpea) or both seed and wall grow simultaneously (i.e. </w:t>
      </w:r>
      <w:proofErr w:type="spellStart"/>
      <w:r w:rsidRPr="00AE0EFF">
        <w:rPr>
          <w:rFonts w:ascii="Times New Roman" w:eastAsia="Calibri" w:hAnsi="Times New Roman" w:cs="Times New Roman"/>
          <w:sz w:val="24"/>
          <w:szCs w:val="24"/>
        </w:rPr>
        <w:t>greengram</w:t>
      </w:r>
      <w:proofErr w:type="spellEnd"/>
      <w:r w:rsidRPr="00AE0EFF">
        <w:rPr>
          <w:rFonts w:ascii="Times New Roman" w:eastAsia="Calibri" w:hAnsi="Times New Roman" w:cs="Times New Roman"/>
          <w:sz w:val="24"/>
          <w:szCs w:val="24"/>
        </w:rPr>
        <w:t xml:space="preserve"> and cowpea). A precise determination of the physiological maturity stage permits an accurate measure of the duration of the </w:t>
      </w:r>
      <w:r w:rsidR="000B03D1" w:rsidRPr="00AE0EFF">
        <w:rPr>
          <w:rFonts w:ascii="Times New Roman" w:eastAsia="Calibri" w:hAnsi="Times New Roman" w:cs="Times New Roman"/>
          <w:sz w:val="24"/>
          <w:szCs w:val="24"/>
        </w:rPr>
        <w:t>seed</w:t>
      </w:r>
      <w:r w:rsidR="000B03D1">
        <w:rPr>
          <w:rFonts w:ascii="Times New Roman" w:eastAsia="Calibri" w:hAnsi="Times New Roman" w:cs="Times New Roman"/>
          <w:sz w:val="24"/>
          <w:szCs w:val="24"/>
        </w:rPr>
        <w:t>-</w:t>
      </w:r>
      <w:r w:rsidRPr="00AE0EFF">
        <w:rPr>
          <w:rFonts w:ascii="Times New Roman" w:eastAsia="Calibri" w:hAnsi="Times New Roman" w:cs="Times New Roman"/>
          <w:sz w:val="24"/>
          <w:szCs w:val="24"/>
        </w:rPr>
        <w:t xml:space="preserve">filling period ensuring good seed quality. Information on </w:t>
      </w:r>
      <w:r w:rsidR="000B03D1">
        <w:rPr>
          <w:rFonts w:ascii="Times New Roman" w:eastAsia="Calibri" w:hAnsi="Times New Roman" w:cs="Times New Roman"/>
          <w:sz w:val="24"/>
          <w:szCs w:val="24"/>
        </w:rPr>
        <w:t xml:space="preserve">the </w:t>
      </w:r>
      <w:r w:rsidRPr="00AE0EFF">
        <w:rPr>
          <w:rFonts w:ascii="Times New Roman" w:eastAsia="Calibri" w:hAnsi="Times New Roman" w:cs="Times New Roman"/>
          <w:sz w:val="24"/>
          <w:szCs w:val="24"/>
        </w:rPr>
        <w:t xml:space="preserve">time required to attain Physiological Maturity, </w:t>
      </w:r>
      <w:proofErr w:type="spellStart"/>
      <w:r w:rsidRPr="00AE0EFF">
        <w:rPr>
          <w:rFonts w:ascii="Times New Roman" w:eastAsia="Calibri" w:hAnsi="Times New Roman" w:cs="Times New Roman"/>
          <w:sz w:val="24"/>
          <w:szCs w:val="24"/>
        </w:rPr>
        <w:t>vigour</w:t>
      </w:r>
      <w:proofErr w:type="spellEnd"/>
      <w:r w:rsidRPr="00AE0EFF">
        <w:rPr>
          <w:rFonts w:ascii="Times New Roman" w:eastAsia="Calibri" w:hAnsi="Times New Roman" w:cs="Times New Roman"/>
          <w:sz w:val="24"/>
          <w:szCs w:val="24"/>
        </w:rPr>
        <w:t xml:space="preserve"> and the time gap between Physiological Maturity and harvest </w:t>
      </w:r>
      <w:proofErr w:type="spellStart"/>
      <w:r w:rsidRPr="00AE0EFF">
        <w:rPr>
          <w:rFonts w:ascii="Times New Roman" w:eastAsia="Calibri" w:hAnsi="Times New Roman" w:cs="Times New Roman"/>
          <w:sz w:val="24"/>
          <w:szCs w:val="24"/>
        </w:rPr>
        <w:t>maturity</w:t>
      </w:r>
      <w:r w:rsidR="000B03D1">
        <w:rPr>
          <w:rFonts w:ascii="Times New Roman" w:eastAsia="Calibri" w:hAnsi="Times New Roman" w:cs="Times New Roman"/>
          <w:sz w:val="24"/>
          <w:szCs w:val="24"/>
        </w:rPr>
        <w:t>is</w:t>
      </w:r>
      <w:proofErr w:type="spellEnd"/>
      <w:r w:rsidRPr="00AE0EFF">
        <w:rPr>
          <w:rFonts w:ascii="Times New Roman" w:eastAsia="Calibri" w:hAnsi="Times New Roman" w:cs="Times New Roman"/>
          <w:sz w:val="24"/>
          <w:szCs w:val="24"/>
        </w:rPr>
        <w:t xml:space="preserve"> useful to protect the seeds against deterioration as early or delayed harvesting of seed results in poor seed quality.</w:t>
      </w:r>
      <w:r w:rsidRPr="00AE0EFF">
        <w:rPr>
          <w:rFonts w:ascii="Times New Roman" w:hAnsi="Times New Roman" w:cs="Times New Roman"/>
          <w:sz w:val="24"/>
          <w:szCs w:val="24"/>
        </w:rPr>
        <w:t xml:space="preserve"> However, currently, for </w:t>
      </w:r>
      <w:proofErr w:type="spellStart"/>
      <w:r w:rsidR="000B03D1" w:rsidRPr="003767D2">
        <w:rPr>
          <w:rFonts w:ascii="Times New Roman" w:hAnsi="Times New Roman" w:cs="Times New Roman"/>
          <w:sz w:val="24"/>
          <w:szCs w:val="24"/>
          <w:highlight w:val="yellow"/>
        </w:rPr>
        <w:t>Greengram</w:t>
      </w:r>
      <w:proofErr w:type="spellEnd"/>
      <w:r w:rsidRPr="003767D2">
        <w:rPr>
          <w:rFonts w:ascii="Times New Roman" w:hAnsi="Times New Roman" w:cs="Times New Roman"/>
          <w:sz w:val="24"/>
          <w:szCs w:val="24"/>
          <w:highlight w:val="yellow"/>
        </w:rPr>
        <w:t xml:space="preserve">, </w:t>
      </w:r>
      <w:r w:rsidRPr="00AE0EFF">
        <w:rPr>
          <w:rFonts w:ascii="Times New Roman" w:hAnsi="Times New Roman" w:cs="Times New Roman"/>
          <w:sz w:val="24"/>
          <w:szCs w:val="24"/>
        </w:rPr>
        <w:lastRenderedPageBreak/>
        <w:t>there is little information on the maturation and the ideal harvest period of the seeds, justifying the need to perform this evaluation</w:t>
      </w:r>
      <w:r w:rsidR="00D94D1E" w:rsidRPr="00AE0EFF">
        <w:rPr>
          <w:rFonts w:ascii="Times New Roman" w:hAnsi="Times New Roman" w:cs="Times New Roman"/>
          <w:sz w:val="24"/>
          <w:szCs w:val="24"/>
        </w:rPr>
        <w:t>.</w:t>
      </w:r>
      <w:r w:rsidRPr="00AE0EFF">
        <w:rPr>
          <w:rFonts w:ascii="Times New Roman" w:eastAsia="Calibri" w:hAnsi="Times New Roman" w:cs="Times New Roman"/>
          <w:sz w:val="24"/>
          <w:szCs w:val="24"/>
        </w:rPr>
        <w:t xml:space="preserve"> With this background, the present investigation was carried out to optimize harvesting time for five green</w:t>
      </w:r>
      <w:r w:rsidR="000B03D1">
        <w:rPr>
          <w:rFonts w:ascii="Times New Roman" w:eastAsia="Calibri" w:hAnsi="Times New Roman" w:cs="Times New Roman"/>
          <w:sz w:val="24"/>
          <w:szCs w:val="24"/>
        </w:rPr>
        <w:t xml:space="preserve"> </w:t>
      </w:r>
      <w:r w:rsidRPr="00AE0EFF">
        <w:rPr>
          <w:rFonts w:ascii="Times New Roman" w:eastAsia="Calibri" w:hAnsi="Times New Roman" w:cs="Times New Roman"/>
          <w:sz w:val="24"/>
          <w:szCs w:val="24"/>
        </w:rPr>
        <w:t>gram cultivars at differing harvest dates.</w:t>
      </w:r>
    </w:p>
    <w:p w14:paraId="1C8E8FFA" w14:textId="77777777" w:rsidR="007B3724" w:rsidRPr="00984CB1" w:rsidRDefault="007B3724" w:rsidP="00B97F3F">
      <w:pPr>
        <w:spacing w:before="240" w:line="360" w:lineRule="auto"/>
        <w:jc w:val="both"/>
        <w:rPr>
          <w:rFonts w:ascii="Times New Roman" w:hAnsi="Times New Roman" w:cs="Times New Roman"/>
          <w:b/>
          <w:color w:val="000000" w:themeColor="text1"/>
          <w:sz w:val="24"/>
          <w:szCs w:val="24"/>
        </w:rPr>
      </w:pPr>
      <w:r w:rsidRPr="00984CB1">
        <w:rPr>
          <w:rFonts w:ascii="Times New Roman" w:hAnsi="Times New Roman" w:cs="Times New Roman"/>
          <w:b/>
          <w:color w:val="000000" w:themeColor="text1"/>
          <w:sz w:val="24"/>
          <w:szCs w:val="24"/>
        </w:rPr>
        <w:t>MATERIALS AND METHODS</w:t>
      </w:r>
    </w:p>
    <w:p w14:paraId="243619ED" w14:textId="69094BB8" w:rsidR="007B3724" w:rsidRPr="00AE0EFF" w:rsidRDefault="00131BC5" w:rsidP="00B97F3F">
      <w:pPr>
        <w:tabs>
          <w:tab w:val="left" w:pos="0"/>
          <w:tab w:val="left" w:pos="90"/>
        </w:tabs>
        <w:autoSpaceDE w:val="0"/>
        <w:autoSpaceDN w:val="0"/>
        <w:adjustRightInd w:val="0"/>
        <w:spacing w:line="360" w:lineRule="auto"/>
        <w:ind w:right="-270"/>
        <w:jc w:val="both"/>
        <w:rPr>
          <w:rFonts w:ascii="Times New Roman" w:hAnsi="Times New Roman" w:cs="Times New Roman"/>
          <w:sz w:val="24"/>
          <w:szCs w:val="24"/>
        </w:rPr>
      </w:pPr>
      <w:r w:rsidRPr="00AE0EFF">
        <w:rPr>
          <w:rFonts w:ascii="Times New Roman" w:hAnsi="Times New Roman" w:cs="Times New Roman"/>
          <w:sz w:val="24"/>
          <w:szCs w:val="24"/>
        </w:rPr>
        <w:tab/>
      </w:r>
      <w:r w:rsidRPr="00AE0EFF">
        <w:rPr>
          <w:rFonts w:ascii="Times New Roman" w:hAnsi="Times New Roman" w:cs="Times New Roman"/>
          <w:sz w:val="24"/>
          <w:szCs w:val="24"/>
        </w:rPr>
        <w:tab/>
      </w:r>
      <w:r w:rsidR="007B3724" w:rsidRPr="00AE0EFF">
        <w:rPr>
          <w:rFonts w:ascii="Times New Roman" w:hAnsi="Times New Roman" w:cs="Times New Roman"/>
          <w:sz w:val="24"/>
          <w:szCs w:val="24"/>
        </w:rPr>
        <w:t xml:space="preserve">The experiment was </w:t>
      </w:r>
      <w:r w:rsidR="005428F8" w:rsidRPr="00AE0EFF">
        <w:rPr>
          <w:rFonts w:ascii="Times New Roman" w:hAnsi="Times New Roman" w:cs="Times New Roman"/>
          <w:sz w:val="24"/>
          <w:szCs w:val="24"/>
        </w:rPr>
        <w:t>performed at Experimental</w:t>
      </w:r>
      <w:r w:rsidR="007B3724" w:rsidRPr="00AE0EFF">
        <w:rPr>
          <w:rFonts w:ascii="Times New Roman" w:hAnsi="Times New Roman" w:cs="Times New Roman"/>
          <w:sz w:val="24"/>
          <w:szCs w:val="24"/>
        </w:rPr>
        <w:t xml:space="preserve"> Farm, ICAR- CIWA, Bhubaneswar during </w:t>
      </w:r>
      <w:r w:rsidR="007B3724" w:rsidRPr="00AE0EFF">
        <w:rPr>
          <w:rFonts w:ascii="Times New Roman" w:hAnsi="Times New Roman" w:cs="Times New Roman"/>
          <w:i/>
          <w:sz w:val="24"/>
          <w:szCs w:val="24"/>
        </w:rPr>
        <w:t xml:space="preserve">Rabi, </w:t>
      </w:r>
      <w:r w:rsidR="007B3724" w:rsidRPr="00AE0EFF">
        <w:rPr>
          <w:rFonts w:ascii="Times New Roman" w:hAnsi="Times New Roman" w:cs="Times New Roman"/>
          <w:sz w:val="24"/>
          <w:szCs w:val="24"/>
        </w:rPr>
        <w:t>20</w:t>
      </w:r>
      <w:r w:rsidR="005428F8" w:rsidRPr="00AE0EFF">
        <w:rPr>
          <w:rFonts w:ascii="Times New Roman" w:hAnsi="Times New Roman" w:cs="Times New Roman"/>
          <w:sz w:val="24"/>
          <w:szCs w:val="24"/>
        </w:rPr>
        <w:t>21</w:t>
      </w:r>
      <w:r w:rsidR="007B3724" w:rsidRPr="00AE0EFF">
        <w:rPr>
          <w:rFonts w:ascii="Times New Roman" w:hAnsi="Times New Roman" w:cs="Times New Roman"/>
          <w:sz w:val="24"/>
          <w:szCs w:val="24"/>
        </w:rPr>
        <w:t xml:space="preserve"> to study three locally collected genotypes and two advanced lines of </w:t>
      </w:r>
      <w:r w:rsidR="005428F8" w:rsidRPr="00AE0EFF">
        <w:rPr>
          <w:rFonts w:ascii="Times New Roman" w:hAnsi="Times New Roman" w:cs="Times New Roman"/>
          <w:iCs/>
          <w:sz w:val="24"/>
          <w:szCs w:val="24"/>
        </w:rPr>
        <w:t>green gram</w:t>
      </w:r>
      <w:r w:rsidR="007B3724" w:rsidRPr="00AE0EFF">
        <w:rPr>
          <w:rFonts w:ascii="Times New Roman" w:hAnsi="Times New Roman" w:cs="Times New Roman"/>
          <w:iCs/>
          <w:sz w:val="24"/>
          <w:szCs w:val="24"/>
        </w:rPr>
        <w:t xml:space="preserve"> (Table-1)</w:t>
      </w:r>
      <w:r w:rsidR="007B3724" w:rsidRPr="00AE0EFF">
        <w:rPr>
          <w:rFonts w:ascii="Times New Roman" w:hAnsi="Times New Roman" w:cs="Times New Roman"/>
          <w:sz w:val="24"/>
          <w:szCs w:val="24"/>
        </w:rPr>
        <w:t xml:space="preserve"> through morphological and growth parameters, to assess </w:t>
      </w:r>
      <w:r w:rsidR="000B03D1">
        <w:rPr>
          <w:rFonts w:ascii="Times New Roman" w:hAnsi="Times New Roman" w:cs="Times New Roman"/>
          <w:sz w:val="24"/>
          <w:szCs w:val="24"/>
        </w:rPr>
        <w:t>the</w:t>
      </w:r>
      <w:r w:rsidR="000B03D1" w:rsidRPr="00AE0EFF">
        <w:rPr>
          <w:rFonts w:ascii="Times New Roman" w:hAnsi="Times New Roman" w:cs="Times New Roman"/>
          <w:sz w:val="24"/>
          <w:szCs w:val="24"/>
        </w:rPr>
        <w:t xml:space="preserve"> </w:t>
      </w:r>
      <w:r w:rsidR="007B3724" w:rsidRPr="00AE0EFF">
        <w:rPr>
          <w:rFonts w:ascii="Times New Roman" w:hAnsi="Times New Roman" w:cs="Times New Roman"/>
          <w:sz w:val="24"/>
          <w:szCs w:val="24"/>
        </w:rPr>
        <w:t xml:space="preserve">physiological pattern of pod and seed development. The field experiment was laid out in randomized block design (RBD) with four replications in plots (size- 5 x 4 </w:t>
      </w:r>
      <w:proofErr w:type="spellStart"/>
      <w:r w:rsidR="007B3724" w:rsidRPr="00AE0EFF">
        <w:rPr>
          <w:rFonts w:ascii="Times New Roman" w:hAnsi="Times New Roman" w:cs="Times New Roman"/>
          <w:sz w:val="24"/>
          <w:szCs w:val="24"/>
        </w:rPr>
        <w:t>sq.m</w:t>
      </w:r>
      <w:proofErr w:type="spellEnd"/>
      <w:r w:rsidR="007B3724" w:rsidRPr="00AE0EFF">
        <w:rPr>
          <w:rFonts w:ascii="Times New Roman" w:hAnsi="Times New Roman" w:cs="Times New Roman"/>
          <w:sz w:val="24"/>
          <w:szCs w:val="24"/>
        </w:rPr>
        <w:t>). Spacing between two consecutive plants was 20 cm and two rows was 30 cm. Recommended intercultural practices were followed.</w:t>
      </w:r>
      <w:r w:rsidR="005428F8" w:rsidRPr="00AE0EFF">
        <w:rPr>
          <w:rFonts w:ascii="Times New Roman" w:hAnsi="Times New Roman" w:cs="Times New Roman"/>
          <w:sz w:val="24"/>
          <w:szCs w:val="24"/>
        </w:rPr>
        <w:t xml:space="preserve"> </w:t>
      </w:r>
      <w:r w:rsidR="007B3724" w:rsidRPr="00AE0EFF">
        <w:rPr>
          <w:rFonts w:ascii="Times New Roman" w:hAnsi="Times New Roman" w:cs="Times New Roman"/>
          <w:sz w:val="24"/>
          <w:szCs w:val="24"/>
        </w:rPr>
        <w:t xml:space="preserve">All five genotypes of </w:t>
      </w:r>
      <w:r w:rsidR="005428F8" w:rsidRPr="00AE0EFF">
        <w:rPr>
          <w:rFonts w:ascii="Times New Roman" w:hAnsi="Times New Roman" w:cs="Times New Roman"/>
          <w:sz w:val="24"/>
          <w:szCs w:val="24"/>
        </w:rPr>
        <w:t>green gram</w:t>
      </w:r>
      <w:r w:rsidR="007B3724" w:rsidRPr="00AE0EFF">
        <w:rPr>
          <w:rFonts w:ascii="Times New Roman" w:hAnsi="Times New Roman" w:cs="Times New Roman"/>
          <w:sz w:val="24"/>
          <w:szCs w:val="24"/>
        </w:rPr>
        <w:t xml:space="preserve"> were critically observed from seedling emergence till they attained maturity. For studies on fruit and seed development, sufficient numbers of flowers were tagged on a particular blooming date of all the genotypes to avoid hazards/variation due to environmental influence. Developing fruits were harvested on each of five different stages starting from 7 days after anthesis (DAA) and at 7 days interval</w:t>
      </w:r>
      <w:r w:rsidR="000B03D1">
        <w:rPr>
          <w:rFonts w:ascii="Times New Roman" w:hAnsi="Times New Roman" w:cs="Times New Roman"/>
          <w:sz w:val="24"/>
          <w:szCs w:val="24"/>
        </w:rPr>
        <w:t>s</w:t>
      </w:r>
      <w:r w:rsidR="007B3724" w:rsidRPr="00AE0EFF">
        <w:rPr>
          <w:rFonts w:ascii="Times New Roman" w:hAnsi="Times New Roman" w:cs="Times New Roman"/>
          <w:sz w:val="24"/>
          <w:szCs w:val="24"/>
        </w:rPr>
        <w:t xml:space="preserve"> thereafter, viz., Stage-I: 7 DAA, Stage-II: 14 DAA, Stage</w:t>
      </w:r>
      <w:r w:rsidR="000B03D1">
        <w:rPr>
          <w:rFonts w:ascii="Times New Roman" w:hAnsi="Times New Roman" w:cs="Times New Roman"/>
          <w:sz w:val="24"/>
          <w:szCs w:val="24"/>
        </w:rPr>
        <w:t>–</w:t>
      </w:r>
      <w:r w:rsidR="007B3724" w:rsidRPr="00AE0EFF">
        <w:rPr>
          <w:rFonts w:ascii="Times New Roman" w:hAnsi="Times New Roman" w:cs="Times New Roman"/>
          <w:sz w:val="24"/>
          <w:szCs w:val="24"/>
        </w:rPr>
        <w:t xml:space="preserve">III: 21 DAA, Stage – IV: 28 DAA and Stage – V: 35 DAA. At each stage, 10 fruits from each of four replications for all the genotypes were sampled. The seeds were separated carefully from the fruit wall. Observations on various fruit and seed characters were recorded on randomly harvested ten (10) fruits at each stage for each genotype per replication so that symmetry in the methodology to the maximum extent is achieved. The fruit and seed characters observed were pod length (mm), pod weight (mg), number of seeds per pod, thousand (1000) seed weight (gm), seed fresh and dry Weight (mg), seed moisture content (%), seed germination (%), seedling root-shoot length (cm) and seedling dry weight (mg), seed </w:t>
      </w:r>
      <w:proofErr w:type="spellStart"/>
      <w:r w:rsidR="007B3724" w:rsidRPr="00AE0EFF">
        <w:rPr>
          <w:rFonts w:ascii="Times New Roman" w:hAnsi="Times New Roman" w:cs="Times New Roman"/>
          <w:sz w:val="24"/>
          <w:szCs w:val="24"/>
        </w:rPr>
        <w:t>vigour</w:t>
      </w:r>
      <w:proofErr w:type="spellEnd"/>
      <w:r w:rsidR="007B3724" w:rsidRPr="00AE0EFF">
        <w:rPr>
          <w:rFonts w:ascii="Times New Roman" w:hAnsi="Times New Roman" w:cs="Times New Roman"/>
          <w:sz w:val="24"/>
          <w:szCs w:val="24"/>
        </w:rPr>
        <w:t xml:space="preserve"> index (SVI), total protein content of seed.</w:t>
      </w:r>
      <w:r w:rsidR="00D94D1E" w:rsidRPr="00AE0EFF">
        <w:rPr>
          <w:rFonts w:ascii="Times New Roman" w:hAnsi="Times New Roman" w:cs="Times New Roman"/>
          <w:sz w:val="24"/>
          <w:szCs w:val="24"/>
        </w:rPr>
        <w:t xml:space="preserve"> </w:t>
      </w:r>
      <w:r w:rsidR="007B3724" w:rsidRPr="00AE0EFF">
        <w:rPr>
          <w:rFonts w:ascii="Times New Roman" w:hAnsi="Times New Roman" w:cs="Times New Roman"/>
          <w:sz w:val="24"/>
          <w:szCs w:val="24"/>
        </w:rPr>
        <w:t xml:space="preserve">The germination test was carried out using germination papers by the </w:t>
      </w:r>
      <w:r w:rsidR="000B03D1" w:rsidRPr="003767D2">
        <w:rPr>
          <w:rFonts w:ascii="Times New Roman" w:hAnsi="Times New Roman" w:cs="Times New Roman"/>
          <w:sz w:val="24"/>
          <w:szCs w:val="24"/>
          <w:highlight w:val="yellow"/>
        </w:rPr>
        <w:t>between-</w:t>
      </w:r>
      <w:r w:rsidR="007B3724" w:rsidRPr="003767D2">
        <w:rPr>
          <w:rFonts w:ascii="Times New Roman" w:hAnsi="Times New Roman" w:cs="Times New Roman"/>
          <w:sz w:val="24"/>
          <w:szCs w:val="24"/>
          <w:highlight w:val="yellow"/>
        </w:rPr>
        <w:t xml:space="preserve">paper </w:t>
      </w:r>
      <w:r w:rsidR="007B3724" w:rsidRPr="00AE0EFF">
        <w:rPr>
          <w:rFonts w:ascii="Times New Roman" w:hAnsi="Times New Roman" w:cs="Times New Roman"/>
          <w:sz w:val="24"/>
          <w:szCs w:val="24"/>
        </w:rPr>
        <w:t>(BP) method (ISTA, 1995) for all the stages of five genotypes. The seeds collected for five (5) successive stages were considered for germination test. The final count was taken on 8</w:t>
      </w:r>
      <w:r w:rsidR="007B3724" w:rsidRPr="00AE0EFF">
        <w:rPr>
          <w:rFonts w:ascii="Times New Roman" w:hAnsi="Times New Roman" w:cs="Times New Roman"/>
          <w:sz w:val="24"/>
          <w:szCs w:val="24"/>
          <w:vertAlign w:val="superscript"/>
        </w:rPr>
        <w:t>th</w:t>
      </w:r>
      <w:r w:rsidR="007B3724" w:rsidRPr="00AE0EFF">
        <w:rPr>
          <w:rFonts w:ascii="Times New Roman" w:hAnsi="Times New Roman" w:cs="Times New Roman"/>
          <w:sz w:val="24"/>
          <w:szCs w:val="24"/>
        </w:rPr>
        <w:t xml:space="preserve"> day. Percentage protein was determined with the help of Nitrogen determination by </w:t>
      </w:r>
      <w:proofErr w:type="spellStart"/>
      <w:r w:rsidR="007B3724" w:rsidRPr="00AE0EFF">
        <w:rPr>
          <w:rFonts w:ascii="Times New Roman" w:hAnsi="Times New Roman" w:cs="Times New Roman"/>
          <w:sz w:val="24"/>
          <w:szCs w:val="24"/>
        </w:rPr>
        <w:t>Kjeldhal</w:t>
      </w:r>
      <w:proofErr w:type="spellEnd"/>
      <w:r w:rsidR="007B3724" w:rsidRPr="00AE0EFF">
        <w:rPr>
          <w:rFonts w:ascii="Times New Roman" w:hAnsi="Times New Roman" w:cs="Times New Roman"/>
          <w:sz w:val="24"/>
          <w:szCs w:val="24"/>
        </w:rPr>
        <w:t xml:space="preserve"> method.</w:t>
      </w:r>
    </w:p>
    <w:p w14:paraId="4A8D641A" w14:textId="77777777" w:rsidR="007B3724" w:rsidRPr="00984CB1" w:rsidRDefault="007B3724" w:rsidP="00EA2D24">
      <w:pPr>
        <w:tabs>
          <w:tab w:val="left" w:pos="0"/>
          <w:tab w:val="left" w:pos="90"/>
        </w:tabs>
        <w:autoSpaceDE w:val="0"/>
        <w:autoSpaceDN w:val="0"/>
        <w:adjustRightInd w:val="0"/>
        <w:spacing w:after="0" w:line="360" w:lineRule="auto"/>
        <w:ind w:right="-272"/>
        <w:jc w:val="both"/>
        <w:rPr>
          <w:rFonts w:ascii="Times New Roman" w:hAnsi="Times New Roman" w:cs="Times New Roman"/>
          <w:color w:val="000000" w:themeColor="text1"/>
          <w:sz w:val="24"/>
          <w:szCs w:val="24"/>
        </w:rPr>
      </w:pPr>
      <w:r w:rsidRPr="00984CB1">
        <w:rPr>
          <w:rFonts w:ascii="Times New Roman" w:hAnsi="Times New Roman" w:cs="Times New Roman"/>
          <w:color w:val="000000" w:themeColor="text1"/>
          <w:sz w:val="24"/>
          <w:szCs w:val="24"/>
        </w:rPr>
        <w:t>Table 1: Details of the genotypes</w:t>
      </w:r>
    </w:p>
    <w:tbl>
      <w:tblPr>
        <w:tblpPr w:leftFromText="180" w:rightFromText="180" w:vertAnchor="text" w:horzAnchor="margin" w:tblpY="122"/>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873"/>
        <w:gridCol w:w="2502"/>
        <w:gridCol w:w="2474"/>
        <w:gridCol w:w="3522"/>
      </w:tblGrid>
      <w:tr w:rsidR="007B3724" w:rsidRPr="00AE0EFF" w14:paraId="52C59D75" w14:textId="77777777" w:rsidTr="005428F8">
        <w:trPr>
          <w:trHeight w:val="467"/>
        </w:trPr>
        <w:tc>
          <w:tcPr>
            <w:tcW w:w="873" w:type="dxa"/>
            <w:shd w:val="clear" w:color="auto" w:fill="auto"/>
            <w:tcMar>
              <w:top w:w="15" w:type="dxa"/>
              <w:left w:w="15" w:type="dxa"/>
              <w:bottom w:w="0" w:type="dxa"/>
              <w:right w:w="15" w:type="dxa"/>
            </w:tcMar>
            <w:vAlign w:val="center"/>
            <w:hideMark/>
          </w:tcPr>
          <w:p w14:paraId="2D460C78" w14:textId="77777777" w:rsidR="007B3724" w:rsidRPr="00AE0EFF" w:rsidRDefault="007B3724" w:rsidP="00B97F3F">
            <w:pPr>
              <w:spacing w:after="0" w:line="360" w:lineRule="auto"/>
              <w:ind w:left="-882" w:firstLine="1024"/>
              <w:jc w:val="center"/>
              <w:textAlignment w:val="bottom"/>
              <w:rPr>
                <w:rFonts w:ascii="Times New Roman" w:eastAsia="Times New Roman" w:hAnsi="Times New Roman" w:cs="Times New Roman"/>
                <w:b/>
                <w:sz w:val="24"/>
                <w:szCs w:val="24"/>
                <w:lang w:val="en-IN" w:eastAsia="en-IN"/>
              </w:rPr>
            </w:pPr>
            <w:r w:rsidRPr="00AE0EFF">
              <w:rPr>
                <w:rFonts w:ascii="Times New Roman" w:eastAsia="Times New Roman" w:hAnsi="Times New Roman" w:cs="Times New Roman"/>
                <w:b/>
                <w:bCs/>
                <w:kern w:val="24"/>
                <w:sz w:val="24"/>
                <w:szCs w:val="24"/>
                <w:lang w:val="en-IN" w:eastAsia="en-IN"/>
              </w:rPr>
              <w:t>Sl.no</w:t>
            </w:r>
          </w:p>
        </w:tc>
        <w:tc>
          <w:tcPr>
            <w:tcW w:w="2502" w:type="dxa"/>
            <w:shd w:val="clear" w:color="auto" w:fill="auto"/>
            <w:tcMar>
              <w:top w:w="15" w:type="dxa"/>
              <w:left w:w="15" w:type="dxa"/>
              <w:bottom w:w="0" w:type="dxa"/>
              <w:right w:w="15" w:type="dxa"/>
            </w:tcMar>
            <w:vAlign w:val="center"/>
            <w:hideMark/>
          </w:tcPr>
          <w:p w14:paraId="735914F5" w14:textId="77777777" w:rsidR="007B3724" w:rsidRPr="00AE0EFF" w:rsidRDefault="007B3724" w:rsidP="00131BC5">
            <w:pPr>
              <w:spacing w:after="0" w:line="360" w:lineRule="auto"/>
              <w:ind w:left="-1040" w:firstLine="1166"/>
              <w:textAlignment w:val="center"/>
              <w:rPr>
                <w:rFonts w:ascii="Times New Roman" w:eastAsia="Times New Roman" w:hAnsi="Times New Roman" w:cs="Times New Roman"/>
                <w:b/>
                <w:sz w:val="24"/>
                <w:szCs w:val="24"/>
                <w:lang w:val="en-IN" w:eastAsia="en-IN"/>
              </w:rPr>
            </w:pPr>
            <w:r w:rsidRPr="00AE0EFF">
              <w:rPr>
                <w:rFonts w:ascii="Times New Roman" w:eastAsia="Times New Roman" w:hAnsi="Times New Roman" w:cs="Times New Roman"/>
                <w:b/>
                <w:bCs/>
                <w:kern w:val="24"/>
                <w:sz w:val="24"/>
                <w:szCs w:val="24"/>
                <w:lang w:val="en-IN" w:eastAsia="en-IN"/>
              </w:rPr>
              <w:t>Type of Genotype</w:t>
            </w:r>
          </w:p>
        </w:tc>
        <w:tc>
          <w:tcPr>
            <w:tcW w:w="2474" w:type="dxa"/>
            <w:shd w:val="clear" w:color="auto" w:fill="auto"/>
            <w:tcMar>
              <w:top w:w="15" w:type="dxa"/>
              <w:left w:w="15" w:type="dxa"/>
              <w:bottom w:w="0" w:type="dxa"/>
              <w:right w:w="15" w:type="dxa"/>
            </w:tcMar>
            <w:vAlign w:val="center"/>
            <w:hideMark/>
          </w:tcPr>
          <w:p w14:paraId="3B85F224" w14:textId="77777777" w:rsidR="007B3724" w:rsidRPr="00AE0EFF" w:rsidRDefault="007B3724" w:rsidP="00131BC5">
            <w:pPr>
              <w:spacing w:after="0" w:line="360" w:lineRule="auto"/>
              <w:ind w:left="-1040" w:firstLine="1309"/>
              <w:textAlignment w:val="bottom"/>
              <w:rPr>
                <w:rFonts w:ascii="Times New Roman" w:eastAsia="Times New Roman" w:hAnsi="Times New Roman" w:cs="Times New Roman"/>
                <w:b/>
                <w:sz w:val="24"/>
                <w:szCs w:val="24"/>
                <w:lang w:val="en-IN" w:eastAsia="en-IN"/>
              </w:rPr>
            </w:pPr>
            <w:r w:rsidRPr="00AE0EFF">
              <w:rPr>
                <w:rFonts w:ascii="Times New Roman" w:eastAsia="Times New Roman" w:hAnsi="Times New Roman" w:cs="Times New Roman"/>
                <w:b/>
                <w:bCs/>
                <w:kern w:val="24"/>
                <w:sz w:val="24"/>
                <w:szCs w:val="24"/>
                <w:lang w:val="en-IN" w:eastAsia="en-IN"/>
              </w:rPr>
              <w:t>Name of genotype</w:t>
            </w:r>
          </w:p>
        </w:tc>
        <w:tc>
          <w:tcPr>
            <w:tcW w:w="3522" w:type="dxa"/>
            <w:shd w:val="clear" w:color="auto" w:fill="auto"/>
            <w:tcMar>
              <w:top w:w="15" w:type="dxa"/>
              <w:left w:w="15" w:type="dxa"/>
              <w:bottom w:w="0" w:type="dxa"/>
              <w:right w:w="15" w:type="dxa"/>
            </w:tcMar>
            <w:vAlign w:val="center"/>
            <w:hideMark/>
          </w:tcPr>
          <w:p w14:paraId="1CA721BA" w14:textId="77777777" w:rsidR="007B3724" w:rsidRPr="00AE0EFF" w:rsidRDefault="007B3724" w:rsidP="00131BC5">
            <w:pPr>
              <w:spacing w:after="0" w:line="360" w:lineRule="auto"/>
              <w:ind w:left="-1040" w:firstLine="1309"/>
              <w:textAlignment w:val="bottom"/>
              <w:rPr>
                <w:rFonts w:ascii="Times New Roman" w:eastAsia="Times New Roman" w:hAnsi="Times New Roman" w:cs="Times New Roman"/>
                <w:b/>
                <w:sz w:val="24"/>
                <w:szCs w:val="24"/>
                <w:lang w:val="en-IN" w:eastAsia="en-IN"/>
              </w:rPr>
            </w:pPr>
            <w:r w:rsidRPr="00AE0EFF">
              <w:rPr>
                <w:rFonts w:ascii="Times New Roman" w:eastAsia="Times New Roman" w:hAnsi="Times New Roman" w:cs="Times New Roman"/>
                <w:b/>
                <w:bCs/>
                <w:kern w:val="24"/>
                <w:sz w:val="24"/>
                <w:szCs w:val="24"/>
                <w:lang w:val="en-IN" w:eastAsia="en-IN"/>
              </w:rPr>
              <w:t>Source (Place of collection)</w:t>
            </w:r>
          </w:p>
        </w:tc>
      </w:tr>
      <w:tr w:rsidR="007B3724" w:rsidRPr="00AE0EFF" w14:paraId="2B2660AA" w14:textId="77777777" w:rsidTr="005428F8">
        <w:trPr>
          <w:trHeight w:val="437"/>
        </w:trPr>
        <w:tc>
          <w:tcPr>
            <w:tcW w:w="873" w:type="dxa"/>
            <w:shd w:val="clear" w:color="auto" w:fill="auto"/>
            <w:tcMar>
              <w:top w:w="15" w:type="dxa"/>
              <w:left w:w="15" w:type="dxa"/>
              <w:bottom w:w="0" w:type="dxa"/>
              <w:right w:w="15" w:type="dxa"/>
            </w:tcMar>
            <w:vAlign w:val="center"/>
            <w:hideMark/>
          </w:tcPr>
          <w:p w14:paraId="023676E3" w14:textId="77777777" w:rsidR="007B3724" w:rsidRPr="00AE0EFF" w:rsidRDefault="007B3724" w:rsidP="00B97F3F">
            <w:pPr>
              <w:spacing w:after="0" w:line="360" w:lineRule="auto"/>
              <w:ind w:left="-882" w:firstLine="1024"/>
              <w:jc w:val="center"/>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lastRenderedPageBreak/>
              <w:t>V1</w:t>
            </w:r>
          </w:p>
        </w:tc>
        <w:tc>
          <w:tcPr>
            <w:tcW w:w="2502" w:type="dxa"/>
            <w:shd w:val="clear" w:color="auto" w:fill="auto"/>
            <w:tcMar>
              <w:top w:w="15" w:type="dxa"/>
              <w:left w:w="15" w:type="dxa"/>
              <w:bottom w:w="0" w:type="dxa"/>
              <w:right w:w="15" w:type="dxa"/>
            </w:tcMar>
            <w:vAlign w:val="center"/>
            <w:hideMark/>
          </w:tcPr>
          <w:p w14:paraId="7E7B8CB9" w14:textId="77777777" w:rsidR="007B3724" w:rsidRPr="00AE0EFF" w:rsidRDefault="007B3724" w:rsidP="00B97F3F">
            <w:pPr>
              <w:spacing w:after="0" w:line="360" w:lineRule="auto"/>
              <w:ind w:left="-1040" w:firstLine="1166"/>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Farmer’s variety</w:t>
            </w:r>
          </w:p>
        </w:tc>
        <w:tc>
          <w:tcPr>
            <w:tcW w:w="2474" w:type="dxa"/>
            <w:shd w:val="clear" w:color="auto" w:fill="auto"/>
            <w:tcMar>
              <w:top w:w="15" w:type="dxa"/>
              <w:left w:w="15" w:type="dxa"/>
              <w:bottom w:w="0" w:type="dxa"/>
              <w:right w:w="15" w:type="dxa"/>
            </w:tcMar>
            <w:vAlign w:val="center"/>
            <w:hideMark/>
          </w:tcPr>
          <w:p w14:paraId="64D28021" w14:textId="77777777" w:rsidR="007B3724" w:rsidRPr="00AE0EFF" w:rsidRDefault="007B3724" w:rsidP="00B97F3F">
            <w:pPr>
              <w:spacing w:after="0" w:line="360" w:lineRule="auto"/>
              <w:ind w:left="-1040" w:right="127" w:firstLine="1167"/>
              <w:textAlignment w:val="top"/>
              <w:rPr>
                <w:rFonts w:ascii="Times New Roman" w:eastAsia="Times New Roman" w:hAnsi="Times New Roman" w:cs="Times New Roman"/>
                <w:sz w:val="24"/>
                <w:szCs w:val="24"/>
                <w:lang w:val="en-IN" w:eastAsia="en-IN"/>
              </w:rPr>
            </w:pPr>
            <w:proofErr w:type="spellStart"/>
            <w:r w:rsidRPr="00AE0EFF">
              <w:rPr>
                <w:rFonts w:ascii="Times New Roman" w:eastAsia="Times New Roman" w:hAnsi="Times New Roman" w:cs="Times New Roman"/>
                <w:bCs/>
                <w:kern w:val="24"/>
                <w:sz w:val="24"/>
                <w:szCs w:val="24"/>
                <w:lang w:val="en-IN" w:eastAsia="en-IN"/>
              </w:rPr>
              <w:t>Nayagarh</w:t>
            </w:r>
            <w:proofErr w:type="spellEnd"/>
            <w:r w:rsidRPr="00AE0EFF">
              <w:rPr>
                <w:rFonts w:ascii="Times New Roman" w:eastAsia="Times New Roman" w:hAnsi="Times New Roman" w:cs="Times New Roman"/>
                <w:bCs/>
                <w:kern w:val="24"/>
                <w:sz w:val="24"/>
                <w:szCs w:val="24"/>
                <w:lang w:val="en-IN" w:eastAsia="en-IN"/>
              </w:rPr>
              <w:t xml:space="preserve"> Local Green</w:t>
            </w:r>
          </w:p>
        </w:tc>
        <w:tc>
          <w:tcPr>
            <w:tcW w:w="3522" w:type="dxa"/>
            <w:shd w:val="clear" w:color="auto" w:fill="auto"/>
            <w:tcMar>
              <w:top w:w="15" w:type="dxa"/>
              <w:left w:w="15" w:type="dxa"/>
              <w:bottom w:w="0" w:type="dxa"/>
              <w:right w:w="15" w:type="dxa"/>
            </w:tcMar>
            <w:vAlign w:val="center"/>
            <w:hideMark/>
          </w:tcPr>
          <w:p w14:paraId="7A8A6A8B" w14:textId="77777777" w:rsidR="007B3724" w:rsidRPr="00AE0EFF" w:rsidRDefault="007B3724" w:rsidP="005428F8">
            <w:pPr>
              <w:spacing w:after="0" w:line="360" w:lineRule="auto"/>
              <w:ind w:left="105"/>
              <w:textAlignment w:val="bottom"/>
              <w:rPr>
                <w:rFonts w:ascii="Times New Roman" w:eastAsia="Times New Roman" w:hAnsi="Times New Roman" w:cs="Times New Roman"/>
                <w:sz w:val="24"/>
                <w:szCs w:val="24"/>
                <w:lang w:val="en-IN" w:eastAsia="en-IN"/>
              </w:rPr>
            </w:pPr>
            <w:proofErr w:type="spellStart"/>
            <w:r w:rsidRPr="00AE0EFF">
              <w:rPr>
                <w:rFonts w:ascii="Times New Roman" w:hAnsi="Times New Roman" w:cs="Times New Roman"/>
                <w:sz w:val="24"/>
                <w:szCs w:val="24"/>
              </w:rPr>
              <w:t>Hariharpur</w:t>
            </w:r>
            <w:proofErr w:type="spellEnd"/>
            <w:r w:rsidRPr="00AE0EFF">
              <w:rPr>
                <w:rFonts w:ascii="Times New Roman" w:eastAsia="Times New Roman" w:hAnsi="Times New Roman" w:cs="Times New Roman"/>
                <w:bCs/>
                <w:kern w:val="24"/>
                <w:sz w:val="24"/>
                <w:szCs w:val="24"/>
                <w:lang w:val="en-IN" w:eastAsia="en-IN"/>
              </w:rPr>
              <w:t xml:space="preserve"> , </w:t>
            </w:r>
            <w:proofErr w:type="spellStart"/>
            <w:r w:rsidRPr="00AE0EFF">
              <w:rPr>
                <w:rFonts w:ascii="Times New Roman" w:eastAsia="Times New Roman" w:hAnsi="Times New Roman" w:cs="Times New Roman"/>
                <w:bCs/>
                <w:kern w:val="24"/>
                <w:sz w:val="24"/>
                <w:szCs w:val="24"/>
                <w:lang w:val="en-IN" w:eastAsia="en-IN"/>
              </w:rPr>
              <w:t>Nayagarh</w:t>
            </w:r>
            <w:proofErr w:type="spellEnd"/>
            <w:r w:rsidRPr="00AE0EFF">
              <w:rPr>
                <w:rFonts w:ascii="Times New Roman" w:eastAsia="Times New Roman" w:hAnsi="Times New Roman" w:cs="Times New Roman"/>
                <w:bCs/>
                <w:kern w:val="24"/>
                <w:sz w:val="24"/>
                <w:szCs w:val="24"/>
                <w:lang w:val="en-IN" w:eastAsia="en-IN"/>
              </w:rPr>
              <w:t>, Odisha</w:t>
            </w:r>
          </w:p>
        </w:tc>
      </w:tr>
      <w:tr w:rsidR="007B3724" w:rsidRPr="00AE0EFF" w14:paraId="51E022ED" w14:textId="77777777" w:rsidTr="005428F8">
        <w:trPr>
          <w:trHeight w:val="397"/>
        </w:trPr>
        <w:tc>
          <w:tcPr>
            <w:tcW w:w="873" w:type="dxa"/>
            <w:shd w:val="clear" w:color="auto" w:fill="auto"/>
            <w:tcMar>
              <w:top w:w="15" w:type="dxa"/>
              <w:left w:w="15" w:type="dxa"/>
              <w:bottom w:w="0" w:type="dxa"/>
              <w:right w:w="15" w:type="dxa"/>
            </w:tcMar>
            <w:vAlign w:val="center"/>
            <w:hideMark/>
          </w:tcPr>
          <w:p w14:paraId="7A57317F" w14:textId="77777777" w:rsidR="007B3724" w:rsidRPr="00AE0EFF" w:rsidRDefault="007B3724" w:rsidP="00B97F3F">
            <w:pPr>
              <w:spacing w:after="0" w:line="360" w:lineRule="auto"/>
              <w:ind w:left="-882" w:firstLine="1024"/>
              <w:jc w:val="center"/>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V2</w:t>
            </w:r>
          </w:p>
        </w:tc>
        <w:tc>
          <w:tcPr>
            <w:tcW w:w="2502" w:type="dxa"/>
            <w:shd w:val="clear" w:color="auto" w:fill="auto"/>
            <w:tcMar>
              <w:top w:w="15" w:type="dxa"/>
              <w:left w:w="15" w:type="dxa"/>
              <w:bottom w:w="0" w:type="dxa"/>
              <w:right w:w="15" w:type="dxa"/>
            </w:tcMar>
            <w:vAlign w:val="center"/>
            <w:hideMark/>
          </w:tcPr>
          <w:p w14:paraId="7E12C9DF" w14:textId="77777777" w:rsidR="007B3724" w:rsidRPr="00AE0EFF" w:rsidRDefault="007B3724" w:rsidP="00B97F3F">
            <w:pPr>
              <w:spacing w:after="0" w:line="360" w:lineRule="auto"/>
              <w:ind w:left="-1040" w:firstLine="1166"/>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Advance line</w:t>
            </w:r>
          </w:p>
        </w:tc>
        <w:tc>
          <w:tcPr>
            <w:tcW w:w="2474" w:type="dxa"/>
            <w:shd w:val="clear" w:color="auto" w:fill="auto"/>
            <w:tcMar>
              <w:top w:w="15" w:type="dxa"/>
              <w:left w:w="15" w:type="dxa"/>
              <w:bottom w:w="0" w:type="dxa"/>
              <w:right w:w="15" w:type="dxa"/>
            </w:tcMar>
            <w:vAlign w:val="center"/>
            <w:hideMark/>
          </w:tcPr>
          <w:p w14:paraId="31D77037" w14:textId="77777777" w:rsidR="007B3724" w:rsidRPr="00AE0EFF" w:rsidRDefault="007B3724" w:rsidP="00B97F3F">
            <w:pPr>
              <w:spacing w:after="0" w:line="360" w:lineRule="auto"/>
              <w:ind w:left="-1040" w:right="127" w:firstLine="1167"/>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OBGG-101</w:t>
            </w:r>
          </w:p>
        </w:tc>
        <w:tc>
          <w:tcPr>
            <w:tcW w:w="3522" w:type="dxa"/>
            <w:shd w:val="clear" w:color="auto" w:fill="auto"/>
            <w:tcMar>
              <w:top w:w="15" w:type="dxa"/>
              <w:left w:w="15" w:type="dxa"/>
              <w:bottom w:w="0" w:type="dxa"/>
              <w:right w:w="15" w:type="dxa"/>
            </w:tcMar>
            <w:vAlign w:val="center"/>
            <w:hideMark/>
          </w:tcPr>
          <w:p w14:paraId="30F8BFBA" w14:textId="77777777" w:rsidR="007B3724" w:rsidRPr="00AE0EFF" w:rsidRDefault="007B3724" w:rsidP="005428F8">
            <w:pPr>
              <w:spacing w:after="0" w:line="360" w:lineRule="auto"/>
              <w:ind w:left="105"/>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OUAT, Bhubaneswar</w:t>
            </w:r>
          </w:p>
        </w:tc>
      </w:tr>
      <w:tr w:rsidR="007B3724" w:rsidRPr="00AE0EFF" w14:paraId="51D21B39" w14:textId="77777777" w:rsidTr="005428F8">
        <w:trPr>
          <w:trHeight w:val="397"/>
        </w:trPr>
        <w:tc>
          <w:tcPr>
            <w:tcW w:w="873" w:type="dxa"/>
            <w:shd w:val="clear" w:color="auto" w:fill="auto"/>
            <w:tcMar>
              <w:top w:w="15" w:type="dxa"/>
              <w:left w:w="15" w:type="dxa"/>
              <w:bottom w:w="0" w:type="dxa"/>
              <w:right w:w="15" w:type="dxa"/>
            </w:tcMar>
            <w:vAlign w:val="center"/>
            <w:hideMark/>
          </w:tcPr>
          <w:p w14:paraId="1EA8CE91" w14:textId="77777777" w:rsidR="007B3724" w:rsidRPr="00AE0EFF" w:rsidRDefault="007B3724" w:rsidP="00B97F3F">
            <w:pPr>
              <w:spacing w:after="0" w:line="360" w:lineRule="auto"/>
              <w:ind w:left="-882" w:firstLine="1024"/>
              <w:jc w:val="center"/>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V3</w:t>
            </w:r>
          </w:p>
        </w:tc>
        <w:tc>
          <w:tcPr>
            <w:tcW w:w="2502" w:type="dxa"/>
            <w:shd w:val="clear" w:color="auto" w:fill="auto"/>
            <w:tcMar>
              <w:top w:w="15" w:type="dxa"/>
              <w:left w:w="15" w:type="dxa"/>
              <w:bottom w:w="0" w:type="dxa"/>
              <w:right w:w="15" w:type="dxa"/>
            </w:tcMar>
            <w:vAlign w:val="center"/>
            <w:hideMark/>
          </w:tcPr>
          <w:p w14:paraId="4D095CCD" w14:textId="77777777" w:rsidR="007B3724" w:rsidRPr="00AE0EFF" w:rsidRDefault="007B3724" w:rsidP="00B97F3F">
            <w:pPr>
              <w:spacing w:after="0" w:line="360" w:lineRule="auto"/>
              <w:ind w:left="-1040" w:firstLine="1166"/>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Advance line</w:t>
            </w:r>
          </w:p>
        </w:tc>
        <w:tc>
          <w:tcPr>
            <w:tcW w:w="2474" w:type="dxa"/>
            <w:shd w:val="clear" w:color="auto" w:fill="auto"/>
            <w:tcMar>
              <w:top w:w="15" w:type="dxa"/>
              <w:left w:w="15" w:type="dxa"/>
              <w:bottom w:w="0" w:type="dxa"/>
              <w:right w:w="15" w:type="dxa"/>
            </w:tcMar>
            <w:vAlign w:val="center"/>
            <w:hideMark/>
          </w:tcPr>
          <w:p w14:paraId="7B3A134A" w14:textId="77777777" w:rsidR="007B3724" w:rsidRPr="00AE0EFF" w:rsidRDefault="007B3724" w:rsidP="00B97F3F">
            <w:pPr>
              <w:spacing w:after="0" w:line="360" w:lineRule="auto"/>
              <w:ind w:left="-1040" w:right="127" w:firstLine="1167"/>
              <w:textAlignment w:val="top"/>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OBGG-102</w:t>
            </w:r>
          </w:p>
        </w:tc>
        <w:tc>
          <w:tcPr>
            <w:tcW w:w="3522" w:type="dxa"/>
            <w:shd w:val="clear" w:color="auto" w:fill="auto"/>
            <w:tcMar>
              <w:top w:w="15" w:type="dxa"/>
              <w:left w:w="15" w:type="dxa"/>
              <w:bottom w:w="0" w:type="dxa"/>
              <w:right w:w="15" w:type="dxa"/>
            </w:tcMar>
            <w:vAlign w:val="center"/>
            <w:hideMark/>
          </w:tcPr>
          <w:p w14:paraId="7E02F085" w14:textId="77777777" w:rsidR="007B3724" w:rsidRPr="00AE0EFF" w:rsidRDefault="007B3724" w:rsidP="005428F8">
            <w:pPr>
              <w:spacing w:after="0" w:line="360" w:lineRule="auto"/>
              <w:ind w:left="105"/>
              <w:textAlignment w:val="bottom"/>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OUAT, Bhubaneswar</w:t>
            </w:r>
          </w:p>
        </w:tc>
      </w:tr>
      <w:tr w:rsidR="007B3724" w:rsidRPr="00AE0EFF" w14:paraId="03BF39A0" w14:textId="77777777" w:rsidTr="005428F8">
        <w:trPr>
          <w:trHeight w:val="397"/>
        </w:trPr>
        <w:tc>
          <w:tcPr>
            <w:tcW w:w="873" w:type="dxa"/>
            <w:shd w:val="clear" w:color="auto" w:fill="auto"/>
            <w:tcMar>
              <w:top w:w="15" w:type="dxa"/>
              <w:left w:w="15" w:type="dxa"/>
              <w:bottom w:w="0" w:type="dxa"/>
              <w:right w:w="15" w:type="dxa"/>
            </w:tcMar>
            <w:vAlign w:val="center"/>
            <w:hideMark/>
          </w:tcPr>
          <w:p w14:paraId="046B2BC2" w14:textId="77777777" w:rsidR="007B3724" w:rsidRPr="00AE0EFF" w:rsidRDefault="007B3724" w:rsidP="00B97F3F">
            <w:pPr>
              <w:spacing w:after="0" w:line="360" w:lineRule="auto"/>
              <w:ind w:left="-882" w:firstLine="1024"/>
              <w:jc w:val="center"/>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V4</w:t>
            </w:r>
          </w:p>
        </w:tc>
        <w:tc>
          <w:tcPr>
            <w:tcW w:w="2502" w:type="dxa"/>
            <w:shd w:val="clear" w:color="auto" w:fill="auto"/>
            <w:tcMar>
              <w:top w:w="15" w:type="dxa"/>
              <w:left w:w="15" w:type="dxa"/>
              <w:bottom w:w="0" w:type="dxa"/>
              <w:right w:w="15" w:type="dxa"/>
            </w:tcMar>
            <w:vAlign w:val="center"/>
            <w:hideMark/>
          </w:tcPr>
          <w:p w14:paraId="1E7A60FC" w14:textId="77777777" w:rsidR="007B3724" w:rsidRPr="00AE0EFF" w:rsidRDefault="007B3724" w:rsidP="00B97F3F">
            <w:pPr>
              <w:spacing w:after="0" w:line="360" w:lineRule="auto"/>
              <w:ind w:left="-1040" w:firstLine="1166"/>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Farmer’s variety</w:t>
            </w:r>
          </w:p>
        </w:tc>
        <w:tc>
          <w:tcPr>
            <w:tcW w:w="2474" w:type="dxa"/>
            <w:shd w:val="clear" w:color="auto" w:fill="auto"/>
            <w:tcMar>
              <w:top w:w="15" w:type="dxa"/>
              <w:left w:w="15" w:type="dxa"/>
              <w:bottom w:w="0" w:type="dxa"/>
              <w:right w:w="15" w:type="dxa"/>
            </w:tcMar>
            <w:vAlign w:val="center"/>
            <w:hideMark/>
          </w:tcPr>
          <w:p w14:paraId="57E75D2A" w14:textId="77777777" w:rsidR="007B3724" w:rsidRPr="00AE0EFF" w:rsidRDefault="007B3724" w:rsidP="00B97F3F">
            <w:pPr>
              <w:spacing w:after="0" w:line="360" w:lineRule="auto"/>
              <w:ind w:left="-1040" w:right="127" w:firstLine="1167"/>
              <w:textAlignment w:val="top"/>
              <w:rPr>
                <w:rFonts w:ascii="Times New Roman" w:eastAsia="Times New Roman" w:hAnsi="Times New Roman" w:cs="Times New Roman"/>
                <w:sz w:val="24"/>
                <w:szCs w:val="24"/>
                <w:lang w:val="en-IN" w:eastAsia="en-IN"/>
              </w:rPr>
            </w:pPr>
            <w:proofErr w:type="spellStart"/>
            <w:r w:rsidRPr="00AE0EFF">
              <w:rPr>
                <w:rFonts w:ascii="Times New Roman" w:eastAsia="Times New Roman" w:hAnsi="Times New Roman" w:cs="Times New Roman"/>
                <w:bCs/>
                <w:kern w:val="24"/>
                <w:sz w:val="24"/>
                <w:szCs w:val="24"/>
                <w:lang w:val="en-IN" w:eastAsia="en-IN"/>
              </w:rPr>
              <w:t>Nayagarh</w:t>
            </w:r>
            <w:proofErr w:type="spellEnd"/>
            <w:r w:rsidRPr="00AE0EFF">
              <w:rPr>
                <w:rFonts w:ascii="Times New Roman" w:eastAsia="Times New Roman" w:hAnsi="Times New Roman" w:cs="Times New Roman"/>
                <w:bCs/>
                <w:kern w:val="24"/>
                <w:sz w:val="24"/>
                <w:szCs w:val="24"/>
                <w:lang w:val="en-IN" w:eastAsia="en-IN"/>
              </w:rPr>
              <w:t xml:space="preserve"> Local Black</w:t>
            </w:r>
          </w:p>
        </w:tc>
        <w:tc>
          <w:tcPr>
            <w:tcW w:w="3522" w:type="dxa"/>
            <w:shd w:val="clear" w:color="auto" w:fill="auto"/>
            <w:tcMar>
              <w:top w:w="15" w:type="dxa"/>
              <w:left w:w="15" w:type="dxa"/>
              <w:bottom w:w="0" w:type="dxa"/>
              <w:right w:w="15" w:type="dxa"/>
            </w:tcMar>
            <w:vAlign w:val="center"/>
            <w:hideMark/>
          </w:tcPr>
          <w:p w14:paraId="61EE083F" w14:textId="77777777" w:rsidR="007B3724" w:rsidRPr="00AE0EFF" w:rsidRDefault="007B3724" w:rsidP="005428F8">
            <w:pPr>
              <w:spacing w:after="0" w:line="360" w:lineRule="auto"/>
              <w:ind w:left="105"/>
              <w:textAlignment w:val="bottom"/>
              <w:rPr>
                <w:rFonts w:ascii="Times New Roman" w:eastAsia="Times New Roman" w:hAnsi="Times New Roman" w:cs="Times New Roman"/>
                <w:sz w:val="24"/>
                <w:szCs w:val="24"/>
                <w:lang w:val="en-IN" w:eastAsia="en-IN"/>
              </w:rPr>
            </w:pPr>
            <w:proofErr w:type="spellStart"/>
            <w:r w:rsidRPr="00AE0EFF">
              <w:rPr>
                <w:rFonts w:ascii="Times New Roman" w:hAnsi="Times New Roman" w:cs="Times New Roman"/>
                <w:sz w:val="24"/>
                <w:szCs w:val="24"/>
              </w:rPr>
              <w:t>Godipally</w:t>
            </w:r>
            <w:proofErr w:type="spellEnd"/>
            <w:r w:rsidRPr="00AE0EFF">
              <w:rPr>
                <w:rFonts w:ascii="Times New Roman" w:eastAsia="Times New Roman" w:hAnsi="Times New Roman" w:cs="Times New Roman"/>
                <w:bCs/>
                <w:kern w:val="24"/>
                <w:sz w:val="24"/>
                <w:szCs w:val="24"/>
                <w:lang w:val="en-IN" w:eastAsia="en-IN"/>
              </w:rPr>
              <w:t xml:space="preserve"> , </w:t>
            </w:r>
            <w:proofErr w:type="spellStart"/>
            <w:r w:rsidRPr="00AE0EFF">
              <w:rPr>
                <w:rFonts w:ascii="Times New Roman" w:eastAsia="Times New Roman" w:hAnsi="Times New Roman" w:cs="Times New Roman"/>
                <w:bCs/>
                <w:kern w:val="24"/>
                <w:sz w:val="24"/>
                <w:szCs w:val="24"/>
                <w:lang w:val="en-IN" w:eastAsia="en-IN"/>
              </w:rPr>
              <w:t>Nayagarh</w:t>
            </w:r>
            <w:proofErr w:type="spellEnd"/>
            <w:r w:rsidRPr="00AE0EFF">
              <w:rPr>
                <w:rFonts w:ascii="Times New Roman" w:eastAsia="Times New Roman" w:hAnsi="Times New Roman" w:cs="Times New Roman"/>
                <w:bCs/>
                <w:kern w:val="24"/>
                <w:sz w:val="24"/>
                <w:szCs w:val="24"/>
                <w:lang w:val="en-IN" w:eastAsia="en-IN"/>
              </w:rPr>
              <w:t>, Odisha</w:t>
            </w:r>
          </w:p>
        </w:tc>
      </w:tr>
      <w:tr w:rsidR="007B3724" w:rsidRPr="00AE0EFF" w14:paraId="77CA8EAA" w14:textId="77777777" w:rsidTr="005428F8">
        <w:trPr>
          <w:trHeight w:val="397"/>
        </w:trPr>
        <w:tc>
          <w:tcPr>
            <w:tcW w:w="873" w:type="dxa"/>
            <w:shd w:val="clear" w:color="auto" w:fill="auto"/>
            <w:tcMar>
              <w:top w:w="15" w:type="dxa"/>
              <w:left w:w="15" w:type="dxa"/>
              <w:bottom w:w="0" w:type="dxa"/>
              <w:right w:w="15" w:type="dxa"/>
            </w:tcMar>
            <w:vAlign w:val="center"/>
            <w:hideMark/>
          </w:tcPr>
          <w:p w14:paraId="5A124F58" w14:textId="77777777" w:rsidR="007B3724" w:rsidRPr="00AE0EFF" w:rsidRDefault="007B3724" w:rsidP="00B97F3F">
            <w:pPr>
              <w:spacing w:after="0" w:line="360" w:lineRule="auto"/>
              <w:ind w:left="-882" w:firstLine="1024"/>
              <w:jc w:val="center"/>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V5</w:t>
            </w:r>
          </w:p>
        </w:tc>
        <w:tc>
          <w:tcPr>
            <w:tcW w:w="2502" w:type="dxa"/>
            <w:shd w:val="clear" w:color="auto" w:fill="auto"/>
            <w:tcMar>
              <w:top w:w="15" w:type="dxa"/>
              <w:left w:w="15" w:type="dxa"/>
              <w:bottom w:w="0" w:type="dxa"/>
              <w:right w:w="15" w:type="dxa"/>
            </w:tcMar>
            <w:vAlign w:val="center"/>
          </w:tcPr>
          <w:p w14:paraId="0B7AC0DC" w14:textId="77777777" w:rsidR="007B3724" w:rsidRPr="00AE0EFF" w:rsidRDefault="007B3724" w:rsidP="00B97F3F">
            <w:pPr>
              <w:spacing w:after="0" w:line="360" w:lineRule="auto"/>
              <w:ind w:left="-1040" w:firstLine="1166"/>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Farmer’s variety</w:t>
            </w:r>
          </w:p>
        </w:tc>
        <w:tc>
          <w:tcPr>
            <w:tcW w:w="2474" w:type="dxa"/>
            <w:shd w:val="clear" w:color="auto" w:fill="auto"/>
            <w:tcMar>
              <w:top w:w="15" w:type="dxa"/>
              <w:left w:w="15" w:type="dxa"/>
              <w:bottom w:w="0" w:type="dxa"/>
              <w:right w:w="15" w:type="dxa"/>
            </w:tcMar>
            <w:vAlign w:val="center"/>
            <w:hideMark/>
          </w:tcPr>
          <w:p w14:paraId="7F455BE2" w14:textId="77777777" w:rsidR="007B3724" w:rsidRPr="00AE0EFF" w:rsidRDefault="007B3724" w:rsidP="00B97F3F">
            <w:pPr>
              <w:spacing w:after="0" w:line="360" w:lineRule="auto"/>
              <w:ind w:left="-1040" w:right="127" w:firstLine="1167"/>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GV-3 (P-3)</w:t>
            </w:r>
          </w:p>
        </w:tc>
        <w:tc>
          <w:tcPr>
            <w:tcW w:w="3522" w:type="dxa"/>
            <w:shd w:val="clear" w:color="auto" w:fill="auto"/>
            <w:tcMar>
              <w:top w:w="15" w:type="dxa"/>
              <w:left w:w="15" w:type="dxa"/>
              <w:bottom w:w="0" w:type="dxa"/>
              <w:right w:w="15" w:type="dxa"/>
            </w:tcMar>
            <w:vAlign w:val="center"/>
            <w:hideMark/>
          </w:tcPr>
          <w:p w14:paraId="22E2F480" w14:textId="77777777" w:rsidR="007B3724" w:rsidRPr="00AE0EFF" w:rsidRDefault="007B3724" w:rsidP="005428F8">
            <w:pPr>
              <w:spacing w:after="0" w:line="360" w:lineRule="auto"/>
              <w:ind w:left="105"/>
              <w:textAlignment w:val="center"/>
              <w:rPr>
                <w:rFonts w:ascii="Times New Roman" w:eastAsia="Times New Roman" w:hAnsi="Times New Roman" w:cs="Times New Roman"/>
                <w:sz w:val="24"/>
                <w:szCs w:val="24"/>
                <w:lang w:val="en-IN" w:eastAsia="en-IN"/>
              </w:rPr>
            </w:pPr>
            <w:r w:rsidRPr="00AE0EFF">
              <w:rPr>
                <w:rFonts w:ascii="Times New Roman" w:eastAsia="Times New Roman" w:hAnsi="Times New Roman" w:cs="Times New Roman"/>
                <w:bCs/>
                <w:kern w:val="24"/>
                <w:sz w:val="24"/>
                <w:szCs w:val="24"/>
                <w:lang w:val="en-IN" w:eastAsia="en-IN"/>
              </w:rPr>
              <w:t>OUAT, Bhubaneswar</w:t>
            </w:r>
          </w:p>
        </w:tc>
      </w:tr>
    </w:tbl>
    <w:p w14:paraId="30D00A7E" w14:textId="77777777" w:rsidR="007B3724" w:rsidRPr="00984CB1" w:rsidRDefault="007B3724" w:rsidP="00EA2D24">
      <w:pPr>
        <w:spacing w:before="240" w:after="0" w:line="360" w:lineRule="auto"/>
        <w:rPr>
          <w:rFonts w:ascii="Times New Roman" w:hAnsi="Times New Roman" w:cs="Times New Roman"/>
          <w:b/>
          <w:color w:val="000000" w:themeColor="text1"/>
          <w:sz w:val="24"/>
          <w:szCs w:val="24"/>
        </w:rPr>
      </w:pPr>
      <w:r w:rsidRPr="00984CB1">
        <w:rPr>
          <w:rFonts w:ascii="Times New Roman" w:hAnsi="Times New Roman" w:cs="Times New Roman"/>
          <w:b/>
          <w:color w:val="000000" w:themeColor="text1"/>
          <w:sz w:val="24"/>
          <w:szCs w:val="24"/>
        </w:rPr>
        <w:t>RESULT AND DISCUSSION</w:t>
      </w:r>
    </w:p>
    <w:p w14:paraId="382F4BA1" w14:textId="24AAAE88" w:rsidR="007B3724" w:rsidRPr="00AE0EFF" w:rsidRDefault="007B3724" w:rsidP="00131BC5">
      <w:pPr>
        <w:spacing w:line="360" w:lineRule="auto"/>
        <w:ind w:firstLine="709"/>
        <w:jc w:val="both"/>
        <w:rPr>
          <w:rFonts w:ascii="Times New Roman" w:hAnsi="Times New Roman" w:cs="Times New Roman"/>
          <w:sz w:val="24"/>
          <w:szCs w:val="24"/>
        </w:rPr>
      </w:pPr>
      <w:r w:rsidRPr="00AE0EFF">
        <w:rPr>
          <w:rFonts w:ascii="Times New Roman" w:hAnsi="Times New Roman" w:cs="Times New Roman"/>
          <w:sz w:val="24"/>
          <w:szCs w:val="24"/>
        </w:rPr>
        <w:t xml:space="preserve">ANOVA (Analysis of Variance) revealed significant differences among the genotypes, stages of development and </w:t>
      </w:r>
      <w:r w:rsidR="000B03D1">
        <w:rPr>
          <w:rFonts w:ascii="Times New Roman" w:hAnsi="Times New Roman" w:cs="Times New Roman"/>
          <w:sz w:val="24"/>
          <w:szCs w:val="24"/>
        </w:rPr>
        <w:t>their</w:t>
      </w:r>
      <w:r w:rsidR="000B03D1" w:rsidRPr="00AE0EFF">
        <w:rPr>
          <w:rFonts w:ascii="Times New Roman" w:hAnsi="Times New Roman" w:cs="Times New Roman"/>
          <w:sz w:val="24"/>
          <w:szCs w:val="24"/>
        </w:rPr>
        <w:t xml:space="preserve"> </w:t>
      </w:r>
      <w:r w:rsidRPr="00AE0EFF">
        <w:rPr>
          <w:rFonts w:ascii="Times New Roman" w:hAnsi="Times New Roman" w:cs="Times New Roman"/>
          <w:sz w:val="24"/>
          <w:szCs w:val="24"/>
        </w:rPr>
        <w:t xml:space="preserve">interaction for most of the characters studied. The farmer’s variety (GV-3) exceeded other genotypes in all characteristics except seed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index-II where the maximum value was observed by genotype-3 (OBGG-102).</w:t>
      </w:r>
    </w:p>
    <w:p w14:paraId="097540C0" w14:textId="4A630AD7" w:rsidR="00DF5897" w:rsidRPr="00AE0EFF" w:rsidRDefault="00DF5897" w:rsidP="00DF5897">
      <w:pPr>
        <w:spacing w:after="0"/>
        <w:ind w:left="709" w:hanging="851"/>
        <w:rPr>
          <w:rFonts w:ascii="Times New Roman" w:hAnsi="Times New Roman" w:cs="Times New Roman"/>
          <w:b/>
          <w:sz w:val="24"/>
          <w:szCs w:val="24"/>
        </w:rPr>
      </w:pPr>
      <w:r w:rsidRPr="00AE0EFF">
        <w:rPr>
          <w:rFonts w:ascii="Times New Roman" w:hAnsi="Times New Roman" w:cs="Times New Roman"/>
          <w:b/>
          <w:sz w:val="24"/>
          <w:szCs w:val="24"/>
        </w:rPr>
        <w:t>Table</w:t>
      </w:r>
      <w:r w:rsidR="00EB2583">
        <w:rPr>
          <w:rFonts w:ascii="Times New Roman" w:hAnsi="Times New Roman" w:cs="Times New Roman"/>
          <w:b/>
          <w:sz w:val="24"/>
          <w:szCs w:val="24"/>
        </w:rPr>
        <w:t>2</w:t>
      </w:r>
      <w:r w:rsidRPr="00AE0EFF">
        <w:rPr>
          <w:rFonts w:ascii="Times New Roman" w:hAnsi="Times New Roman" w:cs="Times New Roman"/>
          <w:b/>
          <w:sz w:val="24"/>
          <w:szCs w:val="24"/>
        </w:rPr>
        <w:t xml:space="preserve">. Pod and seed development parameters at different maturity stages from 7 to 35 </w:t>
      </w:r>
      <w:r w:rsidR="00131BC5" w:rsidRPr="00AE0EFF">
        <w:rPr>
          <w:rFonts w:ascii="Times New Roman" w:hAnsi="Times New Roman" w:cs="Times New Roman"/>
          <w:b/>
          <w:sz w:val="24"/>
          <w:szCs w:val="24"/>
        </w:rPr>
        <w:t>D</w:t>
      </w:r>
      <w:r w:rsidRPr="00AE0EFF">
        <w:rPr>
          <w:rFonts w:ascii="Times New Roman" w:hAnsi="Times New Roman" w:cs="Times New Roman"/>
          <w:b/>
          <w:sz w:val="24"/>
          <w:szCs w:val="24"/>
        </w:rPr>
        <w:t xml:space="preserve">ays </w:t>
      </w:r>
      <w:r w:rsidR="00131BC5" w:rsidRPr="00AE0EFF">
        <w:rPr>
          <w:rFonts w:ascii="Times New Roman" w:hAnsi="Times New Roman" w:cs="Times New Roman"/>
          <w:b/>
          <w:sz w:val="24"/>
          <w:szCs w:val="24"/>
        </w:rPr>
        <w:t>A</w:t>
      </w:r>
      <w:r w:rsidRPr="00AE0EFF">
        <w:rPr>
          <w:rFonts w:ascii="Times New Roman" w:hAnsi="Times New Roman" w:cs="Times New Roman"/>
          <w:b/>
          <w:sz w:val="24"/>
          <w:szCs w:val="24"/>
        </w:rPr>
        <w:t xml:space="preserve">fter </w:t>
      </w:r>
      <w:r w:rsidR="00131BC5" w:rsidRPr="00AE0EFF">
        <w:rPr>
          <w:rFonts w:ascii="Times New Roman" w:hAnsi="Times New Roman" w:cs="Times New Roman"/>
          <w:b/>
          <w:sz w:val="24"/>
          <w:szCs w:val="24"/>
        </w:rPr>
        <w:t>A</w:t>
      </w:r>
      <w:r w:rsidRPr="00AE0EFF">
        <w:rPr>
          <w:rFonts w:ascii="Times New Roman" w:hAnsi="Times New Roman" w:cs="Times New Roman"/>
          <w:b/>
          <w:sz w:val="24"/>
          <w:szCs w:val="24"/>
        </w:rPr>
        <w:t xml:space="preserve">nthesis (DAA) for 5 different genotypes of </w:t>
      </w:r>
      <w:proofErr w:type="spellStart"/>
      <w:r w:rsidRPr="00AE0EFF">
        <w:rPr>
          <w:rFonts w:ascii="Times New Roman" w:hAnsi="Times New Roman" w:cs="Times New Roman"/>
          <w:b/>
          <w:sz w:val="24"/>
          <w:szCs w:val="24"/>
        </w:rPr>
        <w:t>Greengram</w:t>
      </w:r>
      <w:proofErr w:type="spellEnd"/>
    </w:p>
    <w:tbl>
      <w:tblPr>
        <w:tblStyle w:val="TableGrid"/>
        <w:tblW w:w="9464" w:type="dxa"/>
        <w:tblLayout w:type="fixed"/>
        <w:tblLook w:val="04A0" w:firstRow="1" w:lastRow="0" w:firstColumn="1" w:lastColumn="0" w:noHBand="0" w:noVBand="1"/>
      </w:tblPr>
      <w:tblGrid>
        <w:gridCol w:w="817"/>
        <w:gridCol w:w="992"/>
        <w:gridCol w:w="993"/>
        <w:gridCol w:w="1016"/>
        <w:gridCol w:w="826"/>
        <w:gridCol w:w="1134"/>
        <w:gridCol w:w="1134"/>
        <w:gridCol w:w="1134"/>
        <w:gridCol w:w="1418"/>
      </w:tblGrid>
      <w:tr w:rsidR="00DF5897" w:rsidRPr="00AE0EFF" w14:paraId="1FD4444E" w14:textId="77777777" w:rsidTr="00DF5897">
        <w:trPr>
          <w:trHeight w:val="941"/>
        </w:trPr>
        <w:tc>
          <w:tcPr>
            <w:tcW w:w="817" w:type="dxa"/>
          </w:tcPr>
          <w:p w14:paraId="7241B06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Genotypes</w:t>
            </w:r>
          </w:p>
        </w:tc>
        <w:tc>
          <w:tcPr>
            <w:tcW w:w="992" w:type="dxa"/>
          </w:tcPr>
          <w:p w14:paraId="5D188700"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DAA</w:t>
            </w:r>
          </w:p>
          <w:p w14:paraId="10FFFE51" w14:textId="77777777" w:rsidR="00DF5897" w:rsidRPr="00AE0EFF" w:rsidRDefault="00DF5897" w:rsidP="00DF5897">
            <w:pPr>
              <w:rPr>
                <w:rFonts w:ascii="Times New Roman" w:hAnsi="Times New Roman" w:cs="Times New Roman"/>
                <w:sz w:val="24"/>
                <w:szCs w:val="24"/>
              </w:rPr>
            </w:pPr>
          </w:p>
        </w:tc>
        <w:tc>
          <w:tcPr>
            <w:tcW w:w="993" w:type="dxa"/>
          </w:tcPr>
          <w:p w14:paraId="47CC31C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Pod length</w:t>
            </w:r>
          </w:p>
          <w:p w14:paraId="7F9F978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(mm)</w:t>
            </w:r>
          </w:p>
        </w:tc>
        <w:tc>
          <w:tcPr>
            <w:tcW w:w="1016" w:type="dxa"/>
          </w:tcPr>
          <w:p w14:paraId="288430B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Pod weight</w:t>
            </w:r>
          </w:p>
          <w:p w14:paraId="724EACA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(mg)</w:t>
            </w:r>
          </w:p>
        </w:tc>
        <w:tc>
          <w:tcPr>
            <w:tcW w:w="826" w:type="dxa"/>
          </w:tcPr>
          <w:p w14:paraId="4F43903D"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No of seed/pod</w:t>
            </w:r>
          </w:p>
        </w:tc>
        <w:tc>
          <w:tcPr>
            <w:tcW w:w="1134" w:type="dxa"/>
          </w:tcPr>
          <w:p w14:paraId="6E0145E8" w14:textId="77777777" w:rsidR="00DF5897" w:rsidRPr="00AE0EFF" w:rsidRDefault="00DF5897" w:rsidP="00DF5897">
            <w:pPr>
              <w:ind w:right="-108"/>
              <w:rPr>
                <w:rFonts w:ascii="Times New Roman" w:hAnsi="Times New Roman" w:cs="Times New Roman"/>
                <w:sz w:val="24"/>
                <w:szCs w:val="24"/>
              </w:rPr>
            </w:pPr>
            <w:r w:rsidRPr="00AE0EFF">
              <w:rPr>
                <w:rFonts w:ascii="Times New Roman" w:hAnsi="Times New Roman" w:cs="Times New Roman"/>
                <w:sz w:val="24"/>
                <w:szCs w:val="24"/>
              </w:rPr>
              <w:t>1000 seed weight (g)</w:t>
            </w:r>
          </w:p>
        </w:tc>
        <w:tc>
          <w:tcPr>
            <w:tcW w:w="1134" w:type="dxa"/>
          </w:tcPr>
          <w:p w14:paraId="41E3B5A4" w14:textId="77777777" w:rsidR="00DF5897" w:rsidRPr="00AE0EFF" w:rsidRDefault="00DF5897" w:rsidP="00DF5897">
            <w:pPr>
              <w:ind w:right="-108"/>
              <w:rPr>
                <w:rFonts w:ascii="Times New Roman" w:hAnsi="Times New Roman" w:cs="Times New Roman"/>
                <w:sz w:val="24"/>
                <w:szCs w:val="24"/>
              </w:rPr>
            </w:pPr>
            <w:r w:rsidRPr="00AE0EFF">
              <w:rPr>
                <w:rFonts w:ascii="Times New Roman" w:hAnsi="Times New Roman" w:cs="Times New Roman"/>
                <w:sz w:val="24"/>
                <w:szCs w:val="24"/>
              </w:rPr>
              <w:t>Seed fresh weight</w:t>
            </w:r>
          </w:p>
          <w:p w14:paraId="57BC1ED5" w14:textId="77777777" w:rsidR="00DF5897" w:rsidRPr="00AE0EFF" w:rsidRDefault="00DF5897" w:rsidP="00DF5897">
            <w:pPr>
              <w:ind w:right="-108"/>
              <w:rPr>
                <w:rFonts w:ascii="Times New Roman" w:hAnsi="Times New Roman" w:cs="Times New Roman"/>
                <w:sz w:val="24"/>
                <w:szCs w:val="24"/>
              </w:rPr>
            </w:pPr>
            <w:r w:rsidRPr="00AE0EFF">
              <w:rPr>
                <w:rFonts w:ascii="Times New Roman" w:hAnsi="Times New Roman" w:cs="Times New Roman"/>
                <w:sz w:val="24"/>
                <w:szCs w:val="24"/>
              </w:rPr>
              <w:t>(mg)</w:t>
            </w:r>
          </w:p>
        </w:tc>
        <w:tc>
          <w:tcPr>
            <w:tcW w:w="1134" w:type="dxa"/>
          </w:tcPr>
          <w:p w14:paraId="66F7AB7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Seed dry weight</w:t>
            </w:r>
          </w:p>
          <w:p w14:paraId="4678F4A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(mg)</w:t>
            </w:r>
          </w:p>
        </w:tc>
        <w:tc>
          <w:tcPr>
            <w:tcW w:w="1418" w:type="dxa"/>
          </w:tcPr>
          <w:p w14:paraId="294D9184" w14:textId="77777777" w:rsidR="00DF5897" w:rsidRPr="00AE0EFF" w:rsidRDefault="00DF5897" w:rsidP="00DF5897">
            <w:pPr>
              <w:ind w:right="-108"/>
              <w:rPr>
                <w:rFonts w:ascii="Times New Roman" w:hAnsi="Times New Roman" w:cs="Times New Roman"/>
                <w:sz w:val="24"/>
                <w:szCs w:val="24"/>
              </w:rPr>
            </w:pPr>
            <w:r w:rsidRPr="00AE0EFF">
              <w:rPr>
                <w:rFonts w:ascii="Times New Roman" w:hAnsi="Times New Roman" w:cs="Times New Roman"/>
                <w:sz w:val="24"/>
                <w:szCs w:val="24"/>
              </w:rPr>
              <w:t>Seed moisture content (%)</w:t>
            </w:r>
          </w:p>
        </w:tc>
      </w:tr>
      <w:tr w:rsidR="00DF5897" w:rsidRPr="00AE0EFF" w14:paraId="2F5BE325" w14:textId="77777777" w:rsidTr="00DF5897">
        <w:tc>
          <w:tcPr>
            <w:tcW w:w="817" w:type="dxa"/>
            <w:vMerge w:val="restart"/>
          </w:tcPr>
          <w:p w14:paraId="2D4D258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V1</w:t>
            </w:r>
          </w:p>
        </w:tc>
        <w:tc>
          <w:tcPr>
            <w:tcW w:w="992" w:type="dxa"/>
          </w:tcPr>
          <w:p w14:paraId="03A5609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w:t>
            </w:r>
          </w:p>
        </w:tc>
        <w:tc>
          <w:tcPr>
            <w:tcW w:w="993" w:type="dxa"/>
          </w:tcPr>
          <w:p w14:paraId="7A76812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30.45</w:t>
            </w:r>
          </w:p>
        </w:tc>
        <w:tc>
          <w:tcPr>
            <w:tcW w:w="1016" w:type="dxa"/>
          </w:tcPr>
          <w:p w14:paraId="2F4687C5"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145.25</w:t>
            </w:r>
          </w:p>
        </w:tc>
        <w:tc>
          <w:tcPr>
            <w:tcW w:w="826" w:type="dxa"/>
          </w:tcPr>
          <w:p w14:paraId="3FD3641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2BB4745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44DF21B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3F1D3E9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418" w:type="dxa"/>
          </w:tcPr>
          <w:p w14:paraId="5FF75A9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r>
      <w:tr w:rsidR="00DF5897" w:rsidRPr="00AE0EFF" w14:paraId="798D2FDF" w14:textId="77777777" w:rsidTr="00DF5897">
        <w:tc>
          <w:tcPr>
            <w:tcW w:w="817" w:type="dxa"/>
            <w:vMerge/>
          </w:tcPr>
          <w:p w14:paraId="7325DF6D" w14:textId="77777777" w:rsidR="00DF5897" w:rsidRPr="00AE0EFF" w:rsidRDefault="00DF5897" w:rsidP="00DF5897">
            <w:pPr>
              <w:rPr>
                <w:rFonts w:ascii="Times New Roman" w:hAnsi="Times New Roman" w:cs="Times New Roman"/>
                <w:sz w:val="24"/>
                <w:szCs w:val="24"/>
              </w:rPr>
            </w:pPr>
          </w:p>
        </w:tc>
        <w:tc>
          <w:tcPr>
            <w:tcW w:w="992" w:type="dxa"/>
          </w:tcPr>
          <w:p w14:paraId="0EF9426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w:t>
            </w:r>
          </w:p>
        </w:tc>
        <w:tc>
          <w:tcPr>
            <w:tcW w:w="993" w:type="dxa"/>
          </w:tcPr>
          <w:p w14:paraId="0B7508D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46.03</w:t>
            </w:r>
          </w:p>
        </w:tc>
        <w:tc>
          <w:tcPr>
            <w:tcW w:w="1016" w:type="dxa"/>
          </w:tcPr>
          <w:p w14:paraId="23DFF18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508.00</w:t>
            </w:r>
          </w:p>
        </w:tc>
        <w:tc>
          <w:tcPr>
            <w:tcW w:w="826" w:type="dxa"/>
          </w:tcPr>
          <w:p w14:paraId="614172F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4.11</w:t>
            </w:r>
          </w:p>
        </w:tc>
        <w:tc>
          <w:tcPr>
            <w:tcW w:w="1134" w:type="dxa"/>
          </w:tcPr>
          <w:p w14:paraId="26E4BDB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30.27</w:t>
            </w:r>
          </w:p>
        </w:tc>
        <w:tc>
          <w:tcPr>
            <w:tcW w:w="1134" w:type="dxa"/>
          </w:tcPr>
          <w:p w14:paraId="304F91C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370.15</w:t>
            </w:r>
          </w:p>
        </w:tc>
        <w:tc>
          <w:tcPr>
            <w:tcW w:w="1134" w:type="dxa"/>
          </w:tcPr>
          <w:p w14:paraId="7797D614"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108.45</w:t>
            </w:r>
          </w:p>
        </w:tc>
        <w:tc>
          <w:tcPr>
            <w:tcW w:w="1418" w:type="dxa"/>
          </w:tcPr>
          <w:p w14:paraId="16FCC13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69.13</w:t>
            </w:r>
          </w:p>
        </w:tc>
      </w:tr>
      <w:tr w:rsidR="00DF5897" w:rsidRPr="00AE0EFF" w14:paraId="20245891" w14:textId="77777777" w:rsidTr="00DF5897">
        <w:tc>
          <w:tcPr>
            <w:tcW w:w="817" w:type="dxa"/>
            <w:vMerge/>
          </w:tcPr>
          <w:p w14:paraId="3872767F" w14:textId="77777777" w:rsidR="00DF5897" w:rsidRPr="00AE0EFF" w:rsidRDefault="00DF5897" w:rsidP="00DF5897">
            <w:pPr>
              <w:rPr>
                <w:rFonts w:ascii="Times New Roman" w:hAnsi="Times New Roman" w:cs="Times New Roman"/>
                <w:sz w:val="24"/>
                <w:szCs w:val="24"/>
              </w:rPr>
            </w:pPr>
          </w:p>
        </w:tc>
        <w:tc>
          <w:tcPr>
            <w:tcW w:w="992" w:type="dxa"/>
          </w:tcPr>
          <w:p w14:paraId="1A38C2FA"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21</w:t>
            </w:r>
          </w:p>
        </w:tc>
        <w:tc>
          <w:tcPr>
            <w:tcW w:w="993" w:type="dxa"/>
          </w:tcPr>
          <w:p w14:paraId="0E9CA65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49.68</w:t>
            </w:r>
          </w:p>
        </w:tc>
        <w:tc>
          <w:tcPr>
            <w:tcW w:w="1016" w:type="dxa"/>
          </w:tcPr>
          <w:p w14:paraId="2AA565C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723.50</w:t>
            </w:r>
          </w:p>
        </w:tc>
        <w:tc>
          <w:tcPr>
            <w:tcW w:w="826" w:type="dxa"/>
          </w:tcPr>
          <w:p w14:paraId="263ED39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6.35</w:t>
            </w:r>
          </w:p>
        </w:tc>
        <w:tc>
          <w:tcPr>
            <w:tcW w:w="1134" w:type="dxa"/>
          </w:tcPr>
          <w:p w14:paraId="5348468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43.18</w:t>
            </w:r>
          </w:p>
        </w:tc>
        <w:tc>
          <w:tcPr>
            <w:tcW w:w="1134" w:type="dxa"/>
          </w:tcPr>
          <w:p w14:paraId="16C7BBB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414.20</w:t>
            </w:r>
          </w:p>
        </w:tc>
        <w:tc>
          <w:tcPr>
            <w:tcW w:w="1134" w:type="dxa"/>
          </w:tcPr>
          <w:p w14:paraId="0778EDD7"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165.80</w:t>
            </w:r>
          </w:p>
        </w:tc>
        <w:tc>
          <w:tcPr>
            <w:tcW w:w="1418" w:type="dxa"/>
          </w:tcPr>
          <w:p w14:paraId="454917D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57.15</w:t>
            </w:r>
          </w:p>
        </w:tc>
      </w:tr>
      <w:tr w:rsidR="00DF5897" w:rsidRPr="00AE0EFF" w14:paraId="296B6EA1" w14:textId="77777777" w:rsidTr="00DF5897">
        <w:tc>
          <w:tcPr>
            <w:tcW w:w="817" w:type="dxa"/>
            <w:vMerge/>
          </w:tcPr>
          <w:p w14:paraId="2D6674C4" w14:textId="77777777" w:rsidR="00DF5897" w:rsidRPr="00AE0EFF" w:rsidRDefault="00DF5897" w:rsidP="00DF5897">
            <w:pPr>
              <w:rPr>
                <w:rFonts w:ascii="Times New Roman" w:hAnsi="Times New Roman" w:cs="Times New Roman"/>
                <w:sz w:val="24"/>
                <w:szCs w:val="24"/>
              </w:rPr>
            </w:pPr>
          </w:p>
        </w:tc>
        <w:tc>
          <w:tcPr>
            <w:tcW w:w="992" w:type="dxa"/>
          </w:tcPr>
          <w:p w14:paraId="4E9A3E9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w:t>
            </w:r>
          </w:p>
        </w:tc>
        <w:tc>
          <w:tcPr>
            <w:tcW w:w="993" w:type="dxa"/>
          </w:tcPr>
          <w:p w14:paraId="0E61352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59.63</w:t>
            </w:r>
          </w:p>
        </w:tc>
        <w:tc>
          <w:tcPr>
            <w:tcW w:w="1016" w:type="dxa"/>
          </w:tcPr>
          <w:p w14:paraId="4241C9E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455.00</w:t>
            </w:r>
          </w:p>
        </w:tc>
        <w:tc>
          <w:tcPr>
            <w:tcW w:w="826" w:type="dxa"/>
          </w:tcPr>
          <w:p w14:paraId="70EB727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7.71</w:t>
            </w:r>
          </w:p>
        </w:tc>
        <w:tc>
          <w:tcPr>
            <w:tcW w:w="1134" w:type="dxa"/>
          </w:tcPr>
          <w:p w14:paraId="139421D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32.65</w:t>
            </w:r>
          </w:p>
        </w:tc>
        <w:tc>
          <w:tcPr>
            <w:tcW w:w="1134" w:type="dxa"/>
          </w:tcPr>
          <w:p w14:paraId="34E4104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360.38</w:t>
            </w:r>
          </w:p>
        </w:tc>
        <w:tc>
          <w:tcPr>
            <w:tcW w:w="1134" w:type="dxa"/>
          </w:tcPr>
          <w:p w14:paraId="2C502F7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243.93</w:t>
            </w:r>
          </w:p>
        </w:tc>
        <w:tc>
          <w:tcPr>
            <w:tcW w:w="1418" w:type="dxa"/>
          </w:tcPr>
          <w:p w14:paraId="1B3A5F6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30.10</w:t>
            </w:r>
          </w:p>
        </w:tc>
      </w:tr>
      <w:tr w:rsidR="00DF5897" w:rsidRPr="00AE0EFF" w14:paraId="12F6AA08" w14:textId="77777777" w:rsidTr="00DF5897">
        <w:tc>
          <w:tcPr>
            <w:tcW w:w="817" w:type="dxa"/>
            <w:vMerge/>
          </w:tcPr>
          <w:p w14:paraId="197FD967" w14:textId="77777777" w:rsidR="00DF5897" w:rsidRPr="00AE0EFF" w:rsidRDefault="00DF5897" w:rsidP="00DF5897">
            <w:pPr>
              <w:rPr>
                <w:rFonts w:ascii="Times New Roman" w:hAnsi="Times New Roman" w:cs="Times New Roman"/>
                <w:sz w:val="24"/>
                <w:szCs w:val="24"/>
              </w:rPr>
            </w:pPr>
          </w:p>
        </w:tc>
        <w:tc>
          <w:tcPr>
            <w:tcW w:w="992" w:type="dxa"/>
          </w:tcPr>
          <w:p w14:paraId="58C3FFC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w:t>
            </w:r>
          </w:p>
        </w:tc>
        <w:tc>
          <w:tcPr>
            <w:tcW w:w="993" w:type="dxa"/>
          </w:tcPr>
          <w:p w14:paraId="7237B04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61.27</w:t>
            </w:r>
          </w:p>
        </w:tc>
        <w:tc>
          <w:tcPr>
            <w:tcW w:w="1016" w:type="dxa"/>
          </w:tcPr>
          <w:p w14:paraId="5D72AF3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382.88</w:t>
            </w:r>
          </w:p>
        </w:tc>
        <w:tc>
          <w:tcPr>
            <w:tcW w:w="826" w:type="dxa"/>
          </w:tcPr>
          <w:p w14:paraId="13B7E08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7.45</w:t>
            </w:r>
          </w:p>
        </w:tc>
        <w:tc>
          <w:tcPr>
            <w:tcW w:w="1134" w:type="dxa"/>
          </w:tcPr>
          <w:p w14:paraId="102CE92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31.23</w:t>
            </w:r>
          </w:p>
        </w:tc>
        <w:tc>
          <w:tcPr>
            <w:tcW w:w="1134" w:type="dxa"/>
          </w:tcPr>
          <w:p w14:paraId="25F8E4F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322.03</w:t>
            </w:r>
          </w:p>
        </w:tc>
        <w:tc>
          <w:tcPr>
            <w:tcW w:w="1134" w:type="dxa"/>
          </w:tcPr>
          <w:p w14:paraId="5874BE3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265.20</w:t>
            </w:r>
          </w:p>
        </w:tc>
        <w:tc>
          <w:tcPr>
            <w:tcW w:w="1418" w:type="dxa"/>
          </w:tcPr>
          <w:p w14:paraId="11B2C9D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17.38</w:t>
            </w:r>
          </w:p>
        </w:tc>
      </w:tr>
      <w:tr w:rsidR="00DF5897" w:rsidRPr="00AE0EFF" w14:paraId="62A82F6E" w14:textId="77777777" w:rsidTr="00DF5897">
        <w:tc>
          <w:tcPr>
            <w:tcW w:w="817" w:type="dxa"/>
            <w:vMerge/>
          </w:tcPr>
          <w:p w14:paraId="1BE5B5B9" w14:textId="77777777" w:rsidR="00DF5897" w:rsidRPr="00AE0EFF" w:rsidRDefault="00DF5897" w:rsidP="00DF5897">
            <w:pPr>
              <w:rPr>
                <w:rFonts w:ascii="Times New Roman" w:hAnsi="Times New Roman" w:cs="Times New Roman"/>
                <w:sz w:val="24"/>
                <w:szCs w:val="24"/>
              </w:rPr>
            </w:pPr>
          </w:p>
        </w:tc>
        <w:tc>
          <w:tcPr>
            <w:tcW w:w="992" w:type="dxa"/>
          </w:tcPr>
          <w:p w14:paraId="5679324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Mean</w:t>
            </w:r>
          </w:p>
        </w:tc>
        <w:tc>
          <w:tcPr>
            <w:tcW w:w="993" w:type="dxa"/>
          </w:tcPr>
          <w:p w14:paraId="0289BC5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49.41</w:t>
            </w:r>
          </w:p>
        </w:tc>
        <w:tc>
          <w:tcPr>
            <w:tcW w:w="1016" w:type="dxa"/>
          </w:tcPr>
          <w:p w14:paraId="790BD99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442.93</w:t>
            </w:r>
          </w:p>
        </w:tc>
        <w:tc>
          <w:tcPr>
            <w:tcW w:w="826" w:type="dxa"/>
          </w:tcPr>
          <w:p w14:paraId="56A7F46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6.41</w:t>
            </w:r>
          </w:p>
        </w:tc>
        <w:tc>
          <w:tcPr>
            <w:tcW w:w="1134" w:type="dxa"/>
          </w:tcPr>
          <w:p w14:paraId="04576C1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34.33</w:t>
            </w:r>
          </w:p>
        </w:tc>
        <w:tc>
          <w:tcPr>
            <w:tcW w:w="1134" w:type="dxa"/>
          </w:tcPr>
          <w:p w14:paraId="28DA2D9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366.69</w:t>
            </w:r>
          </w:p>
        </w:tc>
        <w:tc>
          <w:tcPr>
            <w:tcW w:w="1134" w:type="dxa"/>
          </w:tcPr>
          <w:p w14:paraId="5514743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195.84</w:t>
            </w:r>
          </w:p>
        </w:tc>
        <w:tc>
          <w:tcPr>
            <w:tcW w:w="1418" w:type="dxa"/>
          </w:tcPr>
          <w:p w14:paraId="0CBA505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43.44</w:t>
            </w:r>
          </w:p>
        </w:tc>
      </w:tr>
      <w:tr w:rsidR="00DF5897" w:rsidRPr="00AE0EFF" w14:paraId="27FED288" w14:textId="77777777" w:rsidTr="00DF5897">
        <w:tc>
          <w:tcPr>
            <w:tcW w:w="817" w:type="dxa"/>
            <w:vMerge w:val="restart"/>
          </w:tcPr>
          <w:p w14:paraId="6930806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V2</w:t>
            </w:r>
          </w:p>
        </w:tc>
        <w:tc>
          <w:tcPr>
            <w:tcW w:w="992" w:type="dxa"/>
          </w:tcPr>
          <w:p w14:paraId="04BAC96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w:t>
            </w:r>
          </w:p>
        </w:tc>
        <w:tc>
          <w:tcPr>
            <w:tcW w:w="993" w:type="dxa"/>
          </w:tcPr>
          <w:p w14:paraId="0CCD7A65"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33.95</w:t>
            </w:r>
          </w:p>
        </w:tc>
        <w:tc>
          <w:tcPr>
            <w:tcW w:w="1016" w:type="dxa"/>
          </w:tcPr>
          <w:p w14:paraId="41DD1F7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144.25</w:t>
            </w:r>
          </w:p>
        </w:tc>
        <w:tc>
          <w:tcPr>
            <w:tcW w:w="826" w:type="dxa"/>
          </w:tcPr>
          <w:p w14:paraId="5B0D5A4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2A4DDA52"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07BD44E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0309D00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418" w:type="dxa"/>
          </w:tcPr>
          <w:p w14:paraId="2A7D67A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r>
      <w:tr w:rsidR="00DF5897" w:rsidRPr="00AE0EFF" w14:paraId="6EF2BE05" w14:textId="77777777" w:rsidTr="00DF5897">
        <w:tc>
          <w:tcPr>
            <w:tcW w:w="817" w:type="dxa"/>
            <w:vMerge/>
          </w:tcPr>
          <w:p w14:paraId="75DF79DA" w14:textId="77777777" w:rsidR="00DF5897" w:rsidRPr="00AE0EFF" w:rsidRDefault="00DF5897" w:rsidP="00DF5897">
            <w:pPr>
              <w:rPr>
                <w:rFonts w:ascii="Times New Roman" w:hAnsi="Times New Roman" w:cs="Times New Roman"/>
                <w:sz w:val="24"/>
                <w:szCs w:val="24"/>
              </w:rPr>
            </w:pPr>
          </w:p>
        </w:tc>
        <w:tc>
          <w:tcPr>
            <w:tcW w:w="992" w:type="dxa"/>
          </w:tcPr>
          <w:p w14:paraId="1952A73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w:t>
            </w:r>
          </w:p>
        </w:tc>
        <w:tc>
          <w:tcPr>
            <w:tcW w:w="993" w:type="dxa"/>
          </w:tcPr>
          <w:p w14:paraId="12E5CF1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49.28</w:t>
            </w:r>
          </w:p>
        </w:tc>
        <w:tc>
          <w:tcPr>
            <w:tcW w:w="1016" w:type="dxa"/>
          </w:tcPr>
          <w:p w14:paraId="15472EC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572.00</w:t>
            </w:r>
          </w:p>
        </w:tc>
        <w:tc>
          <w:tcPr>
            <w:tcW w:w="826" w:type="dxa"/>
          </w:tcPr>
          <w:p w14:paraId="66D963D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6.23</w:t>
            </w:r>
          </w:p>
        </w:tc>
        <w:tc>
          <w:tcPr>
            <w:tcW w:w="1134" w:type="dxa"/>
          </w:tcPr>
          <w:p w14:paraId="3CD77AF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37.06</w:t>
            </w:r>
          </w:p>
        </w:tc>
        <w:tc>
          <w:tcPr>
            <w:tcW w:w="1134" w:type="dxa"/>
          </w:tcPr>
          <w:p w14:paraId="3194D2A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433.65</w:t>
            </w:r>
          </w:p>
        </w:tc>
        <w:tc>
          <w:tcPr>
            <w:tcW w:w="1134" w:type="dxa"/>
          </w:tcPr>
          <w:p w14:paraId="3562661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116.15</w:t>
            </w:r>
          </w:p>
        </w:tc>
        <w:tc>
          <w:tcPr>
            <w:tcW w:w="1418" w:type="dxa"/>
          </w:tcPr>
          <w:p w14:paraId="1AF2C81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73.80</w:t>
            </w:r>
          </w:p>
        </w:tc>
      </w:tr>
      <w:tr w:rsidR="00DF5897" w:rsidRPr="00AE0EFF" w14:paraId="6BCDF3FE" w14:textId="77777777" w:rsidTr="00DF5897">
        <w:tc>
          <w:tcPr>
            <w:tcW w:w="817" w:type="dxa"/>
            <w:vMerge/>
          </w:tcPr>
          <w:p w14:paraId="7170B156" w14:textId="77777777" w:rsidR="00DF5897" w:rsidRPr="00AE0EFF" w:rsidRDefault="00DF5897" w:rsidP="00DF5897">
            <w:pPr>
              <w:rPr>
                <w:rFonts w:ascii="Times New Roman" w:hAnsi="Times New Roman" w:cs="Times New Roman"/>
                <w:sz w:val="24"/>
                <w:szCs w:val="24"/>
              </w:rPr>
            </w:pPr>
          </w:p>
        </w:tc>
        <w:tc>
          <w:tcPr>
            <w:tcW w:w="992" w:type="dxa"/>
          </w:tcPr>
          <w:p w14:paraId="0B50234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21</w:t>
            </w:r>
          </w:p>
        </w:tc>
        <w:tc>
          <w:tcPr>
            <w:tcW w:w="993" w:type="dxa"/>
          </w:tcPr>
          <w:p w14:paraId="1C656DE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58.95</w:t>
            </w:r>
          </w:p>
        </w:tc>
        <w:tc>
          <w:tcPr>
            <w:tcW w:w="1016" w:type="dxa"/>
          </w:tcPr>
          <w:p w14:paraId="7A36D37E"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792.25</w:t>
            </w:r>
          </w:p>
        </w:tc>
        <w:tc>
          <w:tcPr>
            <w:tcW w:w="826" w:type="dxa"/>
          </w:tcPr>
          <w:p w14:paraId="245C840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9.33</w:t>
            </w:r>
          </w:p>
        </w:tc>
        <w:tc>
          <w:tcPr>
            <w:tcW w:w="1134" w:type="dxa"/>
          </w:tcPr>
          <w:p w14:paraId="0C41F91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52.88</w:t>
            </w:r>
          </w:p>
        </w:tc>
        <w:tc>
          <w:tcPr>
            <w:tcW w:w="1134" w:type="dxa"/>
          </w:tcPr>
          <w:p w14:paraId="59FE3E4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565.65</w:t>
            </w:r>
          </w:p>
        </w:tc>
        <w:tc>
          <w:tcPr>
            <w:tcW w:w="1134" w:type="dxa"/>
          </w:tcPr>
          <w:p w14:paraId="09A6F4F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200.68</w:t>
            </w:r>
          </w:p>
        </w:tc>
        <w:tc>
          <w:tcPr>
            <w:tcW w:w="1418" w:type="dxa"/>
          </w:tcPr>
          <w:p w14:paraId="651182A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63.15</w:t>
            </w:r>
          </w:p>
        </w:tc>
      </w:tr>
      <w:tr w:rsidR="00DF5897" w:rsidRPr="00AE0EFF" w14:paraId="21F10940" w14:textId="77777777" w:rsidTr="00DF5897">
        <w:tc>
          <w:tcPr>
            <w:tcW w:w="817" w:type="dxa"/>
            <w:vMerge/>
          </w:tcPr>
          <w:p w14:paraId="5716415F" w14:textId="77777777" w:rsidR="00DF5897" w:rsidRPr="00AE0EFF" w:rsidRDefault="00DF5897" w:rsidP="00DF5897">
            <w:pPr>
              <w:rPr>
                <w:rFonts w:ascii="Times New Roman" w:hAnsi="Times New Roman" w:cs="Times New Roman"/>
                <w:sz w:val="24"/>
                <w:szCs w:val="24"/>
              </w:rPr>
            </w:pPr>
          </w:p>
        </w:tc>
        <w:tc>
          <w:tcPr>
            <w:tcW w:w="992" w:type="dxa"/>
          </w:tcPr>
          <w:p w14:paraId="0BD6BB2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w:t>
            </w:r>
          </w:p>
        </w:tc>
        <w:tc>
          <w:tcPr>
            <w:tcW w:w="993" w:type="dxa"/>
          </w:tcPr>
          <w:p w14:paraId="47D647E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62.03</w:t>
            </w:r>
          </w:p>
        </w:tc>
        <w:tc>
          <w:tcPr>
            <w:tcW w:w="1016" w:type="dxa"/>
          </w:tcPr>
          <w:p w14:paraId="0291D52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453.25</w:t>
            </w:r>
          </w:p>
        </w:tc>
        <w:tc>
          <w:tcPr>
            <w:tcW w:w="826" w:type="dxa"/>
          </w:tcPr>
          <w:p w14:paraId="2FABA172"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9.64</w:t>
            </w:r>
          </w:p>
        </w:tc>
        <w:tc>
          <w:tcPr>
            <w:tcW w:w="1134" w:type="dxa"/>
          </w:tcPr>
          <w:p w14:paraId="665D6F8D"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39.93</w:t>
            </w:r>
          </w:p>
        </w:tc>
        <w:tc>
          <w:tcPr>
            <w:tcW w:w="1134" w:type="dxa"/>
          </w:tcPr>
          <w:p w14:paraId="298D5C9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482.50</w:t>
            </w:r>
          </w:p>
        </w:tc>
        <w:tc>
          <w:tcPr>
            <w:tcW w:w="1134" w:type="dxa"/>
          </w:tcPr>
          <w:p w14:paraId="2F26346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320.78</w:t>
            </w:r>
          </w:p>
        </w:tc>
        <w:tc>
          <w:tcPr>
            <w:tcW w:w="1418" w:type="dxa"/>
          </w:tcPr>
          <w:p w14:paraId="67B4E63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34.08</w:t>
            </w:r>
          </w:p>
        </w:tc>
      </w:tr>
      <w:tr w:rsidR="00DF5897" w:rsidRPr="00AE0EFF" w14:paraId="7F0A1F70" w14:textId="77777777" w:rsidTr="00DF5897">
        <w:tc>
          <w:tcPr>
            <w:tcW w:w="817" w:type="dxa"/>
            <w:vMerge/>
          </w:tcPr>
          <w:p w14:paraId="36FCAF59" w14:textId="77777777" w:rsidR="00DF5897" w:rsidRPr="00AE0EFF" w:rsidRDefault="00DF5897" w:rsidP="00DF5897">
            <w:pPr>
              <w:rPr>
                <w:rFonts w:ascii="Times New Roman" w:hAnsi="Times New Roman" w:cs="Times New Roman"/>
                <w:sz w:val="24"/>
                <w:szCs w:val="24"/>
              </w:rPr>
            </w:pPr>
          </w:p>
        </w:tc>
        <w:tc>
          <w:tcPr>
            <w:tcW w:w="992" w:type="dxa"/>
          </w:tcPr>
          <w:p w14:paraId="16DFADA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w:t>
            </w:r>
          </w:p>
        </w:tc>
        <w:tc>
          <w:tcPr>
            <w:tcW w:w="993" w:type="dxa"/>
          </w:tcPr>
          <w:p w14:paraId="1E1645C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65.88</w:t>
            </w:r>
          </w:p>
        </w:tc>
        <w:tc>
          <w:tcPr>
            <w:tcW w:w="1016" w:type="dxa"/>
          </w:tcPr>
          <w:p w14:paraId="577F8FC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357.01</w:t>
            </w:r>
          </w:p>
        </w:tc>
        <w:tc>
          <w:tcPr>
            <w:tcW w:w="826" w:type="dxa"/>
          </w:tcPr>
          <w:p w14:paraId="53BC814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10.60</w:t>
            </w:r>
          </w:p>
        </w:tc>
        <w:tc>
          <w:tcPr>
            <w:tcW w:w="1134" w:type="dxa"/>
          </w:tcPr>
          <w:p w14:paraId="01B7E6B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33.68</w:t>
            </w:r>
          </w:p>
        </w:tc>
        <w:tc>
          <w:tcPr>
            <w:tcW w:w="1134" w:type="dxa"/>
          </w:tcPr>
          <w:p w14:paraId="071AF29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327.35</w:t>
            </w:r>
          </w:p>
        </w:tc>
        <w:tc>
          <w:tcPr>
            <w:tcW w:w="1134" w:type="dxa"/>
          </w:tcPr>
          <w:p w14:paraId="2FD96B3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260.45</w:t>
            </w:r>
          </w:p>
        </w:tc>
        <w:tc>
          <w:tcPr>
            <w:tcW w:w="1418" w:type="dxa"/>
          </w:tcPr>
          <w:p w14:paraId="42F2FE14"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19.26</w:t>
            </w:r>
          </w:p>
        </w:tc>
      </w:tr>
      <w:tr w:rsidR="00DF5897" w:rsidRPr="00AE0EFF" w14:paraId="135EAC23" w14:textId="77777777" w:rsidTr="00DF5897">
        <w:tc>
          <w:tcPr>
            <w:tcW w:w="817" w:type="dxa"/>
            <w:vMerge/>
          </w:tcPr>
          <w:p w14:paraId="42650FDC" w14:textId="77777777" w:rsidR="00DF5897" w:rsidRPr="00AE0EFF" w:rsidRDefault="00DF5897" w:rsidP="00DF5897">
            <w:pPr>
              <w:rPr>
                <w:rFonts w:ascii="Times New Roman" w:hAnsi="Times New Roman" w:cs="Times New Roman"/>
                <w:sz w:val="24"/>
                <w:szCs w:val="24"/>
              </w:rPr>
            </w:pPr>
          </w:p>
        </w:tc>
        <w:tc>
          <w:tcPr>
            <w:tcW w:w="992" w:type="dxa"/>
          </w:tcPr>
          <w:p w14:paraId="3A1E54A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Mean</w:t>
            </w:r>
          </w:p>
        </w:tc>
        <w:tc>
          <w:tcPr>
            <w:tcW w:w="993" w:type="dxa"/>
          </w:tcPr>
          <w:p w14:paraId="38A2231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54.02</w:t>
            </w:r>
          </w:p>
        </w:tc>
        <w:tc>
          <w:tcPr>
            <w:tcW w:w="1016" w:type="dxa"/>
          </w:tcPr>
          <w:p w14:paraId="3F2931C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463.75</w:t>
            </w:r>
          </w:p>
        </w:tc>
        <w:tc>
          <w:tcPr>
            <w:tcW w:w="826" w:type="dxa"/>
          </w:tcPr>
          <w:p w14:paraId="2A68566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8.95</w:t>
            </w:r>
          </w:p>
        </w:tc>
        <w:tc>
          <w:tcPr>
            <w:tcW w:w="1134" w:type="dxa"/>
          </w:tcPr>
          <w:p w14:paraId="7FC7411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40.89</w:t>
            </w:r>
          </w:p>
        </w:tc>
        <w:tc>
          <w:tcPr>
            <w:tcW w:w="1134" w:type="dxa"/>
          </w:tcPr>
          <w:p w14:paraId="1A1A39B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452.29</w:t>
            </w:r>
          </w:p>
        </w:tc>
        <w:tc>
          <w:tcPr>
            <w:tcW w:w="1134" w:type="dxa"/>
          </w:tcPr>
          <w:p w14:paraId="7B24502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224.51</w:t>
            </w:r>
          </w:p>
        </w:tc>
        <w:tc>
          <w:tcPr>
            <w:tcW w:w="1418" w:type="dxa"/>
          </w:tcPr>
          <w:p w14:paraId="3B24F1D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47.57</w:t>
            </w:r>
          </w:p>
        </w:tc>
      </w:tr>
      <w:tr w:rsidR="00DF5897" w:rsidRPr="00AE0EFF" w14:paraId="7052430B" w14:textId="77777777" w:rsidTr="00DF5897">
        <w:tc>
          <w:tcPr>
            <w:tcW w:w="817" w:type="dxa"/>
            <w:vMerge w:val="restart"/>
          </w:tcPr>
          <w:p w14:paraId="31FE64D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V3</w:t>
            </w:r>
          </w:p>
        </w:tc>
        <w:tc>
          <w:tcPr>
            <w:tcW w:w="992" w:type="dxa"/>
          </w:tcPr>
          <w:p w14:paraId="076ECFA4"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w:t>
            </w:r>
          </w:p>
        </w:tc>
        <w:tc>
          <w:tcPr>
            <w:tcW w:w="993" w:type="dxa"/>
          </w:tcPr>
          <w:p w14:paraId="41208A0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30.30</w:t>
            </w:r>
          </w:p>
        </w:tc>
        <w:tc>
          <w:tcPr>
            <w:tcW w:w="1016" w:type="dxa"/>
          </w:tcPr>
          <w:p w14:paraId="185B813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140.00</w:t>
            </w:r>
          </w:p>
        </w:tc>
        <w:tc>
          <w:tcPr>
            <w:tcW w:w="826" w:type="dxa"/>
          </w:tcPr>
          <w:p w14:paraId="0978D295"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7B33490F"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7986C7B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42A8E70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418" w:type="dxa"/>
          </w:tcPr>
          <w:p w14:paraId="64B4349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r>
      <w:tr w:rsidR="00DF5897" w:rsidRPr="00AE0EFF" w14:paraId="2D5B923F" w14:textId="77777777" w:rsidTr="00DF5897">
        <w:tc>
          <w:tcPr>
            <w:tcW w:w="817" w:type="dxa"/>
            <w:vMerge/>
          </w:tcPr>
          <w:p w14:paraId="1EE2F40F" w14:textId="77777777" w:rsidR="00DF5897" w:rsidRPr="00AE0EFF" w:rsidRDefault="00DF5897" w:rsidP="00DF5897">
            <w:pPr>
              <w:rPr>
                <w:rFonts w:ascii="Times New Roman" w:hAnsi="Times New Roman" w:cs="Times New Roman"/>
                <w:sz w:val="24"/>
                <w:szCs w:val="24"/>
              </w:rPr>
            </w:pPr>
          </w:p>
        </w:tc>
        <w:tc>
          <w:tcPr>
            <w:tcW w:w="992" w:type="dxa"/>
          </w:tcPr>
          <w:p w14:paraId="03B9AF0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w:t>
            </w:r>
          </w:p>
        </w:tc>
        <w:tc>
          <w:tcPr>
            <w:tcW w:w="993" w:type="dxa"/>
          </w:tcPr>
          <w:p w14:paraId="057D6A2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35.98</w:t>
            </w:r>
          </w:p>
        </w:tc>
        <w:tc>
          <w:tcPr>
            <w:tcW w:w="1016" w:type="dxa"/>
          </w:tcPr>
          <w:p w14:paraId="375D36C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367.25</w:t>
            </w:r>
          </w:p>
        </w:tc>
        <w:tc>
          <w:tcPr>
            <w:tcW w:w="826" w:type="dxa"/>
          </w:tcPr>
          <w:p w14:paraId="0E0A378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5.33</w:t>
            </w:r>
          </w:p>
        </w:tc>
        <w:tc>
          <w:tcPr>
            <w:tcW w:w="1134" w:type="dxa"/>
          </w:tcPr>
          <w:p w14:paraId="3900C60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34.29</w:t>
            </w:r>
          </w:p>
        </w:tc>
        <w:tc>
          <w:tcPr>
            <w:tcW w:w="1134" w:type="dxa"/>
          </w:tcPr>
          <w:p w14:paraId="6DB8E24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423.65</w:t>
            </w:r>
          </w:p>
        </w:tc>
        <w:tc>
          <w:tcPr>
            <w:tcW w:w="1134" w:type="dxa"/>
          </w:tcPr>
          <w:p w14:paraId="68CE0720"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145.58</w:t>
            </w:r>
          </w:p>
        </w:tc>
        <w:tc>
          <w:tcPr>
            <w:tcW w:w="1418" w:type="dxa"/>
          </w:tcPr>
          <w:p w14:paraId="42F4332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64.83</w:t>
            </w:r>
          </w:p>
        </w:tc>
      </w:tr>
      <w:tr w:rsidR="00DF5897" w:rsidRPr="00AE0EFF" w14:paraId="2D0E276D" w14:textId="77777777" w:rsidTr="00DF5897">
        <w:tc>
          <w:tcPr>
            <w:tcW w:w="817" w:type="dxa"/>
            <w:vMerge/>
          </w:tcPr>
          <w:p w14:paraId="2D06595F" w14:textId="77777777" w:rsidR="00DF5897" w:rsidRPr="00AE0EFF" w:rsidRDefault="00DF5897" w:rsidP="00DF5897">
            <w:pPr>
              <w:rPr>
                <w:rFonts w:ascii="Times New Roman" w:hAnsi="Times New Roman" w:cs="Times New Roman"/>
                <w:sz w:val="24"/>
                <w:szCs w:val="24"/>
              </w:rPr>
            </w:pPr>
          </w:p>
        </w:tc>
        <w:tc>
          <w:tcPr>
            <w:tcW w:w="992" w:type="dxa"/>
          </w:tcPr>
          <w:p w14:paraId="679F6D3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21</w:t>
            </w:r>
          </w:p>
        </w:tc>
        <w:tc>
          <w:tcPr>
            <w:tcW w:w="993" w:type="dxa"/>
          </w:tcPr>
          <w:p w14:paraId="6A2E0A22"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49.90</w:t>
            </w:r>
          </w:p>
        </w:tc>
        <w:tc>
          <w:tcPr>
            <w:tcW w:w="1016" w:type="dxa"/>
          </w:tcPr>
          <w:p w14:paraId="03479FCF"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601.75</w:t>
            </w:r>
          </w:p>
        </w:tc>
        <w:tc>
          <w:tcPr>
            <w:tcW w:w="826" w:type="dxa"/>
          </w:tcPr>
          <w:p w14:paraId="6DCA796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8.63</w:t>
            </w:r>
          </w:p>
        </w:tc>
        <w:tc>
          <w:tcPr>
            <w:tcW w:w="1134" w:type="dxa"/>
          </w:tcPr>
          <w:p w14:paraId="0BA1316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54.68</w:t>
            </w:r>
          </w:p>
        </w:tc>
        <w:tc>
          <w:tcPr>
            <w:tcW w:w="1134" w:type="dxa"/>
          </w:tcPr>
          <w:p w14:paraId="41F10F1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554.70</w:t>
            </w:r>
          </w:p>
        </w:tc>
        <w:tc>
          <w:tcPr>
            <w:tcW w:w="1134" w:type="dxa"/>
          </w:tcPr>
          <w:p w14:paraId="57DBC010"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253.93</w:t>
            </w:r>
          </w:p>
        </w:tc>
        <w:tc>
          <w:tcPr>
            <w:tcW w:w="1418" w:type="dxa"/>
          </w:tcPr>
          <w:p w14:paraId="24640B3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50.40</w:t>
            </w:r>
          </w:p>
        </w:tc>
      </w:tr>
      <w:tr w:rsidR="00DF5897" w:rsidRPr="00AE0EFF" w14:paraId="059E701D" w14:textId="77777777" w:rsidTr="00DF5897">
        <w:tc>
          <w:tcPr>
            <w:tcW w:w="817" w:type="dxa"/>
            <w:vMerge/>
          </w:tcPr>
          <w:p w14:paraId="130B4529" w14:textId="77777777" w:rsidR="00DF5897" w:rsidRPr="00AE0EFF" w:rsidRDefault="00DF5897" w:rsidP="00DF5897">
            <w:pPr>
              <w:rPr>
                <w:rFonts w:ascii="Times New Roman" w:hAnsi="Times New Roman" w:cs="Times New Roman"/>
                <w:sz w:val="24"/>
                <w:szCs w:val="24"/>
              </w:rPr>
            </w:pPr>
          </w:p>
        </w:tc>
        <w:tc>
          <w:tcPr>
            <w:tcW w:w="992" w:type="dxa"/>
          </w:tcPr>
          <w:p w14:paraId="3268F117"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w:t>
            </w:r>
          </w:p>
        </w:tc>
        <w:tc>
          <w:tcPr>
            <w:tcW w:w="993" w:type="dxa"/>
          </w:tcPr>
          <w:p w14:paraId="7EF5C5D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56.75</w:t>
            </w:r>
          </w:p>
        </w:tc>
        <w:tc>
          <w:tcPr>
            <w:tcW w:w="1016" w:type="dxa"/>
          </w:tcPr>
          <w:p w14:paraId="35B4863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436.00</w:t>
            </w:r>
          </w:p>
        </w:tc>
        <w:tc>
          <w:tcPr>
            <w:tcW w:w="826" w:type="dxa"/>
          </w:tcPr>
          <w:p w14:paraId="698D475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9.04</w:t>
            </w:r>
          </w:p>
        </w:tc>
        <w:tc>
          <w:tcPr>
            <w:tcW w:w="1134" w:type="dxa"/>
          </w:tcPr>
          <w:p w14:paraId="6BF6B54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37.69</w:t>
            </w:r>
          </w:p>
        </w:tc>
        <w:tc>
          <w:tcPr>
            <w:tcW w:w="1134" w:type="dxa"/>
          </w:tcPr>
          <w:p w14:paraId="7294B15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382.90</w:t>
            </w:r>
          </w:p>
        </w:tc>
        <w:tc>
          <w:tcPr>
            <w:tcW w:w="1134" w:type="dxa"/>
          </w:tcPr>
          <w:p w14:paraId="4D63528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248.13</w:t>
            </w:r>
          </w:p>
        </w:tc>
        <w:tc>
          <w:tcPr>
            <w:tcW w:w="1418" w:type="dxa"/>
          </w:tcPr>
          <w:p w14:paraId="7661163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31.93</w:t>
            </w:r>
          </w:p>
        </w:tc>
      </w:tr>
      <w:tr w:rsidR="00DF5897" w:rsidRPr="00AE0EFF" w14:paraId="5092885F" w14:textId="77777777" w:rsidTr="00DF5897">
        <w:tc>
          <w:tcPr>
            <w:tcW w:w="817" w:type="dxa"/>
            <w:vMerge/>
          </w:tcPr>
          <w:p w14:paraId="2A3FAF20" w14:textId="77777777" w:rsidR="00DF5897" w:rsidRPr="00AE0EFF" w:rsidRDefault="00DF5897" w:rsidP="00DF5897">
            <w:pPr>
              <w:rPr>
                <w:rFonts w:ascii="Times New Roman" w:hAnsi="Times New Roman" w:cs="Times New Roman"/>
                <w:sz w:val="24"/>
                <w:szCs w:val="24"/>
              </w:rPr>
            </w:pPr>
          </w:p>
        </w:tc>
        <w:tc>
          <w:tcPr>
            <w:tcW w:w="992" w:type="dxa"/>
          </w:tcPr>
          <w:p w14:paraId="682E270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w:t>
            </w:r>
          </w:p>
        </w:tc>
        <w:tc>
          <w:tcPr>
            <w:tcW w:w="993" w:type="dxa"/>
          </w:tcPr>
          <w:p w14:paraId="4D9B3D0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55.92</w:t>
            </w:r>
          </w:p>
        </w:tc>
        <w:tc>
          <w:tcPr>
            <w:tcW w:w="1016" w:type="dxa"/>
          </w:tcPr>
          <w:p w14:paraId="57815CC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417.77</w:t>
            </w:r>
          </w:p>
        </w:tc>
        <w:tc>
          <w:tcPr>
            <w:tcW w:w="826" w:type="dxa"/>
          </w:tcPr>
          <w:p w14:paraId="18D14EAF"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9.00</w:t>
            </w:r>
          </w:p>
        </w:tc>
        <w:tc>
          <w:tcPr>
            <w:tcW w:w="1134" w:type="dxa"/>
          </w:tcPr>
          <w:p w14:paraId="30C443E0"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31.13</w:t>
            </w:r>
          </w:p>
        </w:tc>
        <w:tc>
          <w:tcPr>
            <w:tcW w:w="1134" w:type="dxa"/>
          </w:tcPr>
          <w:p w14:paraId="746CB9F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342.25</w:t>
            </w:r>
          </w:p>
        </w:tc>
        <w:tc>
          <w:tcPr>
            <w:tcW w:w="1134" w:type="dxa"/>
          </w:tcPr>
          <w:p w14:paraId="0A2757E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284.58</w:t>
            </w:r>
          </w:p>
        </w:tc>
        <w:tc>
          <w:tcPr>
            <w:tcW w:w="1418" w:type="dxa"/>
          </w:tcPr>
          <w:p w14:paraId="2263251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16.17</w:t>
            </w:r>
          </w:p>
        </w:tc>
      </w:tr>
      <w:tr w:rsidR="00DF5897" w:rsidRPr="00AE0EFF" w14:paraId="3FF7A6E8" w14:textId="77777777" w:rsidTr="00DF5897">
        <w:tc>
          <w:tcPr>
            <w:tcW w:w="817" w:type="dxa"/>
            <w:vMerge/>
          </w:tcPr>
          <w:p w14:paraId="20867403" w14:textId="77777777" w:rsidR="00DF5897" w:rsidRPr="00AE0EFF" w:rsidRDefault="00DF5897" w:rsidP="00DF5897">
            <w:pPr>
              <w:rPr>
                <w:rFonts w:ascii="Times New Roman" w:hAnsi="Times New Roman" w:cs="Times New Roman"/>
                <w:sz w:val="24"/>
                <w:szCs w:val="24"/>
              </w:rPr>
            </w:pPr>
          </w:p>
        </w:tc>
        <w:tc>
          <w:tcPr>
            <w:tcW w:w="992" w:type="dxa"/>
          </w:tcPr>
          <w:p w14:paraId="611D663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Mean</w:t>
            </w:r>
          </w:p>
        </w:tc>
        <w:tc>
          <w:tcPr>
            <w:tcW w:w="993" w:type="dxa"/>
          </w:tcPr>
          <w:p w14:paraId="3FE71EA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45.77</w:t>
            </w:r>
          </w:p>
        </w:tc>
        <w:tc>
          <w:tcPr>
            <w:tcW w:w="1016" w:type="dxa"/>
          </w:tcPr>
          <w:p w14:paraId="208EC76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392.55</w:t>
            </w:r>
          </w:p>
        </w:tc>
        <w:tc>
          <w:tcPr>
            <w:tcW w:w="826" w:type="dxa"/>
          </w:tcPr>
          <w:p w14:paraId="2083934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8.00</w:t>
            </w:r>
          </w:p>
        </w:tc>
        <w:tc>
          <w:tcPr>
            <w:tcW w:w="1134" w:type="dxa"/>
          </w:tcPr>
          <w:p w14:paraId="72B4F53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39.45</w:t>
            </w:r>
          </w:p>
        </w:tc>
        <w:tc>
          <w:tcPr>
            <w:tcW w:w="1134" w:type="dxa"/>
          </w:tcPr>
          <w:p w14:paraId="2330E9B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425.88</w:t>
            </w:r>
          </w:p>
        </w:tc>
        <w:tc>
          <w:tcPr>
            <w:tcW w:w="1134" w:type="dxa"/>
          </w:tcPr>
          <w:p w14:paraId="2683197A"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233.05</w:t>
            </w:r>
          </w:p>
        </w:tc>
        <w:tc>
          <w:tcPr>
            <w:tcW w:w="1418" w:type="dxa"/>
          </w:tcPr>
          <w:p w14:paraId="0E752ACD"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40.83</w:t>
            </w:r>
          </w:p>
        </w:tc>
      </w:tr>
      <w:tr w:rsidR="00DF5897" w:rsidRPr="00AE0EFF" w14:paraId="41EE1E3C" w14:textId="77777777" w:rsidTr="00DF5897">
        <w:tc>
          <w:tcPr>
            <w:tcW w:w="817" w:type="dxa"/>
            <w:vMerge w:val="restart"/>
          </w:tcPr>
          <w:p w14:paraId="1ACAE11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V4</w:t>
            </w:r>
          </w:p>
        </w:tc>
        <w:tc>
          <w:tcPr>
            <w:tcW w:w="992" w:type="dxa"/>
          </w:tcPr>
          <w:p w14:paraId="742AA5F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w:t>
            </w:r>
          </w:p>
        </w:tc>
        <w:tc>
          <w:tcPr>
            <w:tcW w:w="993" w:type="dxa"/>
          </w:tcPr>
          <w:p w14:paraId="232D064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38.43</w:t>
            </w:r>
          </w:p>
        </w:tc>
        <w:tc>
          <w:tcPr>
            <w:tcW w:w="1016" w:type="dxa"/>
          </w:tcPr>
          <w:p w14:paraId="1157028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167.25</w:t>
            </w:r>
          </w:p>
        </w:tc>
        <w:tc>
          <w:tcPr>
            <w:tcW w:w="826" w:type="dxa"/>
          </w:tcPr>
          <w:p w14:paraId="5209A18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5685BA3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634690F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25347FFE"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418" w:type="dxa"/>
          </w:tcPr>
          <w:p w14:paraId="6A1EFD7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r>
      <w:tr w:rsidR="00DF5897" w:rsidRPr="00AE0EFF" w14:paraId="0E656C3D" w14:textId="77777777" w:rsidTr="00DF5897">
        <w:tc>
          <w:tcPr>
            <w:tcW w:w="817" w:type="dxa"/>
            <w:vMerge/>
          </w:tcPr>
          <w:p w14:paraId="670ACE7E" w14:textId="77777777" w:rsidR="00DF5897" w:rsidRPr="00AE0EFF" w:rsidRDefault="00DF5897" w:rsidP="00DF5897">
            <w:pPr>
              <w:rPr>
                <w:rFonts w:ascii="Times New Roman" w:hAnsi="Times New Roman" w:cs="Times New Roman"/>
                <w:sz w:val="24"/>
                <w:szCs w:val="24"/>
              </w:rPr>
            </w:pPr>
          </w:p>
        </w:tc>
        <w:tc>
          <w:tcPr>
            <w:tcW w:w="992" w:type="dxa"/>
          </w:tcPr>
          <w:p w14:paraId="24A0AACA"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w:t>
            </w:r>
          </w:p>
        </w:tc>
        <w:tc>
          <w:tcPr>
            <w:tcW w:w="993" w:type="dxa"/>
          </w:tcPr>
          <w:p w14:paraId="42C4DA4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45.28</w:t>
            </w:r>
          </w:p>
        </w:tc>
        <w:tc>
          <w:tcPr>
            <w:tcW w:w="1016" w:type="dxa"/>
          </w:tcPr>
          <w:p w14:paraId="14F5C569"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362.00</w:t>
            </w:r>
          </w:p>
        </w:tc>
        <w:tc>
          <w:tcPr>
            <w:tcW w:w="826" w:type="dxa"/>
          </w:tcPr>
          <w:p w14:paraId="33A2FFC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8.23</w:t>
            </w:r>
          </w:p>
        </w:tc>
        <w:tc>
          <w:tcPr>
            <w:tcW w:w="1134" w:type="dxa"/>
          </w:tcPr>
          <w:p w14:paraId="0F3C06D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22.35</w:t>
            </w:r>
          </w:p>
        </w:tc>
        <w:tc>
          <w:tcPr>
            <w:tcW w:w="1134" w:type="dxa"/>
          </w:tcPr>
          <w:p w14:paraId="0CDFDFE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304.15</w:t>
            </w:r>
          </w:p>
        </w:tc>
        <w:tc>
          <w:tcPr>
            <w:tcW w:w="1134" w:type="dxa"/>
          </w:tcPr>
          <w:p w14:paraId="039E047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115.63</w:t>
            </w:r>
          </w:p>
        </w:tc>
        <w:tc>
          <w:tcPr>
            <w:tcW w:w="1418" w:type="dxa"/>
          </w:tcPr>
          <w:p w14:paraId="601E887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58.80</w:t>
            </w:r>
          </w:p>
        </w:tc>
      </w:tr>
      <w:tr w:rsidR="00DF5897" w:rsidRPr="00AE0EFF" w14:paraId="1BCB0117" w14:textId="77777777" w:rsidTr="00DF5897">
        <w:tc>
          <w:tcPr>
            <w:tcW w:w="817" w:type="dxa"/>
            <w:vMerge/>
          </w:tcPr>
          <w:p w14:paraId="63F60612" w14:textId="77777777" w:rsidR="00DF5897" w:rsidRPr="00AE0EFF" w:rsidRDefault="00DF5897" w:rsidP="00DF5897">
            <w:pPr>
              <w:rPr>
                <w:rFonts w:ascii="Times New Roman" w:hAnsi="Times New Roman" w:cs="Times New Roman"/>
                <w:sz w:val="24"/>
                <w:szCs w:val="24"/>
              </w:rPr>
            </w:pPr>
          </w:p>
        </w:tc>
        <w:tc>
          <w:tcPr>
            <w:tcW w:w="992" w:type="dxa"/>
          </w:tcPr>
          <w:p w14:paraId="7053DD4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21</w:t>
            </w:r>
          </w:p>
        </w:tc>
        <w:tc>
          <w:tcPr>
            <w:tcW w:w="993" w:type="dxa"/>
          </w:tcPr>
          <w:p w14:paraId="5C5D70A5"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59.48</w:t>
            </w:r>
          </w:p>
        </w:tc>
        <w:tc>
          <w:tcPr>
            <w:tcW w:w="1016" w:type="dxa"/>
          </w:tcPr>
          <w:p w14:paraId="07B7411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574.75</w:t>
            </w:r>
          </w:p>
        </w:tc>
        <w:tc>
          <w:tcPr>
            <w:tcW w:w="826" w:type="dxa"/>
          </w:tcPr>
          <w:p w14:paraId="1C48A5F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9.38</w:t>
            </w:r>
          </w:p>
        </w:tc>
        <w:tc>
          <w:tcPr>
            <w:tcW w:w="1134" w:type="dxa"/>
          </w:tcPr>
          <w:p w14:paraId="2A1488D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32.93</w:t>
            </w:r>
          </w:p>
        </w:tc>
        <w:tc>
          <w:tcPr>
            <w:tcW w:w="1134" w:type="dxa"/>
          </w:tcPr>
          <w:p w14:paraId="70D2873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442.98</w:t>
            </w:r>
          </w:p>
        </w:tc>
        <w:tc>
          <w:tcPr>
            <w:tcW w:w="1134" w:type="dxa"/>
          </w:tcPr>
          <w:p w14:paraId="5799D3B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234.90</w:t>
            </w:r>
          </w:p>
        </w:tc>
        <w:tc>
          <w:tcPr>
            <w:tcW w:w="1418" w:type="dxa"/>
          </w:tcPr>
          <w:p w14:paraId="435B2C9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46.53</w:t>
            </w:r>
          </w:p>
        </w:tc>
      </w:tr>
      <w:tr w:rsidR="00DF5897" w:rsidRPr="00AE0EFF" w14:paraId="066D41C3" w14:textId="77777777" w:rsidTr="00DF5897">
        <w:tc>
          <w:tcPr>
            <w:tcW w:w="817" w:type="dxa"/>
            <w:vMerge/>
          </w:tcPr>
          <w:p w14:paraId="55F58D78" w14:textId="77777777" w:rsidR="00DF5897" w:rsidRPr="00AE0EFF" w:rsidRDefault="00DF5897" w:rsidP="00DF5897">
            <w:pPr>
              <w:rPr>
                <w:rFonts w:ascii="Times New Roman" w:hAnsi="Times New Roman" w:cs="Times New Roman"/>
                <w:sz w:val="24"/>
                <w:szCs w:val="24"/>
              </w:rPr>
            </w:pPr>
          </w:p>
        </w:tc>
        <w:tc>
          <w:tcPr>
            <w:tcW w:w="992" w:type="dxa"/>
          </w:tcPr>
          <w:p w14:paraId="484124B0"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w:t>
            </w:r>
          </w:p>
        </w:tc>
        <w:tc>
          <w:tcPr>
            <w:tcW w:w="993" w:type="dxa"/>
          </w:tcPr>
          <w:p w14:paraId="0629439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67.53</w:t>
            </w:r>
          </w:p>
        </w:tc>
        <w:tc>
          <w:tcPr>
            <w:tcW w:w="1016" w:type="dxa"/>
          </w:tcPr>
          <w:p w14:paraId="7812AE8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508.00</w:t>
            </w:r>
          </w:p>
        </w:tc>
        <w:tc>
          <w:tcPr>
            <w:tcW w:w="826" w:type="dxa"/>
          </w:tcPr>
          <w:p w14:paraId="7FBF47FC"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9.36</w:t>
            </w:r>
          </w:p>
        </w:tc>
        <w:tc>
          <w:tcPr>
            <w:tcW w:w="1134" w:type="dxa"/>
          </w:tcPr>
          <w:p w14:paraId="68399CF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30.08</w:t>
            </w:r>
          </w:p>
        </w:tc>
        <w:tc>
          <w:tcPr>
            <w:tcW w:w="1134" w:type="dxa"/>
          </w:tcPr>
          <w:p w14:paraId="054854EE"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381.78</w:t>
            </w:r>
          </w:p>
        </w:tc>
        <w:tc>
          <w:tcPr>
            <w:tcW w:w="1134" w:type="dxa"/>
          </w:tcPr>
          <w:p w14:paraId="42EED8B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271.55</w:t>
            </w:r>
          </w:p>
        </w:tc>
        <w:tc>
          <w:tcPr>
            <w:tcW w:w="1418" w:type="dxa"/>
          </w:tcPr>
          <w:p w14:paraId="5FFCF5C4"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28.43</w:t>
            </w:r>
          </w:p>
        </w:tc>
      </w:tr>
      <w:tr w:rsidR="00DF5897" w:rsidRPr="00AE0EFF" w14:paraId="45CF29A1" w14:textId="77777777" w:rsidTr="00DF5897">
        <w:tc>
          <w:tcPr>
            <w:tcW w:w="817" w:type="dxa"/>
            <w:vMerge/>
          </w:tcPr>
          <w:p w14:paraId="28809C59" w14:textId="77777777" w:rsidR="00DF5897" w:rsidRPr="00AE0EFF" w:rsidRDefault="00DF5897" w:rsidP="00DF5897">
            <w:pPr>
              <w:rPr>
                <w:rFonts w:ascii="Times New Roman" w:hAnsi="Times New Roman" w:cs="Times New Roman"/>
                <w:sz w:val="24"/>
                <w:szCs w:val="24"/>
              </w:rPr>
            </w:pPr>
          </w:p>
        </w:tc>
        <w:tc>
          <w:tcPr>
            <w:tcW w:w="992" w:type="dxa"/>
          </w:tcPr>
          <w:p w14:paraId="68FAD93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w:t>
            </w:r>
          </w:p>
        </w:tc>
        <w:tc>
          <w:tcPr>
            <w:tcW w:w="993" w:type="dxa"/>
          </w:tcPr>
          <w:p w14:paraId="7A6D3AB2"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66.77</w:t>
            </w:r>
          </w:p>
        </w:tc>
        <w:tc>
          <w:tcPr>
            <w:tcW w:w="1016" w:type="dxa"/>
          </w:tcPr>
          <w:p w14:paraId="4B71C5AF"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377.59</w:t>
            </w:r>
          </w:p>
        </w:tc>
        <w:tc>
          <w:tcPr>
            <w:tcW w:w="826" w:type="dxa"/>
          </w:tcPr>
          <w:p w14:paraId="66B9B0B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8.18</w:t>
            </w:r>
          </w:p>
        </w:tc>
        <w:tc>
          <w:tcPr>
            <w:tcW w:w="1134" w:type="dxa"/>
          </w:tcPr>
          <w:p w14:paraId="7CBCB2F8"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28.33</w:t>
            </w:r>
          </w:p>
        </w:tc>
        <w:tc>
          <w:tcPr>
            <w:tcW w:w="1134" w:type="dxa"/>
          </w:tcPr>
          <w:p w14:paraId="6E2ABC2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336.33</w:t>
            </w:r>
          </w:p>
        </w:tc>
        <w:tc>
          <w:tcPr>
            <w:tcW w:w="1134" w:type="dxa"/>
          </w:tcPr>
          <w:p w14:paraId="7881A2F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278.45</w:t>
            </w:r>
          </w:p>
        </w:tc>
        <w:tc>
          <w:tcPr>
            <w:tcW w:w="1418" w:type="dxa"/>
          </w:tcPr>
          <w:p w14:paraId="205707B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16.82</w:t>
            </w:r>
          </w:p>
        </w:tc>
      </w:tr>
      <w:tr w:rsidR="00DF5897" w:rsidRPr="00AE0EFF" w14:paraId="52E9B381" w14:textId="77777777" w:rsidTr="00DF5897">
        <w:tc>
          <w:tcPr>
            <w:tcW w:w="817" w:type="dxa"/>
            <w:vMerge/>
          </w:tcPr>
          <w:p w14:paraId="377CE9E5" w14:textId="77777777" w:rsidR="00DF5897" w:rsidRPr="00AE0EFF" w:rsidRDefault="00DF5897" w:rsidP="00DF5897">
            <w:pPr>
              <w:rPr>
                <w:rFonts w:ascii="Times New Roman" w:hAnsi="Times New Roman" w:cs="Times New Roman"/>
                <w:sz w:val="24"/>
                <w:szCs w:val="24"/>
              </w:rPr>
            </w:pPr>
          </w:p>
        </w:tc>
        <w:tc>
          <w:tcPr>
            <w:tcW w:w="992" w:type="dxa"/>
          </w:tcPr>
          <w:p w14:paraId="4E25B8F4"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Mean</w:t>
            </w:r>
          </w:p>
        </w:tc>
        <w:tc>
          <w:tcPr>
            <w:tcW w:w="993" w:type="dxa"/>
          </w:tcPr>
          <w:p w14:paraId="18353C6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55.49</w:t>
            </w:r>
          </w:p>
        </w:tc>
        <w:tc>
          <w:tcPr>
            <w:tcW w:w="1016" w:type="dxa"/>
          </w:tcPr>
          <w:p w14:paraId="4D5B64D5"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397.92</w:t>
            </w:r>
          </w:p>
        </w:tc>
        <w:tc>
          <w:tcPr>
            <w:tcW w:w="826" w:type="dxa"/>
          </w:tcPr>
          <w:p w14:paraId="46380D4E"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8.78</w:t>
            </w:r>
          </w:p>
        </w:tc>
        <w:tc>
          <w:tcPr>
            <w:tcW w:w="1134" w:type="dxa"/>
          </w:tcPr>
          <w:p w14:paraId="6F633F9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28.42</w:t>
            </w:r>
          </w:p>
        </w:tc>
        <w:tc>
          <w:tcPr>
            <w:tcW w:w="1134" w:type="dxa"/>
          </w:tcPr>
          <w:p w14:paraId="4D8AED3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366.31</w:t>
            </w:r>
          </w:p>
        </w:tc>
        <w:tc>
          <w:tcPr>
            <w:tcW w:w="1134" w:type="dxa"/>
          </w:tcPr>
          <w:p w14:paraId="65BBA99A"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225.13</w:t>
            </w:r>
          </w:p>
        </w:tc>
        <w:tc>
          <w:tcPr>
            <w:tcW w:w="1418" w:type="dxa"/>
          </w:tcPr>
          <w:p w14:paraId="6B66697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37.64</w:t>
            </w:r>
          </w:p>
        </w:tc>
      </w:tr>
      <w:tr w:rsidR="00DF5897" w:rsidRPr="00AE0EFF" w14:paraId="74705FE6" w14:textId="77777777" w:rsidTr="00DF5897">
        <w:trPr>
          <w:trHeight w:val="373"/>
        </w:trPr>
        <w:tc>
          <w:tcPr>
            <w:tcW w:w="817" w:type="dxa"/>
            <w:vMerge w:val="restart"/>
          </w:tcPr>
          <w:p w14:paraId="6A9846A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V5</w:t>
            </w:r>
          </w:p>
        </w:tc>
        <w:tc>
          <w:tcPr>
            <w:tcW w:w="992" w:type="dxa"/>
          </w:tcPr>
          <w:p w14:paraId="6EDAAED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w:t>
            </w:r>
          </w:p>
        </w:tc>
        <w:tc>
          <w:tcPr>
            <w:tcW w:w="993" w:type="dxa"/>
          </w:tcPr>
          <w:p w14:paraId="5672167E"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32.55</w:t>
            </w:r>
          </w:p>
        </w:tc>
        <w:tc>
          <w:tcPr>
            <w:tcW w:w="1016" w:type="dxa"/>
          </w:tcPr>
          <w:p w14:paraId="71D5B60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116.75</w:t>
            </w:r>
          </w:p>
        </w:tc>
        <w:tc>
          <w:tcPr>
            <w:tcW w:w="826" w:type="dxa"/>
          </w:tcPr>
          <w:p w14:paraId="2EB493E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609B578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427A39A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134" w:type="dxa"/>
          </w:tcPr>
          <w:p w14:paraId="660374F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c>
          <w:tcPr>
            <w:tcW w:w="1418" w:type="dxa"/>
          </w:tcPr>
          <w:p w14:paraId="2DAA2C40"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w:t>
            </w:r>
          </w:p>
        </w:tc>
      </w:tr>
      <w:tr w:rsidR="00DF5897" w:rsidRPr="00AE0EFF" w14:paraId="4DADC910" w14:textId="77777777" w:rsidTr="00DF5897">
        <w:tc>
          <w:tcPr>
            <w:tcW w:w="817" w:type="dxa"/>
            <w:vMerge/>
          </w:tcPr>
          <w:p w14:paraId="161BF3CB" w14:textId="77777777" w:rsidR="00DF5897" w:rsidRPr="00AE0EFF" w:rsidRDefault="00DF5897" w:rsidP="00DF5897">
            <w:pPr>
              <w:rPr>
                <w:rFonts w:ascii="Times New Roman" w:hAnsi="Times New Roman" w:cs="Times New Roman"/>
                <w:sz w:val="24"/>
                <w:szCs w:val="24"/>
              </w:rPr>
            </w:pPr>
          </w:p>
        </w:tc>
        <w:tc>
          <w:tcPr>
            <w:tcW w:w="992" w:type="dxa"/>
          </w:tcPr>
          <w:p w14:paraId="4964625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14</w:t>
            </w:r>
          </w:p>
        </w:tc>
        <w:tc>
          <w:tcPr>
            <w:tcW w:w="993" w:type="dxa"/>
          </w:tcPr>
          <w:p w14:paraId="2B1CF11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49.28</w:t>
            </w:r>
          </w:p>
        </w:tc>
        <w:tc>
          <w:tcPr>
            <w:tcW w:w="1016" w:type="dxa"/>
          </w:tcPr>
          <w:p w14:paraId="105A625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515.00</w:t>
            </w:r>
          </w:p>
        </w:tc>
        <w:tc>
          <w:tcPr>
            <w:tcW w:w="826" w:type="dxa"/>
          </w:tcPr>
          <w:p w14:paraId="767A782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4.13</w:t>
            </w:r>
          </w:p>
        </w:tc>
        <w:tc>
          <w:tcPr>
            <w:tcW w:w="1134" w:type="dxa"/>
          </w:tcPr>
          <w:p w14:paraId="5360F30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37.92</w:t>
            </w:r>
          </w:p>
        </w:tc>
        <w:tc>
          <w:tcPr>
            <w:tcW w:w="1134" w:type="dxa"/>
          </w:tcPr>
          <w:p w14:paraId="4958DCB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443.05</w:t>
            </w:r>
          </w:p>
        </w:tc>
        <w:tc>
          <w:tcPr>
            <w:tcW w:w="1134" w:type="dxa"/>
          </w:tcPr>
          <w:p w14:paraId="71182BA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95.55</w:t>
            </w:r>
          </w:p>
        </w:tc>
        <w:tc>
          <w:tcPr>
            <w:tcW w:w="1418" w:type="dxa"/>
          </w:tcPr>
          <w:p w14:paraId="474F70F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78.45</w:t>
            </w:r>
          </w:p>
        </w:tc>
      </w:tr>
      <w:tr w:rsidR="00DF5897" w:rsidRPr="00AE0EFF" w14:paraId="6E4F80E7" w14:textId="77777777" w:rsidTr="00DF5897">
        <w:tc>
          <w:tcPr>
            <w:tcW w:w="817" w:type="dxa"/>
            <w:vMerge/>
          </w:tcPr>
          <w:p w14:paraId="1F074507" w14:textId="77777777" w:rsidR="00DF5897" w:rsidRPr="00AE0EFF" w:rsidRDefault="00DF5897" w:rsidP="00DF5897">
            <w:pPr>
              <w:rPr>
                <w:rFonts w:ascii="Times New Roman" w:hAnsi="Times New Roman" w:cs="Times New Roman"/>
                <w:sz w:val="24"/>
                <w:szCs w:val="24"/>
              </w:rPr>
            </w:pPr>
          </w:p>
        </w:tc>
        <w:tc>
          <w:tcPr>
            <w:tcW w:w="992" w:type="dxa"/>
          </w:tcPr>
          <w:p w14:paraId="74EFEBB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21</w:t>
            </w:r>
          </w:p>
        </w:tc>
        <w:tc>
          <w:tcPr>
            <w:tcW w:w="993" w:type="dxa"/>
          </w:tcPr>
          <w:p w14:paraId="3331D073"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60.80</w:t>
            </w:r>
          </w:p>
        </w:tc>
        <w:tc>
          <w:tcPr>
            <w:tcW w:w="1016" w:type="dxa"/>
          </w:tcPr>
          <w:p w14:paraId="19169C0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836.50</w:t>
            </w:r>
          </w:p>
        </w:tc>
        <w:tc>
          <w:tcPr>
            <w:tcW w:w="826" w:type="dxa"/>
          </w:tcPr>
          <w:p w14:paraId="136C80A1"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8.50</w:t>
            </w:r>
          </w:p>
        </w:tc>
        <w:tc>
          <w:tcPr>
            <w:tcW w:w="1134" w:type="dxa"/>
          </w:tcPr>
          <w:p w14:paraId="448F49E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46.21</w:t>
            </w:r>
          </w:p>
        </w:tc>
        <w:tc>
          <w:tcPr>
            <w:tcW w:w="1134" w:type="dxa"/>
          </w:tcPr>
          <w:p w14:paraId="4813CDB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646.88</w:t>
            </w:r>
          </w:p>
        </w:tc>
        <w:tc>
          <w:tcPr>
            <w:tcW w:w="1134" w:type="dxa"/>
          </w:tcPr>
          <w:p w14:paraId="3AC86776"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226.43</w:t>
            </w:r>
          </w:p>
        </w:tc>
        <w:tc>
          <w:tcPr>
            <w:tcW w:w="1418" w:type="dxa"/>
          </w:tcPr>
          <w:p w14:paraId="3535DC4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66.63</w:t>
            </w:r>
          </w:p>
        </w:tc>
      </w:tr>
      <w:tr w:rsidR="00DF5897" w:rsidRPr="00AE0EFF" w14:paraId="29D0BC3D" w14:textId="77777777" w:rsidTr="00DF5897">
        <w:tc>
          <w:tcPr>
            <w:tcW w:w="817" w:type="dxa"/>
            <w:vMerge/>
          </w:tcPr>
          <w:p w14:paraId="7B110F35" w14:textId="77777777" w:rsidR="00DF5897" w:rsidRPr="00AE0EFF" w:rsidRDefault="00DF5897" w:rsidP="00DF5897">
            <w:pPr>
              <w:rPr>
                <w:rFonts w:ascii="Times New Roman" w:hAnsi="Times New Roman" w:cs="Times New Roman"/>
                <w:sz w:val="24"/>
                <w:szCs w:val="24"/>
              </w:rPr>
            </w:pPr>
          </w:p>
        </w:tc>
        <w:tc>
          <w:tcPr>
            <w:tcW w:w="992" w:type="dxa"/>
          </w:tcPr>
          <w:p w14:paraId="588156AB"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28</w:t>
            </w:r>
          </w:p>
        </w:tc>
        <w:tc>
          <w:tcPr>
            <w:tcW w:w="993" w:type="dxa"/>
          </w:tcPr>
          <w:p w14:paraId="74E6C60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68.98</w:t>
            </w:r>
          </w:p>
        </w:tc>
        <w:tc>
          <w:tcPr>
            <w:tcW w:w="1016" w:type="dxa"/>
          </w:tcPr>
          <w:p w14:paraId="544891BA"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524.50</w:t>
            </w:r>
          </w:p>
        </w:tc>
        <w:tc>
          <w:tcPr>
            <w:tcW w:w="826" w:type="dxa"/>
          </w:tcPr>
          <w:p w14:paraId="7F0B5E9D"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11.58</w:t>
            </w:r>
          </w:p>
        </w:tc>
        <w:tc>
          <w:tcPr>
            <w:tcW w:w="1134" w:type="dxa"/>
          </w:tcPr>
          <w:p w14:paraId="7239A943"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48.73</w:t>
            </w:r>
          </w:p>
        </w:tc>
        <w:tc>
          <w:tcPr>
            <w:tcW w:w="1134" w:type="dxa"/>
          </w:tcPr>
          <w:p w14:paraId="291F75D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443.45</w:t>
            </w:r>
          </w:p>
        </w:tc>
        <w:tc>
          <w:tcPr>
            <w:tcW w:w="1134" w:type="dxa"/>
          </w:tcPr>
          <w:p w14:paraId="36F86E6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301.78</w:t>
            </w:r>
          </w:p>
        </w:tc>
        <w:tc>
          <w:tcPr>
            <w:tcW w:w="1418" w:type="dxa"/>
          </w:tcPr>
          <w:p w14:paraId="73AF5EB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35.40</w:t>
            </w:r>
          </w:p>
        </w:tc>
      </w:tr>
      <w:tr w:rsidR="00DF5897" w:rsidRPr="00AE0EFF" w14:paraId="74D1B866" w14:textId="77777777" w:rsidTr="00DF5897">
        <w:tc>
          <w:tcPr>
            <w:tcW w:w="817" w:type="dxa"/>
            <w:vMerge/>
          </w:tcPr>
          <w:p w14:paraId="47D24774" w14:textId="77777777" w:rsidR="00DF5897" w:rsidRPr="00AE0EFF" w:rsidRDefault="00DF5897" w:rsidP="00DF5897">
            <w:pPr>
              <w:rPr>
                <w:rFonts w:ascii="Times New Roman" w:hAnsi="Times New Roman" w:cs="Times New Roman"/>
                <w:sz w:val="24"/>
                <w:szCs w:val="24"/>
              </w:rPr>
            </w:pPr>
          </w:p>
        </w:tc>
        <w:tc>
          <w:tcPr>
            <w:tcW w:w="992" w:type="dxa"/>
          </w:tcPr>
          <w:p w14:paraId="690BF811"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35</w:t>
            </w:r>
          </w:p>
        </w:tc>
        <w:tc>
          <w:tcPr>
            <w:tcW w:w="993" w:type="dxa"/>
          </w:tcPr>
          <w:p w14:paraId="0B389698"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62.05</w:t>
            </w:r>
          </w:p>
        </w:tc>
        <w:tc>
          <w:tcPr>
            <w:tcW w:w="1016" w:type="dxa"/>
          </w:tcPr>
          <w:p w14:paraId="14F606B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443.67</w:t>
            </w:r>
          </w:p>
        </w:tc>
        <w:tc>
          <w:tcPr>
            <w:tcW w:w="826" w:type="dxa"/>
          </w:tcPr>
          <w:p w14:paraId="3D6C1E27"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12.50</w:t>
            </w:r>
          </w:p>
        </w:tc>
        <w:tc>
          <w:tcPr>
            <w:tcW w:w="1134" w:type="dxa"/>
          </w:tcPr>
          <w:p w14:paraId="77CD942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36.78</w:t>
            </w:r>
          </w:p>
        </w:tc>
        <w:tc>
          <w:tcPr>
            <w:tcW w:w="1134" w:type="dxa"/>
          </w:tcPr>
          <w:p w14:paraId="24BABCFF"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395.33</w:t>
            </w:r>
          </w:p>
        </w:tc>
        <w:tc>
          <w:tcPr>
            <w:tcW w:w="1134" w:type="dxa"/>
          </w:tcPr>
          <w:p w14:paraId="2AF14819"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318.78</w:t>
            </w:r>
          </w:p>
        </w:tc>
        <w:tc>
          <w:tcPr>
            <w:tcW w:w="1418" w:type="dxa"/>
          </w:tcPr>
          <w:p w14:paraId="0567A92C"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20.36</w:t>
            </w:r>
          </w:p>
        </w:tc>
      </w:tr>
      <w:tr w:rsidR="00DF5897" w:rsidRPr="00AE0EFF" w14:paraId="0C6F8ADE" w14:textId="77777777" w:rsidTr="00DF5897">
        <w:tc>
          <w:tcPr>
            <w:tcW w:w="817" w:type="dxa"/>
            <w:vMerge/>
          </w:tcPr>
          <w:p w14:paraId="2C9C22D5" w14:textId="77777777" w:rsidR="00DF5897" w:rsidRPr="00AE0EFF" w:rsidRDefault="00DF5897" w:rsidP="00DF5897">
            <w:pPr>
              <w:rPr>
                <w:rFonts w:ascii="Times New Roman" w:hAnsi="Times New Roman" w:cs="Times New Roman"/>
                <w:sz w:val="24"/>
                <w:szCs w:val="24"/>
              </w:rPr>
            </w:pPr>
          </w:p>
        </w:tc>
        <w:tc>
          <w:tcPr>
            <w:tcW w:w="992" w:type="dxa"/>
          </w:tcPr>
          <w:p w14:paraId="7CF10FEE"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Mean</w:t>
            </w:r>
          </w:p>
        </w:tc>
        <w:tc>
          <w:tcPr>
            <w:tcW w:w="993" w:type="dxa"/>
          </w:tcPr>
          <w:p w14:paraId="46FD1366"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54.73</w:t>
            </w:r>
          </w:p>
        </w:tc>
        <w:tc>
          <w:tcPr>
            <w:tcW w:w="1016" w:type="dxa"/>
          </w:tcPr>
          <w:p w14:paraId="75DE064B"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487.28</w:t>
            </w:r>
          </w:p>
        </w:tc>
        <w:tc>
          <w:tcPr>
            <w:tcW w:w="826" w:type="dxa"/>
          </w:tcPr>
          <w:p w14:paraId="61A46E12"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9.18</w:t>
            </w:r>
          </w:p>
        </w:tc>
        <w:tc>
          <w:tcPr>
            <w:tcW w:w="1134" w:type="dxa"/>
          </w:tcPr>
          <w:p w14:paraId="7C1F8812"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42.41</w:t>
            </w:r>
          </w:p>
        </w:tc>
        <w:tc>
          <w:tcPr>
            <w:tcW w:w="1134" w:type="dxa"/>
          </w:tcPr>
          <w:p w14:paraId="60B40B14" w14:textId="77777777" w:rsidR="00DF5897" w:rsidRPr="00AE0EFF" w:rsidRDefault="00DF5897" w:rsidP="00DF5897">
            <w:pPr>
              <w:jc w:val="center"/>
              <w:rPr>
                <w:rFonts w:ascii="Times New Roman" w:hAnsi="Times New Roman" w:cs="Times New Roman"/>
                <w:sz w:val="24"/>
                <w:szCs w:val="24"/>
              </w:rPr>
            </w:pPr>
            <w:r w:rsidRPr="00AE0EFF">
              <w:rPr>
                <w:rFonts w:ascii="Times New Roman" w:hAnsi="Times New Roman" w:cs="Times New Roman"/>
                <w:sz w:val="24"/>
                <w:szCs w:val="24"/>
              </w:rPr>
              <w:t>482.18</w:t>
            </w:r>
          </w:p>
        </w:tc>
        <w:tc>
          <w:tcPr>
            <w:tcW w:w="1134" w:type="dxa"/>
          </w:tcPr>
          <w:p w14:paraId="7619F7DF"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235.63</w:t>
            </w:r>
          </w:p>
        </w:tc>
        <w:tc>
          <w:tcPr>
            <w:tcW w:w="1418" w:type="dxa"/>
          </w:tcPr>
          <w:p w14:paraId="5D471EA5" w14:textId="77777777" w:rsidR="00DF5897" w:rsidRPr="00AE0EFF" w:rsidRDefault="00DF5897" w:rsidP="00DF5897">
            <w:pPr>
              <w:rPr>
                <w:rFonts w:ascii="Times New Roman" w:hAnsi="Times New Roman" w:cs="Times New Roman"/>
                <w:sz w:val="24"/>
                <w:szCs w:val="24"/>
              </w:rPr>
            </w:pPr>
            <w:r w:rsidRPr="00AE0EFF">
              <w:rPr>
                <w:rFonts w:ascii="Times New Roman" w:hAnsi="Times New Roman" w:cs="Times New Roman"/>
                <w:sz w:val="24"/>
                <w:szCs w:val="24"/>
              </w:rPr>
              <w:t>50.21</w:t>
            </w:r>
          </w:p>
        </w:tc>
      </w:tr>
    </w:tbl>
    <w:p w14:paraId="4E318F01" w14:textId="77777777" w:rsidR="003346A5" w:rsidRDefault="003346A5" w:rsidP="00DF5897">
      <w:pPr>
        <w:spacing w:before="120" w:after="0" w:line="240" w:lineRule="auto"/>
        <w:ind w:left="851" w:right="-1038" w:hanging="993"/>
        <w:rPr>
          <w:rFonts w:ascii="Times New Roman" w:hAnsi="Times New Roman" w:cs="Times New Roman"/>
          <w:b/>
          <w:sz w:val="24"/>
          <w:szCs w:val="24"/>
        </w:rPr>
      </w:pPr>
    </w:p>
    <w:p w14:paraId="298DEBE8" w14:textId="77777777" w:rsidR="003346A5" w:rsidRDefault="003346A5" w:rsidP="00DF5897">
      <w:pPr>
        <w:spacing w:before="120" w:after="0" w:line="240" w:lineRule="auto"/>
        <w:ind w:left="851" w:right="-1038" w:hanging="993"/>
        <w:rPr>
          <w:rFonts w:ascii="Times New Roman" w:hAnsi="Times New Roman" w:cs="Times New Roman"/>
          <w:b/>
          <w:sz w:val="24"/>
          <w:szCs w:val="24"/>
        </w:rPr>
      </w:pPr>
    </w:p>
    <w:p w14:paraId="413E16DD" w14:textId="77777777" w:rsidR="003346A5" w:rsidRDefault="003346A5" w:rsidP="00DF5897">
      <w:pPr>
        <w:spacing w:before="120" w:after="0" w:line="240" w:lineRule="auto"/>
        <w:ind w:left="851" w:right="-1038" w:hanging="993"/>
        <w:rPr>
          <w:rFonts w:ascii="Times New Roman" w:hAnsi="Times New Roman" w:cs="Times New Roman"/>
          <w:b/>
          <w:sz w:val="24"/>
          <w:szCs w:val="24"/>
        </w:rPr>
      </w:pPr>
    </w:p>
    <w:p w14:paraId="6D9D3BCE" w14:textId="77777777" w:rsidR="003346A5" w:rsidRDefault="003346A5" w:rsidP="00DF5897">
      <w:pPr>
        <w:spacing w:before="120" w:after="0" w:line="240" w:lineRule="auto"/>
        <w:ind w:left="851" w:right="-1038" w:hanging="993"/>
        <w:rPr>
          <w:rFonts w:ascii="Times New Roman" w:hAnsi="Times New Roman" w:cs="Times New Roman"/>
          <w:b/>
          <w:sz w:val="24"/>
          <w:szCs w:val="24"/>
        </w:rPr>
      </w:pPr>
    </w:p>
    <w:p w14:paraId="661B9680" w14:textId="77777777" w:rsidR="003346A5" w:rsidRDefault="003346A5" w:rsidP="00DF5897">
      <w:pPr>
        <w:spacing w:before="120" w:after="0" w:line="240" w:lineRule="auto"/>
        <w:ind w:left="851" w:right="-1038" w:hanging="993"/>
        <w:rPr>
          <w:rFonts w:ascii="Times New Roman" w:hAnsi="Times New Roman" w:cs="Times New Roman"/>
          <w:b/>
          <w:sz w:val="24"/>
          <w:szCs w:val="24"/>
        </w:rPr>
      </w:pPr>
    </w:p>
    <w:p w14:paraId="48C8829A" w14:textId="77777777" w:rsidR="003346A5" w:rsidRDefault="003346A5" w:rsidP="00DF5897">
      <w:pPr>
        <w:spacing w:before="120" w:after="0" w:line="240" w:lineRule="auto"/>
        <w:ind w:left="851" w:right="-1038" w:hanging="993"/>
        <w:rPr>
          <w:rFonts w:ascii="Times New Roman" w:hAnsi="Times New Roman" w:cs="Times New Roman"/>
          <w:b/>
          <w:sz w:val="24"/>
          <w:szCs w:val="24"/>
        </w:rPr>
      </w:pPr>
    </w:p>
    <w:p w14:paraId="2E2F21D8" w14:textId="42F66555" w:rsidR="00DF5897" w:rsidRDefault="00DF5897" w:rsidP="00DF5897">
      <w:pPr>
        <w:spacing w:before="120" w:after="0" w:line="240" w:lineRule="auto"/>
        <w:ind w:left="851" w:right="-1038" w:hanging="993"/>
        <w:rPr>
          <w:rFonts w:ascii="Times New Roman" w:hAnsi="Times New Roman" w:cs="Times New Roman"/>
          <w:b/>
          <w:sz w:val="24"/>
          <w:szCs w:val="24"/>
        </w:rPr>
      </w:pPr>
      <w:r w:rsidRPr="00AE0EFF">
        <w:rPr>
          <w:rFonts w:ascii="Times New Roman" w:hAnsi="Times New Roman" w:cs="Times New Roman"/>
          <w:b/>
          <w:sz w:val="24"/>
          <w:szCs w:val="24"/>
        </w:rPr>
        <w:t xml:space="preserve">Table </w:t>
      </w:r>
      <w:r w:rsidR="00EB2583">
        <w:rPr>
          <w:rFonts w:ascii="Times New Roman" w:hAnsi="Times New Roman" w:cs="Times New Roman"/>
          <w:b/>
          <w:sz w:val="24"/>
          <w:szCs w:val="24"/>
        </w:rPr>
        <w:t>3</w:t>
      </w:r>
      <w:r w:rsidRPr="00AE0EFF">
        <w:rPr>
          <w:rFonts w:ascii="Times New Roman" w:hAnsi="Times New Roman" w:cs="Times New Roman"/>
          <w:b/>
          <w:sz w:val="24"/>
          <w:szCs w:val="24"/>
        </w:rPr>
        <w:t>: ANOVA data of physiological character</w:t>
      </w:r>
      <w:r w:rsidR="003346A5">
        <w:rPr>
          <w:rFonts w:ascii="Times New Roman" w:hAnsi="Times New Roman" w:cs="Times New Roman"/>
          <w:b/>
          <w:sz w:val="24"/>
          <w:szCs w:val="24"/>
        </w:rPr>
        <w:t>s</w:t>
      </w:r>
      <w:r w:rsidRPr="00AE0EFF">
        <w:rPr>
          <w:rFonts w:ascii="Times New Roman" w:hAnsi="Times New Roman" w:cs="Times New Roman"/>
          <w:b/>
          <w:sz w:val="24"/>
          <w:szCs w:val="24"/>
        </w:rPr>
        <w:t xml:space="preserve"> of 5 genotypes of </w:t>
      </w:r>
      <w:proofErr w:type="spellStart"/>
      <w:r w:rsidRPr="00AE0EFF">
        <w:rPr>
          <w:rFonts w:ascii="Times New Roman" w:hAnsi="Times New Roman" w:cs="Times New Roman"/>
          <w:b/>
          <w:sz w:val="24"/>
          <w:szCs w:val="24"/>
        </w:rPr>
        <w:t>Greengram</w:t>
      </w:r>
      <w:proofErr w:type="spellEnd"/>
    </w:p>
    <w:p w14:paraId="4E2A7B29" w14:textId="77777777" w:rsidR="003346A5" w:rsidRPr="00AE0EFF" w:rsidRDefault="003346A5" w:rsidP="00DF5897">
      <w:pPr>
        <w:spacing w:before="120" w:after="0" w:line="240" w:lineRule="auto"/>
        <w:ind w:left="851" w:right="-1038" w:hanging="993"/>
        <w:rPr>
          <w:rFonts w:ascii="Times New Roman" w:hAnsi="Times New Roman" w:cs="Times New Roman"/>
          <w:b/>
          <w:sz w:val="24"/>
          <w:szCs w:val="24"/>
        </w:rPr>
      </w:pPr>
    </w:p>
    <w:tbl>
      <w:tblPr>
        <w:tblStyle w:val="TableGrid"/>
        <w:tblW w:w="9464" w:type="dxa"/>
        <w:tblLayout w:type="fixed"/>
        <w:tblLook w:val="04A0" w:firstRow="1" w:lastRow="0" w:firstColumn="1" w:lastColumn="0" w:noHBand="0" w:noVBand="1"/>
      </w:tblPr>
      <w:tblGrid>
        <w:gridCol w:w="534"/>
        <w:gridCol w:w="2268"/>
        <w:gridCol w:w="1417"/>
        <w:gridCol w:w="276"/>
        <w:gridCol w:w="1000"/>
        <w:gridCol w:w="187"/>
        <w:gridCol w:w="1187"/>
        <w:gridCol w:w="1319"/>
        <w:gridCol w:w="1276"/>
      </w:tblGrid>
      <w:tr w:rsidR="00DF5897" w:rsidRPr="00AE0EFF" w14:paraId="390B8FFE" w14:textId="77777777" w:rsidTr="00F674B1">
        <w:tc>
          <w:tcPr>
            <w:tcW w:w="534" w:type="dxa"/>
          </w:tcPr>
          <w:p w14:paraId="613221F9" w14:textId="77777777" w:rsidR="00DF5897" w:rsidRPr="00AE0EFF" w:rsidRDefault="00DF5897" w:rsidP="00DF5897">
            <w:pPr>
              <w:rPr>
                <w:rFonts w:ascii="Times New Roman" w:hAnsi="Times New Roman" w:cs="Times New Roman"/>
                <w:b/>
              </w:rPr>
            </w:pPr>
            <w:r w:rsidRPr="00AE0EFF">
              <w:rPr>
                <w:rFonts w:ascii="Times New Roman" w:hAnsi="Times New Roman" w:cs="Times New Roman"/>
                <w:b/>
              </w:rPr>
              <w:t>S.N.</w:t>
            </w:r>
          </w:p>
        </w:tc>
        <w:tc>
          <w:tcPr>
            <w:tcW w:w="2268" w:type="dxa"/>
          </w:tcPr>
          <w:p w14:paraId="5B4E4ABC" w14:textId="77777777" w:rsidR="00DF5897" w:rsidRPr="00AE0EFF" w:rsidRDefault="00DF5897" w:rsidP="00DF5897">
            <w:pPr>
              <w:rPr>
                <w:rFonts w:ascii="Times New Roman" w:hAnsi="Times New Roman" w:cs="Times New Roman"/>
                <w:b/>
              </w:rPr>
            </w:pPr>
            <w:r w:rsidRPr="00AE0EFF">
              <w:rPr>
                <w:rFonts w:ascii="Times New Roman" w:hAnsi="Times New Roman" w:cs="Times New Roman"/>
                <w:b/>
              </w:rPr>
              <w:t>Parameters</w:t>
            </w:r>
          </w:p>
        </w:tc>
        <w:tc>
          <w:tcPr>
            <w:tcW w:w="6662" w:type="dxa"/>
            <w:gridSpan w:val="7"/>
          </w:tcPr>
          <w:p w14:paraId="6596031C" w14:textId="77777777" w:rsidR="00DF5897" w:rsidRPr="00AE0EFF" w:rsidRDefault="00F500B0" w:rsidP="00DF5897">
            <w:pPr>
              <w:rPr>
                <w:rFonts w:ascii="Times New Roman" w:hAnsi="Times New Roman" w:cs="Times New Roman"/>
                <w:b/>
              </w:rPr>
            </w:pPr>
            <w:r w:rsidRPr="00AE0EFF">
              <w:rPr>
                <w:rFonts w:ascii="Times New Roman" w:hAnsi="Times New Roman" w:cs="Times New Roman"/>
                <w:b/>
              </w:rPr>
              <w:t>Anova value at different days after anthesis</w:t>
            </w:r>
          </w:p>
          <w:p w14:paraId="470229D4" w14:textId="77777777" w:rsidR="00F500B0" w:rsidRPr="00AE0EFF" w:rsidRDefault="00F500B0" w:rsidP="00F500B0">
            <w:pPr>
              <w:rPr>
                <w:rFonts w:ascii="Times New Roman" w:hAnsi="Times New Roman" w:cs="Times New Roman"/>
                <w:b/>
              </w:rPr>
            </w:pPr>
            <w:r w:rsidRPr="00AE0EFF">
              <w:rPr>
                <w:rFonts w:ascii="Times New Roman" w:hAnsi="Times New Roman" w:cs="Times New Roman"/>
                <w:b/>
              </w:rPr>
              <w:t>F table value at 5%  (3.260) and 1% (5.410) level of significance</w:t>
            </w:r>
          </w:p>
        </w:tc>
      </w:tr>
      <w:tr w:rsidR="00FA522A" w:rsidRPr="00AE0EFF" w14:paraId="04474AAE" w14:textId="77777777" w:rsidTr="00F674B1">
        <w:tc>
          <w:tcPr>
            <w:tcW w:w="2802" w:type="dxa"/>
            <w:gridSpan w:val="2"/>
          </w:tcPr>
          <w:p w14:paraId="0B9FE548" w14:textId="77777777" w:rsidR="00FA522A" w:rsidRPr="00AE0EFF" w:rsidRDefault="00FA522A" w:rsidP="00F500B0">
            <w:pPr>
              <w:jc w:val="both"/>
              <w:rPr>
                <w:rFonts w:ascii="Times New Roman" w:hAnsi="Times New Roman" w:cs="Times New Roman"/>
                <w:b/>
              </w:rPr>
            </w:pPr>
            <w:r w:rsidRPr="00AE0EFF">
              <w:rPr>
                <w:rFonts w:ascii="Times New Roman" w:hAnsi="Times New Roman" w:cs="Times New Roman"/>
                <w:b/>
              </w:rPr>
              <w:t>Mean sum of square</w:t>
            </w:r>
          </w:p>
        </w:tc>
        <w:tc>
          <w:tcPr>
            <w:tcW w:w="1417" w:type="dxa"/>
          </w:tcPr>
          <w:p w14:paraId="102BC51D"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07 DAA</w:t>
            </w:r>
          </w:p>
        </w:tc>
        <w:tc>
          <w:tcPr>
            <w:tcW w:w="1276" w:type="dxa"/>
            <w:gridSpan w:val="2"/>
          </w:tcPr>
          <w:p w14:paraId="7A35A7B9" w14:textId="77777777" w:rsidR="00FA522A" w:rsidRPr="00AE0EFF" w:rsidRDefault="00FA522A">
            <w:pPr>
              <w:rPr>
                <w:rFonts w:ascii="Times New Roman" w:hAnsi="Times New Roman" w:cs="Times New Roman"/>
              </w:rPr>
            </w:pPr>
            <w:r w:rsidRPr="00AE0EFF">
              <w:rPr>
                <w:rFonts w:ascii="Times New Roman" w:hAnsi="Times New Roman" w:cs="Times New Roman"/>
              </w:rPr>
              <w:t>14 DAA</w:t>
            </w:r>
          </w:p>
        </w:tc>
        <w:tc>
          <w:tcPr>
            <w:tcW w:w="1374" w:type="dxa"/>
            <w:gridSpan w:val="2"/>
          </w:tcPr>
          <w:p w14:paraId="77705B44" w14:textId="77777777" w:rsidR="00FA522A" w:rsidRPr="00AE0EFF" w:rsidRDefault="00FA522A">
            <w:pPr>
              <w:rPr>
                <w:rFonts w:ascii="Times New Roman" w:hAnsi="Times New Roman" w:cs="Times New Roman"/>
              </w:rPr>
            </w:pPr>
            <w:r w:rsidRPr="00AE0EFF">
              <w:rPr>
                <w:rFonts w:ascii="Times New Roman" w:hAnsi="Times New Roman" w:cs="Times New Roman"/>
              </w:rPr>
              <w:t>21 DAA</w:t>
            </w:r>
          </w:p>
        </w:tc>
        <w:tc>
          <w:tcPr>
            <w:tcW w:w="1319" w:type="dxa"/>
          </w:tcPr>
          <w:p w14:paraId="2C6A31AC" w14:textId="77777777" w:rsidR="00FA522A" w:rsidRPr="00AE0EFF" w:rsidRDefault="00FA522A">
            <w:pPr>
              <w:rPr>
                <w:rFonts w:ascii="Times New Roman" w:hAnsi="Times New Roman" w:cs="Times New Roman"/>
              </w:rPr>
            </w:pPr>
            <w:r w:rsidRPr="00AE0EFF">
              <w:rPr>
                <w:rFonts w:ascii="Times New Roman" w:hAnsi="Times New Roman" w:cs="Times New Roman"/>
              </w:rPr>
              <w:t>28 DAA</w:t>
            </w:r>
          </w:p>
        </w:tc>
        <w:tc>
          <w:tcPr>
            <w:tcW w:w="1276" w:type="dxa"/>
          </w:tcPr>
          <w:p w14:paraId="0100519B" w14:textId="77777777" w:rsidR="00FA522A" w:rsidRPr="00AE0EFF" w:rsidRDefault="00FA522A">
            <w:pPr>
              <w:rPr>
                <w:rFonts w:ascii="Times New Roman" w:hAnsi="Times New Roman" w:cs="Times New Roman"/>
              </w:rPr>
            </w:pPr>
            <w:r w:rsidRPr="00AE0EFF">
              <w:rPr>
                <w:rFonts w:ascii="Times New Roman" w:hAnsi="Times New Roman" w:cs="Times New Roman"/>
              </w:rPr>
              <w:t>35 DAA</w:t>
            </w:r>
          </w:p>
        </w:tc>
      </w:tr>
      <w:tr w:rsidR="00F500B0" w:rsidRPr="00AE0EFF" w14:paraId="736E020E" w14:textId="77777777" w:rsidTr="00F674B1">
        <w:tc>
          <w:tcPr>
            <w:tcW w:w="534" w:type="dxa"/>
          </w:tcPr>
          <w:p w14:paraId="3E089E80" w14:textId="77777777" w:rsidR="00F500B0" w:rsidRPr="00AE0EFF" w:rsidRDefault="00F500B0" w:rsidP="00DF5897">
            <w:pPr>
              <w:rPr>
                <w:rFonts w:ascii="Times New Roman" w:hAnsi="Times New Roman" w:cs="Times New Roman"/>
              </w:rPr>
            </w:pPr>
            <w:r w:rsidRPr="00AE0EFF">
              <w:rPr>
                <w:rFonts w:ascii="Times New Roman" w:hAnsi="Times New Roman" w:cs="Times New Roman"/>
              </w:rPr>
              <w:t>1</w:t>
            </w:r>
          </w:p>
        </w:tc>
        <w:tc>
          <w:tcPr>
            <w:tcW w:w="2268" w:type="dxa"/>
          </w:tcPr>
          <w:p w14:paraId="6BB556B1" w14:textId="77777777" w:rsidR="00F500B0" w:rsidRPr="00AE0EFF" w:rsidRDefault="00F500B0" w:rsidP="00F500B0">
            <w:pPr>
              <w:rPr>
                <w:rFonts w:ascii="Times New Roman" w:hAnsi="Times New Roman" w:cs="Times New Roman"/>
              </w:rPr>
            </w:pPr>
            <w:r w:rsidRPr="00AE0EFF">
              <w:rPr>
                <w:rFonts w:ascii="Times New Roman" w:hAnsi="Times New Roman" w:cs="Times New Roman"/>
              </w:rPr>
              <w:t>Pod length</w:t>
            </w:r>
          </w:p>
        </w:tc>
        <w:tc>
          <w:tcPr>
            <w:tcW w:w="1417" w:type="dxa"/>
          </w:tcPr>
          <w:p w14:paraId="26CBBC1D" w14:textId="77777777" w:rsidR="00F500B0" w:rsidRPr="00AE0EFF" w:rsidRDefault="00FA522A" w:rsidP="00DF5897">
            <w:pPr>
              <w:jc w:val="right"/>
              <w:rPr>
                <w:rFonts w:ascii="Times New Roman" w:hAnsi="Times New Roman" w:cs="Times New Roman"/>
              </w:rPr>
            </w:pPr>
            <w:r w:rsidRPr="00AE0EFF">
              <w:rPr>
                <w:rFonts w:ascii="Times New Roman" w:hAnsi="Times New Roman" w:cs="Times New Roman"/>
              </w:rPr>
              <w:t>3.993*</w:t>
            </w:r>
          </w:p>
        </w:tc>
        <w:tc>
          <w:tcPr>
            <w:tcW w:w="1276" w:type="dxa"/>
            <w:gridSpan w:val="2"/>
          </w:tcPr>
          <w:p w14:paraId="70FC6918" w14:textId="77777777" w:rsidR="00F500B0" w:rsidRPr="00AE0EFF" w:rsidRDefault="00FA522A" w:rsidP="00DF5897">
            <w:pPr>
              <w:jc w:val="right"/>
              <w:rPr>
                <w:rFonts w:ascii="Times New Roman" w:hAnsi="Times New Roman" w:cs="Times New Roman"/>
              </w:rPr>
            </w:pPr>
            <w:r w:rsidRPr="00AE0EFF">
              <w:rPr>
                <w:rFonts w:ascii="Times New Roman" w:hAnsi="Times New Roman" w:cs="Times New Roman"/>
              </w:rPr>
              <w:t>4.284*</w:t>
            </w:r>
          </w:p>
        </w:tc>
        <w:tc>
          <w:tcPr>
            <w:tcW w:w="1374" w:type="dxa"/>
            <w:gridSpan w:val="2"/>
          </w:tcPr>
          <w:p w14:paraId="1E589F47" w14:textId="77777777" w:rsidR="00F500B0" w:rsidRPr="00AE0EFF" w:rsidRDefault="00FA522A" w:rsidP="00FA522A">
            <w:pPr>
              <w:jc w:val="right"/>
              <w:rPr>
                <w:rFonts w:ascii="Times New Roman" w:hAnsi="Times New Roman" w:cs="Times New Roman"/>
              </w:rPr>
            </w:pPr>
            <w:r w:rsidRPr="00AE0EFF">
              <w:rPr>
                <w:rFonts w:ascii="Times New Roman" w:hAnsi="Times New Roman" w:cs="Times New Roman"/>
              </w:rPr>
              <w:t>11.458**</w:t>
            </w:r>
          </w:p>
        </w:tc>
        <w:tc>
          <w:tcPr>
            <w:tcW w:w="1319" w:type="dxa"/>
          </w:tcPr>
          <w:p w14:paraId="48E32D73" w14:textId="77777777" w:rsidR="00F500B0" w:rsidRPr="00AE0EFF" w:rsidRDefault="00FA522A" w:rsidP="00DF5897">
            <w:pPr>
              <w:jc w:val="right"/>
              <w:rPr>
                <w:rFonts w:ascii="Times New Roman" w:hAnsi="Times New Roman" w:cs="Times New Roman"/>
              </w:rPr>
            </w:pPr>
            <w:r w:rsidRPr="00AE0EFF">
              <w:rPr>
                <w:rFonts w:ascii="Times New Roman" w:hAnsi="Times New Roman" w:cs="Times New Roman"/>
              </w:rPr>
              <w:t>2.957</w:t>
            </w:r>
          </w:p>
        </w:tc>
        <w:tc>
          <w:tcPr>
            <w:tcW w:w="1276" w:type="dxa"/>
          </w:tcPr>
          <w:p w14:paraId="4E5379A1" w14:textId="77777777" w:rsidR="00F500B0" w:rsidRPr="00AE0EFF" w:rsidRDefault="00F674B1" w:rsidP="00DF5897">
            <w:pPr>
              <w:jc w:val="right"/>
              <w:rPr>
                <w:rFonts w:ascii="Times New Roman" w:hAnsi="Times New Roman" w:cs="Times New Roman"/>
              </w:rPr>
            </w:pPr>
            <w:r w:rsidRPr="00AE0EFF">
              <w:rPr>
                <w:rFonts w:ascii="Times New Roman" w:hAnsi="Times New Roman" w:cs="Times New Roman"/>
              </w:rPr>
              <w:t>7.285**</w:t>
            </w:r>
          </w:p>
        </w:tc>
      </w:tr>
      <w:tr w:rsidR="00FA522A" w:rsidRPr="00AE0EFF" w14:paraId="730991B5" w14:textId="77777777" w:rsidTr="00F674B1">
        <w:tc>
          <w:tcPr>
            <w:tcW w:w="534" w:type="dxa"/>
          </w:tcPr>
          <w:p w14:paraId="5E51DADB"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2</w:t>
            </w:r>
          </w:p>
        </w:tc>
        <w:tc>
          <w:tcPr>
            <w:tcW w:w="2268" w:type="dxa"/>
          </w:tcPr>
          <w:p w14:paraId="0545E27F"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No of seed/pod</w:t>
            </w:r>
          </w:p>
        </w:tc>
        <w:tc>
          <w:tcPr>
            <w:tcW w:w="1417" w:type="dxa"/>
          </w:tcPr>
          <w:p w14:paraId="650EDAE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2.227</w:t>
            </w:r>
          </w:p>
        </w:tc>
        <w:tc>
          <w:tcPr>
            <w:tcW w:w="1276" w:type="dxa"/>
            <w:gridSpan w:val="2"/>
          </w:tcPr>
          <w:p w14:paraId="05F1D087"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4.232*</w:t>
            </w:r>
          </w:p>
        </w:tc>
        <w:tc>
          <w:tcPr>
            <w:tcW w:w="1374" w:type="dxa"/>
            <w:gridSpan w:val="2"/>
          </w:tcPr>
          <w:p w14:paraId="28D98C62"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7.869**</w:t>
            </w:r>
          </w:p>
        </w:tc>
        <w:tc>
          <w:tcPr>
            <w:tcW w:w="1319" w:type="dxa"/>
          </w:tcPr>
          <w:p w14:paraId="3CEB4E10"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1.070</w:t>
            </w:r>
          </w:p>
        </w:tc>
        <w:tc>
          <w:tcPr>
            <w:tcW w:w="1276" w:type="dxa"/>
          </w:tcPr>
          <w:p w14:paraId="2A1E9A13"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10.712**</w:t>
            </w:r>
          </w:p>
        </w:tc>
      </w:tr>
      <w:tr w:rsidR="00FA522A" w:rsidRPr="00AE0EFF" w14:paraId="133F5E02" w14:textId="77777777" w:rsidTr="00F674B1">
        <w:tc>
          <w:tcPr>
            <w:tcW w:w="534" w:type="dxa"/>
          </w:tcPr>
          <w:p w14:paraId="5127BF8B"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3</w:t>
            </w:r>
          </w:p>
        </w:tc>
        <w:tc>
          <w:tcPr>
            <w:tcW w:w="2268" w:type="dxa"/>
          </w:tcPr>
          <w:p w14:paraId="7CEC1BD2"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1000 seed weight</w:t>
            </w:r>
          </w:p>
        </w:tc>
        <w:tc>
          <w:tcPr>
            <w:tcW w:w="1417" w:type="dxa"/>
          </w:tcPr>
          <w:p w14:paraId="08F44FD0" w14:textId="77777777" w:rsidR="00FA522A" w:rsidRPr="00AE0EFF" w:rsidRDefault="00FA522A" w:rsidP="00DF5897">
            <w:pPr>
              <w:jc w:val="right"/>
              <w:rPr>
                <w:rFonts w:ascii="Times New Roman" w:hAnsi="Times New Roman" w:cs="Times New Roman"/>
              </w:rPr>
            </w:pPr>
          </w:p>
        </w:tc>
        <w:tc>
          <w:tcPr>
            <w:tcW w:w="1276" w:type="dxa"/>
            <w:gridSpan w:val="2"/>
          </w:tcPr>
          <w:p w14:paraId="1FA6903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11.063**</w:t>
            </w:r>
          </w:p>
        </w:tc>
        <w:tc>
          <w:tcPr>
            <w:tcW w:w="1374" w:type="dxa"/>
            <w:gridSpan w:val="2"/>
          </w:tcPr>
          <w:p w14:paraId="53F85E68"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17.724**</w:t>
            </w:r>
          </w:p>
        </w:tc>
        <w:tc>
          <w:tcPr>
            <w:tcW w:w="1319" w:type="dxa"/>
          </w:tcPr>
          <w:p w14:paraId="7A4AAB59"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12.568**</w:t>
            </w:r>
          </w:p>
        </w:tc>
        <w:tc>
          <w:tcPr>
            <w:tcW w:w="1276" w:type="dxa"/>
          </w:tcPr>
          <w:p w14:paraId="1D9C60EE"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14.210**</w:t>
            </w:r>
          </w:p>
        </w:tc>
      </w:tr>
      <w:tr w:rsidR="00FA522A" w:rsidRPr="00AE0EFF" w14:paraId="2EF4214A" w14:textId="77777777" w:rsidTr="00F674B1">
        <w:tc>
          <w:tcPr>
            <w:tcW w:w="534" w:type="dxa"/>
          </w:tcPr>
          <w:p w14:paraId="01063A83"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4</w:t>
            </w:r>
          </w:p>
        </w:tc>
        <w:tc>
          <w:tcPr>
            <w:tcW w:w="2268" w:type="dxa"/>
          </w:tcPr>
          <w:p w14:paraId="66FF6783" w14:textId="77777777" w:rsidR="00FA522A" w:rsidRPr="00AE0EFF" w:rsidRDefault="00FA522A" w:rsidP="00F500B0">
            <w:pPr>
              <w:ind w:right="-108"/>
              <w:rPr>
                <w:rFonts w:ascii="Times New Roman" w:hAnsi="Times New Roman" w:cs="Times New Roman"/>
              </w:rPr>
            </w:pPr>
            <w:r w:rsidRPr="00AE0EFF">
              <w:rPr>
                <w:rFonts w:ascii="Times New Roman" w:hAnsi="Times New Roman" w:cs="Times New Roman"/>
              </w:rPr>
              <w:t>Seed fresh weight</w:t>
            </w:r>
          </w:p>
        </w:tc>
        <w:tc>
          <w:tcPr>
            <w:tcW w:w="1417" w:type="dxa"/>
          </w:tcPr>
          <w:p w14:paraId="6F330812" w14:textId="77777777" w:rsidR="00FA522A" w:rsidRPr="00AE0EFF" w:rsidRDefault="00FA522A" w:rsidP="00DF5897">
            <w:pPr>
              <w:jc w:val="right"/>
              <w:rPr>
                <w:rFonts w:ascii="Times New Roman" w:hAnsi="Times New Roman" w:cs="Times New Roman"/>
              </w:rPr>
            </w:pPr>
          </w:p>
        </w:tc>
        <w:tc>
          <w:tcPr>
            <w:tcW w:w="1276" w:type="dxa"/>
            <w:gridSpan w:val="2"/>
          </w:tcPr>
          <w:p w14:paraId="13C98D08"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33.947**</w:t>
            </w:r>
          </w:p>
        </w:tc>
        <w:tc>
          <w:tcPr>
            <w:tcW w:w="1374" w:type="dxa"/>
            <w:gridSpan w:val="2"/>
          </w:tcPr>
          <w:p w14:paraId="3634345D"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36.584**</w:t>
            </w:r>
          </w:p>
        </w:tc>
        <w:tc>
          <w:tcPr>
            <w:tcW w:w="1319" w:type="dxa"/>
          </w:tcPr>
          <w:p w14:paraId="0BC9A011"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23.349**</w:t>
            </w:r>
          </w:p>
        </w:tc>
        <w:tc>
          <w:tcPr>
            <w:tcW w:w="1276" w:type="dxa"/>
          </w:tcPr>
          <w:p w14:paraId="510E5C34"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14.935**</w:t>
            </w:r>
          </w:p>
        </w:tc>
      </w:tr>
      <w:tr w:rsidR="00FA522A" w:rsidRPr="00AE0EFF" w14:paraId="61E23317" w14:textId="77777777" w:rsidTr="00F674B1">
        <w:tc>
          <w:tcPr>
            <w:tcW w:w="534" w:type="dxa"/>
          </w:tcPr>
          <w:p w14:paraId="66ADEB06"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5</w:t>
            </w:r>
          </w:p>
        </w:tc>
        <w:tc>
          <w:tcPr>
            <w:tcW w:w="2268" w:type="dxa"/>
          </w:tcPr>
          <w:p w14:paraId="391E2889"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Seed dry weight</w:t>
            </w:r>
          </w:p>
        </w:tc>
        <w:tc>
          <w:tcPr>
            <w:tcW w:w="1417" w:type="dxa"/>
          </w:tcPr>
          <w:p w14:paraId="5505E410" w14:textId="77777777" w:rsidR="00FA522A" w:rsidRPr="00AE0EFF" w:rsidRDefault="00FA522A" w:rsidP="00DF5897">
            <w:pPr>
              <w:jc w:val="right"/>
              <w:rPr>
                <w:rFonts w:ascii="Times New Roman" w:hAnsi="Times New Roman" w:cs="Times New Roman"/>
              </w:rPr>
            </w:pPr>
          </w:p>
        </w:tc>
        <w:tc>
          <w:tcPr>
            <w:tcW w:w="1276" w:type="dxa"/>
            <w:gridSpan w:val="2"/>
          </w:tcPr>
          <w:p w14:paraId="5E0B20EA"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14.365**</w:t>
            </w:r>
          </w:p>
        </w:tc>
        <w:tc>
          <w:tcPr>
            <w:tcW w:w="1374" w:type="dxa"/>
            <w:gridSpan w:val="2"/>
          </w:tcPr>
          <w:p w14:paraId="6BFA8872"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52.024**</w:t>
            </w:r>
          </w:p>
        </w:tc>
        <w:tc>
          <w:tcPr>
            <w:tcW w:w="1319" w:type="dxa"/>
          </w:tcPr>
          <w:p w14:paraId="05517CA5"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10.039**</w:t>
            </w:r>
          </w:p>
        </w:tc>
        <w:tc>
          <w:tcPr>
            <w:tcW w:w="1276" w:type="dxa"/>
          </w:tcPr>
          <w:p w14:paraId="222789E7"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4.411*</w:t>
            </w:r>
          </w:p>
        </w:tc>
      </w:tr>
      <w:tr w:rsidR="00FA522A" w:rsidRPr="00AE0EFF" w14:paraId="1F4E27C9" w14:textId="77777777" w:rsidTr="00F674B1">
        <w:tc>
          <w:tcPr>
            <w:tcW w:w="534" w:type="dxa"/>
          </w:tcPr>
          <w:p w14:paraId="3DCEE0D5"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6</w:t>
            </w:r>
          </w:p>
        </w:tc>
        <w:tc>
          <w:tcPr>
            <w:tcW w:w="2268" w:type="dxa"/>
          </w:tcPr>
          <w:p w14:paraId="44941F4C"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 xml:space="preserve">Seed moisture content </w:t>
            </w:r>
          </w:p>
        </w:tc>
        <w:tc>
          <w:tcPr>
            <w:tcW w:w="1417" w:type="dxa"/>
          </w:tcPr>
          <w:p w14:paraId="0181913D" w14:textId="77777777" w:rsidR="00FA522A" w:rsidRPr="00AE0EFF" w:rsidRDefault="00FA522A" w:rsidP="00DF5897">
            <w:pPr>
              <w:jc w:val="right"/>
              <w:rPr>
                <w:rFonts w:ascii="Times New Roman" w:hAnsi="Times New Roman" w:cs="Times New Roman"/>
              </w:rPr>
            </w:pPr>
          </w:p>
        </w:tc>
        <w:tc>
          <w:tcPr>
            <w:tcW w:w="1276" w:type="dxa"/>
            <w:gridSpan w:val="2"/>
          </w:tcPr>
          <w:p w14:paraId="62AD707A"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9.662**</w:t>
            </w:r>
          </w:p>
        </w:tc>
        <w:tc>
          <w:tcPr>
            <w:tcW w:w="1374" w:type="dxa"/>
            <w:gridSpan w:val="2"/>
          </w:tcPr>
          <w:p w14:paraId="32C0F5AD"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14.813**</w:t>
            </w:r>
          </w:p>
        </w:tc>
        <w:tc>
          <w:tcPr>
            <w:tcW w:w="1319" w:type="dxa"/>
          </w:tcPr>
          <w:p w14:paraId="2F9DCEBB"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6.605**</w:t>
            </w:r>
          </w:p>
        </w:tc>
        <w:tc>
          <w:tcPr>
            <w:tcW w:w="1276" w:type="dxa"/>
          </w:tcPr>
          <w:p w14:paraId="5410B074" w14:textId="77777777" w:rsidR="00FA522A" w:rsidRPr="00AE0EFF" w:rsidRDefault="00F674B1" w:rsidP="00F674B1">
            <w:pPr>
              <w:jc w:val="right"/>
              <w:rPr>
                <w:rFonts w:ascii="Times New Roman" w:hAnsi="Times New Roman" w:cs="Times New Roman"/>
              </w:rPr>
            </w:pPr>
            <w:r w:rsidRPr="00AE0EFF">
              <w:rPr>
                <w:rFonts w:ascii="Times New Roman" w:hAnsi="Times New Roman" w:cs="Times New Roman"/>
              </w:rPr>
              <w:t>4.724*</w:t>
            </w:r>
          </w:p>
        </w:tc>
      </w:tr>
      <w:tr w:rsidR="00FA522A" w:rsidRPr="00AE0EFF" w14:paraId="6E40F099" w14:textId="77777777" w:rsidTr="00F674B1">
        <w:tc>
          <w:tcPr>
            <w:tcW w:w="534" w:type="dxa"/>
          </w:tcPr>
          <w:p w14:paraId="1459151A"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7</w:t>
            </w:r>
          </w:p>
        </w:tc>
        <w:tc>
          <w:tcPr>
            <w:tcW w:w="2268" w:type="dxa"/>
          </w:tcPr>
          <w:p w14:paraId="388B3A12"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Pod weight</w:t>
            </w:r>
          </w:p>
        </w:tc>
        <w:tc>
          <w:tcPr>
            <w:tcW w:w="1417" w:type="dxa"/>
          </w:tcPr>
          <w:p w14:paraId="503FA426" w14:textId="77777777" w:rsidR="00FA522A" w:rsidRPr="00AE0EFF" w:rsidRDefault="00FA522A" w:rsidP="00DF5897">
            <w:pPr>
              <w:jc w:val="right"/>
              <w:rPr>
                <w:rFonts w:ascii="Times New Roman" w:hAnsi="Times New Roman" w:cs="Times New Roman"/>
              </w:rPr>
            </w:pPr>
          </w:p>
        </w:tc>
        <w:tc>
          <w:tcPr>
            <w:tcW w:w="1276" w:type="dxa"/>
            <w:gridSpan w:val="2"/>
          </w:tcPr>
          <w:p w14:paraId="348916F4"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861.512**</w:t>
            </w:r>
          </w:p>
        </w:tc>
        <w:tc>
          <w:tcPr>
            <w:tcW w:w="1374" w:type="dxa"/>
            <w:gridSpan w:val="2"/>
          </w:tcPr>
          <w:p w14:paraId="0A425D9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964.035**</w:t>
            </w:r>
          </w:p>
        </w:tc>
        <w:tc>
          <w:tcPr>
            <w:tcW w:w="1319" w:type="dxa"/>
          </w:tcPr>
          <w:p w14:paraId="2F0E3B1C"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263.512**</w:t>
            </w:r>
          </w:p>
        </w:tc>
        <w:tc>
          <w:tcPr>
            <w:tcW w:w="1276" w:type="dxa"/>
          </w:tcPr>
          <w:p w14:paraId="4FFE6A4D"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1569.413**</w:t>
            </w:r>
          </w:p>
        </w:tc>
      </w:tr>
      <w:tr w:rsidR="00FA522A" w:rsidRPr="00AE0EFF" w14:paraId="467D8F6F" w14:textId="77777777" w:rsidTr="00F674B1">
        <w:tc>
          <w:tcPr>
            <w:tcW w:w="534" w:type="dxa"/>
          </w:tcPr>
          <w:p w14:paraId="4C5B1B9C"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8</w:t>
            </w:r>
          </w:p>
        </w:tc>
        <w:tc>
          <w:tcPr>
            <w:tcW w:w="2268" w:type="dxa"/>
          </w:tcPr>
          <w:p w14:paraId="5E3F1D97" w14:textId="77777777" w:rsidR="00FA522A" w:rsidRPr="00AE0EFF" w:rsidRDefault="00FA522A" w:rsidP="00F500B0">
            <w:pPr>
              <w:rPr>
                <w:rFonts w:ascii="Times New Roman" w:hAnsi="Times New Roman" w:cs="Times New Roman"/>
              </w:rPr>
            </w:pPr>
            <w:r w:rsidRPr="00AE0EFF">
              <w:rPr>
                <w:rFonts w:ascii="Times New Roman" w:hAnsi="Times New Roman" w:cs="Times New Roman"/>
              </w:rPr>
              <w:t>Seed Germination</w:t>
            </w:r>
          </w:p>
        </w:tc>
        <w:tc>
          <w:tcPr>
            <w:tcW w:w="1417" w:type="dxa"/>
          </w:tcPr>
          <w:p w14:paraId="365F159A" w14:textId="77777777" w:rsidR="00FA522A" w:rsidRPr="00AE0EFF" w:rsidRDefault="00FA522A" w:rsidP="00DF5897">
            <w:pPr>
              <w:jc w:val="right"/>
              <w:rPr>
                <w:rFonts w:ascii="Times New Roman" w:hAnsi="Times New Roman" w:cs="Times New Roman"/>
              </w:rPr>
            </w:pPr>
          </w:p>
        </w:tc>
        <w:tc>
          <w:tcPr>
            <w:tcW w:w="1276" w:type="dxa"/>
            <w:gridSpan w:val="2"/>
          </w:tcPr>
          <w:p w14:paraId="78CC966D"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23.805**</w:t>
            </w:r>
          </w:p>
        </w:tc>
        <w:tc>
          <w:tcPr>
            <w:tcW w:w="1374" w:type="dxa"/>
            <w:gridSpan w:val="2"/>
          </w:tcPr>
          <w:p w14:paraId="5BB3B980"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69.153**</w:t>
            </w:r>
          </w:p>
        </w:tc>
        <w:tc>
          <w:tcPr>
            <w:tcW w:w="1319" w:type="dxa"/>
          </w:tcPr>
          <w:p w14:paraId="18E03E8A"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11.142**</w:t>
            </w:r>
          </w:p>
        </w:tc>
        <w:tc>
          <w:tcPr>
            <w:tcW w:w="1276" w:type="dxa"/>
          </w:tcPr>
          <w:p w14:paraId="6DCC0235" w14:textId="77777777" w:rsidR="00FA522A" w:rsidRPr="00AE0EFF" w:rsidRDefault="00F674B1" w:rsidP="00F674B1">
            <w:pPr>
              <w:jc w:val="right"/>
              <w:rPr>
                <w:rFonts w:ascii="Times New Roman" w:hAnsi="Times New Roman" w:cs="Times New Roman"/>
              </w:rPr>
            </w:pPr>
            <w:r w:rsidRPr="00AE0EFF">
              <w:rPr>
                <w:rFonts w:ascii="Times New Roman" w:hAnsi="Times New Roman" w:cs="Times New Roman"/>
              </w:rPr>
              <w:t>72.441**</w:t>
            </w:r>
          </w:p>
        </w:tc>
      </w:tr>
      <w:tr w:rsidR="00FA522A" w:rsidRPr="00AE0EFF" w14:paraId="45C3459E" w14:textId="77777777" w:rsidTr="00F674B1">
        <w:tc>
          <w:tcPr>
            <w:tcW w:w="534" w:type="dxa"/>
          </w:tcPr>
          <w:p w14:paraId="59F4699E"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9</w:t>
            </w:r>
          </w:p>
        </w:tc>
        <w:tc>
          <w:tcPr>
            <w:tcW w:w="2268" w:type="dxa"/>
          </w:tcPr>
          <w:p w14:paraId="1084B981"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Seedling shoot length</w:t>
            </w:r>
          </w:p>
        </w:tc>
        <w:tc>
          <w:tcPr>
            <w:tcW w:w="1417" w:type="dxa"/>
          </w:tcPr>
          <w:p w14:paraId="4ECD3AF1" w14:textId="77777777" w:rsidR="00FA522A" w:rsidRPr="00AE0EFF" w:rsidRDefault="00FA522A" w:rsidP="00DF5897">
            <w:pPr>
              <w:jc w:val="right"/>
              <w:rPr>
                <w:rFonts w:ascii="Times New Roman" w:hAnsi="Times New Roman" w:cs="Times New Roman"/>
              </w:rPr>
            </w:pPr>
          </w:p>
        </w:tc>
        <w:tc>
          <w:tcPr>
            <w:tcW w:w="1276" w:type="dxa"/>
            <w:gridSpan w:val="2"/>
          </w:tcPr>
          <w:p w14:paraId="325B086B"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12.054**</w:t>
            </w:r>
          </w:p>
        </w:tc>
        <w:tc>
          <w:tcPr>
            <w:tcW w:w="1374" w:type="dxa"/>
            <w:gridSpan w:val="2"/>
          </w:tcPr>
          <w:p w14:paraId="695EB4AE" w14:textId="77777777" w:rsidR="00FA522A" w:rsidRPr="00AE0EFF" w:rsidRDefault="00FA522A" w:rsidP="00FA522A">
            <w:pPr>
              <w:jc w:val="right"/>
              <w:rPr>
                <w:rFonts w:ascii="Times New Roman" w:hAnsi="Times New Roman" w:cs="Times New Roman"/>
              </w:rPr>
            </w:pPr>
            <w:r w:rsidRPr="00AE0EFF">
              <w:rPr>
                <w:rFonts w:ascii="Times New Roman" w:hAnsi="Times New Roman" w:cs="Times New Roman"/>
              </w:rPr>
              <w:t>88.707**</w:t>
            </w:r>
          </w:p>
        </w:tc>
        <w:tc>
          <w:tcPr>
            <w:tcW w:w="1319" w:type="dxa"/>
          </w:tcPr>
          <w:p w14:paraId="71465FCF"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3.444*</w:t>
            </w:r>
          </w:p>
        </w:tc>
        <w:tc>
          <w:tcPr>
            <w:tcW w:w="1276" w:type="dxa"/>
          </w:tcPr>
          <w:p w14:paraId="33D677EB"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37.797**</w:t>
            </w:r>
          </w:p>
        </w:tc>
      </w:tr>
      <w:tr w:rsidR="00FA522A" w:rsidRPr="00AE0EFF" w14:paraId="076E46E7" w14:textId="77777777" w:rsidTr="00F674B1">
        <w:tc>
          <w:tcPr>
            <w:tcW w:w="534" w:type="dxa"/>
          </w:tcPr>
          <w:p w14:paraId="6F5290AB"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10</w:t>
            </w:r>
          </w:p>
        </w:tc>
        <w:tc>
          <w:tcPr>
            <w:tcW w:w="2268" w:type="dxa"/>
          </w:tcPr>
          <w:p w14:paraId="4D84DAE5"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Seedling root length</w:t>
            </w:r>
          </w:p>
        </w:tc>
        <w:tc>
          <w:tcPr>
            <w:tcW w:w="1417" w:type="dxa"/>
          </w:tcPr>
          <w:p w14:paraId="7CCE56E2" w14:textId="77777777" w:rsidR="00FA522A" w:rsidRPr="00AE0EFF" w:rsidRDefault="00FA522A" w:rsidP="00DF5897">
            <w:pPr>
              <w:jc w:val="right"/>
              <w:rPr>
                <w:rFonts w:ascii="Times New Roman" w:hAnsi="Times New Roman" w:cs="Times New Roman"/>
              </w:rPr>
            </w:pPr>
          </w:p>
        </w:tc>
        <w:tc>
          <w:tcPr>
            <w:tcW w:w="1276" w:type="dxa"/>
            <w:gridSpan w:val="2"/>
          </w:tcPr>
          <w:p w14:paraId="12E81830"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 xml:space="preserve">2.176  </w:t>
            </w:r>
          </w:p>
        </w:tc>
        <w:tc>
          <w:tcPr>
            <w:tcW w:w="1374" w:type="dxa"/>
            <w:gridSpan w:val="2"/>
          </w:tcPr>
          <w:p w14:paraId="6CF4951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7.795**</w:t>
            </w:r>
          </w:p>
        </w:tc>
        <w:tc>
          <w:tcPr>
            <w:tcW w:w="1319" w:type="dxa"/>
          </w:tcPr>
          <w:p w14:paraId="7E099C20"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10.336**</w:t>
            </w:r>
          </w:p>
        </w:tc>
        <w:tc>
          <w:tcPr>
            <w:tcW w:w="1276" w:type="dxa"/>
          </w:tcPr>
          <w:p w14:paraId="51B77E1F"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30.186**</w:t>
            </w:r>
          </w:p>
        </w:tc>
      </w:tr>
      <w:tr w:rsidR="00FA522A" w:rsidRPr="00AE0EFF" w14:paraId="1971B4ED" w14:textId="77777777" w:rsidTr="00F674B1">
        <w:tc>
          <w:tcPr>
            <w:tcW w:w="534" w:type="dxa"/>
          </w:tcPr>
          <w:p w14:paraId="2CA2C504"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11</w:t>
            </w:r>
          </w:p>
        </w:tc>
        <w:tc>
          <w:tcPr>
            <w:tcW w:w="2268" w:type="dxa"/>
          </w:tcPr>
          <w:p w14:paraId="7B6CEDA9"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Seedling length</w:t>
            </w:r>
          </w:p>
        </w:tc>
        <w:tc>
          <w:tcPr>
            <w:tcW w:w="1417" w:type="dxa"/>
          </w:tcPr>
          <w:p w14:paraId="1CE669FA"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36.621**</w:t>
            </w:r>
          </w:p>
        </w:tc>
        <w:tc>
          <w:tcPr>
            <w:tcW w:w="1276" w:type="dxa"/>
            <w:gridSpan w:val="2"/>
          </w:tcPr>
          <w:p w14:paraId="4E7C5FC8"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14.161**</w:t>
            </w:r>
          </w:p>
        </w:tc>
        <w:tc>
          <w:tcPr>
            <w:tcW w:w="1374" w:type="dxa"/>
            <w:gridSpan w:val="2"/>
          </w:tcPr>
          <w:p w14:paraId="14734BD5"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132.953**</w:t>
            </w:r>
          </w:p>
        </w:tc>
        <w:tc>
          <w:tcPr>
            <w:tcW w:w="1319" w:type="dxa"/>
          </w:tcPr>
          <w:p w14:paraId="2630EB7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13.122**</w:t>
            </w:r>
          </w:p>
        </w:tc>
        <w:tc>
          <w:tcPr>
            <w:tcW w:w="1276" w:type="dxa"/>
          </w:tcPr>
          <w:p w14:paraId="3DC714B2"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36.621**</w:t>
            </w:r>
          </w:p>
        </w:tc>
      </w:tr>
      <w:tr w:rsidR="00FA522A" w:rsidRPr="00AE0EFF" w14:paraId="122081BA" w14:textId="77777777" w:rsidTr="00F674B1">
        <w:tc>
          <w:tcPr>
            <w:tcW w:w="534" w:type="dxa"/>
            <w:tcBorders>
              <w:bottom w:val="single" w:sz="4" w:space="0" w:color="000000" w:themeColor="text1"/>
            </w:tcBorders>
          </w:tcPr>
          <w:p w14:paraId="3A36ADC8"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12</w:t>
            </w:r>
          </w:p>
        </w:tc>
        <w:tc>
          <w:tcPr>
            <w:tcW w:w="2268" w:type="dxa"/>
            <w:tcBorders>
              <w:bottom w:val="single" w:sz="4" w:space="0" w:color="000000" w:themeColor="text1"/>
            </w:tcBorders>
          </w:tcPr>
          <w:p w14:paraId="5EB5A8A5" w14:textId="77777777" w:rsidR="00FA522A" w:rsidRPr="00AE0EFF" w:rsidRDefault="00FA522A" w:rsidP="00DF5897">
            <w:pPr>
              <w:rPr>
                <w:rFonts w:ascii="Times New Roman" w:hAnsi="Times New Roman" w:cs="Times New Roman"/>
              </w:rPr>
            </w:pPr>
            <w:proofErr w:type="spellStart"/>
            <w:r w:rsidRPr="00AE0EFF">
              <w:rPr>
                <w:rFonts w:ascii="Times New Roman" w:hAnsi="Times New Roman" w:cs="Times New Roman"/>
              </w:rPr>
              <w:t>Vigour</w:t>
            </w:r>
            <w:proofErr w:type="spellEnd"/>
            <w:r w:rsidRPr="00AE0EFF">
              <w:rPr>
                <w:rFonts w:ascii="Times New Roman" w:hAnsi="Times New Roman" w:cs="Times New Roman"/>
              </w:rPr>
              <w:t xml:space="preserve"> Index I</w:t>
            </w:r>
          </w:p>
        </w:tc>
        <w:tc>
          <w:tcPr>
            <w:tcW w:w="1417" w:type="dxa"/>
            <w:tcBorders>
              <w:bottom w:val="single" w:sz="4" w:space="0" w:color="000000" w:themeColor="text1"/>
            </w:tcBorders>
          </w:tcPr>
          <w:p w14:paraId="7A13BDB8"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15.710**</w:t>
            </w:r>
          </w:p>
        </w:tc>
        <w:tc>
          <w:tcPr>
            <w:tcW w:w="1276" w:type="dxa"/>
            <w:gridSpan w:val="2"/>
            <w:tcBorders>
              <w:bottom w:val="single" w:sz="4" w:space="0" w:color="000000" w:themeColor="text1"/>
            </w:tcBorders>
          </w:tcPr>
          <w:p w14:paraId="62623EBE"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16.167**</w:t>
            </w:r>
          </w:p>
        </w:tc>
        <w:tc>
          <w:tcPr>
            <w:tcW w:w="1374" w:type="dxa"/>
            <w:gridSpan w:val="2"/>
            <w:tcBorders>
              <w:bottom w:val="single" w:sz="4" w:space="0" w:color="000000" w:themeColor="text1"/>
            </w:tcBorders>
          </w:tcPr>
          <w:p w14:paraId="6E0DE573"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42.431**</w:t>
            </w:r>
          </w:p>
        </w:tc>
        <w:tc>
          <w:tcPr>
            <w:tcW w:w="1319" w:type="dxa"/>
            <w:tcBorders>
              <w:bottom w:val="single" w:sz="4" w:space="0" w:color="000000" w:themeColor="text1"/>
            </w:tcBorders>
          </w:tcPr>
          <w:p w14:paraId="2628523B"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15.676**</w:t>
            </w:r>
          </w:p>
        </w:tc>
        <w:tc>
          <w:tcPr>
            <w:tcW w:w="1276" w:type="dxa"/>
            <w:tcBorders>
              <w:bottom w:val="single" w:sz="4" w:space="0" w:color="000000" w:themeColor="text1"/>
            </w:tcBorders>
          </w:tcPr>
          <w:p w14:paraId="73E7792C"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15.710**</w:t>
            </w:r>
          </w:p>
        </w:tc>
      </w:tr>
      <w:tr w:rsidR="00FA522A" w:rsidRPr="00AE0EFF" w14:paraId="3E91C9B5" w14:textId="77777777" w:rsidTr="00F674B1">
        <w:tc>
          <w:tcPr>
            <w:tcW w:w="534" w:type="dxa"/>
            <w:tcBorders>
              <w:bottom w:val="single" w:sz="4" w:space="0" w:color="auto"/>
            </w:tcBorders>
          </w:tcPr>
          <w:p w14:paraId="041D700D" w14:textId="77777777" w:rsidR="00FA522A" w:rsidRPr="00AE0EFF" w:rsidRDefault="00FA522A" w:rsidP="00DF5897">
            <w:pPr>
              <w:rPr>
                <w:rFonts w:ascii="Times New Roman" w:hAnsi="Times New Roman" w:cs="Times New Roman"/>
              </w:rPr>
            </w:pPr>
            <w:r w:rsidRPr="00AE0EFF">
              <w:rPr>
                <w:rFonts w:ascii="Times New Roman" w:hAnsi="Times New Roman" w:cs="Times New Roman"/>
              </w:rPr>
              <w:t>13</w:t>
            </w:r>
          </w:p>
        </w:tc>
        <w:tc>
          <w:tcPr>
            <w:tcW w:w="2268" w:type="dxa"/>
            <w:tcBorders>
              <w:bottom w:val="single" w:sz="4" w:space="0" w:color="auto"/>
            </w:tcBorders>
          </w:tcPr>
          <w:p w14:paraId="78604E07" w14:textId="77777777" w:rsidR="00FA522A" w:rsidRPr="00AE0EFF" w:rsidRDefault="00FA522A" w:rsidP="00DF5897">
            <w:pPr>
              <w:rPr>
                <w:rFonts w:ascii="Times New Roman" w:hAnsi="Times New Roman" w:cs="Times New Roman"/>
              </w:rPr>
            </w:pPr>
            <w:proofErr w:type="spellStart"/>
            <w:r w:rsidRPr="00AE0EFF">
              <w:rPr>
                <w:rFonts w:ascii="Times New Roman" w:hAnsi="Times New Roman" w:cs="Times New Roman"/>
              </w:rPr>
              <w:t>Vigour</w:t>
            </w:r>
            <w:proofErr w:type="spellEnd"/>
            <w:r w:rsidRPr="00AE0EFF">
              <w:rPr>
                <w:rFonts w:ascii="Times New Roman" w:hAnsi="Times New Roman" w:cs="Times New Roman"/>
              </w:rPr>
              <w:t xml:space="preserve"> index II</w:t>
            </w:r>
          </w:p>
        </w:tc>
        <w:tc>
          <w:tcPr>
            <w:tcW w:w="1417" w:type="dxa"/>
            <w:tcBorders>
              <w:bottom w:val="single" w:sz="4" w:space="0" w:color="auto"/>
            </w:tcBorders>
          </w:tcPr>
          <w:p w14:paraId="219E624C"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44.207**</w:t>
            </w:r>
          </w:p>
        </w:tc>
        <w:tc>
          <w:tcPr>
            <w:tcW w:w="1276" w:type="dxa"/>
            <w:gridSpan w:val="2"/>
            <w:tcBorders>
              <w:bottom w:val="single" w:sz="4" w:space="0" w:color="auto"/>
            </w:tcBorders>
          </w:tcPr>
          <w:p w14:paraId="542DCBE9"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10.940**</w:t>
            </w:r>
          </w:p>
        </w:tc>
        <w:tc>
          <w:tcPr>
            <w:tcW w:w="1374" w:type="dxa"/>
            <w:gridSpan w:val="2"/>
            <w:tcBorders>
              <w:bottom w:val="single" w:sz="4" w:space="0" w:color="auto"/>
            </w:tcBorders>
          </w:tcPr>
          <w:p w14:paraId="7BF47C5D" w14:textId="77777777" w:rsidR="00FA522A" w:rsidRPr="00AE0EFF" w:rsidRDefault="00FA522A" w:rsidP="00BA03DA">
            <w:pPr>
              <w:jc w:val="right"/>
              <w:rPr>
                <w:rFonts w:ascii="Times New Roman" w:hAnsi="Times New Roman" w:cs="Times New Roman"/>
              </w:rPr>
            </w:pPr>
            <w:r w:rsidRPr="00AE0EFF">
              <w:rPr>
                <w:rFonts w:ascii="Times New Roman" w:hAnsi="Times New Roman" w:cs="Times New Roman"/>
              </w:rPr>
              <w:t>25.928**</w:t>
            </w:r>
          </w:p>
        </w:tc>
        <w:tc>
          <w:tcPr>
            <w:tcW w:w="1319" w:type="dxa"/>
            <w:tcBorders>
              <w:bottom w:val="single" w:sz="4" w:space="0" w:color="auto"/>
            </w:tcBorders>
          </w:tcPr>
          <w:p w14:paraId="6D53EA01"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rPr>
              <w:t>56.405**</w:t>
            </w:r>
          </w:p>
        </w:tc>
        <w:tc>
          <w:tcPr>
            <w:tcW w:w="1276" w:type="dxa"/>
            <w:tcBorders>
              <w:bottom w:val="single" w:sz="4" w:space="0" w:color="auto"/>
            </w:tcBorders>
          </w:tcPr>
          <w:p w14:paraId="474509B2" w14:textId="77777777" w:rsidR="00FA522A" w:rsidRPr="00AE0EFF" w:rsidRDefault="00F674B1" w:rsidP="00DF5897">
            <w:pPr>
              <w:jc w:val="right"/>
              <w:rPr>
                <w:rFonts w:ascii="Times New Roman" w:hAnsi="Times New Roman" w:cs="Times New Roman"/>
              </w:rPr>
            </w:pPr>
            <w:r w:rsidRPr="00AE0EFF">
              <w:rPr>
                <w:rFonts w:ascii="Times New Roman" w:hAnsi="Times New Roman" w:cs="Times New Roman"/>
              </w:rPr>
              <w:t>44.207**</w:t>
            </w:r>
          </w:p>
        </w:tc>
      </w:tr>
      <w:tr w:rsidR="00FA522A" w:rsidRPr="00AE0EFF" w14:paraId="1D30A4C9" w14:textId="77777777" w:rsidTr="00BA03DA">
        <w:tc>
          <w:tcPr>
            <w:tcW w:w="9464" w:type="dxa"/>
            <w:gridSpan w:val="9"/>
            <w:tcBorders>
              <w:bottom w:val="single" w:sz="4" w:space="0" w:color="auto"/>
            </w:tcBorders>
          </w:tcPr>
          <w:p w14:paraId="79F3E8A3" w14:textId="77777777" w:rsidR="00FA522A" w:rsidRPr="00AE0EFF" w:rsidRDefault="00FA522A" w:rsidP="00DF5897">
            <w:pPr>
              <w:jc w:val="right"/>
              <w:rPr>
                <w:rFonts w:ascii="Times New Roman" w:hAnsi="Times New Roman" w:cs="Times New Roman"/>
              </w:rPr>
            </w:pPr>
            <w:r w:rsidRPr="00AE0EFF">
              <w:rPr>
                <w:rFonts w:ascii="Times New Roman" w:hAnsi="Times New Roman" w:cs="Times New Roman"/>
                <w:b/>
                <w:i/>
              </w:rPr>
              <w:t xml:space="preserve">** significant at both 1% and 5% level, * significant at only  5% level, No star means </w:t>
            </w:r>
            <w:proofErr w:type="spellStart"/>
            <w:r w:rsidRPr="00AE0EFF">
              <w:rPr>
                <w:rFonts w:ascii="Times New Roman" w:hAnsi="Times New Roman" w:cs="Times New Roman"/>
                <w:b/>
                <w:i/>
              </w:rPr>
              <w:t>non significant</w:t>
            </w:r>
            <w:proofErr w:type="spellEnd"/>
          </w:p>
        </w:tc>
      </w:tr>
      <w:tr w:rsidR="00FA522A" w:rsidRPr="00AE0EFF" w14:paraId="29FA5050" w14:textId="77777777" w:rsidTr="00FA522A">
        <w:trPr>
          <w:trHeight w:val="513"/>
        </w:trPr>
        <w:tc>
          <w:tcPr>
            <w:tcW w:w="4495" w:type="dxa"/>
            <w:gridSpan w:val="4"/>
            <w:tcBorders>
              <w:top w:val="single" w:sz="4" w:space="0" w:color="auto"/>
              <w:left w:val="nil"/>
              <w:bottom w:val="nil"/>
              <w:right w:val="nil"/>
            </w:tcBorders>
          </w:tcPr>
          <w:p w14:paraId="6E2E7853" w14:textId="77777777" w:rsidR="00FA522A" w:rsidRPr="00AE0EFF" w:rsidRDefault="00FA522A" w:rsidP="00DF5897">
            <w:pPr>
              <w:rPr>
                <w:rFonts w:ascii="Times New Roman" w:hAnsi="Times New Roman" w:cs="Times New Roman"/>
                <w:b/>
                <w:i/>
              </w:rPr>
            </w:pPr>
          </w:p>
        </w:tc>
        <w:tc>
          <w:tcPr>
            <w:tcW w:w="1187" w:type="dxa"/>
            <w:gridSpan w:val="2"/>
            <w:tcBorders>
              <w:top w:val="single" w:sz="4" w:space="0" w:color="auto"/>
              <w:left w:val="nil"/>
              <w:bottom w:val="nil"/>
              <w:right w:val="nil"/>
            </w:tcBorders>
          </w:tcPr>
          <w:p w14:paraId="07CB0908" w14:textId="77777777" w:rsidR="00FA522A" w:rsidRPr="00AE0EFF" w:rsidRDefault="00FA522A" w:rsidP="00DF5897">
            <w:pPr>
              <w:rPr>
                <w:rFonts w:ascii="Times New Roman" w:hAnsi="Times New Roman" w:cs="Times New Roman"/>
                <w:b/>
                <w:i/>
              </w:rPr>
            </w:pPr>
          </w:p>
        </w:tc>
        <w:tc>
          <w:tcPr>
            <w:tcW w:w="1187" w:type="dxa"/>
            <w:tcBorders>
              <w:top w:val="single" w:sz="4" w:space="0" w:color="auto"/>
              <w:left w:val="nil"/>
              <w:bottom w:val="nil"/>
              <w:right w:val="nil"/>
            </w:tcBorders>
          </w:tcPr>
          <w:p w14:paraId="13263B92" w14:textId="77777777" w:rsidR="00FA522A" w:rsidRPr="00AE0EFF" w:rsidRDefault="00FA522A" w:rsidP="00DF5897">
            <w:pPr>
              <w:rPr>
                <w:rFonts w:ascii="Times New Roman" w:hAnsi="Times New Roman" w:cs="Times New Roman"/>
                <w:b/>
                <w:i/>
              </w:rPr>
            </w:pPr>
          </w:p>
        </w:tc>
        <w:tc>
          <w:tcPr>
            <w:tcW w:w="1319" w:type="dxa"/>
            <w:tcBorders>
              <w:top w:val="single" w:sz="4" w:space="0" w:color="auto"/>
              <w:left w:val="nil"/>
              <w:bottom w:val="nil"/>
              <w:right w:val="nil"/>
            </w:tcBorders>
          </w:tcPr>
          <w:p w14:paraId="3CC80457" w14:textId="77777777" w:rsidR="00FA522A" w:rsidRPr="00AE0EFF" w:rsidRDefault="00FA522A" w:rsidP="00DF5897">
            <w:pPr>
              <w:rPr>
                <w:rFonts w:ascii="Times New Roman" w:hAnsi="Times New Roman" w:cs="Times New Roman"/>
                <w:b/>
                <w:i/>
              </w:rPr>
            </w:pPr>
          </w:p>
        </w:tc>
        <w:tc>
          <w:tcPr>
            <w:tcW w:w="1276" w:type="dxa"/>
            <w:tcBorders>
              <w:top w:val="single" w:sz="4" w:space="0" w:color="auto"/>
              <w:left w:val="nil"/>
              <w:bottom w:val="nil"/>
              <w:right w:val="nil"/>
            </w:tcBorders>
          </w:tcPr>
          <w:p w14:paraId="605B4F33" w14:textId="77777777" w:rsidR="00FA522A" w:rsidRPr="00AE0EFF" w:rsidRDefault="00FA522A" w:rsidP="00DF5897">
            <w:pPr>
              <w:rPr>
                <w:rFonts w:ascii="Times New Roman" w:hAnsi="Times New Roman" w:cs="Times New Roman"/>
                <w:b/>
                <w:i/>
              </w:rPr>
            </w:pPr>
          </w:p>
        </w:tc>
      </w:tr>
    </w:tbl>
    <w:p w14:paraId="02E7DF6A" w14:textId="77777777" w:rsidR="00F5547F" w:rsidRPr="00EB2583" w:rsidRDefault="00F5547F" w:rsidP="00B97F3F">
      <w:pPr>
        <w:spacing w:line="360" w:lineRule="auto"/>
        <w:jc w:val="both"/>
        <w:rPr>
          <w:rFonts w:ascii="Times New Roman" w:hAnsi="Times New Roman" w:cs="Times New Roman"/>
          <w:b/>
          <w:color w:val="000000" w:themeColor="text1"/>
          <w:sz w:val="24"/>
          <w:szCs w:val="24"/>
        </w:rPr>
      </w:pPr>
      <w:r w:rsidRPr="00EB2583">
        <w:rPr>
          <w:rFonts w:ascii="Times New Roman" w:hAnsi="Times New Roman" w:cs="Times New Roman"/>
          <w:b/>
          <w:color w:val="000000" w:themeColor="text1"/>
          <w:sz w:val="24"/>
          <w:szCs w:val="24"/>
        </w:rPr>
        <w:t>GROWTH PARAMETERS</w:t>
      </w:r>
    </w:p>
    <w:p w14:paraId="14728A86" w14:textId="28F8DCFE" w:rsidR="007B3724" w:rsidRPr="00AE0EFF" w:rsidRDefault="007B3724" w:rsidP="00131BC5">
      <w:pPr>
        <w:spacing w:line="360" w:lineRule="auto"/>
        <w:ind w:firstLine="720"/>
        <w:jc w:val="both"/>
        <w:rPr>
          <w:rFonts w:ascii="Times New Roman" w:hAnsi="Times New Roman" w:cs="Times New Roman"/>
          <w:sz w:val="24"/>
          <w:szCs w:val="24"/>
        </w:rPr>
      </w:pPr>
      <w:r w:rsidRPr="003767D2">
        <w:rPr>
          <w:rFonts w:ascii="Times New Roman" w:hAnsi="Times New Roman" w:cs="Times New Roman"/>
          <w:sz w:val="24"/>
          <w:szCs w:val="24"/>
          <w:highlight w:val="yellow"/>
        </w:rPr>
        <w:t xml:space="preserve">Genotypes exhibited more than 100% increase in weight in the earlier days i.e. during the second week. </w:t>
      </w:r>
      <w:r w:rsidR="000B03D1" w:rsidRPr="003767D2">
        <w:rPr>
          <w:rFonts w:ascii="Times New Roman" w:hAnsi="Times New Roman" w:cs="Times New Roman"/>
          <w:sz w:val="24"/>
          <w:szCs w:val="24"/>
          <w:highlight w:val="yellow"/>
        </w:rPr>
        <w:t xml:space="preserve">The active </w:t>
      </w:r>
      <w:r w:rsidRPr="003767D2">
        <w:rPr>
          <w:rFonts w:ascii="Times New Roman" w:hAnsi="Times New Roman" w:cs="Times New Roman"/>
          <w:sz w:val="24"/>
          <w:szCs w:val="24"/>
          <w:highlight w:val="yellow"/>
        </w:rPr>
        <w:t>growth rate was recorded from 7 DAA to 21 DAA. After 21 DAA, gain in pod weight started being negative up to 35 DAA for all genotypes.</w:t>
      </w:r>
      <w:r w:rsidRPr="00AE0EFF">
        <w:rPr>
          <w:rFonts w:ascii="Times New Roman" w:hAnsi="Times New Roman" w:cs="Times New Roman"/>
          <w:sz w:val="24"/>
          <w:szCs w:val="24"/>
        </w:rPr>
        <w:t xml:space="preserve"> </w:t>
      </w:r>
      <w:r w:rsidR="000B03D1">
        <w:rPr>
          <w:rFonts w:ascii="Times New Roman" w:hAnsi="Times New Roman" w:cs="Times New Roman"/>
          <w:sz w:val="24"/>
          <w:szCs w:val="24"/>
        </w:rPr>
        <w:t>A n</w:t>
      </w:r>
      <w:r w:rsidR="000B03D1" w:rsidRPr="00AE0EFF">
        <w:rPr>
          <w:rFonts w:ascii="Times New Roman" w:hAnsi="Times New Roman" w:cs="Times New Roman"/>
          <w:sz w:val="24"/>
          <w:szCs w:val="24"/>
        </w:rPr>
        <w:t xml:space="preserve">umber </w:t>
      </w:r>
      <w:r w:rsidRPr="00AE0EFF">
        <w:rPr>
          <w:rFonts w:ascii="Times New Roman" w:hAnsi="Times New Roman" w:cs="Times New Roman"/>
          <w:sz w:val="24"/>
          <w:szCs w:val="24"/>
        </w:rPr>
        <w:t xml:space="preserve">of seeds per pod </w:t>
      </w:r>
      <w:r w:rsidR="000B03D1" w:rsidRPr="00AE0EFF">
        <w:rPr>
          <w:rFonts w:ascii="Times New Roman" w:hAnsi="Times New Roman" w:cs="Times New Roman"/>
          <w:sz w:val="24"/>
          <w:szCs w:val="24"/>
        </w:rPr>
        <w:t>w</w:t>
      </w:r>
      <w:r w:rsidR="000B03D1">
        <w:rPr>
          <w:rFonts w:ascii="Times New Roman" w:hAnsi="Times New Roman" w:cs="Times New Roman"/>
          <w:sz w:val="24"/>
          <w:szCs w:val="24"/>
        </w:rPr>
        <w:t>ere</w:t>
      </w:r>
      <w:r w:rsidR="000B03D1" w:rsidRPr="00AE0EFF">
        <w:rPr>
          <w:rFonts w:ascii="Times New Roman" w:hAnsi="Times New Roman" w:cs="Times New Roman"/>
          <w:sz w:val="24"/>
          <w:szCs w:val="24"/>
        </w:rPr>
        <w:t xml:space="preserve"> </w:t>
      </w:r>
      <w:r w:rsidRPr="00AE0EFF">
        <w:rPr>
          <w:rFonts w:ascii="Times New Roman" w:hAnsi="Times New Roman" w:cs="Times New Roman"/>
          <w:sz w:val="24"/>
          <w:szCs w:val="24"/>
        </w:rPr>
        <w:t xml:space="preserve">recorded in 4 developmental stages from 14 DAA to 35 DAA as at 7DAA, the seed growth was not sufficient enough for evaluation. </w:t>
      </w:r>
      <w:r w:rsidR="000B03D1">
        <w:rPr>
          <w:rFonts w:ascii="Times New Roman" w:hAnsi="Times New Roman" w:cs="Times New Roman"/>
          <w:sz w:val="24"/>
          <w:szCs w:val="24"/>
        </w:rPr>
        <w:t>The h</w:t>
      </w:r>
      <w:r w:rsidR="000B03D1" w:rsidRPr="00AE0EFF">
        <w:rPr>
          <w:rFonts w:ascii="Times New Roman" w:hAnsi="Times New Roman" w:cs="Times New Roman"/>
          <w:sz w:val="24"/>
          <w:szCs w:val="24"/>
        </w:rPr>
        <w:t xml:space="preserve">ighest </w:t>
      </w:r>
      <w:r w:rsidRPr="00AE0EFF">
        <w:rPr>
          <w:rFonts w:ascii="Times New Roman" w:hAnsi="Times New Roman" w:cs="Times New Roman"/>
          <w:sz w:val="24"/>
          <w:szCs w:val="24"/>
        </w:rPr>
        <w:t>individual increase was recorded in V5 (106.06%) from 14 to 21 DAA (Fig-3).</w:t>
      </w:r>
      <w:r w:rsidR="00D94D1E" w:rsidRPr="00AE0EFF">
        <w:rPr>
          <w:rFonts w:ascii="Times New Roman" w:hAnsi="Times New Roman" w:cs="Times New Roman"/>
          <w:sz w:val="24"/>
          <w:szCs w:val="24"/>
        </w:rPr>
        <w:t xml:space="preserve"> </w:t>
      </w:r>
      <w:r w:rsidRPr="00AE0EFF">
        <w:rPr>
          <w:rFonts w:ascii="Times New Roman" w:hAnsi="Times New Roman" w:cs="Times New Roman"/>
          <w:sz w:val="24"/>
          <w:szCs w:val="24"/>
        </w:rPr>
        <w:t xml:space="preserve">Average 1000 Seed Weight was </w:t>
      </w:r>
      <w:r w:rsidR="000B03D1">
        <w:rPr>
          <w:rFonts w:ascii="Times New Roman" w:hAnsi="Times New Roman" w:cs="Times New Roman"/>
          <w:sz w:val="24"/>
          <w:szCs w:val="24"/>
        </w:rPr>
        <w:t xml:space="preserve">the </w:t>
      </w:r>
      <w:r w:rsidRPr="00AE0EFF">
        <w:rPr>
          <w:rFonts w:ascii="Times New Roman" w:hAnsi="Times New Roman" w:cs="Times New Roman"/>
          <w:sz w:val="24"/>
          <w:szCs w:val="24"/>
        </w:rPr>
        <w:t>maximum for genotype 5 (36.78g) followed by genotype</w:t>
      </w:r>
      <w:r w:rsidR="000B03D1">
        <w:rPr>
          <w:rFonts w:ascii="Times New Roman" w:hAnsi="Times New Roman" w:cs="Times New Roman"/>
          <w:sz w:val="24"/>
          <w:szCs w:val="24"/>
        </w:rPr>
        <w:t>s</w:t>
      </w:r>
      <w:r w:rsidRPr="00AE0EFF">
        <w:rPr>
          <w:rFonts w:ascii="Times New Roman" w:hAnsi="Times New Roman" w:cs="Times New Roman"/>
          <w:sz w:val="24"/>
          <w:szCs w:val="24"/>
        </w:rPr>
        <w:t xml:space="preserve"> 2 and 1.</w:t>
      </w:r>
      <w:r w:rsidR="000B03D1">
        <w:rPr>
          <w:rFonts w:ascii="Times New Roman" w:hAnsi="Times New Roman" w:cs="Times New Roman"/>
          <w:sz w:val="24"/>
          <w:szCs w:val="24"/>
        </w:rPr>
        <w:t xml:space="preserve"> </w:t>
      </w:r>
      <w:r w:rsidRPr="00AE0EFF">
        <w:rPr>
          <w:rFonts w:ascii="Times New Roman" w:hAnsi="Times New Roman" w:cs="Times New Roman"/>
          <w:sz w:val="24"/>
          <w:szCs w:val="24"/>
        </w:rPr>
        <w:t xml:space="preserve">Genotype V4 exhibited </w:t>
      </w:r>
      <w:r w:rsidR="000B03D1">
        <w:rPr>
          <w:rFonts w:ascii="Times New Roman" w:hAnsi="Times New Roman" w:cs="Times New Roman"/>
          <w:sz w:val="24"/>
          <w:szCs w:val="24"/>
        </w:rPr>
        <w:t xml:space="preserve">the </w:t>
      </w:r>
      <w:r w:rsidRPr="00AE0EFF">
        <w:rPr>
          <w:rFonts w:ascii="Times New Roman" w:hAnsi="Times New Roman" w:cs="Times New Roman"/>
          <w:sz w:val="24"/>
          <w:szCs w:val="24"/>
        </w:rPr>
        <w:t>lowest mean 1000 Seed Weight and also across all stages.1000 Seed Weight was maximum at 21 DAA for all genotypes except in V5 which attained maximum weight at 28 days (Fig-4).</w:t>
      </w:r>
      <w:r w:rsidR="00D94D1E" w:rsidRPr="00AE0EFF">
        <w:rPr>
          <w:rFonts w:ascii="Times New Roman" w:hAnsi="Times New Roman" w:cs="Times New Roman"/>
          <w:sz w:val="24"/>
          <w:szCs w:val="24"/>
        </w:rPr>
        <w:t xml:space="preserve"> </w:t>
      </w:r>
      <w:r w:rsidRPr="00AE0EFF">
        <w:rPr>
          <w:rFonts w:ascii="Times New Roman" w:hAnsi="Times New Roman" w:cs="Times New Roman"/>
          <w:sz w:val="24"/>
          <w:szCs w:val="24"/>
        </w:rPr>
        <w:t xml:space="preserve">This varying trend indicates that 1000 seed weight is primarily controlled by </w:t>
      </w:r>
      <w:r w:rsidRPr="00AE0EFF">
        <w:rPr>
          <w:rFonts w:ascii="Times New Roman" w:hAnsi="Times New Roman" w:cs="Times New Roman"/>
          <w:sz w:val="24"/>
          <w:szCs w:val="24"/>
        </w:rPr>
        <w:lastRenderedPageBreak/>
        <w:t>the individual genetic background of the genotypes.</w:t>
      </w:r>
      <w:r w:rsidR="009A1243" w:rsidRPr="00AE0EFF">
        <w:rPr>
          <w:rFonts w:ascii="Times New Roman" w:hAnsi="Times New Roman" w:cs="Times New Roman"/>
          <w:sz w:val="24"/>
          <w:szCs w:val="24"/>
        </w:rPr>
        <w:t xml:space="preserve"> </w:t>
      </w:r>
      <w:r w:rsidRPr="00AE0EFF">
        <w:rPr>
          <w:rFonts w:ascii="Times New Roman" w:hAnsi="Times New Roman" w:cs="Times New Roman"/>
          <w:sz w:val="24"/>
          <w:szCs w:val="24"/>
        </w:rPr>
        <w:t xml:space="preserve">Enhancement in pod length, weight, no. of seeds/pod and 1000 seed weight was noted up to 28 </w:t>
      </w:r>
      <w:r w:rsidR="00FE33CD" w:rsidRPr="00AE0EFF">
        <w:rPr>
          <w:rFonts w:ascii="Times New Roman" w:hAnsi="Times New Roman" w:cs="Times New Roman"/>
          <w:sz w:val="24"/>
          <w:szCs w:val="24"/>
        </w:rPr>
        <w:t>DAA in</w:t>
      </w:r>
      <w:r w:rsidRPr="00AE0EFF">
        <w:rPr>
          <w:rFonts w:ascii="Times New Roman" w:hAnsi="Times New Roman" w:cs="Times New Roman"/>
          <w:sz w:val="24"/>
          <w:szCs w:val="24"/>
        </w:rPr>
        <w:t xml:space="preserve"> most of the genotypes. Enhancement was maximum from 7 DAA to 21 DAA. Pod characters along with seed size and weight show a direct relationship with physiological quality in advanced stages. </w:t>
      </w:r>
      <w:r w:rsidR="00D94D1E" w:rsidRPr="00AE0EFF">
        <w:rPr>
          <w:rFonts w:ascii="Times New Roman" w:hAnsi="Times New Roman" w:cs="Times New Roman"/>
          <w:sz w:val="24"/>
          <w:szCs w:val="24"/>
        </w:rPr>
        <w:t>Bold</w:t>
      </w:r>
      <w:r w:rsidRPr="00AE0EFF">
        <w:rPr>
          <w:rFonts w:ascii="Times New Roman" w:hAnsi="Times New Roman" w:cs="Times New Roman"/>
          <w:sz w:val="24"/>
          <w:szCs w:val="24"/>
        </w:rPr>
        <w:t xml:space="preserve"> seeds were better nourished during their development, ha</w:t>
      </w:r>
      <w:r w:rsidR="00D94D1E" w:rsidRPr="00AE0EFF">
        <w:rPr>
          <w:rFonts w:ascii="Times New Roman" w:hAnsi="Times New Roman" w:cs="Times New Roman"/>
          <w:sz w:val="24"/>
          <w:szCs w:val="24"/>
        </w:rPr>
        <w:t>d</w:t>
      </w:r>
      <w:r w:rsidRPr="00AE0EFF">
        <w:rPr>
          <w:rFonts w:ascii="Times New Roman" w:hAnsi="Times New Roman" w:cs="Times New Roman"/>
          <w:sz w:val="24"/>
          <w:szCs w:val="24"/>
        </w:rPr>
        <w:t xml:space="preserve"> well-formed embryos and a greater amount of reserves, with greater potential for germination and more vigorous plants when compared to smaller seeds (Carvalho and Nakagawa 2012). </w:t>
      </w:r>
      <w:r w:rsidR="000B03D1">
        <w:rPr>
          <w:rFonts w:ascii="Times New Roman" w:hAnsi="Times New Roman" w:cs="Times New Roman"/>
          <w:sz w:val="24"/>
          <w:szCs w:val="24"/>
        </w:rPr>
        <w:t>O</w:t>
      </w:r>
      <w:r w:rsidRPr="00AE0EFF">
        <w:rPr>
          <w:rFonts w:ascii="Times New Roman" w:hAnsi="Times New Roman" w:cs="Times New Roman"/>
          <w:sz w:val="24"/>
          <w:szCs w:val="24"/>
        </w:rPr>
        <w:t xml:space="preserve">bservation showed that as the harvesting was delayed, more seeds were filled and consequently, average seed weight increased. All these findings are in agreement with the findings of </w:t>
      </w:r>
      <w:proofErr w:type="spellStart"/>
      <w:r w:rsidRPr="00AE0EFF">
        <w:rPr>
          <w:rFonts w:ascii="Times New Roman" w:hAnsi="Times New Roman" w:cs="Times New Roman"/>
          <w:sz w:val="24"/>
          <w:szCs w:val="24"/>
        </w:rPr>
        <w:t>Nimje</w:t>
      </w:r>
      <w:proofErr w:type="spellEnd"/>
      <w:r w:rsidRPr="00AE0EFF">
        <w:rPr>
          <w:rFonts w:ascii="Times New Roman" w:hAnsi="Times New Roman" w:cs="Times New Roman"/>
          <w:sz w:val="24"/>
          <w:szCs w:val="24"/>
        </w:rPr>
        <w:t xml:space="preserve"> and Gandhi ,1994; Siddique and Wright, 2003; Anurag et al.,2009.</w:t>
      </w:r>
    </w:p>
    <w:p w14:paraId="0939062F" w14:textId="77777777" w:rsidR="0089176C" w:rsidRPr="00984CB1" w:rsidRDefault="00F5547F" w:rsidP="00EA2D24">
      <w:pPr>
        <w:spacing w:after="120" w:line="360" w:lineRule="auto"/>
        <w:jc w:val="both"/>
        <w:rPr>
          <w:rFonts w:ascii="Times New Roman" w:hAnsi="Times New Roman" w:cs="Times New Roman"/>
          <w:b/>
          <w:color w:val="000000" w:themeColor="text1"/>
          <w:sz w:val="24"/>
          <w:szCs w:val="24"/>
        </w:rPr>
      </w:pPr>
      <w:r w:rsidRPr="00984CB1">
        <w:rPr>
          <w:rFonts w:ascii="Times New Roman" w:hAnsi="Times New Roman" w:cs="Times New Roman"/>
          <w:b/>
          <w:color w:val="000000" w:themeColor="text1"/>
          <w:sz w:val="24"/>
          <w:szCs w:val="24"/>
        </w:rPr>
        <w:t>PHYSIOLOGICAL PARAMETERS</w:t>
      </w:r>
    </w:p>
    <w:p w14:paraId="6BAEF8D6" w14:textId="2EC392AC" w:rsidR="007B3724" w:rsidRPr="00AE0EFF" w:rsidRDefault="0089176C" w:rsidP="00131BC5">
      <w:pPr>
        <w:spacing w:line="360" w:lineRule="auto"/>
        <w:ind w:firstLine="720"/>
        <w:jc w:val="both"/>
        <w:rPr>
          <w:rFonts w:ascii="Times New Roman" w:hAnsi="Times New Roman" w:cs="Times New Roman"/>
          <w:sz w:val="24"/>
          <w:szCs w:val="24"/>
        </w:rPr>
      </w:pPr>
      <w:r w:rsidRPr="00AE0EFF">
        <w:rPr>
          <w:rFonts w:ascii="Times New Roman" w:hAnsi="Times New Roman" w:cs="Times New Roman"/>
          <w:sz w:val="24"/>
          <w:szCs w:val="24"/>
        </w:rPr>
        <w:t xml:space="preserve">For understanding the </w:t>
      </w:r>
      <w:r w:rsidRPr="003767D2">
        <w:rPr>
          <w:rFonts w:ascii="Times New Roman" w:hAnsi="Times New Roman" w:cs="Times New Roman"/>
          <w:sz w:val="24"/>
          <w:szCs w:val="24"/>
          <w:highlight w:val="yellow"/>
        </w:rPr>
        <w:t xml:space="preserve">stage of physiological maturity Dry matter accumulation, moisture content and </w:t>
      </w:r>
      <w:proofErr w:type="spellStart"/>
      <w:r w:rsidRPr="003767D2">
        <w:rPr>
          <w:rFonts w:ascii="Times New Roman" w:hAnsi="Times New Roman" w:cs="Times New Roman"/>
          <w:sz w:val="24"/>
          <w:szCs w:val="24"/>
          <w:highlight w:val="yellow"/>
        </w:rPr>
        <w:t>vigour</w:t>
      </w:r>
      <w:proofErr w:type="spellEnd"/>
      <w:r w:rsidRPr="003767D2">
        <w:rPr>
          <w:rFonts w:ascii="Times New Roman" w:hAnsi="Times New Roman" w:cs="Times New Roman"/>
          <w:sz w:val="24"/>
          <w:szCs w:val="24"/>
          <w:highlight w:val="yellow"/>
        </w:rPr>
        <w:t xml:space="preserve"> index </w:t>
      </w:r>
      <w:r w:rsidR="000B03D1" w:rsidRPr="003767D2">
        <w:rPr>
          <w:rFonts w:ascii="Times New Roman" w:hAnsi="Times New Roman" w:cs="Times New Roman"/>
          <w:sz w:val="24"/>
          <w:szCs w:val="24"/>
          <w:highlight w:val="yellow"/>
        </w:rPr>
        <w:t xml:space="preserve">were </w:t>
      </w:r>
      <w:r w:rsidRPr="003767D2">
        <w:rPr>
          <w:rFonts w:ascii="Times New Roman" w:hAnsi="Times New Roman" w:cs="Times New Roman"/>
          <w:sz w:val="24"/>
          <w:szCs w:val="24"/>
          <w:highlight w:val="yellow"/>
        </w:rPr>
        <w:t xml:space="preserve">of prime importance. </w:t>
      </w:r>
      <w:r w:rsidR="000B03D1" w:rsidRPr="003767D2">
        <w:rPr>
          <w:rFonts w:ascii="Times New Roman" w:hAnsi="Times New Roman" w:cs="Times New Roman"/>
          <w:sz w:val="24"/>
          <w:szCs w:val="24"/>
          <w:highlight w:val="yellow"/>
        </w:rPr>
        <w:t xml:space="preserve">An increase </w:t>
      </w:r>
      <w:r w:rsidRPr="003767D2">
        <w:rPr>
          <w:rFonts w:ascii="Times New Roman" w:hAnsi="Times New Roman" w:cs="Times New Roman"/>
          <w:sz w:val="24"/>
          <w:szCs w:val="24"/>
          <w:highlight w:val="yellow"/>
        </w:rPr>
        <w:t>in seed fresh weight was noticed with the ad</w:t>
      </w:r>
      <w:r w:rsidRPr="00AE0EFF">
        <w:rPr>
          <w:rFonts w:ascii="Times New Roman" w:hAnsi="Times New Roman" w:cs="Times New Roman"/>
          <w:sz w:val="24"/>
          <w:szCs w:val="24"/>
        </w:rPr>
        <w:t xml:space="preserve">vancement of seed development stages. </w:t>
      </w:r>
      <w:r w:rsidR="000B03D1">
        <w:rPr>
          <w:rFonts w:ascii="Times New Roman" w:hAnsi="Times New Roman" w:cs="Times New Roman"/>
          <w:sz w:val="24"/>
          <w:szCs w:val="24"/>
        </w:rPr>
        <w:t>The a</w:t>
      </w:r>
      <w:r w:rsidR="000B03D1" w:rsidRPr="00AE0EFF">
        <w:rPr>
          <w:rFonts w:ascii="Times New Roman" w:hAnsi="Times New Roman" w:cs="Times New Roman"/>
          <w:sz w:val="24"/>
          <w:szCs w:val="24"/>
        </w:rPr>
        <w:t xml:space="preserve">verage </w:t>
      </w:r>
      <w:r w:rsidRPr="00AE0EFF">
        <w:rPr>
          <w:rFonts w:ascii="Times New Roman" w:hAnsi="Times New Roman" w:cs="Times New Roman"/>
          <w:sz w:val="24"/>
          <w:szCs w:val="24"/>
        </w:rPr>
        <w:t xml:space="preserve">weight of fresh seed was </w:t>
      </w:r>
    </w:p>
    <w:p w14:paraId="328D19B0" w14:textId="77777777" w:rsidR="00A85A1C" w:rsidRPr="00AE0EFF" w:rsidRDefault="00767B56" w:rsidP="008444CE">
      <w:pPr>
        <w:spacing w:line="360" w:lineRule="auto"/>
        <w:jc w:val="both"/>
        <w:rPr>
          <w:rFonts w:ascii="Times New Roman" w:hAnsi="Times New Roman" w:cs="Times New Roman"/>
          <w:sz w:val="24"/>
          <w:szCs w:val="24"/>
        </w:rPr>
      </w:pPr>
      <w:r>
        <w:rPr>
          <w:rFonts w:ascii="Times New Roman" w:hAnsi="Times New Roman" w:cs="Times New Roman"/>
          <w:noProof/>
          <w:color w:val="00B050"/>
          <w:sz w:val="24"/>
          <w:szCs w:val="24"/>
        </w:rPr>
        <w:lastRenderedPageBreak/>
        <w:pict w14:anchorId="4226851A">
          <v:shapetype id="_x0000_t202" coordsize="21600,21600" o:spt="202" path="m,l,21600r21600,l21600,xe">
            <v:stroke joinstyle="miter"/>
            <v:path gradientshapeok="t" o:connecttype="rect"/>
          </v:shapetype>
          <v:shape id="_x0000_s1041" type="#_x0000_t202" style="position:absolute;left:0;text-align:left;margin-left:-18pt;margin-top:-5.45pt;width:483.85pt;height:20.7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">
            <v:textbox style="mso-next-textbox:#_x0000_s1041">
              <w:txbxContent>
                <w:p w14:paraId="7E4046B6" w14:textId="77777777" w:rsidR="0013676E" w:rsidRPr="00F31AD7" w:rsidRDefault="0013676E" w:rsidP="00A85A1C">
                  <w:pPr>
                    <w:ind w:right="-120"/>
                    <w:rPr>
                      <w:sz w:val="18"/>
                    </w:rPr>
                  </w:pPr>
                  <w:r w:rsidRPr="00F31AD7">
                    <w:rPr>
                      <w:rFonts w:ascii="Times New Roman" w:eastAsia="Calibri" w:hAnsi="Times New Roman" w:cs="Times New Roman"/>
                      <w:b/>
                      <w:bCs/>
                      <w:sz w:val="20"/>
                      <w:szCs w:val="24"/>
                    </w:rPr>
                    <w:t>Fig</w:t>
                  </w:r>
                  <w:r>
                    <w:rPr>
                      <w:rFonts w:ascii="Times New Roman" w:eastAsia="Calibri" w:hAnsi="Times New Roman" w:cs="Times New Roman"/>
                      <w:b/>
                      <w:bCs/>
                      <w:sz w:val="20"/>
                      <w:szCs w:val="24"/>
                    </w:rPr>
                    <w:t xml:space="preserve"> 1-8</w:t>
                  </w:r>
                  <w:r w:rsidRPr="00F31AD7">
                    <w:rPr>
                      <w:rFonts w:ascii="Times New Roman" w:eastAsia="Calibri" w:hAnsi="Times New Roman" w:cs="Times New Roman"/>
                      <w:b/>
                      <w:bCs/>
                      <w:sz w:val="20"/>
                      <w:szCs w:val="24"/>
                    </w:rPr>
                    <w:t xml:space="preserve">:  </w:t>
                  </w:r>
                  <w:r>
                    <w:rPr>
                      <w:rFonts w:ascii="Times New Roman" w:eastAsia="Calibri" w:hAnsi="Times New Roman" w:cs="Times New Roman"/>
                      <w:b/>
                      <w:bCs/>
                      <w:sz w:val="20"/>
                      <w:szCs w:val="24"/>
                    </w:rPr>
                    <w:t xml:space="preserve">Changes in seed developmental parameters </w:t>
                  </w:r>
                  <w:r w:rsidRPr="00F31AD7">
                    <w:rPr>
                      <w:rFonts w:ascii="Times New Roman" w:eastAsia="Calibri" w:hAnsi="Times New Roman" w:cs="Times New Roman"/>
                      <w:b/>
                      <w:bCs/>
                      <w:sz w:val="20"/>
                      <w:szCs w:val="24"/>
                    </w:rPr>
                    <w:t xml:space="preserve">at different maturity stages </w:t>
                  </w:r>
                  <w:r>
                    <w:rPr>
                      <w:rFonts w:ascii="Times New Roman" w:eastAsia="Calibri" w:hAnsi="Times New Roman" w:cs="Times New Roman"/>
                      <w:b/>
                      <w:bCs/>
                      <w:sz w:val="20"/>
                      <w:szCs w:val="24"/>
                    </w:rPr>
                    <w:t>f</w:t>
                  </w:r>
                  <w:r w:rsidRPr="00F31AD7">
                    <w:rPr>
                      <w:rFonts w:ascii="Times New Roman" w:eastAsia="Calibri" w:hAnsi="Times New Roman" w:cs="Times New Roman"/>
                      <w:b/>
                      <w:bCs/>
                      <w:sz w:val="20"/>
                      <w:szCs w:val="24"/>
                    </w:rPr>
                    <w:t xml:space="preserve">rom 7 to 35 </w:t>
                  </w:r>
                  <w:r>
                    <w:rPr>
                      <w:rFonts w:ascii="Times New Roman" w:eastAsia="Calibri" w:hAnsi="Times New Roman" w:cs="Times New Roman"/>
                      <w:b/>
                      <w:bCs/>
                      <w:sz w:val="20"/>
                      <w:szCs w:val="24"/>
                    </w:rPr>
                    <w:t xml:space="preserve">DAA </w:t>
                  </w:r>
                </w:p>
              </w:txbxContent>
            </v:textbox>
          </v:shape>
        </w:pict>
      </w:r>
      <w:r w:rsidR="00F5547F" w:rsidRPr="00AE0EFF">
        <w:rPr>
          <w:rFonts w:ascii="Times New Roman" w:hAnsi="Times New Roman" w:cs="Times New Roman"/>
          <w:noProof/>
          <w:color w:val="00B050"/>
          <w:sz w:val="24"/>
          <w:szCs w:val="24"/>
        </w:rPr>
        <w:drawing>
          <wp:anchor distT="0" distB="0" distL="114300" distR="114300" simplePos="0" relativeHeight="251693056" behindDoc="1" locked="0" layoutInCell="1" allowOverlap="1" wp14:anchorId="5ACD10CF" wp14:editId="080AB14A">
            <wp:simplePos x="0" y="0"/>
            <wp:positionH relativeFrom="column">
              <wp:posOffset>-191135</wp:posOffset>
            </wp:positionH>
            <wp:positionV relativeFrom="paragraph">
              <wp:posOffset>4114800</wp:posOffset>
            </wp:positionV>
            <wp:extent cx="3173095" cy="1953260"/>
            <wp:effectExtent l="19050" t="0" r="27305" b="8890"/>
            <wp:wrapTight wrapText="bothSides">
              <wp:wrapPolygon edited="0">
                <wp:start x="-130" y="0"/>
                <wp:lineTo x="-130" y="21698"/>
                <wp:lineTo x="21786" y="21698"/>
                <wp:lineTo x="21786" y="0"/>
                <wp:lineTo x="-130" y="0"/>
              </wp:wrapPolygon>
            </wp:wrapTight>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F5547F" w:rsidRPr="00AE0EFF">
        <w:rPr>
          <w:rFonts w:ascii="Times New Roman" w:hAnsi="Times New Roman" w:cs="Times New Roman"/>
          <w:noProof/>
          <w:color w:val="00B050"/>
          <w:sz w:val="24"/>
          <w:szCs w:val="24"/>
        </w:rPr>
        <w:drawing>
          <wp:anchor distT="0" distB="0" distL="114300" distR="114300" simplePos="0" relativeHeight="251689984" behindDoc="1" locked="0" layoutInCell="1" allowOverlap="1" wp14:anchorId="1D40206D" wp14:editId="4028C672">
            <wp:simplePos x="0" y="0"/>
            <wp:positionH relativeFrom="column">
              <wp:posOffset>3029585</wp:posOffset>
            </wp:positionH>
            <wp:positionV relativeFrom="paragraph">
              <wp:posOffset>4114800</wp:posOffset>
            </wp:positionV>
            <wp:extent cx="2913380" cy="1957705"/>
            <wp:effectExtent l="19050" t="0" r="20320" b="4445"/>
            <wp:wrapTight wrapText="bothSides">
              <wp:wrapPolygon edited="0">
                <wp:start x="-141" y="0"/>
                <wp:lineTo x="-141" y="21649"/>
                <wp:lineTo x="21751" y="21649"/>
                <wp:lineTo x="21751" y="0"/>
                <wp:lineTo x="-141" y="0"/>
              </wp:wrapPolygon>
            </wp:wrapTight>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F5547F" w:rsidRPr="00AE0EFF">
        <w:rPr>
          <w:rFonts w:ascii="Times New Roman" w:hAnsi="Times New Roman" w:cs="Times New Roman"/>
          <w:noProof/>
          <w:color w:val="00B050"/>
          <w:sz w:val="24"/>
          <w:szCs w:val="24"/>
        </w:rPr>
        <w:drawing>
          <wp:anchor distT="0" distB="0" distL="114300" distR="114300" simplePos="0" relativeHeight="251692032" behindDoc="1" locked="0" layoutInCell="1" allowOverlap="1" wp14:anchorId="7751DCE0" wp14:editId="1A9378EF">
            <wp:simplePos x="0" y="0"/>
            <wp:positionH relativeFrom="column">
              <wp:posOffset>3029585</wp:posOffset>
            </wp:positionH>
            <wp:positionV relativeFrom="paragraph">
              <wp:posOffset>6133465</wp:posOffset>
            </wp:positionV>
            <wp:extent cx="2921000" cy="2121535"/>
            <wp:effectExtent l="19050" t="0" r="12700" b="0"/>
            <wp:wrapTight wrapText="bothSides">
              <wp:wrapPolygon edited="0">
                <wp:start x="-141" y="0"/>
                <wp:lineTo x="-141" y="21529"/>
                <wp:lineTo x="21694" y="21529"/>
                <wp:lineTo x="21694" y="0"/>
                <wp:lineTo x="-141" y="0"/>
              </wp:wrapPolygon>
            </wp:wrapTight>
            <wp:docPr id="1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F5547F" w:rsidRPr="00AE0EFF">
        <w:rPr>
          <w:rFonts w:ascii="Times New Roman" w:hAnsi="Times New Roman" w:cs="Times New Roman"/>
          <w:noProof/>
          <w:color w:val="00B050"/>
          <w:sz w:val="24"/>
          <w:szCs w:val="24"/>
        </w:rPr>
        <w:drawing>
          <wp:anchor distT="0" distB="0" distL="114300" distR="114300" simplePos="0" relativeHeight="251691008" behindDoc="1" locked="0" layoutInCell="1" allowOverlap="1" wp14:anchorId="26933088" wp14:editId="77B9A4B9">
            <wp:simplePos x="0" y="0"/>
            <wp:positionH relativeFrom="column">
              <wp:posOffset>-213995</wp:posOffset>
            </wp:positionH>
            <wp:positionV relativeFrom="paragraph">
              <wp:posOffset>6133465</wp:posOffset>
            </wp:positionV>
            <wp:extent cx="3192145" cy="2121535"/>
            <wp:effectExtent l="19050" t="0" r="27305" b="0"/>
            <wp:wrapTight wrapText="bothSides">
              <wp:wrapPolygon edited="0">
                <wp:start x="-129" y="0"/>
                <wp:lineTo x="-129" y="21529"/>
                <wp:lineTo x="21785" y="21529"/>
                <wp:lineTo x="21785" y="0"/>
                <wp:lineTo x="-129" y="0"/>
              </wp:wrapPolygon>
            </wp:wrapTight>
            <wp:docPr id="1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F692C" w:rsidRPr="00AE0EFF">
        <w:rPr>
          <w:rFonts w:ascii="Times New Roman" w:hAnsi="Times New Roman" w:cs="Times New Roman"/>
          <w:noProof/>
          <w:color w:val="00B050"/>
          <w:sz w:val="24"/>
          <w:szCs w:val="24"/>
        </w:rPr>
        <w:drawing>
          <wp:anchor distT="0" distB="0" distL="114300" distR="114300" simplePos="0" relativeHeight="251664384" behindDoc="1" locked="0" layoutInCell="1" allowOverlap="1" wp14:anchorId="27F14CD0" wp14:editId="6F1C87EC">
            <wp:simplePos x="0" y="0"/>
            <wp:positionH relativeFrom="column">
              <wp:posOffset>-213360</wp:posOffset>
            </wp:positionH>
            <wp:positionV relativeFrom="paragraph">
              <wp:posOffset>2210435</wp:posOffset>
            </wp:positionV>
            <wp:extent cx="3199765" cy="1798955"/>
            <wp:effectExtent l="19050" t="0" r="19685" b="0"/>
            <wp:wrapTight wrapText="bothSides">
              <wp:wrapPolygon edited="0">
                <wp:start x="-129" y="0"/>
                <wp:lineTo x="-129" y="21501"/>
                <wp:lineTo x="21733" y="21501"/>
                <wp:lineTo x="21733" y="0"/>
                <wp:lineTo x="-129"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F692C" w:rsidRPr="00AE0EFF">
        <w:rPr>
          <w:rFonts w:ascii="Times New Roman" w:hAnsi="Times New Roman" w:cs="Times New Roman"/>
          <w:noProof/>
          <w:color w:val="00B050"/>
          <w:sz w:val="24"/>
          <w:szCs w:val="24"/>
        </w:rPr>
        <w:drawing>
          <wp:anchor distT="0" distB="0" distL="114300" distR="114300" simplePos="0" relativeHeight="251662336" behindDoc="1" locked="0" layoutInCell="1" allowOverlap="1" wp14:anchorId="34976A10" wp14:editId="2FCCAF12">
            <wp:simplePos x="0" y="0"/>
            <wp:positionH relativeFrom="column">
              <wp:posOffset>3027045</wp:posOffset>
            </wp:positionH>
            <wp:positionV relativeFrom="paragraph">
              <wp:posOffset>2210435</wp:posOffset>
            </wp:positionV>
            <wp:extent cx="2925445" cy="1798955"/>
            <wp:effectExtent l="19050" t="0" r="27305" b="0"/>
            <wp:wrapTight wrapText="bothSides">
              <wp:wrapPolygon edited="0">
                <wp:start x="-141" y="0"/>
                <wp:lineTo x="-141" y="21501"/>
                <wp:lineTo x="21802" y="21501"/>
                <wp:lineTo x="21802" y="0"/>
                <wp:lineTo x="-141"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F692C" w:rsidRPr="00AE0EFF">
        <w:rPr>
          <w:rFonts w:ascii="Times New Roman" w:hAnsi="Times New Roman" w:cs="Times New Roman"/>
          <w:noProof/>
          <w:color w:val="00B050"/>
          <w:sz w:val="24"/>
          <w:szCs w:val="24"/>
        </w:rPr>
        <w:drawing>
          <wp:anchor distT="0" distB="0" distL="114300" distR="114300" simplePos="0" relativeHeight="251661312" behindDoc="1" locked="0" layoutInCell="1" allowOverlap="1" wp14:anchorId="5A651569" wp14:editId="72F34F1C">
            <wp:simplePos x="0" y="0"/>
            <wp:positionH relativeFrom="column">
              <wp:posOffset>3027045</wp:posOffset>
            </wp:positionH>
            <wp:positionV relativeFrom="paragraph">
              <wp:posOffset>367030</wp:posOffset>
            </wp:positionV>
            <wp:extent cx="2932430" cy="1798955"/>
            <wp:effectExtent l="19050" t="0" r="20320" b="0"/>
            <wp:wrapTight wrapText="bothSides">
              <wp:wrapPolygon edited="0">
                <wp:start x="-140" y="0"/>
                <wp:lineTo x="-140" y="21501"/>
                <wp:lineTo x="21750" y="21501"/>
                <wp:lineTo x="21750" y="0"/>
                <wp:lineTo x="-14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D63224" w:rsidRPr="00AE0EFF">
        <w:rPr>
          <w:rFonts w:ascii="Times New Roman" w:hAnsi="Times New Roman" w:cs="Times New Roman"/>
          <w:noProof/>
          <w:color w:val="00B050"/>
          <w:sz w:val="24"/>
          <w:szCs w:val="24"/>
        </w:rPr>
        <w:drawing>
          <wp:anchor distT="0" distB="0" distL="114300" distR="114300" simplePos="0" relativeHeight="251660288" behindDoc="1" locked="0" layoutInCell="1" allowOverlap="1" wp14:anchorId="7B2EC993" wp14:editId="4CF7F587">
            <wp:simplePos x="0" y="0"/>
            <wp:positionH relativeFrom="column">
              <wp:posOffset>-213360</wp:posOffset>
            </wp:positionH>
            <wp:positionV relativeFrom="paragraph">
              <wp:posOffset>367030</wp:posOffset>
            </wp:positionV>
            <wp:extent cx="3197860" cy="1798955"/>
            <wp:effectExtent l="19050" t="0" r="21590" b="0"/>
            <wp:wrapTight wrapText="bothSides">
              <wp:wrapPolygon edited="0">
                <wp:start x="-129" y="0"/>
                <wp:lineTo x="-129" y="21501"/>
                <wp:lineTo x="21746" y="21501"/>
                <wp:lineTo x="21746" y="0"/>
                <wp:lineTo x="-129"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395039" w:rsidRPr="00AE0EFF">
        <w:rPr>
          <w:rFonts w:ascii="Times New Roman" w:hAnsi="Times New Roman" w:cs="Times New Roman"/>
          <w:noProof/>
          <w:color w:val="00B050"/>
          <w:sz w:val="24"/>
          <w:szCs w:val="24"/>
        </w:rPr>
        <w:drawing>
          <wp:anchor distT="0" distB="0" distL="114300" distR="114300" simplePos="0" relativeHeight="251687936" behindDoc="1" locked="0" layoutInCell="1" allowOverlap="1" wp14:anchorId="5F930FE3" wp14:editId="27D55B1F">
            <wp:simplePos x="0" y="0"/>
            <wp:positionH relativeFrom="column">
              <wp:posOffset>3025140</wp:posOffset>
            </wp:positionH>
            <wp:positionV relativeFrom="paragraph">
              <wp:posOffset>-62230</wp:posOffset>
            </wp:positionV>
            <wp:extent cx="2930525" cy="1931035"/>
            <wp:effectExtent l="19050" t="0" r="22225" b="0"/>
            <wp:wrapTight wrapText="bothSides">
              <wp:wrapPolygon edited="0">
                <wp:start x="-140" y="0"/>
                <wp:lineTo x="-140" y="21522"/>
                <wp:lineTo x="21764" y="21522"/>
                <wp:lineTo x="21764" y="0"/>
                <wp:lineTo x="-140" y="0"/>
              </wp:wrapPolygon>
            </wp:wrapTight>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A85A1C" w:rsidRPr="00AE0EFF">
        <w:rPr>
          <w:rFonts w:ascii="Times New Roman" w:hAnsi="Times New Roman" w:cs="Times New Roman"/>
          <w:noProof/>
          <w:color w:val="00B050"/>
          <w:sz w:val="24"/>
          <w:szCs w:val="24"/>
        </w:rPr>
        <w:drawing>
          <wp:anchor distT="0" distB="0" distL="114300" distR="114300" simplePos="0" relativeHeight="251666432" behindDoc="1" locked="0" layoutInCell="1" allowOverlap="1" wp14:anchorId="3F157E11" wp14:editId="369228CB">
            <wp:simplePos x="0" y="0"/>
            <wp:positionH relativeFrom="column">
              <wp:posOffset>-215265</wp:posOffset>
            </wp:positionH>
            <wp:positionV relativeFrom="paragraph">
              <wp:posOffset>-62230</wp:posOffset>
            </wp:positionV>
            <wp:extent cx="3199765" cy="1931035"/>
            <wp:effectExtent l="19050" t="0" r="19685" b="0"/>
            <wp:wrapTight wrapText="bothSides">
              <wp:wrapPolygon edited="0">
                <wp:start x="-129" y="0"/>
                <wp:lineTo x="-129" y="21522"/>
                <wp:lineTo x="21733" y="21522"/>
                <wp:lineTo x="21733" y="0"/>
                <wp:lineTo x="-129"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6A1F36CC" w14:textId="77777777" w:rsidR="00F5547F" w:rsidRPr="00AE0EFF" w:rsidRDefault="00F5547F" w:rsidP="00B97F3F">
      <w:pPr>
        <w:autoSpaceDE w:val="0"/>
        <w:autoSpaceDN w:val="0"/>
        <w:adjustRightInd w:val="0"/>
        <w:spacing w:after="0" w:line="360" w:lineRule="auto"/>
        <w:jc w:val="both"/>
        <w:rPr>
          <w:rFonts w:ascii="Times New Roman" w:hAnsi="Times New Roman" w:cs="Times New Roman"/>
          <w:sz w:val="24"/>
          <w:szCs w:val="24"/>
        </w:rPr>
      </w:pPr>
    </w:p>
    <w:p w14:paraId="4A862359" w14:textId="4F3EBA25" w:rsidR="00131BC5" w:rsidRPr="00AE0EFF" w:rsidRDefault="000B03D1" w:rsidP="00131BC5">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AE0EFF">
        <w:rPr>
          <w:rFonts w:ascii="Times New Roman" w:hAnsi="Times New Roman" w:cs="Times New Roman"/>
          <w:sz w:val="24"/>
          <w:szCs w:val="24"/>
        </w:rPr>
        <w:t xml:space="preserve">ecorded </w:t>
      </w:r>
      <w:r w:rsidR="00131BC5" w:rsidRPr="00AE0EFF">
        <w:rPr>
          <w:rFonts w:ascii="Times New Roman" w:hAnsi="Times New Roman" w:cs="Times New Roman"/>
          <w:sz w:val="24"/>
          <w:szCs w:val="24"/>
        </w:rPr>
        <w:t xml:space="preserve">to be maximum in stage III i.e., 21 DAA and decreased during subsequent stages.  </w:t>
      </w:r>
      <w:r>
        <w:rPr>
          <w:rFonts w:ascii="Times New Roman" w:hAnsi="Times New Roman" w:cs="Times New Roman"/>
          <w:sz w:val="24"/>
          <w:szCs w:val="24"/>
        </w:rPr>
        <w:t>The i</w:t>
      </w:r>
      <w:r w:rsidRPr="00AE0EFF">
        <w:rPr>
          <w:rFonts w:ascii="Times New Roman" w:hAnsi="Times New Roman" w:cs="Times New Roman"/>
          <w:sz w:val="24"/>
          <w:szCs w:val="24"/>
        </w:rPr>
        <w:t xml:space="preserve">ncrease </w:t>
      </w:r>
      <w:r w:rsidR="00131BC5" w:rsidRPr="00AE0EFF">
        <w:rPr>
          <w:rFonts w:ascii="Times New Roman" w:hAnsi="Times New Roman" w:cs="Times New Roman"/>
          <w:sz w:val="24"/>
          <w:szCs w:val="24"/>
        </w:rPr>
        <w:t xml:space="preserve">in fresh weight of seeds with </w:t>
      </w:r>
      <w:r>
        <w:rPr>
          <w:rFonts w:ascii="Times New Roman" w:hAnsi="Times New Roman" w:cs="Times New Roman"/>
          <w:sz w:val="24"/>
          <w:szCs w:val="24"/>
        </w:rPr>
        <w:t xml:space="preserve">the </w:t>
      </w:r>
      <w:r w:rsidR="00131BC5" w:rsidRPr="00AE0EFF">
        <w:rPr>
          <w:rFonts w:ascii="Times New Roman" w:hAnsi="Times New Roman" w:cs="Times New Roman"/>
          <w:sz w:val="24"/>
          <w:szCs w:val="24"/>
        </w:rPr>
        <w:t xml:space="preserve">advancement of seed development stages was documented by Varshney et al. (2001) in Indian mustard, and Mahesha et al. (2001) in sunflower, </w:t>
      </w:r>
      <w:proofErr w:type="spellStart"/>
      <w:r w:rsidR="00131BC5" w:rsidRPr="00AE0EFF">
        <w:rPr>
          <w:rFonts w:ascii="Times New Roman" w:hAnsi="Times New Roman" w:cs="Times New Roman"/>
          <w:sz w:val="24"/>
          <w:szCs w:val="24"/>
        </w:rPr>
        <w:t>Moonmoon</w:t>
      </w:r>
      <w:proofErr w:type="spellEnd"/>
      <w:r w:rsidR="00131BC5" w:rsidRPr="00AE0EFF">
        <w:rPr>
          <w:rFonts w:ascii="Times New Roman" w:hAnsi="Times New Roman" w:cs="Times New Roman"/>
          <w:sz w:val="24"/>
          <w:szCs w:val="24"/>
        </w:rPr>
        <w:t xml:space="preserve"> and Ahmad (2020) in Country bean</w:t>
      </w:r>
      <w:r>
        <w:rPr>
          <w:rFonts w:ascii="Times New Roman" w:hAnsi="Times New Roman" w:cs="Times New Roman"/>
          <w:sz w:val="24"/>
          <w:szCs w:val="24"/>
        </w:rPr>
        <w:t>s</w:t>
      </w:r>
      <w:r w:rsidR="00131BC5" w:rsidRPr="00AE0EFF">
        <w:rPr>
          <w:rFonts w:ascii="Times New Roman" w:hAnsi="Times New Roman" w:cs="Times New Roman"/>
          <w:sz w:val="24"/>
          <w:szCs w:val="24"/>
        </w:rPr>
        <w:t>.</w:t>
      </w:r>
    </w:p>
    <w:p w14:paraId="1706F51C" w14:textId="39D6AD10" w:rsidR="007B3724" w:rsidRPr="00AE0EFF" w:rsidRDefault="007B3724" w:rsidP="00131BC5">
      <w:pPr>
        <w:autoSpaceDE w:val="0"/>
        <w:autoSpaceDN w:val="0"/>
        <w:adjustRightInd w:val="0"/>
        <w:spacing w:after="0" w:line="360" w:lineRule="auto"/>
        <w:ind w:firstLine="720"/>
        <w:jc w:val="both"/>
        <w:rPr>
          <w:rFonts w:ascii="Times New Roman" w:hAnsi="Times New Roman" w:cs="Times New Roman"/>
          <w:sz w:val="24"/>
          <w:szCs w:val="24"/>
        </w:rPr>
      </w:pPr>
      <w:r w:rsidRPr="00AE0EFF">
        <w:rPr>
          <w:rFonts w:ascii="Times New Roman" w:hAnsi="Times New Roman" w:cs="Times New Roman"/>
          <w:sz w:val="24"/>
          <w:szCs w:val="24"/>
        </w:rPr>
        <w:t xml:space="preserve">The attainment of maximum fresh weight (Fig-4) of seed indicated the cessation of cell division during seed maturity (Noggle and Fritz, 1991). </w:t>
      </w:r>
      <w:r w:rsidRPr="003767D2">
        <w:rPr>
          <w:rFonts w:ascii="Times New Roman" w:hAnsi="Times New Roman" w:cs="Times New Roman"/>
          <w:sz w:val="24"/>
          <w:szCs w:val="24"/>
          <w:highlight w:val="yellow"/>
        </w:rPr>
        <w:t xml:space="preserve">Maximum Seed dry weight (Fig-5) in different developmental stages </w:t>
      </w:r>
      <w:r w:rsidR="000B03D1" w:rsidRPr="003767D2">
        <w:rPr>
          <w:rFonts w:ascii="Times New Roman" w:hAnsi="Times New Roman" w:cs="Times New Roman"/>
          <w:sz w:val="24"/>
          <w:szCs w:val="24"/>
          <w:highlight w:val="yellow"/>
        </w:rPr>
        <w:t xml:space="preserve">was </w:t>
      </w:r>
      <w:r w:rsidRPr="003767D2">
        <w:rPr>
          <w:rFonts w:ascii="Times New Roman" w:hAnsi="Times New Roman" w:cs="Times New Roman"/>
          <w:sz w:val="24"/>
          <w:szCs w:val="24"/>
          <w:highlight w:val="yellow"/>
        </w:rPr>
        <w:t xml:space="preserve">varied in different genotypes (V5 highest at 35 DAA; V2 at 28 DAA; V3 at 14,21 DAA). </w:t>
      </w:r>
      <w:r w:rsidR="000B03D1" w:rsidRPr="003767D2">
        <w:rPr>
          <w:rFonts w:ascii="Times New Roman" w:hAnsi="Times New Roman" w:cs="Times New Roman"/>
          <w:sz w:val="24"/>
          <w:szCs w:val="24"/>
          <w:highlight w:val="yellow"/>
        </w:rPr>
        <w:t xml:space="preserve">The average </w:t>
      </w:r>
      <w:r w:rsidRPr="003767D2">
        <w:rPr>
          <w:rFonts w:ascii="Times New Roman" w:hAnsi="Times New Roman" w:cs="Times New Roman"/>
          <w:sz w:val="24"/>
          <w:szCs w:val="24"/>
          <w:highlight w:val="yellow"/>
        </w:rPr>
        <w:t xml:space="preserve">weight of dry seed was recorded to be maximum in stage V i.e., </w:t>
      </w:r>
      <w:r w:rsidRPr="00AE0EFF">
        <w:rPr>
          <w:rFonts w:ascii="Times New Roman" w:hAnsi="Times New Roman" w:cs="Times New Roman"/>
          <w:sz w:val="24"/>
          <w:szCs w:val="24"/>
        </w:rPr>
        <w:t>35 DAA. The active dry matter accumulation period was from 14 to 21 DAA. Results (Fig-6) revealed that the differences in moisture content become less in advance</w:t>
      </w:r>
      <w:r w:rsidR="000B03D1">
        <w:rPr>
          <w:rFonts w:ascii="Times New Roman" w:hAnsi="Times New Roman" w:cs="Times New Roman"/>
          <w:sz w:val="24"/>
          <w:szCs w:val="24"/>
        </w:rPr>
        <w:t>d</w:t>
      </w:r>
      <w:r w:rsidRPr="00AE0EFF">
        <w:rPr>
          <w:rFonts w:ascii="Times New Roman" w:hAnsi="Times New Roman" w:cs="Times New Roman"/>
          <w:sz w:val="24"/>
          <w:szCs w:val="24"/>
        </w:rPr>
        <w:t xml:space="preserve"> growing stages and genotypes tend to attain similar moisture level</w:t>
      </w:r>
      <w:r w:rsidR="000B03D1">
        <w:rPr>
          <w:rFonts w:ascii="Times New Roman" w:hAnsi="Times New Roman" w:cs="Times New Roman"/>
          <w:sz w:val="24"/>
          <w:szCs w:val="24"/>
        </w:rPr>
        <w:t>s</w:t>
      </w:r>
      <w:r w:rsidRPr="00AE0EFF">
        <w:rPr>
          <w:rFonts w:ascii="Times New Roman" w:hAnsi="Times New Roman" w:cs="Times New Roman"/>
          <w:sz w:val="24"/>
          <w:szCs w:val="24"/>
        </w:rPr>
        <w:t xml:space="preserve"> towards physiological maturity. </w:t>
      </w:r>
      <w:r w:rsidR="000B03D1">
        <w:rPr>
          <w:rFonts w:ascii="Times New Roman" w:hAnsi="Times New Roman" w:cs="Times New Roman"/>
          <w:sz w:val="24"/>
          <w:szCs w:val="24"/>
        </w:rPr>
        <w:t>The a</w:t>
      </w:r>
      <w:r w:rsidR="000B03D1" w:rsidRPr="00AE0EFF">
        <w:rPr>
          <w:rFonts w:ascii="Times New Roman" w:hAnsi="Times New Roman" w:cs="Times New Roman"/>
          <w:sz w:val="24"/>
          <w:szCs w:val="24"/>
        </w:rPr>
        <w:t xml:space="preserve">verage </w:t>
      </w:r>
      <w:r w:rsidRPr="00AE0EFF">
        <w:rPr>
          <w:rFonts w:ascii="Times New Roman" w:hAnsi="Times New Roman" w:cs="Times New Roman"/>
          <w:sz w:val="24"/>
          <w:szCs w:val="24"/>
        </w:rPr>
        <w:t xml:space="preserve">moisture </w:t>
      </w:r>
      <w:r w:rsidRPr="003767D2">
        <w:rPr>
          <w:rFonts w:ascii="Times New Roman" w:hAnsi="Times New Roman" w:cs="Times New Roman"/>
          <w:sz w:val="24"/>
          <w:szCs w:val="24"/>
          <w:highlight w:val="yellow"/>
        </w:rPr>
        <w:t xml:space="preserve">content of </w:t>
      </w:r>
      <w:r w:rsidR="000B03D1" w:rsidRPr="003767D2">
        <w:rPr>
          <w:rFonts w:ascii="Times New Roman" w:hAnsi="Times New Roman" w:cs="Times New Roman"/>
          <w:sz w:val="24"/>
          <w:szCs w:val="24"/>
          <w:highlight w:val="yellow"/>
        </w:rPr>
        <w:t xml:space="preserve">the </w:t>
      </w:r>
      <w:r w:rsidRPr="003767D2">
        <w:rPr>
          <w:rFonts w:ascii="Times New Roman" w:hAnsi="Times New Roman" w:cs="Times New Roman"/>
          <w:sz w:val="24"/>
          <w:szCs w:val="24"/>
          <w:highlight w:val="yellow"/>
        </w:rPr>
        <w:t xml:space="preserve">seed was recorded to be maximum in stage II i.e., 14DAA (69.00%). </w:t>
      </w:r>
      <w:r w:rsidR="000B03D1" w:rsidRPr="003767D2">
        <w:rPr>
          <w:rFonts w:ascii="Times New Roman" w:hAnsi="Times New Roman" w:cs="Times New Roman"/>
          <w:sz w:val="24"/>
          <w:szCs w:val="24"/>
          <w:highlight w:val="yellow"/>
        </w:rPr>
        <w:t>Similar</w:t>
      </w:r>
      <w:r w:rsidR="000B03D1" w:rsidRPr="00AE0EFF">
        <w:rPr>
          <w:rFonts w:ascii="Times New Roman" w:hAnsi="Times New Roman" w:cs="Times New Roman"/>
          <w:sz w:val="24"/>
          <w:szCs w:val="24"/>
        </w:rPr>
        <w:t xml:space="preserve"> </w:t>
      </w:r>
      <w:r w:rsidRPr="00AE0EFF">
        <w:rPr>
          <w:rFonts w:ascii="Times New Roman" w:hAnsi="Times New Roman" w:cs="Times New Roman"/>
          <w:sz w:val="24"/>
          <w:szCs w:val="24"/>
        </w:rPr>
        <w:t xml:space="preserve">behavior was described by </w:t>
      </w:r>
      <w:proofErr w:type="gramStart"/>
      <w:r w:rsidRPr="00FE33CD">
        <w:rPr>
          <w:rFonts w:ascii="Times New Roman" w:hAnsi="Times New Roman" w:cs="Times New Roman"/>
          <w:sz w:val="24"/>
          <w:szCs w:val="24"/>
        </w:rPr>
        <w:t>Eskandari(</w:t>
      </w:r>
      <w:proofErr w:type="gramEnd"/>
      <w:r w:rsidRPr="00FE33CD">
        <w:rPr>
          <w:rFonts w:ascii="Times New Roman" w:hAnsi="Times New Roman" w:cs="Times New Roman"/>
          <w:sz w:val="24"/>
          <w:szCs w:val="24"/>
        </w:rPr>
        <w:t>2012)</w:t>
      </w:r>
      <w:r w:rsidRPr="00AE0EFF">
        <w:rPr>
          <w:rFonts w:ascii="Times New Roman" w:hAnsi="Times New Roman" w:cs="Times New Roman"/>
          <w:sz w:val="24"/>
          <w:szCs w:val="24"/>
        </w:rPr>
        <w:t xml:space="preserve"> in seeds of </w:t>
      </w:r>
      <w:r w:rsidRPr="00AE0EFF">
        <w:rPr>
          <w:rFonts w:ascii="Times New Roman" w:hAnsi="Times New Roman" w:cs="Times New Roman"/>
          <w:i/>
          <w:iCs/>
          <w:sz w:val="24"/>
          <w:szCs w:val="24"/>
        </w:rPr>
        <w:t>Vigna sinensis</w:t>
      </w:r>
      <w:r w:rsidR="00FE33CD">
        <w:rPr>
          <w:rFonts w:ascii="Times New Roman" w:hAnsi="Times New Roman" w:cs="Times New Roman"/>
          <w:sz w:val="24"/>
          <w:szCs w:val="24"/>
        </w:rPr>
        <w:t xml:space="preserve"> </w:t>
      </w:r>
      <w:r w:rsidRPr="00AE0EFF">
        <w:rPr>
          <w:rFonts w:ascii="Times New Roman" w:hAnsi="Times New Roman" w:cs="Times New Roman"/>
          <w:sz w:val="24"/>
          <w:szCs w:val="24"/>
        </w:rPr>
        <w:t>( 2012)</w:t>
      </w:r>
      <w:r w:rsidR="00FE33CD">
        <w:rPr>
          <w:rFonts w:ascii="Times New Roman" w:hAnsi="Times New Roman" w:cs="Times New Roman"/>
          <w:sz w:val="24"/>
          <w:szCs w:val="24"/>
        </w:rPr>
        <w:t xml:space="preserve"> </w:t>
      </w:r>
      <w:r w:rsidRPr="00AE0EFF">
        <w:rPr>
          <w:rFonts w:ascii="Times New Roman" w:hAnsi="Times New Roman" w:cs="Times New Roman"/>
          <w:sz w:val="24"/>
          <w:szCs w:val="24"/>
        </w:rPr>
        <w:t xml:space="preserve">in common bean seeds Nogueira et al. (2014 ) and Cruz et al.,2019 in cowpea seeds. Seed moisture content was (Fig-6) minimum at 35 DAA for all genotypes. Maximum dry matter was accumulated and maximum loss of seed moisture was recorded between 28 to 35 DAA. The increase in dry weight of the seeds towards maturity reflects the accumulation of </w:t>
      </w:r>
      <w:r w:rsidR="003346A5" w:rsidRPr="00AE0EFF">
        <w:rPr>
          <w:rFonts w:ascii="Times New Roman" w:hAnsi="Times New Roman" w:cs="Times New Roman"/>
          <w:sz w:val="24"/>
          <w:szCs w:val="24"/>
        </w:rPr>
        <w:t>non</w:t>
      </w:r>
      <w:r w:rsidR="003346A5">
        <w:rPr>
          <w:rFonts w:ascii="Times New Roman" w:hAnsi="Times New Roman" w:cs="Times New Roman"/>
          <w:sz w:val="24"/>
          <w:szCs w:val="24"/>
        </w:rPr>
        <w:t>-</w:t>
      </w:r>
      <w:r w:rsidRPr="00AE0EFF">
        <w:rPr>
          <w:rFonts w:ascii="Times New Roman" w:hAnsi="Times New Roman" w:cs="Times New Roman"/>
          <w:sz w:val="24"/>
          <w:szCs w:val="24"/>
        </w:rPr>
        <w:t xml:space="preserve">structural carbohydrates, reducing sugars and </w:t>
      </w:r>
      <w:proofErr w:type="spellStart"/>
      <w:r w:rsidRPr="00AE0EFF">
        <w:rPr>
          <w:rFonts w:ascii="Times New Roman" w:hAnsi="Times New Roman" w:cs="Times New Roman"/>
          <w:sz w:val="24"/>
          <w:szCs w:val="24"/>
        </w:rPr>
        <w:t>fibre</w:t>
      </w:r>
      <w:proofErr w:type="spellEnd"/>
      <w:r w:rsidRPr="00AE0EFF">
        <w:rPr>
          <w:rFonts w:ascii="Times New Roman" w:hAnsi="Times New Roman" w:cs="Times New Roman"/>
          <w:sz w:val="24"/>
          <w:szCs w:val="24"/>
        </w:rPr>
        <w:t>, relative to seed moisture content which showed a sharp fall (</w:t>
      </w:r>
      <w:proofErr w:type="spellStart"/>
      <w:r w:rsidRPr="00AE0EFF">
        <w:rPr>
          <w:rFonts w:ascii="Times New Roman" w:hAnsi="Times New Roman" w:cs="Times New Roman"/>
          <w:sz w:val="24"/>
          <w:szCs w:val="24"/>
        </w:rPr>
        <w:t>Ketsa</w:t>
      </w:r>
      <w:proofErr w:type="spellEnd"/>
      <w:r w:rsidRPr="00AE0EFF">
        <w:rPr>
          <w:rFonts w:ascii="Times New Roman" w:hAnsi="Times New Roman" w:cs="Times New Roman"/>
          <w:sz w:val="24"/>
          <w:szCs w:val="24"/>
        </w:rPr>
        <w:t xml:space="preserve"> and </w:t>
      </w:r>
      <w:proofErr w:type="spellStart"/>
      <w:r w:rsidRPr="00AE0EFF">
        <w:rPr>
          <w:rFonts w:ascii="Times New Roman" w:hAnsi="Times New Roman" w:cs="Times New Roman"/>
          <w:sz w:val="24"/>
          <w:szCs w:val="24"/>
        </w:rPr>
        <w:t>Poopattarangk</w:t>
      </w:r>
      <w:proofErr w:type="spellEnd"/>
      <w:r w:rsidRPr="00AE0EFF">
        <w:rPr>
          <w:rFonts w:ascii="Times New Roman" w:hAnsi="Times New Roman" w:cs="Times New Roman"/>
          <w:sz w:val="24"/>
          <w:szCs w:val="24"/>
        </w:rPr>
        <w:t xml:space="preserve">, 1991). At 28 DAA the genotypes reached nearly 30% moisture with 43% reduction over 21 DAA. Moisture was further reduced by 44% DAA </w:t>
      </w:r>
      <w:r w:rsidR="003346A5" w:rsidRPr="00AE0EFF">
        <w:rPr>
          <w:rFonts w:ascii="Times New Roman" w:hAnsi="Times New Roman" w:cs="Times New Roman"/>
          <w:sz w:val="24"/>
          <w:szCs w:val="24"/>
        </w:rPr>
        <w:t>t</w:t>
      </w:r>
      <w:r w:rsidR="003346A5">
        <w:rPr>
          <w:rFonts w:ascii="Times New Roman" w:hAnsi="Times New Roman" w:cs="Times New Roman"/>
          <w:sz w:val="24"/>
          <w:szCs w:val="24"/>
        </w:rPr>
        <w:t>o</w:t>
      </w:r>
      <w:r w:rsidR="003346A5" w:rsidRPr="00AE0EFF">
        <w:rPr>
          <w:rFonts w:ascii="Times New Roman" w:hAnsi="Times New Roman" w:cs="Times New Roman"/>
          <w:sz w:val="24"/>
          <w:szCs w:val="24"/>
        </w:rPr>
        <w:t xml:space="preserve"> </w:t>
      </w:r>
      <w:r w:rsidRPr="00AE0EFF">
        <w:rPr>
          <w:rFonts w:ascii="Times New Roman" w:hAnsi="Times New Roman" w:cs="Times New Roman"/>
          <w:sz w:val="24"/>
          <w:szCs w:val="24"/>
        </w:rPr>
        <w:t xml:space="preserve">35 DAA keeping it to 18%. The decrease in moisture content with </w:t>
      </w:r>
      <w:r w:rsidR="003346A5">
        <w:rPr>
          <w:rFonts w:ascii="Times New Roman" w:hAnsi="Times New Roman" w:cs="Times New Roman"/>
          <w:sz w:val="24"/>
          <w:szCs w:val="24"/>
        </w:rPr>
        <w:t xml:space="preserve">the </w:t>
      </w:r>
      <w:r w:rsidRPr="00AE0EFF">
        <w:rPr>
          <w:rFonts w:ascii="Times New Roman" w:hAnsi="Times New Roman" w:cs="Times New Roman"/>
          <w:sz w:val="24"/>
          <w:szCs w:val="24"/>
        </w:rPr>
        <w:t xml:space="preserve">advancement of </w:t>
      </w:r>
      <w:r w:rsidR="003346A5">
        <w:rPr>
          <w:rFonts w:ascii="Times New Roman" w:hAnsi="Times New Roman" w:cs="Times New Roman"/>
          <w:sz w:val="24"/>
          <w:szCs w:val="24"/>
        </w:rPr>
        <w:t xml:space="preserve">the </w:t>
      </w:r>
      <w:r w:rsidRPr="00AE0EFF">
        <w:rPr>
          <w:rFonts w:ascii="Times New Roman" w:hAnsi="Times New Roman" w:cs="Times New Roman"/>
          <w:sz w:val="24"/>
          <w:szCs w:val="24"/>
        </w:rPr>
        <w:t>maturity stage might be due to desiccation and dehydration. Loss of seed moisture during ripening and maturation of a seed is a common phenomenon and has been observed in many crops (</w:t>
      </w:r>
      <w:proofErr w:type="spellStart"/>
      <w:r w:rsidRPr="00AE0EFF">
        <w:rPr>
          <w:rFonts w:ascii="Times New Roman" w:hAnsi="Times New Roman" w:cs="Times New Roman"/>
          <w:sz w:val="24"/>
          <w:szCs w:val="24"/>
        </w:rPr>
        <w:t>Karivaratharaju</w:t>
      </w:r>
      <w:proofErr w:type="spellEnd"/>
      <w:r w:rsidRPr="00AE0EFF">
        <w:rPr>
          <w:rFonts w:ascii="Times New Roman" w:hAnsi="Times New Roman" w:cs="Times New Roman"/>
          <w:sz w:val="24"/>
          <w:szCs w:val="24"/>
        </w:rPr>
        <w:t>, 1974).</w:t>
      </w:r>
      <w:r w:rsidR="003346A5">
        <w:rPr>
          <w:rFonts w:ascii="Times New Roman" w:hAnsi="Times New Roman" w:cs="Times New Roman"/>
          <w:sz w:val="24"/>
          <w:szCs w:val="24"/>
        </w:rPr>
        <w:t xml:space="preserve"> </w:t>
      </w:r>
      <w:r w:rsidRPr="00AE0EFF">
        <w:rPr>
          <w:rFonts w:ascii="Times New Roman" w:hAnsi="Times New Roman" w:cs="Times New Roman"/>
          <w:sz w:val="24"/>
          <w:szCs w:val="24"/>
        </w:rPr>
        <w:t xml:space="preserve">Similar reduction in moisture content during maturation was reported by  Mahesha et al., 2001 in sunflower; Varshney et al.,2001 in Indian mustard; </w:t>
      </w:r>
      <w:proofErr w:type="spellStart"/>
      <w:r w:rsidRPr="00AE0EFF">
        <w:rPr>
          <w:rFonts w:ascii="Times New Roman" w:hAnsi="Times New Roman" w:cs="Times New Roman"/>
          <w:sz w:val="24"/>
          <w:szCs w:val="24"/>
        </w:rPr>
        <w:t>Samnotra</w:t>
      </w:r>
      <w:proofErr w:type="spellEnd"/>
      <w:r w:rsidRPr="00AE0EFF">
        <w:rPr>
          <w:rFonts w:ascii="Times New Roman" w:hAnsi="Times New Roman" w:cs="Times New Roman"/>
          <w:sz w:val="24"/>
          <w:szCs w:val="24"/>
        </w:rPr>
        <w:t xml:space="preserve"> et al., 2002 in okra; Khatun et al., 2009 in Lentil Geetha et al., 2013 in mustard; Nichal et al, 2018 in soybean; Cruz et al., 2019 in cowpea and </w:t>
      </w:r>
      <w:proofErr w:type="spellStart"/>
      <w:r w:rsidRPr="00AE0EFF">
        <w:rPr>
          <w:rFonts w:ascii="Times New Roman" w:hAnsi="Times New Roman" w:cs="Times New Roman"/>
          <w:sz w:val="24"/>
          <w:szCs w:val="24"/>
        </w:rPr>
        <w:t>Moonmoon</w:t>
      </w:r>
      <w:proofErr w:type="spellEnd"/>
      <w:r w:rsidRPr="00AE0EFF">
        <w:rPr>
          <w:rFonts w:ascii="Times New Roman" w:hAnsi="Times New Roman" w:cs="Times New Roman"/>
          <w:sz w:val="24"/>
          <w:szCs w:val="24"/>
        </w:rPr>
        <w:t xml:space="preserve"> and Ahmad (2020) in country bean.</w:t>
      </w:r>
    </w:p>
    <w:p w14:paraId="00F5FC9B" w14:textId="77777777" w:rsidR="00EA2D24" w:rsidRPr="00AE0EFF" w:rsidRDefault="00EA2D24" w:rsidP="00F5547F">
      <w:pPr>
        <w:spacing w:before="120" w:after="120" w:line="360" w:lineRule="auto"/>
        <w:jc w:val="both"/>
        <w:rPr>
          <w:rFonts w:ascii="Times New Roman" w:hAnsi="Times New Roman" w:cs="Times New Roman"/>
          <w:b/>
          <w:color w:val="00B050"/>
          <w:sz w:val="24"/>
          <w:szCs w:val="24"/>
        </w:rPr>
      </w:pPr>
    </w:p>
    <w:p w14:paraId="77E87A15" w14:textId="77777777" w:rsidR="00EA2D24" w:rsidRDefault="00EA2D24" w:rsidP="00F5547F">
      <w:pPr>
        <w:spacing w:before="120" w:after="120" w:line="360" w:lineRule="auto"/>
        <w:jc w:val="both"/>
        <w:rPr>
          <w:rFonts w:ascii="Times New Roman" w:hAnsi="Times New Roman" w:cs="Times New Roman"/>
          <w:b/>
          <w:color w:val="00B050"/>
          <w:sz w:val="24"/>
          <w:szCs w:val="24"/>
        </w:rPr>
      </w:pPr>
    </w:p>
    <w:p w14:paraId="2CA0652D" w14:textId="77777777" w:rsidR="00FE33CD" w:rsidRPr="00AE0EFF" w:rsidRDefault="00FE33CD" w:rsidP="00F5547F">
      <w:pPr>
        <w:spacing w:before="120" w:after="120" w:line="360" w:lineRule="auto"/>
        <w:jc w:val="both"/>
        <w:rPr>
          <w:rFonts w:ascii="Times New Roman" w:hAnsi="Times New Roman" w:cs="Times New Roman"/>
          <w:b/>
          <w:color w:val="00B050"/>
          <w:sz w:val="24"/>
          <w:szCs w:val="24"/>
        </w:rPr>
      </w:pPr>
    </w:p>
    <w:p w14:paraId="205643CB" w14:textId="77777777" w:rsidR="007B3724" w:rsidRPr="00984CB1" w:rsidRDefault="006973DA" w:rsidP="00F5547F">
      <w:pPr>
        <w:spacing w:before="120" w:after="120" w:line="360" w:lineRule="auto"/>
        <w:jc w:val="both"/>
        <w:rPr>
          <w:rFonts w:ascii="Times New Roman" w:hAnsi="Times New Roman" w:cs="Times New Roman"/>
          <w:b/>
          <w:color w:val="000000" w:themeColor="text1"/>
          <w:sz w:val="24"/>
          <w:szCs w:val="24"/>
        </w:rPr>
      </w:pPr>
      <w:r w:rsidRPr="00984CB1">
        <w:rPr>
          <w:rFonts w:ascii="Times New Roman" w:hAnsi="Times New Roman" w:cs="Times New Roman"/>
          <w:b/>
          <w:color w:val="000000" w:themeColor="text1"/>
          <w:sz w:val="24"/>
          <w:szCs w:val="24"/>
        </w:rPr>
        <w:lastRenderedPageBreak/>
        <w:t>Seed Germination</w:t>
      </w:r>
    </w:p>
    <w:p w14:paraId="749EAB6E" w14:textId="70C5D2DC" w:rsidR="007B3724" w:rsidRPr="00AE0EFF" w:rsidRDefault="007B3724" w:rsidP="003767D2">
      <w:pPr>
        <w:spacing w:line="360" w:lineRule="auto"/>
        <w:ind w:firstLine="720"/>
        <w:jc w:val="both"/>
        <w:rPr>
          <w:rFonts w:ascii="Times New Roman" w:hAnsi="Times New Roman" w:cs="Times New Roman"/>
          <w:sz w:val="24"/>
          <w:szCs w:val="24"/>
        </w:rPr>
      </w:pPr>
      <w:r w:rsidRPr="00AE0EFF">
        <w:rPr>
          <w:rFonts w:ascii="Times New Roman" w:hAnsi="Times New Roman" w:cs="Times New Roman"/>
          <w:sz w:val="24"/>
          <w:szCs w:val="24"/>
        </w:rPr>
        <w:t xml:space="preserve">Initiation of germination was recorded at 14 DAA which increased to 54% at 21 DAA. When consideration was made on </w:t>
      </w:r>
      <w:r w:rsidR="000B03D1">
        <w:rPr>
          <w:rFonts w:ascii="Times New Roman" w:hAnsi="Times New Roman" w:cs="Times New Roman"/>
          <w:sz w:val="24"/>
          <w:szCs w:val="24"/>
        </w:rPr>
        <w:t xml:space="preserve">an </w:t>
      </w:r>
      <w:r w:rsidRPr="00AE0EFF">
        <w:rPr>
          <w:rFonts w:ascii="Times New Roman" w:hAnsi="Times New Roman" w:cs="Times New Roman"/>
          <w:sz w:val="24"/>
          <w:szCs w:val="24"/>
        </w:rPr>
        <w:t xml:space="preserve">individual genotype basis, germination with </w:t>
      </w:r>
      <w:r w:rsidR="000B03D1">
        <w:rPr>
          <w:rFonts w:ascii="Times New Roman" w:hAnsi="Times New Roman" w:cs="Times New Roman"/>
          <w:sz w:val="24"/>
          <w:szCs w:val="24"/>
        </w:rPr>
        <w:t xml:space="preserve">the </w:t>
      </w:r>
      <w:r w:rsidRPr="00AE0EFF">
        <w:rPr>
          <w:rFonts w:ascii="Times New Roman" w:hAnsi="Times New Roman" w:cs="Times New Roman"/>
          <w:sz w:val="24"/>
          <w:szCs w:val="24"/>
        </w:rPr>
        <w:t xml:space="preserve">highest magnitude (81%, 80.75% &amp; 68.75%) </w:t>
      </w:r>
      <w:r w:rsidR="000B03D1" w:rsidRPr="003767D2">
        <w:rPr>
          <w:rFonts w:ascii="Times New Roman" w:hAnsi="Times New Roman" w:cs="Times New Roman"/>
          <w:sz w:val="24"/>
          <w:szCs w:val="24"/>
          <w:highlight w:val="yellow"/>
        </w:rPr>
        <w:t xml:space="preserve">was </w:t>
      </w:r>
      <w:r w:rsidRPr="003767D2">
        <w:rPr>
          <w:rFonts w:ascii="Times New Roman" w:hAnsi="Times New Roman" w:cs="Times New Roman"/>
          <w:sz w:val="24"/>
          <w:szCs w:val="24"/>
          <w:highlight w:val="yellow"/>
        </w:rPr>
        <w:t>recorded for the genotypes 3,5 and 2 at 35 DAA (Figure 7). average germination was recorde</w:t>
      </w:r>
      <w:r w:rsidRPr="00AE0EFF">
        <w:rPr>
          <w:rFonts w:ascii="Times New Roman" w:hAnsi="Times New Roman" w:cs="Times New Roman"/>
          <w:sz w:val="24"/>
          <w:szCs w:val="24"/>
        </w:rPr>
        <w:t>d to be maximum in stage IV i.e., 28DAA (71.30%). Maximum rate of increase was exhibited by all genotype</w:t>
      </w:r>
      <w:r w:rsidR="000B03D1">
        <w:rPr>
          <w:rFonts w:ascii="Times New Roman" w:hAnsi="Times New Roman" w:cs="Times New Roman"/>
          <w:sz w:val="24"/>
          <w:szCs w:val="24"/>
        </w:rPr>
        <w:t>s</w:t>
      </w:r>
      <w:r w:rsidRPr="00AE0EFF">
        <w:rPr>
          <w:rFonts w:ascii="Times New Roman" w:hAnsi="Times New Roman" w:cs="Times New Roman"/>
          <w:sz w:val="24"/>
          <w:szCs w:val="24"/>
        </w:rPr>
        <w:t xml:space="preserve"> from 14 DAA to 21 DAA with a range of 143.64% to 217.86%. The lowest germination percentage was observed in II stage. </w:t>
      </w:r>
      <w:r w:rsidRPr="003767D2">
        <w:rPr>
          <w:rFonts w:ascii="Times New Roman" w:hAnsi="Times New Roman" w:cs="Times New Roman"/>
          <w:sz w:val="24"/>
          <w:szCs w:val="24"/>
          <w:highlight w:val="yellow"/>
        </w:rPr>
        <w:t xml:space="preserve">It indicated that germination was markedly less in </w:t>
      </w:r>
      <w:r w:rsidR="000B03D1" w:rsidRPr="003767D2">
        <w:rPr>
          <w:rFonts w:ascii="Times New Roman" w:hAnsi="Times New Roman" w:cs="Times New Roman"/>
          <w:sz w:val="24"/>
          <w:szCs w:val="24"/>
          <w:highlight w:val="yellow"/>
        </w:rPr>
        <w:t>early-</w:t>
      </w:r>
      <w:r w:rsidRPr="003767D2">
        <w:rPr>
          <w:rFonts w:ascii="Times New Roman" w:hAnsi="Times New Roman" w:cs="Times New Roman"/>
          <w:sz w:val="24"/>
          <w:szCs w:val="24"/>
          <w:highlight w:val="yellow"/>
        </w:rPr>
        <w:t xml:space="preserve">harvested seeds compared to seeds harvested at later stages. Lesser germination (%) in early harvested seeds may </w:t>
      </w:r>
      <w:r w:rsidR="000B03D1" w:rsidRPr="003767D2">
        <w:rPr>
          <w:rFonts w:ascii="Times New Roman" w:hAnsi="Times New Roman" w:cs="Times New Roman"/>
          <w:sz w:val="24"/>
          <w:szCs w:val="24"/>
          <w:highlight w:val="yellow"/>
        </w:rPr>
        <w:t xml:space="preserve">be </w:t>
      </w:r>
      <w:r w:rsidRPr="003767D2">
        <w:rPr>
          <w:rFonts w:ascii="Times New Roman" w:hAnsi="Times New Roman" w:cs="Times New Roman"/>
          <w:sz w:val="24"/>
          <w:szCs w:val="24"/>
          <w:highlight w:val="yellow"/>
        </w:rPr>
        <w:t xml:space="preserve">due to </w:t>
      </w:r>
      <w:r w:rsidR="000B03D1" w:rsidRPr="003767D2">
        <w:rPr>
          <w:rFonts w:ascii="Times New Roman" w:hAnsi="Times New Roman" w:cs="Times New Roman"/>
          <w:sz w:val="24"/>
          <w:szCs w:val="24"/>
          <w:highlight w:val="yellow"/>
        </w:rPr>
        <w:t xml:space="preserve">the </w:t>
      </w:r>
      <w:r w:rsidRPr="003767D2">
        <w:rPr>
          <w:rFonts w:ascii="Times New Roman" w:hAnsi="Times New Roman" w:cs="Times New Roman"/>
          <w:sz w:val="24"/>
          <w:szCs w:val="24"/>
          <w:highlight w:val="yellow"/>
        </w:rPr>
        <w:t xml:space="preserve">presence of more immature and unfilled seeds. </w:t>
      </w:r>
      <w:r w:rsidRPr="00AE0EFF">
        <w:rPr>
          <w:rFonts w:ascii="Times New Roman" w:hAnsi="Times New Roman" w:cs="Times New Roman"/>
          <w:sz w:val="24"/>
          <w:szCs w:val="24"/>
        </w:rPr>
        <w:t xml:space="preserve">(Khatun </w:t>
      </w:r>
      <w:r w:rsidRPr="00AE0EFF">
        <w:rPr>
          <w:rFonts w:ascii="Times New Roman" w:hAnsi="Times New Roman" w:cs="Times New Roman"/>
          <w:i/>
          <w:sz w:val="24"/>
          <w:szCs w:val="24"/>
        </w:rPr>
        <w:t>et al</w:t>
      </w:r>
      <w:r w:rsidRPr="00AE0EFF">
        <w:rPr>
          <w:rFonts w:ascii="Times New Roman" w:hAnsi="Times New Roman" w:cs="Times New Roman"/>
          <w:sz w:val="24"/>
          <w:szCs w:val="24"/>
        </w:rPr>
        <w:t>., 2009).</w:t>
      </w:r>
      <w:r w:rsidR="006973DA" w:rsidRPr="00AE0EFF">
        <w:rPr>
          <w:rFonts w:ascii="Times New Roman" w:hAnsi="Times New Roman" w:cs="Times New Roman"/>
          <w:sz w:val="24"/>
          <w:szCs w:val="24"/>
        </w:rPr>
        <w:t xml:space="preserve"> </w:t>
      </w:r>
      <w:r w:rsidRPr="00AE0EFF">
        <w:rPr>
          <w:rFonts w:ascii="Times New Roman" w:hAnsi="Times New Roman" w:cs="Times New Roman"/>
          <w:sz w:val="24"/>
          <w:szCs w:val="24"/>
        </w:rPr>
        <w:t>Similar results have been reported (Oliveira et al., 1999; Demir and Ellis, 1992; Siddique and Wright, 2003) that physiological maturity does not coincide with maximum germination which may be a result of dormancy factor associated with fruit sap or any relation between activation of germination inducing enzymes with decreasing seed moisture content</w:t>
      </w:r>
      <w:r w:rsidR="003346A5">
        <w:rPr>
          <w:rFonts w:ascii="Times New Roman" w:hAnsi="Times New Roman" w:cs="Times New Roman"/>
          <w:sz w:val="24"/>
          <w:szCs w:val="24"/>
        </w:rPr>
        <w:t xml:space="preserve">, </w:t>
      </w:r>
      <w:r w:rsidR="000B03D1">
        <w:rPr>
          <w:rFonts w:ascii="Times New Roman" w:hAnsi="Times New Roman" w:cs="Times New Roman"/>
          <w:sz w:val="24"/>
          <w:szCs w:val="24"/>
        </w:rPr>
        <w:t>S</w:t>
      </w:r>
      <w:r w:rsidR="000B03D1" w:rsidRPr="00AE0EFF">
        <w:rPr>
          <w:rFonts w:ascii="Times New Roman" w:hAnsi="Times New Roman" w:cs="Times New Roman"/>
          <w:sz w:val="24"/>
          <w:szCs w:val="24"/>
        </w:rPr>
        <w:t xml:space="preserve">hoot </w:t>
      </w:r>
      <w:r w:rsidRPr="00AE0EFF">
        <w:rPr>
          <w:rFonts w:ascii="Times New Roman" w:hAnsi="Times New Roman" w:cs="Times New Roman"/>
          <w:sz w:val="24"/>
          <w:szCs w:val="24"/>
        </w:rPr>
        <w:t xml:space="preserve">length of all genotypes reached maximum length at 35 DAA </w:t>
      </w:r>
      <w:r w:rsidR="000B03D1" w:rsidRPr="00AE0EFF">
        <w:rPr>
          <w:rFonts w:ascii="Times New Roman" w:hAnsi="Times New Roman" w:cs="Times New Roman"/>
          <w:sz w:val="24"/>
          <w:szCs w:val="24"/>
        </w:rPr>
        <w:t>ex</w:t>
      </w:r>
      <w:r w:rsidR="000B03D1">
        <w:rPr>
          <w:rFonts w:ascii="Times New Roman" w:hAnsi="Times New Roman" w:cs="Times New Roman"/>
          <w:sz w:val="24"/>
          <w:szCs w:val="24"/>
        </w:rPr>
        <w:t>cep</w:t>
      </w:r>
      <w:r w:rsidR="000B03D1" w:rsidRPr="00AE0EFF">
        <w:rPr>
          <w:rFonts w:ascii="Times New Roman" w:hAnsi="Times New Roman" w:cs="Times New Roman"/>
          <w:sz w:val="24"/>
          <w:szCs w:val="24"/>
        </w:rPr>
        <w:t xml:space="preserve">t </w:t>
      </w:r>
      <w:r w:rsidRPr="00AE0EFF">
        <w:rPr>
          <w:rFonts w:ascii="Times New Roman" w:hAnsi="Times New Roman" w:cs="Times New Roman"/>
          <w:sz w:val="24"/>
          <w:szCs w:val="24"/>
        </w:rPr>
        <w:t xml:space="preserve">V1 where maximum shoot length reached 21 DAA after which subsequent reduction in length was observed in further stages (Figure-8). </w:t>
      </w:r>
      <w:r w:rsidR="000B03D1">
        <w:rPr>
          <w:rFonts w:ascii="Times New Roman" w:hAnsi="Times New Roman" w:cs="Times New Roman"/>
          <w:sz w:val="24"/>
          <w:szCs w:val="24"/>
        </w:rPr>
        <w:t>The r</w:t>
      </w:r>
      <w:r w:rsidR="000B03D1" w:rsidRPr="00AE0EFF">
        <w:rPr>
          <w:rFonts w:ascii="Times New Roman" w:hAnsi="Times New Roman" w:cs="Times New Roman"/>
          <w:sz w:val="24"/>
          <w:szCs w:val="24"/>
        </w:rPr>
        <w:t xml:space="preserve">oot </w:t>
      </w:r>
      <w:r w:rsidRPr="00AE0EFF">
        <w:rPr>
          <w:rFonts w:ascii="Times New Roman" w:hAnsi="Times New Roman" w:cs="Times New Roman"/>
          <w:sz w:val="24"/>
          <w:szCs w:val="24"/>
        </w:rPr>
        <w:t>length of genotype</w:t>
      </w:r>
      <w:r w:rsidR="000B03D1">
        <w:rPr>
          <w:rFonts w:ascii="Times New Roman" w:hAnsi="Times New Roman" w:cs="Times New Roman"/>
          <w:sz w:val="24"/>
          <w:szCs w:val="24"/>
        </w:rPr>
        <w:t>s</w:t>
      </w:r>
      <w:r w:rsidRPr="00AE0EFF">
        <w:rPr>
          <w:rFonts w:ascii="Times New Roman" w:hAnsi="Times New Roman" w:cs="Times New Roman"/>
          <w:sz w:val="24"/>
          <w:szCs w:val="24"/>
        </w:rPr>
        <w:t xml:space="preserve"> 1, 2 and 4 reached </w:t>
      </w:r>
      <w:proofErr w:type="gramStart"/>
      <w:r w:rsidRPr="00AE0EFF">
        <w:rPr>
          <w:rFonts w:ascii="Times New Roman" w:hAnsi="Times New Roman" w:cs="Times New Roman"/>
          <w:sz w:val="24"/>
          <w:szCs w:val="24"/>
        </w:rPr>
        <w:t>maximum</w:t>
      </w:r>
      <w:proofErr w:type="gramEnd"/>
      <w:r w:rsidRPr="00AE0EFF">
        <w:rPr>
          <w:rFonts w:ascii="Times New Roman" w:hAnsi="Times New Roman" w:cs="Times New Roman"/>
          <w:sz w:val="24"/>
          <w:szCs w:val="24"/>
        </w:rPr>
        <w:t xml:space="preserve"> at 28 DAA whereas</w:t>
      </w:r>
      <w:r w:rsidR="000B03D1">
        <w:rPr>
          <w:rFonts w:ascii="Times New Roman" w:hAnsi="Times New Roman" w:cs="Times New Roman"/>
          <w:sz w:val="24"/>
          <w:szCs w:val="24"/>
        </w:rPr>
        <w:t>,</w:t>
      </w:r>
      <w:r w:rsidRPr="00AE0EFF">
        <w:rPr>
          <w:rFonts w:ascii="Times New Roman" w:hAnsi="Times New Roman" w:cs="Times New Roman"/>
          <w:sz w:val="24"/>
          <w:szCs w:val="24"/>
        </w:rPr>
        <w:t xml:space="preserve"> for genotype</w:t>
      </w:r>
      <w:r w:rsidR="000B03D1">
        <w:rPr>
          <w:rFonts w:ascii="Times New Roman" w:hAnsi="Times New Roman" w:cs="Times New Roman"/>
          <w:sz w:val="24"/>
          <w:szCs w:val="24"/>
        </w:rPr>
        <w:t>s</w:t>
      </w:r>
      <w:r w:rsidRPr="00AE0EFF">
        <w:rPr>
          <w:rFonts w:ascii="Times New Roman" w:hAnsi="Times New Roman" w:cs="Times New Roman"/>
          <w:sz w:val="24"/>
          <w:szCs w:val="24"/>
        </w:rPr>
        <w:t xml:space="preserve"> 3 and 5, </w:t>
      </w:r>
      <w:r w:rsidR="000B03D1">
        <w:rPr>
          <w:rFonts w:ascii="Times New Roman" w:hAnsi="Times New Roman" w:cs="Times New Roman"/>
          <w:sz w:val="24"/>
          <w:szCs w:val="24"/>
        </w:rPr>
        <w:t xml:space="preserve">the </w:t>
      </w:r>
      <w:r w:rsidRPr="00AE0EFF">
        <w:rPr>
          <w:rFonts w:ascii="Times New Roman" w:hAnsi="Times New Roman" w:cs="Times New Roman"/>
          <w:sz w:val="24"/>
          <w:szCs w:val="24"/>
        </w:rPr>
        <w:t xml:space="preserve">longest root was recorded at 35DAA. Maximum elongation in both root and shoot length was recorded from 14 DAA to 21 DAA with </w:t>
      </w:r>
      <w:r w:rsidR="000B03D1">
        <w:rPr>
          <w:rFonts w:ascii="Times New Roman" w:hAnsi="Times New Roman" w:cs="Times New Roman"/>
          <w:sz w:val="24"/>
          <w:szCs w:val="24"/>
        </w:rPr>
        <w:t xml:space="preserve">a </w:t>
      </w:r>
      <w:r w:rsidRPr="00AE0EFF">
        <w:rPr>
          <w:rFonts w:ascii="Times New Roman" w:hAnsi="Times New Roman" w:cs="Times New Roman"/>
          <w:sz w:val="24"/>
          <w:szCs w:val="24"/>
        </w:rPr>
        <w:t xml:space="preserve">maximum rate of shoot elongation in V4 (215.91%) and root elongation in V5 (215.52%). The total seedling length was increased for all genotypes with </w:t>
      </w:r>
      <w:r w:rsidR="000B03D1">
        <w:rPr>
          <w:rFonts w:ascii="Times New Roman" w:hAnsi="Times New Roman" w:cs="Times New Roman"/>
          <w:sz w:val="24"/>
          <w:szCs w:val="24"/>
        </w:rPr>
        <w:t xml:space="preserve">a </w:t>
      </w:r>
      <w:r w:rsidRPr="00AE0EFF">
        <w:rPr>
          <w:rFonts w:ascii="Times New Roman" w:hAnsi="Times New Roman" w:cs="Times New Roman"/>
          <w:sz w:val="24"/>
          <w:szCs w:val="24"/>
        </w:rPr>
        <w:t xml:space="preserve">decreased rate of elongation up to 35 DAA except genotype 1 where it became negative after 28 DAA indicating physiological maturity. Cruz et al., 2019 observed maximum root and shoot length value in </w:t>
      </w:r>
      <w:r w:rsidR="000B03D1" w:rsidRPr="003767D2">
        <w:rPr>
          <w:rFonts w:ascii="Times New Roman" w:hAnsi="Times New Roman" w:cs="Times New Roman"/>
          <w:sz w:val="24"/>
          <w:szCs w:val="24"/>
          <w:highlight w:val="yellow"/>
        </w:rPr>
        <w:t xml:space="preserve">cowpeas </w:t>
      </w:r>
      <w:r w:rsidRPr="003767D2">
        <w:rPr>
          <w:rFonts w:ascii="Times New Roman" w:hAnsi="Times New Roman" w:cs="Times New Roman"/>
          <w:sz w:val="24"/>
          <w:szCs w:val="24"/>
          <w:highlight w:val="yellow"/>
        </w:rPr>
        <w:t>at the last harvest, at 21 days after anthesis, which is due to the metabolic and catabolic eve</w:t>
      </w:r>
      <w:r w:rsidRPr="00AE0EFF">
        <w:rPr>
          <w:rFonts w:ascii="Times New Roman" w:hAnsi="Times New Roman" w:cs="Times New Roman"/>
          <w:sz w:val="24"/>
          <w:szCs w:val="24"/>
        </w:rPr>
        <w:t>nts of accumulation in the reserves tissue throughout the development of the seed.</w:t>
      </w:r>
    </w:p>
    <w:p w14:paraId="06239AF1" w14:textId="57B9CA32" w:rsidR="007B3724" w:rsidRPr="00AE0EFF" w:rsidRDefault="007B3724" w:rsidP="00EA2D24">
      <w:pPr>
        <w:spacing w:line="360" w:lineRule="auto"/>
        <w:ind w:firstLine="720"/>
        <w:jc w:val="both"/>
        <w:rPr>
          <w:rFonts w:ascii="Times New Roman" w:hAnsi="Times New Roman" w:cs="Times New Roman"/>
          <w:sz w:val="24"/>
          <w:szCs w:val="24"/>
        </w:rPr>
      </w:pPr>
      <w:r w:rsidRPr="00AE0EFF">
        <w:rPr>
          <w:rFonts w:ascii="Times New Roman" w:hAnsi="Times New Roman" w:cs="Times New Roman"/>
          <w:sz w:val="24"/>
          <w:szCs w:val="24"/>
        </w:rPr>
        <w:t xml:space="preserve">When consideration was made on </w:t>
      </w:r>
      <w:r w:rsidR="000B03D1">
        <w:rPr>
          <w:rFonts w:ascii="Times New Roman" w:hAnsi="Times New Roman" w:cs="Times New Roman"/>
          <w:sz w:val="24"/>
          <w:szCs w:val="24"/>
        </w:rPr>
        <w:t xml:space="preserve">an </w:t>
      </w:r>
      <w:r w:rsidRPr="00AE0EFF">
        <w:rPr>
          <w:rFonts w:ascii="Times New Roman" w:hAnsi="Times New Roman" w:cs="Times New Roman"/>
          <w:sz w:val="24"/>
          <w:szCs w:val="24"/>
        </w:rPr>
        <w:t xml:space="preserve">individual genotype basis,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index-I with highest magnitude (2184.98, 1911.43, 1770.45) </w:t>
      </w:r>
      <w:r w:rsidR="000B03D1" w:rsidRPr="00AE0EFF">
        <w:rPr>
          <w:rFonts w:ascii="Times New Roman" w:hAnsi="Times New Roman" w:cs="Times New Roman"/>
          <w:sz w:val="24"/>
          <w:szCs w:val="24"/>
        </w:rPr>
        <w:t>w</w:t>
      </w:r>
      <w:r w:rsidR="000B03D1">
        <w:rPr>
          <w:rFonts w:ascii="Times New Roman" w:hAnsi="Times New Roman" w:cs="Times New Roman"/>
          <w:sz w:val="24"/>
          <w:szCs w:val="24"/>
        </w:rPr>
        <w:t>as</w:t>
      </w:r>
      <w:r w:rsidR="000B03D1" w:rsidRPr="00AE0EFF">
        <w:rPr>
          <w:rFonts w:ascii="Times New Roman" w:hAnsi="Times New Roman" w:cs="Times New Roman"/>
          <w:sz w:val="24"/>
          <w:szCs w:val="24"/>
        </w:rPr>
        <w:t xml:space="preserve"> </w:t>
      </w:r>
      <w:r w:rsidRPr="00AE0EFF">
        <w:rPr>
          <w:rFonts w:ascii="Times New Roman" w:hAnsi="Times New Roman" w:cs="Times New Roman"/>
          <w:sz w:val="24"/>
          <w:szCs w:val="24"/>
        </w:rPr>
        <w:t>recorded for genotypes 5, 3 and 2 respectively at 35DAA and for genotype 1 (1507.95) and 4 (1221.20) at 28DAA maturity (Figure-</w:t>
      </w:r>
      <w:r w:rsidR="001934D8">
        <w:rPr>
          <w:rFonts w:ascii="Times New Roman" w:hAnsi="Times New Roman" w:cs="Times New Roman"/>
          <w:sz w:val="24"/>
          <w:szCs w:val="24"/>
        </w:rPr>
        <w:t>9</w:t>
      </w:r>
      <w:r w:rsidRPr="00AE0EFF">
        <w:rPr>
          <w:rFonts w:ascii="Times New Roman" w:hAnsi="Times New Roman" w:cs="Times New Roman"/>
          <w:sz w:val="24"/>
          <w:szCs w:val="24"/>
        </w:rPr>
        <w:t xml:space="preserve">). Average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index-I was recorded to be maximum in stage V i.e., 35DAA (1610.97). Maximum rate of increase was exhibited by all genotype</w:t>
      </w:r>
      <w:r w:rsidR="000B03D1">
        <w:rPr>
          <w:rFonts w:ascii="Times New Roman" w:hAnsi="Times New Roman" w:cs="Times New Roman"/>
          <w:sz w:val="24"/>
          <w:szCs w:val="24"/>
        </w:rPr>
        <w:t>s</w:t>
      </w:r>
      <w:r w:rsidRPr="00AE0EFF">
        <w:rPr>
          <w:rFonts w:ascii="Times New Roman" w:hAnsi="Times New Roman" w:cs="Times New Roman"/>
          <w:sz w:val="24"/>
          <w:szCs w:val="24"/>
        </w:rPr>
        <w:t xml:space="preserve"> from 14 DAA to 21 DAA with a range of 489.13% to 622%. The rate continued to increase till 35 DAA for genotypes 2, 3 and 5 whereas it became negative for genotype</w:t>
      </w:r>
      <w:r w:rsidR="000B03D1">
        <w:rPr>
          <w:rFonts w:ascii="Times New Roman" w:hAnsi="Times New Roman" w:cs="Times New Roman"/>
          <w:sz w:val="24"/>
          <w:szCs w:val="24"/>
        </w:rPr>
        <w:t>s</w:t>
      </w:r>
      <w:r w:rsidRPr="00AE0EFF">
        <w:rPr>
          <w:rFonts w:ascii="Times New Roman" w:hAnsi="Times New Roman" w:cs="Times New Roman"/>
          <w:sz w:val="24"/>
          <w:szCs w:val="24"/>
        </w:rPr>
        <w:t xml:space="preserve"> 1 and 4 after 28 DAA. When individual genotypes were considered, maximum seed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–II was recorded for all </w:t>
      </w:r>
      <w:r w:rsidRPr="00AE0EFF">
        <w:rPr>
          <w:rFonts w:ascii="Times New Roman" w:hAnsi="Times New Roman" w:cs="Times New Roman"/>
          <w:sz w:val="24"/>
          <w:szCs w:val="24"/>
        </w:rPr>
        <w:lastRenderedPageBreak/>
        <w:t>the genotypes at 28 DAA (Fig-1</w:t>
      </w:r>
      <w:r w:rsidR="001934D8">
        <w:rPr>
          <w:rFonts w:ascii="Times New Roman" w:hAnsi="Times New Roman" w:cs="Times New Roman"/>
          <w:sz w:val="24"/>
          <w:szCs w:val="24"/>
        </w:rPr>
        <w:t>0</w:t>
      </w:r>
      <w:r w:rsidRPr="00AE0EFF">
        <w:rPr>
          <w:rFonts w:ascii="Times New Roman" w:hAnsi="Times New Roman" w:cs="Times New Roman"/>
          <w:sz w:val="24"/>
          <w:szCs w:val="24"/>
        </w:rPr>
        <w:t xml:space="preserve">) except V5 where maximum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was recorded at 35DAA. </w:t>
      </w:r>
      <w:r w:rsidR="000B03D1">
        <w:rPr>
          <w:rFonts w:ascii="Times New Roman" w:hAnsi="Times New Roman" w:cs="Times New Roman"/>
          <w:sz w:val="24"/>
          <w:szCs w:val="24"/>
        </w:rPr>
        <w:t>The m</w:t>
      </w:r>
      <w:r w:rsidR="000B03D1" w:rsidRPr="00AE0EFF">
        <w:rPr>
          <w:rFonts w:ascii="Times New Roman" w:hAnsi="Times New Roman" w:cs="Times New Roman"/>
          <w:sz w:val="24"/>
          <w:szCs w:val="24"/>
        </w:rPr>
        <w:t xml:space="preserve">aximum </w:t>
      </w:r>
      <w:r w:rsidRPr="00AE0EFF">
        <w:rPr>
          <w:rFonts w:ascii="Times New Roman" w:hAnsi="Times New Roman" w:cs="Times New Roman"/>
          <w:sz w:val="24"/>
          <w:szCs w:val="24"/>
        </w:rPr>
        <w:t>rate of increase was exhibited by all genotype</w:t>
      </w:r>
      <w:r w:rsidR="000B03D1">
        <w:rPr>
          <w:rFonts w:ascii="Times New Roman" w:hAnsi="Times New Roman" w:cs="Times New Roman"/>
          <w:sz w:val="24"/>
          <w:szCs w:val="24"/>
        </w:rPr>
        <w:t>s</w:t>
      </w:r>
      <w:r w:rsidRPr="00AE0EFF">
        <w:rPr>
          <w:rFonts w:ascii="Times New Roman" w:hAnsi="Times New Roman" w:cs="Times New Roman"/>
          <w:sz w:val="24"/>
          <w:szCs w:val="24"/>
        </w:rPr>
        <w:t xml:space="preserve"> from 14 DAA to 21 DAA with maximum in genotype 1 (220</w:t>
      </w:r>
      <w:r w:rsidRPr="003767D2">
        <w:rPr>
          <w:rFonts w:ascii="Times New Roman" w:hAnsi="Times New Roman" w:cs="Times New Roman"/>
          <w:sz w:val="24"/>
          <w:szCs w:val="24"/>
          <w:highlight w:val="yellow"/>
        </w:rPr>
        <w:t xml:space="preserve">.22%) and minimum in genotype 3 (107.40%). After 28 DAA, the rate of increase </w:t>
      </w:r>
      <w:r w:rsidR="000B03D1" w:rsidRPr="003767D2">
        <w:rPr>
          <w:rFonts w:ascii="Times New Roman" w:hAnsi="Times New Roman" w:cs="Times New Roman"/>
          <w:sz w:val="24"/>
          <w:szCs w:val="24"/>
          <w:highlight w:val="yellow"/>
        </w:rPr>
        <w:t xml:space="preserve">stopped </w:t>
      </w:r>
      <w:r w:rsidRPr="003767D2">
        <w:rPr>
          <w:rFonts w:ascii="Times New Roman" w:hAnsi="Times New Roman" w:cs="Times New Roman"/>
          <w:sz w:val="24"/>
          <w:szCs w:val="24"/>
          <w:highlight w:val="yellow"/>
        </w:rPr>
        <w:t xml:space="preserve">and became negative afterwards except V5 where </w:t>
      </w:r>
      <w:r w:rsidR="000B03D1" w:rsidRPr="003767D2">
        <w:rPr>
          <w:rFonts w:ascii="Times New Roman" w:hAnsi="Times New Roman" w:cs="Times New Roman"/>
          <w:sz w:val="24"/>
          <w:szCs w:val="24"/>
          <w:highlight w:val="yellow"/>
        </w:rPr>
        <w:t xml:space="preserve">a </w:t>
      </w:r>
      <w:r w:rsidRPr="003767D2">
        <w:rPr>
          <w:rFonts w:ascii="Times New Roman" w:hAnsi="Times New Roman" w:cs="Times New Roman"/>
          <w:sz w:val="24"/>
          <w:szCs w:val="24"/>
          <w:highlight w:val="yellow"/>
        </w:rPr>
        <w:t xml:space="preserve">further increase in </w:t>
      </w:r>
      <w:proofErr w:type="spellStart"/>
      <w:r w:rsidRPr="003767D2">
        <w:rPr>
          <w:rFonts w:ascii="Times New Roman" w:hAnsi="Times New Roman" w:cs="Times New Roman"/>
          <w:sz w:val="24"/>
          <w:szCs w:val="24"/>
          <w:highlight w:val="yellow"/>
        </w:rPr>
        <w:t>vigour</w:t>
      </w:r>
      <w:proofErr w:type="spellEnd"/>
      <w:r w:rsidRPr="003767D2">
        <w:rPr>
          <w:rFonts w:ascii="Times New Roman" w:hAnsi="Times New Roman" w:cs="Times New Roman"/>
          <w:sz w:val="24"/>
          <w:szCs w:val="24"/>
          <w:highlight w:val="yellow"/>
        </w:rPr>
        <w:t xml:space="preserve"> was recorded</w:t>
      </w:r>
      <w:r w:rsidRPr="00AE0EFF">
        <w:rPr>
          <w:rFonts w:ascii="Times New Roman" w:hAnsi="Times New Roman" w:cs="Times New Roman"/>
          <w:sz w:val="24"/>
          <w:szCs w:val="24"/>
        </w:rPr>
        <w:t xml:space="preserve">. Maximum decrease in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after 28 DAA was in genotype 4 (-11.21%).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I, 98% increase from 21 DAA-28 DAA, which was similar at 35 DAA. However</w:t>
      </w:r>
      <w:r w:rsidR="000B03D1">
        <w:rPr>
          <w:rFonts w:ascii="Times New Roman" w:hAnsi="Times New Roman" w:cs="Times New Roman"/>
          <w:sz w:val="24"/>
          <w:szCs w:val="24"/>
        </w:rPr>
        <w:t>,</w:t>
      </w:r>
      <w:r w:rsidRPr="00AE0EFF">
        <w:rPr>
          <w:rFonts w:ascii="Times New Roman" w:hAnsi="Times New Roman" w:cs="Times New Roman"/>
          <w:sz w:val="24"/>
          <w:szCs w:val="24"/>
        </w:rPr>
        <w:t xml:space="preserve">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II showed </w:t>
      </w:r>
      <w:r w:rsidR="000B03D1">
        <w:rPr>
          <w:rFonts w:ascii="Times New Roman" w:hAnsi="Times New Roman" w:cs="Times New Roman"/>
          <w:sz w:val="24"/>
          <w:szCs w:val="24"/>
        </w:rPr>
        <w:t xml:space="preserve">an </w:t>
      </w:r>
      <w:r w:rsidRPr="00AE0EFF">
        <w:rPr>
          <w:rFonts w:ascii="Times New Roman" w:hAnsi="Times New Roman" w:cs="Times New Roman"/>
          <w:sz w:val="24"/>
          <w:szCs w:val="24"/>
        </w:rPr>
        <w:t xml:space="preserve">increase till 35 DAA which was 35% over 28 </w:t>
      </w:r>
      <w:proofErr w:type="spellStart"/>
      <w:r w:rsidRPr="00AE0EFF">
        <w:rPr>
          <w:rFonts w:ascii="Times New Roman" w:hAnsi="Times New Roman" w:cs="Times New Roman"/>
          <w:sz w:val="24"/>
          <w:szCs w:val="24"/>
        </w:rPr>
        <w:t>DAA.higher</w:t>
      </w:r>
      <w:proofErr w:type="spellEnd"/>
      <w:r w:rsidRPr="00AE0EFF">
        <w:rPr>
          <w:rFonts w:ascii="Times New Roman" w:hAnsi="Times New Roman" w:cs="Times New Roman"/>
          <w:sz w:val="24"/>
          <w:szCs w:val="24"/>
        </w:rPr>
        <w:t xml:space="preserve"> seed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index-Il probably due to </w:t>
      </w:r>
      <w:r w:rsidR="000B03D1">
        <w:rPr>
          <w:rFonts w:ascii="Times New Roman" w:hAnsi="Times New Roman" w:cs="Times New Roman"/>
          <w:sz w:val="24"/>
          <w:szCs w:val="24"/>
        </w:rPr>
        <w:t xml:space="preserve">the </w:t>
      </w:r>
      <w:r w:rsidRPr="00AE0EFF">
        <w:rPr>
          <w:rFonts w:ascii="Times New Roman" w:hAnsi="Times New Roman" w:cs="Times New Roman"/>
          <w:sz w:val="24"/>
          <w:szCs w:val="24"/>
        </w:rPr>
        <w:t xml:space="preserve">associative effect of germination percentage and seedling length (Khatun et al., 2009; Eskandari., 2012). Increased seed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index-II might be due to </w:t>
      </w:r>
      <w:r w:rsidR="000B03D1">
        <w:rPr>
          <w:rFonts w:ascii="Times New Roman" w:hAnsi="Times New Roman" w:cs="Times New Roman"/>
          <w:sz w:val="24"/>
          <w:szCs w:val="24"/>
        </w:rPr>
        <w:t xml:space="preserve">the </w:t>
      </w:r>
      <w:r w:rsidRPr="00AE0EFF">
        <w:rPr>
          <w:rFonts w:ascii="Times New Roman" w:hAnsi="Times New Roman" w:cs="Times New Roman"/>
          <w:sz w:val="24"/>
          <w:szCs w:val="24"/>
        </w:rPr>
        <w:t>maturation of seeds in later</w:t>
      </w:r>
      <w:r w:rsidR="00AF692C" w:rsidRPr="00AE0EFF">
        <w:rPr>
          <w:rFonts w:ascii="Times New Roman" w:hAnsi="Times New Roman" w:cs="Times New Roman"/>
          <w:sz w:val="24"/>
          <w:szCs w:val="24"/>
        </w:rPr>
        <w:t xml:space="preserve"> </w:t>
      </w:r>
      <w:r w:rsidRPr="00AE0EFF">
        <w:rPr>
          <w:rFonts w:ascii="Times New Roman" w:hAnsi="Times New Roman" w:cs="Times New Roman"/>
          <w:sz w:val="24"/>
          <w:szCs w:val="24"/>
        </w:rPr>
        <w:t xml:space="preserve">stages resulting in </w:t>
      </w:r>
      <w:r w:rsidR="000B03D1">
        <w:rPr>
          <w:rFonts w:ascii="Times New Roman" w:hAnsi="Times New Roman" w:cs="Times New Roman"/>
          <w:sz w:val="24"/>
          <w:szCs w:val="24"/>
        </w:rPr>
        <w:t xml:space="preserve">an </w:t>
      </w:r>
      <w:r w:rsidRPr="00AE0EFF">
        <w:rPr>
          <w:rFonts w:ascii="Times New Roman" w:hAnsi="Times New Roman" w:cs="Times New Roman"/>
          <w:sz w:val="24"/>
          <w:szCs w:val="24"/>
        </w:rPr>
        <w:t xml:space="preserve">improvement of germination percentage and seedling length. Khare and Satpute (1999) reported similar results. Germination and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decreased after 28 DAA for </w:t>
      </w:r>
      <w:proofErr w:type="spellStart"/>
      <w:r w:rsidRPr="00AE0EFF">
        <w:rPr>
          <w:rFonts w:ascii="Times New Roman" w:hAnsi="Times New Roman" w:cs="Times New Roman"/>
          <w:sz w:val="24"/>
          <w:szCs w:val="24"/>
        </w:rPr>
        <w:t>Nayagarh</w:t>
      </w:r>
      <w:proofErr w:type="spellEnd"/>
      <w:r w:rsidRPr="00AE0EFF">
        <w:rPr>
          <w:rFonts w:ascii="Times New Roman" w:hAnsi="Times New Roman" w:cs="Times New Roman"/>
          <w:sz w:val="24"/>
          <w:szCs w:val="24"/>
        </w:rPr>
        <w:t xml:space="preserve"> Local Green and </w:t>
      </w:r>
      <w:proofErr w:type="spellStart"/>
      <w:r w:rsidRPr="00AE0EFF">
        <w:rPr>
          <w:rFonts w:ascii="Times New Roman" w:hAnsi="Times New Roman" w:cs="Times New Roman"/>
          <w:sz w:val="24"/>
          <w:szCs w:val="24"/>
        </w:rPr>
        <w:t>Nayagrh</w:t>
      </w:r>
      <w:proofErr w:type="spellEnd"/>
      <w:r w:rsidRPr="00AE0EFF">
        <w:rPr>
          <w:rFonts w:ascii="Times New Roman" w:hAnsi="Times New Roman" w:cs="Times New Roman"/>
          <w:sz w:val="24"/>
          <w:szCs w:val="24"/>
        </w:rPr>
        <w:t xml:space="preserve"> Local Black indicating attainment </w:t>
      </w:r>
      <w:proofErr w:type="gramStart"/>
      <w:r w:rsidRPr="00AE0EFF">
        <w:rPr>
          <w:rFonts w:ascii="Times New Roman" w:hAnsi="Times New Roman" w:cs="Times New Roman"/>
          <w:sz w:val="24"/>
          <w:szCs w:val="24"/>
        </w:rPr>
        <w:t>of  Physiological</w:t>
      </w:r>
      <w:proofErr w:type="gramEnd"/>
      <w:r w:rsidRPr="00AE0EFF">
        <w:rPr>
          <w:rFonts w:ascii="Times New Roman" w:hAnsi="Times New Roman" w:cs="Times New Roman"/>
          <w:sz w:val="24"/>
          <w:szCs w:val="24"/>
        </w:rPr>
        <w:t xml:space="preserve"> Maturity at 28 DAA. For OBGG-101, OBGG-102 and GV-3 Physiological Maturity was inferred to be attained at 35 DAA.  Seeds developed in different species generally attain maximum germination and </w:t>
      </w:r>
      <w:proofErr w:type="spellStart"/>
      <w:r w:rsidRPr="00AE0EFF">
        <w:rPr>
          <w:rFonts w:ascii="Times New Roman" w:hAnsi="Times New Roman" w:cs="Times New Roman"/>
          <w:sz w:val="24"/>
          <w:szCs w:val="24"/>
        </w:rPr>
        <w:t>vigo</w:t>
      </w:r>
      <w:r w:rsidR="000B03D1">
        <w:rPr>
          <w:rFonts w:ascii="Times New Roman" w:hAnsi="Times New Roman" w:cs="Times New Roman"/>
          <w:sz w:val="24"/>
          <w:szCs w:val="24"/>
        </w:rPr>
        <w:t>u</w:t>
      </w:r>
      <w:r w:rsidRPr="00AE0EFF">
        <w:rPr>
          <w:rFonts w:ascii="Times New Roman" w:hAnsi="Times New Roman" w:cs="Times New Roman"/>
          <w:sz w:val="24"/>
          <w:szCs w:val="24"/>
        </w:rPr>
        <w:t>r</w:t>
      </w:r>
      <w:proofErr w:type="spellEnd"/>
      <w:r w:rsidRPr="00AE0EFF">
        <w:rPr>
          <w:rFonts w:ascii="Times New Roman" w:hAnsi="Times New Roman" w:cs="Times New Roman"/>
          <w:sz w:val="24"/>
          <w:szCs w:val="24"/>
        </w:rPr>
        <w:t xml:space="preserve"> at the end of the seed-filling period, when physiological maturity is reached (Welbaum, 1999). However, in some those species, maximum seed dry matter accumulation and seed quality do not coincide, such as pepper (</w:t>
      </w:r>
      <w:r w:rsidRPr="00AE0EFF">
        <w:rPr>
          <w:rFonts w:ascii="Times New Roman" w:hAnsi="Times New Roman" w:cs="Times New Roman"/>
          <w:i/>
          <w:sz w:val="24"/>
          <w:szCs w:val="24"/>
        </w:rPr>
        <w:t>Capsicum annuum</w:t>
      </w:r>
      <w:r w:rsidRPr="00AE0EFF">
        <w:rPr>
          <w:rFonts w:ascii="Times New Roman" w:hAnsi="Times New Roman" w:cs="Times New Roman"/>
          <w:sz w:val="24"/>
          <w:szCs w:val="24"/>
        </w:rPr>
        <w:t xml:space="preserve"> L.) (Demir and Ellis, 1992b; Oliveira et al., 1999), melon (Cucumis melo </w:t>
      </w:r>
      <w:proofErr w:type="gramStart"/>
      <w:r w:rsidRPr="00AE0EFF">
        <w:rPr>
          <w:rFonts w:ascii="Times New Roman" w:hAnsi="Times New Roman" w:cs="Times New Roman"/>
          <w:sz w:val="24"/>
          <w:szCs w:val="24"/>
        </w:rPr>
        <w:t>L.)(</w:t>
      </w:r>
      <w:proofErr w:type="gramEnd"/>
      <w:r w:rsidRPr="00AE0EFF">
        <w:rPr>
          <w:rFonts w:ascii="Times New Roman" w:hAnsi="Times New Roman" w:cs="Times New Roman"/>
          <w:sz w:val="24"/>
          <w:szCs w:val="24"/>
        </w:rPr>
        <w:t xml:space="preserve">Welbaum and Bradford, 1988) and tomato (Lycopersicon esculentum Mill.)(Kwon and Bradford, 1987; Berry and Bewley, 1991; Demir and Ellis, 1992a; Demir and Samit, 2001; Dias et al., 2006 a). In tomato seeds, Kwon and Bradford (1987) found that maximum germination and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occurred 15 days after </w:t>
      </w:r>
      <w:r w:rsidR="000B03D1">
        <w:rPr>
          <w:rFonts w:ascii="Times New Roman" w:hAnsi="Times New Roman" w:cs="Times New Roman"/>
          <w:sz w:val="24"/>
          <w:szCs w:val="24"/>
        </w:rPr>
        <w:t xml:space="preserve">the </w:t>
      </w:r>
      <w:r w:rsidRPr="00AE0EFF">
        <w:rPr>
          <w:rFonts w:ascii="Times New Roman" w:hAnsi="Times New Roman" w:cs="Times New Roman"/>
          <w:sz w:val="24"/>
          <w:szCs w:val="24"/>
        </w:rPr>
        <w:t xml:space="preserve">attainment of maximum dry mass. It was also verified by Demir and Ellis, 1992a, to whom the highest germination percentage was obtained at 70 DAA, while the maximum dry matter content occurred at 50 DAA. Then, the occurrence of maximum seed quality </w:t>
      </w:r>
      <w:r w:rsidRPr="003767D2">
        <w:rPr>
          <w:rFonts w:ascii="Times New Roman" w:hAnsi="Times New Roman" w:cs="Times New Roman"/>
          <w:sz w:val="24"/>
          <w:szCs w:val="24"/>
          <w:highlight w:val="yellow"/>
        </w:rPr>
        <w:t xml:space="preserve">during development and its association with seed and fruit features are important factors </w:t>
      </w:r>
      <w:r w:rsidR="000B03D1" w:rsidRPr="003767D2">
        <w:rPr>
          <w:rFonts w:ascii="Times New Roman" w:hAnsi="Times New Roman" w:cs="Times New Roman"/>
          <w:sz w:val="24"/>
          <w:szCs w:val="24"/>
          <w:highlight w:val="yellow"/>
        </w:rPr>
        <w:t>in defining</w:t>
      </w:r>
      <w:r w:rsidRPr="003767D2">
        <w:rPr>
          <w:rFonts w:ascii="Times New Roman" w:hAnsi="Times New Roman" w:cs="Times New Roman"/>
          <w:sz w:val="24"/>
          <w:szCs w:val="24"/>
          <w:highlight w:val="yellow"/>
        </w:rPr>
        <w:t xml:space="preserve"> the ide</w:t>
      </w:r>
      <w:r w:rsidRPr="00AE0EFF">
        <w:rPr>
          <w:rFonts w:ascii="Times New Roman" w:hAnsi="Times New Roman" w:cs="Times New Roman"/>
          <w:sz w:val="24"/>
          <w:szCs w:val="24"/>
        </w:rPr>
        <w:t>al harvest time.</w:t>
      </w:r>
    </w:p>
    <w:p w14:paraId="1EFBCC52" w14:textId="77777777" w:rsidR="007B3724" w:rsidRPr="00AB01F1" w:rsidRDefault="00F5547F" w:rsidP="00B97F3F">
      <w:pPr>
        <w:spacing w:line="360" w:lineRule="auto"/>
        <w:jc w:val="both"/>
        <w:rPr>
          <w:rFonts w:ascii="Times New Roman" w:hAnsi="Times New Roman" w:cs="Times New Roman"/>
          <w:b/>
          <w:color w:val="000000" w:themeColor="text1"/>
          <w:sz w:val="24"/>
          <w:szCs w:val="24"/>
        </w:rPr>
      </w:pPr>
      <w:r w:rsidRPr="00AB01F1">
        <w:rPr>
          <w:rFonts w:ascii="Times New Roman" w:hAnsi="Times New Roman" w:cs="Times New Roman"/>
          <w:b/>
          <w:color w:val="000000" w:themeColor="text1"/>
          <w:sz w:val="24"/>
          <w:szCs w:val="24"/>
        </w:rPr>
        <w:t>CONCLUSION</w:t>
      </w:r>
    </w:p>
    <w:p w14:paraId="3CDA252E" w14:textId="37A7E85B" w:rsidR="007B3724" w:rsidRDefault="007B3724" w:rsidP="00B97F3F">
      <w:pPr>
        <w:spacing w:line="360" w:lineRule="auto"/>
        <w:jc w:val="both"/>
        <w:rPr>
          <w:rFonts w:ascii="Times New Roman" w:hAnsi="Times New Roman" w:cs="Times New Roman"/>
          <w:sz w:val="24"/>
          <w:szCs w:val="24"/>
        </w:rPr>
      </w:pPr>
      <w:r w:rsidRPr="00AE0EFF">
        <w:rPr>
          <w:rFonts w:ascii="Times New Roman" w:hAnsi="Times New Roman" w:cs="Times New Roman"/>
          <w:sz w:val="24"/>
          <w:szCs w:val="24"/>
        </w:rPr>
        <w:tab/>
        <w:t xml:space="preserve">For understanding the stage of physiological maturity Dry matter accumulation, moisture content and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w:t>
      </w:r>
      <w:r w:rsidR="000B03D1" w:rsidRPr="003767D2">
        <w:rPr>
          <w:rFonts w:ascii="Times New Roman" w:hAnsi="Times New Roman" w:cs="Times New Roman"/>
          <w:sz w:val="24"/>
          <w:szCs w:val="24"/>
          <w:highlight w:val="yellow"/>
        </w:rPr>
        <w:t xml:space="preserve">were </w:t>
      </w:r>
      <w:r w:rsidRPr="003767D2">
        <w:rPr>
          <w:rFonts w:ascii="Times New Roman" w:hAnsi="Times New Roman" w:cs="Times New Roman"/>
          <w:sz w:val="24"/>
          <w:szCs w:val="24"/>
          <w:highlight w:val="yellow"/>
        </w:rPr>
        <w:t xml:space="preserve">of prime importance.  Maximum dry matter was accumulated and maximum loss of seed </w:t>
      </w:r>
      <w:r w:rsidRPr="00AE0EFF">
        <w:rPr>
          <w:rFonts w:ascii="Times New Roman" w:hAnsi="Times New Roman" w:cs="Times New Roman"/>
          <w:sz w:val="24"/>
          <w:szCs w:val="24"/>
        </w:rPr>
        <w:t xml:space="preserve">moisture was recorded between 28 to 35 DAA. Germination reached maximum at 28 DAA which was at par with 35 DAA for all genotypes. In </w:t>
      </w:r>
      <w:proofErr w:type="spellStart"/>
      <w:r w:rsidRPr="00AE0EFF">
        <w:rPr>
          <w:rFonts w:ascii="Times New Roman" w:hAnsi="Times New Roman" w:cs="Times New Roman"/>
          <w:sz w:val="24"/>
          <w:szCs w:val="24"/>
        </w:rPr>
        <w:t>Vigour</w:t>
      </w:r>
      <w:proofErr w:type="spellEnd"/>
      <w:r w:rsidRPr="00AE0EFF">
        <w:rPr>
          <w:rFonts w:ascii="Times New Roman" w:hAnsi="Times New Roman" w:cs="Times New Roman"/>
          <w:sz w:val="24"/>
          <w:szCs w:val="24"/>
        </w:rPr>
        <w:t xml:space="preserve"> Index 1, 98% increase from 21 </w:t>
      </w:r>
      <w:r w:rsidRPr="003767D2">
        <w:rPr>
          <w:rFonts w:ascii="Times New Roman" w:hAnsi="Times New Roman" w:cs="Times New Roman"/>
          <w:sz w:val="24"/>
          <w:szCs w:val="24"/>
          <w:highlight w:val="yellow"/>
        </w:rPr>
        <w:t xml:space="preserve">DAA-28 DAA, which was similar at 35 DAA. </w:t>
      </w:r>
      <w:r w:rsidRPr="003767D2">
        <w:rPr>
          <w:rFonts w:ascii="Times New Roman" w:hAnsi="Times New Roman" w:cs="Times New Roman"/>
          <w:sz w:val="24"/>
          <w:szCs w:val="24"/>
          <w:highlight w:val="yellow"/>
        </w:rPr>
        <w:lastRenderedPageBreak/>
        <w:t>However</w:t>
      </w:r>
      <w:r w:rsidR="000B03D1" w:rsidRPr="003767D2">
        <w:rPr>
          <w:rFonts w:ascii="Times New Roman" w:hAnsi="Times New Roman" w:cs="Times New Roman"/>
          <w:sz w:val="24"/>
          <w:szCs w:val="24"/>
          <w:highlight w:val="yellow"/>
        </w:rPr>
        <w:t>,</w:t>
      </w:r>
      <w:r w:rsidRPr="003767D2">
        <w:rPr>
          <w:rFonts w:ascii="Times New Roman" w:hAnsi="Times New Roman" w:cs="Times New Roman"/>
          <w:sz w:val="24"/>
          <w:szCs w:val="24"/>
          <w:highlight w:val="yellow"/>
        </w:rPr>
        <w:t xml:space="preserve"> </w:t>
      </w:r>
      <w:proofErr w:type="spellStart"/>
      <w:r w:rsidRPr="003767D2">
        <w:rPr>
          <w:rFonts w:ascii="Times New Roman" w:hAnsi="Times New Roman" w:cs="Times New Roman"/>
          <w:sz w:val="24"/>
          <w:szCs w:val="24"/>
          <w:highlight w:val="yellow"/>
        </w:rPr>
        <w:t>Vigour</w:t>
      </w:r>
      <w:proofErr w:type="spellEnd"/>
      <w:r w:rsidRPr="003767D2">
        <w:rPr>
          <w:rFonts w:ascii="Times New Roman" w:hAnsi="Times New Roman" w:cs="Times New Roman"/>
          <w:sz w:val="24"/>
          <w:szCs w:val="24"/>
          <w:highlight w:val="yellow"/>
        </w:rPr>
        <w:t xml:space="preserve"> Index 2 showed </w:t>
      </w:r>
      <w:r w:rsidR="000B03D1" w:rsidRPr="003767D2">
        <w:rPr>
          <w:rFonts w:ascii="Times New Roman" w:hAnsi="Times New Roman" w:cs="Times New Roman"/>
          <w:sz w:val="24"/>
          <w:szCs w:val="24"/>
          <w:highlight w:val="yellow"/>
        </w:rPr>
        <w:t xml:space="preserve">an </w:t>
      </w:r>
      <w:r w:rsidRPr="003767D2">
        <w:rPr>
          <w:rFonts w:ascii="Times New Roman" w:hAnsi="Times New Roman" w:cs="Times New Roman"/>
          <w:sz w:val="24"/>
          <w:szCs w:val="24"/>
          <w:highlight w:val="yellow"/>
        </w:rPr>
        <w:t xml:space="preserve">increase </w:t>
      </w:r>
      <w:r w:rsidR="000B03D1" w:rsidRPr="003767D2">
        <w:rPr>
          <w:rFonts w:ascii="Times New Roman" w:hAnsi="Times New Roman" w:cs="Times New Roman"/>
          <w:sz w:val="24"/>
          <w:szCs w:val="24"/>
          <w:highlight w:val="yellow"/>
        </w:rPr>
        <w:t xml:space="preserve">to </w:t>
      </w:r>
      <w:r w:rsidRPr="003767D2">
        <w:rPr>
          <w:rFonts w:ascii="Times New Roman" w:hAnsi="Times New Roman" w:cs="Times New Roman"/>
          <w:sz w:val="24"/>
          <w:szCs w:val="24"/>
          <w:highlight w:val="yellow"/>
        </w:rPr>
        <w:t xml:space="preserve">35 DAA which was 35% over 28 DAA. Germination and </w:t>
      </w:r>
      <w:proofErr w:type="spellStart"/>
      <w:r w:rsidRPr="003767D2">
        <w:rPr>
          <w:rFonts w:ascii="Times New Roman" w:hAnsi="Times New Roman" w:cs="Times New Roman"/>
          <w:sz w:val="24"/>
          <w:szCs w:val="24"/>
          <w:highlight w:val="yellow"/>
        </w:rPr>
        <w:t>Vigour</w:t>
      </w:r>
      <w:proofErr w:type="spellEnd"/>
      <w:r w:rsidRPr="003767D2">
        <w:rPr>
          <w:rFonts w:ascii="Times New Roman" w:hAnsi="Times New Roman" w:cs="Times New Roman"/>
          <w:sz w:val="24"/>
          <w:szCs w:val="24"/>
          <w:highlight w:val="yellow"/>
        </w:rPr>
        <w:t xml:space="preserve"> Index decreased after 28 DAA for </w:t>
      </w:r>
      <w:r w:rsidRPr="00AE0EFF">
        <w:rPr>
          <w:rFonts w:ascii="Times New Roman" w:hAnsi="Times New Roman" w:cs="Times New Roman"/>
          <w:sz w:val="24"/>
          <w:szCs w:val="24"/>
        </w:rPr>
        <w:t>V1 and V4 indicating attainment of Physiological Maturity at 28 DAA. For V2, V3 and V5 Physiological Maturity was inferred to be attained at 35 DAA.</w:t>
      </w:r>
    </w:p>
    <w:p w14:paraId="38EAE1C2" w14:textId="25E3B47B" w:rsidR="003E271E" w:rsidRDefault="003E271E" w:rsidP="00B97F3F">
      <w:pPr>
        <w:spacing w:line="360" w:lineRule="auto"/>
        <w:jc w:val="both"/>
        <w:rPr>
          <w:rFonts w:ascii="Times New Roman" w:hAnsi="Times New Roman" w:cs="Times New Roman"/>
          <w:sz w:val="24"/>
          <w:szCs w:val="24"/>
        </w:rPr>
      </w:pPr>
    </w:p>
    <w:p w14:paraId="025F0E38" w14:textId="77777777" w:rsidR="003E271E" w:rsidRDefault="003E271E" w:rsidP="003E271E">
      <w:pPr>
        <w:rPr>
          <w:highlight w:val="yellow"/>
        </w:rPr>
      </w:pPr>
      <w:r>
        <w:rPr>
          <w:highlight w:val="yellow"/>
        </w:rPr>
        <w:t>Disclaimer (Artificial intelligence)</w:t>
      </w:r>
    </w:p>
    <w:p w14:paraId="13B12727" w14:textId="77777777" w:rsidR="003E271E" w:rsidRDefault="003E271E" w:rsidP="003E271E">
      <w:pPr>
        <w:rPr>
          <w:highlight w:val="yellow"/>
        </w:rPr>
      </w:pPr>
      <w:r>
        <w:rPr>
          <w:highlight w:val="yellow"/>
        </w:rPr>
        <w:t xml:space="preserve">Option 1: </w:t>
      </w:r>
    </w:p>
    <w:p w14:paraId="0E37CE7A" w14:textId="77777777" w:rsidR="003E271E" w:rsidRDefault="003E271E" w:rsidP="003E271E">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0DF8D77E" w14:textId="77777777" w:rsidR="003E271E" w:rsidRDefault="003E271E" w:rsidP="003E271E">
      <w:pPr>
        <w:rPr>
          <w:highlight w:val="yellow"/>
        </w:rPr>
      </w:pPr>
      <w:r>
        <w:rPr>
          <w:highlight w:val="yellow"/>
        </w:rPr>
        <w:t xml:space="preserve">Option 2: </w:t>
      </w:r>
    </w:p>
    <w:p w14:paraId="1E6FC6F4" w14:textId="77777777" w:rsidR="003E271E" w:rsidRDefault="003E271E" w:rsidP="003E271E">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3051BD" w14:textId="77777777" w:rsidR="003E271E" w:rsidRDefault="003E271E" w:rsidP="003E271E">
      <w:pPr>
        <w:rPr>
          <w:highlight w:val="yellow"/>
        </w:rPr>
      </w:pPr>
      <w:r>
        <w:rPr>
          <w:highlight w:val="yellow"/>
        </w:rPr>
        <w:t>Details of the AI usage are given below:</w:t>
      </w:r>
    </w:p>
    <w:p w14:paraId="75BC83FE" w14:textId="77777777" w:rsidR="003E271E" w:rsidRDefault="003E271E" w:rsidP="003E271E">
      <w:pPr>
        <w:rPr>
          <w:highlight w:val="yellow"/>
        </w:rPr>
      </w:pPr>
      <w:r>
        <w:rPr>
          <w:highlight w:val="yellow"/>
        </w:rPr>
        <w:t>1.</w:t>
      </w:r>
    </w:p>
    <w:p w14:paraId="5C209A49" w14:textId="77777777" w:rsidR="003E271E" w:rsidRDefault="003E271E" w:rsidP="003E271E">
      <w:pPr>
        <w:rPr>
          <w:highlight w:val="yellow"/>
        </w:rPr>
      </w:pPr>
      <w:r>
        <w:rPr>
          <w:highlight w:val="yellow"/>
        </w:rPr>
        <w:t>2.</w:t>
      </w:r>
    </w:p>
    <w:p w14:paraId="69CBDBD4" w14:textId="77777777" w:rsidR="003E271E" w:rsidRDefault="003E271E" w:rsidP="003E271E">
      <w:r>
        <w:rPr>
          <w:highlight w:val="yellow"/>
        </w:rPr>
        <w:t>3.</w:t>
      </w:r>
    </w:p>
    <w:p w14:paraId="2B8FA6D4" w14:textId="77777777" w:rsidR="003E271E" w:rsidRPr="00AE0EFF" w:rsidRDefault="003E271E" w:rsidP="00B97F3F">
      <w:pPr>
        <w:spacing w:line="360" w:lineRule="auto"/>
        <w:jc w:val="both"/>
        <w:rPr>
          <w:rFonts w:ascii="Times New Roman" w:hAnsi="Times New Roman" w:cs="Times New Roman"/>
          <w:sz w:val="24"/>
          <w:szCs w:val="24"/>
        </w:rPr>
      </w:pPr>
    </w:p>
    <w:p w14:paraId="17D122D1" w14:textId="77777777" w:rsidR="007B3724" w:rsidRPr="00984CB1" w:rsidRDefault="002F330E" w:rsidP="00B97F3F">
      <w:pPr>
        <w:tabs>
          <w:tab w:val="left" w:pos="6930"/>
        </w:tabs>
        <w:spacing w:line="360" w:lineRule="auto"/>
        <w:ind w:right="1800"/>
        <w:rPr>
          <w:rFonts w:ascii="Times New Roman" w:hAnsi="Times New Roman" w:cs="Times New Roman"/>
          <w:b/>
          <w:color w:val="000000" w:themeColor="text1"/>
          <w:sz w:val="24"/>
          <w:szCs w:val="24"/>
        </w:rPr>
      </w:pPr>
      <w:r w:rsidRPr="00984CB1">
        <w:rPr>
          <w:rFonts w:ascii="Times New Roman" w:hAnsi="Times New Roman" w:cs="Times New Roman"/>
          <w:b/>
          <w:color w:val="000000" w:themeColor="text1"/>
          <w:sz w:val="24"/>
          <w:szCs w:val="24"/>
        </w:rPr>
        <w:t>REFERENCES</w:t>
      </w:r>
    </w:p>
    <w:p w14:paraId="4D315BE1"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Andrews, C.H., (1966). Some aspects of fruit and seed development in Lee soybean. Ph. D. Dissertation. Miss. State Univ., </w:t>
      </w:r>
      <w:proofErr w:type="spellStart"/>
      <w:r w:rsidRPr="00FE33CD">
        <w:rPr>
          <w:rFonts w:ascii="Times New Roman" w:hAnsi="Times New Roman" w:cs="Times New Roman"/>
          <w:sz w:val="24"/>
          <w:szCs w:val="24"/>
        </w:rPr>
        <w:t>Mississipi</w:t>
      </w:r>
      <w:proofErr w:type="spellEnd"/>
      <w:r w:rsidRPr="00FE33CD">
        <w:rPr>
          <w:rFonts w:ascii="Times New Roman" w:hAnsi="Times New Roman" w:cs="Times New Roman"/>
          <w:sz w:val="24"/>
          <w:szCs w:val="24"/>
        </w:rPr>
        <w:t xml:space="preserve"> State. MS.</w:t>
      </w:r>
    </w:p>
    <w:p w14:paraId="799EAA2A"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Anurag, P.J., Chaurasia, A.K. and </w:t>
      </w:r>
      <w:proofErr w:type="spellStart"/>
      <w:r w:rsidRPr="00FE33CD">
        <w:rPr>
          <w:rFonts w:ascii="Times New Roman" w:hAnsi="Times New Roman" w:cs="Times New Roman"/>
          <w:sz w:val="24"/>
          <w:szCs w:val="24"/>
        </w:rPr>
        <w:t>Rangare</w:t>
      </w:r>
      <w:proofErr w:type="spellEnd"/>
      <w:r w:rsidRPr="00FE33CD">
        <w:rPr>
          <w:rFonts w:ascii="Times New Roman" w:hAnsi="Times New Roman" w:cs="Times New Roman"/>
          <w:sz w:val="24"/>
          <w:szCs w:val="24"/>
        </w:rPr>
        <w:t xml:space="preserve">, N.R. 2009. Physiological Maturity in </w:t>
      </w:r>
      <w:proofErr w:type="spellStart"/>
      <w:r w:rsidRPr="00FE33CD">
        <w:rPr>
          <w:rFonts w:ascii="Times New Roman" w:hAnsi="Times New Roman" w:cs="Times New Roman"/>
          <w:sz w:val="24"/>
          <w:szCs w:val="24"/>
        </w:rPr>
        <w:t>moongbean</w:t>
      </w:r>
      <w:proofErr w:type="spellEnd"/>
      <w:r w:rsidRPr="00FE33CD">
        <w:rPr>
          <w:rFonts w:ascii="Times New Roman" w:hAnsi="Times New Roman" w:cs="Times New Roman"/>
          <w:sz w:val="24"/>
          <w:szCs w:val="24"/>
        </w:rPr>
        <w:t xml:space="preserve"> (</w:t>
      </w:r>
      <w:r w:rsidRPr="00FE33CD">
        <w:rPr>
          <w:rFonts w:ascii="Times New Roman" w:hAnsi="Times New Roman" w:cs="Times New Roman"/>
          <w:i/>
          <w:sz w:val="24"/>
          <w:szCs w:val="24"/>
        </w:rPr>
        <w:t>Vigna radiata</w:t>
      </w:r>
      <w:r w:rsidRPr="00FE33CD">
        <w:rPr>
          <w:rFonts w:ascii="Times New Roman" w:hAnsi="Times New Roman" w:cs="Times New Roman"/>
          <w:sz w:val="24"/>
          <w:szCs w:val="24"/>
        </w:rPr>
        <w:t xml:space="preserve"> L.) cultivars as influenced by different harvesting dates. Agriculture Science Digest. 29 (3): 182-185</w:t>
      </w:r>
    </w:p>
    <w:p w14:paraId="56F30EE2"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Berry, T., and Bewley, J. (1991). Seeds of tomato (</w:t>
      </w:r>
      <w:r w:rsidRPr="00FE33CD">
        <w:rPr>
          <w:rFonts w:ascii="Times New Roman" w:hAnsi="Times New Roman" w:cs="Times New Roman"/>
          <w:i/>
          <w:sz w:val="24"/>
          <w:szCs w:val="24"/>
        </w:rPr>
        <w:t>Lycopersicon esculentum</w:t>
      </w:r>
      <w:r w:rsidRPr="00FE33CD">
        <w:rPr>
          <w:rFonts w:ascii="Times New Roman" w:hAnsi="Times New Roman" w:cs="Times New Roman"/>
          <w:sz w:val="24"/>
          <w:szCs w:val="24"/>
        </w:rPr>
        <w:t xml:space="preserve"> Mill.) which develop in a fully hydrated environment in the fruit switch </w:t>
      </w:r>
      <w:proofErr w:type="gramStart"/>
      <w:r w:rsidRPr="00FE33CD">
        <w:rPr>
          <w:rFonts w:ascii="Times New Roman" w:hAnsi="Times New Roman" w:cs="Times New Roman"/>
          <w:sz w:val="24"/>
          <w:szCs w:val="24"/>
        </w:rPr>
        <w:t>from  developmental</w:t>
      </w:r>
      <w:proofErr w:type="gramEnd"/>
      <w:r w:rsidRPr="00FE33CD">
        <w:rPr>
          <w:rFonts w:ascii="Times New Roman" w:hAnsi="Times New Roman" w:cs="Times New Roman"/>
          <w:sz w:val="24"/>
          <w:szCs w:val="24"/>
        </w:rPr>
        <w:t xml:space="preserve"> to germinative mode without a requirement for desiccation. Planta. 186: 27-34 </w:t>
      </w:r>
    </w:p>
    <w:p w14:paraId="458ED73B" w14:textId="77777777" w:rsidR="00FE33CD" w:rsidRPr="00FE33CD" w:rsidRDefault="00767B56" w:rsidP="00875690">
      <w:pPr>
        <w:pStyle w:val="ListParagraph"/>
        <w:numPr>
          <w:ilvl w:val="0"/>
          <w:numId w:val="3"/>
        </w:numPr>
        <w:spacing w:before="120" w:after="0" w:line="240" w:lineRule="auto"/>
        <w:ind w:hanging="357"/>
        <w:contextualSpacing w:val="0"/>
        <w:jc w:val="both"/>
        <w:outlineLvl w:val="0"/>
        <w:rPr>
          <w:rFonts w:ascii="Times New Roman" w:hAnsi="Times New Roman" w:cs="Times New Roman"/>
          <w:sz w:val="24"/>
          <w:szCs w:val="24"/>
        </w:rPr>
      </w:pPr>
      <w:hyperlink r:id="rId18" w:history="1">
        <w:r w:rsidR="00FE33CD" w:rsidRPr="00FE33CD">
          <w:rPr>
            <w:rFonts w:ascii="Times New Roman" w:hAnsi="Times New Roman" w:cs="Times New Roman"/>
            <w:sz w:val="24"/>
            <w:szCs w:val="24"/>
          </w:rPr>
          <w:t xml:space="preserve"> Botelho</w:t>
        </w:r>
      </w:hyperlink>
      <w:r w:rsidR="00FE33CD" w:rsidRPr="00FE33CD">
        <w:rPr>
          <w:rFonts w:ascii="Times New Roman" w:hAnsi="Times New Roman" w:cs="Times New Roman"/>
          <w:sz w:val="24"/>
          <w:szCs w:val="24"/>
        </w:rPr>
        <w:t xml:space="preserve">, F. J. E., </w:t>
      </w:r>
      <w:hyperlink r:id="rId19" w:history="1">
        <w:r w:rsidR="00FE33CD" w:rsidRPr="00FE33CD">
          <w:rPr>
            <w:rFonts w:ascii="Times New Roman" w:hAnsi="Times New Roman" w:cs="Times New Roman"/>
            <w:sz w:val="24"/>
            <w:szCs w:val="24"/>
          </w:rPr>
          <w:t>J. A., Oliveira</w:t>
        </w:r>
      </w:hyperlink>
      <w:r w:rsidR="00FE33CD" w:rsidRPr="00FE33CD">
        <w:rPr>
          <w:rFonts w:ascii="Times New Roman" w:hAnsi="Times New Roman" w:cs="Times New Roman"/>
          <w:sz w:val="24"/>
          <w:szCs w:val="24"/>
        </w:rPr>
        <w:t xml:space="preserve">, </w:t>
      </w:r>
      <w:hyperlink r:id="rId20" w:history="1">
        <w:r w:rsidR="00FE33CD" w:rsidRPr="00FE33CD">
          <w:rPr>
            <w:rFonts w:ascii="Times New Roman" w:hAnsi="Times New Roman" w:cs="Times New Roman"/>
            <w:sz w:val="24"/>
            <w:szCs w:val="24"/>
          </w:rPr>
          <w:t xml:space="preserve"> Pinho</w:t>
        </w:r>
      </w:hyperlink>
      <w:r w:rsidR="00FE33CD" w:rsidRPr="00FE33CD">
        <w:rPr>
          <w:rFonts w:ascii="Times New Roman" w:hAnsi="Times New Roman" w:cs="Times New Roman"/>
          <w:sz w:val="24"/>
          <w:szCs w:val="24"/>
        </w:rPr>
        <w:t xml:space="preserve">, É. V. de R. von., </w:t>
      </w:r>
      <w:hyperlink r:id="rId21" w:history="1">
        <w:r w:rsidR="00FE33CD" w:rsidRPr="00FE33CD">
          <w:rPr>
            <w:rFonts w:ascii="Times New Roman" w:hAnsi="Times New Roman" w:cs="Times New Roman"/>
            <w:sz w:val="24"/>
            <w:szCs w:val="24"/>
          </w:rPr>
          <w:t>Carvalho</w:t>
        </w:r>
      </w:hyperlink>
      <w:r w:rsidR="00FE33CD" w:rsidRPr="00FE33CD">
        <w:rPr>
          <w:rFonts w:ascii="Times New Roman" w:hAnsi="Times New Roman" w:cs="Times New Roman"/>
          <w:sz w:val="24"/>
          <w:szCs w:val="24"/>
        </w:rPr>
        <w:t xml:space="preserve">, E. R., </w:t>
      </w:r>
      <w:hyperlink r:id="rId22" w:history="1">
        <w:r w:rsidR="00FE33CD" w:rsidRPr="00FE33CD">
          <w:rPr>
            <w:rFonts w:ascii="Times New Roman" w:hAnsi="Times New Roman" w:cs="Times New Roman"/>
            <w:sz w:val="24"/>
            <w:szCs w:val="24"/>
          </w:rPr>
          <w:t xml:space="preserve"> Figueiredo</w:t>
        </w:r>
      </w:hyperlink>
      <w:r w:rsidR="00FE33CD" w:rsidRPr="00FE33CD">
        <w:rPr>
          <w:rFonts w:ascii="Times New Roman" w:hAnsi="Times New Roman" w:cs="Times New Roman"/>
          <w:sz w:val="24"/>
          <w:szCs w:val="24"/>
        </w:rPr>
        <w:t xml:space="preserve">, Í. B. D., </w:t>
      </w:r>
      <w:hyperlink r:id="rId23" w:history="1">
        <w:r w:rsidR="00FE33CD" w:rsidRPr="00FE33CD">
          <w:rPr>
            <w:rFonts w:ascii="Times New Roman" w:hAnsi="Times New Roman" w:cs="Times New Roman"/>
            <w:sz w:val="24"/>
            <w:szCs w:val="24"/>
          </w:rPr>
          <w:t xml:space="preserve"> Andrade</w:t>
        </w:r>
      </w:hyperlink>
      <w:r w:rsidR="00FE33CD" w:rsidRPr="00FE33CD">
        <w:rPr>
          <w:rFonts w:ascii="Times New Roman" w:hAnsi="Times New Roman" w:cs="Times New Roman"/>
          <w:sz w:val="24"/>
          <w:szCs w:val="24"/>
        </w:rPr>
        <w:t xml:space="preserve">, V. (2016) Quality of seeds of soybean obtained from different cultivars subjected to desiccation with different herbicides and application times. Qualidade de sementes de soja obtidas de diferentes cultivares submetidas à </w:t>
      </w:r>
      <w:r w:rsidR="00FE33CD" w:rsidRPr="00FE33CD">
        <w:rPr>
          <w:rFonts w:ascii="Times New Roman" w:hAnsi="Times New Roman" w:cs="Times New Roman"/>
          <w:sz w:val="24"/>
          <w:szCs w:val="24"/>
        </w:rPr>
        <w:lastRenderedPageBreak/>
        <w:t xml:space="preserve">dessecação com diferentes herbicidas e épocas de aplicação. </w:t>
      </w:r>
      <w:hyperlink r:id="rId24" w:history="1">
        <w:proofErr w:type="spellStart"/>
        <w:r w:rsidR="00FE33CD" w:rsidRPr="00FE33CD">
          <w:rPr>
            <w:rFonts w:ascii="Times New Roman" w:hAnsi="Times New Roman" w:cs="Times New Roman"/>
            <w:sz w:val="24"/>
            <w:szCs w:val="24"/>
          </w:rPr>
          <w:t>Agro@mbiente</w:t>
        </w:r>
        <w:proofErr w:type="spellEnd"/>
      </w:hyperlink>
      <w:r w:rsidR="00FE33CD" w:rsidRPr="00FE33CD">
        <w:rPr>
          <w:rFonts w:ascii="Times New Roman" w:hAnsi="Times New Roman" w:cs="Times New Roman"/>
          <w:sz w:val="24"/>
          <w:szCs w:val="24"/>
        </w:rPr>
        <w:t xml:space="preserve">. 10 (2): 137-144 </w:t>
      </w:r>
    </w:p>
    <w:p w14:paraId="13E3D830"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Carvalho, N.M. and Nakagawa, J. (2012) </w:t>
      </w:r>
      <w:proofErr w:type="spellStart"/>
      <w:r w:rsidRPr="00FE33CD">
        <w:rPr>
          <w:rFonts w:ascii="Times New Roman" w:hAnsi="Times New Roman" w:cs="Times New Roman"/>
          <w:sz w:val="24"/>
          <w:szCs w:val="24"/>
        </w:rPr>
        <w:t>Sementes</w:t>
      </w:r>
      <w:proofErr w:type="spellEnd"/>
      <w:r w:rsidRPr="00FE33CD">
        <w:rPr>
          <w:rFonts w:ascii="Times New Roman" w:hAnsi="Times New Roman" w:cs="Times New Roman"/>
          <w:sz w:val="24"/>
          <w:szCs w:val="24"/>
        </w:rPr>
        <w:t xml:space="preserve">: </w:t>
      </w:r>
      <w:proofErr w:type="spellStart"/>
      <w:r w:rsidRPr="00FE33CD">
        <w:rPr>
          <w:rFonts w:ascii="Times New Roman" w:hAnsi="Times New Roman" w:cs="Times New Roman"/>
          <w:sz w:val="24"/>
          <w:szCs w:val="24"/>
        </w:rPr>
        <w:t>Ciência</w:t>
      </w:r>
      <w:proofErr w:type="spellEnd"/>
      <w:r w:rsidRPr="00FE33CD">
        <w:rPr>
          <w:rFonts w:ascii="Times New Roman" w:hAnsi="Times New Roman" w:cs="Times New Roman"/>
          <w:sz w:val="24"/>
          <w:szCs w:val="24"/>
        </w:rPr>
        <w:t xml:space="preserve">, </w:t>
      </w:r>
      <w:proofErr w:type="spellStart"/>
      <w:r w:rsidRPr="00FE33CD">
        <w:rPr>
          <w:rFonts w:ascii="Times New Roman" w:hAnsi="Times New Roman" w:cs="Times New Roman"/>
          <w:sz w:val="24"/>
          <w:szCs w:val="24"/>
        </w:rPr>
        <w:t>tecnologia</w:t>
      </w:r>
      <w:proofErr w:type="spellEnd"/>
      <w:r w:rsidRPr="00FE33CD">
        <w:rPr>
          <w:rFonts w:ascii="Times New Roman" w:hAnsi="Times New Roman" w:cs="Times New Roman"/>
          <w:sz w:val="24"/>
          <w:szCs w:val="24"/>
        </w:rPr>
        <w:t xml:space="preserve"> e </w:t>
      </w:r>
      <w:proofErr w:type="spellStart"/>
      <w:r w:rsidRPr="00FE33CD">
        <w:rPr>
          <w:rFonts w:ascii="Times New Roman" w:hAnsi="Times New Roman" w:cs="Times New Roman"/>
          <w:sz w:val="24"/>
          <w:szCs w:val="24"/>
        </w:rPr>
        <w:t>produção</w:t>
      </w:r>
      <w:proofErr w:type="spellEnd"/>
      <w:r w:rsidRPr="00FE33CD">
        <w:rPr>
          <w:rFonts w:ascii="Times New Roman" w:hAnsi="Times New Roman" w:cs="Times New Roman"/>
          <w:sz w:val="24"/>
          <w:szCs w:val="24"/>
        </w:rPr>
        <w:t xml:space="preserve">. FUNEP, </w:t>
      </w:r>
      <w:proofErr w:type="spellStart"/>
      <w:r w:rsidRPr="00FE33CD">
        <w:rPr>
          <w:rFonts w:ascii="Times New Roman" w:hAnsi="Times New Roman" w:cs="Times New Roman"/>
          <w:sz w:val="24"/>
          <w:szCs w:val="24"/>
        </w:rPr>
        <w:t>Jaboticabal</w:t>
      </w:r>
      <w:proofErr w:type="spellEnd"/>
      <w:r w:rsidRPr="00FE33CD">
        <w:rPr>
          <w:rFonts w:ascii="Times New Roman" w:hAnsi="Times New Roman" w:cs="Times New Roman"/>
          <w:sz w:val="24"/>
          <w:szCs w:val="24"/>
        </w:rPr>
        <w:t>, 590 p.</w:t>
      </w:r>
    </w:p>
    <w:p w14:paraId="26E9768A"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Ching, C.C., Andrews, H. Baskin, C.C., and </w:t>
      </w:r>
      <w:proofErr w:type="spellStart"/>
      <w:r w:rsidRPr="00FE33CD">
        <w:rPr>
          <w:rFonts w:ascii="Times New Roman" w:hAnsi="Times New Roman" w:cs="Times New Roman"/>
          <w:sz w:val="24"/>
          <w:szCs w:val="24"/>
        </w:rPr>
        <w:t>Delouche</w:t>
      </w:r>
      <w:proofErr w:type="spellEnd"/>
      <w:r w:rsidRPr="00FE33CD">
        <w:rPr>
          <w:rFonts w:ascii="Times New Roman" w:hAnsi="Times New Roman" w:cs="Times New Roman"/>
          <w:sz w:val="24"/>
          <w:szCs w:val="24"/>
        </w:rPr>
        <w:t xml:space="preserve">, J.C. (1972). Influence of quality of seed on growth, development and productivity of some horticultural crops. Proc. International Seed Testing Association. 37: 923-936 </w:t>
      </w:r>
    </w:p>
    <w:p w14:paraId="65756273"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Demir, I. &amp; Samit, Y. (2001). Seed quality in relation to fruit maturation and seed dry weight during development in tomato. Seed Science and Technology. 29: 453-462</w:t>
      </w:r>
    </w:p>
    <w:p w14:paraId="634EB935"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Demir, I. and Ellis, (1992). Development of pepper (Capsicum annuum) seed quality. Annals of applied Biology. 121: 385-399  </w:t>
      </w:r>
    </w:p>
    <w:p w14:paraId="5E240184"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Dias, D.C.F.S., Ribeiro, F.P., Dias, L.A.S., Silva, D.J.H. &amp; Vidigal, D.S. (2006). Maturation of tomato seeds in relation to fructification sequence in the plant. </w:t>
      </w:r>
      <w:proofErr w:type="spellStart"/>
      <w:r w:rsidRPr="00FE33CD">
        <w:rPr>
          <w:rFonts w:ascii="Times New Roman" w:hAnsi="Times New Roman" w:cs="Times New Roman"/>
          <w:sz w:val="24"/>
          <w:szCs w:val="24"/>
        </w:rPr>
        <w:t>Revista</w:t>
      </w:r>
      <w:proofErr w:type="spellEnd"/>
      <w:r w:rsidRPr="00FE33CD">
        <w:rPr>
          <w:rFonts w:ascii="Times New Roman" w:hAnsi="Times New Roman" w:cs="Times New Roman"/>
          <w:sz w:val="24"/>
          <w:szCs w:val="24"/>
        </w:rPr>
        <w:t xml:space="preserve"> Ceres. 53: 446-456 </w:t>
      </w:r>
    </w:p>
    <w:p w14:paraId="265B07EF"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Eskandari, H. (2012) Intercropping of Maize (</w:t>
      </w:r>
      <w:proofErr w:type="spellStart"/>
      <w:r w:rsidRPr="00FE33CD">
        <w:rPr>
          <w:rFonts w:ascii="Times New Roman" w:hAnsi="Times New Roman" w:cs="Times New Roman"/>
          <w:i/>
          <w:sz w:val="24"/>
          <w:szCs w:val="24"/>
        </w:rPr>
        <w:t>Zea</w:t>
      </w:r>
      <w:proofErr w:type="spellEnd"/>
      <w:r w:rsidRPr="00FE33CD">
        <w:rPr>
          <w:rFonts w:ascii="Times New Roman" w:hAnsi="Times New Roman" w:cs="Times New Roman"/>
          <w:i/>
          <w:sz w:val="24"/>
          <w:szCs w:val="24"/>
        </w:rPr>
        <w:t xml:space="preserve"> mays</w:t>
      </w:r>
      <w:r w:rsidRPr="00FE33CD">
        <w:rPr>
          <w:rFonts w:ascii="Times New Roman" w:hAnsi="Times New Roman" w:cs="Times New Roman"/>
          <w:sz w:val="24"/>
          <w:szCs w:val="24"/>
        </w:rPr>
        <w:t xml:space="preserve"> L.) with Cowpea (</w:t>
      </w:r>
      <w:r w:rsidRPr="00FE33CD">
        <w:rPr>
          <w:rFonts w:ascii="Times New Roman" w:hAnsi="Times New Roman" w:cs="Times New Roman"/>
          <w:i/>
          <w:sz w:val="24"/>
          <w:szCs w:val="24"/>
        </w:rPr>
        <w:t>Vigna sinensis</w:t>
      </w:r>
      <w:r w:rsidRPr="00FE33CD">
        <w:rPr>
          <w:rFonts w:ascii="Times New Roman" w:hAnsi="Times New Roman" w:cs="Times New Roman"/>
          <w:sz w:val="24"/>
          <w:szCs w:val="24"/>
        </w:rPr>
        <w:t>) and Mung Bean (Vigna radiate): Effects of Complementarity of Intercrop Components on Resources Consumption, Dry Matter Production and Legume Forage Quality. Journal of Basic and Applied Science Research. 2: 355-360.</w:t>
      </w:r>
    </w:p>
    <w:p w14:paraId="0D4C33A5"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Filho, J.M. (2015). Seed vigor testing: an overview of the past, present and future perspective. Sci. Agric. 72 (4):363-374</w:t>
      </w:r>
    </w:p>
    <w:p w14:paraId="3F65EFEC"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Geetha, V.V., Bhaskaran, M. &amp; </w:t>
      </w:r>
      <w:proofErr w:type="spellStart"/>
      <w:r w:rsidRPr="00FE33CD">
        <w:rPr>
          <w:rFonts w:ascii="Times New Roman" w:hAnsi="Times New Roman" w:cs="Times New Roman"/>
          <w:sz w:val="24"/>
          <w:szCs w:val="24"/>
        </w:rPr>
        <w:t>Balamurgan</w:t>
      </w:r>
      <w:proofErr w:type="spellEnd"/>
      <w:r w:rsidRPr="00FE33CD">
        <w:rPr>
          <w:rFonts w:ascii="Times New Roman" w:hAnsi="Times New Roman" w:cs="Times New Roman"/>
          <w:sz w:val="24"/>
          <w:szCs w:val="24"/>
        </w:rPr>
        <w:t>, P. (2013). Physiological maturity studies in Mustard. American Journal of Research in Formal, Applied and Natural Sciences. 4(1): 43-46</w:t>
      </w:r>
    </w:p>
    <w:p w14:paraId="44B2064D"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ISTA, 1999. International rules for seed testing. Seed Science and Technology. 27: 155-199 </w:t>
      </w:r>
    </w:p>
    <w:p w14:paraId="7CA8A271"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proofErr w:type="spellStart"/>
      <w:r w:rsidRPr="00FE33CD">
        <w:rPr>
          <w:rFonts w:ascii="Times New Roman" w:hAnsi="Times New Roman" w:cs="Times New Roman"/>
          <w:sz w:val="24"/>
          <w:szCs w:val="24"/>
        </w:rPr>
        <w:t>Karivaratharaju</w:t>
      </w:r>
      <w:proofErr w:type="spellEnd"/>
      <w:r w:rsidRPr="00FE33CD">
        <w:rPr>
          <w:rFonts w:ascii="Times New Roman" w:hAnsi="Times New Roman" w:cs="Times New Roman"/>
          <w:sz w:val="24"/>
          <w:szCs w:val="24"/>
        </w:rPr>
        <w:t xml:space="preserve">, T.V.  (1974). Studying seed maturation aspects to fix maximum physiological maturity to achieve maximum </w:t>
      </w:r>
      <w:proofErr w:type="spellStart"/>
      <w:r w:rsidRPr="00FE33CD">
        <w:rPr>
          <w:rFonts w:ascii="Times New Roman" w:hAnsi="Times New Roman" w:cs="Times New Roman"/>
          <w:sz w:val="24"/>
          <w:szCs w:val="24"/>
        </w:rPr>
        <w:t>vigour</w:t>
      </w:r>
      <w:proofErr w:type="spellEnd"/>
      <w:r w:rsidRPr="00FE33CD">
        <w:rPr>
          <w:rFonts w:ascii="Times New Roman" w:hAnsi="Times New Roman" w:cs="Times New Roman"/>
          <w:sz w:val="24"/>
          <w:szCs w:val="24"/>
        </w:rPr>
        <w:t xml:space="preserve"> and dry weight. Annual progress Report, 1973-74. </w:t>
      </w:r>
      <w:proofErr w:type="spellStart"/>
      <w:r w:rsidRPr="00FE33CD">
        <w:rPr>
          <w:rFonts w:ascii="Times New Roman" w:hAnsi="Times New Roman" w:cs="Times New Roman"/>
          <w:sz w:val="24"/>
          <w:szCs w:val="24"/>
        </w:rPr>
        <w:t>Tamilnadu</w:t>
      </w:r>
      <w:proofErr w:type="spellEnd"/>
      <w:r w:rsidRPr="00FE33CD">
        <w:rPr>
          <w:rFonts w:ascii="Times New Roman" w:hAnsi="Times New Roman" w:cs="Times New Roman"/>
          <w:sz w:val="24"/>
          <w:szCs w:val="24"/>
        </w:rPr>
        <w:t xml:space="preserve"> Agricultural University. Coimbatore. </w:t>
      </w:r>
    </w:p>
    <w:p w14:paraId="6C6CCD86" w14:textId="77777777" w:rsidR="00FE33CD" w:rsidRPr="00FE33CD" w:rsidRDefault="00767B56" w:rsidP="00875690">
      <w:pPr>
        <w:pStyle w:val="ListParagraph"/>
        <w:numPr>
          <w:ilvl w:val="0"/>
          <w:numId w:val="3"/>
        </w:numPr>
        <w:spacing w:before="120" w:after="0" w:line="240" w:lineRule="auto"/>
        <w:ind w:right="-45" w:hanging="357"/>
        <w:contextualSpacing w:val="0"/>
        <w:outlineLvl w:val="0"/>
        <w:rPr>
          <w:rFonts w:ascii="Times New Roman" w:hAnsi="Times New Roman" w:cs="Times New Roman"/>
          <w:sz w:val="24"/>
          <w:szCs w:val="24"/>
        </w:rPr>
      </w:pPr>
      <w:hyperlink r:id="rId25" w:history="1">
        <w:r w:rsidR="00FE33CD" w:rsidRPr="00FE33CD">
          <w:rPr>
            <w:rFonts w:ascii="Times New Roman" w:hAnsi="Times New Roman" w:cs="Times New Roman"/>
            <w:sz w:val="24"/>
            <w:szCs w:val="24"/>
          </w:rPr>
          <w:t xml:space="preserve"> Khare</w:t>
        </w:r>
      </w:hyperlink>
      <w:r w:rsidR="00FE33CD" w:rsidRPr="00FE33CD">
        <w:rPr>
          <w:rFonts w:ascii="Times New Roman" w:hAnsi="Times New Roman" w:cs="Times New Roman"/>
          <w:sz w:val="24"/>
          <w:szCs w:val="24"/>
        </w:rPr>
        <w:t xml:space="preserve">, D. and </w:t>
      </w:r>
      <w:hyperlink r:id="rId26" w:history="1">
        <w:r w:rsidR="00FE33CD" w:rsidRPr="00FE33CD">
          <w:rPr>
            <w:rFonts w:ascii="Times New Roman" w:hAnsi="Times New Roman" w:cs="Times New Roman"/>
            <w:sz w:val="24"/>
            <w:szCs w:val="24"/>
          </w:rPr>
          <w:t>Satpute</w:t>
        </w:r>
      </w:hyperlink>
      <w:r w:rsidR="00FE33CD" w:rsidRPr="00FE33CD">
        <w:rPr>
          <w:rFonts w:ascii="Times New Roman" w:hAnsi="Times New Roman" w:cs="Times New Roman"/>
          <w:sz w:val="24"/>
          <w:szCs w:val="24"/>
        </w:rPr>
        <w:t xml:space="preserve">, R. G. (1999) </w:t>
      </w:r>
      <w:r w:rsidR="00FE33CD" w:rsidRPr="00FE33CD">
        <w:rPr>
          <w:rFonts w:ascii="Times New Roman" w:eastAsiaTheme="minorEastAsia" w:hAnsi="Times New Roman" w:cs="Times New Roman"/>
          <w:sz w:val="24"/>
          <w:szCs w:val="24"/>
        </w:rPr>
        <w:t xml:space="preserve">Influence of days to maturity and seed size on germination and seedling </w:t>
      </w:r>
      <w:proofErr w:type="spellStart"/>
      <w:r w:rsidR="00FE33CD" w:rsidRPr="00FE33CD">
        <w:rPr>
          <w:rFonts w:ascii="Times New Roman" w:eastAsiaTheme="minorEastAsia" w:hAnsi="Times New Roman" w:cs="Times New Roman"/>
          <w:sz w:val="24"/>
          <w:szCs w:val="24"/>
        </w:rPr>
        <w:t>vigour</w:t>
      </w:r>
      <w:proofErr w:type="spellEnd"/>
      <w:r w:rsidR="00FE33CD" w:rsidRPr="00FE33CD">
        <w:rPr>
          <w:rFonts w:ascii="Times New Roman" w:eastAsiaTheme="minorEastAsia" w:hAnsi="Times New Roman" w:cs="Times New Roman"/>
          <w:sz w:val="24"/>
          <w:szCs w:val="24"/>
        </w:rPr>
        <w:t xml:space="preserve"> in </w:t>
      </w:r>
      <w:proofErr w:type="spellStart"/>
      <w:r w:rsidR="00FE33CD" w:rsidRPr="00FE33CD">
        <w:rPr>
          <w:rFonts w:ascii="Times New Roman" w:eastAsiaTheme="minorEastAsia" w:hAnsi="Times New Roman" w:cs="Times New Roman"/>
          <w:sz w:val="24"/>
          <w:szCs w:val="24"/>
        </w:rPr>
        <w:t>pigeonpea</w:t>
      </w:r>
      <w:proofErr w:type="spellEnd"/>
      <w:r w:rsidR="00FE33CD" w:rsidRPr="00FE33CD">
        <w:rPr>
          <w:rFonts w:ascii="Times New Roman" w:eastAsiaTheme="minorEastAsia" w:hAnsi="Times New Roman" w:cs="Times New Roman"/>
          <w:sz w:val="24"/>
          <w:szCs w:val="24"/>
        </w:rPr>
        <w:t>.</w:t>
      </w:r>
      <w:r w:rsidR="00FE33CD" w:rsidRPr="00FE33CD">
        <w:rPr>
          <w:rFonts w:ascii="Times New Roman" w:hAnsi="Times New Roman" w:cs="Times New Roman"/>
          <w:sz w:val="24"/>
          <w:szCs w:val="24"/>
        </w:rPr>
        <w:t xml:space="preserve"> </w:t>
      </w:r>
      <w:hyperlink r:id="rId27" w:history="1">
        <w:r w:rsidR="00FE33CD" w:rsidRPr="00FE33CD">
          <w:rPr>
            <w:rFonts w:ascii="Times New Roman" w:hAnsi="Times New Roman" w:cs="Times New Roman"/>
            <w:sz w:val="24"/>
            <w:szCs w:val="24"/>
          </w:rPr>
          <w:t>Seed Research</w:t>
        </w:r>
      </w:hyperlink>
      <w:r w:rsidR="00FE33CD" w:rsidRPr="00FE33CD">
        <w:rPr>
          <w:rFonts w:ascii="Times New Roman" w:hAnsi="Times New Roman" w:cs="Times New Roman"/>
          <w:sz w:val="24"/>
          <w:szCs w:val="24"/>
        </w:rPr>
        <w:t xml:space="preserve">, 27(2): 170-173  </w:t>
      </w:r>
    </w:p>
    <w:p w14:paraId="25156CEA"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Kwon, O.S.</w:t>
      </w:r>
      <w:r w:rsidR="00875690">
        <w:rPr>
          <w:rFonts w:ascii="Times New Roman" w:hAnsi="Times New Roman" w:cs="Times New Roman"/>
          <w:sz w:val="24"/>
          <w:szCs w:val="24"/>
        </w:rPr>
        <w:t xml:space="preserve"> </w:t>
      </w:r>
      <w:r w:rsidRPr="00FE33CD">
        <w:rPr>
          <w:rFonts w:ascii="Times New Roman" w:hAnsi="Times New Roman" w:cs="Times New Roman"/>
          <w:sz w:val="24"/>
          <w:szCs w:val="24"/>
        </w:rPr>
        <w:t xml:space="preserve">&amp; Bradford, K.J. (1987). Tomato seed development and quality as influenced by preharvest treatment with ethephon. Horticulture Science. 22: 588-591 </w:t>
      </w:r>
    </w:p>
    <w:p w14:paraId="420021C0"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proofErr w:type="spellStart"/>
      <w:r w:rsidRPr="00FE33CD">
        <w:rPr>
          <w:rFonts w:ascii="Times New Roman" w:hAnsi="Times New Roman" w:cs="Times New Roman"/>
          <w:sz w:val="24"/>
          <w:szCs w:val="24"/>
        </w:rPr>
        <w:t>Mahesha</w:t>
      </w:r>
      <w:proofErr w:type="spellEnd"/>
      <w:r w:rsidRPr="00FE33CD">
        <w:rPr>
          <w:rFonts w:ascii="Times New Roman" w:hAnsi="Times New Roman" w:cs="Times New Roman"/>
          <w:sz w:val="24"/>
          <w:szCs w:val="24"/>
        </w:rPr>
        <w:t xml:space="preserve">, C.R., </w:t>
      </w:r>
      <w:proofErr w:type="spellStart"/>
      <w:r w:rsidRPr="00FE33CD">
        <w:rPr>
          <w:rFonts w:ascii="Times New Roman" w:hAnsi="Times New Roman" w:cs="Times New Roman"/>
          <w:sz w:val="24"/>
          <w:szCs w:val="24"/>
        </w:rPr>
        <w:t>Channaveeraswami</w:t>
      </w:r>
      <w:proofErr w:type="spellEnd"/>
      <w:r w:rsidRPr="00FE33CD">
        <w:rPr>
          <w:rFonts w:ascii="Times New Roman" w:hAnsi="Times New Roman" w:cs="Times New Roman"/>
          <w:sz w:val="24"/>
          <w:szCs w:val="24"/>
        </w:rPr>
        <w:t xml:space="preserve">, A.S., </w:t>
      </w:r>
      <w:proofErr w:type="spellStart"/>
      <w:r w:rsidRPr="00FE33CD">
        <w:rPr>
          <w:rFonts w:ascii="Times New Roman" w:hAnsi="Times New Roman" w:cs="Times New Roman"/>
          <w:sz w:val="24"/>
          <w:szCs w:val="24"/>
        </w:rPr>
        <w:t>Kurdikeri</w:t>
      </w:r>
      <w:proofErr w:type="spellEnd"/>
      <w:r w:rsidRPr="00FE33CD">
        <w:rPr>
          <w:rFonts w:ascii="Times New Roman" w:hAnsi="Times New Roman" w:cs="Times New Roman"/>
          <w:sz w:val="24"/>
          <w:szCs w:val="24"/>
        </w:rPr>
        <w:t xml:space="preserve">, M.B., </w:t>
      </w:r>
      <w:proofErr w:type="spellStart"/>
      <w:r w:rsidRPr="00FE33CD">
        <w:rPr>
          <w:rFonts w:ascii="Times New Roman" w:hAnsi="Times New Roman" w:cs="Times New Roman"/>
          <w:sz w:val="24"/>
          <w:szCs w:val="24"/>
        </w:rPr>
        <w:t>Sekhargowda</w:t>
      </w:r>
      <w:proofErr w:type="spellEnd"/>
      <w:r w:rsidRPr="00FE33CD">
        <w:rPr>
          <w:rFonts w:ascii="Times New Roman" w:hAnsi="Times New Roman" w:cs="Times New Roman"/>
          <w:sz w:val="24"/>
          <w:szCs w:val="24"/>
        </w:rPr>
        <w:t xml:space="preserve">, M. and </w:t>
      </w:r>
      <w:proofErr w:type="spellStart"/>
      <w:r w:rsidRPr="00FE33CD">
        <w:rPr>
          <w:rFonts w:ascii="Times New Roman" w:hAnsi="Times New Roman" w:cs="Times New Roman"/>
          <w:sz w:val="24"/>
          <w:szCs w:val="24"/>
        </w:rPr>
        <w:t>Merwade</w:t>
      </w:r>
      <w:proofErr w:type="spellEnd"/>
      <w:r w:rsidRPr="00FE33CD">
        <w:rPr>
          <w:rFonts w:ascii="Times New Roman" w:hAnsi="Times New Roman" w:cs="Times New Roman"/>
          <w:sz w:val="24"/>
          <w:szCs w:val="24"/>
        </w:rPr>
        <w:t xml:space="preserve">, M.N.  (2001). Seed maturation studies in sunflower genotypes. Seed Research. 29 (1): 95-97 </w:t>
      </w:r>
    </w:p>
    <w:p w14:paraId="1A1BAD4D"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eastAsia="Calibri" w:hAnsi="Times New Roman" w:cs="Times New Roman"/>
          <w:sz w:val="24"/>
          <w:szCs w:val="24"/>
        </w:rPr>
        <w:t>Ministry of Agriculture and FW (DAC &amp;FW) GOI. (2018). Pulses Revolution-From Food to Nutritional Security, Success Report. 2018-19</w:t>
      </w:r>
    </w:p>
    <w:p w14:paraId="32D421B0"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proofErr w:type="spellStart"/>
      <w:r w:rsidRPr="00FE33CD">
        <w:rPr>
          <w:rFonts w:ascii="Times New Roman" w:hAnsi="Times New Roman" w:cs="Times New Roman"/>
          <w:sz w:val="24"/>
          <w:szCs w:val="24"/>
        </w:rPr>
        <w:t>Moonmoon</w:t>
      </w:r>
      <w:proofErr w:type="spellEnd"/>
      <w:r w:rsidRPr="00FE33CD">
        <w:rPr>
          <w:rFonts w:ascii="Times New Roman" w:hAnsi="Times New Roman" w:cs="Times New Roman"/>
          <w:sz w:val="24"/>
          <w:szCs w:val="24"/>
        </w:rPr>
        <w:t>, S., Fakir, M.S.A., Islam, M.T. (2020). Assimilation of grain on yield and yield attributes of rice (</w:t>
      </w:r>
      <w:r w:rsidRPr="00FE33CD">
        <w:rPr>
          <w:rFonts w:ascii="Times New Roman" w:hAnsi="Times New Roman" w:cs="Times New Roman"/>
          <w:i/>
          <w:sz w:val="24"/>
          <w:szCs w:val="24"/>
        </w:rPr>
        <w:t>Oryza sativa</w:t>
      </w:r>
      <w:r w:rsidRPr="00FE33CD">
        <w:rPr>
          <w:rFonts w:ascii="Times New Roman" w:hAnsi="Times New Roman" w:cs="Times New Roman"/>
          <w:sz w:val="24"/>
          <w:szCs w:val="24"/>
        </w:rPr>
        <w:t xml:space="preserve"> L.) genotypes under drought stress. 241 (3): 85-98</w:t>
      </w:r>
    </w:p>
    <w:p w14:paraId="0F1D380E"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lastRenderedPageBreak/>
        <w:t xml:space="preserve">Nichal, S.S., Shinde, S.M., Wasim, M.d., Patel, Y., </w:t>
      </w:r>
      <w:proofErr w:type="spellStart"/>
      <w:r w:rsidRPr="00FE33CD">
        <w:rPr>
          <w:rFonts w:ascii="Times New Roman" w:hAnsi="Times New Roman" w:cs="Times New Roman"/>
          <w:sz w:val="24"/>
          <w:szCs w:val="24"/>
        </w:rPr>
        <w:t>Mahalle</w:t>
      </w:r>
      <w:proofErr w:type="spellEnd"/>
      <w:r w:rsidRPr="00FE33CD">
        <w:rPr>
          <w:rFonts w:ascii="Times New Roman" w:hAnsi="Times New Roman" w:cs="Times New Roman"/>
          <w:sz w:val="24"/>
          <w:szCs w:val="24"/>
        </w:rPr>
        <w:t xml:space="preserve">, A.R. and </w:t>
      </w:r>
      <w:proofErr w:type="spellStart"/>
      <w:r w:rsidRPr="00FE33CD">
        <w:rPr>
          <w:rFonts w:ascii="Times New Roman" w:hAnsi="Times New Roman" w:cs="Times New Roman"/>
          <w:sz w:val="24"/>
          <w:szCs w:val="24"/>
        </w:rPr>
        <w:t>Nandanwar</w:t>
      </w:r>
      <w:proofErr w:type="spellEnd"/>
      <w:r w:rsidRPr="00FE33CD">
        <w:rPr>
          <w:rFonts w:ascii="Times New Roman" w:hAnsi="Times New Roman" w:cs="Times New Roman"/>
          <w:sz w:val="24"/>
          <w:szCs w:val="24"/>
        </w:rPr>
        <w:t>, R.S., 2018. Crop physiological maturity: A proper stage to harvest soybean crop. International Journal of Current Microbiology and Applied Sciences. Special Issue 6: 2430-2435</w:t>
      </w:r>
    </w:p>
    <w:p w14:paraId="6EFC1FC4"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hAnsi="Times New Roman" w:cs="Times New Roman"/>
          <w:sz w:val="24"/>
          <w:szCs w:val="24"/>
        </w:rPr>
      </w:pPr>
      <w:proofErr w:type="spellStart"/>
      <w:r w:rsidRPr="00FE33CD">
        <w:rPr>
          <w:rFonts w:ascii="Times New Roman" w:hAnsi="Times New Roman" w:cs="Times New Roman"/>
          <w:sz w:val="24"/>
          <w:szCs w:val="24"/>
        </w:rPr>
        <w:t>Nimje</w:t>
      </w:r>
      <w:proofErr w:type="spellEnd"/>
      <w:r w:rsidRPr="00FE33CD">
        <w:rPr>
          <w:rFonts w:ascii="Times New Roman" w:hAnsi="Times New Roman" w:cs="Times New Roman"/>
          <w:sz w:val="24"/>
          <w:szCs w:val="24"/>
        </w:rPr>
        <w:t xml:space="preserve">, P.M. &amp; Gandhi, A.P. (1994). Effect of stage of harvesting and nitrogen levels on yield and </w:t>
      </w:r>
      <w:proofErr w:type="spellStart"/>
      <w:r w:rsidRPr="00FE33CD">
        <w:rPr>
          <w:rFonts w:ascii="Times New Roman" w:hAnsi="Times New Roman" w:cs="Times New Roman"/>
          <w:sz w:val="24"/>
          <w:szCs w:val="24"/>
        </w:rPr>
        <w:t>usitatissium</w:t>
      </w:r>
      <w:proofErr w:type="spellEnd"/>
      <w:r w:rsidRPr="00FE33CD">
        <w:rPr>
          <w:rFonts w:ascii="Times New Roman" w:hAnsi="Times New Roman" w:cs="Times New Roman"/>
          <w:sz w:val="24"/>
          <w:szCs w:val="24"/>
        </w:rPr>
        <w:t xml:space="preserve">. Journal of Oilseeds Research. 11: 141-151 </w:t>
      </w:r>
    </w:p>
    <w:p w14:paraId="595B8243"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Noggle, G.R. </w:t>
      </w:r>
      <w:proofErr w:type="gramStart"/>
      <w:r w:rsidRPr="00FE33CD">
        <w:rPr>
          <w:rFonts w:ascii="Times New Roman" w:hAnsi="Times New Roman" w:cs="Times New Roman"/>
          <w:sz w:val="24"/>
          <w:szCs w:val="24"/>
        </w:rPr>
        <w:t>&amp;  Fritz</w:t>
      </w:r>
      <w:proofErr w:type="gramEnd"/>
      <w:r w:rsidRPr="00FE33CD">
        <w:rPr>
          <w:rFonts w:ascii="Times New Roman" w:hAnsi="Times New Roman" w:cs="Times New Roman"/>
          <w:sz w:val="24"/>
          <w:szCs w:val="24"/>
        </w:rPr>
        <w:t>, G.J. (1991). Introductory Plant Physiology. Prentice Hall INC. Englewood Cliffs, p245</w:t>
      </w:r>
    </w:p>
    <w:p w14:paraId="26A11916" w14:textId="77777777" w:rsidR="00FE33CD" w:rsidRPr="00FE33CD" w:rsidRDefault="00FE33CD" w:rsidP="00875690">
      <w:pPr>
        <w:pStyle w:val="ListParagraph"/>
        <w:numPr>
          <w:ilvl w:val="0"/>
          <w:numId w:val="3"/>
        </w:numPr>
        <w:spacing w:before="120" w:after="0" w:line="240" w:lineRule="auto"/>
        <w:ind w:hanging="357"/>
        <w:contextualSpacing w:val="0"/>
        <w:jc w:val="both"/>
        <w:rPr>
          <w:rFonts w:ascii="Times New Roman" w:eastAsia="Times New Roman" w:hAnsi="Times New Roman" w:cs="Times New Roman"/>
          <w:sz w:val="24"/>
          <w:szCs w:val="24"/>
        </w:rPr>
      </w:pPr>
      <w:proofErr w:type="spellStart"/>
      <w:proofErr w:type="gramStart"/>
      <w:r w:rsidRPr="00FE33CD">
        <w:rPr>
          <w:rFonts w:ascii="Times New Roman" w:eastAsia="Times New Roman" w:hAnsi="Times New Roman" w:cs="Times New Roman"/>
          <w:sz w:val="24"/>
          <w:szCs w:val="24"/>
        </w:rPr>
        <w:t>Nogueira,N.W</w:t>
      </w:r>
      <w:proofErr w:type="spellEnd"/>
      <w:r w:rsidRPr="00FE33CD">
        <w:rPr>
          <w:rFonts w:ascii="Times New Roman" w:eastAsia="Times New Roman" w:hAnsi="Times New Roman" w:cs="Times New Roman"/>
          <w:sz w:val="24"/>
          <w:szCs w:val="24"/>
        </w:rPr>
        <w:t>.</w:t>
      </w:r>
      <w:proofErr w:type="gramEnd"/>
      <w:r w:rsidRPr="00FE33CD">
        <w:rPr>
          <w:rFonts w:ascii="Times New Roman" w:eastAsia="Times New Roman" w:hAnsi="Times New Roman" w:cs="Times New Roman"/>
          <w:sz w:val="24"/>
          <w:szCs w:val="24"/>
        </w:rPr>
        <w:t xml:space="preserve">, Freitas, Rômulo M. O. D., Torres, F.B. and Leal., C.C.P. (2014). Physiological maturation of cowpea seeds.  </w:t>
      </w:r>
      <w:r w:rsidRPr="00FE33CD">
        <w:rPr>
          <w:rFonts w:ascii="Times New Roman" w:hAnsi="Times New Roman" w:cs="Times New Roman"/>
          <w:sz w:val="24"/>
          <w:szCs w:val="24"/>
        </w:rPr>
        <w:t>Journal of Seed Science 36, 312-317</w:t>
      </w:r>
    </w:p>
    <w:p w14:paraId="0D4C252E"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Oliveira, A.P., Gonçalves, C.P., Bruno, R.L.A. and Alves, E.U. (1999) Physiological maturation of pepper seeds in relation to fruit age after anthesis. </w:t>
      </w:r>
      <w:proofErr w:type="spellStart"/>
      <w:r w:rsidRPr="00FE33CD">
        <w:rPr>
          <w:rFonts w:ascii="Times New Roman" w:hAnsi="Times New Roman" w:cs="Times New Roman"/>
          <w:sz w:val="24"/>
          <w:szCs w:val="24"/>
        </w:rPr>
        <w:t>Revista</w:t>
      </w:r>
      <w:proofErr w:type="spellEnd"/>
      <w:r w:rsidRPr="00FE33CD">
        <w:rPr>
          <w:rFonts w:ascii="Times New Roman" w:hAnsi="Times New Roman" w:cs="Times New Roman"/>
          <w:sz w:val="24"/>
          <w:szCs w:val="24"/>
        </w:rPr>
        <w:t xml:space="preserve"> </w:t>
      </w:r>
      <w:proofErr w:type="spellStart"/>
      <w:r w:rsidRPr="00FE33CD">
        <w:rPr>
          <w:rFonts w:ascii="Times New Roman" w:hAnsi="Times New Roman" w:cs="Times New Roman"/>
          <w:sz w:val="24"/>
          <w:szCs w:val="24"/>
        </w:rPr>
        <w:t>Brasileria</w:t>
      </w:r>
      <w:proofErr w:type="spellEnd"/>
      <w:r w:rsidRPr="00FE33CD">
        <w:rPr>
          <w:rFonts w:ascii="Times New Roman" w:hAnsi="Times New Roman" w:cs="Times New Roman"/>
          <w:sz w:val="24"/>
          <w:szCs w:val="24"/>
        </w:rPr>
        <w:t xml:space="preserve"> de </w:t>
      </w:r>
      <w:proofErr w:type="spellStart"/>
      <w:r w:rsidRPr="00FE33CD">
        <w:rPr>
          <w:rFonts w:ascii="Times New Roman" w:hAnsi="Times New Roman" w:cs="Times New Roman"/>
          <w:sz w:val="24"/>
          <w:szCs w:val="24"/>
        </w:rPr>
        <w:t>Sementes</w:t>
      </w:r>
      <w:proofErr w:type="spellEnd"/>
      <w:r w:rsidRPr="00FE33CD">
        <w:rPr>
          <w:rFonts w:ascii="Times New Roman" w:hAnsi="Times New Roman" w:cs="Times New Roman"/>
          <w:sz w:val="24"/>
          <w:szCs w:val="24"/>
        </w:rPr>
        <w:t xml:space="preserve">. 21: 88-94 </w:t>
      </w:r>
    </w:p>
    <w:p w14:paraId="3D3B146D"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Rahima Khatun, M. Mahbubul Islam, Mahmud Al Hussain, N. Parvin and Kishwar Sultana (2009) Performance study of newly developed jute variety BJRI Deshi-7 (BJC-2142). Int. J. Sustain. </w:t>
      </w:r>
      <w:proofErr w:type="spellStart"/>
      <w:r w:rsidRPr="00FE33CD">
        <w:rPr>
          <w:rFonts w:ascii="Times New Roman" w:hAnsi="Times New Roman" w:cs="Times New Roman"/>
          <w:sz w:val="24"/>
          <w:szCs w:val="24"/>
        </w:rPr>
        <w:t>Agril</w:t>
      </w:r>
      <w:proofErr w:type="spellEnd"/>
      <w:r w:rsidRPr="00FE33CD">
        <w:rPr>
          <w:rFonts w:ascii="Times New Roman" w:hAnsi="Times New Roman" w:cs="Times New Roman"/>
          <w:sz w:val="24"/>
          <w:szCs w:val="24"/>
        </w:rPr>
        <w:t>. Tech., 5(4): 12-18.</w:t>
      </w:r>
    </w:p>
    <w:p w14:paraId="1E8B74B6"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Siddique, A.B. &amp; Wright, D.  (2003). Effects of time of harvest at different moisture contents on Seed fresh weight, dry weight, quality (Viability and </w:t>
      </w:r>
      <w:proofErr w:type="spellStart"/>
      <w:r w:rsidRPr="00FE33CD">
        <w:rPr>
          <w:rFonts w:ascii="Times New Roman" w:hAnsi="Times New Roman" w:cs="Times New Roman"/>
          <w:sz w:val="24"/>
          <w:szCs w:val="24"/>
        </w:rPr>
        <w:t>vigour</w:t>
      </w:r>
      <w:proofErr w:type="spellEnd"/>
      <w:r w:rsidRPr="00FE33CD">
        <w:rPr>
          <w:rFonts w:ascii="Times New Roman" w:hAnsi="Times New Roman" w:cs="Times New Roman"/>
          <w:sz w:val="24"/>
          <w:szCs w:val="24"/>
        </w:rPr>
        <w:t>) and food reserves of peas (</w:t>
      </w:r>
      <w:r w:rsidRPr="00FE33CD">
        <w:rPr>
          <w:rFonts w:ascii="Times New Roman" w:hAnsi="Times New Roman" w:cs="Times New Roman"/>
          <w:i/>
          <w:sz w:val="24"/>
          <w:szCs w:val="24"/>
        </w:rPr>
        <w:t>Pisum sativum</w:t>
      </w:r>
      <w:r w:rsidRPr="00FE33CD">
        <w:rPr>
          <w:rFonts w:ascii="Times New Roman" w:hAnsi="Times New Roman" w:cs="Times New Roman"/>
          <w:sz w:val="24"/>
          <w:szCs w:val="24"/>
        </w:rPr>
        <w:t xml:space="preserve"> L.). Asian journal of plant Sciences. 2: 983-992</w:t>
      </w:r>
    </w:p>
    <w:p w14:paraId="67093F29"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proofErr w:type="spellStart"/>
      <w:r w:rsidRPr="00FE33CD">
        <w:rPr>
          <w:rFonts w:ascii="Times New Roman" w:hAnsi="Times New Roman" w:cs="Times New Roman"/>
          <w:sz w:val="24"/>
          <w:szCs w:val="24"/>
        </w:rPr>
        <w:t>Trammeli</w:t>
      </w:r>
      <w:proofErr w:type="spellEnd"/>
      <w:r w:rsidRPr="00FE33CD">
        <w:rPr>
          <w:rFonts w:ascii="Times New Roman" w:hAnsi="Times New Roman" w:cs="Times New Roman"/>
          <w:sz w:val="24"/>
          <w:szCs w:val="24"/>
        </w:rPr>
        <w:t xml:space="preserve">, C.A. (1983). Influence of maturity level on variety response of </w:t>
      </w:r>
      <w:proofErr w:type="spellStart"/>
      <w:r w:rsidRPr="00FE33CD">
        <w:rPr>
          <w:rFonts w:ascii="Times New Roman" w:hAnsi="Times New Roman" w:cs="Times New Roman"/>
          <w:sz w:val="24"/>
          <w:szCs w:val="24"/>
        </w:rPr>
        <w:t>sourthen</w:t>
      </w:r>
      <w:proofErr w:type="spellEnd"/>
      <w:r w:rsidRPr="00FE33CD">
        <w:rPr>
          <w:rFonts w:ascii="Times New Roman" w:hAnsi="Times New Roman" w:cs="Times New Roman"/>
          <w:sz w:val="24"/>
          <w:szCs w:val="24"/>
        </w:rPr>
        <w:t xml:space="preserve"> pea to desiccation by glyphosate. M.S. Thesis. </w:t>
      </w:r>
      <w:proofErr w:type="spellStart"/>
      <w:r w:rsidRPr="00FE33CD">
        <w:rPr>
          <w:rFonts w:ascii="Times New Roman" w:hAnsi="Times New Roman" w:cs="Times New Roman"/>
          <w:sz w:val="24"/>
          <w:szCs w:val="24"/>
        </w:rPr>
        <w:t>Miss.State</w:t>
      </w:r>
      <w:proofErr w:type="spellEnd"/>
      <w:r w:rsidRPr="00FE33CD">
        <w:rPr>
          <w:rFonts w:ascii="Times New Roman" w:hAnsi="Times New Roman" w:cs="Times New Roman"/>
          <w:sz w:val="24"/>
          <w:szCs w:val="24"/>
        </w:rPr>
        <w:t xml:space="preserve"> Univ., Mississippi State. MS.</w:t>
      </w:r>
    </w:p>
    <w:p w14:paraId="68C8E7F3" w14:textId="77777777" w:rsidR="00FE33CD" w:rsidRPr="00FE33CD" w:rsidRDefault="00FE33CD" w:rsidP="00875690">
      <w:pPr>
        <w:pStyle w:val="ListParagraph"/>
        <w:numPr>
          <w:ilvl w:val="0"/>
          <w:numId w:val="3"/>
        </w:numPr>
        <w:spacing w:before="120" w:after="0"/>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 xml:space="preserve">Varshney, S.K., Sinha, S.K. and Jha, B.N. (2001). Physiological maturity in Indian mustard. Seed Research. 29(1): 89-92  </w:t>
      </w:r>
    </w:p>
    <w:p w14:paraId="7E77503B" w14:textId="4AF73336" w:rsidR="00FE33CD" w:rsidRDefault="00FE33CD" w:rsidP="00875690">
      <w:pPr>
        <w:pStyle w:val="ListParagraph"/>
        <w:numPr>
          <w:ilvl w:val="0"/>
          <w:numId w:val="3"/>
        </w:numPr>
        <w:spacing w:before="120" w:after="0" w:line="360" w:lineRule="auto"/>
        <w:ind w:hanging="357"/>
        <w:contextualSpacing w:val="0"/>
        <w:jc w:val="both"/>
        <w:rPr>
          <w:rFonts w:ascii="Times New Roman" w:hAnsi="Times New Roman" w:cs="Times New Roman"/>
          <w:sz w:val="24"/>
          <w:szCs w:val="24"/>
        </w:rPr>
      </w:pPr>
      <w:r w:rsidRPr="00FE33CD">
        <w:rPr>
          <w:rFonts w:ascii="Times New Roman" w:hAnsi="Times New Roman" w:cs="Times New Roman"/>
          <w:sz w:val="24"/>
          <w:szCs w:val="24"/>
        </w:rPr>
        <w:t>Welbaum, G.E. and Bradford, K J. (1988). Water relations of seed development and germination in muskmelon (</w:t>
      </w:r>
      <w:r w:rsidRPr="00FE33CD">
        <w:rPr>
          <w:rFonts w:ascii="Times New Roman" w:hAnsi="Times New Roman" w:cs="Times New Roman"/>
          <w:i/>
          <w:sz w:val="24"/>
          <w:szCs w:val="24"/>
        </w:rPr>
        <w:t>Cucumis melo</w:t>
      </w:r>
      <w:r w:rsidRPr="00FE33CD">
        <w:rPr>
          <w:rFonts w:ascii="Times New Roman" w:hAnsi="Times New Roman" w:cs="Times New Roman"/>
          <w:sz w:val="24"/>
          <w:szCs w:val="24"/>
        </w:rPr>
        <w:t xml:space="preserve"> L). I. Water relations of seeds and fruit development. Plant physiology. 86: 406-411 </w:t>
      </w:r>
    </w:p>
    <w:p w14:paraId="453CD400" w14:textId="526763B1" w:rsidR="000A6111" w:rsidRPr="003767D2" w:rsidRDefault="000A6111" w:rsidP="00875690">
      <w:pPr>
        <w:pStyle w:val="ListParagraph"/>
        <w:numPr>
          <w:ilvl w:val="0"/>
          <w:numId w:val="3"/>
        </w:numPr>
        <w:spacing w:before="120" w:after="0" w:line="360" w:lineRule="auto"/>
        <w:ind w:hanging="357"/>
        <w:contextualSpacing w:val="0"/>
        <w:jc w:val="both"/>
        <w:rPr>
          <w:rFonts w:ascii="Times New Roman" w:hAnsi="Times New Roman" w:cs="Times New Roman"/>
          <w:sz w:val="24"/>
          <w:szCs w:val="24"/>
          <w:highlight w:val="yellow"/>
        </w:rPr>
      </w:pPr>
      <w:r w:rsidRPr="003767D2">
        <w:rPr>
          <w:rFonts w:ascii="Times New Roman" w:hAnsi="Times New Roman" w:cs="Times New Roman"/>
          <w:sz w:val="24"/>
          <w:szCs w:val="24"/>
          <w:highlight w:val="yellow"/>
        </w:rPr>
        <w:t xml:space="preserve">Mwangi TI, </w:t>
      </w:r>
      <w:proofErr w:type="spellStart"/>
      <w:r w:rsidRPr="003767D2">
        <w:rPr>
          <w:rFonts w:ascii="Times New Roman" w:hAnsi="Times New Roman" w:cs="Times New Roman"/>
          <w:sz w:val="24"/>
          <w:szCs w:val="24"/>
          <w:highlight w:val="yellow"/>
        </w:rPr>
        <w:t>Nguluu</w:t>
      </w:r>
      <w:proofErr w:type="spellEnd"/>
      <w:r w:rsidRPr="003767D2">
        <w:rPr>
          <w:rFonts w:ascii="Times New Roman" w:hAnsi="Times New Roman" w:cs="Times New Roman"/>
          <w:sz w:val="24"/>
          <w:szCs w:val="24"/>
          <w:highlight w:val="yellow"/>
        </w:rPr>
        <w:t xml:space="preserve"> S, </w:t>
      </w:r>
      <w:proofErr w:type="spellStart"/>
      <w:r w:rsidRPr="003767D2">
        <w:rPr>
          <w:rFonts w:ascii="Times New Roman" w:hAnsi="Times New Roman" w:cs="Times New Roman"/>
          <w:sz w:val="24"/>
          <w:szCs w:val="24"/>
          <w:highlight w:val="yellow"/>
        </w:rPr>
        <w:t>Akuja</w:t>
      </w:r>
      <w:proofErr w:type="spellEnd"/>
      <w:r w:rsidRPr="003767D2">
        <w:rPr>
          <w:rFonts w:ascii="Times New Roman" w:hAnsi="Times New Roman" w:cs="Times New Roman"/>
          <w:sz w:val="24"/>
          <w:szCs w:val="24"/>
          <w:highlight w:val="yellow"/>
        </w:rPr>
        <w:t xml:space="preserve"> TE. Effect of shade intensities on growth, biomass and grain yield of green grams (</w:t>
      </w:r>
      <w:proofErr w:type="spellStart"/>
      <w:r w:rsidRPr="003767D2">
        <w:rPr>
          <w:rFonts w:ascii="Times New Roman" w:hAnsi="Times New Roman" w:cs="Times New Roman"/>
          <w:sz w:val="24"/>
          <w:szCs w:val="24"/>
          <w:highlight w:val="yellow"/>
        </w:rPr>
        <w:t>vigna</w:t>
      </w:r>
      <w:proofErr w:type="spellEnd"/>
      <w:r w:rsidRPr="003767D2">
        <w:rPr>
          <w:rFonts w:ascii="Times New Roman" w:hAnsi="Times New Roman" w:cs="Times New Roman"/>
          <w:sz w:val="24"/>
          <w:szCs w:val="24"/>
          <w:highlight w:val="yellow"/>
        </w:rPr>
        <w:t xml:space="preserve"> radiata) and maize (</w:t>
      </w:r>
      <w:proofErr w:type="spellStart"/>
      <w:r w:rsidRPr="003767D2">
        <w:rPr>
          <w:rFonts w:ascii="Times New Roman" w:hAnsi="Times New Roman" w:cs="Times New Roman"/>
          <w:sz w:val="24"/>
          <w:szCs w:val="24"/>
          <w:highlight w:val="yellow"/>
        </w:rPr>
        <w:t>zea</w:t>
      </w:r>
      <w:proofErr w:type="spellEnd"/>
      <w:r w:rsidRPr="003767D2">
        <w:rPr>
          <w:rFonts w:ascii="Times New Roman" w:hAnsi="Times New Roman" w:cs="Times New Roman"/>
          <w:sz w:val="24"/>
          <w:szCs w:val="24"/>
          <w:highlight w:val="yellow"/>
        </w:rPr>
        <w:t xml:space="preserve"> mays) in Kitui County. East African Journal of Agriculture and Biotechnology. 2024 Mar 9;7(1):117-27.</w:t>
      </w:r>
    </w:p>
    <w:p w14:paraId="63685916" w14:textId="3DE6CA69" w:rsidR="000A6111" w:rsidRDefault="0093555C" w:rsidP="000B03D1">
      <w:pPr>
        <w:spacing w:before="120" w:after="0" w:line="360" w:lineRule="auto"/>
        <w:ind w:left="505"/>
        <w:jc w:val="both"/>
        <w:rPr>
          <w:rFonts w:ascii="Times New Roman" w:hAnsi="Times New Roman" w:cs="Times New Roman"/>
          <w:sz w:val="24"/>
          <w:szCs w:val="24"/>
          <w:highlight w:val="yellow"/>
        </w:rPr>
      </w:pPr>
      <w:r w:rsidRPr="003767D2">
        <w:rPr>
          <w:rFonts w:ascii="Times New Roman" w:hAnsi="Times New Roman" w:cs="Times New Roman"/>
          <w:sz w:val="24"/>
          <w:szCs w:val="24"/>
          <w:highlight w:val="yellow"/>
        </w:rPr>
        <w:t xml:space="preserve">Srivastava, </w:t>
      </w:r>
      <w:proofErr w:type="spellStart"/>
      <w:r w:rsidRPr="003767D2">
        <w:rPr>
          <w:rFonts w:ascii="Times New Roman" w:hAnsi="Times New Roman" w:cs="Times New Roman"/>
          <w:sz w:val="24"/>
          <w:szCs w:val="24"/>
          <w:highlight w:val="yellow"/>
        </w:rPr>
        <w:t>Mitali</w:t>
      </w:r>
      <w:proofErr w:type="spellEnd"/>
      <w:r w:rsidRPr="003767D2">
        <w:rPr>
          <w:rFonts w:ascii="Times New Roman" w:hAnsi="Times New Roman" w:cs="Times New Roman"/>
          <w:sz w:val="24"/>
          <w:szCs w:val="24"/>
          <w:highlight w:val="yellow"/>
        </w:rPr>
        <w:t xml:space="preserve">, </w:t>
      </w:r>
      <w:proofErr w:type="spellStart"/>
      <w:r w:rsidRPr="003767D2">
        <w:rPr>
          <w:rFonts w:ascii="Times New Roman" w:hAnsi="Times New Roman" w:cs="Times New Roman"/>
          <w:sz w:val="24"/>
          <w:szCs w:val="24"/>
          <w:highlight w:val="yellow"/>
        </w:rPr>
        <w:t>Manojkumar</w:t>
      </w:r>
      <w:proofErr w:type="spellEnd"/>
      <w:r w:rsidRPr="003767D2">
        <w:rPr>
          <w:rFonts w:ascii="Times New Roman" w:hAnsi="Times New Roman" w:cs="Times New Roman"/>
          <w:sz w:val="24"/>
          <w:szCs w:val="24"/>
          <w:highlight w:val="yellow"/>
        </w:rPr>
        <w:t xml:space="preserve"> H. G., and </w:t>
      </w:r>
      <w:proofErr w:type="spellStart"/>
      <w:r w:rsidRPr="003767D2">
        <w:rPr>
          <w:rFonts w:ascii="Times New Roman" w:hAnsi="Times New Roman" w:cs="Times New Roman"/>
          <w:sz w:val="24"/>
          <w:szCs w:val="24"/>
          <w:highlight w:val="yellow"/>
        </w:rPr>
        <w:t>Atar</w:t>
      </w:r>
      <w:proofErr w:type="spellEnd"/>
      <w:r w:rsidRPr="003767D2">
        <w:rPr>
          <w:rFonts w:ascii="Times New Roman" w:hAnsi="Times New Roman" w:cs="Times New Roman"/>
          <w:sz w:val="24"/>
          <w:szCs w:val="24"/>
          <w:highlight w:val="yellow"/>
        </w:rPr>
        <w:t xml:space="preserve"> Singh. 2024. “Assessment of Correlation and Path Analysis for Seed Yield and Its Component Characters in </w:t>
      </w:r>
      <w:proofErr w:type="spellStart"/>
      <w:r w:rsidRPr="003767D2">
        <w:rPr>
          <w:rFonts w:ascii="Times New Roman" w:hAnsi="Times New Roman" w:cs="Times New Roman"/>
          <w:sz w:val="24"/>
          <w:szCs w:val="24"/>
          <w:highlight w:val="yellow"/>
        </w:rPr>
        <w:t>Greengram</w:t>
      </w:r>
      <w:proofErr w:type="spellEnd"/>
      <w:r w:rsidRPr="003767D2">
        <w:rPr>
          <w:rFonts w:ascii="Times New Roman" w:hAnsi="Times New Roman" w:cs="Times New Roman"/>
          <w:sz w:val="24"/>
          <w:szCs w:val="24"/>
          <w:highlight w:val="yellow"/>
        </w:rPr>
        <w:t xml:space="preserve"> [Vigna Radiata (L.) </w:t>
      </w:r>
      <w:proofErr w:type="spellStart"/>
      <w:r w:rsidRPr="003767D2">
        <w:rPr>
          <w:rFonts w:ascii="Times New Roman" w:hAnsi="Times New Roman" w:cs="Times New Roman"/>
          <w:sz w:val="24"/>
          <w:szCs w:val="24"/>
          <w:highlight w:val="yellow"/>
        </w:rPr>
        <w:t>Wilczek</w:t>
      </w:r>
      <w:proofErr w:type="spellEnd"/>
      <w:r w:rsidRPr="003767D2">
        <w:rPr>
          <w:rFonts w:ascii="Times New Roman" w:hAnsi="Times New Roman" w:cs="Times New Roman"/>
          <w:sz w:val="24"/>
          <w:szCs w:val="24"/>
          <w:highlight w:val="yellow"/>
        </w:rPr>
        <w:t xml:space="preserve">]”. International Journal of Plant &amp; Soil Science 36 (5):402-11. </w:t>
      </w:r>
      <w:hyperlink r:id="rId28" w:history="1">
        <w:r w:rsidR="006D10D1" w:rsidRPr="003767D2">
          <w:rPr>
            <w:rStyle w:val="Hyperlink"/>
            <w:highlight w:val="yellow"/>
          </w:rPr>
          <w:t>https://doi.org/10.9734/ijpss/2024/v36i54537</w:t>
        </w:r>
      </w:hyperlink>
      <w:r w:rsidRPr="003767D2">
        <w:rPr>
          <w:rFonts w:ascii="Times New Roman" w:hAnsi="Times New Roman" w:cs="Times New Roman"/>
          <w:sz w:val="24"/>
          <w:szCs w:val="24"/>
          <w:highlight w:val="yellow"/>
        </w:rPr>
        <w:t>.</w:t>
      </w:r>
    </w:p>
    <w:p w14:paraId="1CFFDF2A" w14:textId="3F68F6D0" w:rsidR="006D10D1" w:rsidRPr="003767D2" w:rsidRDefault="006D10D1" w:rsidP="003767D2">
      <w:pPr>
        <w:spacing w:before="120" w:after="0" w:line="360" w:lineRule="auto"/>
        <w:ind w:left="505"/>
        <w:jc w:val="both"/>
        <w:rPr>
          <w:rFonts w:ascii="Times New Roman" w:hAnsi="Times New Roman" w:cs="Times New Roman"/>
          <w:sz w:val="24"/>
          <w:szCs w:val="24"/>
          <w:highlight w:val="yellow"/>
        </w:rPr>
      </w:pPr>
      <w:r>
        <w:rPr>
          <w:rFonts w:ascii="Times New Roman" w:hAnsi="Times New Roman" w:cs="Times New Roman"/>
          <w:sz w:val="24"/>
          <w:szCs w:val="24"/>
        </w:rPr>
        <w:t xml:space="preserve">31. </w:t>
      </w:r>
      <w:r w:rsidRPr="006D10D1">
        <w:rPr>
          <w:rFonts w:ascii="Times New Roman" w:hAnsi="Times New Roman" w:cs="Times New Roman"/>
          <w:sz w:val="24"/>
          <w:szCs w:val="24"/>
        </w:rPr>
        <w:t xml:space="preserve">Patra SK, Poddar R, Sarkar A, Sen A, Sengupta S, Kundu R, Saha S. Irrigation scheduling and nutrient management in green gram cultivation: an evaluation of yield </w:t>
      </w:r>
      <w:r w:rsidRPr="006D10D1">
        <w:rPr>
          <w:rFonts w:ascii="Times New Roman" w:hAnsi="Times New Roman" w:cs="Times New Roman"/>
          <w:sz w:val="24"/>
          <w:szCs w:val="24"/>
        </w:rPr>
        <w:lastRenderedPageBreak/>
        <w:t>and water productivity, soil water-nutrient dynamics, energy budgeting and profitability. International Journal of Plant Production. 2024 Sep;18(3):349-67.</w:t>
      </w:r>
    </w:p>
    <w:sectPr w:rsidR="006D10D1" w:rsidRPr="003767D2" w:rsidSect="00AE0F5D">
      <w:headerReference w:type="even" r:id="rId29"/>
      <w:headerReference w:type="default" r:id="rId30"/>
      <w:footerReference w:type="even" r:id="rId31"/>
      <w:footerReference w:type="default" r:id="rId32"/>
      <w:headerReference w:type="first" r:id="rId33"/>
      <w:footerReference w:type="first" r:id="rId3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FB4E5" w14:textId="77777777" w:rsidR="00767B56" w:rsidRDefault="00767B56" w:rsidP="000155FB">
      <w:pPr>
        <w:spacing w:after="0" w:line="240" w:lineRule="auto"/>
      </w:pPr>
      <w:r>
        <w:separator/>
      </w:r>
    </w:p>
  </w:endnote>
  <w:endnote w:type="continuationSeparator" w:id="0">
    <w:p w14:paraId="5C1057CC" w14:textId="77777777" w:rsidR="00767B56" w:rsidRDefault="00767B56" w:rsidP="00015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9879" w14:textId="77777777" w:rsidR="000155FB" w:rsidRDefault="00015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2C56D" w14:textId="77777777" w:rsidR="000155FB" w:rsidRDefault="00015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6E223" w14:textId="77777777" w:rsidR="000155FB" w:rsidRDefault="00015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F426C" w14:textId="77777777" w:rsidR="00767B56" w:rsidRDefault="00767B56" w:rsidP="000155FB">
      <w:pPr>
        <w:spacing w:after="0" w:line="240" w:lineRule="auto"/>
      </w:pPr>
      <w:r>
        <w:separator/>
      </w:r>
    </w:p>
  </w:footnote>
  <w:footnote w:type="continuationSeparator" w:id="0">
    <w:p w14:paraId="0BF00D54" w14:textId="77777777" w:rsidR="00767B56" w:rsidRDefault="00767B56" w:rsidP="00015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E640B" w14:textId="4FFFC92E" w:rsidR="000155FB" w:rsidRDefault="00767B56">
    <w:pPr>
      <w:pStyle w:val="Header"/>
    </w:pPr>
    <w:r>
      <w:rPr>
        <w:noProof/>
      </w:rPr>
      <w:pict w14:anchorId="3A75B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575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C58C4" w14:textId="4D05FBA5" w:rsidR="000155FB" w:rsidRDefault="00767B56">
    <w:pPr>
      <w:pStyle w:val="Header"/>
    </w:pPr>
    <w:r>
      <w:rPr>
        <w:noProof/>
      </w:rPr>
      <w:pict w14:anchorId="0606C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575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14D0" w14:textId="669F6021" w:rsidR="000155FB" w:rsidRDefault="00767B56">
    <w:pPr>
      <w:pStyle w:val="Header"/>
    </w:pPr>
    <w:r>
      <w:rPr>
        <w:noProof/>
      </w:rPr>
      <w:pict w14:anchorId="3C3F6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575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E3B4E"/>
    <w:multiLevelType w:val="hybridMultilevel"/>
    <w:tmpl w:val="9E3E26C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15:restartNumberingAfterBreak="0">
    <w:nsid w:val="19173595"/>
    <w:multiLevelType w:val="hybridMultilevel"/>
    <w:tmpl w:val="145A4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0E2821"/>
    <w:multiLevelType w:val="hybridMultilevel"/>
    <w:tmpl w:val="84DA1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716CA"/>
    <w:multiLevelType w:val="hybridMultilevel"/>
    <w:tmpl w:val="CBA27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GzNDKxNDE2NjQytDRR0lEKTi0uzszPAykwqQUA+iRDDSwAAAA="/>
  </w:docVars>
  <w:rsids>
    <w:rsidRoot w:val="007B3724"/>
    <w:rsid w:val="000155FB"/>
    <w:rsid w:val="0002095D"/>
    <w:rsid w:val="000768C1"/>
    <w:rsid w:val="000A6111"/>
    <w:rsid w:val="000B03D1"/>
    <w:rsid w:val="000B23CA"/>
    <w:rsid w:val="000D5289"/>
    <w:rsid w:val="000E46B7"/>
    <w:rsid w:val="00102A62"/>
    <w:rsid w:val="00131BC5"/>
    <w:rsid w:val="0013676E"/>
    <w:rsid w:val="001514B2"/>
    <w:rsid w:val="0019104C"/>
    <w:rsid w:val="001934D8"/>
    <w:rsid w:val="0019630A"/>
    <w:rsid w:val="001B3FAE"/>
    <w:rsid w:val="001E73A0"/>
    <w:rsid w:val="00223DF6"/>
    <w:rsid w:val="00245B48"/>
    <w:rsid w:val="00245D42"/>
    <w:rsid w:val="002C3CBF"/>
    <w:rsid w:val="002E5D0E"/>
    <w:rsid w:val="002E67B5"/>
    <w:rsid w:val="002F330E"/>
    <w:rsid w:val="003346A5"/>
    <w:rsid w:val="003767D2"/>
    <w:rsid w:val="00395039"/>
    <w:rsid w:val="003B12A5"/>
    <w:rsid w:val="003E271E"/>
    <w:rsid w:val="003F4897"/>
    <w:rsid w:val="004041D1"/>
    <w:rsid w:val="00454D88"/>
    <w:rsid w:val="004E2090"/>
    <w:rsid w:val="004E7359"/>
    <w:rsid w:val="004F23E7"/>
    <w:rsid w:val="005428F8"/>
    <w:rsid w:val="005843B8"/>
    <w:rsid w:val="005A309B"/>
    <w:rsid w:val="005B6478"/>
    <w:rsid w:val="0064630F"/>
    <w:rsid w:val="00676E80"/>
    <w:rsid w:val="00681C04"/>
    <w:rsid w:val="006973DA"/>
    <w:rsid w:val="006D10D1"/>
    <w:rsid w:val="007435B4"/>
    <w:rsid w:val="00761ADE"/>
    <w:rsid w:val="00767B56"/>
    <w:rsid w:val="007B3724"/>
    <w:rsid w:val="007D2F2B"/>
    <w:rsid w:val="008214DA"/>
    <w:rsid w:val="00841A3C"/>
    <w:rsid w:val="008444CE"/>
    <w:rsid w:val="00844B17"/>
    <w:rsid w:val="00873F3B"/>
    <w:rsid w:val="00875690"/>
    <w:rsid w:val="0089176C"/>
    <w:rsid w:val="008A4A57"/>
    <w:rsid w:val="008A7C8B"/>
    <w:rsid w:val="009203A8"/>
    <w:rsid w:val="00931896"/>
    <w:rsid w:val="0093555C"/>
    <w:rsid w:val="009446AB"/>
    <w:rsid w:val="009737A1"/>
    <w:rsid w:val="00984CB1"/>
    <w:rsid w:val="009A1243"/>
    <w:rsid w:val="009A239A"/>
    <w:rsid w:val="009B3A5E"/>
    <w:rsid w:val="009B5796"/>
    <w:rsid w:val="009E00CC"/>
    <w:rsid w:val="009E79B9"/>
    <w:rsid w:val="00A62B3A"/>
    <w:rsid w:val="00A85A1C"/>
    <w:rsid w:val="00AB01F1"/>
    <w:rsid w:val="00AE0EFF"/>
    <w:rsid w:val="00AE0F5D"/>
    <w:rsid w:val="00AF692C"/>
    <w:rsid w:val="00B22EBD"/>
    <w:rsid w:val="00B35B6D"/>
    <w:rsid w:val="00B37D8E"/>
    <w:rsid w:val="00B469EA"/>
    <w:rsid w:val="00B82B7F"/>
    <w:rsid w:val="00B97F3F"/>
    <w:rsid w:val="00BA03DA"/>
    <w:rsid w:val="00BE2389"/>
    <w:rsid w:val="00BF127D"/>
    <w:rsid w:val="00C151AF"/>
    <w:rsid w:val="00C30C94"/>
    <w:rsid w:val="00C422E0"/>
    <w:rsid w:val="00C82D31"/>
    <w:rsid w:val="00CC2108"/>
    <w:rsid w:val="00CC38F3"/>
    <w:rsid w:val="00CF1AF1"/>
    <w:rsid w:val="00D07487"/>
    <w:rsid w:val="00D50FB2"/>
    <w:rsid w:val="00D56363"/>
    <w:rsid w:val="00D63224"/>
    <w:rsid w:val="00D70D68"/>
    <w:rsid w:val="00D94D1E"/>
    <w:rsid w:val="00D97B07"/>
    <w:rsid w:val="00DC3A37"/>
    <w:rsid w:val="00DC55A2"/>
    <w:rsid w:val="00DF5897"/>
    <w:rsid w:val="00E26252"/>
    <w:rsid w:val="00E429F8"/>
    <w:rsid w:val="00EA2D24"/>
    <w:rsid w:val="00EB2583"/>
    <w:rsid w:val="00EE13D8"/>
    <w:rsid w:val="00F15221"/>
    <w:rsid w:val="00F500B0"/>
    <w:rsid w:val="00F5547F"/>
    <w:rsid w:val="00F65A6A"/>
    <w:rsid w:val="00F674B1"/>
    <w:rsid w:val="00F71491"/>
    <w:rsid w:val="00F85A74"/>
    <w:rsid w:val="00F97514"/>
    <w:rsid w:val="00FA05FC"/>
    <w:rsid w:val="00FA522A"/>
    <w:rsid w:val="00FD50FF"/>
    <w:rsid w:val="00FE33CD"/>
    <w:rsid w:val="00FE6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9"/>
      </o:rules>
    </o:shapelayout>
  </w:shapeDefaults>
  <w:decimalSymbol w:val="."/>
  <w:listSeparator w:val=","/>
  <w14:docId w14:val="75522389"/>
  <w15:docId w15:val="{EE2AD38E-56FE-4E51-879F-18E6E3C2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3B8"/>
  </w:style>
  <w:style w:type="paragraph" w:styleId="Heading1">
    <w:name w:val="heading 1"/>
    <w:basedOn w:val="Normal"/>
    <w:link w:val="Heading1Char"/>
    <w:uiPriority w:val="9"/>
    <w:qFormat/>
    <w:rsid w:val="008A4A5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724"/>
    <w:pPr>
      <w:ind w:left="720"/>
      <w:contextualSpacing/>
    </w:pPr>
    <w:rPr>
      <w:rFonts w:eastAsiaTheme="minorHAnsi"/>
    </w:rPr>
  </w:style>
  <w:style w:type="table" w:styleId="TableGrid">
    <w:name w:val="Table Grid"/>
    <w:basedOn w:val="TableNormal"/>
    <w:uiPriority w:val="59"/>
    <w:rsid w:val="00C422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A4A57"/>
    <w:rPr>
      <w:rFonts w:ascii="Times New Roman" w:eastAsia="Times New Roman" w:hAnsi="Times New Roman" w:cs="Times New Roman"/>
      <w:b/>
      <w:bCs/>
      <w:kern w:val="36"/>
      <w:sz w:val="48"/>
      <w:szCs w:val="48"/>
    </w:rPr>
  </w:style>
  <w:style w:type="character" w:customStyle="1" w:styleId="heading">
    <w:name w:val="heading"/>
    <w:basedOn w:val="DefaultParagraphFont"/>
    <w:rsid w:val="008A4A57"/>
  </w:style>
  <w:style w:type="character" w:styleId="Hyperlink">
    <w:name w:val="Hyperlink"/>
    <w:basedOn w:val="DefaultParagraphFont"/>
    <w:uiPriority w:val="99"/>
    <w:unhideWhenUsed/>
    <w:rsid w:val="008A4A57"/>
    <w:rPr>
      <w:color w:val="0000FF"/>
      <w:u w:val="single"/>
    </w:rPr>
  </w:style>
  <w:style w:type="character" w:styleId="Emphasis">
    <w:name w:val="Emphasis"/>
    <w:basedOn w:val="DefaultParagraphFont"/>
    <w:uiPriority w:val="20"/>
    <w:qFormat/>
    <w:rsid w:val="004E7359"/>
    <w:rPr>
      <w:i/>
      <w:iCs/>
    </w:rPr>
  </w:style>
  <w:style w:type="character" w:styleId="UnresolvedMention">
    <w:name w:val="Unresolved Mention"/>
    <w:basedOn w:val="DefaultParagraphFont"/>
    <w:uiPriority w:val="99"/>
    <w:semiHidden/>
    <w:unhideWhenUsed/>
    <w:rsid w:val="00D70D68"/>
    <w:rPr>
      <w:color w:val="605E5C"/>
      <w:shd w:val="clear" w:color="auto" w:fill="E1DFDD"/>
    </w:rPr>
  </w:style>
  <w:style w:type="paragraph" w:styleId="Header">
    <w:name w:val="header"/>
    <w:basedOn w:val="Normal"/>
    <w:link w:val="HeaderChar"/>
    <w:uiPriority w:val="99"/>
    <w:unhideWhenUsed/>
    <w:rsid w:val="00015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5FB"/>
  </w:style>
  <w:style w:type="paragraph" w:styleId="Footer">
    <w:name w:val="footer"/>
    <w:basedOn w:val="Normal"/>
    <w:link w:val="FooterChar"/>
    <w:uiPriority w:val="99"/>
    <w:unhideWhenUsed/>
    <w:rsid w:val="00015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5FB"/>
  </w:style>
  <w:style w:type="paragraph" w:styleId="Revision">
    <w:name w:val="Revision"/>
    <w:hidden/>
    <w:uiPriority w:val="99"/>
    <w:semiHidden/>
    <w:rsid w:val="003346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90697">
      <w:bodyDiv w:val="1"/>
      <w:marLeft w:val="0"/>
      <w:marRight w:val="0"/>
      <w:marTop w:val="0"/>
      <w:marBottom w:val="0"/>
      <w:divBdr>
        <w:top w:val="none" w:sz="0" w:space="0" w:color="auto"/>
        <w:left w:val="none" w:sz="0" w:space="0" w:color="auto"/>
        <w:bottom w:val="none" w:sz="0" w:space="0" w:color="auto"/>
        <w:right w:val="none" w:sz="0" w:space="0" w:color="auto"/>
      </w:divBdr>
      <w:divsChild>
        <w:div w:id="1559976252">
          <w:marLeft w:val="0"/>
          <w:marRight w:val="0"/>
          <w:marTop w:val="0"/>
          <w:marBottom w:val="0"/>
          <w:divBdr>
            <w:top w:val="none" w:sz="0" w:space="0" w:color="auto"/>
            <w:left w:val="none" w:sz="0" w:space="0" w:color="auto"/>
            <w:bottom w:val="none" w:sz="0" w:space="0" w:color="auto"/>
            <w:right w:val="none" w:sz="0" w:space="0" w:color="auto"/>
          </w:divBdr>
          <w:divsChild>
            <w:div w:id="1454976571">
              <w:marLeft w:val="0"/>
              <w:marRight w:val="0"/>
              <w:marTop w:val="0"/>
              <w:marBottom w:val="0"/>
              <w:divBdr>
                <w:top w:val="none" w:sz="0" w:space="0" w:color="auto"/>
                <w:left w:val="none" w:sz="0" w:space="0" w:color="auto"/>
                <w:bottom w:val="none" w:sz="0" w:space="0" w:color="auto"/>
                <w:right w:val="none" w:sz="0" w:space="0" w:color="auto"/>
              </w:divBdr>
              <w:divsChild>
                <w:div w:id="431323670">
                  <w:marLeft w:val="0"/>
                  <w:marRight w:val="0"/>
                  <w:marTop w:val="0"/>
                  <w:marBottom w:val="0"/>
                  <w:divBdr>
                    <w:top w:val="none" w:sz="0" w:space="0" w:color="auto"/>
                    <w:left w:val="none" w:sz="0" w:space="0" w:color="auto"/>
                    <w:bottom w:val="none" w:sz="0" w:space="0" w:color="auto"/>
                    <w:right w:val="none" w:sz="0" w:space="0" w:color="auto"/>
                  </w:divBdr>
                  <w:divsChild>
                    <w:div w:id="16688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9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54373">
      <w:bodyDiv w:val="1"/>
      <w:marLeft w:val="0"/>
      <w:marRight w:val="0"/>
      <w:marTop w:val="0"/>
      <w:marBottom w:val="0"/>
      <w:divBdr>
        <w:top w:val="none" w:sz="0" w:space="0" w:color="auto"/>
        <w:left w:val="none" w:sz="0" w:space="0" w:color="auto"/>
        <w:bottom w:val="none" w:sz="0" w:space="0" w:color="auto"/>
        <w:right w:val="none" w:sz="0" w:space="0" w:color="auto"/>
      </w:divBdr>
    </w:div>
    <w:div w:id="553660546">
      <w:bodyDiv w:val="1"/>
      <w:marLeft w:val="0"/>
      <w:marRight w:val="0"/>
      <w:marTop w:val="0"/>
      <w:marBottom w:val="0"/>
      <w:divBdr>
        <w:top w:val="none" w:sz="0" w:space="0" w:color="auto"/>
        <w:left w:val="none" w:sz="0" w:space="0" w:color="auto"/>
        <w:bottom w:val="none" w:sz="0" w:space="0" w:color="auto"/>
        <w:right w:val="none" w:sz="0" w:space="0" w:color="auto"/>
      </w:divBdr>
      <w:divsChild>
        <w:div w:id="1823885441">
          <w:marLeft w:val="0"/>
          <w:marRight w:val="0"/>
          <w:marTop w:val="0"/>
          <w:marBottom w:val="0"/>
          <w:divBdr>
            <w:top w:val="none" w:sz="0" w:space="0" w:color="auto"/>
            <w:left w:val="none" w:sz="0" w:space="0" w:color="auto"/>
            <w:bottom w:val="none" w:sz="0" w:space="0" w:color="auto"/>
            <w:right w:val="none" w:sz="0" w:space="0" w:color="auto"/>
          </w:divBdr>
          <w:divsChild>
            <w:div w:id="62531422">
              <w:marLeft w:val="0"/>
              <w:marRight w:val="0"/>
              <w:marTop w:val="0"/>
              <w:marBottom w:val="0"/>
              <w:divBdr>
                <w:top w:val="none" w:sz="0" w:space="0" w:color="auto"/>
                <w:left w:val="none" w:sz="0" w:space="0" w:color="auto"/>
                <w:bottom w:val="none" w:sz="0" w:space="0" w:color="auto"/>
                <w:right w:val="none" w:sz="0" w:space="0" w:color="auto"/>
              </w:divBdr>
              <w:divsChild>
                <w:div w:id="48457572">
                  <w:marLeft w:val="0"/>
                  <w:marRight w:val="0"/>
                  <w:marTop w:val="0"/>
                  <w:marBottom w:val="0"/>
                  <w:divBdr>
                    <w:top w:val="none" w:sz="0" w:space="0" w:color="auto"/>
                    <w:left w:val="none" w:sz="0" w:space="0" w:color="auto"/>
                    <w:bottom w:val="none" w:sz="0" w:space="0" w:color="auto"/>
                    <w:right w:val="none" w:sz="0" w:space="0" w:color="auto"/>
                  </w:divBdr>
                  <w:divsChild>
                    <w:div w:id="8632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9920">
      <w:bodyDiv w:val="1"/>
      <w:marLeft w:val="0"/>
      <w:marRight w:val="0"/>
      <w:marTop w:val="0"/>
      <w:marBottom w:val="0"/>
      <w:divBdr>
        <w:top w:val="none" w:sz="0" w:space="0" w:color="auto"/>
        <w:left w:val="none" w:sz="0" w:space="0" w:color="auto"/>
        <w:bottom w:val="none" w:sz="0" w:space="0" w:color="auto"/>
        <w:right w:val="none" w:sz="0" w:space="0" w:color="auto"/>
      </w:divBdr>
    </w:div>
    <w:div w:id="1233465018">
      <w:bodyDiv w:val="1"/>
      <w:marLeft w:val="0"/>
      <w:marRight w:val="0"/>
      <w:marTop w:val="0"/>
      <w:marBottom w:val="0"/>
      <w:divBdr>
        <w:top w:val="none" w:sz="0" w:space="0" w:color="auto"/>
        <w:left w:val="none" w:sz="0" w:space="0" w:color="auto"/>
        <w:bottom w:val="none" w:sz="0" w:space="0" w:color="auto"/>
        <w:right w:val="none" w:sz="0" w:space="0" w:color="auto"/>
      </w:divBdr>
      <w:divsChild>
        <w:div w:id="342783888">
          <w:marLeft w:val="0"/>
          <w:marRight w:val="0"/>
          <w:marTop w:val="0"/>
          <w:marBottom w:val="0"/>
          <w:divBdr>
            <w:top w:val="none" w:sz="0" w:space="0" w:color="auto"/>
            <w:left w:val="none" w:sz="0" w:space="0" w:color="auto"/>
            <w:bottom w:val="none" w:sz="0" w:space="0" w:color="auto"/>
            <w:right w:val="none" w:sz="0" w:space="0" w:color="auto"/>
          </w:divBdr>
        </w:div>
        <w:div w:id="92435466">
          <w:marLeft w:val="0"/>
          <w:marRight w:val="0"/>
          <w:marTop w:val="0"/>
          <w:marBottom w:val="0"/>
          <w:divBdr>
            <w:top w:val="none" w:sz="0" w:space="0" w:color="auto"/>
            <w:left w:val="none" w:sz="0" w:space="0" w:color="auto"/>
            <w:bottom w:val="none" w:sz="0" w:space="0" w:color="auto"/>
            <w:right w:val="none" w:sz="0" w:space="0" w:color="auto"/>
          </w:divBdr>
          <w:divsChild>
            <w:div w:id="1796439884">
              <w:marLeft w:val="0"/>
              <w:marRight w:val="0"/>
              <w:marTop w:val="0"/>
              <w:marBottom w:val="0"/>
              <w:divBdr>
                <w:top w:val="none" w:sz="0" w:space="0" w:color="auto"/>
                <w:left w:val="none" w:sz="0" w:space="0" w:color="auto"/>
                <w:bottom w:val="none" w:sz="0" w:space="0" w:color="auto"/>
                <w:right w:val="none" w:sz="0" w:space="0" w:color="auto"/>
              </w:divBdr>
            </w:div>
            <w:div w:id="878084092">
              <w:marLeft w:val="0"/>
              <w:marRight w:val="0"/>
              <w:marTop w:val="0"/>
              <w:marBottom w:val="0"/>
              <w:divBdr>
                <w:top w:val="none" w:sz="0" w:space="0" w:color="auto"/>
                <w:left w:val="none" w:sz="0" w:space="0" w:color="auto"/>
                <w:bottom w:val="none" w:sz="0" w:space="0" w:color="auto"/>
                <w:right w:val="none" w:sz="0" w:space="0" w:color="auto"/>
              </w:divBdr>
            </w:div>
            <w:div w:id="215818610">
              <w:marLeft w:val="0"/>
              <w:marRight w:val="0"/>
              <w:marTop w:val="0"/>
              <w:marBottom w:val="0"/>
              <w:divBdr>
                <w:top w:val="none" w:sz="0" w:space="0" w:color="auto"/>
                <w:left w:val="none" w:sz="0" w:space="0" w:color="auto"/>
                <w:bottom w:val="none" w:sz="0" w:space="0" w:color="auto"/>
                <w:right w:val="none" w:sz="0" w:space="0" w:color="auto"/>
              </w:divBdr>
            </w:div>
            <w:div w:id="3915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7330">
      <w:bodyDiv w:val="1"/>
      <w:marLeft w:val="0"/>
      <w:marRight w:val="0"/>
      <w:marTop w:val="0"/>
      <w:marBottom w:val="0"/>
      <w:divBdr>
        <w:top w:val="none" w:sz="0" w:space="0" w:color="auto"/>
        <w:left w:val="none" w:sz="0" w:space="0" w:color="auto"/>
        <w:bottom w:val="none" w:sz="0" w:space="0" w:color="auto"/>
        <w:right w:val="none" w:sz="0" w:space="0" w:color="auto"/>
      </w:divBdr>
    </w:div>
    <w:div w:id="1299451957">
      <w:bodyDiv w:val="1"/>
      <w:marLeft w:val="0"/>
      <w:marRight w:val="0"/>
      <w:marTop w:val="0"/>
      <w:marBottom w:val="0"/>
      <w:divBdr>
        <w:top w:val="none" w:sz="0" w:space="0" w:color="auto"/>
        <w:left w:val="none" w:sz="0" w:space="0" w:color="auto"/>
        <w:bottom w:val="none" w:sz="0" w:space="0" w:color="auto"/>
        <w:right w:val="none" w:sz="0" w:space="0" w:color="auto"/>
      </w:divBdr>
      <w:divsChild>
        <w:div w:id="697388505">
          <w:marLeft w:val="0"/>
          <w:marRight w:val="0"/>
          <w:marTop w:val="0"/>
          <w:marBottom w:val="0"/>
          <w:divBdr>
            <w:top w:val="none" w:sz="0" w:space="0" w:color="auto"/>
            <w:left w:val="none" w:sz="0" w:space="0" w:color="auto"/>
            <w:bottom w:val="none" w:sz="0" w:space="0" w:color="auto"/>
            <w:right w:val="none" w:sz="0" w:space="0" w:color="auto"/>
          </w:divBdr>
          <w:divsChild>
            <w:div w:id="1140272919">
              <w:marLeft w:val="0"/>
              <w:marRight w:val="0"/>
              <w:marTop w:val="0"/>
              <w:marBottom w:val="0"/>
              <w:divBdr>
                <w:top w:val="none" w:sz="0" w:space="0" w:color="auto"/>
                <w:left w:val="none" w:sz="0" w:space="0" w:color="auto"/>
                <w:bottom w:val="none" w:sz="0" w:space="0" w:color="auto"/>
                <w:right w:val="none" w:sz="0" w:space="0" w:color="auto"/>
              </w:divBdr>
            </w:div>
          </w:divsChild>
        </w:div>
        <w:div w:id="237785103">
          <w:marLeft w:val="0"/>
          <w:marRight w:val="0"/>
          <w:marTop w:val="0"/>
          <w:marBottom w:val="0"/>
          <w:divBdr>
            <w:top w:val="none" w:sz="0" w:space="0" w:color="auto"/>
            <w:left w:val="none" w:sz="0" w:space="0" w:color="auto"/>
            <w:bottom w:val="none" w:sz="0" w:space="0" w:color="auto"/>
            <w:right w:val="none" w:sz="0" w:space="0" w:color="auto"/>
          </w:divBdr>
          <w:divsChild>
            <w:div w:id="284654615">
              <w:marLeft w:val="0"/>
              <w:marRight w:val="0"/>
              <w:marTop w:val="0"/>
              <w:marBottom w:val="0"/>
              <w:divBdr>
                <w:top w:val="none" w:sz="0" w:space="0" w:color="auto"/>
                <w:left w:val="none" w:sz="0" w:space="0" w:color="auto"/>
                <w:bottom w:val="none" w:sz="0" w:space="0" w:color="auto"/>
                <w:right w:val="none" w:sz="0" w:space="0" w:color="auto"/>
              </w:divBdr>
            </w:div>
            <w:div w:id="977488958">
              <w:marLeft w:val="0"/>
              <w:marRight w:val="0"/>
              <w:marTop w:val="0"/>
              <w:marBottom w:val="0"/>
              <w:divBdr>
                <w:top w:val="none" w:sz="0" w:space="0" w:color="auto"/>
                <w:left w:val="none" w:sz="0" w:space="0" w:color="auto"/>
                <w:bottom w:val="none" w:sz="0" w:space="0" w:color="auto"/>
                <w:right w:val="none" w:sz="0" w:space="0" w:color="auto"/>
              </w:divBdr>
            </w:div>
          </w:divsChild>
        </w:div>
        <w:div w:id="1175924564">
          <w:marLeft w:val="0"/>
          <w:marRight w:val="0"/>
          <w:marTop w:val="0"/>
          <w:marBottom w:val="0"/>
          <w:divBdr>
            <w:top w:val="none" w:sz="0" w:space="0" w:color="auto"/>
            <w:left w:val="none" w:sz="0" w:space="0" w:color="auto"/>
            <w:bottom w:val="none" w:sz="0" w:space="0" w:color="auto"/>
            <w:right w:val="none" w:sz="0" w:space="0" w:color="auto"/>
          </w:divBdr>
          <w:divsChild>
            <w:div w:id="1842697244">
              <w:marLeft w:val="0"/>
              <w:marRight w:val="0"/>
              <w:marTop w:val="0"/>
              <w:marBottom w:val="0"/>
              <w:divBdr>
                <w:top w:val="none" w:sz="0" w:space="0" w:color="auto"/>
                <w:left w:val="none" w:sz="0" w:space="0" w:color="auto"/>
                <w:bottom w:val="none" w:sz="0" w:space="0" w:color="auto"/>
                <w:right w:val="none" w:sz="0" w:space="0" w:color="auto"/>
              </w:divBdr>
            </w:div>
            <w:div w:id="1262106036">
              <w:marLeft w:val="0"/>
              <w:marRight w:val="0"/>
              <w:marTop w:val="0"/>
              <w:marBottom w:val="0"/>
              <w:divBdr>
                <w:top w:val="none" w:sz="0" w:space="0" w:color="auto"/>
                <w:left w:val="none" w:sz="0" w:space="0" w:color="auto"/>
                <w:bottom w:val="none" w:sz="0" w:space="0" w:color="auto"/>
                <w:right w:val="none" w:sz="0" w:space="0" w:color="auto"/>
              </w:divBdr>
            </w:div>
          </w:divsChild>
        </w:div>
        <w:div w:id="1665859806">
          <w:marLeft w:val="0"/>
          <w:marRight w:val="0"/>
          <w:marTop w:val="0"/>
          <w:marBottom w:val="0"/>
          <w:divBdr>
            <w:top w:val="none" w:sz="0" w:space="0" w:color="auto"/>
            <w:left w:val="none" w:sz="0" w:space="0" w:color="auto"/>
            <w:bottom w:val="none" w:sz="0" w:space="0" w:color="auto"/>
            <w:right w:val="none" w:sz="0" w:space="0" w:color="auto"/>
          </w:divBdr>
          <w:divsChild>
            <w:div w:id="949822495">
              <w:marLeft w:val="0"/>
              <w:marRight w:val="0"/>
              <w:marTop w:val="0"/>
              <w:marBottom w:val="0"/>
              <w:divBdr>
                <w:top w:val="none" w:sz="0" w:space="0" w:color="auto"/>
                <w:left w:val="none" w:sz="0" w:space="0" w:color="auto"/>
                <w:bottom w:val="none" w:sz="0" w:space="0" w:color="auto"/>
                <w:right w:val="none" w:sz="0" w:space="0" w:color="auto"/>
              </w:divBdr>
            </w:div>
            <w:div w:id="15864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62070">
      <w:bodyDiv w:val="1"/>
      <w:marLeft w:val="0"/>
      <w:marRight w:val="0"/>
      <w:marTop w:val="0"/>
      <w:marBottom w:val="0"/>
      <w:divBdr>
        <w:top w:val="none" w:sz="0" w:space="0" w:color="auto"/>
        <w:left w:val="none" w:sz="0" w:space="0" w:color="auto"/>
        <w:bottom w:val="none" w:sz="0" w:space="0" w:color="auto"/>
        <w:right w:val="none" w:sz="0" w:space="0" w:color="auto"/>
      </w:divBdr>
    </w:div>
    <w:div w:id="1933928009">
      <w:bodyDiv w:val="1"/>
      <w:marLeft w:val="0"/>
      <w:marRight w:val="0"/>
      <w:marTop w:val="0"/>
      <w:marBottom w:val="0"/>
      <w:divBdr>
        <w:top w:val="none" w:sz="0" w:space="0" w:color="auto"/>
        <w:left w:val="none" w:sz="0" w:space="0" w:color="auto"/>
        <w:bottom w:val="none" w:sz="0" w:space="0" w:color="auto"/>
        <w:right w:val="none" w:sz="0" w:space="0" w:color="auto"/>
      </w:divBdr>
      <w:divsChild>
        <w:div w:id="276835911">
          <w:marLeft w:val="0"/>
          <w:marRight w:val="0"/>
          <w:marTop w:val="0"/>
          <w:marBottom w:val="0"/>
          <w:divBdr>
            <w:top w:val="none" w:sz="0" w:space="0" w:color="auto"/>
            <w:left w:val="none" w:sz="0" w:space="0" w:color="auto"/>
            <w:bottom w:val="none" w:sz="0" w:space="0" w:color="auto"/>
            <w:right w:val="none" w:sz="0" w:space="0" w:color="auto"/>
          </w:divBdr>
          <w:divsChild>
            <w:div w:id="528687312">
              <w:marLeft w:val="0"/>
              <w:marRight w:val="0"/>
              <w:marTop w:val="0"/>
              <w:marBottom w:val="0"/>
              <w:divBdr>
                <w:top w:val="none" w:sz="0" w:space="0" w:color="auto"/>
                <w:left w:val="none" w:sz="0" w:space="0" w:color="auto"/>
                <w:bottom w:val="none" w:sz="0" w:space="0" w:color="auto"/>
                <w:right w:val="none" w:sz="0" w:space="0" w:color="auto"/>
              </w:divBdr>
              <w:divsChild>
                <w:div w:id="1515994991">
                  <w:marLeft w:val="0"/>
                  <w:marRight w:val="0"/>
                  <w:marTop w:val="0"/>
                  <w:marBottom w:val="0"/>
                  <w:divBdr>
                    <w:top w:val="none" w:sz="0" w:space="0" w:color="auto"/>
                    <w:left w:val="none" w:sz="0" w:space="0" w:color="auto"/>
                    <w:bottom w:val="none" w:sz="0" w:space="0" w:color="auto"/>
                    <w:right w:val="none" w:sz="0" w:space="0" w:color="auto"/>
                  </w:divBdr>
                  <w:divsChild>
                    <w:div w:id="821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s://www.cabidigitallibrary.org/authored-by/Botelho/F+J+E" TargetMode="External"/><Relationship Id="rId26" Type="http://schemas.openxmlformats.org/officeDocument/2006/relationships/hyperlink" Target="https://www.cabidigitallibrary.org/authored-by/Satpute/R+G" TargetMode="External"/><Relationship Id="rId3" Type="http://schemas.openxmlformats.org/officeDocument/2006/relationships/styles" Target="styles.xml"/><Relationship Id="rId21" Type="http://schemas.openxmlformats.org/officeDocument/2006/relationships/hyperlink" Target="https://www.cabidigitallibrary.org/authored-by/Carvalho/E+R"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www.cabidigitallibrary.org/authored-by/Khare/D"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s://www.cabidigitallibrary.org/authored-by/Pinho/%C3%89+V+de+R+v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www.cabidigitallibrary.org/action/doSearch?do=Agro%40mbiente+On-lin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www.cabidigitallibrary.org/authored-by/Andrade/V" TargetMode="External"/><Relationship Id="rId28" Type="http://schemas.openxmlformats.org/officeDocument/2006/relationships/hyperlink" Target="https://doi.org/10.9734/ijpss/2024/v36i54537" TargetMode="External"/><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www.cabidigitallibrary.org/authored-by/Oliveira/J+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cabidigitallibrary.org/authored-by/Figueiredo/%C3%8D+B+D" TargetMode="External"/><Relationship Id="rId27" Type="http://schemas.openxmlformats.org/officeDocument/2006/relationships/hyperlink" Target="https://www.cabidigitallibrary.org/action/doSearch?do=Seed+Research"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900" dirty="0">
                <a:solidFill>
                  <a:schemeClr val="bg1"/>
                </a:solidFill>
              </a:rPr>
              <a:t>Dry Weight(mg</a:t>
            </a:r>
            <a:r>
              <a:rPr lang="en-US" sz="1200" dirty="0"/>
              <a:t>)</a:t>
            </a:r>
          </a:p>
        </c:rich>
      </c:tx>
      <c:overlay val="0"/>
      <c:spPr>
        <a:solidFill>
          <a:schemeClr val="tx1"/>
        </a:solidFill>
        <a:ln>
          <a:solidFill>
            <a:srgbClr val="FF0000"/>
          </a:solidFill>
        </a:ln>
      </c:spPr>
    </c:title>
    <c:autoTitleDeleted val="0"/>
    <c:plotArea>
      <c:layout>
        <c:manualLayout>
          <c:layoutTarget val="inner"/>
          <c:xMode val="edge"/>
          <c:yMode val="edge"/>
          <c:x val="0.10764128863319727"/>
          <c:y val="0.16858718491213617"/>
          <c:w val="0.85207337265171923"/>
          <c:h val="0.63069727874175563"/>
        </c:manualLayout>
      </c:layout>
      <c:lineChart>
        <c:grouping val="standard"/>
        <c:varyColors val="0"/>
        <c:ser>
          <c:idx val="0"/>
          <c:order val="0"/>
          <c:tx>
            <c:strRef>
              <c:f>Sheet5!$B$130</c:f>
              <c:strCache>
                <c:ptCount val="1"/>
                <c:pt idx="0">
                  <c:v>V1</c:v>
                </c:pt>
              </c:strCache>
            </c:strRef>
          </c:tx>
          <c:marker>
            <c:symbol val="square"/>
            <c:size val="5"/>
          </c:marker>
          <c:cat>
            <c:strRef>
              <c:f>Sheet5!$C$128:$G$129</c:f>
              <c:strCache>
                <c:ptCount val="5"/>
                <c:pt idx="0">
                  <c:v>7 DAYS</c:v>
                </c:pt>
                <c:pt idx="1">
                  <c:v>14 DAYS</c:v>
                </c:pt>
                <c:pt idx="2">
                  <c:v>21 DAYS</c:v>
                </c:pt>
                <c:pt idx="3">
                  <c:v>28 DAYS</c:v>
                </c:pt>
                <c:pt idx="4">
                  <c:v>35 DAYS</c:v>
                </c:pt>
              </c:strCache>
            </c:strRef>
          </c:cat>
          <c:val>
            <c:numRef>
              <c:f>Sheet5!$C$130:$G$130</c:f>
              <c:numCache>
                <c:formatCode>General</c:formatCode>
                <c:ptCount val="5"/>
                <c:pt idx="1">
                  <c:v>108.45</c:v>
                </c:pt>
                <c:pt idx="2">
                  <c:v>165.8</c:v>
                </c:pt>
                <c:pt idx="3">
                  <c:v>243.92500000000001</c:v>
                </c:pt>
                <c:pt idx="4">
                  <c:v>265.2</c:v>
                </c:pt>
              </c:numCache>
            </c:numRef>
          </c:val>
          <c:smooth val="0"/>
          <c:extLst>
            <c:ext xmlns:c16="http://schemas.microsoft.com/office/drawing/2014/chart" uri="{C3380CC4-5D6E-409C-BE32-E72D297353CC}">
              <c16:uniqueId val="{00000000-788F-419F-AF53-E3D663233689}"/>
            </c:ext>
          </c:extLst>
        </c:ser>
        <c:ser>
          <c:idx val="1"/>
          <c:order val="1"/>
          <c:tx>
            <c:strRef>
              <c:f>Sheet5!$B$131</c:f>
              <c:strCache>
                <c:ptCount val="1"/>
                <c:pt idx="0">
                  <c:v>V2</c:v>
                </c:pt>
              </c:strCache>
            </c:strRef>
          </c:tx>
          <c:marker>
            <c:symbol val="diamond"/>
            <c:size val="5"/>
          </c:marker>
          <c:cat>
            <c:strRef>
              <c:f>Sheet5!$C$128:$G$129</c:f>
              <c:strCache>
                <c:ptCount val="5"/>
                <c:pt idx="0">
                  <c:v>7 DAYS</c:v>
                </c:pt>
                <c:pt idx="1">
                  <c:v>14 DAYS</c:v>
                </c:pt>
                <c:pt idx="2">
                  <c:v>21 DAYS</c:v>
                </c:pt>
                <c:pt idx="3">
                  <c:v>28 DAYS</c:v>
                </c:pt>
                <c:pt idx="4">
                  <c:v>35 DAYS</c:v>
                </c:pt>
              </c:strCache>
            </c:strRef>
          </c:cat>
          <c:val>
            <c:numRef>
              <c:f>Sheet5!$C$131:$G$131</c:f>
              <c:numCache>
                <c:formatCode>General</c:formatCode>
                <c:ptCount val="5"/>
                <c:pt idx="1">
                  <c:v>116.14999999999999</c:v>
                </c:pt>
                <c:pt idx="2">
                  <c:v>200.67499999999998</c:v>
                </c:pt>
                <c:pt idx="3">
                  <c:v>320.77499999999969</c:v>
                </c:pt>
                <c:pt idx="4">
                  <c:v>260.45</c:v>
                </c:pt>
              </c:numCache>
            </c:numRef>
          </c:val>
          <c:smooth val="0"/>
          <c:extLst>
            <c:ext xmlns:c16="http://schemas.microsoft.com/office/drawing/2014/chart" uri="{C3380CC4-5D6E-409C-BE32-E72D297353CC}">
              <c16:uniqueId val="{00000001-788F-419F-AF53-E3D663233689}"/>
            </c:ext>
          </c:extLst>
        </c:ser>
        <c:ser>
          <c:idx val="2"/>
          <c:order val="2"/>
          <c:tx>
            <c:strRef>
              <c:f>Sheet5!$B$132</c:f>
              <c:strCache>
                <c:ptCount val="1"/>
                <c:pt idx="0">
                  <c:v>V3</c:v>
                </c:pt>
              </c:strCache>
            </c:strRef>
          </c:tx>
          <c:marker>
            <c:symbol val="triangle"/>
            <c:size val="5"/>
          </c:marker>
          <c:cat>
            <c:strRef>
              <c:f>Sheet5!$C$128:$G$129</c:f>
              <c:strCache>
                <c:ptCount val="5"/>
                <c:pt idx="0">
                  <c:v>7 DAYS</c:v>
                </c:pt>
                <c:pt idx="1">
                  <c:v>14 DAYS</c:v>
                </c:pt>
                <c:pt idx="2">
                  <c:v>21 DAYS</c:v>
                </c:pt>
                <c:pt idx="3">
                  <c:v>28 DAYS</c:v>
                </c:pt>
                <c:pt idx="4">
                  <c:v>35 DAYS</c:v>
                </c:pt>
              </c:strCache>
            </c:strRef>
          </c:cat>
          <c:val>
            <c:numRef>
              <c:f>Sheet5!$C$132:$G$132</c:f>
              <c:numCache>
                <c:formatCode>General</c:formatCode>
                <c:ptCount val="5"/>
                <c:pt idx="1">
                  <c:v>145.57500000000002</c:v>
                </c:pt>
                <c:pt idx="2">
                  <c:v>253.92500000000001</c:v>
                </c:pt>
                <c:pt idx="3">
                  <c:v>248.12499999999997</c:v>
                </c:pt>
                <c:pt idx="4">
                  <c:v>284.57500000000005</c:v>
                </c:pt>
              </c:numCache>
            </c:numRef>
          </c:val>
          <c:smooth val="0"/>
          <c:extLst>
            <c:ext xmlns:c16="http://schemas.microsoft.com/office/drawing/2014/chart" uri="{C3380CC4-5D6E-409C-BE32-E72D297353CC}">
              <c16:uniqueId val="{00000002-788F-419F-AF53-E3D663233689}"/>
            </c:ext>
          </c:extLst>
        </c:ser>
        <c:ser>
          <c:idx val="3"/>
          <c:order val="3"/>
          <c:tx>
            <c:strRef>
              <c:f>Sheet5!$B$133</c:f>
              <c:strCache>
                <c:ptCount val="1"/>
                <c:pt idx="0">
                  <c:v>V4</c:v>
                </c:pt>
              </c:strCache>
            </c:strRef>
          </c:tx>
          <c:marker>
            <c:symbol val="star"/>
            <c:size val="5"/>
          </c:marker>
          <c:cat>
            <c:strRef>
              <c:f>Sheet5!$C$128:$G$129</c:f>
              <c:strCache>
                <c:ptCount val="5"/>
                <c:pt idx="0">
                  <c:v>7 DAYS</c:v>
                </c:pt>
                <c:pt idx="1">
                  <c:v>14 DAYS</c:v>
                </c:pt>
                <c:pt idx="2">
                  <c:v>21 DAYS</c:v>
                </c:pt>
                <c:pt idx="3">
                  <c:v>28 DAYS</c:v>
                </c:pt>
                <c:pt idx="4">
                  <c:v>35 DAYS</c:v>
                </c:pt>
              </c:strCache>
            </c:strRef>
          </c:cat>
          <c:val>
            <c:numRef>
              <c:f>Sheet5!$C$133:$G$133</c:f>
              <c:numCache>
                <c:formatCode>General</c:formatCode>
                <c:ptCount val="5"/>
                <c:pt idx="1">
                  <c:v>115.62499999999999</c:v>
                </c:pt>
                <c:pt idx="2">
                  <c:v>234.9</c:v>
                </c:pt>
                <c:pt idx="3">
                  <c:v>271.55</c:v>
                </c:pt>
                <c:pt idx="4">
                  <c:v>278.45</c:v>
                </c:pt>
              </c:numCache>
            </c:numRef>
          </c:val>
          <c:smooth val="0"/>
          <c:extLst>
            <c:ext xmlns:c16="http://schemas.microsoft.com/office/drawing/2014/chart" uri="{C3380CC4-5D6E-409C-BE32-E72D297353CC}">
              <c16:uniqueId val="{00000003-788F-419F-AF53-E3D663233689}"/>
            </c:ext>
          </c:extLst>
        </c:ser>
        <c:ser>
          <c:idx val="4"/>
          <c:order val="4"/>
          <c:tx>
            <c:strRef>
              <c:f>Sheet5!$B$134</c:f>
              <c:strCache>
                <c:ptCount val="1"/>
                <c:pt idx="0">
                  <c:v>V5</c:v>
                </c:pt>
              </c:strCache>
            </c:strRef>
          </c:tx>
          <c:marker>
            <c:symbol val="circle"/>
            <c:size val="5"/>
          </c:marker>
          <c:cat>
            <c:strRef>
              <c:f>Sheet5!$C$128:$G$129</c:f>
              <c:strCache>
                <c:ptCount val="5"/>
                <c:pt idx="0">
                  <c:v>7 DAYS</c:v>
                </c:pt>
                <c:pt idx="1">
                  <c:v>14 DAYS</c:v>
                </c:pt>
                <c:pt idx="2">
                  <c:v>21 DAYS</c:v>
                </c:pt>
                <c:pt idx="3">
                  <c:v>28 DAYS</c:v>
                </c:pt>
                <c:pt idx="4">
                  <c:v>35 DAYS</c:v>
                </c:pt>
              </c:strCache>
            </c:strRef>
          </c:cat>
          <c:val>
            <c:numRef>
              <c:f>Sheet5!$C$134:$G$134</c:f>
              <c:numCache>
                <c:formatCode>General</c:formatCode>
                <c:ptCount val="5"/>
                <c:pt idx="1">
                  <c:v>95.550000000000011</c:v>
                </c:pt>
                <c:pt idx="2">
                  <c:v>226.42500000000001</c:v>
                </c:pt>
                <c:pt idx="3">
                  <c:v>301.77499999999969</c:v>
                </c:pt>
                <c:pt idx="4">
                  <c:v>318.77499999999969</c:v>
                </c:pt>
              </c:numCache>
            </c:numRef>
          </c:val>
          <c:smooth val="0"/>
          <c:extLst>
            <c:ext xmlns:c16="http://schemas.microsoft.com/office/drawing/2014/chart" uri="{C3380CC4-5D6E-409C-BE32-E72D297353CC}">
              <c16:uniqueId val="{00000004-788F-419F-AF53-E3D663233689}"/>
            </c:ext>
          </c:extLst>
        </c:ser>
        <c:dLbls>
          <c:showLegendKey val="0"/>
          <c:showVal val="0"/>
          <c:showCatName val="0"/>
          <c:showSerName val="0"/>
          <c:showPercent val="0"/>
          <c:showBubbleSize val="0"/>
        </c:dLbls>
        <c:marker val="1"/>
        <c:smooth val="0"/>
        <c:axId val="7889280"/>
        <c:axId val="7890816"/>
      </c:lineChart>
      <c:catAx>
        <c:axId val="7889280"/>
        <c:scaling>
          <c:orientation val="minMax"/>
        </c:scaling>
        <c:delete val="0"/>
        <c:axPos val="b"/>
        <c:numFmt formatCode="General" sourceLinked="0"/>
        <c:majorTickMark val="none"/>
        <c:minorTickMark val="none"/>
        <c:tickLblPos val="nextTo"/>
        <c:crossAx val="7890816"/>
        <c:crosses val="autoZero"/>
        <c:auto val="1"/>
        <c:lblAlgn val="ctr"/>
        <c:lblOffset val="100"/>
        <c:noMultiLvlLbl val="0"/>
      </c:catAx>
      <c:valAx>
        <c:axId val="7890816"/>
        <c:scaling>
          <c:orientation val="minMax"/>
        </c:scaling>
        <c:delete val="0"/>
        <c:axPos val="l"/>
        <c:majorGridlines/>
        <c:numFmt formatCode="General" sourceLinked="1"/>
        <c:majorTickMark val="none"/>
        <c:minorTickMark val="none"/>
        <c:tickLblPos val="nextTo"/>
        <c:spPr>
          <a:ln w="9525">
            <a:noFill/>
          </a:ln>
        </c:spPr>
        <c:crossAx val="7889280"/>
        <c:crosses val="autoZero"/>
        <c:crossBetween val="between"/>
      </c:valAx>
      <c:spPr>
        <a:solidFill>
          <a:schemeClr val="bg1"/>
        </a:solidFill>
        <a:ln w="15875">
          <a:solidFill>
            <a:srgbClr val="00B050"/>
          </a:solidFill>
        </a:ln>
      </c:spPr>
    </c:plotArea>
    <c:legend>
      <c:legendPos val="b"/>
      <c:layout>
        <c:manualLayout>
          <c:xMode val="edge"/>
          <c:yMode val="edge"/>
          <c:x val="0.13494518059809177"/>
          <c:y val="0.22741372204507504"/>
          <c:w val="0.14767625798763739"/>
          <c:h val="0.51576191405826333"/>
        </c:manualLayout>
      </c:layout>
      <c:overlay val="0"/>
      <c:spPr>
        <a:ln w="12700">
          <a:solidFill>
            <a:srgbClr val="FF0000"/>
          </a:solidFill>
        </a:ln>
      </c:spPr>
      <c:txPr>
        <a:bodyPr/>
        <a:lstStyle/>
        <a:p>
          <a:pPr>
            <a:defRPr sz="900"/>
          </a:pPr>
          <a:endParaRPr lang="en-US"/>
        </a:p>
      </c:txPr>
    </c:legend>
    <c:plotVisOnly val="1"/>
    <c:dispBlanksAs val="gap"/>
    <c:showDLblsOverMax val="0"/>
  </c:chart>
  <c:spPr>
    <a:solidFill>
      <a:schemeClr val="lt1"/>
    </a:solidFill>
    <a:ln w="3175"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900" dirty="0">
                <a:solidFill>
                  <a:schemeClr val="bg1"/>
                </a:solidFill>
              </a:rPr>
              <a:t>Seed dry weight (mg</a:t>
            </a:r>
            <a:r>
              <a:rPr lang="en-US" sz="1200" dirty="0"/>
              <a:t>)</a:t>
            </a:r>
          </a:p>
        </c:rich>
      </c:tx>
      <c:overlay val="0"/>
      <c:spPr>
        <a:solidFill>
          <a:schemeClr val="tx1"/>
        </a:solidFill>
        <a:ln>
          <a:solidFill>
            <a:srgbClr val="FF0000"/>
          </a:solidFill>
        </a:ln>
      </c:spPr>
    </c:title>
    <c:autoTitleDeleted val="0"/>
    <c:plotArea>
      <c:layout>
        <c:manualLayout>
          <c:layoutTarget val="inner"/>
          <c:xMode val="edge"/>
          <c:yMode val="edge"/>
          <c:x val="0.12119539492652523"/>
          <c:y val="0.17746764204229346"/>
          <c:w val="0.85207337265171879"/>
          <c:h val="0.62141496085703363"/>
        </c:manualLayout>
      </c:layout>
      <c:lineChart>
        <c:grouping val="standard"/>
        <c:varyColors val="0"/>
        <c:ser>
          <c:idx val="0"/>
          <c:order val="0"/>
          <c:tx>
            <c:strRef>
              <c:f>Sheet5!$B$130</c:f>
              <c:strCache>
                <c:ptCount val="1"/>
                <c:pt idx="0">
                  <c:v>V1</c:v>
                </c:pt>
              </c:strCache>
            </c:strRef>
          </c:tx>
          <c:marker>
            <c:symbol val="square"/>
            <c:size val="5"/>
          </c:marker>
          <c:cat>
            <c:strRef>
              <c:f>Sheet5!$C$128:$G$129</c:f>
              <c:strCache>
                <c:ptCount val="5"/>
                <c:pt idx="0">
                  <c:v>7 DAYS</c:v>
                </c:pt>
                <c:pt idx="1">
                  <c:v>14 DAYS</c:v>
                </c:pt>
                <c:pt idx="2">
                  <c:v>21 DAYS</c:v>
                </c:pt>
                <c:pt idx="3">
                  <c:v>28 DAYS</c:v>
                </c:pt>
                <c:pt idx="4">
                  <c:v>35 DAYS</c:v>
                </c:pt>
              </c:strCache>
            </c:strRef>
          </c:cat>
          <c:val>
            <c:numRef>
              <c:f>Sheet5!$C$130:$G$130</c:f>
              <c:numCache>
                <c:formatCode>General</c:formatCode>
                <c:ptCount val="5"/>
                <c:pt idx="1">
                  <c:v>108.45</c:v>
                </c:pt>
                <c:pt idx="2">
                  <c:v>165.8</c:v>
                </c:pt>
                <c:pt idx="3">
                  <c:v>243.92500000000001</c:v>
                </c:pt>
                <c:pt idx="4">
                  <c:v>265.2</c:v>
                </c:pt>
              </c:numCache>
            </c:numRef>
          </c:val>
          <c:smooth val="0"/>
          <c:extLst>
            <c:ext xmlns:c16="http://schemas.microsoft.com/office/drawing/2014/chart" uri="{C3380CC4-5D6E-409C-BE32-E72D297353CC}">
              <c16:uniqueId val="{00000000-4125-4C5B-9882-4FA86A31E849}"/>
            </c:ext>
          </c:extLst>
        </c:ser>
        <c:ser>
          <c:idx val="1"/>
          <c:order val="1"/>
          <c:tx>
            <c:strRef>
              <c:f>Sheet5!$B$131</c:f>
              <c:strCache>
                <c:ptCount val="1"/>
                <c:pt idx="0">
                  <c:v>V2</c:v>
                </c:pt>
              </c:strCache>
            </c:strRef>
          </c:tx>
          <c:marker>
            <c:symbol val="diamond"/>
            <c:size val="5"/>
          </c:marker>
          <c:cat>
            <c:strRef>
              <c:f>Sheet5!$C$128:$G$129</c:f>
              <c:strCache>
                <c:ptCount val="5"/>
                <c:pt idx="0">
                  <c:v>7 DAYS</c:v>
                </c:pt>
                <c:pt idx="1">
                  <c:v>14 DAYS</c:v>
                </c:pt>
                <c:pt idx="2">
                  <c:v>21 DAYS</c:v>
                </c:pt>
                <c:pt idx="3">
                  <c:v>28 DAYS</c:v>
                </c:pt>
                <c:pt idx="4">
                  <c:v>35 DAYS</c:v>
                </c:pt>
              </c:strCache>
            </c:strRef>
          </c:cat>
          <c:val>
            <c:numRef>
              <c:f>Sheet5!$C$131:$G$131</c:f>
              <c:numCache>
                <c:formatCode>General</c:formatCode>
                <c:ptCount val="5"/>
                <c:pt idx="1">
                  <c:v>116.14999999999999</c:v>
                </c:pt>
                <c:pt idx="2">
                  <c:v>200.67499999999998</c:v>
                </c:pt>
                <c:pt idx="3">
                  <c:v>320.77499999999969</c:v>
                </c:pt>
                <c:pt idx="4">
                  <c:v>260.45</c:v>
                </c:pt>
              </c:numCache>
            </c:numRef>
          </c:val>
          <c:smooth val="0"/>
          <c:extLst>
            <c:ext xmlns:c16="http://schemas.microsoft.com/office/drawing/2014/chart" uri="{C3380CC4-5D6E-409C-BE32-E72D297353CC}">
              <c16:uniqueId val="{00000001-4125-4C5B-9882-4FA86A31E849}"/>
            </c:ext>
          </c:extLst>
        </c:ser>
        <c:ser>
          <c:idx val="2"/>
          <c:order val="2"/>
          <c:tx>
            <c:strRef>
              <c:f>Sheet5!$B$132</c:f>
              <c:strCache>
                <c:ptCount val="1"/>
                <c:pt idx="0">
                  <c:v>V3</c:v>
                </c:pt>
              </c:strCache>
            </c:strRef>
          </c:tx>
          <c:marker>
            <c:symbol val="triangle"/>
            <c:size val="5"/>
          </c:marker>
          <c:cat>
            <c:strRef>
              <c:f>Sheet5!$C$128:$G$129</c:f>
              <c:strCache>
                <c:ptCount val="5"/>
                <c:pt idx="0">
                  <c:v>7 DAYS</c:v>
                </c:pt>
                <c:pt idx="1">
                  <c:v>14 DAYS</c:v>
                </c:pt>
                <c:pt idx="2">
                  <c:v>21 DAYS</c:v>
                </c:pt>
                <c:pt idx="3">
                  <c:v>28 DAYS</c:v>
                </c:pt>
                <c:pt idx="4">
                  <c:v>35 DAYS</c:v>
                </c:pt>
              </c:strCache>
            </c:strRef>
          </c:cat>
          <c:val>
            <c:numRef>
              <c:f>Sheet5!$C$132:$G$132</c:f>
              <c:numCache>
                <c:formatCode>General</c:formatCode>
                <c:ptCount val="5"/>
                <c:pt idx="1">
                  <c:v>145.57500000000002</c:v>
                </c:pt>
                <c:pt idx="2">
                  <c:v>253.92500000000001</c:v>
                </c:pt>
                <c:pt idx="3">
                  <c:v>248.12499999999997</c:v>
                </c:pt>
                <c:pt idx="4">
                  <c:v>284.57500000000005</c:v>
                </c:pt>
              </c:numCache>
            </c:numRef>
          </c:val>
          <c:smooth val="0"/>
          <c:extLst>
            <c:ext xmlns:c16="http://schemas.microsoft.com/office/drawing/2014/chart" uri="{C3380CC4-5D6E-409C-BE32-E72D297353CC}">
              <c16:uniqueId val="{00000002-4125-4C5B-9882-4FA86A31E849}"/>
            </c:ext>
          </c:extLst>
        </c:ser>
        <c:ser>
          <c:idx val="3"/>
          <c:order val="3"/>
          <c:tx>
            <c:strRef>
              <c:f>Sheet5!$B$133</c:f>
              <c:strCache>
                <c:ptCount val="1"/>
                <c:pt idx="0">
                  <c:v>V4</c:v>
                </c:pt>
              </c:strCache>
            </c:strRef>
          </c:tx>
          <c:marker>
            <c:symbol val="star"/>
            <c:size val="5"/>
          </c:marker>
          <c:cat>
            <c:strRef>
              <c:f>Sheet5!$C$128:$G$129</c:f>
              <c:strCache>
                <c:ptCount val="5"/>
                <c:pt idx="0">
                  <c:v>7 DAYS</c:v>
                </c:pt>
                <c:pt idx="1">
                  <c:v>14 DAYS</c:v>
                </c:pt>
                <c:pt idx="2">
                  <c:v>21 DAYS</c:v>
                </c:pt>
                <c:pt idx="3">
                  <c:v>28 DAYS</c:v>
                </c:pt>
                <c:pt idx="4">
                  <c:v>35 DAYS</c:v>
                </c:pt>
              </c:strCache>
            </c:strRef>
          </c:cat>
          <c:val>
            <c:numRef>
              <c:f>Sheet5!$C$133:$G$133</c:f>
              <c:numCache>
                <c:formatCode>General</c:formatCode>
                <c:ptCount val="5"/>
                <c:pt idx="1">
                  <c:v>115.62499999999999</c:v>
                </c:pt>
                <c:pt idx="2">
                  <c:v>234.9</c:v>
                </c:pt>
                <c:pt idx="3">
                  <c:v>271.55</c:v>
                </c:pt>
                <c:pt idx="4">
                  <c:v>278.45</c:v>
                </c:pt>
              </c:numCache>
            </c:numRef>
          </c:val>
          <c:smooth val="0"/>
          <c:extLst>
            <c:ext xmlns:c16="http://schemas.microsoft.com/office/drawing/2014/chart" uri="{C3380CC4-5D6E-409C-BE32-E72D297353CC}">
              <c16:uniqueId val="{00000003-4125-4C5B-9882-4FA86A31E849}"/>
            </c:ext>
          </c:extLst>
        </c:ser>
        <c:ser>
          <c:idx val="4"/>
          <c:order val="4"/>
          <c:tx>
            <c:strRef>
              <c:f>Sheet5!$B$134</c:f>
              <c:strCache>
                <c:ptCount val="1"/>
                <c:pt idx="0">
                  <c:v>V5</c:v>
                </c:pt>
              </c:strCache>
            </c:strRef>
          </c:tx>
          <c:marker>
            <c:symbol val="circle"/>
            <c:size val="5"/>
          </c:marker>
          <c:cat>
            <c:strRef>
              <c:f>Sheet5!$C$128:$G$129</c:f>
              <c:strCache>
                <c:ptCount val="5"/>
                <c:pt idx="0">
                  <c:v>7 DAYS</c:v>
                </c:pt>
                <c:pt idx="1">
                  <c:v>14 DAYS</c:v>
                </c:pt>
                <c:pt idx="2">
                  <c:v>21 DAYS</c:v>
                </c:pt>
                <c:pt idx="3">
                  <c:v>28 DAYS</c:v>
                </c:pt>
                <c:pt idx="4">
                  <c:v>35 DAYS</c:v>
                </c:pt>
              </c:strCache>
            </c:strRef>
          </c:cat>
          <c:val>
            <c:numRef>
              <c:f>Sheet5!$C$134:$G$134</c:f>
              <c:numCache>
                <c:formatCode>General</c:formatCode>
                <c:ptCount val="5"/>
                <c:pt idx="1">
                  <c:v>95.550000000000011</c:v>
                </c:pt>
                <c:pt idx="2">
                  <c:v>226.42500000000001</c:v>
                </c:pt>
                <c:pt idx="3">
                  <c:v>301.77499999999969</c:v>
                </c:pt>
                <c:pt idx="4">
                  <c:v>318.77499999999969</c:v>
                </c:pt>
              </c:numCache>
            </c:numRef>
          </c:val>
          <c:smooth val="0"/>
          <c:extLst>
            <c:ext xmlns:c16="http://schemas.microsoft.com/office/drawing/2014/chart" uri="{C3380CC4-5D6E-409C-BE32-E72D297353CC}">
              <c16:uniqueId val="{00000004-4125-4C5B-9882-4FA86A31E849}"/>
            </c:ext>
          </c:extLst>
        </c:ser>
        <c:dLbls>
          <c:showLegendKey val="0"/>
          <c:showVal val="0"/>
          <c:showCatName val="0"/>
          <c:showSerName val="0"/>
          <c:showPercent val="0"/>
          <c:showBubbleSize val="0"/>
        </c:dLbls>
        <c:marker val="1"/>
        <c:smooth val="0"/>
        <c:axId val="87391232"/>
        <c:axId val="87663360"/>
      </c:lineChart>
      <c:catAx>
        <c:axId val="87391232"/>
        <c:scaling>
          <c:orientation val="minMax"/>
        </c:scaling>
        <c:delete val="0"/>
        <c:axPos val="b"/>
        <c:numFmt formatCode="General" sourceLinked="0"/>
        <c:majorTickMark val="none"/>
        <c:minorTickMark val="none"/>
        <c:tickLblPos val="nextTo"/>
        <c:txPr>
          <a:bodyPr/>
          <a:lstStyle/>
          <a:p>
            <a:pPr>
              <a:defRPr sz="900" baseline="0"/>
            </a:pPr>
            <a:endParaRPr lang="en-US"/>
          </a:p>
        </c:txPr>
        <c:crossAx val="87663360"/>
        <c:crosses val="autoZero"/>
        <c:auto val="1"/>
        <c:lblAlgn val="ctr"/>
        <c:lblOffset val="100"/>
        <c:noMultiLvlLbl val="0"/>
      </c:catAx>
      <c:valAx>
        <c:axId val="87663360"/>
        <c:scaling>
          <c:orientation val="minMax"/>
        </c:scaling>
        <c:delete val="0"/>
        <c:axPos val="l"/>
        <c:majorGridlines/>
        <c:numFmt formatCode="General" sourceLinked="1"/>
        <c:majorTickMark val="none"/>
        <c:minorTickMark val="none"/>
        <c:tickLblPos val="nextTo"/>
        <c:spPr>
          <a:ln w="9525">
            <a:noFill/>
          </a:ln>
        </c:spPr>
        <c:crossAx val="87391232"/>
        <c:crosses val="autoZero"/>
        <c:crossBetween val="between"/>
      </c:valAx>
      <c:spPr>
        <a:solidFill>
          <a:schemeClr val="bg1"/>
        </a:solidFill>
        <a:ln w="15875">
          <a:solidFill>
            <a:srgbClr val="00B050"/>
          </a:solidFill>
        </a:ln>
      </c:spPr>
    </c:plotArea>
    <c:legend>
      <c:legendPos val="b"/>
      <c:layout>
        <c:manualLayout>
          <c:xMode val="edge"/>
          <c:yMode val="edge"/>
          <c:x val="0.13886143613289811"/>
          <c:y val="0.28440526993543225"/>
          <c:w val="0.15449753233557789"/>
          <c:h val="0.49492149426166676"/>
        </c:manualLayout>
      </c:layout>
      <c:overlay val="0"/>
      <c:spPr>
        <a:ln w="12700">
          <a:solidFill>
            <a:srgbClr val="FF0000"/>
          </a:solidFill>
        </a:ln>
      </c:spPr>
      <c:txPr>
        <a:bodyPr/>
        <a:lstStyle/>
        <a:p>
          <a:pPr>
            <a:defRPr sz="900"/>
          </a:pPr>
          <a:endParaRPr lang="en-US"/>
        </a:p>
      </c:txPr>
    </c:legend>
    <c:plotVisOnly val="1"/>
    <c:dispBlanksAs val="gap"/>
    <c:showDLblsOverMax val="0"/>
  </c:chart>
  <c:spPr>
    <a:solidFill>
      <a:schemeClr val="lt1"/>
    </a:solidFill>
    <a:ln w="6350"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900" dirty="0">
                <a:solidFill>
                  <a:schemeClr val="bg1"/>
                </a:solidFill>
              </a:rPr>
              <a:t>Moisture Content (%)</a:t>
            </a:r>
          </a:p>
        </c:rich>
      </c:tx>
      <c:layout>
        <c:manualLayout>
          <c:xMode val="edge"/>
          <c:yMode val="edge"/>
          <c:x val="0.26178045951239093"/>
          <c:y val="3.3158331030671458E-2"/>
        </c:manualLayout>
      </c:layout>
      <c:overlay val="0"/>
      <c:spPr>
        <a:solidFill>
          <a:schemeClr val="tx1"/>
        </a:solidFill>
        <a:ln>
          <a:solidFill>
            <a:schemeClr val="accent4">
              <a:lumMod val="75000"/>
            </a:schemeClr>
          </a:solidFill>
        </a:ln>
      </c:spPr>
    </c:title>
    <c:autoTitleDeleted val="0"/>
    <c:plotArea>
      <c:layout>
        <c:manualLayout>
          <c:layoutTarget val="inner"/>
          <c:xMode val="edge"/>
          <c:yMode val="edge"/>
          <c:x val="0.11040036069593054"/>
          <c:y val="0.15342516421424121"/>
          <c:w val="0.84253466495194129"/>
          <c:h val="0.65354635312752263"/>
        </c:manualLayout>
      </c:layout>
      <c:lineChart>
        <c:grouping val="standard"/>
        <c:varyColors val="0"/>
        <c:ser>
          <c:idx val="0"/>
          <c:order val="0"/>
          <c:tx>
            <c:strRef>
              <c:f>Sheet5!$B$153</c:f>
              <c:strCache>
                <c:ptCount val="1"/>
                <c:pt idx="0">
                  <c:v>V1</c:v>
                </c:pt>
              </c:strCache>
            </c:strRef>
          </c:tx>
          <c:marker>
            <c:symbol val="triangle"/>
            <c:size val="5"/>
          </c:marker>
          <c:cat>
            <c:strRef>
              <c:f>Sheet5!$C$151:$G$152</c:f>
              <c:strCache>
                <c:ptCount val="5"/>
                <c:pt idx="0">
                  <c:v>7 DAYS</c:v>
                </c:pt>
                <c:pt idx="1">
                  <c:v>14 DAYS</c:v>
                </c:pt>
                <c:pt idx="2">
                  <c:v>21 DAYS</c:v>
                </c:pt>
                <c:pt idx="3">
                  <c:v>28 DAYS</c:v>
                </c:pt>
                <c:pt idx="4">
                  <c:v>35 DAYS</c:v>
                </c:pt>
              </c:strCache>
            </c:strRef>
          </c:cat>
          <c:val>
            <c:numRef>
              <c:f>Sheet5!$C$153:$G$153</c:f>
              <c:numCache>
                <c:formatCode>General</c:formatCode>
                <c:ptCount val="5"/>
                <c:pt idx="1">
                  <c:v>69.124999999999986</c:v>
                </c:pt>
                <c:pt idx="2">
                  <c:v>57.15</c:v>
                </c:pt>
                <c:pt idx="3">
                  <c:v>30.099999999999987</c:v>
                </c:pt>
                <c:pt idx="4">
                  <c:v>17.380000000000003</c:v>
                </c:pt>
              </c:numCache>
            </c:numRef>
          </c:val>
          <c:smooth val="0"/>
          <c:extLst>
            <c:ext xmlns:c16="http://schemas.microsoft.com/office/drawing/2014/chart" uri="{C3380CC4-5D6E-409C-BE32-E72D297353CC}">
              <c16:uniqueId val="{00000000-DC62-433E-AEBC-359879A27C49}"/>
            </c:ext>
          </c:extLst>
        </c:ser>
        <c:ser>
          <c:idx val="1"/>
          <c:order val="1"/>
          <c:tx>
            <c:strRef>
              <c:f>Sheet5!$B$154</c:f>
              <c:strCache>
                <c:ptCount val="1"/>
                <c:pt idx="0">
                  <c:v>V2</c:v>
                </c:pt>
              </c:strCache>
            </c:strRef>
          </c:tx>
          <c:marker>
            <c:symbol val="diamond"/>
            <c:size val="5"/>
          </c:marker>
          <c:cat>
            <c:strRef>
              <c:f>Sheet5!$C$151:$G$152</c:f>
              <c:strCache>
                <c:ptCount val="5"/>
                <c:pt idx="0">
                  <c:v>7 DAYS</c:v>
                </c:pt>
                <c:pt idx="1">
                  <c:v>14 DAYS</c:v>
                </c:pt>
                <c:pt idx="2">
                  <c:v>21 DAYS</c:v>
                </c:pt>
                <c:pt idx="3">
                  <c:v>28 DAYS</c:v>
                </c:pt>
                <c:pt idx="4">
                  <c:v>35 DAYS</c:v>
                </c:pt>
              </c:strCache>
            </c:strRef>
          </c:cat>
          <c:val>
            <c:numRef>
              <c:f>Sheet5!$C$154:$G$154</c:f>
              <c:numCache>
                <c:formatCode>General</c:formatCode>
                <c:ptCount val="5"/>
                <c:pt idx="1">
                  <c:v>73.8</c:v>
                </c:pt>
                <c:pt idx="2">
                  <c:v>63.150000000000006</c:v>
                </c:pt>
                <c:pt idx="3">
                  <c:v>34.075000000000003</c:v>
                </c:pt>
                <c:pt idx="4">
                  <c:v>19.254999999999999</c:v>
                </c:pt>
              </c:numCache>
            </c:numRef>
          </c:val>
          <c:smooth val="0"/>
          <c:extLst>
            <c:ext xmlns:c16="http://schemas.microsoft.com/office/drawing/2014/chart" uri="{C3380CC4-5D6E-409C-BE32-E72D297353CC}">
              <c16:uniqueId val="{00000001-DC62-433E-AEBC-359879A27C49}"/>
            </c:ext>
          </c:extLst>
        </c:ser>
        <c:ser>
          <c:idx val="2"/>
          <c:order val="2"/>
          <c:tx>
            <c:strRef>
              <c:f>Sheet5!$B$155</c:f>
              <c:strCache>
                <c:ptCount val="1"/>
                <c:pt idx="0">
                  <c:v>V3</c:v>
                </c:pt>
              </c:strCache>
            </c:strRef>
          </c:tx>
          <c:marker>
            <c:symbol val="circle"/>
            <c:size val="5"/>
          </c:marker>
          <c:cat>
            <c:strRef>
              <c:f>Sheet5!$C$151:$G$152</c:f>
              <c:strCache>
                <c:ptCount val="5"/>
                <c:pt idx="0">
                  <c:v>7 DAYS</c:v>
                </c:pt>
                <c:pt idx="1">
                  <c:v>14 DAYS</c:v>
                </c:pt>
                <c:pt idx="2">
                  <c:v>21 DAYS</c:v>
                </c:pt>
                <c:pt idx="3">
                  <c:v>28 DAYS</c:v>
                </c:pt>
                <c:pt idx="4">
                  <c:v>35 DAYS</c:v>
                </c:pt>
              </c:strCache>
            </c:strRef>
          </c:cat>
          <c:val>
            <c:numRef>
              <c:f>Sheet5!$C$155:$G$155</c:f>
              <c:numCache>
                <c:formatCode>General</c:formatCode>
                <c:ptCount val="5"/>
                <c:pt idx="1">
                  <c:v>64.825000000000003</c:v>
                </c:pt>
                <c:pt idx="2">
                  <c:v>50.4</c:v>
                </c:pt>
                <c:pt idx="3">
                  <c:v>31.924999999999986</c:v>
                </c:pt>
                <c:pt idx="4">
                  <c:v>16.1675</c:v>
                </c:pt>
              </c:numCache>
            </c:numRef>
          </c:val>
          <c:smooth val="0"/>
          <c:extLst>
            <c:ext xmlns:c16="http://schemas.microsoft.com/office/drawing/2014/chart" uri="{C3380CC4-5D6E-409C-BE32-E72D297353CC}">
              <c16:uniqueId val="{00000002-DC62-433E-AEBC-359879A27C49}"/>
            </c:ext>
          </c:extLst>
        </c:ser>
        <c:ser>
          <c:idx val="3"/>
          <c:order val="3"/>
          <c:tx>
            <c:strRef>
              <c:f>Sheet5!$B$156</c:f>
              <c:strCache>
                <c:ptCount val="1"/>
                <c:pt idx="0">
                  <c:v>V4</c:v>
                </c:pt>
              </c:strCache>
            </c:strRef>
          </c:tx>
          <c:marker>
            <c:symbol val="star"/>
            <c:size val="5"/>
          </c:marker>
          <c:cat>
            <c:strRef>
              <c:f>Sheet5!$C$151:$G$152</c:f>
              <c:strCache>
                <c:ptCount val="5"/>
                <c:pt idx="0">
                  <c:v>7 DAYS</c:v>
                </c:pt>
                <c:pt idx="1">
                  <c:v>14 DAYS</c:v>
                </c:pt>
                <c:pt idx="2">
                  <c:v>21 DAYS</c:v>
                </c:pt>
                <c:pt idx="3">
                  <c:v>28 DAYS</c:v>
                </c:pt>
                <c:pt idx="4">
                  <c:v>35 DAYS</c:v>
                </c:pt>
              </c:strCache>
            </c:strRef>
          </c:cat>
          <c:val>
            <c:numRef>
              <c:f>Sheet5!$C$156:$G$156</c:f>
              <c:numCache>
                <c:formatCode>General</c:formatCode>
                <c:ptCount val="5"/>
                <c:pt idx="1">
                  <c:v>58.800000000000004</c:v>
                </c:pt>
                <c:pt idx="2">
                  <c:v>46.525000000000013</c:v>
                </c:pt>
                <c:pt idx="3">
                  <c:v>28.424999999999986</c:v>
                </c:pt>
                <c:pt idx="4">
                  <c:v>16.815000000000001</c:v>
                </c:pt>
              </c:numCache>
            </c:numRef>
          </c:val>
          <c:smooth val="0"/>
          <c:extLst>
            <c:ext xmlns:c16="http://schemas.microsoft.com/office/drawing/2014/chart" uri="{C3380CC4-5D6E-409C-BE32-E72D297353CC}">
              <c16:uniqueId val="{00000003-DC62-433E-AEBC-359879A27C49}"/>
            </c:ext>
          </c:extLst>
        </c:ser>
        <c:ser>
          <c:idx val="4"/>
          <c:order val="4"/>
          <c:tx>
            <c:strRef>
              <c:f>Sheet5!$B$157</c:f>
              <c:strCache>
                <c:ptCount val="1"/>
                <c:pt idx="0">
                  <c:v>V5</c:v>
                </c:pt>
              </c:strCache>
            </c:strRef>
          </c:tx>
          <c:marker>
            <c:symbol val="square"/>
            <c:size val="5"/>
          </c:marker>
          <c:cat>
            <c:strRef>
              <c:f>Sheet5!$C$151:$G$152</c:f>
              <c:strCache>
                <c:ptCount val="5"/>
                <c:pt idx="0">
                  <c:v>7 DAYS</c:v>
                </c:pt>
                <c:pt idx="1">
                  <c:v>14 DAYS</c:v>
                </c:pt>
                <c:pt idx="2">
                  <c:v>21 DAYS</c:v>
                </c:pt>
                <c:pt idx="3">
                  <c:v>28 DAYS</c:v>
                </c:pt>
                <c:pt idx="4">
                  <c:v>35 DAYS</c:v>
                </c:pt>
              </c:strCache>
            </c:strRef>
          </c:cat>
          <c:val>
            <c:numRef>
              <c:f>Sheet5!$C$157:$G$157</c:f>
              <c:numCache>
                <c:formatCode>General</c:formatCode>
                <c:ptCount val="5"/>
                <c:pt idx="1">
                  <c:v>78.45</c:v>
                </c:pt>
                <c:pt idx="2">
                  <c:v>66.624999999999986</c:v>
                </c:pt>
                <c:pt idx="3">
                  <c:v>35.400000000000006</c:v>
                </c:pt>
                <c:pt idx="4">
                  <c:v>20.355</c:v>
                </c:pt>
              </c:numCache>
            </c:numRef>
          </c:val>
          <c:smooth val="0"/>
          <c:extLst>
            <c:ext xmlns:c16="http://schemas.microsoft.com/office/drawing/2014/chart" uri="{C3380CC4-5D6E-409C-BE32-E72D297353CC}">
              <c16:uniqueId val="{00000004-DC62-433E-AEBC-359879A27C49}"/>
            </c:ext>
          </c:extLst>
        </c:ser>
        <c:dLbls>
          <c:showLegendKey val="0"/>
          <c:showVal val="0"/>
          <c:showCatName val="0"/>
          <c:showSerName val="0"/>
          <c:showPercent val="0"/>
          <c:showBubbleSize val="0"/>
        </c:dLbls>
        <c:marker val="1"/>
        <c:smooth val="0"/>
        <c:axId val="55350016"/>
        <c:axId val="55351552"/>
      </c:lineChart>
      <c:catAx>
        <c:axId val="55350016"/>
        <c:scaling>
          <c:orientation val="minMax"/>
        </c:scaling>
        <c:delete val="0"/>
        <c:axPos val="b"/>
        <c:numFmt formatCode="General" sourceLinked="0"/>
        <c:majorTickMark val="none"/>
        <c:minorTickMark val="none"/>
        <c:tickLblPos val="nextTo"/>
        <c:crossAx val="55351552"/>
        <c:crosses val="autoZero"/>
        <c:auto val="1"/>
        <c:lblAlgn val="ctr"/>
        <c:lblOffset val="100"/>
        <c:noMultiLvlLbl val="0"/>
      </c:catAx>
      <c:valAx>
        <c:axId val="55351552"/>
        <c:scaling>
          <c:orientation val="minMax"/>
        </c:scaling>
        <c:delete val="0"/>
        <c:axPos val="l"/>
        <c:majorGridlines/>
        <c:numFmt formatCode="General" sourceLinked="1"/>
        <c:majorTickMark val="none"/>
        <c:minorTickMark val="none"/>
        <c:tickLblPos val="nextTo"/>
        <c:spPr>
          <a:ln w="9525">
            <a:noFill/>
          </a:ln>
        </c:spPr>
        <c:crossAx val="55350016"/>
        <c:crosses val="autoZero"/>
        <c:crossBetween val="between"/>
      </c:valAx>
      <c:spPr>
        <a:solidFill>
          <a:schemeClr val="bg1"/>
        </a:solidFill>
        <a:ln w="25400" cap="flat" cmpd="sng" algn="ctr">
          <a:solidFill>
            <a:schemeClr val="accent4"/>
          </a:solidFill>
          <a:prstDash val="solid"/>
        </a:ln>
        <a:effectLst/>
      </c:spPr>
    </c:plotArea>
    <c:legend>
      <c:legendPos val="b"/>
      <c:layout>
        <c:manualLayout>
          <c:xMode val="edge"/>
          <c:yMode val="edge"/>
          <c:x val="0.15204643135455098"/>
          <c:y val="0.18647949470532879"/>
          <c:w val="0.15900221033390871"/>
          <c:h val="0.56636605143892749"/>
        </c:manualLayout>
      </c:layout>
      <c:overlay val="0"/>
      <c:spPr>
        <a:solidFill>
          <a:sysClr val="window" lastClr="FFFFFF">
            <a:alpha val="0"/>
          </a:sysClr>
        </a:solidFill>
        <a:ln w="25400" cap="flat" cmpd="sng" algn="ctr">
          <a:solidFill>
            <a:schemeClr val="accent2"/>
          </a:solidFill>
          <a:prstDash val="solid"/>
        </a:ln>
        <a:effectLst/>
      </c:spPr>
      <c:txPr>
        <a:bodyPr/>
        <a:lstStyle/>
        <a:p>
          <a:pPr>
            <a:defRPr sz="1050">
              <a:solidFill>
                <a:schemeClr val="dk1"/>
              </a:solidFill>
              <a:latin typeface="+mn-lt"/>
              <a:ea typeface="+mn-ea"/>
              <a:cs typeface="+mn-cs"/>
            </a:defRPr>
          </a:pPr>
          <a:endParaRPr lang="en-US"/>
        </a:p>
      </c:txPr>
    </c:legend>
    <c:plotVisOnly val="1"/>
    <c:dispBlanksAs val="gap"/>
    <c:showDLblsOverMax val="0"/>
  </c:chart>
  <c:spPr>
    <a:solidFill>
      <a:schemeClr val="lt1"/>
    </a:solidFill>
    <a:ln w="3175"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a:solidFill>
                  <a:schemeClr val="bg1"/>
                </a:solidFill>
              </a:rPr>
              <a:t>Vigour Index-i</a:t>
            </a:r>
          </a:p>
        </c:rich>
      </c:tx>
      <c:layout>
        <c:manualLayout>
          <c:xMode val="edge"/>
          <c:yMode val="edge"/>
          <c:x val="0.37406468722659852"/>
          <c:y val="2.5202411139285553E-2"/>
        </c:manualLayout>
      </c:layout>
      <c:overlay val="0"/>
      <c:spPr>
        <a:solidFill>
          <a:schemeClr val="tx1"/>
        </a:solidFill>
        <a:ln>
          <a:noFill/>
        </a:ln>
        <a:effectLst>
          <a:outerShdw blurRad="57150" dist="19050" dir="5400000" algn="ctr" rotWithShape="0">
            <a:srgbClr val="000000">
              <a:alpha val="63000"/>
            </a:srgbClr>
          </a:outerShdw>
        </a:effectLst>
      </c:spPr>
    </c:title>
    <c:autoTitleDeleted val="0"/>
    <c:plotArea>
      <c:layout>
        <c:manualLayout>
          <c:layoutTarget val="inner"/>
          <c:xMode val="edge"/>
          <c:yMode val="edge"/>
          <c:x val="9.6119097112860943E-2"/>
          <c:y val="0.13719312914404869"/>
          <c:w val="0.8569475695538088"/>
          <c:h val="0.67120872865121761"/>
        </c:manualLayout>
      </c:layout>
      <c:barChart>
        <c:barDir val="col"/>
        <c:grouping val="clustered"/>
        <c:varyColors val="0"/>
        <c:ser>
          <c:idx val="0"/>
          <c:order val="0"/>
          <c:tx>
            <c:strRef>
              <c:f>Sheet5!$B$258</c:f>
              <c:strCache>
                <c:ptCount val="1"/>
                <c:pt idx="0">
                  <c:v>V1</c:v>
                </c:pt>
              </c:strCache>
            </c:strRef>
          </c:tx>
          <c:invertIfNegative val="0"/>
          <c:cat>
            <c:strRef>
              <c:f>Sheet5!$C$256:$G$257</c:f>
              <c:strCache>
                <c:ptCount val="5"/>
                <c:pt idx="0">
                  <c:v>7 DAYS</c:v>
                </c:pt>
                <c:pt idx="1">
                  <c:v>14 DAYS</c:v>
                </c:pt>
                <c:pt idx="2">
                  <c:v>21 DAYS</c:v>
                </c:pt>
                <c:pt idx="3">
                  <c:v>28 DAYS</c:v>
                </c:pt>
                <c:pt idx="4">
                  <c:v>35 DAYS</c:v>
                </c:pt>
              </c:strCache>
            </c:strRef>
          </c:cat>
          <c:val>
            <c:numRef>
              <c:f>Sheet5!$C$258:$G$258</c:f>
              <c:numCache>
                <c:formatCode>General</c:formatCode>
                <c:ptCount val="5"/>
                <c:pt idx="1">
                  <c:v>306.45000000000005</c:v>
                </c:pt>
                <c:pt idx="2">
                  <c:v>1126.8000000000002</c:v>
                </c:pt>
                <c:pt idx="3">
                  <c:v>1507.9480000000001</c:v>
                </c:pt>
                <c:pt idx="4">
                  <c:v>1305.4250000000011</c:v>
                </c:pt>
              </c:numCache>
            </c:numRef>
          </c:val>
          <c:extLst>
            <c:ext xmlns:c16="http://schemas.microsoft.com/office/drawing/2014/chart" uri="{C3380CC4-5D6E-409C-BE32-E72D297353CC}">
              <c16:uniqueId val="{00000000-5663-4D3A-A755-42FDAF127EC7}"/>
            </c:ext>
          </c:extLst>
        </c:ser>
        <c:ser>
          <c:idx val="1"/>
          <c:order val="1"/>
          <c:tx>
            <c:strRef>
              <c:f>Sheet5!$B$259</c:f>
              <c:strCache>
                <c:ptCount val="1"/>
                <c:pt idx="0">
                  <c:v>V2</c:v>
                </c:pt>
              </c:strCache>
            </c:strRef>
          </c:tx>
          <c:spPr>
            <a:solidFill>
              <a:srgbClr val="FFFF00"/>
            </a:solidFill>
          </c:spPr>
          <c:invertIfNegative val="0"/>
          <c:cat>
            <c:strRef>
              <c:f>Sheet5!$C$256:$G$257</c:f>
              <c:strCache>
                <c:ptCount val="5"/>
                <c:pt idx="0">
                  <c:v>7 DAYS</c:v>
                </c:pt>
                <c:pt idx="1">
                  <c:v>14 DAYS</c:v>
                </c:pt>
                <c:pt idx="2">
                  <c:v>21 DAYS</c:v>
                </c:pt>
                <c:pt idx="3">
                  <c:v>28 DAYS</c:v>
                </c:pt>
                <c:pt idx="4">
                  <c:v>35 DAYS</c:v>
                </c:pt>
              </c:strCache>
            </c:strRef>
          </c:cat>
          <c:val>
            <c:numRef>
              <c:f>Sheet5!$C$259:$G$259</c:f>
              <c:numCache>
                <c:formatCode>General</c:formatCode>
                <c:ptCount val="5"/>
                <c:pt idx="1">
                  <c:v>245.625</c:v>
                </c:pt>
                <c:pt idx="2">
                  <c:v>793.2</c:v>
                </c:pt>
                <c:pt idx="3">
                  <c:v>1663.1849999999938</c:v>
                </c:pt>
                <c:pt idx="4">
                  <c:v>1770.45</c:v>
                </c:pt>
              </c:numCache>
            </c:numRef>
          </c:val>
          <c:extLst>
            <c:ext xmlns:c16="http://schemas.microsoft.com/office/drawing/2014/chart" uri="{C3380CC4-5D6E-409C-BE32-E72D297353CC}">
              <c16:uniqueId val="{00000001-5663-4D3A-A755-42FDAF127EC7}"/>
            </c:ext>
          </c:extLst>
        </c:ser>
        <c:ser>
          <c:idx val="2"/>
          <c:order val="2"/>
          <c:tx>
            <c:strRef>
              <c:f>Sheet5!$B$260</c:f>
              <c:strCache>
                <c:ptCount val="1"/>
                <c:pt idx="0">
                  <c:v>V3</c:v>
                </c:pt>
              </c:strCache>
            </c:strRef>
          </c:tx>
          <c:invertIfNegative val="0"/>
          <c:cat>
            <c:strRef>
              <c:f>Sheet5!$C$256:$G$257</c:f>
              <c:strCache>
                <c:ptCount val="5"/>
                <c:pt idx="0">
                  <c:v>7 DAYS</c:v>
                </c:pt>
                <c:pt idx="1">
                  <c:v>14 DAYS</c:v>
                </c:pt>
                <c:pt idx="2">
                  <c:v>21 DAYS</c:v>
                </c:pt>
                <c:pt idx="3">
                  <c:v>28 DAYS</c:v>
                </c:pt>
                <c:pt idx="4">
                  <c:v>35 DAYS</c:v>
                </c:pt>
              </c:strCache>
            </c:strRef>
          </c:cat>
          <c:val>
            <c:numRef>
              <c:f>Sheet5!$C$260:$G$260</c:f>
              <c:numCache>
                <c:formatCode>General</c:formatCode>
                <c:ptCount val="5"/>
                <c:pt idx="1">
                  <c:v>398</c:v>
                </c:pt>
                <c:pt idx="2">
                  <c:v>1220.25</c:v>
                </c:pt>
                <c:pt idx="3">
                  <c:v>1793.6897499999998</c:v>
                </c:pt>
                <c:pt idx="4">
                  <c:v>1911.4250000000011</c:v>
                </c:pt>
              </c:numCache>
            </c:numRef>
          </c:val>
          <c:extLst>
            <c:ext xmlns:c16="http://schemas.microsoft.com/office/drawing/2014/chart" uri="{C3380CC4-5D6E-409C-BE32-E72D297353CC}">
              <c16:uniqueId val="{00000002-5663-4D3A-A755-42FDAF127EC7}"/>
            </c:ext>
          </c:extLst>
        </c:ser>
        <c:ser>
          <c:idx val="3"/>
          <c:order val="3"/>
          <c:tx>
            <c:strRef>
              <c:f>Sheet5!$B$261</c:f>
              <c:strCache>
                <c:ptCount val="1"/>
                <c:pt idx="0">
                  <c:v>V4</c:v>
                </c:pt>
              </c:strCache>
            </c:strRef>
          </c:tx>
          <c:spPr>
            <a:solidFill>
              <a:srgbClr val="00B0F0"/>
            </a:solidFill>
          </c:spPr>
          <c:invertIfNegative val="0"/>
          <c:cat>
            <c:strRef>
              <c:f>Sheet5!$C$256:$G$257</c:f>
              <c:strCache>
                <c:ptCount val="5"/>
                <c:pt idx="0">
                  <c:v>7 DAYS</c:v>
                </c:pt>
                <c:pt idx="1">
                  <c:v>14 DAYS</c:v>
                </c:pt>
                <c:pt idx="2">
                  <c:v>21 DAYS</c:v>
                </c:pt>
                <c:pt idx="3">
                  <c:v>28 DAYS</c:v>
                </c:pt>
                <c:pt idx="4">
                  <c:v>35 DAYS</c:v>
                </c:pt>
              </c:strCache>
            </c:strRef>
          </c:cat>
          <c:val>
            <c:numRef>
              <c:f>Sheet5!$C$261:$G$261</c:f>
              <c:numCache>
                <c:formatCode>General</c:formatCode>
                <c:ptCount val="5"/>
                <c:pt idx="1">
                  <c:v>151.55000000000001</c:v>
                </c:pt>
                <c:pt idx="2">
                  <c:v>578.32499999999948</c:v>
                </c:pt>
                <c:pt idx="3">
                  <c:v>1221.1972499999938</c:v>
                </c:pt>
                <c:pt idx="4">
                  <c:v>882.55000000000007</c:v>
                </c:pt>
              </c:numCache>
            </c:numRef>
          </c:val>
          <c:extLst>
            <c:ext xmlns:c16="http://schemas.microsoft.com/office/drawing/2014/chart" uri="{C3380CC4-5D6E-409C-BE32-E72D297353CC}">
              <c16:uniqueId val="{00000003-5663-4D3A-A755-42FDAF127EC7}"/>
            </c:ext>
          </c:extLst>
        </c:ser>
        <c:ser>
          <c:idx val="4"/>
          <c:order val="4"/>
          <c:tx>
            <c:strRef>
              <c:f>Sheet5!$B$262</c:f>
              <c:strCache>
                <c:ptCount val="1"/>
                <c:pt idx="0">
                  <c:v>V5</c:v>
                </c:pt>
              </c:strCache>
            </c:strRef>
          </c:tx>
          <c:spPr>
            <a:solidFill>
              <a:srgbClr val="7030A0"/>
            </a:solidFill>
          </c:spPr>
          <c:invertIfNegative val="0"/>
          <c:cat>
            <c:strRef>
              <c:f>Sheet5!$C$256:$G$257</c:f>
              <c:strCache>
                <c:ptCount val="5"/>
                <c:pt idx="0">
                  <c:v>7 DAYS</c:v>
                </c:pt>
                <c:pt idx="1">
                  <c:v>14 DAYS</c:v>
                </c:pt>
                <c:pt idx="2">
                  <c:v>21 DAYS</c:v>
                </c:pt>
                <c:pt idx="3">
                  <c:v>28 DAYS</c:v>
                </c:pt>
                <c:pt idx="4">
                  <c:v>35 DAYS</c:v>
                </c:pt>
              </c:strCache>
            </c:strRef>
          </c:cat>
          <c:val>
            <c:numRef>
              <c:f>Sheet5!$C$262:$G$262</c:f>
              <c:numCache>
                <c:formatCode>General</c:formatCode>
                <c:ptCount val="5"/>
                <c:pt idx="1">
                  <c:v>94.9</c:v>
                </c:pt>
                <c:pt idx="2">
                  <c:v>314.89999999999969</c:v>
                </c:pt>
                <c:pt idx="3">
                  <c:v>1781.9105000000011</c:v>
                </c:pt>
                <c:pt idx="4">
                  <c:v>2184.9749999999999</c:v>
                </c:pt>
              </c:numCache>
            </c:numRef>
          </c:val>
          <c:extLst>
            <c:ext xmlns:c16="http://schemas.microsoft.com/office/drawing/2014/chart" uri="{C3380CC4-5D6E-409C-BE32-E72D297353CC}">
              <c16:uniqueId val="{00000004-5663-4D3A-A755-42FDAF127EC7}"/>
            </c:ext>
          </c:extLst>
        </c:ser>
        <c:dLbls>
          <c:showLegendKey val="0"/>
          <c:showVal val="0"/>
          <c:showCatName val="0"/>
          <c:showSerName val="0"/>
          <c:showPercent val="0"/>
          <c:showBubbleSize val="0"/>
        </c:dLbls>
        <c:gapWidth val="150"/>
        <c:axId val="74712192"/>
        <c:axId val="74713728"/>
      </c:barChart>
      <c:catAx>
        <c:axId val="74712192"/>
        <c:scaling>
          <c:orientation val="minMax"/>
        </c:scaling>
        <c:delete val="0"/>
        <c:axPos val="b"/>
        <c:numFmt formatCode="General" sourceLinked="0"/>
        <c:majorTickMark val="none"/>
        <c:minorTickMark val="none"/>
        <c:tickLblPos val="nextTo"/>
        <c:crossAx val="74713728"/>
        <c:crosses val="autoZero"/>
        <c:auto val="1"/>
        <c:lblAlgn val="ctr"/>
        <c:lblOffset val="100"/>
        <c:noMultiLvlLbl val="0"/>
      </c:catAx>
      <c:valAx>
        <c:axId val="74713728"/>
        <c:scaling>
          <c:orientation val="minMax"/>
        </c:scaling>
        <c:delete val="0"/>
        <c:axPos val="l"/>
        <c:majorGridlines>
          <c:spPr>
            <a:ln>
              <a:solidFill>
                <a:schemeClr val="tx2"/>
              </a:solidFill>
            </a:ln>
          </c:spPr>
        </c:majorGridlines>
        <c:numFmt formatCode="General" sourceLinked="1"/>
        <c:majorTickMark val="none"/>
        <c:minorTickMark val="none"/>
        <c:tickLblPos val="nextTo"/>
        <c:spPr>
          <a:ln w="9525">
            <a:noFill/>
          </a:ln>
        </c:spPr>
        <c:crossAx val="74712192"/>
        <c:crosses val="autoZero"/>
        <c:crossBetween val="between"/>
      </c:valAx>
      <c:spPr>
        <a:solidFill>
          <a:schemeClr val="bg1"/>
        </a:solidFill>
        <a:ln w="25400" cap="flat" cmpd="sng" algn="ctr">
          <a:solidFill>
            <a:srgbClr val="00B050"/>
          </a:solidFill>
          <a:prstDash val="solid"/>
        </a:ln>
        <a:effectLst/>
      </c:spPr>
    </c:plotArea>
    <c:legend>
      <c:legendPos val="b"/>
      <c:layout>
        <c:manualLayout>
          <c:xMode val="edge"/>
          <c:yMode val="edge"/>
          <c:x val="0.1500740686102762"/>
          <c:y val="0.18832278460356866"/>
          <c:w val="0.13388777222519316"/>
          <c:h val="0.59062167519195496"/>
        </c:manualLayout>
      </c:layout>
      <c:overlay val="0"/>
      <c:spPr>
        <a:solidFill>
          <a:sysClr val="window" lastClr="FFFFFF">
            <a:alpha val="0"/>
          </a:sysClr>
        </a:solidFill>
        <a:ln w="25400" cap="flat" cmpd="sng" algn="ctr">
          <a:solidFill>
            <a:schemeClr val="accent2"/>
          </a:solidFill>
          <a:prstDash val="solid"/>
        </a:ln>
        <a:effectLst/>
      </c:spPr>
    </c:legend>
    <c:plotVisOnly val="1"/>
    <c:dispBlanksAs val="gap"/>
    <c:showDLblsOverMax val="0"/>
  </c:chart>
  <c:spPr>
    <a:solidFill>
      <a:schemeClr val="lt1"/>
    </a:solidFill>
    <a:ln w="3175" cap="flat" cmpd="sng" algn="ctr">
      <a:solidFill>
        <a:schemeClr val="tx1"/>
      </a:solidFill>
      <a:prstDash val="solid"/>
    </a:ln>
    <a:effectLst/>
  </c:spPr>
  <c:txPr>
    <a:bodyPr/>
    <a:lstStyle/>
    <a:p>
      <a:pPr>
        <a:defRPr sz="900">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900" dirty="0">
                <a:solidFill>
                  <a:schemeClr val="bg1"/>
                </a:solidFill>
              </a:rPr>
              <a:t>Germination (%)</a:t>
            </a:r>
          </a:p>
        </c:rich>
      </c:tx>
      <c:layout>
        <c:manualLayout>
          <c:xMode val="edge"/>
          <c:yMode val="edge"/>
          <c:x val="0.36885317906690296"/>
          <c:y val="5.9790732436472522E-3"/>
        </c:manualLayout>
      </c:layout>
      <c:overlay val="0"/>
      <c:spPr>
        <a:solidFill>
          <a:schemeClr val="tx1"/>
        </a:solidFill>
      </c:spPr>
    </c:title>
    <c:autoTitleDeleted val="0"/>
    <c:plotArea>
      <c:layout>
        <c:manualLayout>
          <c:layoutTarget val="inner"/>
          <c:xMode val="edge"/>
          <c:yMode val="edge"/>
          <c:x val="8.5292945873622766E-2"/>
          <c:y val="0.10811071815175646"/>
          <c:w val="0.86639947688200203"/>
          <c:h val="0.69739769075950764"/>
        </c:manualLayout>
      </c:layout>
      <c:barChart>
        <c:barDir val="col"/>
        <c:grouping val="clustered"/>
        <c:varyColors val="0"/>
        <c:ser>
          <c:idx val="0"/>
          <c:order val="0"/>
          <c:tx>
            <c:strRef>
              <c:f>Sheet5!$B$176</c:f>
              <c:strCache>
                <c:ptCount val="1"/>
                <c:pt idx="0">
                  <c:v>V1</c:v>
                </c:pt>
              </c:strCache>
            </c:strRef>
          </c:tx>
          <c:invertIfNegative val="0"/>
          <c:cat>
            <c:strRef>
              <c:f>Sheet5!$C$174:$G$175</c:f>
              <c:strCache>
                <c:ptCount val="5"/>
                <c:pt idx="0">
                  <c:v>7 DAYS</c:v>
                </c:pt>
                <c:pt idx="1">
                  <c:v>14 DAYS</c:v>
                </c:pt>
                <c:pt idx="2">
                  <c:v>21 DAYS</c:v>
                </c:pt>
                <c:pt idx="3">
                  <c:v>28 DAYS</c:v>
                </c:pt>
                <c:pt idx="4">
                  <c:v>35 DAYS</c:v>
                </c:pt>
              </c:strCache>
            </c:strRef>
          </c:cat>
          <c:val>
            <c:numRef>
              <c:f>Sheet5!$C$176:$G$176</c:f>
              <c:numCache>
                <c:formatCode>General</c:formatCode>
                <c:ptCount val="5"/>
                <c:pt idx="1">
                  <c:v>37.155000000000001</c:v>
                </c:pt>
                <c:pt idx="2">
                  <c:v>56.062500000000163</c:v>
                </c:pt>
                <c:pt idx="3">
                  <c:v>66.642499999999998</c:v>
                </c:pt>
                <c:pt idx="4">
                  <c:v>62</c:v>
                </c:pt>
              </c:numCache>
            </c:numRef>
          </c:val>
          <c:extLst>
            <c:ext xmlns:c16="http://schemas.microsoft.com/office/drawing/2014/chart" uri="{C3380CC4-5D6E-409C-BE32-E72D297353CC}">
              <c16:uniqueId val="{00000000-9BA8-482E-AE47-94B2F7E85B99}"/>
            </c:ext>
          </c:extLst>
        </c:ser>
        <c:ser>
          <c:idx val="1"/>
          <c:order val="1"/>
          <c:tx>
            <c:strRef>
              <c:f>Sheet5!$B$177</c:f>
              <c:strCache>
                <c:ptCount val="1"/>
                <c:pt idx="0">
                  <c:v>V2</c:v>
                </c:pt>
              </c:strCache>
            </c:strRef>
          </c:tx>
          <c:invertIfNegative val="0"/>
          <c:cat>
            <c:strRef>
              <c:f>Sheet5!$C$174:$G$175</c:f>
              <c:strCache>
                <c:ptCount val="5"/>
                <c:pt idx="0">
                  <c:v>7 DAYS</c:v>
                </c:pt>
                <c:pt idx="1">
                  <c:v>14 DAYS</c:v>
                </c:pt>
                <c:pt idx="2">
                  <c:v>21 DAYS</c:v>
                </c:pt>
                <c:pt idx="3">
                  <c:v>28 DAYS</c:v>
                </c:pt>
                <c:pt idx="4">
                  <c:v>35 DAYS</c:v>
                </c:pt>
              </c:strCache>
            </c:strRef>
          </c:cat>
          <c:val>
            <c:numRef>
              <c:f>Sheet5!$C$177:$G$177</c:f>
              <c:numCache>
                <c:formatCode>General</c:formatCode>
                <c:ptCount val="5"/>
                <c:pt idx="1">
                  <c:v>42.397500000000001</c:v>
                </c:pt>
                <c:pt idx="2">
                  <c:v>59.167500000000011</c:v>
                </c:pt>
                <c:pt idx="3">
                  <c:v>65.98</c:v>
                </c:pt>
                <c:pt idx="4">
                  <c:v>68.75</c:v>
                </c:pt>
              </c:numCache>
            </c:numRef>
          </c:val>
          <c:extLst>
            <c:ext xmlns:c16="http://schemas.microsoft.com/office/drawing/2014/chart" uri="{C3380CC4-5D6E-409C-BE32-E72D297353CC}">
              <c16:uniqueId val="{00000001-9BA8-482E-AE47-94B2F7E85B99}"/>
            </c:ext>
          </c:extLst>
        </c:ser>
        <c:ser>
          <c:idx val="2"/>
          <c:order val="2"/>
          <c:tx>
            <c:strRef>
              <c:f>Sheet5!$B$178</c:f>
              <c:strCache>
                <c:ptCount val="1"/>
                <c:pt idx="0">
                  <c:v>V3</c:v>
                </c:pt>
              </c:strCache>
            </c:strRef>
          </c:tx>
          <c:invertIfNegative val="0"/>
          <c:cat>
            <c:strRef>
              <c:f>Sheet5!$C$174:$G$175</c:f>
              <c:strCache>
                <c:ptCount val="5"/>
                <c:pt idx="0">
                  <c:v>7 DAYS</c:v>
                </c:pt>
                <c:pt idx="1">
                  <c:v>14 DAYS</c:v>
                </c:pt>
                <c:pt idx="2">
                  <c:v>21 DAYS</c:v>
                </c:pt>
                <c:pt idx="3">
                  <c:v>28 DAYS</c:v>
                </c:pt>
                <c:pt idx="4">
                  <c:v>35 DAYS</c:v>
                </c:pt>
              </c:strCache>
            </c:strRef>
          </c:cat>
          <c:val>
            <c:numRef>
              <c:f>Sheet5!$C$178:$G$178</c:f>
              <c:numCache>
                <c:formatCode>General</c:formatCode>
                <c:ptCount val="5"/>
                <c:pt idx="1">
                  <c:v>54.91</c:v>
                </c:pt>
                <c:pt idx="2">
                  <c:v>77.144999999999996</c:v>
                </c:pt>
                <c:pt idx="3">
                  <c:v>79.477500000000006</c:v>
                </c:pt>
                <c:pt idx="4">
                  <c:v>81</c:v>
                </c:pt>
              </c:numCache>
            </c:numRef>
          </c:val>
          <c:extLst>
            <c:ext xmlns:c16="http://schemas.microsoft.com/office/drawing/2014/chart" uri="{C3380CC4-5D6E-409C-BE32-E72D297353CC}">
              <c16:uniqueId val="{00000002-9BA8-482E-AE47-94B2F7E85B99}"/>
            </c:ext>
          </c:extLst>
        </c:ser>
        <c:ser>
          <c:idx val="3"/>
          <c:order val="3"/>
          <c:tx>
            <c:strRef>
              <c:f>Sheet5!$B$179</c:f>
              <c:strCache>
                <c:ptCount val="1"/>
                <c:pt idx="0">
                  <c:v>V4</c:v>
                </c:pt>
              </c:strCache>
            </c:strRef>
          </c:tx>
          <c:spPr>
            <a:solidFill>
              <a:srgbClr val="00B0F0"/>
            </a:solidFill>
          </c:spPr>
          <c:invertIfNegative val="0"/>
          <c:cat>
            <c:strRef>
              <c:f>Sheet5!$C$174:$G$175</c:f>
              <c:strCache>
                <c:ptCount val="5"/>
                <c:pt idx="0">
                  <c:v>7 DAYS</c:v>
                </c:pt>
                <c:pt idx="1">
                  <c:v>14 DAYS</c:v>
                </c:pt>
                <c:pt idx="2">
                  <c:v>21 DAYS</c:v>
                </c:pt>
                <c:pt idx="3">
                  <c:v>28 DAYS</c:v>
                </c:pt>
                <c:pt idx="4">
                  <c:v>35 DAYS</c:v>
                </c:pt>
              </c:strCache>
            </c:strRef>
          </c:cat>
          <c:val>
            <c:numRef>
              <c:f>Sheet5!$C$179:$G$179</c:f>
              <c:numCache>
                <c:formatCode>General</c:formatCode>
                <c:ptCount val="5"/>
                <c:pt idx="1">
                  <c:v>31.614999999999998</c:v>
                </c:pt>
                <c:pt idx="2">
                  <c:v>41.09</c:v>
                </c:pt>
                <c:pt idx="3">
                  <c:v>68.77</c:v>
                </c:pt>
                <c:pt idx="4">
                  <c:v>63.25</c:v>
                </c:pt>
              </c:numCache>
            </c:numRef>
          </c:val>
          <c:extLst>
            <c:ext xmlns:c16="http://schemas.microsoft.com/office/drawing/2014/chart" uri="{C3380CC4-5D6E-409C-BE32-E72D297353CC}">
              <c16:uniqueId val="{00000003-9BA8-482E-AE47-94B2F7E85B99}"/>
            </c:ext>
          </c:extLst>
        </c:ser>
        <c:ser>
          <c:idx val="4"/>
          <c:order val="4"/>
          <c:tx>
            <c:strRef>
              <c:f>Sheet5!$B$180</c:f>
              <c:strCache>
                <c:ptCount val="1"/>
                <c:pt idx="0">
                  <c:v>V5</c:v>
                </c:pt>
              </c:strCache>
            </c:strRef>
          </c:tx>
          <c:spPr>
            <a:solidFill>
              <a:schemeClr val="accent3">
                <a:lumMod val="50000"/>
              </a:schemeClr>
            </a:solidFill>
          </c:spPr>
          <c:invertIfNegative val="0"/>
          <c:cat>
            <c:strRef>
              <c:f>Sheet5!$C$174:$G$175</c:f>
              <c:strCache>
                <c:ptCount val="5"/>
                <c:pt idx="0">
                  <c:v>7 DAYS</c:v>
                </c:pt>
                <c:pt idx="1">
                  <c:v>14 DAYS</c:v>
                </c:pt>
                <c:pt idx="2">
                  <c:v>21 DAYS</c:v>
                </c:pt>
                <c:pt idx="3">
                  <c:v>28 DAYS</c:v>
                </c:pt>
                <c:pt idx="4">
                  <c:v>35 DAYS</c:v>
                </c:pt>
              </c:strCache>
            </c:strRef>
          </c:cat>
          <c:val>
            <c:numRef>
              <c:f>Sheet5!$C$180:$G$180</c:f>
              <c:numCache>
                <c:formatCode>General</c:formatCode>
                <c:ptCount val="5"/>
                <c:pt idx="1">
                  <c:v>25.197499999999987</c:v>
                </c:pt>
                <c:pt idx="2">
                  <c:v>36.615000000000002</c:v>
                </c:pt>
                <c:pt idx="3">
                  <c:v>75.649999999999991</c:v>
                </c:pt>
                <c:pt idx="4">
                  <c:v>80.75</c:v>
                </c:pt>
              </c:numCache>
            </c:numRef>
          </c:val>
          <c:extLst>
            <c:ext xmlns:c16="http://schemas.microsoft.com/office/drawing/2014/chart" uri="{C3380CC4-5D6E-409C-BE32-E72D297353CC}">
              <c16:uniqueId val="{00000004-9BA8-482E-AE47-94B2F7E85B99}"/>
            </c:ext>
          </c:extLst>
        </c:ser>
        <c:dLbls>
          <c:showLegendKey val="0"/>
          <c:showVal val="0"/>
          <c:showCatName val="0"/>
          <c:showSerName val="0"/>
          <c:showPercent val="0"/>
          <c:showBubbleSize val="0"/>
        </c:dLbls>
        <c:gapWidth val="150"/>
        <c:axId val="74827264"/>
        <c:axId val="74828800"/>
      </c:barChart>
      <c:catAx>
        <c:axId val="74827264"/>
        <c:scaling>
          <c:orientation val="minMax"/>
        </c:scaling>
        <c:delete val="0"/>
        <c:axPos val="b"/>
        <c:numFmt formatCode="General" sourceLinked="0"/>
        <c:majorTickMark val="none"/>
        <c:minorTickMark val="none"/>
        <c:tickLblPos val="nextTo"/>
        <c:crossAx val="74828800"/>
        <c:crosses val="autoZero"/>
        <c:auto val="1"/>
        <c:lblAlgn val="ctr"/>
        <c:lblOffset val="100"/>
        <c:noMultiLvlLbl val="0"/>
      </c:catAx>
      <c:valAx>
        <c:axId val="74828800"/>
        <c:scaling>
          <c:orientation val="minMax"/>
        </c:scaling>
        <c:delete val="0"/>
        <c:axPos val="l"/>
        <c:majorGridlines/>
        <c:numFmt formatCode="General" sourceLinked="1"/>
        <c:majorTickMark val="none"/>
        <c:minorTickMark val="none"/>
        <c:tickLblPos val="nextTo"/>
        <c:spPr>
          <a:ln w="9525">
            <a:noFill/>
          </a:ln>
        </c:spPr>
        <c:crossAx val="74827264"/>
        <c:crosses val="autoZero"/>
        <c:crossBetween val="between"/>
        <c:majorUnit val="15"/>
      </c:valAx>
      <c:spPr>
        <a:solidFill>
          <a:schemeClr val="bg1"/>
        </a:solidFill>
        <a:ln w="25400" cap="flat" cmpd="sng" algn="ctr">
          <a:solidFill>
            <a:srgbClr val="00B050"/>
          </a:solidFill>
          <a:prstDash val="solid"/>
        </a:ln>
        <a:effectLst/>
      </c:spPr>
    </c:plotArea>
    <c:legend>
      <c:legendPos val="b"/>
      <c:layout>
        <c:manualLayout>
          <c:xMode val="edge"/>
          <c:yMode val="edge"/>
          <c:x val="0.11981665557111507"/>
          <c:y val="0.15962187299201708"/>
          <c:w val="0.12612045943236691"/>
          <c:h val="0.54525348231885962"/>
        </c:manualLayout>
      </c:layout>
      <c:overlay val="0"/>
      <c:spPr>
        <a:solidFill>
          <a:sysClr val="window" lastClr="FFFFFF">
            <a:alpha val="0"/>
          </a:sysClr>
        </a:solidFill>
        <a:ln w="25400" cap="flat" cmpd="sng" algn="ctr">
          <a:solidFill>
            <a:schemeClr val="accent2"/>
          </a:solidFill>
          <a:prstDash val="solid"/>
        </a:ln>
        <a:effectLst/>
      </c:spPr>
      <c:txPr>
        <a:bodyPr/>
        <a:lstStyle/>
        <a:p>
          <a:pPr>
            <a:defRPr sz="1000">
              <a:solidFill>
                <a:schemeClr val="dk1"/>
              </a:solidFill>
              <a:latin typeface="+mn-lt"/>
              <a:ea typeface="+mn-ea"/>
              <a:cs typeface="+mn-cs"/>
            </a:defRPr>
          </a:pPr>
          <a:endParaRPr lang="en-US"/>
        </a:p>
      </c:txPr>
    </c:legend>
    <c:plotVisOnly val="1"/>
    <c:dispBlanksAs val="gap"/>
    <c:showDLblsOverMax val="0"/>
  </c:chart>
  <c:spPr>
    <a:solidFill>
      <a:schemeClr val="lt1"/>
    </a:solidFill>
    <a:ln w="3175"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chemeClr val="lt1"/>
                </a:solidFill>
                <a:latin typeface="+mn-lt"/>
                <a:ea typeface="+mn-ea"/>
                <a:cs typeface="+mn-cs"/>
              </a:defRPr>
            </a:pPr>
            <a:r>
              <a:rPr lang="en-US" sz="900" b="1" i="0" u="none" strike="noStrike" baseline="0" dirty="0">
                <a:solidFill>
                  <a:schemeClr val="lt1"/>
                </a:solidFill>
                <a:effectLst/>
                <a:latin typeface="Times New Roman" pitchFamily="18" charset="0"/>
                <a:ea typeface="+mn-ea"/>
                <a:cs typeface="Times New Roman" pitchFamily="18" charset="0"/>
              </a:rPr>
              <a:t>1000 Seed weight  </a:t>
            </a:r>
            <a:endParaRPr lang="en-US" sz="900" dirty="0">
              <a:latin typeface="Times New Roman" pitchFamily="18" charset="0"/>
              <a:cs typeface="Times New Roman" pitchFamily="18" charset="0"/>
            </a:endParaRPr>
          </a:p>
        </c:rich>
      </c:tx>
      <c:layout>
        <c:manualLayout>
          <c:xMode val="edge"/>
          <c:yMode val="edge"/>
          <c:x val="0.29023639995995926"/>
          <c:y val="3.6464259285435154E-2"/>
        </c:manualLayout>
      </c:layout>
      <c:overlay val="0"/>
      <c:spPr>
        <a:solidFill>
          <a:sysClr val="windowText" lastClr="0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plotArea>
      <c:layout>
        <c:manualLayout>
          <c:layoutTarget val="inner"/>
          <c:xMode val="edge"/>
          <c:yMode val="edge"/>
          <c:x val="0.15845385978066784"/>
          <c:y val="0.16127148309206943"/>
          <c:w val="0.64466715477832603"/>
          <c:h val="0.5835115386432671"/>
        </c:manualLayout>
      </c:layout>
      <c:lineChart>
        <c:grouping val="standard"/>
        <c:varyColors val="0"/>
        <c:ser>
          <c:idx val="0"/>
          <c:order val="0"/>
          <c:tx>
            <c:strRef>
              <c:f>Sheet5!$C$79</c:f>
              <c:strCache>
                <c:ptCount val="1"/>
                <c:pt idx="0">
                  <c:v>V1</c:v>
                </c:pt>
              </c:strCache>
            </c:strRef>
          </c:tx>
          <c:marker>
            <c:symbol val="diamond"/>
            <c:size val="8"/>
          </c:marker>
          <c:cat>
            <c:strRef>
              <c:f>Sheet5!$D$77:$H$78</c:f>
              <c:strCache>
                <c:ptCount val="5"/>
                <c:pt idx="0">
                  <c:v>7 DAYS</c:v>
                </c:pt>
                <c:pt idx="1">
                  <c:v>14 DAYS</c:v>
                </c:pt>
                <c:pt idx="2">
                  <c:v>21 DAYS</c:v>
                </c:pt>
                <c:pt idx="3">
                  <c:v>28 DAYS</c:v>
                </c:pt>
                <c:pt idx="4">
                  <c:v>35 DAYS</c:v>
                </c:pt>
              </c:strCache>
            </c:strRef>
          </c:cat>
          <c:val>
            <c:numRef>
              <c:f>Sheet5!$D$79:$H$79</c:f>
              <c:numCache>
                <c:formatCode>General</c:formatCode>
                <c:ptCount val="5"/>
                <c:pt idx="1">
                  <c:v>30.267499999999909</c:v>
                </c:pt>
                <c:pt idx="2">
                  <c:v>43.182500000000012</c:v>
                </c:pt>
                <c:pt idx="3">
                  <c:v>32.652500000000003</c:v>
                </c:pt>
                <c:pt idx="4">
                  <c:v>31.224999999999987</c:v>
                </c:pt>
              </c:numCache>
            </c:numRef>
          </c:val>
          <c:smooth val="0"/>
          <c:extLst>
            <c:ext xmlns:c16="http://schemas.microsoft.com/office/drawing/2014/chart" uri="{C3380CC4-5D6E-409C-BE32-E72D297353CC}">
              <c16:uniqueId val="{00000000-16A9-4A63-AD7D-23BA9805988F}"/>
            </c:ext>
          </c:extLst>
        </c:ser>
        <c:ser>
          <c:idx val="1"/>
          <c:order val="1"/>
          <c:tx>
            <c:strRef>
              <c:f>Sheet5!$C$80</c:f>
              <c:strCache>
                <c:ptCount val="1"/>
                <c:pt idx="0">
                  <c:v>V2</c:v>
                </c:pt>
              </c:strCache>
            </c:strRef>
          </c:tx>
          <c:marker>
            <c:symbol val="star"/>
            <c:size val="8"/>
          </c:marker>
          <c:cat>
            <c:strRef>
              <c:f>Sheet5!$D$77:$H$78</c:f>
              <c:strCache>
                <c:ptCount val="5"/>
                <c:pt idx="0">
                  <c:v>7 DAYS</c:v>
                </c:pt>
                <c:pt idx="1">
                  <c:v>14 DAYS</c:v>
                </c:pt>
                <c:pt idx="2">
                  <c:v>21 DAYS</c:v>
                </c:pt>
                <c:pt idx="3">
                  <c:v>28 DAYS</c:v>
                </c:pt>
                <c:pt idx="4">
                  <c:v>35 DAYS</c:v>
                </c:pt>
              </c:strCache>
            </c:strRef>
          </c:cat>
          <c:val>
            <c:numRef>
              <c:f>Sheet5!$D$80:$H$80</c:f>
              <c:numCache>
                <c:formatCode>General</c:formatCode>
                <c:ptCount val="5"/>
                <c:pt idx="1">
                  <c:v>37.062500000000142</c:v>
                </c:pt>
                <c:pt idx="2">
                  <c:v>52.875000000000007</c:v>
                </c:pt>
                <c:pt idx="3">
                  <c:v>39.93</c:v>
                </c:pt>
                <c:pt idx="4">
                  <c:v>33.679250000000003</c:v>
                </c:pt>
              </c:numCache>
            </c:numRef>
          </c:val>
          <c:smooth val="0"/>
          <c:extLst>
            <c:ext xmlns:c16="http://schemas.microsoft.com/office/drawing/2014/chart" uri="{C3380CC4-5D6E-409C-BE32-E72D297353CC}">
              <c16:uniqueId val="{00000001-16A9-4A63-AD7D-23BA9805988F}"/>
            </c:ext>
          </c:extLst>
        </c:ser>
        <c:ser>
          <c:idx val="2"/>
          <c:order val="2"/>
          <c:tx>
            <c:strRef>
              <c:f>Sheet5!$C$81</c:f>
              <c:strCache>
                <c:ptCount val="1"/>
                <c:pt idx="0">
                  <c:v>V3</c:v>
                </c:pt>
              </c:strCache>
            </c:strRef>
          </c:tx>
          <c:marker>
            <c:symbol val="circle"/>
            <c:size val="8"/>
          </c:marker>
          <c:cat>
            <c:strRef>
              <c:f>Sheet5!$D$77:$H$78</c:f>
              <c:strCache>
                <c:ptCount val="5"/>
                <c:pt idx="0">
                  <c:v>7 DAYS</c:v>
                </c:pt>
                <c:pt idx="1">
                  <c:v>14 DAYS</c:v>
                </c:pt>
                <c:pt idx="2">
                  <c:v>21 DAYS</c:v>
                </c:pt>
                <c:pt idx="3">
                  <c:v>28 DAYS</c:v>
                </c:pt>
                <c:pt idx="4">
                  <c:v>35 DAYS</c:v>
                </c:pt>
              </c:strCache>
            </c:strRef>
          </c:cat>
          <c:val>
            <c:numRef>
              <c:f>Sheet5!$D$81:$H$81</c:f>
              <c:numCache>
                <c:formatCode>General</c:formatCode>
                <c:ptCount val="5"/>
                <c:pt idx="1">
                  <c:v>34.290000000000013</c:v>
                </c:pt>
                <c:pt idx="2">
                  <c:v>54.675000000000011</c:v>
                </c:pt>
                <c:pt idx="3">
                  <c:v>37.69250000000018</c:v>
                </c:pt>
                <c:pt idx="4">
                  <c:v>31.1265</c:v>
                </c:pt>
              </c:numCache>
            </c:numRef>
          </c:val>
          <c:smooth val="0"/>
          <c:extLst>
            <c:ext xmlns:c16="http://schemas.microsoft.com/office/drawing/2014/chart" uri="{C3380CC4-5D6E-409C-BE32-E72D297353CC}">
              <c16:uniqueId val="{00000002-16A9-4A63-AD7D-23BA9805988F}"/>
            </c:ext>
          </c:extLst>
        </c:ser>
        <c:ser>
          <c:idx val="3"/>
          <c:order val="3"/>
          <c:tx>
            <c:strRef>
              <c:f>Sheet5!$C$82</c:f>
              <c:strCache>
                <c:ptCount val="1"/>
                <c:pt idx="0">
                  <c:v>V4</c:v>
                </c:pt>
              </c:strCache>
            </c:strRef>
          </c:tx>
          <c:marker>
            <c:symbol val="square"/>
            <c:size val="8"/>
          </c:marker>
          <c:cat>
            <c:strRef>
              <c:f>Sheet5!$D$77:$H$78</c:f>
              <c:strCache>
                <c:ptCount val="5"/>
                <c:pt idx="0">
                  <c:v>7 DAYS</c:v>
                </c:pt>
                <c:pt idx="1">
                  <c:v>14 DAYS</c:v>
                </c:pt>
                <c:pt idx="2">
                  <c:v>21 DAYS</c:v>
                </c:pt>
                <c:pt idx="3">
                  <c:v>28 DAYS</c:v>
                </c:pt>
                <c:pt idx="4">
                  <c:v>35 DAYS</c:v>
                </c:pt>
              </c:strCache>
            </c:strRef>
          </c:cat>
          <c:val>
            <c:numRef>
              <c:f>Sheet5!$D$82:$H$82</c:f>
              <c:numCache>
                <c:formatCode>General</c:formatCode>
                <c:ptCount val="5"/>
                <c:pt idx="1">
                  <c:v>22.352499999999925</c:v>
                </c:pt>
                <c:pt idx="2">
                  <c:v>32.927500000000002</c:v>
                </c:pt>
                <c:pt idx="3">
                  <c:v>30.082499999999882</c:v>
                </c:pt>
                <c:pt idx="4">
                  <c:v>28.324999999999996</c:v>
                </c:pt>
              </c:numCache>
            </c:numRef>
          </c:val>
          <c:smooth val="0"/>
          <c:extLst>
            <c:ext xmlns:c16="http://schemas.microsoft.com/office/drawing/2014/chart" uri="{C3380CC4-5D6E-409C-BE32-E72D297353CC}">
              <c16:uniqueId val="{00000003-16A9-4A63-AD7D-23BA9805988F}"/>
            </c:ext>
          </c:extLst>
        </c:ser>
        <c:ser>
          <c:idx val="4"/>
          <c:order val="4"/>
          <c:tx>
            <c:strRef>
              <c:f>Sheet5!$C$83</c:f>
              <c:strCache>
                <c:ptCount val="1"/>
                <c:pt idx="0">
                  <c:v>V5</c:v>
                </c:pt>
              </c:strCache>
            </c:strRef>
          </c:tx>
          <c:marker>
            <c:symbol val="triangle"/>
            <c:size val="8"/>
          </c:marker>
          <c:cat>
            <c:strRef>
              <c:f>Sheet5!$D$77:$H$78</c:f>
              <c:strCache>
                <c:ptCount val="5"/>
                <c:pt idx="0">
                  <c:v>7 DAYS</c:v>
                </c:pt>
                <c:pt idx="1">
                  <c:v>14 DAYS</c:v>
                </c:pt>
                <c:pt idx="2">
                  <c:v>21 DAYS</c:v>
                </c:pt>
                <c:pt idx="3">
                  <c:v>28 DAYS</c:v>
                </c:pt>
                <c:pt idx="4">
                  <c:v>35 DAYS</c:v>
                </c:pt>
              </c:strCache>
            </c:strRef>
          </c:cat>
          <c:val>
            <c:numRef>
              <c:f>Sheet5!$D$83:$H$83</c:f>
              <c:numCache>
                <c:formatCode>General</c:formatCode>
                <c:ptCount val="5"/>
                <c:pt idx="1">
                  <c:v>37.914999999999992</c:v>
                </c:pt>
                <c:pt idx="2">
                  <c:v>46.210000000000008</c:v>
                </c:pt>
                <c:pt idx="3">
                  <c:v>48.732500000000165</c:v>
                </c:pt>
                <c:pt idx="4">
                  <c:v>36.784500000000001</c:v>
                </c:pt>
              </c:numCache>
            </c:numRef>
          </c:val>
          <c:smooth val="0"/>
          <c:extLst>
            <c:ext xmlns:c16="http://schemas.microsoft.com/office/drawing/2014/chart" uri="{C3380CC4-5D6E-409C-BE32-E72D297353CC}">
              <c16:uniqueId val="{00000004-16A9-4A63-AD7D-23BA9805988F}"/>
            </c:ext>
          </c:extLst>
        </c:ser>
        <c:dLbls>
          <c:showLegendKey val="0"/>
          <c:showVal val="0"/>
          <c:showCatName val="0"/>
          <c:showSerName val="0"/>
          <c:showPercent val="0"/>
          <c:showBubbleSize val="0"/>
        </c:dLbls>
        <c:marker val="1"/>
        <c:smooth val="0"/>
        <c:axId val="78280576"/>
        <c:axId val="78282112"/>
      </c:lineChart>
      <c:catAx>
        <c:axId val="78280576"/>
        <c:scaling>
          <c:orientation val="minMax"/>
        </c:scaling>
        <c:delete val="0"/>
        <c:axPos val="b"/>
        <c:numFmt formatCode="General" sourceLinked="0"/>
        <c:majorTickMark val="none"/>
        <c:minorTickMark val="none"/>
        <c:tickLblPos val="nextTo"/>
        <c:txPr>
          <a:bodyPr/>
          <a:lstStyle/>
          <a:p>
            <a:pPr>
              <a:defRPr sz="800" b="0" i="0" baseline="0">
                <a:latin typeface="Times New Roman" pitchFamily="18" charset="0"/>
                <a:cs typeface="Times New Roman" pitchFamily="18" charset="0"/>
              </a:defRPr>
            </a:pPr>
            <a:endParaRPr lang="en-US"/>
          </a:p>
        </c:txPr>
        <c:crossAx val="78282112"/>
        <c:crosses val="autoZero"/>
        <c:auto val="1"/>
        <c:lblAlgn val="ctr"/>
        <c:lblOffset val="100"/>
        <c:noMultiLvlLbl val="0"/>
      </c:catAx>
      <c:valAx>
        <c:axId val="78282112"/>
        <c:scaling>
          <c:orientation val="minMax"/>
        </c:scaling>
        <c:delete val="0"/>
        <c:axPos val="l"/>
        <c:majorGridlines/>
        <c:title>
          <c:tx>
            <c:rich>
              <a:bodyPr/>
              <a:lstStyle/>
              <a:p>
                <a:pPr>
                  <a:defRPr sz="900"/>
                </a:pPr>
                <a:r>
                  <a:rPr lang="en-US" sz="900" b="0" i="0" u="none" strike="noStrike" baseline="0">
                    <a:effectLst/>
                    <a:latin typeface="Times New Roman" pitchFamily="18" charset="0"/>
                    <a:cs typeface="Times New Roman" pitchFamily="18" charset="0"/>
                  </a:rPr>
                  <a:t>1000</a:t>
                </a:r>
                <a:r>
                  <a:rPr lang="en-US" sz="900" b="1" i="0" u="none" strike="noStrike" baseline="0">
                    <a:effectLst/>
                    <a:latin typeface="Times New Roman" pitchFamily="18" charset="0"/>
                    <a:cs typeface="Times New Roman" pitchFamily="18" charset="0"/>
                  </a:rPr>
                  <a:t> </a:t>
                </a:r>
                <a:r>
                  <a:rPr lang="en-US" sz="900" b="0" i="0" u="none" strike="noStrike" baseline="0">
                    <a:effectLst/>
                    <a:latin typeface="Times New Roman" pitchFamily="18" charset="0"/>
                    <a:cs typeface="Times New Roman" pitchFamily="18" charset="0"/>
                  </a:rPr>
                  <a:t>Seed weight </a:t>
                </a:r>
                <a:endParaRPr lang="en-US" sz="900" b="0">
                  <a:latin typeface="Times New Roman" pitchFamily="18" charset="0"/>
                  <a:cs typeface="Times New Roman" pitchFamily="18" charset="0"/>
                </a:endParaRPr>
              </a:p>
            </c:rich>
          </c:tx>
          <c:layout>
            <c:manualLayout>
              <c:xMode val="edge"/>
              <c:yMode val="edge"/>
              <c:x val="2.4353460248243277E-2"/>
              <c:y val="0.29799333161496422"/>
            </c:manualLayout>
          </c:layout>
          <c:overlay val="0"/>
        </c:title>
        <c:numFmt formatCode="General" sourceLinked="1"/>
        <c:majorTickMark val="none"/>
        <c:minorTickMark val="none"/>
        <c:tickLblPos val="nextTo"/>
        <c:txPr>
          <a:bodyPr/>
          <a:lstStyle/>
          <a:p>
            <a:pPr>
              <a:defRPr sz="1000" b="1">
                <a:latin typeface="Times New Roman" pitchFamily="18" charset="0"/>
                <a:cs typeface="Times New Roman" pitchFamily="18" charset="0"/>
              </a:defRPr>
            </a:pPr>
            <a:endParaRPr lang="en-US"/>
          </a:p>
        </c:txPr>
        <c:crossAx val="78280576"/>
        <c:crosses val="autoZero"/>
        <c:crossBetween val="between"/>
      </c:valAx>
      <c:spPr>
        <a:solidFill>
          <a:sysClr val="window" lastClr="FFFFFF"/>
        </a:solidFill>
        <a:ln w="12700">
          <a:solidFill>
            <a:srgbClr val="00B050"/>
          </a:solidFill>
        </a:ln>
      </c:spPr>
    </c:plotArea>
    <c:legend>
      <c:legendPos val="r"/>
      <c:layout>
        <c:manualLayout>
          <c:xMode val="edge"/>
          <c:yMode val="edge"/>
          <c:x val="0.80457844004067391"/>
          <c:y val="0.29595515174087217"/>
          <c:w val="0.18011637434209643"/>
          <c:h val="0.4754821549177165"/>
        </c:manualLayout>
      </c:layout>
      <c:overlay val="0"/>
      <c:spPr>
        <a:solidFill>
          <a:schemeClr val="lt1"/>
        </a:solidFill>
        <a:ln w="25400" cap="flat" cmpd="sng" algn="ctr">
          <a:solidFill>
            <a:schemeClr val="accent1"/>
          </a:solidFill>
          <a:prstDash val="solid"/>
        </a:ln>
        <a:effectLst/>
      </c:spPr>
      <c:txPr>
        <a:bodyPr/>
        <a:lstStyle/>
        <a:p>
          <a:pPr>
            <a:defRPr sz="1050" b="1">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lt1"/>
    </a:solidFill>
    <a:ln w="6350" cap="flat" cmpd="sng" algn="ctr">
      <a:solidFill>
        <a:sysClr val="windowText" lastClr="000000"/>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lt1"/>
                </a:solidFill>
                <a:latin typeface="+mn-lt"/>
                <a:ea typeface="+mn-ea"/>
                <a:cs typeface="+mn-cs"/>
              </a:defRPr>
            </a:pPr>
            <a:r>
              <a:rPr lang="en-US" sz="900" b="1" i="0" u="none" strike="noStrike" baseline="0" dirty="0">
                <a:solidFill>
                  <a:schemeClr val="lt1"/>
                </a:solidFill>
                <a:effectLst/>
                <a:latin typeface="+mn-lt"/>
                <a:ea typeface="+mn-ea"/>
                <a:cs typeface="+mn-cs"/>
              </a:rPr>
              <a:t>No. of seeds/pod  </a:t>
            </a:r>
            <a:endParaRPr lang="en-US" sz="900" dirty="0"/>
          </a:p>
        </c:rich>
      </c:tx>
      <c:layout>
        <c:manualLayout>
          <c:xMode val="edge"/>
          <c:yMode val="edge"/>
          <c:x val="0.26996230028050688"/>
          <c:y val="2.9826257055111542E-2"/>
        </c:manualLayout>
      </c:layout>
      <c:overlay val="0"/>
      <c:spPr>
        <a:solidFill>
          <a:sysClr val="windowText" lastClr="0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plotArea>
      <c:layout>
        <c:manualLayout>
          <c:layoutTarget val="inner"/>
          <c:xMode val="edge"/>
          <c:yMode val="edge"/>
          <c:x val="0.1397241490430382"/>
          <c:y val="0.14630483633313193"/>
          <c:w val="0.67343497301720134"/>
          <c:h val="0.62155418006564844"/>
        </c:manualLayout>
      </c:layout>
      <c:lineChart>
        <c:grouping val="standard"/>
        <c:varyColors val="0"/>
        <c:ser>
          <c:idx val="0"/>
          <c:order val="0"/>
          <c:tx>
            <c:strRef>
              <c:f>Sheet5!$C$55</c:f>
              <c:strCache>
                <c:ptCount val="1"/>
                <c:pt idx="0">
                  <c:v>V1</c:v>
                </c:pt>
              </c:strCache>
            </c:strRef>
          </c:tx>
          <c:marker>
            <c:symbol val="diamond"/>
            <c:size val="8"/>
          </c:marker>
          <c:cat>
            <c:strRef>
              <c:f>Sheet5!$D$53:$H$54</c:f>
              <c:strCache>
                <c:ptCount val="5"/>
                <c:pt idx="0">
                  <c:v>7 DAYS</c:v>
                </c:pt>
                <c:pt idx="1">
                  <c:v>14 DAYS</c:v>
                </c:pt>
                <c:pt idx="2">
                  <c:v>21 DAYS</c:v>
                </c:pt>
                <c:pt idx="3">
                  <c:v>28 DAYS</c:v>
                </c:pt>
                <c:pt idx="4">
                  <c:v>35 DAYS</c:v>
                </c:pt>
              </c:strCache>
            </c:strRef>
          </c:cat>
          <c:val>
            <c:numRef>
              <c:f>Sheet5!$D$55:$H$55</c:f>
              <c:numCache>
                <c:formatCode>General</c:formatCode>
                <c:ptCount val="5"/>
                <c:pt idx="1">
                  <c:v>4.1074999999999955</c:v>
                </c:pt>
                <c:pt idx="2">
                  <c:v>6.35</c:v>
                </c:pt>
                <c:pt idx="3">
                  <c:v>7.7124999999999995</c:v>
                </c:pt>
                <c:pt idx="4">
                  <c:v>7.45</c:v>
                </c:pt>
              </c:numCache>
            </c:numRef>
          </c:val>
          <c:smooth val="0"/>
          <c:extLst>
            <c:ext xmlns:c16="http://schemas.microsoft.com/office/drawing/2014/chart" uri="{C3380CC4-5D6E-409C-BE32-E72D297353CC}">
              <c16:uniqueId val="{00000000-FF73-4758-A57E-2E30CA822094}"/>
            </c:ext>
          </c:extLst>
        </c:ser>
        <c:ser>
          <c:idx val="1"/>
          <c:order val="1"/>
          <c:tx>
            <c:strRef>
              <c:f>Sheet5!$C$56</c:f>
              <c:strCache>
                <c:ptCount val="1"/>
                <c:pt idx="0">
                  <c:v>V2</c:v>
                </c:pt>
              </c:strCache>
            </c:strRef>
          </c:tx>
          <c:marker>
            <c:symbol val="square"/>
            <c:size val="5"/>
          </c:marker>
          <c:dPt>
            <c:idx val="4"/>
            <c:marker>
              <c:symbol val="square"/>
              <c:size val="8"/>
              <c:spPr>
                <a:solidFill>
                  <a:srgbClr val="C00000"/>
                </a:solidFill>
              </c:spPr>
            </c:marker>
            <c:bubble3D val="0"/>
            <c:extLst>
              <c:ext xmlns:c16="http://schemas.microsoft.com/office/drawing/2014/chart" uri="{C3380CC4-5D6E-409C-BE32-E72D297353CC}">
                <c16:uniqueId val="{00000001-FF73-4758-A57E-2E30CA822094}"/>
              </c:ext>
            </c:extLst>
          </c:dPt>
          <c:cat>
            <c:strRef>
              <c:f>Sheet5!$D$53:$H$54</c:f>
              <c:strCache>
                <c:ptCount val="5"/>
                <c:pt idx="0">
                  <c:v>7 DAYS</c:v>
                </c:pt>
                <c:pt idx="1">
                  <c:v>14 DAYS</c:v>
                </c:pt>
                <c:pt idx="2">
                  <c:v>21 DAYS</c:v>
                </c:pt>
                <c:pt idx="3">
                  <c:v>28 DAYS</c:v>
                </c:pt>
                <c:pt idx="4">
                  <c:v>35 DAYS</c:v>
                </c:pt>
              </c:strCache>
            </c:strRef>
          </c:cat>
          <c:val>
            <c:numRef>
              <c:f>Sheet5!$D$56:$H$56</c:f>
              <c:numCache>
                <c:formatCode>General</c:formatCode>
                <c:ptCount val="5"/>
                <c:pt idx="1">
                  <c:v>6.2250000000000005</c:v>
                </c:pt>
                <c:pt idx="2">
                  <c:v>9.3250000000000028</c:v>
                </c:pt>
                <c:pt idx="3">
                  <c:v>9.6375000000000011</c:v>
                </c:pt>
                <c:pt idx="4">
                  <c:v>10.6</c:v>
                </c:pt>
              </c:numCache>
            </c:numRef>
          </c:val>
          <c:smooth val="0"/>
          <c:extLst>
            <c:ext xmlns:c16="http://schemas.microsoft.com/office/drawing/2014/chart" uri="{C3380CC4-5D6E-409C-BE32-E72D297353CC}">
              <c16:uniqueId val="{00000002-FF73-4758-A57E-2E30CA822094}"/>
            </c:ext>
          </c:extLst>
        </c:ser>
        <c:ser>
          <c:idx val="2"/>
          <c:order val="2"/>
          <c:tx>
            <c:strRef>
              <c:f>Sheet5!$C$57</c:f>
              <c:strCache>
                <c:ptCount val="1"/>
                <c:pt idx="0">
                  <c:v>V3</c:v>
                </c:pt>
              </c:strCache>
            </c:strRef>
          </c:tx>
          <c:spPr>
            <a:ln>
              <a:solidFill>
                <a:schemeClr val="tx1"/>
              </a:solidFill>
            </a:ln>
          </c:spPr>
          <c:marker>
            <c:symbol val="triangle"/>
            <c:size val="8"/>
            <c:spPr>
              <a:solidFill>
                <a:schemeClr val="tx1"/>
              </a:solidFill>
            </c:spPr>
          </c:marker>
          <c:cat>
            <c:strRef>
              <c:f>Sheet5!$D$53:$H$54</c:f>
              <c:strCache>
                <c:ptCount val="5"/>
                <c:pt idx="0">
                  <c:v>7 DAYS</c:v>
                </c:pt>
                <c:pt idx="1">
                  <c:v>14 DAYS</c:v>
                </c:pt>
                <c:pt idx="2">
                  <c:v>21 DAYS</c:v>
                </c:pt>
                <c:pt idx="3">
                  <c:v>28 DAYS</c:v>
                </c:pt>
                <c:pt idx="4">
                  <c:v>35 DAYS</c:v>
                </c:pt>
              </c:strCache>
            </c:strRef>
          </c:cat>
          <c:val>
            <c:numRef>
              <c:f>Sheet5!$D$57:$H$57</c:f>
              <c:numCache>
                <c:formatCode>General</c:formatCode>
                <c:ptCount val="5"/>
                <c:pt idx="1">
                  <c:v>5.3249999999999789</c:v>
                </c:pt>
                <c:pt idx="2">
                  <c:v>8.625</c:v>
                </c:pt>
                <c:pt idx="3">
                  <c:v>9.0375000000000014</c:v>
                </c:pt>
                <c:pt idx="4">
                  <c:v>9</c:v>
                </c:pt>
              </c:numCache>
            </c:numRef>
          </c:val>
          <c:smooth val="0"/>
          <c:extLst>
            <c:ext xmlns:c16="http://schemas.microsoft.com/office/drawing/2014/chart" uri="{C3380CC4-5D6E-409C-BE32-E72D297353CC}">
              <c16:uniqueId val="{00000003-FF73-4758-A57E-2E30CA822094}"/>
            </c:ext>
          </c:extLst>
        </c:ser>
        <c:ser>
          <c:idx val="3"/>
          <c:order val="3"/>
          <c:tx>
            <c:strRef>
              <c:f>Sheet5!$C$58</c:f>
              <c:strCache>
                <c:ptCount val="1"/>
                <c:pt idx="0">
                  <c:v>V4</c:v>
                </c:pt>
              </c:strCache>
            </c:strRef>
          </c:tx>
          <c:spPr>
            <a:ln>
              <a:solidFill>
                <a:srgbClr val="7030A0"/>
              </a:solidFill>
            </a:ln>
          </c:spPr>
          <c:marker>
            <c:symbol val="star"/>
            <c:size val="8"/>
          </c:marker>
          <c:cat>
            <c:strRef>
              <c:f>Sheet5!$D$53:$H$54</c:f>
              <c:strCache>
                <c:ptCount val="5"/>
                <c:pt idx="0">
                  <c:v>7 DAYS</c:v>
                </c:pt>
                <c:pt idx="1">
                  <c:v>14 DAYS</c:v>
                </c:pt>
                <c:pt idx="2">
                  <c:v>21 DAYS</c:v>
                </c:pt>
                <c:pt idx="3">
                  <c:v>28 DAYS</c:v>
                </c:pt>
                <c:pt idx="4">
                  <c:v>35 DAYS</c:v>
                </c:pt>
              </c:strCache>
            </c:strRef>
          </c:cat>
          <c:val>
            <c:numRef>
              <c:f>Sheet5!$D$58:$H$58</c:f>
              <c:numCache>
                <c:formatCode>General</c:formatCode>
                <c:ptCount val="5"/>
                <c:pt idx="1">
                  <c:v>8.2250000000000014</c:v>
                </c:pt>
                <c:pt idx="2">
                  <c:v>9.3750000000000266</c:v>
                </c:pt>
                <c:pt idx="3">
                  <c:v>9.3625000000000487</c:v>
                </c:pt>
                <c:pt idx="4">
                  <c:v>8.1750000000000007</c:v>
                </c:pt>
              </c:numCache>
            </c:numRef>
          </c:val>
          <c:smooth val="0"/>
          <c:extLst>
            <c:ext xmlns:c16="http://schemas.microsoft.com/office/drawing/2014/chart" uri="{C3380CC4-5D6E-409C-BE32-E72D297353CC}">
              <c16:uniqueId val="{00000004-FF73-4758-A57E-2E30CA822094}"/>
            </c:ext>
          </c:extLst>
        </c:ser>
        <c:ser>
          <c:idx val="4"/>
          <c:order val="4"/>
          <c:tx>
            <c:strRef>
              <c:f>Sheet5!$C$59</c:f>
              <c:strCache>
                <c:ptCount val="1"/>
                <c:pt idx="0">
                  <c:v>V5</c:v>
                </c:pt>
              </c:strCache>
            </c:strRef>
          </c:tx>
          <c:marker>
            <c:symbol val="circle"/>
            <c:size val="8"/>
          </c:marker>
          <c:cat>
            <c:strRef>
              <c:f>Sheet5!$D$53:$H$54</c:f>
              <c:strCache>
                <c:ptCount val="5"/>
                <c:pt idx="0">
                  <c:v>7 DAYS</c:v>
                </c:pt>
                <c:pt idx="1">
                  <c:v>14 DAYS</c:v>
                </c:pt>
                <c:pt idx="2">
                  <c:v>21 DAYS</c:v>
                </c:pt>
                <c:pt idx="3">
                  <c:v>28 DAYS</c:v>
                </c:pt>
                <c:pt idx="4">
                  <c:v>35 DAYS</c:v>
                </c:pt>
              </c:strCache>
            </c:strRef>
          </c:cat>
          <c:val>
            <c:numRef>
              <c:f>Sheet5!$D$59:$H$59</c:f>
              <c:numCache>
                <c:formatCode>General</c:formatCode>
                <c:ptCount val="5"/>
                <c:pt idx="1">
                  <c:v>4.124999999999976</c:v>
                </c:pt>
                <c:pt idx="2">
                  <c:v>8.5</c:v>
                </c:pt>
                <c:pt idx="3">
                  <c:v>11.575000000000006</c:v>
                </c:pt>
                <c:pt idx="4">
                  <c:v>12.5</c:v>
                </c:pt>
              </c:numCache>
            </c:numRef>
          </c:val>
          <c:smooth val="0"/>
          <c:extLst>
            <c:ext xmlns:c16="http://schemas.microsoft.com/office/drawing/2014/chart" uri="{C3380CC4-5D6E-409C-BE32-E72D297353CC}">
              <c16:uniqueId val="{00000005-FF73-4758-A57E-2E30CA822094}"/>
            </c:ext>
          </c:extLst>
        </c:ser>
        <c:dLbls>
          <c:showLegendKey val="0"/>
          <c:showVal val="0"/>
          <c:showCatName val="0"/>
          <c:showSerName val="0"/>
          <c:showPercent val="0"/>
          <c:showBubbleSize val="0"/>
        </c:dLbls>
        <c:marker val="1"/>
        <c:smooth val="0"/>
        <c:axId val="78478336"/>
        <c:axId val="82383616"/>
      </c:lineChart>
      <c:catAx>
        <c:axId val="78478336"/>
        <c:scaling>
          <c:orientation val="minMax"/>
        </c:scaling>
        <c:delete val="0"/>
        <c:axPos val="b"/>
        <c:numFmt formatCode="General" sourceLinked="0"/>
        <c:majorTickMark val="none"/>
        <c:minorTickMark val="none"/>
        <c:tickLblPos val="nextTo"/>
        <c:txPr>
          <a:bodyPr/>
          <a:lstStyle/>
          <a:p>
            <a:pPr>
              <a:defRPr sz="900" b="0" i="0" baseline="0"/>
            </a:pPr>
            <a:endParaRPr lang="en-US"/>
          </a:p>
        </c:txPr>
        <c:crossAx val="82383616"/>
        <c:crosses val="autoZero"/>
        <c:auto val="1"/>
        <c:lblAlgn val="ctr"/>
        <c:lblOffset val="100"/>
        <c:noMultiLvlLbl val="0"/>
      </c:catAx>
      <c:valAx>
        <c:axId val="82383616"/>
        <c:scaling>
          <c:orientation val="minMax"/>
        </c:scaling>
        <c:delete val="0"/>
        <c:axPos val="l"/>
        <c:majorGridlines/>
        <c:title>
          <c:tx>
            <c:rich>
              <a:bodyPr/>
              <a:lstStyle/>
              <a:p>
                <a:pPr>
                  <a:defRPr sz="900"/>
                </a:pPr>
                <a:r>
                  <a:rPr lang="en-US" sz="900" b="0" i="0" u="none" strike="noStrike" baseline="0">
                    <a:effectLst/>
                  </a:rPr>
                  <a:t>No. of seeds/pod </a:t>
                </a:r>
                <a:endParaRPr lang="en-US" sz="900" b="0"/>
              </a:p>
            </c:rich>
          </c:tx>
          <c:overlay val="0"/>
        </c:title>
        <c:numFmt formatCode="General" sourceLinked="1"/>
        <c:majorTickMark val="none"/>
        <c:minorTickMark val="none"/>
        <c:tickLblPos val="nextTo"/>
        <c:txPr>
          <a:bodyPr/>
          <a:lstStyle/>
          <a:p>
            <a:pPr>
              <a:defRPr sz="1000" b="1"/>
            </a:pPr>
            <a:endParaRPr lang="en-US"/>
          </a:p>
        </c:txPr>
        <c:crossAx val="78478336"/>
        <c:crosses val="autoZero"/>
        <c:crossBetween val="between"/>
      </c:valAx>
      <c:spPr>
        <a:solidFill>
          <a:sysClr val="window" lastClr="FFFFFF"/>
        </a:solidFill>
        <a:ln w="12700">
          <a:solidFill>
            <a:srgbClr val="00B050"/>
          </a:solidFill>
        </a:ln>
      </c:spPr>
    </c:plotArea>
    <c:legend>
      <c:legendPos val="r"/>
      <c:layout>
        <c:manualLayout>
          <c:xMode val="edge"/>
          <c:yMode val="edge"/>
          <c:x val="0.78484725953044565"/>
          <c:y val="0.3223173700290643"/>
          <c:w val="0.21162126202368728"/>
          <c:h val="0.49425060109165136"/>
        </c:manualLayout>
      </c:layout>
      <c:overlay val="0"/>
      <c:spPr>
        <a:solidFill>
          <a:schemeClr val="lt1"/>
        </a:solidFill>
        <a:ln w="25400" cap="flat" cmpd="sng" algn="ctr">
          <a:solidFill>
            <a:srgbClr val="00B050"/>
          </a:solidFill>
          <a:prstDash val="solid"/>
        </a:ln>
        <a:effectLst/>
      </c:spPr>
      <c:txPr>
        <a:bodyPr/>
        <a:lstStyle/>
        <a:p>
          <a:pPr>
            <a:defRPr sz="1050" b="1">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lt1"/>
    </a:solidFill>
    <a:ln w="6350" cap="flat" cmpd="sng" algn="ctr">
      <a:solidFill>
        <a:sysClr val="windowText" lastClr="000000"/>
      </a:solidFill>
      <a:prstDash val="solid"/>
    </a:ln>
    <a:effectLst/>
  </c:spPr>
  <c:txPr>
    <a:bodyPr/>
    <a:lstStyle/>
    <a:p>
      <a:pPr>
        <a:defRPr sz="1400">
          <a:solidFill>
            <a:schemeClr val="dk1"/>
          </a:solidFill>
          <a:latin typeface="+mn-lt"/>
          <a:ea typeface="+mn-ea"/>
          <a:cs typeface="+mn-cs"/>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aseline="0"/>
            </a:pPr>
            <a:r>
              <a:rPr lang="en-US" sz="900" baseline="0">
                <a:solidFill>
                  <a:schemeClr val="bg1"/>
                </a:solidFill>
              </a:rPr>
              <a:t>Pod weight (mg)</a:t>
            </a:r>
          </a:p>
        </c:rich>
      </c:tx>
      <c:layout>
        <c:manualLayout>
          <c:xMode val="edge"/>
          <c:yMode val="edge"/>
          <c:x val="0.31898695741827587"/>
          <c:y val="3.9957696931157194E-2"/>
        </c:manualLayout>
      </c:layout>
      <c:overlay val="0"/>
      <c:spPr>
        <a:solidFill>
          <a:sysClr val="windowText" lastClr="000000"/>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title>
    <c:autoTitleDeleted val="0"/>
    <c:plotArea>
      <c:layout>
        <c:manualLayout>
          <c:layoutTarget val="inner"/>
          <c:xMode val="edge"/>
          <c:yMode val="edge"/>
          <c:x val="0.1751377029923275"/>
          <c:y val="0.14759008572204424"/>
          <c:w val="0.63440705294239563"/>
          <c:h val="0.67530184293795492"/>
        </c:manualLayout>
      </c:layout>
      <c:lineChart>
        <c:grouping val="standard"/>
        <c:varyColors val="0"/>
        <c:ser>
          <c:idx val="0"/>
          <c:order val="0"/>
          <c:tx>
            <c:strRef>
              <c:f>Sheet5!$B$35</c:f>
              <c:strCache>
                <c:ptCount val="1"/>
                <c:pt idx="0">
                  <c:v>V1</c:v>
                </c:pt>
              </c:strCache>
            </c:strRef>
          </c:tx>
          <c:spPr>
            <a:ln>
              <a:solidFill>
                <a:srgbClr val="7030A0"/>
              </a:solidFill>
            </a:ln>
          </c:spPr>
          <c:marker>
            <c:symbol val="diamond"/>
            <c:size val="8"/>
            <c:spPr>
              <a:solidFill>
                <a:srgbClr val="7030A0"/>
              </a:solidFill>
            </c:spPr>
          </c:marker>
          <c:cat>
            <c:strRef>
              <c:f>Sheet5!$C$33:$G$34</c:f>
              <c:strCache>
                <c:ptCount val="5"/>
                <c:pt idx="0">
                  <c:v>7 DAYS</c:v>
                </c:pt>
                <c:pt idx="1">
                  <c:v>14 DAYS</c:v>
                </c:pt>
                <c:pt idx="2">
                  <c:v>21 DAYS</c:v>
                </c:pt>
                <c:pt idx="3">
                  <c:v>28 DAYS</c:v>
                </c:pt>
                <c:pt idx="4">
                  <c:v>35 DAYS</c:v>
                </c:pt>
              </c:strCache>
            </c:strRef>
          </c:cat>
          <c:val>
            <c:numRef>
              <c:f>Sheet5!$C$35:$G$35</c:f>
              <c:numCache>
                <c:formatCode>General</c:formatCode>
                <c:ptCount val="5"/>
                <c:pt idx="0">
                  <c:v>145.25</c:v>
                </c:pt>
                <c:pt idx="1">
                  <c:v>508</c:v>
                </c:pt>
                <c:pt idx="2">
                  <c:v>723.5</c:v>
                </c:pt>
                <c:pt idx="3">
                  <c:v>455</c:v>
                </c:pt>
                <c:pt idx="4">
                  <c:v>382.87750000000005</c:v>
                </c:pt>
              </c:numCache>
            </c:numRef>
          </c:val>
          <c:smooth val="0"/>
          <c:extLst>
            <c:ext xmlns:c16="http://schemas.microsoft.com/office/drawing/2014/chart" uri="{C3380CC4-5D6E-409C-BE32-E72D297353CC}">
              <c16:uniqueId val="{00000000-2547-4849-AD19-EA470913E254}"/>
            </c:ext>
          </c:extLst>
        </c:ser>
        <c:ser>
          <c:idx val="1"/>
          <c:order val="1"/>
          <c:tx>
            <c:strRef>
              <c:f>Sheet5!$B$36</c:f>
              <c:strCache>
                <c:ptCount val="1"/>
                <c:pt idx="0">
                  <c:v>V2</c:v>
                </c:pt>
              </c:strCache>
            </c:strRef>
          </c:tx>
          <c:marker>
            <c:symbol val="triangle"/>
            <c:size val="8"/>
            <c:spPr>
              <a:solidFill>
                <a:srgbClr val="FF0000"/>
              </a:solidFill>
            </c:spPr>
          </c:marker>
          <c:cat>
            <c:strRef>
              <c:f>Sheet5!$C$33:$G$34</c:f>
              <c:strCache>
                <c:ptCount val="5"/>
                <c:pt idx="0">
                  <c:v>7 DAYS</c:v>
                </c:pt>
                <c:pt idx="1">
                  <c:v>14 DAYS</c:v>
                </c:pt>
                <c:pt idx="2">
                  <c:v>21 DAYS</c:v>
                </c:pt>
                <c:pt idx="3">
                  <c:v>28 DAYS</c:v>
                </c:pt>
                <c:pt idx="4">
                  <c:v>35 DAYS</c:v>
                </c:pt>
              </c:strCache>
            </c:strRef>
          </c:cat>
          <c:val>
            <c:numRef>
              <c:f>Sheet5!$C$36:$G$36</c:f>
              <c:numCache>
                <c:formatCode>General</c:formatCode>
                <c:ptCount val="5"/>
                <c:pt idx="0">
                  <c:v>144.25</c:v>
                </c:pt>
                <c:pt idx="1">
                  <c:v>572</c:v>
                </c:pt>
                <c:pt idx="2">
                  <c:v>792.25</c:v>
                </c:pt>
                <c:pt idx="3">
                  <c:v>453.25</c:v>
                </c:pt>
                <c:pt idx="4">
                  <c:v>357.00749999999999</c:v>
                </c:pt>
              </c:numCache>
            </c:numRef>
          </c:val>
          <c:smooth val="0"/>
          <c:extLst>
            <c:ext xmlns:c16="http://schemas.microsoft.com/office/drawing/2014/chart" uri="{C3380CC4-5D6E-409C-BE32-E72D297353CC}">
              <c16:uniqueId val="{00000001-2547-4849-AD19-EA470913E254}"/>
            </c:ext>
          </c:extLst>
        </c:ser>
        <c:ser>
          <c:idx val="2"/>
          <c:order val="2"/>
          <c:tx>
            <c:strRef>
              <c:f>Sheet5!$B$37</c:f>
              <c:strCache>
                <c:ptCount val="1"/>
                <c:pt idx="0">
                  <c:v>V3</c:v>
                </c:pt>
              </c:strCache>
            </c:strRef>
          </c:tx>
          <c:spPr>
            <a:ln>
              <a:solidFill>
                <a:srgbClr val="00B050"/>
              </a:solidFill>
            </a:ln>
          </c:spPr>
          <c:marker>
            <c:symbol val="star"/>
            <c:size val="8"/>
          </c:marker>
          <c:cat>
            <c:strRef>
              <c:f>Sheet5!$C$33:$G$34</c:f>
              <c:strCache>
                <c:ptCount val="5"/>
                <c:pt idx="0">
                  <c:v>7 DAYS</c:v>
                </c:pt>
                <c:pt idx="1">
                  <c:v>14 DAYS</c:v>
                </c:pt>
                <c:pt idx="2">
                  <c:v>21 DAYS</c:v>
                </c:pt>
                <c:pt idx="3">
                  <c:v>28 DAYS</c:v>
                </c:pt>
                <c:pt idx="4">
                  <c:v>35 DAYS</c:v>
                </c:pt>
              </c:strCache>
            </c:strRef>
          </c:cat>
          <c:val>
            <c:numRef>
              <c:f>Sheet5!$C$37:$G$37</c:f>
              <c:numCache>
                <c:formatCode>General</c:formatCode>
                <c:ptCount val="5"/>
                <c:pt idx="0">
                  <c:v>140</c:v>
                </c:pt>
                <c:pt idx="1">
                  <c:v>367.25</c:v>
                </c:pt>
                <c:pt idx="2">
                  <c:v>601.75</c:v>
                </c:pt>
                <c:pt idx="3">
                  <c:v>436</c:v>
                </c:pt>
                <c:pt idx="4">
                  <c:v>417.76499999999999</c:v>
                </c:pt>
              </c:numCache>
            </c:numRef>
          </c:val>
          <c:smooth val="0"/>
          <c:extLst>
            <c:ext xmlns:c16="http://schemas.microsoft.com/office/drawing/2014/chart" uri="{C3380CC4-5D6E-409C-BE32-E72D297353CC}">
              <c16:uniqueId val="{00000002-2547-4849-AD19-EA470913E254}"/>
            </c:ext>
          </c:extLst>
        </c:ser>
        <c:ser>
          <c:idx val="3"/>
          <c:order val="3"/>
          <c:tx>
            <c:strRef>
              <c:f>Sheet5!$B$38</c:f>
              <c:strCache>
                <c:ptCount val="1"/>
                <c:pt idx="0">
                  <c:v>V4</c:v>
                </c:pt>
              </c:strCache>
            </c:strRef>
          </c:tx>
          <c:spPr>
            <a:ln>
              <a:solidFill>
                <a:srgbClr val="FF33CC"/>
              </a:solidFill>
            </a:ln>
          </c:spPr>
          <c:marker>
            <c:symbol val="square"/>
            <c:size val="5"/>
            <c:spPr>
              <a:solidFill>
                <a:srgbClr val="B41CA2"/>
              </a:solidFill>
            </c:spPr>
          </c:marker>
          <c:cat>
            <c:strRef>
              <c:f>Sheet5!$C$33:$G$34</c:f>
              <c:strCache>
                <c:ptCount val="5"/>
                <c:pt idx="0">
                  <c:v>7 DAYS</c:v>
                </c:pt>
                <c:pt idx="1">
                  <c:v>14 DAYS</c:v>
                </c:pt>
                <c:pt idx="2">
                  <c:v>21 DAYS</c:v>
                </c:pt>
                <c:pt idx="3">
                  <c:v>28 DAYS</c:v>
                </c:pt>
                <c:pt idx="4">
                  <c:v>35 DAYS</c:v>
                </c:pt>
              </c:strCache>
            </c:strRef>
          </c:cat>
          <c:val>
            <c:numRef>
              <c:f>Sheet5!$C$38:$G$38</c:f>
              <c:numCache>
                <c:formatCode>General</c:formatCode>
                <c:ptCount val="5"/>
                <c:pt idx="0">
                  <c:v>167.25</c:v>
                </c:pt>
                <c:pt idx="1">
                  <c:v>362</c:v>
                </c:pt>
                <c:pt idx="2">
                  <c:v>574.75</c:v>
                </c:pt>
                <c:pt idx="3">
                  <c:v>508</c:v>
                </c:pt>
                <c:pt idx="4">
                  <c:v>377.59249999999969</c:v>
                </c:pt>
              </c:numCache>
            </c:numRef>
          </c:val>
          <c:smooth val="0"/>
          <c:extLst>
            <c:ext xmlns:c16="http://schemas.microsoft.com/office/drawing/2014/chart" uri="{C3380CC4-5D6E-409C-BE32-E72D297353CC}">
              <c16:uniqueId val="{00000003-2547-4849-AD19-EA470913E254}"/>
            </c:ext>
          </c:extLst>
        </c:ser>
        <c:ser>
          <c:idx val="4"/>
          <c:order val="4"/>
          <c:tx>
            <c:strRef>
              <c:f>Sheet5!$B$39</c:f>
              <c:strCache>
                <c:ptCount val="1"/>
                <c:pt idx="0">
                  <c:v>V5</c:v>
                </c:pt>
              </c:strCache>
            </c:strRef>
          </c:tx>
          <c:spPr>
            <a:ln>
              <a:solidFill>
                <a:srgbClr val="00B0F0"/>
              </a:solidFill>
            </a:ln>
          </c:spPr>
          <c:marker>
            <c:symbol val="circle"/>
            <c:size val="8"/>
          </c:marker>
          <c:cat>
            <c:strRef>
              <c:f>Sheet5!$C$33:$G$34</c:f>
              <c:strCache>
                <c:ptCount val="5"/>
                <c:pt idx="0">
                  <c:v>7 DAYS</c:v>
                </c:pt>
                <c:pt idx="1">
                  <c:v>14 DAYS</c:v>
                </c:pt>
                <c:pt idx="2">
                  <c:v>21 DAYS</c:v>
                </c:pt>
                <c:pt idx="3">
                  <c:v>28 DAYS</c:v>
                </c:pt>
                <c:pt idx="4">
                  <c:v>35 DAYS</c:v>
                </c:pt>
              </c:strCache>
            </c:strRef>
          </c:cat>
          <c:val>
            <c:numRef>
              <c:f>Sheet5!$C$39:$G$39</c:f>
              <c:numCache>
                <c:formatCode>General</c:formatCode>
                <c:ptCount val="5"/>
                <c:pt idx="0">
                  <c:v>116.75</c:v>
                </c:pt>
                <c:pt idx="1">
                  <c:v>515</c:v>
                </c:pt>
                <c:pt idx="2">
                  <c:v>836.5</c:v>
                </c:pt>
                <c:pt idx="3">
                  <c:v>524.5</c:v>
                </c:pt>
                <c:pt idx="4">
                  <c:v>443.66499999999996</c:v>
                </c:pt>
              </c:numCache>
            </c:numRef>
          </c:val>
          <c:smooth val="0"/>
          <c:extLst>
            <c:ext xmlns:c16="http://schemas.microsoft.com/office/drawing/2014/chart" uri="{C3380CC4-5D6E-409C-BE32-E72D297353CC}">
              <c16:uniqueId val="{00000004-2547-4849-AD19-EA470913E254}"/>
            </c:ext>
          </c:extLst>
        </c:ser>
        <c:dLbls>
          <c:showLegendKey val="0"/>
          <c:showVal val="0"/>
          <c:showCatName val="0"/>
          <c:showSerName val="0"/>
          <c:showPercent val="0"/>
          <c:showBubbleSize val="0"/>
        </c:dLbls>
        <c:marker val="1"/>
        <c:smooth val="0"/>
        <c:axId val="86642688"/>
        <c:axId val="86644224"/>
      </c:lineChart>
      <c:catAx>
        <c:axId val="86642688"/>
        <c:scaling>
          <c:orientation val="minMax"/>
        </c:scaling>
        <c:delete val="0"/>
        <c:axPos val="b"/>
        <c:numFmt formatCode="General" sourceLinked="0"/>
        <c:majorTickMark val="none"/>
        <c:minorTickMark val="none"/>
        <c:tickLblPos val="nextTo"/>
        <c:txPr>
          <a:bodyPr/>
          <a:lstStyle/>
          <a:p>
            <a:pPr>
              <a:defRPr sz="800" baseline="0"/>
            </a:pPr>
            <a:endParaRPr lang="en-US"/>
          </a:p>
        </c:txPr>
        <c:crossAx val="86644224"/>
        <c:crosses val="autoZero"/>
        <c:auto val="1"/>
        <c:lblAlgn val="ctr"/>
        <c:lblOffset val="100"/>
        <c:noMultiLvlLbl val="0"/>
      </c:catAx>
      <c:valAx>
        <c:axId val="86644224"/>
        <c:scaling>
          <c:orientation val="minMax"/>
          <c:max val="1000"/>
          <c:min val="0"/>
        </c:scaling>
        <c:delete val="0"/>
        <c:axPos val="l"/>
        <c:majorGridlines>
          <c:spPr>
            <a:ln>
              <a:solidFill>
                <a:srgbClr val="00B050"/>
              </a:solidFill>
            </a:ln>
          </c:spPr>
        </c:majorGridlines>
        <c:title>
          <c:tx>
            <c:rich>
              <a:bodyPr/>
              <a:lstStyle/>
              <a:p>
                <a:pPr>
                  <a:defRPr b="0"/>
                </a:pPr>
                <a:r>
                  <a:rPr lang="en-US" b="0"/>
                  <a:t>Pod weight (mg) </a:t>
                </a:r>
              </a:p>
            </c:rich>
          </c:tx>
          <c:layout>
            <c:manualLayout>
              <c:xMode val="edge"/>
              <c:yMode val="edge"/>
              <c:x val="1.1482928825974442E-2"/>
              <c:y val="0.2881878127303053"/>
            </c:manualLayout>
          </c:layout>
          <c:overlay val="0"/>
        </c:title>
        <c:numFmt formatCode="General" sourceLinked="1"/>
        <c:majorTickMark val="none"/>
        <c:minorTickMark val="none"/>
        <c:tickLblPos val="nextTo"/>
        <c:crossAx val="86642688"/>
        <c:crosses val="autoZero"/>
        <c:crossBetween val="between"/>
        <c:majorUnit val="100"/>
      </c:valAx>
      <c:spPr>
        <a:solidFill>
          <a:sysClr val="window" lastClr="FFFFFF"/>
        </a:solidFill>
        <a:ln>
          <a:solidFill>
            <a:srgbClr val="0070C0"/>
          </a:solidFill>
        </a:ln>
      </c:spPr>
    </c:plotArea>
    <c:legend>
      <c:legendPos val="r"/>
      <c:layout>
        <c:manualLayout>
          <c:xMode val="edge"/>
          <c:yMode val="edge"/>
          <c:x val="0.81806291684230747"/>
          <c:y val="0.25410066022032285"/>
          <c:w val="0.17953903235656149"/>
          <c:h val="0.50661403803866889"/>
        </c:manualLayout>
      </c:layout>
      <c:overlay val="0"/>
      <c:spPr>
        <a:solidFill>
          <a:schemeClr val="lt1"/>
        </a:solidFill>
        <a:ln w="25400" cap="flat" cmpd="sng" algn="ctr">
          <a:solidFill>
            <a:schemeClr val="accent5"/>
          </a:solidFill>
          <a:prstDash val="solid"/>
        </a:ln>
        <a:effectLst/>
      </c:spPr>
    </c:legend>
    <c:plotVisOnly val="1"/>
    <c:dispBlanksAs val="gap"/>
    <c:showDLblsOverMax val="0"/>
  </c:chart>
  <c:spPr>
    <a:solidFill>
      <a:schemeClr val="lt1"/>
    </a:solidFill>
    <a:ln w="6350" cap="flat" cmpd="sng" algn="ctr">
      <a:solidFill>
        <a:sysClr val="windowText" lastClr="000000"/>
      </a:solidFill>
      <a:prstDash val="solid"/>
    </a:ln>
    <a:effectLst/>
  </c:spPr>
  <c:txPr>
    <a:bodyPr/>
    <a:lstStyle/>
    <a:p>
      <a:pPr>
        <a:defRPr sz="900">
          <a:solidFill>
            <a:schemeClr val="dk1"/>
          </a:solidFill>
          <a:latin typeface="+mn-lt"/>
          <a:ea typeface="+mn-ea"/>
          <a:cs typeface="+mn-cs"/>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lt1"/>
                </a:solidFill>
                <a:latin typeface="Times New Roman" pitchFamily="18" charset="0"/>
                <a:ea typeface="+mn-ea"/>
                <a:cs typeface="Times New Roman" pitchFamily="18" charset="0"/>
              </a:defRPr>
            </a:pPr>
            <a:r>
              <a:rPr lang="en-US" sz="900" b="1" i="0" u="none" strike="noStrike" cap="none" spc="0" baseline="0" dirty="0">
                <a:ln w="952">
                  <a:solidFill>
                    <a:schemeClr val="bg1"/>
                  </a:solidFill>
                </a:ln>
                <a:solidFill>
                  <a:schemeClr val="bg1"/>
                </a:solidFill>
                <a:effectLst>
                  <a:innerShdw blurRad="69850" dist="43180" dir="5400000">
                    <a:srgbClr val="000000">
                      <a:alpha val="65000"/>
                    </a:srgbClr>
                  </a:innerShdw>
                </a:effectLst>
                <a:latin typeface="Times New Roman" pitchFamily="18" charset="0"/>
                <a:ea typeface="+mn-ea"/>
                <a:cs typeface="Times New Roman" pitchFamily="18" charset="0"/>
              </a:rPr>
              <a:t>Pod Length (mm )</a:t>
            </a:r>
            <a:endParaRPr lang="en-US" sz="900" b="1" cap="none" spc="0" dirty="0">
              <a:ln w="952">
                <a:solidFill>
                  <a:schemeClr val="bg1"/>
                </a:solidFill>
              </a:ln>
              <a:solidFill>
                <a:schemeClr val="bg1"/>
              </a:solidFill>
              <a:effectLst>
                <a:innerShdw blurRad="69850" dist="43180" dir="5400000">
                  <a:srgbClr val="000000">
                    <a:alpha val="65000"/>
                  </a:srgbClr>
                </a:innerShdw>
              </a:effectLst>
              <a:latin typeface="Times New Roman" pitchFamily="18" charset="0"/>
              <a:cs typeface="Times New Roman" pitchFamily="18" charset="0"/>
            </a:endParaRPr>
          </a:p>
        </c:rich>
      </c:tx>
      <c:layout>
        <c:manualLayout>
          <c:xMode val="edge"/>
          <c:yMode val="edge"/>
          <c:x val="0.24429316663842862"/>
          <c:y val="5.4502752987150863E-2"/>
        </c:manualLayout>
      </c:layout>
      <c:overlay val="0"/>
      <c:spPr>
        <a:solidFill>
          <a:sysClr val="windowText" lastClr="000000"/>
        </a:solid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plotArea>
      <c:layout>
        <c:manualLayout>
          <c:layoutTarget val="inner"/>
          <c:xMode val="edge"/>
          <c:yMode val="edge"/>
          <c:x val="0.13513209188397371"/>
          <c:y val="0.21488740081986488"/>
          <c:w val="0.69927560204641648"/>
          <c:h val="0.64983353590868265"/>
        </c:manualLayout>
      </c:layout>
      <c:lineChart>
        <c:grouping val="standard"/>
        <c:varyColors val="0"/>
        <c:ser>
          <c:idx val="0"/>
          <c:order val="0"/>
          <c:tx>
            <c:strRef>
              <c:f>Sheet5!$B$5</c:f>
              <c:strCache>
                <c:ptCount val="1"/>
                <c:pt idx="0">
                  <c:v>V1</c:v>
                </c:pt>
              </c:strCache>
            </c:strRef>
          </c:tx>
          <c:marker>
            <c:symbol val="diamond"/>
            <c:size val="8"/>
          </c:marker>
          <c:cat>
            <c:strRef>
              <c:f>Sheet5!$C$4:$G$4</c:f>
              <c:strCache>
                <c:ptCount val="5"/>
                <c:pt idx="0">
                  <c:v>7 DAYS</c:v>
                </c:pt>
                <c:pt idx="1">
                  <c:v>14 DAYS</c:v>
                </c:pt>
                <c:pt idx="2">
                  <c:v>21 DAYS</c:v>
                </c:pt>
                <c:pt idx="3">
                  <c:v>28 DAYS</c:v>
                </c:pt>
                <c:pt idx="4">
                  <c:v>35 DAYS</c:v>
                </c:pt>
              </c:strCache>
            </c:strRef>
          </c:cat>
          <c:val>
            <c:numRef>
              <c:f>Sheet5!$C$5:$G$5</c:f>
              <c:numCache>
                <c:formatCode>General</c:formatCode>
                <c:ptCount val="5"/>
                <c:pt idx="0">
                  <c:v>30.45</c:v>
                </c:pt>
                <c:pt idx="1">
                  <c:v>46.025000000000013</c:v>
                </c:pt>
                <c:pt idx="2">
                  <c:v>49.675000000000011</c:v>
                </c:pt>
                <c:pt idx="3">
                  <c:v>59.625000000000142</c:v>
                </c:pt>
                <c:pt idx="4">
                  <c:v>61.272500000000143</c:v>
                </c:pt>
              </c:numCache>
            </c:numRef>
          </c:val>
          <c:smooth val="0"/>
          <c:extLst>
            <c:ext xmlns:c16="http://schemas.microsoft.com/office/drawing/2014/chart" uri="{C3380CC4-5D6E-409C-BE32-E72D297353CC}">
              <c16:uniqueId val="{00000000-C240-40A1-A3DA-75F94931FCEC}"/>
            </c:ext>
          </c:extLst>
        </c:ser>
        <c:ser>
          <c:idx val="1"/>
          <c:order val="1"/>
          <c:tx>
            <c:strRef>
              <c:f>Sheet5!$B$6</c:f>
              <c:strCache>
                <c:ptCount val="1"/>
                <c:pt idx="0">
                  <c:v>V2</c:v>
                </c:pt>
              </c:strCache>
            </c:strRef>
          </c:tx>
          <c:marker>
            <c:symbol val="triangle"/>
            <c:size val="8"/>
          </c:marker>
          <c:cat>
            <c:strRef>
              <c:f>Sheet5!$C$4:$G$4</c:f>
              <c:strCache>
                <c:ptCount val="5"/>
                <c:pt idx="0">
                  <c:v>7 DAYS</c:v>
                </c:pt>
                <c:pt idx="1">
                  <c:v>14 DAYS</c:v>
                </c:pt>
                <c:pt idx="2">
                  <c:v>21 DAYS</c:v>
                </c:pt>
                <c:pt idx="3">
                  <c:v>28 DAYS</c:v>
                </c:pt>
                <c:pt idx="4">
                  <c:v>35 DAYS</c:v>
                </c:pt>
              </c:strCache>
            </c:strRef>
          </c:cat>
          <c:val>
            <c:numRef>
              <c:f>Sheet5!$C$6:$G$6</c:f>
              <c:numCache>
                <c:formatCode>General</c:formatCode>
                <c:ptCount val="5"/>
                <c:pt idx="0">
                  <c:v>33.950000000000003</c:v>
                </c:pt>
                <c:pt idx="1">
                  <c:v>49.275000000000013</c:v>
                </c:pt>
                <c:pt idx="2">
                  <c:v>58.949999999999996</c:v>
                </c:pt>
                <c:pt idx="3">
                  <c:v>62.025000000000013</c:v>
                </c:pt>
                <c:pt idx="4">
                  <c:v>65.882499999999979</c:v>
                </c:pt>
              </c:numCache>
            </c:numRef>
          </c:val>
          <c:smooth val="0"/>
          <c:extLst>
            <c:ext xmlns:c16="http://schemas.microsoft.com/office/drawing/2014/chart" uri="{C3380CC4-5D6E-409C-BE32-E72D297353CC}">
              <c16:uniqueId val="{00000001-C240-40A1-A3DA-75F94931FCEC}"/>
            </c:ext>
          </c:extLst>
        </c:ser>
        <c:ser>
          <c:idx val="2"/>
          <c:order val="2"/>
          <c:tx>
            <c:strRef>
              <c:f>Sheet5!$B$7</c:f>
              <c:strCache>
                <c:ptCount val="1"/>
                <c:pt idx="0">
                  <c:v>V3</c:v>
                </c:pt>
              </c:strCache>
            </c:strRef>
          </c:tx>
          <c:spPr>
            <a:ln>
              <a:solidFill>
                <a:srgbClr val="2B7D25"/>
              </a:solidFill>
            </a:ln>
          </c:spPr>
          <c:marker>
            <c:symbol val="square"/>
            <c:size val="7"/>
            <c:spPr>
              <a:solidFill>
                <a:srgbClr val="2B7D25"/>
              </a:solidFill>
            </c:spPr>
          </c:marker>
          <c:cat>
            <c:strRef>
              <c:f>Sheet5!$C$4:$G$4</c:f>
              <c:strCache>
                <c:ptCount val="5"/>
                <c:pt idx="0">
                  <c:v>7 DAYS</c:v>
                </c:pt>
                <c:pt idx="1">
                  <c:v>14 DAYS</c:v>
                </c:pt>
                <c:pt idx="2">
                  <c:v>21 DAYS</c:v>
                </c:pt>
                <c:pt idx="3">
                  <c:v>28 DAYS</c:v>
                </c:pt>
                <c:pt idx="4">
                  <c:v>35 DAYS</c:v>
                </c:pt>
              </c:strCache>
            </c:strRef>
          </c:cat>
          <c:val>
            <c:numRef>
              <c:f>Sheet5!$C$7:$G$7</c:f>
              <c:numCache>
                <c:formatCode>General</c:formatCode>
                <c:ptCount val="5"/>
                <c:pt idx="0">
                  <c:v>30.299999999999986</c:v>
                </c:pt>
                <c:pt idx="1">
                  <c:v>35.975000000000009</c:v>
                </c:pt>
                <c:pt idx="2">
                  <c:v>49.9</c:v>
                </c:pt>
                <c:pt idx="3">
                  <c:v>56.75</c:v>
                </c:pt>
                <c:pt idx="4">
                  <c:v>55.92</c:v>
                </c:pt>
              </c:numCache>
            </c:numRef>
          </c:val>
          <c:smooth val="0"/>
          <c:extLst>
            <c:ext xmlns:c16="http://schemas.microsoft.com/office/drawing/2014/chart" uri="{C3380CC4-5D6E-409C-BE32-E72D297353CC}">
              <c16:uniqueId val="{00000002-C240-40A1-A3DA-75F94931FCEC}"/>
            </c:ext>
          </c:extLst>
        </c:ser>
        <c:ser>
          <c:idx val="3"/>
          <c:order val="3"/>
          <c:tx>
            <c:strRef>
              <c:f>Sheet5!$B$8</c:f>
              <c:strCache>
                <c:ptCount val="1"/>
                <c:pt idx="0">
                  <c:v>V4</c:v>
                </c:pt>
              </c:strCache>
            </c:strRef>
          </c:tx>
          <c:marker>
            <c:symbol val="circle"/>
            <c:size val="8"/>
          </c:marker>
          <c:cat>
            <c:strRef>
              <c:f>Sheet5!$C$4:$G$4</c:f>
              <c:strCache>
                <c:ptCount val="5"/>
                <c:pt idx="0">
                  <c:v>7 DAYS</c:v>
                </c:pt>
                <c:pt idx="1">
                  <c:v>14 DAYS</c:v>
                </c:pt>
                <c:pt idx="2">
                  <c:v>21 DAYS</c:v>
                </c:pt>
                <c:pt idx="3">
                  <c:v>28 DAYS</c:v>
                </c:pt>
                <c:pt idx="4">
                  <c:v>35 DAYS</c:v>
                </c:pt>
              </c:strCache>
            </c:strRef>
          </c:cat>
          <c:val>
            <c:numRef>
              <c:f>Sheet5!$C$8:$G$8</c:f>
              <c:numCache>
                <c:formatCode>General</c:formatCode>
                <c:ptCount val="5"/>
                <c:pt idx="0">
                  <c:v>38.425000000000011</c:v>
                </c:pt>
                <c:pt idx="1">
                  <c:v>45.275000000000013</c:v>
                </c:pt>
                <c:pt idx="2">
                  <c:v>59.475000000000001</c:v>
                </c:pt>
                <c:pt idx="3">
                  <c:v>67.524999999999991</c:v>
                </c:pt>
                <c:pt idx="4">
                  <c:v>66.765000000000001</c:v>
                </c:pt>
              </c:numCache>
            </c:numRef>
          </c:val>
          <c:smooth val="0"/>
          <c:extLst>
            <c:ext xmlns:c16="http://schemas.microsoft.com/office/drawing/2014/chart" uri="{C3380CC4-5D6E-409C-BE32-E72D297353CC}">
              <c16:uniqueId val="{00000003-C240-40A1-A3DA-75F94931FCEC}"/>
            </c:ext>
          </c:extLst>
        </c:ser>
        <c:ser>
          <c:idx val="4"/>
          <c:order val="4"/>
          <c:tx>
            <c:strRef>
              <c:f>Sheet5!$B$9</c:f>
              <c:strCache>
                <c:ptCount val="1"/>
                <c:pt idx="0">
                  <c:v>V5</c:v>
                </c:pt>
              </c:strCache>
            </c:strRef>
          </c:tx>
          <c:marker>
            <c:symbol val="star"/>
            <c:size val="8"/>
          </c:marker>
          <c:cat>
            <c:strRef>
              <c:f>Sheet5!$C$4:$G$4</c:f>
              <c:strCache>
                <c:ptCount val="5"/>
                <c:pt idx="0">
                  <c:v>7 DAYS</c:v>
                </c:pt>
                <c:pt idx="1">
                  <c:v>14 DAYS</c:v>
                </c:pt>
                <c:pt idx="2">
                  <c:v>21 DAYS</c:v>
                </c:pt>
                <c:pt idx="3">
                  <c:v>28 DAYS</c:v>
                </c:pt>
                <c:pt idx="4">
                  <c:v>35 DAYS</c:v>
                </c:pt>
              </c:strCache>
            </c:strRef>
          </c:cat>
          <c:val>
            <c:numRef>
              <c:f>Sheet5!$C$9:$G$9</c:f>
              <c:numCache>
                <c:formatCode>General</c:formatCode>
                <c:ptCount val="5"/>
                <c:pt idx="0">
                  <c:v>32.550000000000004</c:v>
                </c:pt>
                <c:pt idx="1">
                  <c:v>49.275000000000013</c:v>
                </c:pt>
                <c:pt idx="2">
                  <c:v>60.800000000000004</c:v>
                </c:pt>
                <c:pt idx="3">
                  <c:v>68.975000000000009</c:v>
                </c:pt>
                <c:pt idx="4">
                  <c:v>62.052500000000002</c:v>
                </c:pt>
              </c:numCache>
            </c:numRef>
          </c:val>
          <c:smooth val="0"/>
          <c:extLst>
            <c:ext xmlns:c16="http://schemas.microsoft.com/office/drawing/2014/chart" uri="{C3380CC4-5D6E-409C-BE32-E72D297353CC}">
              <c16:uniqueId val="{00000004-C240-40A1-A3DA-75F94931FCEC}"/>
            </c:ext>
          </c:extLst>
        </c:ser>
        <c:dLbls>
          <c:showLegendKey val="0"/>
          <c:showVal val="0"/>
          <c:showCatName val="0"/>
          <c:showSerName val="0"/>
          <c:showPercent val="0"/>
          <c:showBubbleSize val="0"/>
        </c:dLbls>
        <c:marker val="1"/>
        <c:smooth val="0"/>
        <c:axId val="86976000"/>
        <c:axId val="86977536"/>
      </c:lineChart>
      <c:catAx>
        <c:axId val="86976000"/>
        <c:scaling>
          <c:orientation val="minMax"/>
        </c:scaling>
        <c:delete val="0"/>
        <c:axPos val="b"/>
        <c:numFmt formatCode="General" sourceLinked="0"/>
        <c:majorTickMark val="none"/>
        <c:minorTickMark val="none"/>
        <c:tickLblPos val="nextTo"/>
        <c:txPr>
          <a:bodyPr/>
          <a:lstStyle/>
          <a:p>
            <a:pPr>
              <a:defRPr sz="800" b="1" baseline="0"/>
            </a:pPr>
            <a:endParaRPr lang="en-US"/>
          </a:p>
        </c:txPr>
        <c:crossAx val="86977536"/>
        <c:crosses val="autoZero"/>
        <c:auto val="1"/>
        <c:lblAlgn val="ctr"/>
        <c:lblOffset val="100"/>
        <c:noMultiLvlLbl val="0"/>
      </c:catAx>
      <c:valAx>
        <c:axId val="86977536"/>
        <c:scaling>
          <c:orientation val="minMax"/>
          <c:max val="75"/>
          <c:min val="25"/>
        </c:scaling>
        <c:delete val="0"/>
        <c:axPos val="l"/>
        <c:majorGridlines/>
        <c:title>
          <c:tx>
            <c:rich>
              <a:bodyPr/>
              <a:lstStyle/>
              <a:p>
                <a:pPr>
                  <a:defRPr sz="1200">
                    <a:latin typeface="Times New Roman" pitchFamily="18" charset="0"/>
                    <a:cs typeface="Times New Roman" pitchFamily="18" charset="0"/>
                  </a:defRPr>
                </a:pPr>
                <a:r>
                  <a:rPr lang="en-US" sz="800" b="1" i="0" u="none" strike="noStrike" baseline="0">
                    <a:effectLst/>
                    <a:latin typeface="Times New Roman" pitchFamily="18" charset="0"/>
                    <a:cs typeface="Times New Roman" pitchFamily="18" charset="0"/>
                  </a:rPr>
                  <a:t>Pod  Length (mm</a:t>
                </a:r>
                <a:r>
                  <a:rPr lang="en-US" sz="1200" b="1" i="0" u="none" strike="noStrike" baseline="0">
                    <a:effectLst/>
                    <a:latin typeface="Times New Roman" pitchFamily="18" charset="0"/>
                    <a:cs typeface="Times New Roman" pitchFamily="18" charset="0"/>
                  </a:rPr>
                  <a:t> ) </a:t>
                </a:r>
                <a:endParaRPr lang="en-US" sz="1200">
                  <a:latin typeface="Times New Roman" pitchFamily="18" charset="0"/>
                  <a:cs typeface="Times New Roman" pitchFamily="18" charset="0"/>
                </a:endParaRPr>
              </a:p>
            </c:rich>
          </c:tx>
          <c:layout>
            <c:manualLayout>
              <c:xMode val="edge"/>
              <c:yMode val="edge"/>
              <c:x val="3.9305075432906036E-4"/>
              <c:y val="0.25412051292304838"/>
            </c:manualLayout>
          </c:layout>
          <c:overlay val="0"/>
        </c:title>
        <c:numFmt formatCode="General" sourceLinked="1"/>
        <c:majorTickMark val="none"/>
        <c:minorTickMark val="none"/>
        <c:tickLblPos val="nextTo"/>
        <c:txPr>
          <a:bodyPr/>
          <a:lstStyle/>
          <a:p>
            <a:pPr>
              <a:defRPr b="1"/>
            </a:pPr>
            <a:endParaRPr lang="en-US"/>
          </a:p>
        </c:txPr>
        <c:crossAx val="86976000"/>
        <c:crosses val="autoZero"/>
        <c:crossBetween val="between"/>
        <c:majorUnit val="5"/>
      </c:valAx>
      <c:spPr>
        <a:solidFill>
          <a:sysClr val="window" lastClr="FFFFFF"/>
        </a:solidFill>
        <a:ln>
          <a:solidFill>
            <a:srgbClr val="00B0F0"/>
          </a:solidFill>
        </a:ln>
      </c:spPr>
    </c:plotArea>
    <c:legend>
      <c:legendPos val="r"/>
      <c:legendEntry>
        <c:idx val="0"/>
        <c:txPr>
          <a:bodyPr/>
          <a:lstStyle/>
          <a:p>
            <a:pPr>
              <a:defRPr sz="800" b="1" baseline="0">
                <a:solidFill>
                  <a:schemeClr val="dk1"/>
                </a:solidFill>
                <a:latin typeface="Times New Roman" pitchFamily="18" charset="0"/>
                <a:ea typeface="+mn-ea"/>
                <a:cs typeface="Times New Roman" pitchFamily="18" charset="0"/>
              </a:defRPr>
            </a:pPr>
            <a:endParaRPr lang="en-US"/>
          </a:p>
        </c:txPr>
      </c:legendEntry>
      <c:layout>
        <c:manualLayout>
          <c:xMode val="edge"/>
          <c:yMode val="edge"/>
          <c:x val="0.80934629599871444"/>
          <c:y val="0.28368080357763314"/>
          <c:w val="0.18680507793668638"/>
          <c:h val="0.49345772114740816"/>
        </c:manualLayout>
      </c:layout>
      <c:overlay val="0"/>
      <c:spPr>
        <a:solidFill>
          <a:schemeClr val="lt1"/>
        </a:solidFill>
        <a:ln w="25400" cap="flat" cmpd="sng" algn="ctr">
          <a:solidFill>
            <a:schemeClr val="accent6"/>
          </a:solidFill>
          <a:prstDash val="solid"/>
        </a:ln>
        <a:effectLst/>
      </c:spPr>
      <c:txPr>
        <a:bodyPr/>
        <a:lstStyle/>
        <a:p>
          <a:pPr>
            <a:defRPr sz="1000" b="1">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lt1"/>
    </a:solidFill>
    <a:ln w="6350" cap="flat" cmpd="sng" algn="ctr">
      <a:solidFill>
        <a:sysClr val="windowText" lastClr="000000"/>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solidFill>
                  <a:schemeClr val="bg1"/>
                </a:solidFill>
              </a:defRPr>
            </a:pPr>
            <a:r>
              <a:rPr lang="en-US" sz="900" dirty="0">
                <a:solidFill>
                  <a:schemeClr val="bg1"/>
                </a:solidFill>
              </a:rPr>
              <a:t>Moisture Content (%)</a:t>
            </a:r>
          </a:p>
        </c:rich>
      </c:tx>
      <c:layout>
        <c:manualLayout>
          <c:xMode val="edge"/>
          <c:yMode val="edge"/>
          <c:x val="0.26178045951239093"/>
          <c:y val="3.3158331030671458E-2"/>
        </c:manualLayout>
      </c:layout>
      <c:overlay val="0"/>
      <c:spPr>
        <a:solidFill>
          <a:schemeClr val="tx1"/>
        </a:solidFill>
        <a:ln>
          <a:solidFill>
            <a:schemeClr val="accent4">
              <a:lumMod val="75000"/>
            </a:schemeClr>
          </a:solidFill>
        </a:ln>
      </c:spPr>
    </c:title>
    <c:autoTitleDeleted val="0"/>
    <c:plotArea>
      <c:layout>
        <c:manualLayout>
          <c:layoutTarget val="inner"/>
          <c:xMode val="edge"/>
          <c:yMode val="edge"/>
          <c:x val="0.15378473140478241"/>
          <c:y val="0.15342497676116712"/>
          <c:w val="0.84253466495194163"/>
          <c:h val="0.62591451197529369"/>
        </c:manualLayout>
      </c:layout>
      <c:lineChart>
        <c:grouping val="standard"/>
        <c:varyColors val="0"/>
        <c:ser>
          <c:idx val="0"/>
          <c:order val="0"/>
          <c:tx>
            <c:strRef>
              <c:f>Sheet5!$B$153</c:f>
              <c:strCache>
                <c:ptCount val="1"/>
                <c:pt idx="0">
                  <c:v>V1</c:v>
                </c:pt>
              </c:strCache>
            </c:strRef>
          </c:tx>
          <c:marker>
            <c:symbol val="triangle"/>
            <c:size val="5"/>
          </c:marker>
          <c:cat>
            <c:strRef>
              <c:f>Sheet5!$C$151:$G$152</c:f>
              <c:strCache>
                <c:ptCount val="5"/>
                <c:pt idx="0">
                  <c:v>7 DAYS</c:v>
                </c:pt>
                <c:pt idx="1">
                  <c:v>14 DAYS</c:v>
                </c:pt>
                <c:pt idx="2">
                  <c:v>21 DAYS</c:v>
                </c:pt>
                <c:pt idx="3">
                  <c:v>28 DAYS</c:v>
                </c:pt>
                <c:pt idx="4">
                  <c:v>35 DAYS</c:v>
                </c:pt>
              </c:strCache>
            </c:strRef>
          </c:cat>
          <c:val>
            <c:numRef>
              <c:f>Sheet5!$C$153:$G$153</c:f>
              <c:numCache>
                <c:formatCode>General</c:formatCode>
                <c:ptCount val="5"/>
                <c:pt idx="1">
                  <c:v>69.124999999999986</c:v>
                </c:pt>
                <c:pt idx="2">
                  <c:v>57.15</c:v>
                </c:pt>
                <c:pt idx="3">
                  <c:v>30.099999999999987</c:v>
                </c:pt>
                <c:pt idx="4">
                  <c:v>17.380000000000003</c:v>
                </c:pt>
              </c:numCache>
            </c:numRef>
          </c:val>
          <c:smooth val="0"/>
          <c:extLst>
            <c:ext xmlns:c16="http://schemas.microsoft.com/office/drawing/2014/chart" uri="{C3380CC4-5D6E-409C-BE32-E72D297353CC}">
              <c16:uniqueId val="{00000000-C84A-4956-93B4-5F72B3DFE9D7}"/>
            </c:ext>
          </c:extLst>
        </c:ser>
        <c:ser>
          <c:idx val="1"/>
          <c:order val="1"/>
          <c:tx>
            <c:strRef>
              <c:f>Sheet5!$B$154</c:f>
              <c:strCache>
                <c:ptCount val="1"/>
                <c:pt idx="0">
                  <c:v>V2</c:v>
                </c:pt>
              </c:strCache>
            </c:strRef>
          </c:tx>
          <c:marker>
            <c:symbol val="diamond"/>
            <c:size val="5"/>
          </c:marker>
          <c:cat>
            <c:strRef>
              <c:f>Sheet5!$C$151:$G$152</c:f>
              <c:strCache>
                <c:ptCount val="5"/>
                <c:pt idx="0">
                  <c:v>7 DAYS</c:v>
                </c:pt>
                <c:pt idx="1">
                  <c:v>14 DAYS</c:v>
                </c:pt>
                <c:pt idx="2">
                  <c:v>21 DAYS</c:v>
                </c:pt>
                <c:pt idx="3">
                  <c:v>28 DAYS</c:v>
                </c:pt>
                <c:pt idx="4">
                  <c:v>35 DAYS</c:v>
                </c:pt>
              </c:strCache>
            </c:strRef>
          </c:cat>
          <c:val>
            <c:numRef>
              <c:f>Sheet5!$C$154:$G$154</c:f>
              <c:numCache>
                <c:formatCode>General</c:formatCode>
                <c:ptCount val="5"/>
                <c:pt idx="1">
                  <c:v>73.8</c:v>
                </c:pt>
                <c:pt idx="2">
                  <c:v>63.150000000000006</c:v>
                </c:pt>
                <c:pt idx="3">
                  <c:v>34.075000000000003</c:v>
                </c:pt>
                <c:pt idx="4">
                  <c:v>19.254999999999999</c:v>
                </c:pt>
              </c:numCache>
            </c:numRef>
          </c:val>
          <c:smooth val="0"/>
          <c:extLst>
            <c:ext xmlns:c16="http://schemas.microsoft.com/office/drawing/2014/chart" uri="{C3380CC4-5D6E-409C-BE32-E72D297353CC}">
              <c16:uniqueId val="{00000001-C84A-4956-93B4-5F72B3DFE9D7}"/>
            </c:ext>
          </c:extLst>
        </c:ser>
        <c:ser>
          <c:idx val="2"/>
          <c:order val="2"/>
          <c:tx>
            <c:strRef>
              <c:f>Sheet5!$B$155</c:f>
              <c:strCache>
                <c:ptCount val="1"/>
                <c:pt idx="0">
                  <c:v>V3</c:v>
                </c:pt>
              </c:strCache>
            </c:strRef>
          </c:tx>
          <c:marker>
            <c:symbol val="circle"/>
            <c:size val="5"/>
          </c:marker>
          <c:cat>
            <c:strRef>
              <c:f>Sheet5!$C$151:$G$152</c:f>
              <c:strCache>
                <c:ptCount val="5"/>
                <c:pt idx="0">
                  <c:v>7 DAYS</c:v>
                </c:pt>
                <c:pt idx="1">
                  <c:v>14 DAYS</c:v>
                </c:pt>
                <c:pt idx="2">
                  <c:v>21 DAYS</c:v>
                </c:pt>
                <c:pt idx="3">
                  <c:v>28 DAYS</c:v>
                </c:pt>
                <c:pt idx="4">
                  <c:v>35 DAYS</c:v>
                </c:pt>
              </c:strCache>
            </c:strRef>
          </c:cat>
          <c:val>
            <c:numRef>
              <c:f>Sheet5!$C$155:$G$155</c:f>
              <c:numCache>
                <c:formatCode>General</c:formatCode>
                <c:ptCount val="5"/>
                <c:pt idx="1">
                  <c:v>64.825000000000003</c:v>
                </c:pt>
                <c:pt idx="2">
                  <c:v>50.4</c:v>
                </c:pt>
                <c:pt idx="3">
                  <c:v>31.924999999999986</c:v>
                </c:pt>
                <c:pt idx="4">
                  <c:v>16.1675</c:v>
                </c:pt>
              </c:numCache>
            </c:numRef>
          </c:val>
          <c:smooth val="0"/>
          <c:extLst>
            <c:ext xmlns:c16="http://schemas.microsoft.com/office/drawing/2014/chart" uri="{C3380CC4-5D6E-409C-BE32-E72D297353CC}">
              <c16:uniqueId val="{00000002-C84A-4956-93B4-5F72B3DFE9D7}"/>
            </c:ext>
          </c:extLst>
        </c:ser>
        <c:ser>
          <c:idx val="3"/>
          <c:order val="3"/>
          <c:tx>
            <c:strRef>
              <c:f>Sheet5!$B$156</c:f>
              <c:strCache>
                <c:ptCount val="1"/>
                <c:pt idx="0">
                  <c:v>V4</c:v>
                </c:pt>
              </c:strCache>
            </c:strRef>
          </c:tx>
          <c:marker>
            <c:symbol val="star"/>
            <c:size val="5"/>
          </c:marker>
          <c:cat>
            <c:strRef>
              <c:f>Sheet5!$C$151:$G$152</c:f>
              <c:strCache>
                <c:ptCount val="5"/>
                <c:pt idx="0">
                  <c:v>7 DAYS</c:v>
                </c:pt>
                <c:pt idx="1">
                  <c:v>14 DAYS</c:v>
                </c:pt>
                <c:pt idx="2">
                  <c:v>21 DAYS</c:v>
                </c:pt>
                <c:pt idx="3">
                  <c:v>28 DAYS</c:v>
                </c:pt>
                <c:pt idx="4">
                  <c:v>35 DAYS</c:v>
                </c:pt>
              </c:strCache>
            </c:strRef>
          </c:cat>
          <c:val>
            <c:numRef>
              <c:f>Sheet5!$C$156:$G$156</c:f>
              <c:numCache>
                <c:formatCode>General</c:formatCode>
                <c:ptCount val="5"/>
                <c:pt idx="1">
                  <c:v>58.800000000000004</c:v>
                </c:pt>
                <c:pt idx="2">
                  <c:v>46.525000000000013</c:v>
                </c:pt>
                <c:pt idx="3">
                  <c:v>28.424999999999986</c:v>
                </c:pt>
                <c:pt idx="4">
                  <c:v>16.815000000000001</c:v>
                </c:pt>
              </c:numCache>
            </c:numRef>
          </c:val>
          <c:smooth val="0"/>
          <c:extLst>
            <c:ext xmlns:c16="http://schemas.microsoft.com/office/drawing/2014/chart" uri="{C3380CC4-5D6E-409C-BE32-E72D297353CC}">
              <c16:uniqueId val="{00000003-C84A-4956-93B4-5F72B3DFE9D7}"/>
            </c:ext>
          </c:extLst>
        </c:ser>
        <c:ser>
          <c:idx val="4"/>
          <c:order val="4"/>
          <c:tx>
            <c:strRef>
              <c:f>Sheet5!$B$157</c:f>
              <c:strCache>
                <c:ptCount val="1"/>
                <c:pt idx="0">
                  <c:v>V5</c:v>
                </c:pt>
              </c:strCache>
            </c:strRef>
          </c:tx>
          <c:marker>
            <c:symbol val="square"/>
            <c:size val="5"/>
          </c:marker>
          <c:cat>
            <c:strRef>
              <c:f>Sheet5!$C$151:$G$152</c:f>
              <c:strCache>
                <c:ptCount val="5"/>
                <c:pt idx="0">
                  <c:v>7 DAYS</c:v>
                </c:pt>
                <c:pt idx="1">
                  <c:v>14 DAYS</c:v>
                </c:pt>
                <c:pt idx="2">
                  <c:v>21 DAYS</c:v>
                </c:pt>
                <c:pt idx="3">
                  <c:v>28 DAYS</c:v>
                </c:pt>
                <c:pt idx="4">
                  <c:v>35 DAYS</c:v>
                </c:pt>
              </c:strCache>
            </c:strRef>
          </c:cat>
          <c:val>
            <c:numRef>
              <c:f>Sheet5!$C$157:$G$157</c:f>
              <c:numCache>
                <c:formatCode>General</c:formatCode>
                <c:ptCount val="5"/>
                <c:pt idx="1">
                  <c:v>78.45</c:v>
                </c:pt>
                <c:pt idx="2">
                  <c:v>66.624999999999986</c:v>
                </c:pt>
                <c:pt idx="3">
                  <c:v>35.400000000000006</c:v>
                </c:pt>
                <c:pt idx="4">
                  <c:v>20.355</c:v>
                </c:pt>
              </c:numCache>
            </c:numRef>
          </c:val>
          <c:smooth val="0"/>
          <c:extLst>
            <c:ext xmlns:c16="http://schemas.microsoft.com/office/drawing/2014/chart" uri="{C3380CC4-5D6E-409C-BE32-E72D297353CC}">
              <c16:uniqueId val="{00000004-C84A-4956-93B4-5F72B3DFE9D7}"/>
            </c:ext>
          </c:extLst>
        </c:ser>
        <c:dLbls>
          <c:showLegendKey val="0"/>
          <c:showVal val="0"/>
          <c:showCatName val="0"/>
          <c:showSerName val="0"/>
          <c:showPercent val="0"/>
          <c:showBubbleSize val="0"/>
        </c:dLbls>
        <c:marker val="1"/>
        <c:smooth val="0"/>
        <c:axId val="87296640"/>
        <c:axId val="87343488"/>
      </c:lineChart>
      <c:catAx>
        <c:axId val="87296640"/>
        <c:scaling>
          <c:orientation val="minMax"/>
        </c:scaling>
        <c:delete val="0"/>
        <c:axPos val="b"/>
        <c:numFmt formatCode="General" sourceLinked="0"/>
        <c:majorTickMark val="none"/>
        <c:minorTickMark val="none"/>
        <c:tickLblPos val="nextTo"/>
        <c:txPr>
          <a:bodyPr/>
          <a:lstStyle/>
          <a:p>
            <a:pPr>
              <a:defRPr sz="900" baseline="0"/>
            </a:pPr>
            <a:endParaRPr lang="en-US"/>
          </a:p>
        </c:txPr>
        <c:crossAx val="87343488"/>
        <c:crosses val="autoZero"/>
        <c:auto val="1"/>
        <c:lblAlgn val="ctr"/>
        <c:lblOffset val="100"/>
        <c:noMultiLvlLbl val="0"/>
      </c:catAx>
      <c:valAx>
        <c:axId val="87343488"/>
        <c:scaling>
          <c:orientation val="minMax"/>
        </c:scaling>
        <c:delete val="0"/>
        <c:axPos val="l"/>
        <c:majorGridlines/>
        <c:numFmt formatCode="General" sourceLinked="1"/>
        <c:majorTickMark val="none"/>
        <c:minorTickMark val="none"/>
        <c:tickLblPos val="nextTo"/>
        <c:spPr>
          <a:ln w="9525">
            <a:noFill/>
          </a:ln>
        </c:spPr>
        <c:crossAx val="87296640"/>
        <c:crosses val="autoZero"/>
        <c:crossBetween val="between"/>
      </c:valAx>
      <c:spPr>
        <a:solidFill>
          <a:schemeClr val="bg1"/>
        </a:solidFill>
        <a:ln w="6350" cap="flat" cmpd="sng" algn="ctr">
          <a:solidFill>
            <a:schemeClr val="accent4"/>
          </a:solidFill>
          <a:prstDash val="solid"/>
        </a:ln>
        <a:effectLst/>
      </c:spPr>
    </c:plotArea>
    <c:legend>
      <c:legendPos val="b"/>
      <c:layout>
        <c:manualLayout>
          <c:xMode val="edge"/>
          <c:yMode val="edge"/>
          <c:x val="0.17281238003429458"/>
          <c:y val="0.20119417825155919"/>
          <c:w val="0.19326127570998369"/>
          <c:h val="0.50095777652916695"/>
        </c:manualLayout>
      </c:layout>
      <c:overlay val="0"/>
      <c:spPr>
        <a:solidFill>
          <a:schemeClr val="lt1"/>
        </a:solidFill>
        <a:ln w="25400" cap="flat" cmpd="sng" algn="ctr">
          <a:solidFill>
            <a:schemeClr val="accent2"/>
          </a:solidFill>
          <a:prstDash val="solid"/>
        </a:ln>
        <a:effectLst/>
      </c:spPr>
      <c:txPr>
        <a:bodyPr/>
        <a:lstStyle/>
        <a:p>
          <a:pPr>
            <a:defRPr sz="900" baseline="0">
              <a:solidFill>
                <a:schemeClr val="dk1"/>
              </a:solidFill>
              <a:latin typeface="+mn-lt"/>
              <a:ea typeface="+mn-ea"/>
              <a:cs typeface="+mn-cs"/>
            </a:defRPr>
          </a:pPr>
          <a:endParaRPr lang="en-US"/>
        </a:p>
      </c:txPr>
    </c:legend>
    <c:plotVisOnly val="1"/>
    <c:dispBlanksAs val="gap"/>
    <c:showDLblsOverMax val="0"/>
  </c:chart>
  <c:spPr>
    <a:solidFill>
      <a:schemeClr val="lt1"/>
    </a:solidFill>
    <a:ln w="6350"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06D84-D342-4E4F-86D8-DF10DFF2B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14</Pages>
  <Words>4279</Words>
  <Characters>24392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P MADAM</dc:creator>
  <cp:lastModifiedBy>SDI PC New 16</cp:lastModifiedBy>
  <cp:revision>51</cp:revision>
  <cp:lastPrinted>2024-06-26T10:27:00Z</cp:lastPrinted>
  <dcterms:created xsi:type="dcterms:W3CDTF">2024-05-14T07:20:00Z</dcterms:created>
  <dcterms:modified xsi:type="dcterms:W3CDTF">2025-02-22T12:02:00Z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8dd39327b36de6b5077f4e29a21fc15a1a2ca4404e16f80c59d9757eb708ba90</vt:lpwstr>
  </property>
</Properties>
</file>