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28328" w14:textId="77777777" w:rsidR="00135017" w:rsidRPr="00161ACA" w:rsidRDefault="00135017" w:rsidP="00161ACA">
      <w:pPr>
        <w:spacing w:after="120" w:line="360" w:lineRule="auto"/>
        <w:jc w:val="center"/>
        <w:rPr>
          <w:rFonts w:ascii="Times New Roman" w:hAnsi="Times New Roman" w:cs="Times New Roman"/>
          <w:b/>
          <w:bCs/>
          <w:color w:val="FF0000"/>
          <w:sz w:val="32"/>
          <w:szCs w:val="32"/>
        </w:rPr>
      </w:pPr>
      <w:r w:rsidRPr="00161ACA">
        <w:rPr>
          <w:rFonts w:ascii="Times New Roman" w:hAnsi="Times New Roman" w:cs="Times New Roman"/>
          <w:b/>
          <w:bCs/>
          <w:sz w:val="32"/>
          <w:szCs w:val="32"/>
        </w:rPr>
        <w:t>Influence of Irrigation Schedules and Cow Urine Spray on Density and Dry Biomass</w:t>
      </w:r>
      <w:r w:rsidR="00161ACA" w:rsidRPr="00161ACA">
        <w:rPr>
          <w:rFonts w:ascii="Times New Roman" w:hAnsi="Times New Roman" w:cs="Times New Roman"/>
          <w:b/>
          <w:bCs/>
          <w:sz w:val="32"/>
          <w:szCs w:val="32"/>
        </w:rPr>
        <w:t xml:space="preserve"> of </w:t>
      </w:r>
      <w:proofErr w:type="spellStart"/>
      <w:r w:rsidR="00161ACA" w:rsidRPr="00161ACA">
        <w:rPr>
          <w:rFonts w:ascii="Times New Roman" w:hAnsi="Times New Roman" w:cs="Times New Roman"/>
          <w:b/>
          <w:bCs/>
          <w:i/>
          <w:iCs/>
          <w:sz w:val="32"/>
          <w:szCs w:val="32"/>
        </w:rPr>
        <w:t>Cynodon</w:t>
      </w:r>
      <w:proofErr w:type="spellEnd"/>
      <w:r w:rsidR="00161ACA" w:rsidRPr="00161ACA">
        <w:rPr>
          <w:rFonts w:ascii="Times New Roman" w:hAnsi="Times New Roman" w:cs="Times New Roman"/>
          <w:b/>
          <w:bCs/>
          <w:i/>
          <w:iCs/>
          <w:sz w:val="32"/>
          <w:szCs w:val="32"/>
        </w:rPr>
        <w:t xml:space="preserve"> </w:t>
      </w:r>
      <w:proofErr w:type="spellStart"/>
      <w:r w:rsidR="00161ACA" w:rsidRPr="00161ACA">
        <w:rPr>
          <w:rFonts w:ascii="Times New Roman" w:hAnsi="Times New Roman" w:cs="Times New Roman"/>
          <w:b/>
          <w:bCs/>
          <w:i/>
          <w:iCs/>
          <w:sz w:val="32"/>
          <w:szCs w:val="32"/>
        </w:rPr>
        <w:t>dactylon</w:t>
      </w:r>
      <w:proofErr w:type="spellEnd"/>
    </w:p>
    <w:p w14:paraId="1F5EEECE" w14:textId="77777777" w:rsidR="005203A6" w:rsidRDefault="005203A6" w:rsidP="0032423A">
      <w:pPr>
        <w:spacing w:after="120" w:line="360" w:lineRule="auto"/>
        <w:jc w:val="both"/>
        <w:rPr>
          <w:rFonts w:ascii="Times New Roman" w:hAnsi="Times New Roman" w:cs="Times New Roman"/>
          <w:b/>
          <w:sz w:val="24"/>
          <w:szCs w:val="24"/>
        </w:rPr>
      </w:pPr>
    </w:p>
    <w:p w14:paraId="0A80FFAC" w14:textId="64D01FC0" w:rsidR="00FC7797" w:rsidRPr="008860FE" w:rsidRDefault="00FC7797" w:rsidP="0032423A">
      <w:pPr>
        <w:spacing w:after="120" w:line="360" w:lineRule="auto"/>
        <w:jc w:val="both"/>
        <w:rPr>
          <w:rFonts w:ascii="Times New Roman" w:hAnsi="Times New Roman" w:cs="Times New Roman"/>
          <w:b/>
          <w:sz w:val="24"/>
          <w:szCs w:val="24"/>
        </w:rPr>
      </w:pPr>
      <w:r w:rsidRPr="008860FE">
        <w:rPr>
          <w:rFonts w:ascii="Times New Roman" w:hAnsi="Times New Roman" w:cs="Times New Roman"/>
          <w:b/>
          <w:sz w:val="24"/>
          <w:szCs w:val="24"/>
        </w:rPr>
        <w:t xml:space="preserve">ABSTRACT </w:t>
      </w:r>
    </w:p>
    <w:tbl>
      <w:tblPr>
        <w:tblStyle w:val="TableGrid"/>
        <w:tblW w:w="0" w:type="auto"/>
        <w:tblLook w:val="04A0" w:firstRow="1" w:lastRow="0" w:firstColumn="1" w:lastColumn="0" w:noHBand="0" w:noVBand="1"/>
      </w:tblPr>
      <w:tblGrid>
        <w:gridCol w:w="9576"/>
      </w:tblGrid>
      <w:tr w:rsidR="006F4AC4" w:rsidRPr="0006142C" w14:paraId="6D4A9CE7" w14:textId="77777777" w:rsidTr="006F4AC4">
        <w:tc>
          <w:tcPr>
            <w:tcW w:w="9576" w:type="dxa"/>
          </w:tcPr>
          <w:p w14:paraId="11DD2E6C" w14:textId="23B8251A" w:rsidR="006F4AC4" w:rsidRPr="007E7BEE" w:rsidRDefault="00EF4C6C" w:rsidP="00C261C8">
            <w:pPr>
              <w:pStyle w:val="NormalWeb"/>
              <w:jc w:val="both"/>
            </w:pPr>
            <w:r w:rsidRPr="00EF4C6C">
              <w:rPr>
                <w:highlight w:val="yellow"/>
              </w:rPr>
              <w:t xml:space="preserve">The study aimed to assess the combined effect of irrigation scheduling and cow urine application on weed dynamics, focusing on the density and dry biomass of </w:t>
            </w:r>
            <w:proofErr w:type="spellStart"/>
            <w:r w:rsidRPr="00EF4C6C">
              <w:rPr>
                <w:rStyle w:val="Emphasis"/>
                <w:highlight w:val="yellow"/>
              </w:rPr>
              <w:t>Cynodon</w:t>
            </w:r>
            <w:proofErr w:type="spellEnd"/>
            <w:r w:rsidRPr="00EF4C6C">
              <w:rPr>
                <w:rStyle w:val="Emphasis"/>
                <w:highlight w:val="yellow"/>
              </w:rPr>
              <w:t xml:space="preserve"> </w:t>
            </w:r>
            <w:proofErr w:type="spellStart"/>
            <w:r w:rsidRPr="00EF4C6C">
              <w:rPr>
                <w:rStyle w:val="Emphasis"/>
                <w:highlight w:val="yellow"/>
              </w:rPr>
              <w:t>dactylon</w:t>
            </w:r>
            <w:proofErr w:type="spellEnd"/>
            <w:r w:rsidRPr="00EF4C6C">
              <w:rPr>
                <w:highlight w:val="yellow"/>
              </w:rPr>
              <w:t xml:space="preserve"> in wheat during the </w:t>
            </w:r>
            <w:proofErr w:type="spellStart"/>
            <w:r w:rsidRPr="00EF4C6C">
              <w:rPr>
                <w:highlight w:val="yellow"/>
              </w:rPr>
              <w:t>rabi</w:t>
            </w:r>
            <w:proofErr w:type="spellEnd"/>
            <w:r w:rsidRPr="00EF4C6C">
              <w:rPr>
                <w:highlight w:val="yellow"/>
              </w:rPr>
              <w:t xml:space="preserve"> seasons of 2019–20 and 2020–21 at the research farm of the Institute of Agricultural Sciences, Banaras Hindu University, Varanasi. A split-plot design was used with three main plots representing different irrigation schedules and seven subplots representing cow urine sprays at various growth stages of wheat and replicated thrice. Each treatment received a total of 4000 liters of cow urine per hectare, applied in equal doses at designated stages. The results revealed that neither irrigation schedules nor cow urine sprays significantly affected </w:t>
            </w:r>
            <w:proofErr w:type="spellStart"/>
            <w:r w:rsidRPr="00EF4C6C">
              <w:rPr>
                <w:rStyle w:val="Emphasis"/>
                <w:highlight w:val="yellow"/>
              </w:rPr>
              <w:t>Cynodon</w:t>
            </w:r>
            <w:proofErr w:type="spellEnd"/>
            <w:r w:rsidRPr="00EF4C6C">
              <w:rPr>
                <w:rStyle w:val="Emphasis"/>
                <w:highlight w:val="yellow"/>
              </w:rPr>
              <w:t xml:space="preserve"> </w:t>
            </w:r>
            <w:proofErr w:type="spellStart"/>
            <w:r w:rsidRPr="00EF4C6C">
              <w:rPr>
                <w:rStyle w:val="Emphasis"/>
                <w:highlight w:val="yellow"/>
              </w:rPr>
              <w:t>dactylon</w:t>
            </w:r>
            <w:proofErr w:type="spellEnd"/>
            <w:r w:rsidRPr="00EF4C6C">
              <w:rPr>
                <w:highlight w:val="yellow"/>
              </w:rPr>
              <w:t xml:space="preserve"> density or dry biomass across different growth stages during both years of the study. At 90 DAS, the minimum density was recorded under I1 in the first year and I2 in the second year, while the maximum occurred under I1 in both years. The lowest dry biomass was observed under I3 in the first year and I2 in the second year, whereas the highest dry biomass occurred under I1 across both years. For cow urine treatments, the minimum </w:t>
            </w:r>
            <w:proofErr w:type="spellStart"/>
            <w:r w:rsidRPr="00EF4C6C">
              <w:rPr>
                <w:rStyle w:val="Emphasis"/>
                <w:highlight w:val="yellow"/>
              </w:rPr>
              <w:t>Cynodon</w:t>
            </w:r>
            <w:proofErr w:type="spellEnd"/>
            <w:r w:rsidRPr="00EF4C6C">
              <w:rPr>
                <w:rStyle w:val="Emphasis"/>
                <w:highlight w:val="yellow"/>
              </w:rPr>
              <w:t xml:space="preserve"> </w:t>
            </w:r>
            <w:proofErr w:type="spellStart"/>
            <w:r w:rsidRPr="00EF4C6C">
              <w:rPr>
                <w:rStyle w:val="Emphasis"/>
                <w:highlight w:val="yellow"/>
              </w:rPr>
              <w:t>dactylon</w:t>
            </w:r>
            <w:proofErr w:type="spellEnd"/>
            <w:r w:rsidRPr="00EF4C6C">
              <w:rPr>
                <w:highlight w:val="yellow"/>
              </w:rPr>
              <w:t xml:space="preserve"> density was found in C6 during the first year and C2 during the second year, while the maximum density was recorded under C7 in both years. The study concluded that irrigation schedules and cow urine sprays at different wheat growth stages had no significant impact on the density or dry biomass of </w:t>
            </w:r>
            <w:proofErr w:type="spellStart"/>
            <w:r w:rsidRPr="00EF4C6C">
              <w:rPr>
                <w:rStyle w:val="Emphasis"/>
                <w:highlight w:val="yellow"/>
              </w:rPr>
              <w:t>Cynodon</w:t>
            </w:r>
            <w:proofErr w:type="spellEnd"/>
            <w:r w:rsidRPr="00EF4C6C">
              <w:rPr>
                <w:rStyle w:val="Emphasis"/>
                <w:highlight w:val="yellow"/>
              </w:rPr>
              <w:t xml:space="preserve"> </w:t>
            </w:r>
            <w:proofErr w:type="spellStart"/>
            <w:r w:rsidRPr="00EF4C6C">
              <w:rPr>
                <w:rStyle w:val="Emphasis"/>
                <w:highlight w:val="yellow"/>
              </w:rPr>
              <w:t>dactylon</w:t>
            </w:r>
            <w:proofErr w:type="spellEnd"/>
            <w:r w:rsidRPr="00EF4C6C">
              <w:rPr>
                <w:highlight w:val="yellow"/>
              </w:rPr>
              <w:t xml:space="preserve"> in either year.</w:t>
            </w:r>
          </w:p>
        </w:tc>
      </w:tr>
    </w:tbl>
    <w:p w14:paraId="6272488C" w14:textId="7108681A" w:rsidR="002331EF" w:rsidRPr="0006142C" w:rsidRDefault="002331EF" w:rsidP="007D5394">
      <w:pPr>
        <w:spacing w:after="120" w:line="360" w:lineRule="auto"/>
        <w:jc w:val="both"/>
        <w:rPr>
          <w:rFonts w:ascii="Times New Roman" w:hAnsi="Times New Roman" w:cs="Times New Roman"/>
          <w:b/>
          <w:bCs/>
          <w:color w:val="FF0000"/>
          <w:sz w:val="24"/>
          <w:szCs w:val="24"/>
        </w:rPr>
      </w:pPr>
      <w:r w:rsidRPr="00135017">
        <w:rPr>
          <w:rFonts w:ascii="Times New Roman" w:hAnsi="Times New Roman" w:cs="Times New Roman"/>
          <w:b/>
          <w:bCs/>
          <w:sz w:val="24"/>
          <w:szCs w:val="24"/>
        </w:rPr>
        <w:t xml:space="preserve">Key Words: </w:t>
      </w:r>
      <w:r w:rsidR="00161ACA">
        <w:rPr>
          <w:rFonts w:ascii="Times New Roman" w:hAnsi="Times New Roman" w:cs="Times New Roman"/>
          <w:sz w:val="24"/>
          <w:szCs w:val="24"/>
        </w:rPr>
        <w:t>Irrigation Schedules</w:t>
      </w:r>
      <w:r w:rsidRPr="00135017">
        <w:rPr>
          <w:rFonts w:ascii="Times New Roman" w:hAnsi="Times New Roman" w:cs="Times New Roman"/>
          <w:sz w:val="24"/>
          <w:szCs w:val="24"/>
        </w:rPr>
        <w:t>, Cow Urin</w:t>
      </w:r>
      <w:r w:rsidR="00923AD3">
        <w:rPr>
          <w:rFonts w:ascii="Times New Roman" w:hAnsi="Times New Roman" w:cs="Times New Roman"/>
          <w:sz w:val="24"/>
          <w:szCs w:val="24"/>
        </w:rPr>
        <w:t>e, Dry, Biomass, Weed, Density</w:t>
      </w:r>
      <w:r w:rsidRPr="0006142C">
        <w:rPr>
          <w:rFonts w:ascii="Times New Roman" w:hAnsi="Times New Roman" w:cs="Times New Roman"/>
          <w:b/>
          <w:bCs/>
          <w:color w:val="FF0000"/>
          <w:sz w:val="24"/>
          <w:szCs w:val="24"/>
        </w:rPr>
        <w:t xml:space="preserve"> </w:t>
      </w:r>
    </w:p>
    <w:p w14:paraId="5555FBCC" w14:textId="77777777" w:rsidR="00E37C80" w:rsidRPr="00135017" w:rsidRDefault="000E1A3D" w:rsidP="00AB737A">
      <w:pPr>
        <w:pStyle w:val="Heading1"/>
        <w:spacing w:before="190" w:line="360" w:lineRule="auto"/>
        <w:ind w:left="44"/>
        <w:rPr>
          <w:rFonts w:ascii="Times New Roman" w:hAnsi="Times New Roman" w:cs="Times New Roman"/>
          <w:sz w:val="24"/>
          <w:szCs w:val="24"/>
        </w:rPr>
      </w:pPr>
      <w:r w:rsidRPr="00135017">
        <w:rPr>
          <w:rFonts w:ascii="Times New Roman" w:hAnsi="Times New Roman" w:cs="Times New Roman"/>
          <w:spacing w:val="-2"/>
          <w:sz w:val="24"/>
          <w:szCs w:val="24"/>
        </w:rPr>
        <w:t xml:space="preserve">1. </w:t>
      </w:r>
      <w:r w:rsidR="00E37C80" w:rsidRPr="00135017">
        <w:rPr>
          <w:rFonts w:ascii="Times New Roman" w:hAnsi="Times New Roman" w:cs="Times New Roman"/>
          <w:spacing w:val="-2"/>
          <w:sz w:val="24"/>
          <w:szCs w:val="24"/>
        </w:rPr>
        <w:t>Introduction</w:t>
      </w:r>
    </w:p>
    <w:p w14:paraId="5EA9B240" w14:textId="1198311A" w:rsid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Wheat is one of the most important cereals in the world. In India, wheat is the second most important staple food after rice, consumed by nearly 65% of the Indian population, and ranks first in dietary shares in northern India represented by the Gangetic plains. Presently, wheat accounts for 96.64 MT. The productivity of wheat depends upon several factors such as crop establishment techniques, weed management, irrigation, cultural practices, fertilizer management, and others. Among these factors, the hidden war with crops starts with weeds, causing up to 90% crop loss</w:t>
      </w:r>
      <w:r w:rsidR="00923AD3">
        <w:rPr>
          <w:rFonts w:ascii="Times New Roman" w:eastAsia="Times New Roman" w:hAnsi="Times New Roman" w:cs="Times New Roman"/>
          <w:sz w:val="24"/>
          <w:szCs w:val="24"/>
        </w:rPr>
        <w:t xml:space="preserve"> [17]</w:t>
      </w:r>
      <w:r w:rsidRPr="007E7BEE">
        <w:rPr>
          <w:rFonts w:ascii="Times New Roman" w:eastAsia="Times New Roman" w:hAnsi="Times New Roman" w:cs="Times New Roman"/>
          <w:sz w:val="24"/>
          <w:szCs w:val="24"/>
        </w:rPr>
        <w:t>. According to world estimates, about 50% of losses in crop yield are due to different abiotic stresses under changing climatic conditions</w:t>
      </w:r>
      <w:r w:rsidR="00923AD3">
        <w:rPr>
          <w:rFonts w:ascii="Times New Roman" w:eastAsia="Times New Roman" w:hAnsi="Times New Roman" w:cs="Times New Roman"/>
          <w:sz w:val="24"/>
          <w:szCs w:val="24"/>
        </w:rPr>
        <w:t xml:space="preserve"> [19, 20]</w:t>
      </w:r>
      <w:r w:rsidRPr="007E7BEE">
        <w:rPr>
          <w:rFonts w:ascii="Times New Roman" w:eastAsia="Times New Roman" w:hAnsi="Times New Roman" w:cs="Times New Roman"/>
          <w:sz w:val="24"/>
          <w:szCs w:val="24"/>
        </w:rPr>
        <w:t>. The current weed problem has been aggravated due to the cultivation of high-yielding dwarf varieties, the use of high doses of fertilizers, frequent irrigation, and an increase in cropping intensity</w:t>
      </w:r>
      <w:r w:rsidR="00923AD3">
        <w:rPr>
          <w:rFonts w:ascii="Times New Roman" w:eastAsia="Times New Roman" w:hAnsi="Times New Roman" w:cs="Times New Roman"/>
          <w:sz w:val="24"/>
          <w:szCs w:val="24"/>
        </w:rPr>
        <w:t xml:space="preserve"> [16, 18]</w:t>
      </w:r>
      <w:r w:rsidRPr="007E7BEE">
        <w:rPr>
          <w:rFonts w:ascii="Times New Roman" w:eastAsia="Times New Roman" w:hAnsi="Times New Roman" w:cs="Times New Roman"/>
          <w:sz w:val="24"/>
          <w:szCs w:val="24"/>
        </w:rPr>
        <w:t>. However, the growth in production has led to India becoming the world’s second-largest producer of wheat.</w:t>
      </w:r>
    </w:p>
    <w:p w14:paraId="61D28B0D" w14:textId="455F66CC" w:rsidR="00FB3774" w:rsidRPr="00FB3774" w:rsidRDefault="00FB3774" w:rsidP="00FB3774">
      <w:pPr>
        <w:pStyle w:val="NormalWeb"/>
        <w:jc w:val="both"/>
        <w:rPr>
          <w:highlight w:val="yellow"/>
        </w:rPr>
      </w:pPr>
      <w:r w:rsidRPr="00FB3774">
        <w:rPr>
          <w:highlight w:val="yellow"/>
        </w:rPr>
        <w:t xml:space="preserve">Physiological growth stages, the climatological approach (IW/CPE ratio), and soil moisture depletion are three fundamental techniques for scheduling wheat irrigation. Among these, the climatological method is widely recognized by scientists and researchers worldwide for its </w:t>
      </w:r>
      <w:r w:rsidRPr="00FB3774">
        <w:rPr>
          <w:highlight w:val="yellow"/>
        </w:rPr>
        <w:lastRenderedPageBreak/>
        <w:t xml:space="preserve">scientific accuracy and practical application. It is well-established that crop evapotranspiration at full canopy cover is closely linked to open pan evaporation, making the irrigation schedule dependent on the ratio of irrigation water (IW) to cumulative pan evaporation (CPE) </w:t>
      </w:r>
      <w:r w:rsidR="00BC39A2">
        <w:rPr>
          <w:highlight w:val="yellow"/>
        </w:rPr>
        <w:t>[9</w:t>
      </w:r>
      <w:r w:rsidRPr="00FB3774">
        <w:rPr>
          <w:highlight w:val="yellow"/>
        </w:rPr>
        <w:t>].</w:t>
      </w:r>
    </w:p>
    <w:p w14:paraId="652D535A" w14:textId="536DEECA" w:rsidR="00FB3774" w:rsidRPr="00FB3774" w:rsidRDefault="00FB3774" w:rsidP="00FB3774">
      <w:pPr>
        <w:pStyle w:val="NormalWeb"/>
        <w:jc w:val="both"/>
        <w:rPr>
          <w:highlight w:val="yellow"/>
        </w:rPr>
      </w:pPr>
      <w:r w:rsidRPr="00FB3774">
        <w:rPr>
          <w:highlight w:val="yellow"/>
        </w:rPr>
        <w:t xml:space="preserve">Soil measurements and crop monitoring play a crucial role in informing irrigation schedules. Effective irrigation scheduling involves determining both the timing and the amount of water to be applied </w:t>
      </w:r>
      <w:r w:rsidR="00BC39A2">
        <w:rPr>
          <w:highlight w:val="yellow"/>
        </w:rPr>
        <w:t>[10, 13</w:t>
      </w:r>
      <w:r w:rsidRPr="00FB3774">
        <w:rPr>
          <w:highlight w:val="yellow"/>
        </w:rPr>
        <w:t>]. Understanding the plant’s initial soil water content helps make informed decisions, ensuring irrigation occurs at the right time to avoid water stress that could otherwise affect crop performance</w:t>
      </w:r>
      <w:r w:rsidR="00BC39A2">
        <w:rPr>
          <w:highlight w:val="yellow"/>
        </w:rPr>
        <w:t xml:space="preserve"> [11, 24</w:t>
      </w:r>
      <w:r w:rsidRPr="00FB3774">
        <w:rPr>
          <w:highlight w:val="yellow"/>
        </w:rPr>
        <w:t>].</w:t>
      </w:r>
    </w:p>
    <w:p w14:paraId="7F40B2A2" w14:textId="63330A78" w:rsidR="00FB3774" w:rsidRDefault="00FB3774" w:rsidP="00FB3774">
      <w:pPr>
        <w:pStyle w:val="NormalWeb"/>
        <w:jc w:val="both"/>
      </w:pPr>
      <w:r w:rsidRPr="00FB3774">
        <w:rPr>
          <w:highlight w:val="yellow"/>
        </w:rPr>
        <w:t>Accurate scheduling not only optimizes water use but also reduces costs and enhances crop quality by ensuring timely irrigation before water stress sets in. Improved irrigation timing is key to maximizing productivity and sustainability in wheat cultivation</w:t>
      </w:r>
      <w:r w:rsidR="00BC39A2">
        <w:rPr>
          <w:highlight w:val="yellow"/>
        </w:rPr>
        <w:t xml:space="preserve"> [12</w:t>
      </w:r>
      <w:r w:rsidRPr="00FB3774">
        <w:rPr>
          <w:highlight w:val="yellow"/>
        </w:rPr>
        <w:t>].</w:t>
      </w:r>
    </w:p>
    <w:p w14:paraId="2F2825BB" w14:textId="79645CCD"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The concept of organic farming has been gaining momentum with the use of different manures, as liquid organic manures can help maintain optimum crop yield by preserving soil fertility</w:t>
      </w:r>
      <w:r w:rsidR="00A34939">
        <w:rPr>
          <w:rFonts w:ascii="Times New Roman" w:eastAsia="Times New Roman" w:hAnsi="Times New Roman" w:cs="Times New Roman"/>
          <w:sz w:val="24"/>
          <w:szCs w:val="24"/>
        </w:rPr>
        <w:t xml:space="preserve"> [15]</w:t>
      </w:r>
      <w:r w:rsidRPr="007E7BEE">
        <w:rPr>
          <w:rFonts w:ascii="Times New Roman" w:eastAsia="Times New Roman" w:hAnsi="Times New Roman" w:cs="Times New Roman"/>
          <w:sz w:val="24"/>
          <w:szCs w:val="24"/>
        </w:rPr>
        <w:t>. The integrated use of inorganic fertilizers with liquid organic manures, such as cow urine, can support sustainable crop production. Cow urine contains 95% water, 2.5% urea, and 2.5% minerals, salts, hormones, and enzymes. It also contains essential minerals like iron, calcium, phosphorus, carbonic acid,</w:t>
      </w:r>
      <w:bookmarkStart w:id="0" w:name="_GoBack"/>
      <w:bookmarkEnd w:id="0"/>
      <w:r w:rsidRPr="007E7BEE">
        <w:rPr>
          <w:rFonts w:ascii="Times New Roman" w:eastAsia="Times New Roman" w:hAnsi="Times New Roman" w:cs="Times New Roman"/>
          <w:sz w:val="24"/>
          <w:szCs w:val="24"/>
        </w:rPr>
        <w:t xml:space="preserve"> potash, nitrogen, ammonia, manganese, </w:t>
      </w:r>
      <w:proofErr w:type="spellStart"/>
      <w:r w:rsidRPr="007E7BEE">
        <w:rPr>
          <w:rFonts w:ascii="Times New Roman" w:eastAsia="Times New Roman" w:hAnsi="Times New Roman" w:cs="Times New Roman"/>
          <w:sz w:val="24"/>
          <w:szCs w:val="24"/>
        </w:rPr>
        <w:t>sulphur</w:t>
      </w:r>
      <w:proofErr w:type="spellEnd"/>
      <w:r w:rsidRPr="007E7BEE">
        <w:rPr>
          <w:rFonts w:ascii="Times New Roman" w:eastAsia="Times New Roman" w:hAnsi="Times New Roman" w:cs="Times New Roman"/>
          <w:sz w:val="24"/>
          <w:szCs w:val="24"/>
        </w:rPr>
        <w:t>, phosphates, potassium, urea, uric acid, amino acids, enzymes, cytokinin, and lactose [1]. Research shows that only 20% of nitrogenous materials consumed by cattle are absorbed, while 80% are excreted in urine and dung. The beneficial effects of cow urine application have been reported on several crops such as mustard [2, 3, 4], maize [5], sweet corn [6], and vegetables/fruits like watermelon [7] and lablab bean [8].</w:t>
      </w:r>
    </w:p>
    <w:p w14:paraId="323C40AA" w14:textId="6C35AE6B"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Considering these facts</w:t>
      </w:r>
      <w:r w:rsidRPr="00A9728A">
        <w:rPr>
          <w:rFonts w:ascii="Times New Roman" w:eastAsia="Times New Roman" w:hAnsi="Times New Roman" w:cs="Times New Roman"/>
          <w:sz w:val="24"/>
          <w:szCs w:val="24"/>
          <w:highlight w:val="yellow"/>
        </w:rPr>
        <w:t>, the study was</w:t>
      </w:r>
      <w:r w:rsidRPr="007E7BEE">
        <w:rPr>
          <w:rFonts w:ascii="Times New Roman" w:eastAsia="Times New Roman" w:hAnsi="Times New Roman" w:cs="Times New Roman"/>
          <w:sz w:val="24"/>
          <w:szCs w:val="24"/>
        </w:rPr>
        <w:t xml:space="preserve"> carried out with the objective of determining the effect of irrigation schedules and cow urine spray on the density and dry biomass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and the growth attributes of wheat.</w:t>
      </w:r>
    </w:p>
    <w:p w14:paraId="4C898968" w14:textId="77777777" w:rsidR="000545A0" w:rsidRPr="0084517D" w:rsidRDefault="000E1A3D" w:rsidP="0032423A">
      <w:pPr>
        <w:spacing w:after="120" w:line="360" w:lineRule="auto"/>
        <w:jc w:val="both"/>
        <w:rPr>
          <w:rFonts w:ascii="Times New Roman" w:hAnsi="Times New Roman" w:cs="Times New Roman"/>
          <w:b/>
          <w:sz w:val="24"/>
          <w:szCs w:val="24"/>
        </w:rPr>
      </w:pPr>
      <w:r w:rsidRPr="0084517D">
        <w:rPr>
          <w:rFonts w:ascii="Times New Roman" w:hAnsi="Times New Roman" w:cs="Times New Roman"/>
          <w:b/>
          <w:sz w:val="24"/>
          <w:szCs w:val="24"/>
        </w:rPr>
        <w:t xml:space="preserve">2. </w:t>
      </w:r>
      <w:r w:rsidR="000545A0" w:rsidRPr="0084517D">
        <w:rPr>
          <w:rFonts w:ascii="Times New Roman" w:hAnsi="Times New Roman" w:cs="Times New Roman"/>
          <w:b/>
          <w:sz w:val="24"/>
          <w:szCs w:val="24"/>
        </w:rPr>
        <w:t xml:space="preserve">Materials and Methods </w:t>
      </w:r>
    </w:p>
    <w:p w14:paraId="536937D7" w14:textId="77777777" w:rsidR="007E7BEE" w:rsidRPr="007E7BEE" w:rsidRDefault="007E7BEE" w:rsidP="007E7BEE">
      <w:pPr>
        <w:pStyle w:val="BodyText2"/>
      </w:pPr>
      <w:r w:rsidRPr="007E7BEE">
        <w:t xml:space="preserve">The experiment was carried out at the Agricultural Research Farm, Institute of Agricultural Sciences, Banaras Hindu University, Varanasi, during the </w:t>
      </w:r>
      <w:proofErr w:type="spellStart"/>
      <w:r w:rsidRPr="007E7BEE">
        <w:t>rabi</w:t>
      </w:r>
      <w:proofErr w:type="spellEnd"/>
      <w:r w:rsidRPr="007E7BEE">
        <w:t xml:space="preserve"> seasons of 2019-20 and 2020-21, using the wheat variety HD2967. A split-plot design was employed, consisting of three main plots and seven subplots, replicated three times. The main plot treatments included three irrigation levels: I1 - Irrigation Water (IW)/Cumulative Pan Evaporation (CPE) 0.7, I2 - IW/CPE 1.0, and I3 - IW/CPE 1.2.</w:t>
      </w:r>
    </w:p>
    <w:p w14:paraId="069023E0"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The subplots involved different cow urine spray treatments at various growth stages of wheat: C1 - Control (no cow urine), C2 - Spray at the CRI stage, C3 - Spray at CRI +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C4 - Spray at CRI +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 late jointing, C5 - Spray at CRI +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 late jointing + flowering, C6 - Spray at CRI +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 late jointing + flowering + milking, and C7 - Spray at CRI +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 late jointing + flowering + milking + maturity stages. Each treatment received a total of 4000 liters of cow urine per hectare. For instance, in treatment C3, cow urine was applied at the rate of </w:t>
      </w:r>
      <w:r w:rsidRPr="007E7BEE">
        <w:rPr>
          <w:rFonts w:ascii="Times New Roman" w:eastAsia="Times New Roman" w:hAnsi="Times New Roman" w:cs="Times New Roman"/>
          <w:sz w:val="24"/>
          <w:szCs w:val="24"/>
        </w:rPr>
        <w:lastRenderedPageBreak/>
        <w:t xml:space="preserve">2000 liters per hectare during the CRI stage and another 2000 liters per hectare at the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stage.</w:t>
      </w:r>
    </w:p>
    <w:p w14:paraId="62BD0A03"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Observations focused on the density and dry biomass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The collected data were analyzed using analysis of variance (ANOVA), and means were compared using the least significant difference (LSD) test at a 5% significance level.</w:t>
      </w:r>
    </w:p>
    <w:p w14:paraId="0935F36E" w14:textId="77777777" w:rsidR="001A4A7A" w:rsidRPr="0084517D" w:rsidRDefault="000E1A3D" w:rsidP="0032423A">
      <w:pPr>
        <w:spacing w:after="120" w:line="360" w:lineRule="auto"/>
        <w:jc w:val="both"/>
        <w:rPr>
          <w:rFonts w:ascii="Times New Roman" w:hAnsi="Times New Roman" w:cs="Times New Roman"/>
          <w:bCs/>
          <w:sz w:val="24"/>
          <w:szCs w:val="24"/>
        </w:rPr>
      </w:pPr>
      <w:r w:rsidRPr="0084517D">
        <w:rPr>
          <w:rFonts w:ascii="Times New Roman" w:hAnsi="Times New Roman" w:cs="Times New Roman"/>
          <w:b/>
          <w:sz w:val="24"/>
          <w:szCs w:val="24"/>
        </w:rPr>
        <w:t xml:space="preserve">3. </w:t>
      </w:r>
      <w:r w:rsidR="000517DD" w:rsidRPr="0084517D">
        <w:rPr>
          <w:rFonts w:ascii="Times New Roman" w:hAnsi="Times New Roman" w:cs="Times New Roman"/>
          <w:b/>
          <w:sz w:val="24"/>
          <w:szCs w:val="24"/>
        </w:rPr>
        <w:t>Results and Discussion</w:t>
      </w:r>
      <w:r w:rsidR="001A4A7A" w:rsidRPr="0084517D">
        <w:rPr>
          <w:rFonts w:ascii="Times New Roman" w:hAnsi="Times New Roman" w:cs="Times New Roman"/>
          <w:bCs/>
          <w:sz w:val="24"/>
          <w:szCs w:val="24"/>
        </w:rPr>
        <w:t xml:space="preserve"> </w:t>
      </w:r>
    </w:p>
    <w:p w14:paraId="75C86A5F" w14:textId="77777777" w:rsidR="00C261C8" w:rsidRDefault="007E7BEE" w:rsidP="00C261C8">
      <w:pPr>
        <w:spacing w:before="100" w:beforeAutospacing="1" w:after="100" w:afterAutospacing="1" w:line="240" w:lineRule="auto"/>
        <w:jc w:val="both"/>
        <w:rPr>
          <w:rFonts w:ascii="Times New Roman" w:eastAsia="Times New Roman" w:hAnsi="Times New Roman" w:cs="Times New Roman"/>
          <w:b/>
          <w:bCs/>
          <w:i/>
          <w:iCs/>
          <w:sz w:val="24"/>
          <w:szCs w:val="24"/>
        </w:rPr>
      </w:pPr>
      <w:r w:rsidRPr="007E7BEE">
        <w:rPr>
          <w:rFonts w:ascii="Times New Roman" w:eastAsia="Times New Roman" w:hAnsi="Times New Roman" w:cs="Times New Roman"/>
          <w:b/>
          <w:bCs/>
          <w:sz w:val="24"/>
          <w:szCs w:val="24"/>
        </w:rPr>
        <w:t xml:space="preserve">3.1 Effect on Density of </w:t>
      </w:r>
      <w:proofErr w:type="spellStart"/>
      <w:r w:rsidRPr="007E7BEE">
        <w:rPr>
          <w:rFonts w:ascii="Times New Roman" w:eastAsia="Times New Roman" w:hAnsi="Times New Roman" w:cs="Times New Roman"/>
          <w:b/>
          <w:bCs/>
          <w:i/>
          <w:iCs/>
          <w:sz w:val="24"/>
          <w:szCs w:val="24"/>
        </w:rPr>
        <w:t>Cynodon</w:t>
      </w:r>
      <w:proofErr w:type="spellEnd"/>
      <w:r w:rsidRPr="007E7BEE">
        <w:rPr>
          <w:rFonts w:ascii="Times New Roman" w:eastAsia="Times New Roman" w:hAnsi="Times New Roman" w:cs="Times New Roman"/>
          <w:b/>
          <w:bCs/>
          <w:i/>
          <w:iCs/>
          <w:sz w:val="24"/>
          <w:szCs w:val="24"/>
        </w:rPr>
        <w:t xml:space="preserve"> </w:t>
      </w:r>
      <w:proofErr w:type="spellStart"/>
      <w:r w:rsidRPr="007E7BEE">
        <w:rPr>
          <w:rFonts w:ascii="Times New Roman" w:eastAsia="Times New Roman" w:hAnsi="Times New Roman" w:cs="Times New Roman"/>
          <w:b/>
          <w:bCs/>
          <w:i/>
          <w:iCs/>
          <w:sz w:val="24"/>
          <w:szCs w:val="24"/>
        </w:rPr>
        <w:t>dactylon</w:t>
      </w:r>
      <w:proofErr w:type="spellEnd"/>
    </w:p>
    <w:p w14:paraId="24A5AD2F"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The results indicated that the density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was not significantly affected by different irrigation schedules (I) and cow urine (CU) applications at various intervals in the wheat crop during both experimental years.</w:t>
      </w:r>
    </w:p>
    <w:p w14:paraId="02F1A27E" w14:textId="77777777" w:rsidR="00C261C8" w:rsidRDefault="007E7BEE"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7E7BEE">
        <w:rPr>
          <w:rFonts w:ascii="Times New Roman" w:eastAsia="Times New Roman" w:hAnsi="Times New Roman" w:cs="Times New Roman"/>
          <w:b/>
          <w:bCs/>
          <w:sz w:val="24"/>
          <w:szCs w:val="24"/>
        </w:rPr>
        <w:t xml:space="preserve">3.1.1 Effect on Density of </w:t>
      </w:r>
      <w:proofErr w:type="spellStart"/>
      <w:r w:rsidRPr="007E7BEE">
        <w:rPr>
          <w:rFonts w:ascii="Times New Roman" w:eastAsia="Times New Roman" w:hAnsi="Times New Roman" w:cs="Times New Roman"/>
          <w:b/>
          <w:bCs/>
          <w:i/>
          <w:iCs/>
          <w:sz w:val="24"/>
          <w:szCs w:val="24"/>
        </w:rPr>
        <w:t>Cynodon</w:t>
      </w:r>
      <w:proofErr w:type="spellEnd"/>
      <w:r w:rsidRPr="007E7BEE">
        <w:rPr>
          <w:rFonts w:ascii="Times New Roman" w:eastAsia="Times New Roman" w:hAnsi="Times New Roman" w:cs="Times New Roman"/>
          <w:b/>
          <w:bCs/>
          <w:i/>
          <w:iCs/>
          <w:sz w:val="24"/>
          <w:szCs w:val="24"/>
        </w:rPr>
        <w:t xml:space="preserve"> </w:t>
      </w:r>
      <w:proofErr w:type="spellStart"/>
      <w:r w:rsidRPr="007E7BEE">
        <w:rPr>
          <w:rFonts w:ascii="Times New Roman" w:eastAsia="Times New Roman" w:hAnsi="Times New Roman" w:cs="Times New Roman"/>
          <w:b/>
          <w:bCs/>
          <w:i/>
          <w:iCs/>
          <w:sz w:val="24"/>
          <w:szCs w:val="24"/>
        </w:rPr>
        <w:t>dactylon</w:t>
      </w:r>
      <w:proofErr w:type="spellEnd"/>
      <w:r w:rsidRPr="007E7BEE">
        <w:rPr>
          <w:rFonts w:ascii="Times New Roman" w:eastAsia="Times New Roman" w:hAnsi="Times New Roman" w:cs="Times New Roman"/>
          <w:b/>
          <w:bCs/>
          <w:sz w:val="24"/>
          <w:szCs w:val="24"/>
        </w:rPr>
        <w:t xml:space="preserve"> at 30 DAS</w:t>
      </w:r>
    </w:p>
    <w:p w14:paraId="379BA247" w14:textId="6682D7BE" w:rsidR="00726D76" w:rsidRDefault="007E7BEE" w:rsidP="00726D76">
      <w:pPr>
        <w:jc w:val="both"/>
      </w:pPr>
      <w:r w:rsidRPr="007E7BEE">
        <w:rPr>
          <w:rFonts w:ascii="Times New Roman" w:eastAsia="Times New Roman" w:hAnsi="Times New Roman" w:cs="Times New Roman"/>
          <w:sz w:val="24"/>
          <w:szCs w:val="24"/>
        </w:rPr>
        <w:t xml:space="preserve">Regarding irrigation schedules, the lowest densities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were observed under </w:t>
      </w:r>
      <w:r w:rsidRPr="007E7BEE">
        <w:rPr>
          <w:rFonts w:ascii="Times New Roman" w:eastAsia="Times New Roman" w:hAnsi="Times New Roman" w:cs="Times New Roman"/>
          <w:b/>
          <w:bCs/>
          <w:sz w:val="24"/>
          <w:szCs w:val="24"/>
        </w:rPr>
        <w:t>I3 (IW/CPE 1.2)</w:t>
      </w:r>
      <w:r w:rsidRPr="007E7BEE">
        <w:rPr>
          <w:rFonts w:ascii="Times New Roman" w:eastAsia="Times New Roman" w:hAnsi="Times New Roman" w:cs="Times New Roman"/>
          <w:sz w:val="24"/>
          <w:szCs w:val="24"/>
        </w:rPr>
        <w:t xml:space="preserve">, recording </w:t>
      </w:r>
      <w:r w:rsidRPr="007E7BEE">
        <w:rPr>
          <w:rFonts w:ascii="Times New Roman" w:eastAsia="Times New Roman" w:hAnsi="Times New Roman" w:cs="Times New Roman"/>
          <w:b/>
          <w:bCs/>
          <w:sz w:val="24"/>
          <w:szCs w:val="24"/>
        </w:rPr>
        <w:t>8.42</w:t>
      </w:r>
      <w:r w:rsidRPr="007E7BEE">
        <w:rPr>
          <w:rFonts w:ascii="Times New Roman" w:eastAsia="Times New Roman" w:hAnsi="Times New Roman" w:cs="Times New Roman"/>
          <w:sz w:val="24"/>
          <w:szCs w:val="24"/>
        </w:rPr>
        <w:t xml:space="preserve"> in the first year, and under </w:t>
      </w:r>
      <w:r w:rsidRPr="007E7BEE">
        <w:rPr>
          <w:rFonts w:ascii="Times New Roman" w:eastAsia="Times New Roman" w:hAnsi="Times New Roman" w:cs="Times New Roman"/>
          <w:b/>
          <w:bCs/>
          <w:sz w:val="24"/>
          <w:szCs w:val="24"/>
        </w:rPr>
        <w:t>I1 (IW/CPE 0.7)</w:t>
      </w:r>
      <w:r w:rsidRPr="007E7BEE">
        <w:rPr>
          <w:rFonts w:ascii="Times New Roman" w:eastAsia="Times New Roman" w:hAnsi="Times New Roman" w:cs="Times New Roman"/>
          <w:sz w:val="24"/>
          <w:szCs w:val="24"/>
        </w:rPr>
        <w:t xml:space="preserve">, recording </w:t>
      </w:r>
      <w:r w:rsidRPr="007E7BEE">
        <w:rPr>
          <w:rFonts w:ascii="Times New Roman" w:eastAsia="Times New Roman" w:hAnsi="Times New Roman" w:cs="Times New Roman"/>
          <w:b/>
          <w:bCs/>
          <w:sz w:val="24"/>
          <w:szCs w:val="24"/>
        </w:rPr>
        <w:t>10.27</w:t>
      </w:r>
      <w:r w:rsidRPr="007E7BEE">
        <w:rPr>
          <w:rFonts w:ascii="Times New Roman" w:eastAsia="Times New Roman" w:hAnsi="Times New Roman" w:cs="Times New Roman"/>
          <w:sz w:val="24"/>
          <w:szCs w:val="24"/>
        </w:rPr>
        <w:t xml:space="preserve"> in the second year of the trial (Fig. 1). Conversely, the highest densities were noted under </w:t>
      </w:r>
      <w:r w:rsidRPr="007E7BEE">
        <w:rPr>
          <w:rFonts w:ascii="Times New Roman" w:eastAsia="Times New Roman" w:hAnsi="Times New Roman" w:cs="Times New Roman"/>
          <w:b/>
          <w:bCs/>
          <w:sz w:val="24"/>
          <w:szCs w:val="24"/>
        </w:rPr>
        <w:t>I1 (IW/CPE 0.7)</w:t>
      </w:r>
      <w:r w:rsidRPr="007E7BEE">
        <w:rPr>
          <w:rFonts w:ascii="Times New Roman" w:eastAsia="Times New Roman" w:hAnsi="Times New Roman" w:cs="Times New Roman"/>
          <w:sz w:val="24"/>
          <w:szCs w:val="24"/>
        </w:rPr>
        <w:t xml:space="preserve"> in the first year (</w:t>
      </w:r>
      <w:r w:rsidRPr="007E7BEE">
        <w:rPr>
          <w:rFonts w:ascii="Times New Roman" w:eastAsia="Times New Roman" w:hAnsi="Times New Roman" w:cs="Times New Roman"/>
          <w:b/>
          <w:bCs/>
          <w:sz w:val="24"/>
          <w:szCs w:val="24"/>
        </w:rPr>
        <w:t>8.09</w:t>
      </w:r>
      <w:r w:rsidRPr="007E7BEE">
        <w:rPr>
          <w:rFonts w:ascii="Times New Roman" w:eastAsia="Times New Roman" w:hAnsi="Times New Roman" w:cs="Times New Roman"/>
          <w:sz w:val="24"/>
          <w:szCs w:val="24"/>
        </w:rPr>
        <w:t xml:space="preserve">) and under </w:t>
      </w:r>
      <w:r w:rsidRPr="007E7BEE">
        <w:rPr>
          <w:rFonts w:ascii="Times New Roman" w:eastAsia="Times New Roman" w:hAnsi="Times New Roman" w:cs="Times New Roman"/>
          <w:b/>
          <w:bCs/>
          <w:sz w:val="24"/>
          <w:szCs w:val="24"/>
        </w:rPr>
        <w:t>I3 (IW/CPE 1.2)</w:t>
      </w:r>
      <w:r w:rsidRPr="007E7BEE">
        <w:rPr>
          <w:rFonts w:ascii="Times New Roman" w:eastAsia="Times New Roman" w:hAnsi="Times New Roman" w:cs="Times New Roman"/>
          <w:sz w:val="24"/>
          <w:szCs w:val="24"/>
        </w:rPr>
        <w:t xml:space="preserve"> in the second year (</w:t>
      </w:r>
      <w:r w:rsidRPr="007E7BEE">
        <w:rPr>
          <w:rFonts w:ascii="Times New Roman" w:eastAsia="Times New Roman" w:hAnsi="Times New Roman" w:cs="Times New Roman"/>
          <w:b/>
          <w:bCs/>
          <w:sz w:val="24"/>
          <w:szCs w:val="24"/>
        </w:rPr>
        <w:t>11.09</w:t>
      </w:r>
      <w:r w:rsidRPr="007E7BEE">
        <w:rPr>
          <w:rFonts w:ascii="Times New Roman" w:eastAsia="Times New Roman" w:hAnsi="Times New Roman" w:cs="Times New Roman"/>
          <w:sz w:val="24"/>
          <w:szCs w:val="24"/>
        </w:rPr>
        <w:t>) (Fig. 1).</w:t>
      </w:r>
      <w:r w:rsidR="00726D76">
        <w:rPr>
          <w:rFonts w:ascii="Times New Roman" w:eastAsia="Times New Roman" w:hAnsi="Times New Roman" w:cs="Times New Roman"/>
          <w:sz w:val="24"/>
          <w:szCs w:val="24"/>
        </w:rPr>
        <w:t xml:space="preserve"> </w:t>
      </w:r>
      <w:r w:rsidRPr="007E7BEE">
        <w:rPr>
          <w:rFonts w:ascii="Times New Roman" w:eastAsia="Times New Roman" w:hAnsi="Times New Roman" w:cs="Times New Roman"/>
          <w:sz w:val="24"/>
          <w:szCs w:val="24"/>
        </w:rPr>
        <w:t xml:space="preserve">In terms of cow urine application, the minimum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density was recorded under </w:t>
      </w:r>
      <w:r w:rsidRPr="007E7BEE">
        <w:rPr>
          <w:rFonts w:ascii="Times New Roman" w:eastAsia="Times New Roman" w:hAnsi="Times New Roman" w:cs="Times New Roman"/>
          <w:b/>
          <w:bCs/>
          <w:sz w:val="24"/>
          <w:szCs w:val="24"/>
        </w:rPr>
        <w:t>C2</w:t>
      </w:r>
      <w:r w:rsidRPr="007E7BEE">
        <w:rPr>
          <w:rFonts w:ascii="Times New Roman" w:eastAsia="Times New Roman" w:hAnsi="Times New Roman" w:cs="Times New Roman"/>
          <w:sz w:val="24"/>
          <w:szCs w:val="24"/>
        </w:rPr>
        <w:t xml:space="preserve"> (cow urine @ 4000 L at CRI) during both years of the study. On the other hand, the maximum density was observed in </w:t>
      </w:r>
      <w:r w:rsidRPr="007E7BEE">
        <w:rPr>
          <w:rFonts w:ascii="Times New Roman" w:eastAsia="Times New Roman" w:hAnsi="Times New Roman" w:cs="Times New Roman"/>
          <w:b/>
          <w:bCs/>
          <w:sz w:val="24"/>
          <w:szCs w:val="24"/>
        </w:rPr>
        <w:t>C1</w:t>
      </w:r>
      <w:r w:rsidRPr="007E7BEE">
        <w:rPr>
          <w:rFonts w:ascii="Times New Roman" w:eastAsia="Times New Roman" w:hAnsi="Times New Roman" w:cs="Times New Roman"/>
          <w:sz w:val="24"/>
          <w:szCs w:val="24"/>
        </w:rPr>
        <w:t xml:space="preserve"> (Control) during the first year and in </w:t>
      </w:r>
      <w:r w:rsidRPr="007E7BEE">
        <w:rPr>
          <w:rFonts w:ascii="Times New Roman" w:eastAsia="Times New Roman" w:hAnsi="Times New Roman" w:cs="Times New Roman"/>
          <w:b/>
          <w:bCs/>
          <w:sz w:val="24"/>
          <w:szCs w:val="24"/>
        </w:rPr>
        <w:t>C4</w:t>
      </w:r>
      <w:r w:rsidRPr="007E7BEE">
        <w:rPr>
          <w:rFonts w:ascii="Times New Roman" w:eastAsia="Times New Roman" w:hAnsi="Times New Roman" w:cs="Times New Roman"/>
          <w:sz w:val="24"/>
          <w:szCs w:val="24"/>
        </w:rPr>
        <w:t xml:space="preserve"> (cow urine @ 4000 L at CRI + </w:t>
      </w:r>
      <w:proofErr w:type="spellStart"/>
      <w:r w:rsidRPr="007E7BEE">
        <w:rPr>
          <w:rFonts w:ascii="Times New Roman" w:eastAsia="Times New Roman" w:hAnsi="Times New Roman" w:cs="Times New Roman"/>
          <w:sz w:val="24"/>
          <w:szCs w:val="24"/>
        </w:rPr>
        <w:t>Tillering</w:t>
      </w:r>
      <w:proofErr w:type="spellEnd"/>
      <w:r w:rsidRPr="007E7BEE">
        <w:rPr>
          <w:rFonts w:ascii="Times New Roman" w:eastAsia="Times New Roman" w:hAnsi="Times New Roman" w:cs="Times New Roman"/>
          <w:sz w:val="24"/>
          <w:szCs w:val="24"/>
        </w:rPr>
        <w:t xml:space="preserve"> + Late Jointing) during the second year.</w:t>
      </w:r>
      <w:r w:rsidR="00726D76">
        <w:rPr>
          <w:rFonts w:ascii="Times New Roman" w:eastAsia="Times New Roman" w:hAnsi="Times New Roman" w:cs="Times New Roman"/>
          <w:sz w:val="24"/>
          <w:szCs w:val="24"/>
        </w:rPr>
        <w:t xml:space="preserve"> </w:t>
      </w:r>
      <w:r w:rsidR="00726D76" w:rsidRPr="00BB74BE">
        <w:rPr>
          <w:rFonts w:ascii="Times New Roman" w:eastAsia="Times New Roman" w:hAnsi="Times New Roman" w:cs="Times New Roman"/>
          <w:sz w:val="24"/>
          <w:szCs w:val="24"/>
          <w:highlight w:val="yellow"/>
        </w:rPr>
        <w:t>This</w:t>
      </w:r>
      <w:r w:rsidR="00EC4527">
        <w:rPr>
          <w:rFonts w:ascii="Times New Roman" w:eastAsia="Times New Roman" w:hAnsi="Times New Roman" w:cs="Times New Roman"/>
          <w:sz w:val="24"/>
          <w:szCs w:val="24"/>
          <w:highlight w:val="yellow"/>
        </w:rPr>
        <w:t xml:space="preserve"> aligns with Meena et al. [11]</w:t>
      </w:r>
      <w:r w:rsidR="00726D76" w:rsidRPr="00BB74BE">
        <w:rPr>
          <w:rFonts w:ascii="Times New Roman" w:eastAsia="Times New Roman" w:hAnsi="Times New Roman" w:cs="Times New Roman"/>
          <w:sz w:val="24"/>
          <w:szCs w:val="24"/>
          <w:highlight w:val="yellow"/>
        </w:rPr>
        <w:t xml:space="preserve">, who also found that higher irrigation frequencies tended to suppress weed emergence, likely due to improved crop growth and canopy cover, which limited light availability to weeds. Conversely, the highest densities were noted under I1 in the first year (8.09) and under I3 in the second year (11.09), suggesting that irrigation frequency alone might not be sufficient to control </w:t>
      </w:r>
      <w:proofErr w:type="spellStart"/>
      <w:r w:rsidR="00726D76" w:rsidRPr="00BB74BE">
        <w:rPr>
          <w:rFonts w:ascii="Times New Roman" w:eastAsia="Times New Roman" w:hAnsi="Times New Roman" w:cs="Times New Roman"/>
          <w:i/>
          <w:iCs/>
          <w:sz w:val="24"/>
          <w:szCs w:val="24"/>
          <w:highlight w:val="yellow"/>
        </w:rPr>
        <w:t>Cynodon</w:t>
      </w:r>
      <w:proofErr w:type="spellEnd"/>
      <w:r w:rsidR="00726D76" w:rsidRPr="00BB74BE">
        <w:rPr>
          <w:rFonts w:ascii="Times New Roman" w:eastAsia="Times New Roman" w:hAnsi="Times New Roman" w:cs="Times New Roman"/>
          <w:i/>
          <w:iCs/>
          <w:sz w:val="24"/>
          <w:szCs w:val="24"/>
          <w:highlight w:val="yellow"/>
        </w:rPr>
        <w:t xml:space="preserve"> </w:t>
      </w:r>
      <w:proofErr w:type="spellStart"/>
      <w:r w:rsidR="00726D76" w:rsidRPr="00BB74BE">
        <w:rPr>
          <w:rFonts w:ascii="Times New Roman" w:eastAsia="Times New Roman" w:hAnsi="Times New Roman" w:cs="Times New Roman"/>
          <w:i/>
          <w:iCs/>
          <w:sz w:val="24"/>
          <w:szCs w:val="24"/>
          <w:highlight w:val="yellow"/>
        </w:rPr>
        <w:t>dactylon</w:t>
      </w:r>
      <w:proofErr w:type="spellEnd"/>
      <w:r w:rsidR="00726D76" w:rsidRPr="00BB74BE">
        <w:rPr>
          <w:rFonts w:ascii="Times New Roman" w:eastAsia="Times New Roman" w:hAnsi="Times New Roman" w:cs="Times New Roman"/>
          <w:sz w:val="24"/>
          <w:szCs w:val="24"/>
          <w:highlight w:val="yellow"/>
        </w:rPr>
        <w:t xml:space="preserve"> emergence.</w:t>
      </w:r>
    </w:p>
    <w:p w14:paraId="39C3079F" w14:textId="48FD470D"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p>
    <w:p w14:paraId="0A082DF5" w14:textId="77777777" w:rsidR="00DD0BEC" w:rsidRPr="001B2C11" w:rsidRDefault="00BB2955" w:rsidP="000952C9">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w14:anchorId="0D5E9980">
          <v:shapetype id="_x0000_t202" coordsize="21600,21600" o:spt="202" path="m,l,21600r21600,l21600,xe">
            <v:stroke joinstyle="miter"/>
            <v:path gradientshapeok="t" o:connecttype="rect"/>
          </v:shapetype>
          <v:shape id="_x0000_s1032" type="#_x0000_t202" style="position:absolute;left:0;text-align:left;margin-left:190.35pt;margin-top:157.3pt;width:22.5pt;height:11.25pt;z-index:251664384" fillcolor="white [3212]" strokecolor="white [3212]">
            <v:textbox>
              <w:txbxContent>
                <w:p w14:paraId="663AD64C" w14:textId="77777777" w:rsidR="00161ACA" w:rsidRDefault="00161ACA"/>
              </w:txbxContent>
            </v:textbox>
          </v:shape>
        </w:pict>
      </w:r>
      <w:r w:rsidR="004868DC" w:rsidRPr="004868DC">
        <w:rPr>
          <w:rFonts w:ascii="Times New Roman" w:hAnsi="Times New Roman" w:cs="Times New Roman"/>
          <w:noProof/>
          <w:sz w:val="24"/>
          <w:szCs w:val="24"/>
        </w:rPr>
        <w:drawing>
          <wp:inline distT="0" distB="0" distL="0" distR="0" wp14:anchorId="01337974" wp14:editId="2EC7023A">
            <wp:extent cx="59436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D7B3F7" w14:textId="77777777" w:rsidR="00D4179F" w:rsidRPr="0049110B" w:rsidRDefault="008623F0" w:rsidP="0049110B">
      <w:pPr>
        <w:spacing w:after="120" w:line="240" w:lineRule="auto"/>
        <w:jc w:val="both"/>
        <w:rPr>
          <w:rFonts w:ascii="Times New Roman" w:hAnsi="Times New Roman" w:cs="Times New Roman"/>
          <w:bCs/>
          <w:sz w:val="24"/>
          <w:szCs w:val="24"/>
        </w:rPr>
      </w:pPr>
      <w:r w:rsidRPr="008623F0">
        <w:rPr>
          <w:rFonts w:ascii="Times New Roman" w:hAnsi="Times New Roman" w:cs="Times New Roman"/>
          <w:bCs/>
          <w:sz w:val="24"/>
          <w:szCs w:val="24"/>
        </w:rPr>
        <w:t>Fig.1: D</w:t>
      </w:r>
      <w:r w:rsidR="00DD0BEC" w:rsidRPr="008623F0">
        <w:rPr>
          <w:rFonts w:ascii="Times New Roman" w:hAnsi="Times New Roman" w:cs="Times New Roman"/>
          <w:bCs/>
          <w:sz w:val="24"/>
          <w:szCs w:val="24"/>
        </w:rPr>
        <w:t xml:space="preserve">ensity of </w:t>
      </w:r>
      <w:proofErr w:type="spellStart"/>
      <w:r w:rsidR="0084517D" w:rsidRPr="008623F0">
        <w:rPr>
          <w:rFonts w:ascii="Times New Roman" w:hAnsi="Times New Roman" w:cs="Times New Roman"/>
          <w:bCs/>
          <w:i/>
          <w:iCs/>
          <w:sz w:val="24"/>
          <w:szCs w:val="24"/>
        </w:rPr>
        <w:t>Cynodon</w:t>
      </w:r>
      <w:proofErr w:type="spellEnd"/>
      <w:r w:rsidR="0084517D" w:rsidRPr="008623F0">
        <w:rPr>
          <w:rFonts w:ascii="Times New Roman" w:hAnsi="Times New Roman" w:cs="Times New Roman"/>
          <w:bCs/>
          <w:i/>
          <w:iCs/>
          <w:sz w:val="24"/>
          <w:szCs w:val="24"/>
        </w:rPr>
        <w:t xml:space="preserve"> </w:t>
      </w:r>
      <w:proofErr w:type="spellStart"/>
      <w:r w:rsidR="0084517D" w:rsidRPr="008623F0">
        <w:rPr>
          <w:rFonts w:ascii="Times New Roman" w:hAnsi="Times New Roman" w:cs="Times New Roman"/>
          <w:bCs/>
          <w:i/>
          <w:iCs/>
          <w:sz w:val="24"/>
          <w:szCs w:val="24"/>
        </w:rPr>
        <w:t>dactylon</w:t>
      </w:r>
      <w:proofErr w:type="spellEnd"/>
      <w:r w:rsidR="0084517D" w:rsidRPr="008623F0">
        <w:rPr>
          <w:rFonts w:ascii="Times New Roman" w:hAnsi="Times New Roman" w:cs="Times New Roman"/>
          <w:bCs/>
          <w:sz w:val="24"/>
          <w:szCs w:val="24"/>
        </w:rPr>
        <w:t xml:space="preserve"> </w:t>
      </w:r>
      <w:r w:rsidR="00DD0BEC" w:rsidRPr="008623F0">
        <w:rPr>
          <w:rFonts w:ascii="Times New Roman" w:hAnsi="Times New Roman" w:cs="Times New Roman"/>
          <w:bCs/>
          <w:sz w:val="24"/>
          <w:szCs w:val="24"/>
        </w:rPr>
        <w:t xml:space="preserve">as influenced by irrigation schedules (I) and cow urine (CU) at 30 </w:t>
      </w:r>
      <w:r w:rsidRPr="008623F0">
        <w:rPr>
          <w:rFonts w:ascii="Times New Roman" w:hAnsi="Times New Roman" w:cs="Times New Roman"/>
          <w:bCs/>
          <w:sz w:val="24"/>
          <w:szCs w:val="24"/>
        </w:rPr>
        <w:t>days after sowing</w:t>
      </w:r>
    </w:p>
    <w:p w14:paraId="4C201220" w14:textId="77777777" w:rsidR="007E7BEE" w:rsidRDefault="007E7BEE" w:rsidP="000952C9">
      <w:pPr>
        <w:spacing w:after="120" w:line="360" w:lineRule="auto"/>
        <w:jc w:val="both"/>
        <w:rPr>
          <w:rStyle w:val="Strong"/>
        </w:rPr>
      </w:pPr>
      <w:r>
        <w:rPr>
          <w:rStyle w:val="Strong"/>
        </w:rPr>
        <w:t xml:space="preserve">3.1.2 Effect on Density of </w:t>
      </w:r>
      <w:proofErr w:type="spellStart"/>
      <w:r>
        <w:rPr>
          <w:rStyle w:val="Emphasis"/>
          <w:b/>
          <w:bCs/>
        </w:rPr>
        <w:t>Cynodon</w:t>
      </w:r>
      <w:proofErr w:type="spellEnd"/>
      <w:r>
        <w:rPr>
          <w:rStyle w:val="Emphasis"/>
          <w:b/>
          <w:bCs/>
        </w:rPr>
        <w:t xml:space="preserve"> </w:t>
      </w:r>
      <w:proofErr w:type="spellStart"/>
      <w:r>
        <w:rPr>
          <w:rStyle w:val="Emphasis"/>
          <w:b/>
          <w:bCs/>
        </w:rPr>
        <w:t>dactylon</w:t>
      </w:r>
      <w:proofErr w:type="spellEnd"/>
      <w:r>
        <w:rPr>
          <w:rStyle w:val="Strong"/>
        </w:rPr>
        <w:t xml:space="preserve"> at 60 DAS</w:t>
      </w:r>
    </w:p>
    <w:p w14:paraId="20B46517" w14:textId="513E6BEA" w:rsidR="00726D76" w:rsidRPr="00C261C8" w:rsidRDefault="00BB2955" w:rsidP="00726D7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noProof/>
          <w:color w:val="FFFF00"/>
          <w:sz w:val="24"/>
          <w:szCs w:val="24"/>
        </w:rPr>
        <w:pict w14:anchorId="23AD2F8F">
          <v:shape id="_x0000_s1031" type="#_x0000_t202" style="position:absolute;left:0;text-align:left;margin-left:190.35pt;margin-top:238.15pt;width:16.3pt;height:10pt;z-index:251663360;mso-position-horizontal-relative:text;mso-position-vertical-relative:text" fillcolor="white [3212]" strokecolor="white [3212]">
            <v:textbox>
              <w:txbxContent>
                <w:p w14:paraId="6CB3DF38" w14:textId="77777777" w:rsidR="00161ACA" w:rsidRDefault="00161ACA"/>
              </w:txbxContent>
            </v:textbox>
          </v:shape>
        </w:pict>
      </w:r>
      <w:r>
        <w:rPr>
          <w:rFonts w:ascii="Times New Roman" w:hAnsi="Times New Roman" w:cs="Times New Roman"/>
          <w:noProof/>
          <w:color w:val="FFFF00"/>
          <w:sz w:val="24"/>
          <w:szCs w:val="24"/>
        </w:rPr>
        <w:pict w14:anchorId="460640AD">
          <v:shape id="_x0000_s1028" type="#_x0000_t202" style="position:absolute;left:0;text-align:left;margin-left:52.6pt;margin-top:234.1pt;width:20.65pt;height:16.3pt;z-index:251660288;mso-position-horizontal-relative:text;mso-position-vertical-relative:text" fillcolor="white [3212]" strokecolor="white [3212]">
            <v:textbox>
              <w:txbxContent>
                <w:p w14:paraId="22F2CAC0" w14:textId="77777777" w:rsidR="00161ACA" w:rsidRDefault="00161ACA"/>
              </w:txbxContent>
            </v:textbox>
          </v:shape>
        </w:pict>
      </w:r>
      <w:r w:rsidR="007E7BEE">
        <w:t xml:space="preserve">The lowest density of </w:t>
      </w:r>
      <w:proofErr w:type="spellStart"/>
      <w:r w:rsidR="007E7BEE">
        <w:rPr>
          <w:rStyle w:val="Emphasis"/>
        </w:rPr>
        <w:t>Cynodon</w:t>
      </w:r>
      <w:proofErr w:type="spellEnd"/>
      <w:r w:rsidR="007E7BEE">
        <w:rPr>
          <w:rStyle w:val="Emphasis"/>
        </w:rPr>
        <w:t xml:space="preserve"> </w:t>
      </w:r>
      <w:proofErr w:type="spellStart"/>
      <w:r w:rsidR="007E7BEE">
        <w:rPr>
          <w:rStyle w:val="Emphasis"/>
        </w:rPr>
        <w:t>dactylon</w:t>
      </w:r>
      <w:proofErr w:type="spellEnd"/>
      <w:r w:rsidR="007E7BEE">
        <w:t xml:space="preserve"> was recorded under </w:t>
      </w:r>
      <w:r w:rsidR="007E7BEE">
        <w:rPr>
          <w:rStyle w:val="Strong"/>
        </w:rPr>
        <w:t>I3</w:t>
      </w:r>
      <w:r w:rsidR="007E7BEE">
        <w:t xml:space="preserve"> in the first year and under </w:t>
      </w:r>
      <w:r w:rsidR="007E7BEE">
        <w:rPr>
          <w:rStyle w:val="Strong"/>
        </w:rPr>
        <w:t>I1</w:t>
      </w:r>
      <w:r w:rsidR="007E7BEE">
        <w:t xml:space="preserve"> in the second year of the trial, as shown in </w:t>
      </w:r>
      <w:r w:rsidR="007E7BEE">
        <w:rPr>
          <w:rStyle w:val="Strong"/>
        </w:rPr>
        <w:t>Figure 2</w:t>
      </w:r>
      <w:r w:rsidR="007E7BEE">
        <w:t xml:space="preserve">. In contrast, the highest density was observed under </w:t>
      </w:r>
      <w:r w:rsidR="007E7BEE">
        <w:rPr>
          <w:rStyle w:val="Strong"/>
        </w:rPr>
        <w:t>I1</w:t>
      </w:r>
      <w:r w:rsidR="007E7BEE">
        <w:t xml:space="preserve"> during the first year and under </w:t>
      </w:r>
      <w:r w:rsidR="007E7BEE">
        <w:rPr>
          <w:rStyle w:val="Strong"/>
        </w:rPr>
        <w:t>I3</w:t>
      </w:r>
      <w:r w:rsidR="007E7BEE">
        <w:t xml:space="preserve"> during the second year. Regarding cow urine application, the maximum density of </w:t>
      </w:r>
      <w:proofErr w:type="spellStart"/>
      <w:r w:rsidR="007E7BEE">
        <w:rPr>
          <w:rStyle w:val="Emphasis"/>
        </w:rPr>
        <w:t>Cynodon</w:t>
      </w:r>
      <w:proofErr w:type="spellEnd"/>
      <w:r w:rsidR="007E7BEE">
        <w:rPr>
          <w:rStyle w:val="Emphasis"/>
        </w:rPr>
        <w:t xml:space="preserve"> </w:t>
      </w:r>
      <w:proofErr w:type="spellStart"/>
      <w:r w:rsidR="007E7BEE">
        <w:rPr>
          <w:rStyle w:val="Emphasis"/>
        </w:rPr>
        <w:t>dactylon</w:t>
      </w:r>
      <w:proofErr w:type="spellEnd"/>
      <w:r w:rsidR="007E7BEE">
        <w:t xml:space="preserve"> was noted under </w:t>
      </w:r>
      <w:r w:rsidR="007E7BEE">
        <w:rPr>
          <w:rStyle w:val="Strong"/>
        </w:rPr>
        <w:t>C2</w:t>
      </w:r>
      <w:r w:rsidR="007E7BEE">
        <w:t xml:space="preserve"> in both years of the experiment (</w:t>
      </w:r>
      <w:r w:rsidR="007E7BEE">
        <w:rPr>
          <w:rStyle w:val="Strong"/>
        </w:rPr>
        <w:t>F</w:t>
      </w:r>
      <w:r w:rsidR="00FB3774">
        <w:rPr>
          <w:rStyle w:val="Strong"/>
        </w:rPr>
        <w:t>ig.</w:t>
      </w:r>
      <w:r w:rsidR="007E7BEE">
        <w:rPr>
          <w:rStyle w:val="Strong"/>
        </w:rPr>
        <w:t xml:space="preserve"> 2</w:t>
      </w:r>
      <w:r w:rsidR="007E7BEE">
        <w:t>).</w:t>
      </w:r>
      <w:r w:rsidR="00726D76">
        <w:t xml:space="preserve"> </w:t>
      </w:r>
      <w:r w:rsidR="00726D76" w:rsidRPr="00BB74BE">
        <w:rPr>
          <w:rFonts w:ascii="Times New Roman" w:eastAsia="Times New Roman" w:hAnsi="Times New Roman" w:cs="Times New Roman"/>
          <w:sz w:val="24"/>
          <w:szCs w:val="24"/>
          <w:highlight w:val="yellow"/>
        </w:rPr>
        <w:t xml:space="preserve">By 60 DAS, the lowest densities were recorded under I3 in the first year and under I1 in the second year, reflecting the inconsistent effect of irrigation on </w:t>
      </w:r>
      <w:proofErr w:type="spellStart"/>
      <w:r w:rsidR="00726D76" w:rsidRPr="00BB74BE">
        <w:rPr>
          <w:rFonts w:ascii="Times New Roman" w:eastAsia="Times New Roman" w:hAnsi="Times New Roman" w:cs="Times New Roman"/>
          <w:i/>
          <w:iCs/>
          <w:sz w:val="24"/>
          <w:szCs w:val="24"/>
          <w:highlight w:val="yellow"/>
        </w:rPr>
        <w:t>Cynodon</w:t>
      </w:r>
      <w:proofErr w:type="spellEnd"/>
      <w:r w:rsidR="00726D76" w:rsidRPr="00BB74BE">
        <w:rPr>
          <w:rFonts w:ascii="Times New Roman" w:eastAsia="Times New Roman" w:hAnsi="Times New Roman" w:cs="Times New Roman"/>
          <w:i/>
          <w:iCs/>
          <w:sz w:val="24"/>
          <w:szCs w:val="24"/>
          <w:highlight w:val="yellow"/>
        </w:rPr>
        <w:t xml:space="preserve"> </w:t>
      </w:r>
      <w:proofErr w:type="spellStart"/>
      <w:r w:rsidR="00726D76" w:rsidRPr="00BB74BE">
        <w:rPr>
          <w:rFonts w:ascii="Times New Roman" w:eastAsia="Times New Roman" w:hAnsi="Times New Roman" w:cs="Times New Roman"/>
          <w:i/>
          <w:iCs/>
          <w:sz w:val="24"/>
          <w:szCs w:val="24"/>
          <w:highlight w:val="yellow"/>
        </w:rPr>
        <w:t>dactylon</w:t>
      </w:r>
      <w:proofErr w:type="spellEnd"/>
      <w:r w:rsidR="00726D76" w:rsidRPr="00BB74BE">
        <w:rPr>
          <w:rFonts w:ascii="Times New Roman" w:eastAsia="Times New Roman" w:hAnsi="Times New Roman" w:cs="Times New Roman"/>
          <w:sz w:val="24"/>
          <w:szCs w:val="24"/>
          <w:highlight w:val="yellow"/>
        </w:rPr>
        <w:t xml:space="preserve"> growth. The highest densities occurred under I1 in the first year and I3 in the second year, indicating that changes in soil moisture from varied irrigation schedules might have provided a favorable environment for </w:t>
      </w:r>
      <w:proofErr w:type="spellStart"/>
      <w:r w:rsidR="00726D76" w:rsidRPr="00BB74BE">
        <w:rPr>
          <w:rFonts w:ascii="Times New Roman" w:eastAsia="Times New Roman" w:hAnsi="Times New Roman" w:cs="Times New Roman"/>
          <w:i/>
          <w:iCs/>
          <w:sz w:val="24"/>
          <w:szCs w:val="24"/>
          <w:highlight w:val="yellow"/>
        </w:rPr>
        <w:t>Cynodon</w:t>
      </w:r>
      <w:proofErr w:type="spellEnd"/>
      <w:r w:rsidR="00726D76" w:rsidRPr="00BB74BE">
        <w:rPr>
          <w:rFonts w:ascii="Times New Roman" w:eastAsia="Times New Roman" w:hAnsi="Times New Roman" w:cs="Times New Roman"/>
          <w:i/>
          <w:iCs/>
          <w:sz w:val="24"/>
          <w:szCs w:val="24"/>
          <w:highlight w:val="yellow"/>
        </w:rPr>
        <w:t xml:space="preserve"> </w:t>
      </w:r>
      <w:proofErr w:type="spellStart"/>
      <w:r w:rsidR="00726D76" w:rsidRPr="00BB74BE">
        <w:rPr>
          <w:rFonts w:ascii="Times New Roman" w:eastAsia="Times New Roman" w:hAnsi="Times New Roman" w:cs="Times New Roman"/>
          <w:i/>
          <w:iCs/>
          <w:sz w:val="24"/>
          <w:szCs w:val="24"/>
          <w:highlight w:val="yellow"/>
        </w:rPr>
        <w:t>dactylon</w:t>
      </w:r>
      <w:proofErr w:type="spellEnd"/>
      <w:r w:rsidR="00726D76" w:rsidRPr="00BB74BE">
        <w:rPr>
          <w:rFonts w:ascii="Times New Roman" w:eastAsia="Times New Roman" w:hAnsi="Times New Roman" w:cs="Times New Roman"/>
          <w:sz w:val="24"/>
          <w:szCs w:val="24"/>
          <w:highlight w:val="yellow"/>
        </w:rPr>
        <w:t xml:space="preserve"> at different growth stages. Similar results were reported by Meena </w:t>
      </w:r>
      <w:r w:rsidR="00EC4527">
        <w:rPr>
          <w:rFonts w:ascii="Times New Roman" w:eastAsia="Times New Roman" w:hAnsi="Times New Roman" w:cs="Times New Roman"/>
          <w:sz w:val="24"/>
          <w:szCs w:val="24"/>
          <w:highlight w:val="yellow"/>
        </w:rPr>
        <w:t>et al. [12]</w:t>
      </w:r>
      <w:r w:rsidR="00726D76" w:rsidRPr="00BB74BE">
        <w:rPr>
          <w:rFonts w:ascii="Times New Roman" w:eastAsia="Times New Roman" w:hAnsi="Times New Roman" w:cs="Times New Roman"/>
          <w:sz w:val="24"/>
          <w:szCs w:val="24"/>
          <w:highlight w:val="yellow"/>
        </w:rPr>
        <w:t xml:space="preserve">, who highlighted that irrigation schedules influenced the growth of </w:t>
      </w:r>
      <w:proofErr w:type="spellStart"/>
      <w:r w:rsidR="00726D76" w:rsidRPr="00BB74BE">
        <w:rPr>
          <w:rFonts w:ascii="Times New Roman" w:eastAsia="Times New Roman" w:hAnsi="Times New Roman" w:cs="Times New Roman"/>
          <w:i/>
          <w:iCs/>
          <w:sz w:val="24"/>
          <w:szCs w:val="24"/>
          <w:highlight w:val="yellow"/>
        </w:rPr>
        <w:t>Phalaris</w:t>
      </w:r>
      <w:proofErr w:type="spellEnd"/>
      <w:r w:rsidR="00726D76" w:rsidRPr="00BB74BE">
        <w:rPr>
          <w:rFonts w:ascii="Times New Roman" w:eastAsia="Times New Roman" w:hAnsi="Times New Roman" w:cs="Times New Roman"/>
          <w:i/>
          <w:iCs/>
          <w:sz w:val="24"/>
          <w:szCs w:val="24"/>
          <w:highlight w:val="yellow"/>
        </w:rPr>
        <w:t xml:space="preserve"> minor</w:t>
      </w:r>
      <w:r w:rsidR="00726D76" w:rsidRPr="00BB74BE">
        <w:rPr>
          <w:rFonts w:ascii="Times New Roman" w:eastAsia="Times New Roman" w:hAnsi="Times New Roman" w:cs="Times New Roman"/>
          <w:sz w:val="24"/>
          <w:szCs w:val="24"/>
          <w:highlight w:val="yellow"/>
        </w:rPr>
        <w:t>, another problematic weed in wheat crops.</w:t>
      </w:r>
    </w:p>
    <w:p w14:paraId="05643829" w14:textId="0E2E4908" w:rsidR="00E8690B" w:rsidRPr="0006142C" w:rsidRDefault="00283969" w:rsidP="000952C9">
      <w:pPr>
        <w:spacing w:after="120" w:line="360" w:lineRule="auto"/>
        <w:jc w:val="both"/>
        <w:rPr>
          <w:rFonts w:ascii="Times New Roman" w:hAnsi="Times New Roman" w:cs="Times New Roman"/>
          <w:color w:val="FF0000"/>
          <w:sz w:val="24"/>
          <w:szCs w:val="24"/>
        </w:rPr>
      </w:pPr>
      <w:r w:rsidRPr="00283969">
        <w:rPr>
          <w:rFonts w:ascii="Times New Roman" w:hAnsi="Times New Roman" w:cs="Times New Roman"/>
          <w:noProof/>
          <w:color w:val="FFFF00"/>
          <w:sz w:val="24"/>
          <w:szCs w:val="24"/>
        </w:rPr>
        <w:lastRenderedPageBreak/>
        <w:drawing>
          <wp:inline distT="0" distB="0" distL="0" distR="0" wp14:anchorId="78EC061F" wp14:editId="11B3D08C">
            <wp:extent cx="588645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CB2AE6" w14:textId="77777777" w:rsidR="00703726" w:rsidRPr="004E7583" w:rsidRDefault="00E8690B" w:rsidP="00E8690B">
      <w:pPr>
        <w:spacing w:after="120" w:line="240" w:lineRule="auto"/>
        <w:jc w:val="both"/>
        <w:rPr>
          <w:rFonts w:ascii="Times New Roman" w:hAnsi="Times New Roman" w:cs="Times New Roman"/>
          <w:bCs/>
          <w:sz w:val="24"/>
          <w:szCs w:val="24"/>
        </w:rPr>
      </w:pPr>
      <w:r w:rsidRPr="004E7583">
        <w:rPr>
          <w:rFonts w:ascii="Times New Roman" w:hAnsi="Times New Roman" w:cs="Times New Roman"/>
          <w:bCs/>
          <w:sz w:val="24"/>
          <w:szCs w:val="24"/>
        </w:rPr>
        <w:t>Fig.</w:t>
      </w:r>
      <w:r w:rsidR="00136A2D" w:rsidRPr="004E7583">
        <w:rPr>
          <w:rFonts w:ascii="Times New Roman" w:hAnsi="Times New Roman" w:cs="Times New Roman"/>
          <w:bCs/>
          <w:sz w:val="24"/>
          <w:szCs w:val="24"/>
        </w:rPr>
        <w:t>2</w:t>
      </w:r>
      <w:r w:rsidRPr="004E7583">
        <w:rPr>
          <w:rFonts w:ascii="Times New Roman" w:hAnsi="Times New Roman" w:cs="Times New Roman"/>
          <w:bCs/>
          <w:sz w:val="24"/>
          <w:szCs w:val="24"/>
        </w:rPr>
        <w:t xml:space="preserve">: Weed density of </w:t>
      </w:r>
      <w:proofErr w:type="spellStart"/>
      <w:r w:rsidR="008860FE" w:rsidRPr="004E7583">
        <w:rPr>
          <w:rFonts w:ascii="Times New Roman" w:hAnsi="Times New Roman" w:cs="Times New Roman"/>
          <w:bCs/>
          <w:i/>
          <w:iCs/>
          <w:sz w:val="24"/>
          <w:szCs w:val="24"/>
        </w:rPr>
        <w:t>Cynodon</w:t>
      </w:r>
      <w:proofErr w:type="spellEnd"/>
      <w:r w:rsidR="008860FE" w:rsidRPr="004E7583">
        <w:rPr>
          <w:rFonts w:ascii="Times New Roman" w:hAnsi="Times New Roman" w:cs="Times New Roman"/>
          <w:bCs/>
          <w:i/>
          <w:iCs/>
          <w:sz w:val="24"/>
          <w:szCs w:val="24"/>
        </w:rPr>
        <w:t xml:space="preserve"> </w:t>
      </w:r>
      <w:proofErr w:type="spellStart"/>
      <w:r w:rsidR="008860FE" w:rsidRPr="004E7583">
        <w:rPr>
          <w:rFonts w:ascii="Times New Roman" w:hAnsi="Times New Roman" w:cs="Times New Roman"/>
          <w:bCs/>
          <w:i/>
          <w:iCs/>
          <w:sz w:val="24"/>
          <w:szCs w:val="24"/>
        </w:rPr>
        <w:t>dactylon</w:t>
      </w:r>
      <w:proofErr w:type="spellEnd"/>
      <w:r w:rsidR="008860FE" w:rsidRPr="004E7583">
        <w:rPr>
          <w:rFonts w:ascii="Times New Roman" w:hAnsi="Times New Roman" w:cs="Times New Roman"/>
          <w:bCs/>
          <w:sz w:val="24"/>
          <w:szCs w:val="24"/>
        </w:rPr>
        <w:t xml:space="preserve"> </w:t>
      </w:r>
      <w:r w:rsidRPr="004E7583">
        <w:rPr>
          <w:rFonts w:ascii="Times New Roman" w:hAnsi="Times New Roman" w:cs="Times New Roman"/>
          <w:bCs/>
          <w:sz w:val="24"/>
          <w:szCs w:val="24"/>
        </w:rPr>
        <w:t>as influenced by irrigation schedules (I) and cow urine (CU) at 60 DAS</w:t>
      </w:r>
    </w:p>
    <w:p w14:paraId="3D39A7A0" w14:textId="77777777" w:rsidR="00C261C8" w:rsidRPr="00C261C8" w:rsidRDefault="00C261C8" w:rsidP="00C261C8">
      <w:pPr>
        <w:spacing w:before="100" w:beforeAutospacing="1" w:after="100" w:afterAutospacing="1" w:line="240" w:lineRule="auto"/>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The highest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2</w:t>
      </w:r>
      <w:r w:rsidRPr="00C261C8">
        <w:rPr>
          <w:rFonts w:ascii="Times New Roman" w:eastAsia="Times New Roman" w:hAnsi="Times New Roman" w:cs="Times New Roman"/>
          <w:sz w:val="24"/>
          <w:szCs w:val="24"/>
        </w:rPr>
        <w:t>).</w:t>
      </w:r>
    </w:p>
    <w:p w14:paraId="67E07885"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3.1.3 Effect on Density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90 DAS</w:t>
      </w:r>
    </w:p>
    <w:p w14:paraId="7253937B" w14:textId="73F7CA7D" w:rsidR="00726D76" w:rsidRPr="00C261C8" w:rsidRDefault="00C261C8" w:rsidP="00726D76">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As shown in </w:t>
      </w:r>
      <w:r w:rsidRPr="00C261C8">
        <w:rPr>
          <w:rFonts w:ascii="Times New Roman" w:eastAsia="Times New Roman" w:hAnsi="Times New Roman" w:cs="Times New Roman"/>
          <w:b/>
          <w:bCs/>
          <w:sz w:val="24"/>
          <w:szCs w:val="24"/>
        </w:rPr>
        <w:t>F</w:t>
      </w:r>
      <w:r w:rsidR="008217F6">
        <w:rPr>
          <w:rFonts w:ascii="Times New Roman" w:eastAsia="Times New Roman" w:hAnsi="Times New Roman" w:cs="Times New Roman"/>
          <w:b/>
          <w:bCs/>
          <w:sz w:val="24"/>
          <w:szCs w:val="24"/>
        </w:rPr>
        <w:t>ig.</w:t>
      </w:r>
      <w:r w:rsidRPr="00C261C8">
        <w:rPr>
          <w:rFonts w:ascii="Times New Roman" w:eastAsia="Times New Roman" w:hAnsi="Times New Roman" w:cs="Times New Roman"/>
          <w:b/>
          <w:bCs/>
          <w:sz w:val="24"/>
          <w:szCs w:val="24"/>
        </w:rPr>
        <w:t xml:space="preserve"> 3</w:t>
      </w:r>
      <w:r w:rsidRPr="00C261C8">
        <w:rPr>
          <w:rFonts w:ascii="Times New Roman" w:eastAsia="Times New Roman" w:hAnsi="Times New Roman" w:cs="Times New Roman"/>
          <w:sz w:val="24"/>
          <w:szCs w:val="24"/>
        </w:rPr>
        <w:t xml:space="preserve">, at </w:t>
      </w:r>
      <w:r w:rsidRPr="00C261C8">
        <w:rPr>
          <w:rFonts w:ascii="Times New Roman" w:eastAsia="Times New Roman" w:hAnsi="Times New Roman" w:cs="Times New Roman"/>
          <w:b/>
          <w:bCs/>
          <w:sz w:val="24"/>
          <w:szCs w:val="24"/>
        </w:rPr>
        <w:t>90 days after sowing (DAS)</w:t>
      </w:r>
      <w:r w:rsidRPr="00C261C8">
        <w:rPr>
          <w:rFonts w:ascii="Times New Roman" w:eastAsia="Times New Roman" w:hAnsi="Times New Roman" w:cs="Times New Roman"/>
          <w:sz w:val="24"/>
          <w:szCs w:val="24"/>
        </w:rPr>
        <w:t xml:space="preserve">, the lowest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I2</w:t>
      </w:r>
      <w:r w:rsidRPr="00C261C8">
        <w:rPr>
          <w:rFonts w:ascii="Times New Roman" w:eastAsia="Times New Roman" w:hAnsi="Times New Roman" w:cs="Times New Roman"/>
          <w:sz w:val="24"/>
          <w:szCs w:val="24"/>
        </w:rPr>
        <w:t xml:space="preserve"> in the second year of the study. In contrast, the highest density was recorded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during both years of the trial (</w:t>
      </w:r>
      <w:r w:rsidRPr="00C261C8">
        <w:rPr>
          <w:rFonts w:ascii="Times New Roman" w:eastAsia="Times New Roman" w:hAnsi="Times New Roman" w:cs="Times New Roman"/>
          <w:b/>
          <w:bCs/>
          <w:sz w:val="24"/>
          <w:szCs w:val="24"/>
        </w:rPr>
        <w:t>Fig. 3</w:t>
      </w:r>
      <w:r w:rsidRPr="00C261C8">
        <w:rPr>
          <w:rFonts w:ascii="Times New Roman" w:eastAsia="Times New Roman" w:hAnsi="Times New Roman" w:cs="Times New Roman"/>
          <w:sz w:val="24"/>
          <w:szCs w:val="24"/>
        </w:rPr>
        <w:t>).</w:t>
      </w:r>
      <w:r w:rsidR="00726D76">
        <w:rPr>
          <w:rFonts w:ascii="Times New Roman" w:eastAsia="Times New Roman" w:hAnsi="Times New Roman" w:cs="Times New Roman"/>
          <w:sz w:val="24"/>
          <w:szCs w:val="24"/>
        </w:rPr>
        <w:t xml:space="preserve"> </w:t>
      </w:r>
      <w:r w:rsidRPr="00C261C8">
        <w:rPr>
          <w:rFonts w:ascii="Times New Roman" w:eastAsia="Times New Roman" w:hAnsi="Times New Roman" w:cs="Times New Roman"/>
          <w:sz w:val="24"/>
          <w:szCs w:val="24"/>
        </w:rPr>
        <w:t xml:space="preserve">For cow urine application at </w:t>
      </w:r>
      <w:r w:rsidRPr="00C261C8">
        <w:rPr>
          <w:rFonts w:ascii="Times New Roman" w:eastAsia="Times New Roman" w:hAnsi="Times New Roman" w:cs="Times New Roman"/>
          <w:b/>
          <w:bCs/>
          <w:sz w:val="24"/>
          <w:szCs w:val="24"/>
        </w:rPr>
        <w:t>90 DAS</w:t>
      </w:r>
      <w:r w:rsidRPr="00C261C8">
        <w:rPr>
          <w:rFonts w:ascii="Times New Roman" w:eastAsia="Times New Roman" w:hAnsi="Times New Roman" w:cs="Times New Roman"/>
          <w:sz w:val="24"/>
          <w:szCs w:val="24"/>
        </w:rPr>
        <w:t xml:space="preserve">, the minimum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observed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second year. Conversely, the maximum density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C3</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3</w:t>
      </w:r>
      <w:r w:rsidRPr="00C261C8">
        <w:rPr>
          <w:rFonts w:ascii="Times New Roman" w:eastAsia="Times New Roman" w:hAnsi="Times New Roman" w:cs="Times New Roman"/>
          <w:sz w:val="24"/>
          <w:szCs w:val="24"/>
        </w:rPr>
        <w:t>).</w:t>
      </w:r>
      <w:r w:rsidR="00726D76">
        <w:rPr>
          <w:rFonts w:ascii="Times New Roman" w:eastAsia="Times New Roman" w:hAnsi="Times New Roman" w:cs="Times New Roman"/>
          <w:sz w:val="24"/>
          <w:szCs w:val="24"/>
        </w:rPr>
        <w:t xml:space="preserve"> </w:t>
      </w:r>
      <w:r w:rsidR="00726D76" w:rsidRPr="00726D76">
        <w:rPr>
          <w:rFonts w:ascii="Times New Roman" w:eastAsia="Times New Roman" w:hAnsi="Times New Roman" w:cs="Times New Roman"/>
          <w:sz w:val="24"/>
          <w:szCs w:val="24"/>
          <w:highlight w:val="yellow"/>
        </w:rPr>
        <w:t xml:space="preserve">These results suggest that cow urine application may have had a marginal suppressive effect on </w:t>
      </w:r>
      <w:proofErr w:type="spellStart"/>
      <w:r w:rsidR="00726D76" w:rsidRPr="00726D76">
        <w:rPr>
          <w:rFonts w:ascii="Times New Roman" w:eastAsia="Times New Roman" w:hAnsi="Times New Roman" w:cs="Times New Roman"/>
          <w:i/>
          <w:iCs/>
          <w:sz w:val="24"/>
          <w:szCs w:val="24"/>
          <w:highlight w:val="yellow"/>
        </w:rPr>
        <w:t>Cynodon</w:t>
      </w:r>
      <w:proofErr w:type="spellEnd"/>
      <w:r w:rsidR="00726D76" w:rsidRPr="00726D76">
        <w:rPr>
          <w:rFonts w:ascii="Times New Roman" w:eastAsia="Times New Roman" w:hAnsi="Times New Roman" w:cs="Times New Roman"/>
          <w:i/>
          <w:iCs/>
          <w:sz w:val="24"/>
          <w:szCs w:val="24"/>
          <w:highlight w:val="yellow"/>
        </w:rPr>
        <w:t xml:space="preserve"> </w:t>
      </w:r>
      <w:proofErr w:type="spellStart"/>
      <w:r w:rsidR="00726D76" w:rsidRPr="00726D76">
        <w:rPr>
          <w:rFonts w:ascii="Times New Roman" w:eastAsia="Times New Roman" w:hAnsi="Times New Roman" w:cs="Times New Roman"/>
          <w:i/>
          <w:iCs/>
          <w:sz w:val="24"/>
          <w:szCs w:val="24"/>
          <w:highlight w:val="yellow"/>
        </w:rPr>
        <w:t>dactylon</w:t>
      </w:r>
      <w:proofErr w:type="spellEnd"/>
      <w:r w:rsidR="00726D76" w:rsidRPr="00726D76">
        <w:rPr>
          <w:rFonts w:ascii="Times New Roman" w:eastAsia="Times New Roman" w:hAnsi="Times New Roman" w:cs="Times New Roman"/>
          <w:sz w:val="24"/>
          <w:szCs w:val="24"/>
          <w:highlight w:val="yellow"/>
        </w:rPr>
        <w:t xml:space="preserve"> density, but the effect was inconsistent across years and growth stages. Similar observations were made by Meena e</w:t>
      </w:r>
      <w:r w:rsidR="00EC4527">
        <w:rPr>
          <w:rFonts w:ascii="Times New Roman" w:eastAsia="Times New Roman" w:hAnsi="Times New Roman" w:cs="Times New Roman"/>
          <w:sz w:val="24"/>
          <w:szCs w:val="24"/>
          <w:highlight w:val="yellow"/>
        </w:rPr>
        <w:t>t al. [12]</w:t>
      </w:r>
      <w:r w:rsidR="00726D76" w:rsidRPr="00726D76">
        <w:rPr>
          <w:rFonts w:ascii="Times New Roman" w:eastAsia="Times New Roman" w:hAnsi="Times New Roman" w:cs="Times New Roman"/>
          <w:sz w:val="24"/>
          <w:szCs w:val="24"/>
          <w:highlight w:val="yellow"/>
        </w:rPr>
        <w:t xml:space="preserve">, who reported that cow urine applications had minimal impact on suppressing </w:t>
      </w:r>
      <w:proofErr w:type="spellStart"/>
      <w:r w:rsidR="00726D76" w:rsidRPr="00726D76">
        <w:rPr>
          <w:rFonts w:ascii="Times New Roman" w:eastAsia="Times New Roman" w:hAnsi="Times New Roman" w:cs="Times New Roman"/>
          <w:i/>
          <w:iCs/>
          <w:sz w:val="24"/>
          <w:szCs w:val="24"/>
          <w:highlight w:val="yellow"/>
        </w:rPr>
        <w:t>Phalaris</w:t>
      </w:r>
      <w:proofErr w:type="spellEnd"/>
      <w:r w:rsidR="00726D76" w:rsidRPr="00726D76">
        <w:rPr>
          <w:rFonts w:ascii="Times New Roman" w:eastAsia="Times New Roman" w:hAnsi="Times New Roman" w:cs="Times New Roman"/>
          <w:i/>
          <w:iCs/>
          <w:sz w:val="24"/>
          <w:szCs w:val="24"/>
          <w:highlight w:val="yellow"/>
        </w:rPr>
        <w:t xml:space="preserve"> minor</w:t>
      </w:r>
      <w:r w:rsidR="00726D76" w:rsidRPr="00726D76">
        <w:rPr>
          <w:rFonts w:ascii="Times New Roman" w:eastAsia="Times New Roman" w:hAnsi="Times New Roman" w:cs="Times New Roman"/>
          <w:sz w:val="24"/>
          <w:szCs w:val="24"/>
          <w:highlight w:val="yellow"/>
        </w:rPr>
        <w:t xml:space="preserve"> density, possibly due to its rapid regrowth and competitive ability.</w:t>
      </w:r>
    </w:p>
    <w:p w14:paraId="24760536" w14:textId="0FC77802"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p>
    <w:p w14:paraId="5EB2BCFC" w14:textId="77777777" w:rsidR="002D59D2" w:rsidRDefault="002D59D2" w:rsidP="00136A2D">
      <w:pPr>
        <w:spacing w:after="120" w:line="360" w:lineRule="auto"/>
        <w:jc w:val="both"/>
        <w:rPr>
          <w:rFonts w:ascii="Times New Roman" w:hAnsi="Times New Roman" w:cs="Times New Roman"/>
          <w:sz w:val="24"/>
          <w:szCs w:val="24"/>
        </w:rPr>
      </w:pPr>
    </w:p>
    <w:p w14:paraId="0A08FD9F" w14:textId="77777777" w:rsidR="00DA4AE9" w:rsidRDefault="00BB2955" w:rsidP="00136A2D">
      <w:pPr>
        <w:spacing w:after="12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pict w14:anchorId="3A5432F2">
          <v:shape id="_x0000_s1030" type="#_x0000_t202" style="position:absolute;left:0;text-align:left;margin-left:207.25pt;margin-top:128.95pt;width:19.4pt;height:14.4pt;z-index:251662336" fillcolor="white [3212]" strokecolor="white [3212]">
            <v:textbox>
              <w:txbxContent>
                <w:p w14:paraId="0743AD38" w14:textId="77777777" w:rsidR="00161ACA" w:rsidRDefault="00161ACA"/>
              </w:txbxContent>
            </v:textbox>
          </v:shape>
        </w:pict>
      </w:r>
      <w:r>
        <w:rPr>
          <w:rFonts w:ascii="Times New Roman" w:hAnsi="Times New Roman" w:cs="Times New Roman"/>
          <w:noProof/>
          <w:color w:val="FF0000"/>
          <w:sz w:val="24"/>
          <w:szCs w:val="24"/>
        </w:rPr>
        <w:pict w14:anchorId="4B334E92">
          <v:shape id="_x0000_s1027" type="#_x0000_t202" style="position:absolute;left:0;text-align:left;margin-left:78.9pt;margin-top:127.7pt;width:26.9pt;height:19.45pt;z-index:251659264" fillcolor="white [3212]" strokecolor="white [3212]">
            <v:textbox>
              <w:txbxContent>
                <w:p w14:paraId="526BCAD4" w14:textId="77777777" w:rsidR="00161ACA" w:rsidRDefault="00161ACA"/>
              </w:txbxContent>
            </v:textbox>
          </v:shape>
        </w:pict>
      </w:r>
      <w:r w:rsidR="00DA4AE9" w:rsidRPr="00DA4AE9">
        <w:rPr>
          <w:rFonts w:ascii="Times New Roman" w:hAnsi="Times New Roman" w:cs="Times New Roman"/>
          <w:noProof/>
          <w:color w:val="FF0000"/>
          <w:sz w:val="24"/>
          <w:szCs w:val="24"/>
        </w:rPr>
        <w:drawing>
          <wp:inline distT="0" distB="0" distL="0" distR="0" wp14:anchorId="0A5A1D05" wp14:editId="3E180476">
            <wp:extent cx="6210300" cy="2438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F669B9" w14:textId="77777777" w:rsidR="0049110B" w:rsidRDefault="00DC38AC" w:rsidP="0049110B">
      <w:pPr>
        <w:spacing w:after="120" w:line="240" w:lineRule="auto"/>
        <w:jc w:val="both"/>
        <w:rPr>
          <w:rFonts w:ascii="Times New Roman" w:hAnsi="Times New Roman" w:cs="Times New Roman"/>
          <w:bCs/>
          <w:sz w:val="24"/>
          <w:szCs w:val="24"/>
        </w:rPr>
      </w:pPr>
      <w:r w:rsidRPr="00DC38AC">
        <w:rPr>
          <w:rFonts w:ascii="Times New Roman" w:hAnsi="Times New Roman" w:cs="Times New Roman"/>
          <w:bCs/>
          <w:sz w:val="24"/>
          <w:szCs w:val="24"/>
        </w:rPr>
        <w:t xml:space="preserve">Fig.3: Weed density of </w:t>
      </w:r>
      <w:proofErr w:type="spellStart"/>
      <w:r w:rsidRPr="00DC38AC">
        <w:rPr>
          <w:rFonts w:ascii="Times New Roman" w:hAnsi="Times New Roman" w:cs="Times New Roman"/>
          <w:bCs/>
          <w:i/>
          <w:iCs/>
          <w:sz w:val="24"/>
          <w:szCs w:val="24"/>
        </w:rPr>
        <w:t>Cynodon</w:t>
      </w:r>
      <w:proofErr w:type="spellEnd"/>
      <w:r w:rsidRPr="00DC38AC">
        <w:rPr>
          <w:rFonts w:ascii="Times New Roman" w:hAnsi="Times New Roman" w:cs="Times New Roman"/>
          <w:bCs/>
          <w:i/>
          <w:iCs/>
          <w:sz w:val="24"/>
          <w:szCs w:val="24"/>
        </w:rPr>
        <w:t xml:space="preserve"> </w:t>
      </w:r>
      <w:proofErr w:type="spellStart"/>
      <w:r w:rsidRPr="00DC38AC">
        <w:rPr>
          <w:rFonts w:ascii="Times New Roman" w:hAnsi="Times New Roman" w:cs="Times New Roman"/>
          <w:bCs/>
          <w:i/>
          <w:iCs/>
          <w:sz w:val="24"/>
          <w:szCs w:val="24"/>
        </w:rPr>
        <w:t>dactylon</w:t>
      </w:r>
      <w:proofErr w:type="spellEnd"/>
      <w:r w:rsidRPr="00DC38AC">
        <w:rPr>
          <w:rFonts w:ascii="Times New Roman" w:hAnsi="Times New Roman" w:cs="Times New Roman"/>
          <w:bCs/>
          <w:sz w:val="24"/>
          <w:szCs w:val="24"/>
        </w:rPr>
        <w:t xml:space="preserve"> as influenced by irrigation schedules (I) and cow urine (CU) at 90 DAS</w:t>
      </w:r>
      <w:r w:rsidR="002D59D2">
        <w:rPr>
          <w:rFonts w:ascii="Times New Roman" w:hAnsi="Times New Roman" w:cs="Times New Roman"/>
          <w:bCs/>
          <w:sz w:val="24"/>
          <w:szCs w:val="24"/>
        </w:rPr>
        <w:t xml:space="preserve"> </w:t>
      </w:r>
    </w:p>
    <w:p w14:paraId="29429116"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i/>
          <w:iCs/>
          <w:sz w:val="24"/>
          <w:szCs w:val="24"/>
        </w:rPr>
      </w:pPr>
      <w:r w:rsidRPr="00C261C8">
        <w:rPr>
          <w:rFonts w:ascii="Times New Roman" w:eastAsia="Times New Roman" w:hAnsi="Times New Roman" w:cs="Times New Roman"/>
          <w:b/>
          <w:bCs/>
          <w:sz w:val="24"/>
          <w:szCs w:val="24"/>
        </w:rPr>
        <w:t xml:space="preserve">3.2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p>
    <w:p w14:paraId="79C4B947"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The results indicated that the dry biomass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not significantly affected by different irrigation schedules and cow urine sprays at various intervals during both years of the experiment.</w:t>
      </w:r>
    </w:p>
    <w:p w14:paraId="0B04D328"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3.2.1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30 DAS</w:t>
      </w:r>
    </w:p>
    <w:p w14:paraId="53254A78"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Regarding irrigation schedules, the lowest dry biomass was recorded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second year of the trial. Conversely, the highest dry biomass was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58A6CC7D" w14:textId="3EF3BD93"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As for cow urine application, the minimum dry biomass was noted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second year. On the other hand, the highest dry biomass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during the first year and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in the second year of the experiment.</w:t>
      </w:r>
      <w:r w:rsidR="00BB74BE">
        <w:rPr>
          <w:rFonts w:ascii="Times New Roman" w:eastAsia="Times New Roman" w:hAnsi="Times New Roman" w:cs="Times New Roman"/>
          <w:sz w:val="24"/>
          <w:szCs w:val="24"/>
        </w:rPr>
        <w:t xml:space="preserve"> </w:t>
      </w:r>
    </w:p>
    <w:p w14:paraId="11FFAAA9"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3.2.2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60 DAS</w:t>
      </w:r>
    </w:p>
    <w:p w14:paraId="331ABB7A" w14:textId="77964F98" w:rsidR="00C261C8" w:rsidRPr="00726D76"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sz w:val="24"/>
          <w:szCs w:val="24"/>
        </w:rPr>
        <w:t xml:space="preserve">At </w:t>
      </w:r>
      <w:r w:rsidRPr="00C261C8">
        <w:rPr>
          <w:rFonts w:ascii="Times New Roman" w:eastAsia="Times New Roman" w:hAnsi="Times New Roman" w:cs="Times New Roman"/>
          <w:b/>
          <w:bCs/>
          <w:sz w:val="24"/>
          <w:szCs w:val="24"/>
        </w:rPr>
        <w:t>60 DAS</w:t>
      </w:r>
      <w:r w:rsidRPr="00C261C8">
        <w:rPr>
          <w:rFonts w:ascii="Times New Roman" w:eastAsia="Times New Roman" w:hAnsi="Times New Roman" w:cs="Times New Roman"/>
          <w:sz w:val="24"/>
          <w:szCs w:val="24"/>
        </w:rPr>
        <w:t xml:space="preserve">, the lowest dry biomass was observed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second year of the trial. In contrast, the highest dry biomass was recorded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second year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r w:rsidR="00BB74BE">
        <w:rPr>
          <w:rFonts w:ascii="Times New Roman" w:eastAsia="Times New Roman" w:hAnsi="Times New Roman" w:cs="Times New Roman"/>
          <w:sz w:val="24"/>
          <w:szCs w:val="24"/>
        </w:rPr>
        <w:t xml:space="preserve"> </w:t>
      </w:r>
      <w:r w:rsidRPr="00C261C8">
        <w:rPr>
          <w:rFonts w:ascii="Times New Roman" w:eastAsia="Times New Roman" w:hAnsi="Times New Roman" w:cs="Times New Roman"/>
          <w:sz w:val="24"/>
          <w:szCs w:val="24"/>
        </w:rPr>
        <w:t xml:space="preserve">In terms of cow urine application, the minimum dry biomass was noted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first year, followed by </w:t>
      </w:r>
      <w:r w:rsidRPr="00C261C8">
        <w:rPr>
          <w:rFonts w:ascii="Times New Roman" w:eastAsia="Times New Roman" w:hAnsi="Times New Roman" w:cs="Times New Roman"/>
          <w:b/>
          <w:bCs/>
          <w:sz w:val="24"/>
          <w:szCs w:val="24"/>
        </w:rPr>
        <w:t>C3</w:t>
      </w:r>
      <w:r w:rsidRPr="00C261C8">
        <w:rPr>
          <w:rFonts w:ascii="Times New Roman" w:eastAsia="Times New Roman" w:hAnsi="Times New Roman" w:cs="Times New Roman"/>
          <w:sz w:val="24"/>
          <w:szCs w:val="24"/>
        </w:rPr>
        <w:t xml:space="preserve"> in the second year. Conversely, the maximum dry biomass was observed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during both years of the experiment.</w:t>
      </w:r>
      <w:r w:rsidR="00BB74BE">
        <w:rPr>
          <w:rFonts w:ascii="Times New Roman" w:eastAsia="Times New Roman" w:hAnsi="Times New Roman" w:cs="Times New Roman"/>
          <w:sz w:val="24"/>
          <w:szCs w:val="24"/>
        </w:rPr>
        <w:t xml:space="preserve"> </w:t>
      </w:r>
      <w:r w:rsidRPr="00C261C8">
        <w:rPr>
          <w:rFonts w:ascii="Times New Roman" w:eastAsia="Times New Roman" w:hAnsi="Times New Roman" w:cs="Times New Roman"/>
          <w:b/>
          <w:bCs/>
          <w:sz w:val="24"/>
          <w:szCs w:val="24"/>
        </w:rPr>
        <w:t xml:space="preserve">3.2.3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90 DAS</w:t>
      </w:r>
      <w:r w:rsidR="00726D76">
        <w:rPr>
          <w:rFonts w:ascii="Times New Roman" w:eastAsia="Times New Roman" w:hAnsi="Times New Roman" w:cs="Times New Roman"/>
          <w:b/>
          <w:bCs/>
          <w:sz w:val="24"/>
          <w:szCs w:val="24"/>
        </w:rPr>
        <w:t xml:space="preserve">. </w:t>
      </w:r>
      <w:r w:rsidRPr="00726D76">
        <w:rPr>
          <w:rFonts w:ascii="Times New Roman" w:eastAsia="Times New Roman" w:hAnsi="Times New Roman" w:cs="Times New Roman"/>
          <w:sz w:val="24"/>
          <w:szCs w:val="24"/>
          <w:highlight w:val="yellow"/>
        </w:rPr>
        <w:t xml:space="preserve">At </w:t>
      </w:r>
      <w:r w:rsidRPr="00726D76">
        <w:rPr>
          <w:rFonts w:ascii="Times New Roman" w:eastAsia="Times New Roman" w:hAnsi="Times New Roman" w:cs="Times New Roman"/>
          <w:b/>
          <w:bCs/>
          <w:sz w:val="24"/>
          <w:szCs w:val="24"/>
          <w:highlight w:val="yellow"/>
        </w:rPr>
        <w:t>90 DAS</w:t>
      </w:r>
      <w:r w:rsidRPr="00726D76">
        <w:rPr>
          <w:rFonts w:ascii="Times New Roman" w:eastAsia="Times New Roman" w:hAnsi="Times New Roman" w:cs="Times New Roman"/>
          <w:sz w:val="24"/>
          <w:szCs w:val="24"/>
          <w:highlight w:val="yellow"/>
        </w:rPr>
        <w:t xml:space="preserve">, the lowest dry biomass was recorded under </w:t>
      </w:r>
      <w:r w:rsidRPr="00726D76">
        <w:rPr>
          <w:rFonts w:ascii="Times New Roman" w:eastAsia="Times New Roman" w:hAnsi="Times New Roman" w:cs="Times New Roman"/>
          <w:b/>
          <w:bCs/>
          <w:sz w:val="24"/>
          <w:szCs w:val="24"/>
          <w:highlight w:val="yellow"/>
        </w:rPr>
        <w:t>I3</w:t>
      </w:r>
      <w:r w:rsidRPr="00726D76">
        <w:rPr>
          <w:rFonts w:ascii="Times New Roman" w:eastAsia="Times New Roman" w:hAnsi="Times New Roman" w:cs="Times New Roman"/>
          <w:sz w:val="24"/>
          <w:szCs w:val="24"/>
          <w:highlight w:val="yellow"/>
        </w:rPr>
        <w:t xml:space="preserve"> in the first year and under </w:t>
      </w:r>
      <w:r w:rsidRPr="00726D76">
        <w:rPr>
          <w:rFonts w:ascii="Times New Roman" w:eastAsia="Times New Roman" w:hAnsi="Times New Roman" w:cs="Times New Roman"/>
          <w:b/>
          <w:bCs/>
          <w:sz w:val="24"/>
          <w:szCs w:val="24"/>
          <w:highlight w:val="yellow"/>
        </w:rPr>
        <w:t>I2</w:t>
      </w:r>
      <w:r w:rsidRPr="00726D76">
        <w:rPr>
          <w:rFonts w:ascii="Times New Roman" w:eastAsia="Times New Roman" w:hAnsi="Times New Roman" w:cs="Times New Roman"/>
          <w:sz w:val="24"/>
          <w:szCs w:val="24"/>
          <w:highlight w:val="yellow"/>
        </w:rPr>
        <w:t xml:space="preserve"> in the second year of the trial. In contrast, the highest dry biomass was consistently observed under </w:t>
      </w:r>
      <w:r w:rsidRPr="00726D76">
        <w:rPr>
          <w:rFonts w:ascii="Times New Roman" w:eastAsia="Times New Roman" w:hAnsi="Times New Roman" w:cs="Times New Roman"/>
          <w:b/>
          <w:bCs/>
          <w:sz w:val="24"/>
          <w:szCs w:val="24"/>
          <w:highlight w:val="yellow"/>
        </w:rPr>
        <w:t>I1</w:t>
      </w:r>
      <w:r w:rsidRPr="00726D76">
        <w:rPr>
          <w:rFonts w:ascii="Times New Roman" w:eastAsia="Times New Roman" w:hAnsi="Times New Roman" w:cs="Times New Roman"/>
          <w:sz w:val="24"/>
          <w:szCs w:val="24"/>
          <w:highlight w:val="yellow"/>
        </w:rPr>
        <w:t xml:space="preserve"> during both years of the experiment (</w:t>
      </w:r>
      <w:r w:rsidRPr="00726D76">
        <w:rPr>
          <w:rFonts w:ascii="Times New Roman" w:eastAsia="Times New Roman" w:hAnsi="Times New Roman" w:cs="Times New Roman"/>
          <w:b/>
          <w:bCs/>
          <w:sz w:val="24"/>
          <w:szCs w:val="24"/>
          <w:highlight w:val="yellow"/>
        </w:rPr>
        <w:t>Fig. 4</w:t>
      </w:r>
      <w:r w:rsidRPr="00726D76">
        <w:rPr>
          <w:rFonts w:ascii="Times New Roman" w:eastAsia="Times New Roman" w:hAnsi="Times New Roman" w:cs="Times New Roman"/>
          <w:sz w:val="24"/>
          <w:szCs w:val="24"/>
          <w:highlight w:val="yellow"/>
        </w:rPr>
        <w:t>).</w:t>
      </w:r>
      <w:r w:rsidR="00726D76" w:rsidRPr="00726D76">
        <w:rPr>
          <w:rFonts w:ascii="Times New Roman" w:eastAsia="Times New Roman" w:hAnsi="Times New Roman" w:cs="Times New Roman"/>
          <w:sz w:val="24"/>
          <w:szCs w:val="24"/>
          <w:highlight w:val="yellow"/>
        </w:rPr>
        <w:t xml:space="preserve"> The findings of this study revealed that the dry biomass of </w:t>
      </w:r>
      <w:proofErr w:type="spellStart"/>
      <w:r w:rsidR="00726D76" w:rsidRPr="00726D76">
        <w:rPr>
          <w:rFonts w:ascii="Times New Roman" w:eastAsia="Times New Roman" w:hAnsi="Times New Roman" w:cs="Times New Roman"/>
          <w:i/>
          <w:iCs/>
          <w:sz w:val="24"/>
          <w:szCs w:val="24"/>
          <w:highlight w:val="yellow"/>
        </w:rPr>
        <w:t>Cynodon</w:t>
      </w:r>
      <w:proofErr w:type="spellEnd"/>
      <w:r w:rsidR="00726D76" w:rsidRPr="00726D76">
        <w:rPr>
          <w:rFonts w:ascii="Times New Roman" w:eastAsia="Times New Roman" w:hAnsi="Times New Roman" w:cs="Times New Roman"/>
          <w:i/>
          <w:iCs/>
          <w:sz w:val="24"/>
          <w:szCs w:val="24"/>
          <w:highlight w:val="yellow"/>
        </w:rPr>
        <w:t xml:space="preserve"> </w:t>
      </w:r>
      <w:proofErr w:type="spellStart"/>
      <w:r w:rsidR="00726D76" w:rsidRPr="00726D76">
        <w:rPr>
          <w:rFonts w:ascii="Times New Roman" w:eastAsia="Times New Roman" w:hAnsi="Times New Roman" w:cs="Times New Roman"/>
          <w:i/>
          <w:iCs/>
          <w:sz w:val="24"/>
          <w:szCs w:val="24"/>
          <w:highlight w:val="yellow"/>
        </w:rPr>
        <w:t>dactylon</w:t>
      </w:r>
      <w:proofErr w:type="spellEnd"/>
      <w:r w:rsidR="00726D76" w:rsidRPr="00726D76">
        <w:rPr>
          <w:rFonts w:ascii="Times New Roman" w:eastAsia="Times New Roman" w:hAnsi="Times New Roman" w:cs="Times New Roman"/>
          <w:sz w:val="24"/>
          <w:szCs w:val="24"/>
          <w:highlight w:val="yellow"/>
        </w:rPr>
        <w:t xml:space="preserve"> was not significantly influenced by different irrigation schedules or cow urine applications at various intervals during both years of the experiment. Similar results were </w:t>
      </w:r>
      <w:r w:rsidR="00EC4527">
        <w:rPr>
          <w:rFonts w:ascii="Times New Roman" w:eastAsia="Times New Roman" w:hAnsi="Times New Roman" w:cs="Times New Roman"/>
          <w:sz w:val="24"/>
          <w:szCs w:val="24"/>
          <w:highlight w:val="yellow"/>
        </w:rPr>
        <w:lastRenderedPageBreak/>
        <w:t>reported by Meena et al. [11]</w:t>
      </w:r>
      <w:r w:rsidR="00726D76" w:rsidRPr="00726D76">
        <w:rPr>
          <w:rFonts w:ascii="Times New Roman" w:eastAsia="Times New Roman" w:hAnsi="Times New Roman" w:cs="Times New Roman"/>
          <w:sz w:val="24"/>
          <w:szCs w:val="24"/>
          <w:highlight w:val="yellow"/>
        </w:rPr>
        <w:t xml:space="preserve">, who found that varying irrigation levels and cow urine sprays did not significantly affect the dry biomass of </w:t>
      </w:r>
      <w:r w:rsidR="00726D76" w:rsidRPr="00726D76">
        <w:rPr>
          <w:rFonts w:ascii="Times New Roman" w:eastAsia="Times New Roman" w:hAnsi="Times New Roman" w:cs="Times New Roman"/>
          <w:i/>
          <w:iCs/>
          <w:sz w:val="24"/>
          <w:szCs w:val="24"/>
          <w:highlight w:val="yellow"/>
        </w:rPr>
        <w:t>Chenopodium album</w:t>
      </w:r>
      <w:r w:rsidR="00726D76" w:rsidRPr="00726D76">
        <w:rPr>
          <w:rFonts w:ascii="Times New Roman" w:eastAsia="Times New Roman" w:hAnsi="Times New Roman" w:cs="Times New Roman"/>
          <w:sz w:val="24"/>
          <w:szCs w:val="24"/>
          <w:highlight w:val="yellow"/>
        </w:rPr>
        <w:t xml:space="preserve"> in wheat.</w:t>
      </w:r>
    </w:p>
    <w:p w14:paraId="080FEEAA" w14:textId="761D95E6" w:rsidR="00726D76" w:rsidRDefault="00C261C8" w:rsidP="00726D76">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Regarding cow urine application, the minimum dry biomass was observed under </w:t>
      </w:r>
      <w:r w:rsidRPr="00C261C8">
        <w:rPr>
          <w:rFonts w:ascii="Times New Roman" w:eastAsia="Times New Roman" w:hAnsi="Times New Roman" w:cs="Times New Roman"/>
          <w:b/>
          <w:bCs/>
          <w:sz w:val="24"/>
          <w:szCs w:val="24"/>
        </w:rPr>
        <w:t>C6</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second year. Conversely, the maximum dry biomass was recorded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both years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r w:rsidR="00726D76">
        <w:rPr>
          <w:rFonts w:ascii="Times New Roman" w:eastAsia="Times New Roman" w:hAnsi="Times New Roman" w:cs="Times New Roman"/>
          <w:sz w:val="24"/>
          <w:szCs w:val="24"/>
        </w:rPr>
        <w:t xml:space="preserve">  </w:t>
      </w:r>
      <w:r w:rsidR="00726D76" w:rsidRPr="00726D76">
        <w:rPr>
          <w:rFonts w:ascii="Times New Roman" w:eastAsia="Times New Roman" w:hAnsi="Times New Roman" w:cs="Times New Roman"/>
          <w:sz w:val="24"/>
          <w:szCs w:val="24"/>
          <w:highlight w:val="yellow"/>
        </w:rPr>
        <w:t xml:space="preserve">These findings </w:t>
      </w:r>
      <w:proofErr w:type="gramStart"/>
      <w:r w:rsidR="00726D76" w:rsidRPr="00726D76">
        <w:rPr>
          <w:rFonts w:ascii="Times New Roman" w:eastAsia="Times New Roman" w:hAnsi="Times New Roman" w:cs="Times New Roman"/>
          <w:sz w:val="24"/>
          <w:szCs w:val="24"/>
          <w:highlight w:val="yellow"/>
        </w:rPr>
        <w:t>are in ag</w:t>
      </w:r>
      <w:r w:rsidR="00EC4527">
        <w:rPr>
          <w:rFonts w:ascii="Times New Roman" w:eastAsia="Times New Roman" w:hAnsi="Times New Roman" w:cs="Times New Roman"/>
          <w:sz w:val="24"/>
          <w:szCs w:val="24"/>
          <w:highlight w:val="yellow"/>
        </w:rPr>
        <w:t>reement</w:t>
      </w:r>
      <w:proofErr w:type="gramEnd"/>
      <w:r w:rsidR="00EC4527">
        <w:rPr>
          <w:rFonts w:ascii="Times New Roman" w:eastAsia="Times New Roman" w:hAnsi="Times New Roman" w:cs="Times New Roman"/>
          <w:sz w:val="24"/>
          <w:szCs w:val="24"/>
          <w:highlight w:val="yellow"/>
        </w:rPr>
        <w:t xml:space="preserve"> with Meena et al. [12]</w:t>
      </w:r>
      <w:r w:rsidR="00726D76" w:rsidRPr="00726D76">
        <w:rPr>
          <w:rFonts w:ascii="Times New Roman" w:eastAsia="Times New Roman" w:hAnsi="Times New Roman" w:cs="Times New Roman"/>
          <w:sz w:val="24"/>
          <w:szCs w:val="24"/>
          <w:highlight w:val="yellow"/>
        </w:rPr>
        <w:t>, who concluded that cow urine had inconsistent effects on weed biomass, potentially due to its dual role as a growth stimulant and weed suppressor.</w:t>
      </w:r>
    </w:p>
    <w:p w14:paraId="74ED49E7" w14:textId="662DB969" w:rsidR="009B78B0" w:rsidRPr="00726D76" w:rsidRDefault="00BB2955" w:rsidP="00726D76">
      <w:pPr>
        <w:spacing w:before="100" w:beforeAutospacing="1" w:after="100" w:afterAutospacing="1" w:line="240" w:lineRule="auto"/>
        <w:jc w:val="both"/>
        <w:rPr>
          <w:rFonts w:ascii="Times New Roman" w:eastAsia="Times New Roman" w:hAnsi="Times New Roman" w:cs="Times New Roman"/>
          <w:sz w:val="24"/>
          <w:szCs w:val="24"/>
        </w:rPr>
      </w:pPr>
      <w:r>
        <w:rPr>
          <w:b/>
          <w:noProof/>
        </w:rPr>
        <w:pict w14:anchorId="3A6FECD2">
          <v:shape id="_x0000_s1029" type="#_x0000_t202" style="position:absolute;left:0;text-align:left;margin-left:140.65pt;margin-top:176.5pt;width:23.8pt;height:15pt;z-index:251661312" fillcolor="white [3212]" strokecolor="white [3212]">
            <v:textbox>
              <w:txbxContent>
                <w:p w14:paraId="1D04A76E" w14:textId="77777777" w:rsidR="00161ACA" w:rsidRDefault="00161ACA"/>
              </w:txbxContent>
            </v:textbox>
          </v:shape>
        </w:pict>
      </w:r>
      <w:r>
        <w:rPr>
          <w:b/>
          <w:noProof/>
        </w:rPr>
        <w:pict w14:anchorId="72DD18D7">
          <v:shape id="_x0000_s1026" type="#_x0000_t202" style="position:absolute;left:0;text-align:left;margin-left:51.75pt;margin-top:175.85pt;width:21.9pt;height:15.65pt;z-index:251658240" fillcolor="white [3212]" strokecolor="white [3212]">
            <v:textbox>
              <w:txbxContent>
                <w:p w14:paraId="1A05B37A" w14:textId="77777777" w:rsidR="00161ACA" w:rsidRDefault="00161ACA"/>
              </w:txbxContent>
            </v:textbox>
          </v:shape>
        </w:pict>
      </w:r>
      <w:r w:rsidR="006F5810" w:rsidRPr="006F5810">
        <w:rPr>
          <w:b/>
          <w:noProof/>
        </w:rPr>
        <w:drawing>
          <wp:inline distT="0" distB="0" distL="0" distR="0" wp14:anchorId="270EE72B" wp14:editId="01C7283A">
            <wp:extent cx="6219825" cy="25146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39066C" w14:textId="390D1AF5" w:rsidR="0032423A" w:rsidRPr="00146B96" w:rsidRDefault="00146B96" w:rsidP="008217F6">
      <w:pPr>
        <w:pStyle w:val="Default"/>
        <w:spacing w:after="120" w:line="360" w:lineRule="auto"/>
        <w:jc w:val="both"/>
        <w:rPr>
          <w:bCs/>
          <w:color w:val="auto"/>
        </w:rPr>
      </w:pPr>
      <w:r w:rsidRPr="008217F6">
        <w:rPr>
          <w:bCs/>
          <w:color w:val="auto"/>
          <w:highlight w:val="yellow"/>
        </w:rPr>
        <w:t xml:space="preserve">Fig.4 </w:t>
      </w:r>
      <w:r w:rsidR="008217F6" w:rsidRPr="008217F6">
        <w:rPr>
          <w:bCs/>
          <w:highlight w:val="yellow"/>
        </w:rPr>
        <w:t xml:space="preserve">Dry biomass of </w:t>
      </w:r>
      <w:proofErr w:type="spellStart"/>
      <w:r w:rsidR="008217F6" w:rsidRPr="008217F6">
        <w:rPr>
          <w:bCs/>
          <w:i/>
          <w:iCs/>
          <w:highlight w:val="yellow"/>
        </w:rPr>
        <w:t>Cynodon</w:t>
      </w:r>
      <w:proofErr w:type="spellEnd"/>
      <w:r w:rsidR="008217F6" w:rsidRPr="008217F6">
        <w:rPr>
          <w:bCs/>
          <w:i/>
          <w:iCs/>
          <w:highlight w:val="yellow"/>
        </w:rPr>
        <w:t xml:space="preserve"> </w:t>
      </w:r>
      <w:proofErr w:type="spellStart"/>
      <w:r w:rsidR="008217F6" w:rsidRPr="008217F6">
        <w:rPr>
          <w:bCs/>
          <w:i/>
          <w:iCs/>
          <w:highlight w:val="yellow"/>
        </w:rPr>
        <w:t>dactylon</w:t>
      </w:r>
      <w:proofErr w:type="spellEnd"/>
      <w:r w:rsidR="008217F6" w:rsidRPr="008217F6">
        <w:rPr>
          <w:bCs/>
          <w:highlight w:val="yellow"/>
        </w:rPr>
        <w:t xml:space="preserve"> as influenced by irrigation schedules (I) and cow urine (CU) at 90 DAS</w:t>
      </w:r>
    </w:p>
    <w:p w14:paraId="7CB83F76" w14:textId="6C15C78D" w:rsidR="00C261C8" w:rsidRDefault="001057A2" w:rsidP="00C261C8">
      <w:pPr>
        <w:pStyle w:val="NormalWeb"/>
        <w:jc w:val="both"/>
      </w:pPr>
      <w:r w:rsidRPr="0006142C">
        <w:rPr>
          <w:b/>
        </w:rPr>
        <w:t xml:space="preserve">4. Conclusion:  </w:t>
      </w:r>
      <w:r w:rsidR="00C261C8" w:rsidRPr="00C261C8">
        <w:t xml:space="preserve">The findings indicated that the density and dry biomass of </w:t>
      </w:r>
      <w:proofErr w:type="spellStart"/>
      <w:r w:rsidR="00C261C8" w:rsidRPr="00C261C8">
        <w:rPr>
          <w:i/>
          <w:iCs/>
        </w:rPr>
        <w:t>Cynodon</w:t>
      </w:r>
      <w:proofErr w:type="spellEnd"/>
      <w:r w:rsidR="00C261C8" w:rsidRPr="00C261C8">
        <w:rPr>
          <w:i/>
          <w:iCs/>
        </w:rPr>
        <w:t xml:space="preserve"> </w:t>
      </w:r>
      <w:proofErr w:type="spellStart"/>
      <w:r w:rsidR="00C261C8" w:rsidRPr="00C261C8">
        <w:rPr>
          <w:i/>
          <w:iCs/>
        </w:rPr>
        <w:t>dactylon</w:t>
      </w:r>
      <w:proofErr w:type="spellEnd"/>
      <w:r w:rsidR="00C261C8" w:rsidRPr="00C261C8">
        <w:t xml:space="preserve"> were not significantly affected by different irrigation schedules or cow urine applications at various intervals during both years of the experiment.</w:t>
      </w:r>
    </w:p>
    <w:p w14:paraId="4A30379D" w14:textId="63D8BBCE" w:rsidR="00452F71" w:rsidRPr="00452F71" w:rsidRDefault="00452F71" w:rsidP="00452F71">
      <w:pPr>
        <w:pStyle w:val="NormalWeb"/>
        <w:jc w:val="both"/>
        <w:rPr>
          <w:b/>
        </w:rPr>
      </w:pPr>
      <w:r w:rsidRPr="00452F71">
        <w:rPr>
          <w:b/>
        </w:rPr>
        <w:t>Disclaimer (Artificial intelligence)</w:t>
      </w:r>
      <w:r>
        <w:rPr>
          <w:b/>
        </w:rPr>
        <w:t xml:space="preserve">: </w:t>
      </w:r>
    </w:p>
    <w:p w14:paraId="36D2537C" w14:textId="77777777" w:rsidR="00452F71" w:rsidRDefault="00452F71" w:rsidP="00452F71">
      <w:pPr>
        <w:pStyle w:val="NormalWeb"/>
        <w:jc w:val="both"/>
      </w:pPr>
      <w:r>
        <w:t xml:space="preserve">Option 1: </w:t>
      </w:r>
    </w:p>
    <w:p w14:paraId="3DD98088" w14:textId="77777777" w:rsidR="00452F71" w:rsidRDefault="00452F71" w:rsidP="00452F71">
      <w:pPr>
        <w:pStyle w:val="NormalWeb"/>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C24BBFE" w14:textId="77777777" w:rsidR="00452F71" w:rsidRDefault="00452F71" w:rsidP="00452F71">
      <w:pPr>
        <w:pStyle w:val="NormalWeb"/>
        <w:jc w:val="both"/>
      </w:pPr>
      <w:r>
        <w:t xml:space="preserve">Option 2: </w:t>
      </w:r>
    </w:p>
    <w:p w14:paraId="084CF045" w14:textId="77777777" w:rsidR="00452F71" w:rsidRDefault="00452F71" w:rsidP="00452F71">
      <w:pPr>
        <w:pStyle w:val="NormalWeb"/>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AA3740" w14:textId="77777777" w:rsidR="00452F71" w:rsidRDefault="00452F71" w:rsidP="00452F71">
      <w:pPr>
        <w:pStyle w:val="NormalWeb"/>
        <w:jc w:val="both"/>
      </w:pPr>
      <w:r>
        <w:lastRenderedPageBreak/>
        <w:t>Details of the AI usage are given below:</w:t>
      </w:r>
    </w:p>
    <w:p w14:paraId="3F163DDC" w14:textId="77777777" w:rsidR="00452F71" w:rsidRDefault="00452F71" w:rsidP="00452F71">
      <w:pPr>
        <w:pStyle w:val="NormalWeb"/>
        <w:jc w:val="both"/>
      </w:pPr>
      <w:r>
        <w:t>1.</w:t>
      </w:r>
    </w:p>
    <w:p w14:paraId="534FEFD2" w14:textId="77777777" w:rsidR="00452F71" w:rsidRDefault="00452F71" w:rsidP="00452F71">
      <w:pPr>
        <w:pStyle w:val="NormalWeb"/>
        <w:jc w:val="both"/>
      </w:pPr>
      <w:r>
        <w:t>2.</w:t>
      </w:r>
    </w:p>
    <w:p w14:paraId="1A956502" w14:textId="3CB02F65" w:rsidR="00452F71" w:rsidRPr="00C261C8" w:rsidRDefault="00452F71" w:rsidP="00452F71">
      <w:pPr>
        <w:pStyle w:val="NormalWeb"/>
        <w:jc w:val="both"/>
      </w:pPr>
      <w:r>
        <w:t>3.</w:t>
      </w:r>
    </w:p>
    <w:p w14:paraId="3D1C5C9C" w14:textId="77777777" w:rsidR="005203A6" w:rsidRDefault="005203A6" w:rsidP="00C261C8">
      <w:pPr>
        <w:pStyle w:val="Default"/>
        <w:spacing w:after="120" w:line="360" w:lineRule="auto"/>
        <w:jc w:val="both"/>
        <w:rPr>
          <w:bCs/>
        </w:rPr>
      </w:pPr>
    </w:p>
    <w:p w14:paraId="781C25B1" w14:textId="17FC1773" w:rsidR="00EC6FF5" w:rsidRDefault="00EC6FF5" w:rsidP="00C261C8">
      <w:pPr>
        <w:pStyle w:val="Default"/>
        <w:spacing w:after="120" w:line="360" w:lineRule="auto"/>
        <w:jc w:val="both"/>
        <w:rPr>
          <w:bCs/>
        </w:rPr>
      </w:pPr>
      <w:r>
        <w:rPr>
          <w:bCs/>
        </w:rPr>
        <w:t>REFERENCES</w:t>
      </w:r>
    </w:p>
    <w:p w14:paraId="6ADEFD6C"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804F8A">
        <w:rPr>
          <w:rFonts w:ascii="Times New Roman" w:hAnsi="Times New Roman" w:cs="Times New Roman"/>
          <w:bCs/>
          <w:sz w:val="24"/>
          <w:szCs w:val="24"/>
        </w:rPr>
        <w:t>Aher</w:t>
      </w:r>
      <w:proofErr w:type="spellEnd"/>
      <w:r w:rsidRPr="00804F8A">
        <w:rPr>
          <w:rFonts w:ascii="Times New Roman" w:hAnsi="Times New Roman" w:cs="Times New Roman"/>
          <w:bCs/>
          <w:sz w:val="24"/>
          <w:szCs w:val="24"/>
        </w:rPr>
        <w:t xml:space="preserve">, S. B., </w:t>
      </w:r>
      <w:proofErr w:type="spellStart"/>
      <w:r w:rsidRPr="00804F8A">
        <w:rPr>
          <w:rFonts w:ascii="Times New Roman" w:hAnsi="Times New Roman" w:cs="Times New Roman"/>
          <w:bCs/>
          <w:sz w:val="24"/>
          <w:szCs w:val="24"/>
        </w:rPr>
        <w:t>Lakaria</w:t>
      </w:r>
      <w:proofErr w:type="spellEnd"/>
      <w:r w:rsidRPr="00804F8A">
        <w:rPr>
          <w:rFonts w:ascii="Times New Roman" w:hAnsi="Times New Roman" w:cs="Times New Roman"/>
          <w:bCs/>
          <w:sz w:val="24"/>
          <w:szCs w:val="24"/>
        </w:rPr>
        <w:t xml:space="preserve">, B. L., </w:t>
      </w:r>
      <w:proofErr w:type="spellStart"/>
      <w:r w:rsidRPr="00804F8A">
        <w:rPr>
          <w:rFonts w:ascii="Times New Roman" w:hAnsi="Times New Roman" w:cs="Times New Roman"/>
          <w:bCs/>
          <w:sz w:val="24"/>
          <w:szCs w:val="24"/>
        </w:rPr>
        <w:t>Kaleshananda</w:t>
      </w:r>
      <w:proofErr w:type="spellEnd"/>
      <w:r w:rsidRPr="00804F8A">
        <w:rPr>
          <w:rFonts w:ascii="Times New Roman" w:hAnsi="Times New Roman" w:cs="Times New Roman"/>
          <w:bCs/>
          <w:sz w:val="24"/>
          <w:szCs w:val="24"/>
        </w:rPr>
        <w:t>, S., &amp; Singh, A. B. (2022). Yield, nutrient uptake and economics of soybean–wheat cropping system under organic nutrient management in Central India. </w:t>
      </w:r>
      <w:r w:rsidRPr="00804F8A">
        <w:rPr>
          <w:rFonts w:ascii="Times New Roman" w:hAnsi="Times New Roman" w:cs="Times New Roman"/>
          <w:bCs/>
          <w:i/>
          <w:iCs/>
          <w:sz w:val="24"/>
          <w:szCs w:val="24"/>
        </w:rPr>
        <w:t>Journal of Plant Nutrition</w:t>
      </w:r>
      <w:r w:rsidRPr="00804F8A">
        <w:rPr>
          <w:rFonts w:ascii="Times New Roman" w:hAnsi="Times New Roman" w:cs="Times New Roman"/>
          <w:bCs/>
          <w:sz w:val="24"/>
          <w:szCs w:val="24"/>
        </w:rPr>
        <w:t>, </w:t>
      </w:r>
      <w:r w:rsidRPr="00804F8A">
        <w:rPr>
          <w:rFonts w:ascii="Times New Roman" w:hAnsi="Times New Roman" w:cs="Times New Roman"/>
          <w:bCs/>
          <w:i/>
          <w:iCs/>
          <w:sz w:val="24"/>
          <w:szCs w:val="24"/>
        </w:rPr>
        <w:t>45</w:t>
      </w:r>
      <w:r w:rsidRPr="00804F8A">
        <w:rPr>
          <w:rFonts w:ascii="Times New Roman" w:hAnsi="Times New Roman" w:cs="Times New Roman"/>
          <w:bCs/>
          <w:sz w:val="24"/>
          <w:szCs w:val="24"/>
        </w:rPr>
        <w:t>(6), 904-919.</w:t>
      </w:r>
    </w:p>
    <w:p w14:paraId="07ACF779"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Bhadauria</w:t>
      </w:r>
      <w:proofErr w:type="spellEnd"/>
      <w:r w:rsidRPr="00AD30F0">
        <w:rPr>
          <w:rFonts w:ascii="Times New Roman" w:hAnsi="Times New Roman" w:cs="Times New Roman"/>
          <w:bCs/>
          <w:sz w:val="24"/>
          <w:szCs w:val="24"/>
        </w:rPr>
        <w:t>, H. (2002). Cow urine-a</w:t>
      </w:r>
      <w:r>
        <w:rPr>
          <w:rFonts w:ascii="Times New Roman" w:hAnsi="Times New Roman" w:cs="Times New Roman"/>
          <w:bCs/>
          <w:sz w:val="24"/>
          <w:szCs w:val="24"/>
        </w:rPr>
        <w:t xml:space="preserve"> </w:t>
      </w:r>
      <w:r w:rsidRPr="00AD30F0">
        <w:rPr>
          <w:rFonts w:ascii="Times New Roman" w:hAnsi="Times New Roman" w:cs="Times New Roman"/>
          <w:bCs/>
          <w:sz w:val="24"/>
          <w:szCs w:val="24"/>
        </w:rPr>
        <w:t>magical therapy. International Journal of Cow Science, 1:32-36.</w:t>
      </w:r>
    </w:p>
    <w:p w14:paraId="119E8B57"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Burubhai</w:t>
      </w:r>
      <w:proofErr w:type="spellEnd"/>
      <w:r w:rsidRPr="00AD30F0">
        <w:rPr>
          <w:rFonts w:ascii="Times New Roman" w:hAnsi="Times New Roman" w:cs="Times New Roman"/>
          <w:bCs/>
          <w:sz w:val="24"/>
          <w:szCs w:val="24"/>
        </w:rPr>
        <w:t xml:space="preserve">, W., and </w:t>
      </w:r>
      <w:proofErr w:type="spellStart"/>
      <w:r w:rsidRPr="00AD30F0">
        <w:rPr>
          <w:rFonts w:ascii="Times New Roman" w:hAnsi="Times New Roman" w:cs="Times New Roman"/>
          <w:bCs/>
          <w:sz w:val="24"/>
          <w:szCs w:val="24"/>
        </w:rPr>
        <w:t>Eribo</w:t>
      </w:r>
      <w:proofErr w:type="spellEnd"/>
      <w:r w:rsidRPr="00AD30F0">
        <w:rPr>
          <w:rFonts w:ascii="Times New Roman" w:hAnsi="Times New Roman" w:cs="Times New Roman"/>
          <w:bCs/>
          <w:sz w:val="24"/>
          <w:szCs w:val="24"/>
        </w:rPr>
        <w:t>, M. (2012).</w:t>
      </w:r>
      <w:r>
        <w:rPr>
          <w:rFonts w:ascii="Times New Roman" w:hAnsi="Times New Roman" w:cs="Times New Roman"/>
          <w:bCs/>
          <w:sz w:val="24"/>
          <w:szCs w:val="24"/>
        </w:rPr>
        <w:t xml:space="preserve"> </w:t>
      </w:r>
      <w:r w:rsidRPr="00AD30F0">
        <w:rPr>
          <w:rFonts w:ascii="Times New Roman" w:hAnsi="Times New Roman" w:cs="Times New Roman"/>
          <w:bCs/>
          <w:sz w:val="24"/>
          <w:szCs w:val="24"/>
        </w:rPr>
        <w:t>Influence of incubation periods</w:t>
      </w:r>
      <w:r>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Pr>
          <w:rFonts w:ascii="Times New Roman" w:hAnsi="Times New Roman" w:cs="Times New Roman"/>
          <w:bCs/>
          <w:sz w:val="24"/>
          <w:szCs w:val="24"/>
        </w:rPr>
        <w:t xml:space="preserve"> </w:t>
      </w:r>
      <w:r w:rsidRPr="00AD30F0">
        <w:rPr>
          <w:rFonts w:ascii="Times New Roman" w:hAnsi="Times New Roman" w:cs="Times New Roman"/>
          <w:bCs/>
          <w:sz w:val="24"/>
          <w:szCs w:val="24"/>
        </w:rPr>
        <w:t>dosage</w:t>
      </w:r>
      <w:r>
        <w:rPr>
          <w:rFonts w:ascii="Times New Roman" w:hAnsi="Times New Roman" w:cs="Times New Roman"/>
          <w:bCs/>
          <w:sz w:val="24"/>
          <w:szCs w:val="24"/>
        </w:rPr>
        <w:t xml:space="preserve"> </w:t>
      </w:r>
      <w:r w:rsidRPr="00AD30F0">
        <w:rPr>
          <w:rFonts w:ascii="Times New Roman" w:hAnsi="Times New Roman" w:cs="Times New Roman"/>
          <w:bCs/>
          <w:sz w:val="24"/>
          <w:szCs w:val="24"/>
        </w:rPr>
        <w:t>on</w:t>
      </w:r>
      <w:r>
        <w:rPr>
          <w:rFonts w:ascii="Times New Roman" w:hAnsi="Times New Roman" w:cs="Times New Roman"/>
          <w:bCs/>
          <w:sz w:val="24"/>
          <w:szCs w:val="24"/>
        </w:rPr>
        <w:t xml:space="preserve"> </w:t>
      </w:r>
      <w:r w:rsidRPr="00AD30F0">
        <w:rPr>
          <w:rFonts w:ascii="Times New Roman" w:hAnsi="Times New Roman" w:cs="Times New Roman"/>
          <w:bCs/>
          <w:sz w:val="24"/>
          <w:szCs w:val="24"/>
        </w:rPr>
        <w:t>the</w:t>
      </w:r>
      <w:r>
        <w:rPr>
          <w:rFonts w:ascii="Times New Roman" w:hAnsi="Times New Roman" w:cs="Times New Roman"/>
          <w:bCs/>
          <w:sz w:val="24"/>
          <w:szCs w:val="24"/>
        </w:rPr>
        <w:t xml:space="preserve"> </w:t>
      </w:r>
      <w:r w:rsidRPr="00AD30F0">
        <w:rPr>
          <w:rFonts w:ascii="Times New Roman" w:hAnsi="Times New Roman" w:cs="Times New Roman"/>
          <w:bCs/>
          <w:sz w:val="24"/>
          <w:szCs w:val="24"/>
        </w:rPr>
        <w:t>bio</w:t>
      </w:r>
      <w:r>
        <w:rPr>
          <w:rFonts w:ascii="Times New Roman" w:hAnsi="Times New Roman" w:cs="Times New Roman"/>
          <w:bCs/>
          <w:sz w:val="24"/>
          <w:szCs w:val="24"/>
        </w:rPr>
        <w:t>-</w:t>
      </w:r>
      <w:r w:rsidRPr="00AD30F0">
        <w:rPr>
          <w:rFonts w:ascii="Times New Roman" w:hAnsi="Times New Roman" w:cs="Times New Roman"/>
          <w:bCs/>
          <w:sz w:val="24"/>
          <w:szCs w:val="24"/>
        </w:rPr>
        <w:t>efficacy</w:t>
      </w:r>
      <w:r>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Pr>
          <w:rFonts w:ascii="Times New Roman" w:hAnsi="Times New Roman" w:cs="Times New Roman"/>
          <w:bCs/>
          <w:sz w:val="24"/>
          <w:szCs w:val="24"/>
        </w:rPr>
        <w:t xml:space="preserve"> </w:t>
      </w:r>
      <w:r w:rsidRPr="00AD30F0">
        <w:rPr>
          <w:rFonts w:ascii="Times New Roman" w:hAnsi="Times New Roman" w:cs="Times New Roman"/>
          <w:bCs/>
          <w:sz w:val="24"/>
          <w:szCs w:val="24"/>
        </w:rPr>
        <w:t>cow</w:t>
      </w:r>
      <w:r>
        <w:rPr>
          <w:rFonts w:ascii="Times New Roman" w:hAnsi="Times New Roman" w:cs="Times New Roman"/>
          <w:bCs/>
          <w:sz w:val="24"/>
          <w:szCs w:val="24"/>
        </w:rPr>
        <w:t xml:space="preserve"> </w:t>
      </w:r>
      <w:r w:rsidRPr="00AD30F0">
        <w:rPr>
          <w:rFonts w:ascii="Times New Roman" w:hAnsi="Times New Roman" w:cs="Times New Roman"/>
          <w:bCs/>
          <w:sz w:val="24"/>
          <w:szCs w:val="24"/>
        </w:rPr>
        <w:t>urine</w:t>
      </w:r>
      <w:r>
        <w:rPr>
          <w:rFonts w:ascii="Times New Roman" w:hAnsi="Times New Roman" w:cs="Times New Roman"/>
          <w:bCs/>
          <w:sz w:val="24"/>
          <w:szCs w:val="24"/>
        </w:rPr>
        <w:t xml:space="preserve"> </w:t>
      </w:r>
      <w:r w:rsidRPr="00AD30F0">
        <w:rPr>
          <w:rFonts w:ascii="Times New Roman" w:hAnsi="Times New Roman" w:cs="Times New Roman"/>
          <w:bCs/>
          <w:sz w:val="24"/>
          <w:szCs w:val="24"/>
        </w:rPr>
        <w:t>against melon aphids (</w:t>
      </w:r>
      <w:r w:rsidRPr="00AD30F0">
        <w:rPr>
          <w:rFonts w:ascii="Times New Roman" w:hAnsi="Times New Roman" w:cs="Times New Roman"/>
          <w:bCs/>
          <w:i/>
          <w:iCs/>
          <w:sz w:val="24"/>
          <w:szCs w:val="24"/>
        </w:rPr>
        <w:t xml:space="preserve">Aphis </w:t>
      </w:r>
      <w:proofErr w:type="spellStart"/>
      <w:r w:rsidRPr="00AD30F0">
        <w:rPr>
          <w:rFonts w:ascii="Times New Roman" w:hAnsi="Times New Roman" w:cs="Times New Roman"/>
          <w:bCs/>
          <w:i/>
          <w:iCs/>
          <w:sz w:val="24"/>
          <w:szCs w:val="24"/>
        </w:rPr>
        <w:t>gossypii</w:t>
      </w:r>
      <w:proofErr w:type="spellEnd"/>
      <w:r w:rsidRPr="00AD30F0">
        <w:rPr>
          <w:rFonts w:ascii="Times New Roman" w:hAnsi="Times New Roman" w:cs="Times New Roman"/>
          <w:bCs/>
          <w:sz w:val="24"/>
          <w:szCs w:val="24"/>
        </w:rPr>
        <w:t>) and pickleworms (</w:t>
      </w:r>
      <w:proofErr w:type="spellStart"/>
      <w:r w:rsidRPr="00AD30F0">
        <w:rPr>
          <w:rFonts w:ascii="Times New Roman" w:hAnsi="Times New Roman" w:cs="Times New Roman"/>
          <w:bCs/>
          <w:sz w:val="24"/>
          <w:szCs w:val="24"/>
        </w:rPr>
        <w:t>Diaphaniahyalinata</w:t>
      </w:r>
      <w:proofErr w:type="spellEnd"/>
      <w:r w:rsidRPr="00AD30F0">
        <w:rPr>
          <w:rFonts w:ascii="Times New Roman" w:hAnsi="Times New Roman" w:cs="Times New Roman"/>
          <w:bCs/>
          <w:sz w:val="24"/>
          <w:szCs w:val="24"/>
        </w:rPr>
        <w:t>)</w:t>
      </w:r>
      <w:r>
        <w:rPr>
          <w:rFonts w:ascii="Times New Roman" w:hAnsi="Times New Roman" w:cs="Times New Roman"/>
          <w:bCs/>
          <w:sz w:val="24"/>
          <w:szCs w:val="24"/>
        </w:rPr>
        <w:t xml:space="preserve"> </w:t>
      </w:r>
      <w:r w:rsidRPr="00AD30F0">
        <w:rPr>
          <w:rFonts w:ascii="Times New Roman" w:hAnsi="Times New Roman" w:cs="Times New Roman"/>
          <w:bCs/>
          <w:sz w:val="24"/>
          <w:szCs w:val="24"/>
        </w:rPr>
        <w:t>in</w:t>
      </w:r>
      <w:r>
        <w:rPr>
          <w:rFonts w:ascii="Times New Roman" w:hAnsi="Times New Roman" w:cs="Times New Roman"/>
          <w:bCs/>
          <w:sz w:val="24"/>
          <w:szCs w:val="24"/>
        </w:rPr>
        <w:t xml:space="preserve"> </w:t>
      </w:r>
      <w:r w:rsidRPr="00AD30F0">
        <w:rPr>
          <w:rFonts w:ascii="Times New Roman" w:hAnsi="Times New Roman" w:cs="Times New Roman"/>
          <w:bCs/>
          <w:sz w:val="24"/>
          <w:szCs w:val="24"/>
        </w:rPr>
        <w:t>water</w:t>
      </w:r>
      <w:r>
        <w:rPr>
          <w:rFonts w:ascii="Times New Roman" w:hAnsi="Times New Roman" w:cs="Times New Roman"/>
          <w:bCs/>
          <w:sz w:val="24"/>
          <w:szCs w:val="24"/>
        </w:rPr>
        <w:t xml:space="preserve"> </w:t>
      </w:r>
      <w:r w:rsidRPr="00AD30F0">
        <w:rPr>
          <w:rFonts w:ascii="Times New Roman" w:hAnsi="Times New Roman" w:cs="Times New Roman"/>
          <w:bCs/>
          <w:sz w:val="24"/>
          <w:szCs w:val="24"/>
        </w:rPr>
        <w:t>melon</w:t>
      </w:r>
      <w:r>
        <w:rPr>
          <w:rFonts w:ascii="Times New Roman" w:hAnsi="Times New Roman" w:cs="Times New Roman"/>
          <w:bCs/>
          <w:sz w:val="24"/>
          <w:szCs w:val="24"/>
        </w:rPr>
        <w:t xml:space="preserve"> </w:t>
      </w:r>
      <w:r w:rsidRPr="00AD30F0">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AD30F0">
        <w:rPr>
          <w:rFonts w:ascii="Times New Roman" w:hAnsi="Times New Roman" w:cs="Times New Roman"/>
          <w:bCs/>
          <w:sz w:val="24"/>
          <w:szCs w:val="24"/>
        </w:rPr>
        <w:t>Research Journal of Applied Sciences, Engineering and Technology,4(4):269-272.</w:t>
      </w:r>
    </w:p>
    <w:p w14:paraId="0A544CCB"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F17DBE">
        <w:rPr>
          <w:rFonts w:ascii="Times New Roman" w:hAnsi="Times New Roman" w:cs="Times New Roman"/>
          <w:bCs/>
          <w:sz w:val="24"/>
          <w:szCs w:val="24"/>
        </w:rPr>
        <w:t>Devakumar</w:t>
      </w:r>
      <w:proofErr w:type="spellEnd"/>
      <w:r w:rsidRPr="00F17DBE">
        <w:rPr>
          <w:rFonts w:ascii="Times New Roman" w:hAnsi="Times New Roman" w:cs="Times New Roman"/>
          <w:bCs/>
          <w:sz w:val="24"/>
          <w:szCs w:val="24"/>
        </w:rPr>
        <w:t xml:space="preserve">, N., Shubha, S., Rao, G.G.E. and Imran Khan (2014). Studies on Soil fertility, Cow urine 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levels on Growth and Yield of Maize. 4th ISOFARScientificcongress.BuildingOrganicBridges,4: 627-629.</w:t>
      </w:r>
    </w:p>
    <w:p w14:paraId="5F12C676"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Dotaniya</w:t>
      </w:r>
      <w:proofErr w:type="spellEnd"/>
      <w:r w:rsidRPr="00AD30F0">
        <w:rPr>
          <w:rFonts w:ascii="Times New Roman" w:hAnsi="Times New Roman" w:cs="Times New Roman"/>
          <w:bCs/>
          <w:sz w:val="24"/>
          <w:szCs w:val="24"/>
        </w:rPr>
        <w:t xml:space="preserve">, C. K., </w:t>
      </w:r>
      <w:proofErr w:type="spellStart"/>
      <w:r w:rsidRPr="00AD30F0">
        <w:rPr>
          <w:rFonts w:ascii="Times New Roman" w:hAnsi="Times New Roman" w:cs="Times New Roman"/>
          <w:bCs/>
          <w:sz w:val="24"/>
          <w:szCs w:val="24"/>
        </w:rPr>
        <w:t>Lakaria</w:t>
      </w:r>
      <w:proofErr w:type="spellEnd"/>
      <w:r w:rsidRPr="00AD30F0">
        <w:rPr>
          <w:rFonts w:ascii="Times New Roman" w:hAnsi="Times New Roman" w:cs="Times New Roman"/>
          <w:bCs/>
          <w:sz w:val="24"/>
          <w:szCs w:val="24"/>
        </w:rPr>
        <w:t xml:space="preserve">, B. L., Sharma, Y., Meena, B. P., </w:t>
      </w:r>
      <w:proofErr w:type="spellStart"/>
      <w:r w:rsidRPr="00AD30F0">
        <w:rPr>
          <w:rFonts w:ascii="Times New Roman" w:hAnsi="Times New Roman" w:cs="Times New Roman"/>
          <w:bCs/>
          <w:sz w:val="24"/>
          <w:szCs w:val="24"/>
        </w:rPr>
        <w:t>Aher</w:t>
      </w:r>
      <w:proofErr w:type="spellEnd"/>
      <w:r w:rsidRPr="00AD30F0">
        <w:rPr>
          <w:rFonts w:ascii="Times New Roman" w:hAnsi="Times New Roman" w:cs="Times New Roman"/>
          <w:bCs/>
          <w:sz w:val="24"/>
          <w:szCs w:val="24"/>
        </w:rPr>
        <w:t xml:space="preserve">, S. B., </w:t>
      </w:r>
      <w:proofErr w:type="spellStart"/>
      <w:r w:rsidRPr="00AD30F0">
        <w:rPr>
          <w:rFonts w:ascii="Times New Roman" w:hAnsi="Times New Roman" w:cs="Times New Roman"/>
          <w:bCs/>
          <w:sz w:val="24"/>
          <w:szCs w:val="24"/>
        </w:rPr>
        <w:t>Shirale</w:t>
      </w:r>
      <w:proofErr w:type="spellEnd"/>
      <w:r w:rsidRPr="00AD30F0">
        <w:rPr>
          <w:rFonts w:ascii="Times New Roman" w:hAnsi="Times New Roman" w:cs="Times New Roman"/>
          <w:bCs/>
          <w:sz w:val="24"/>
          <w:szCs w:val="24"/>
        </w:rPr>
        <w:t>, A. O., ... &amp; Lata, M. (2022). Performance of chickpea (</w:t>
      </w:r>
      <w:proofErr w:type="spellStart"/>
      <w:r w:rsidRPr="00A34939">
        <w:rPr>
          <w:rFonts w:ascii="Times New Roman" w:hAnsi="Times New Roman" w:cs="Times New Roman"/>
          <w:bCs/>
          <w:i/>
          <w:iCs/>
          <w:sz w:val="24"/>
          <w:szCs w:val="24"/>
        </w:rPr>
        <w:t>Cicer</w:t>
      </w:r>
      <w:proofErr w:type="spellEnd"/>
      <w:r w:rsidRPr="00A34939">
        <w:rPr>
          <w:rFonts w:ascii="Times New Roman" w:hAnsi="Times New Roman" w:cs="Times New Roman"/>
          <w:bCs/>
          <w:i/>
          <w:iCs/>
          <w:sz w:val="24"/>
          <w:szCs w:val="24"/>
        </w:rPr>
        <w:t xml:space="preserve"> arietinum</w:t>
      </w:r>
      <w:r w:rsidRPr="00AD30F0">
        <w:rPr>
          <w:rFonts w:ascii="Times New Roman" w:hAnsi="Times New Roman" w:cs="Times New Roman"/>
          <w:bCs/>
          <w:sz w:val="24"/>
          <w:szCs w:val="24"/>
        </w:rPr>
        <w:t xml:space="preserve"> L.) in maize-chickpea sequence under various integrated nutrient modules in a </w:t>
      </w:r>
      <w:proofErr w:type="spellStart"/>
      <w:r w:rsidRPr="00AD30F0">
        <w:rPr>
          <w:rFonts w:ascii="Times New Roman" w:hAnsi="Times New Roman" w:cs="Times New Roman"/>
          <w:bCs/>
          <w:sz w:val="24"/>
          <w:szCs w:val="24"/>
        </w:rPr>
        <w:t>Vertisol</w:t>
      </w:r>
      <w:proofErr w:type="spellEnd"/>
      <w:r w:rsidRPr="00AD30F0">
        <w:rPr>
          <w:rFonts w:ascii="Times New Roman" w:hAnsi="Times New Roman" w:cs="Times New Roman"/>
          <w:bCs/>
          <w:sz w:val="24"/>
          <w:szCs w:val="24"/>
        </w:rPr>
        <w:t xml:space="preserve"> of Central India. </w:t>
      </w:r>
      <w:proofErr w:type="spellStart"/>
      <w:r w:rsidRPr="00AD30F0">
        <w:rPr>
          <w:rFonts w:ascii="Times New Roman" w:hAnsi="Times New Roman" w:cs="Times New Roman"/>
          <w:bCs/>
          <w:i/>
          <w:iCs/>
          <w:sz w:val="24"/>
          <w:szCs w:val="24"/>
        </w:rPr>
        <w:t>Plos</w:t>
      </w:r>
      <w:proofErr w:type="spellEnd"/>
      <w:r w:rsidRPr="00AD30F0">
        <w:rPr>
          <w:rFonts w:ascii="Times New Roman" w:hAnsi="Times New Roman" w:cs="Times New Roman"/>
          <w:bCs/>
          <w:i/>
          <w:iCs/>
          <w:sz w:val="24"/>
          <w:szCs w:val="24"/>
        </w:rPr>
        <w:t xml:space="preserve"> one</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17</w:t>
      </w:r>
      <w:r w:rsidRPr="00AD30F0">
        <w:rPr>
          <w:rFonts w:ascii="Times New Roman" w:hAnsi="Times New Roman" w:cs="Times New Roman"/>
          <w:bCs/>
          <w:sz w:val="24"/>
          <w:szCs w:val="24"/>
        </w:rPr>
        <w:t>(2), e0262652.</w:t>
      </w:r>
    </w:p>
    <w:p w14:paraId="6E5477FA"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Dotaniya</w:t>
      </w:r>
      <w:proofErr w:type="spellEnd"/>
      <w:r w:rsidRPr="00AD30F0">
        <w:rPr>
          <w:rFonts w:ascii="Times New Roman" w:hAnsi="Times New Roman" w:cs="Times New Roman"/>
          <w:bCs/>
          <w:sz w:val="24"/>
          <w:szCs w:val="24"/>
        </w:rPr>
        <w:t xml:space="preserve">, C.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w:t>
      </w:r>
      <w:proofErr w:type="spellStart"/>
      <w:r w:rsidRPr="00AD30F0">
        <w:rPr>
          <w:rFonts w:ascii="Times New Roman" w:hAnsi="Times New Roman" w:cs="Times New Roman"/>
          <w:bCs/>
          <w:sz w:val="24"/>
          <w:szCs w:val="24"/>
        </w:rPr>
        <w:t>Aher</w:t>
      </w:r>
      <w:proofErr w:type="spellEnd"/>
      <w:r w:rsidRPr="00AD30F0">
        <w:rPr>
          <w:rFonts w:ascii="Times New Roman" w:hAnsi="Times New Roman" w:cs="Times New Roman"/>
          <w:bCs/>
          <w:sz w:val="24"/>
          <w:szCs w:val="24"/>
        </w:rPr>
        <w:t xml:space="preserve">, S. B., Rajput, P. S., </w:t>
      </w:r>
      <w:proofErr w:type="spellStart"/>
      <w:r w:rsidRPr="00AD30F0">
        <w:rPr>
          <w:rFonts w:ascii="Times New Roman" w:hAnsi="Times New Roman" w:cs="Times New Roman"/>
          <w:bCs/>
          <w:sz w:val="24"/>
          <w:szCs w:val="24"/>
        </w:rPr>
        <w:t>Doutaniya</w:t>
      </w:r>
      <w:proofErr w:type="spellEnd"/>
      <w:r w:rsidRPr="00AD30F0">
        <w:rPr>
          <w:rFonts w:ascii="Times New Roman" w:hAnsi="Times New Roman" w:cs="Times New Roman"/>
          <w:bCs/>
          <w:sz w:val="24"/>
          <w:szCs w:val="24"/>
        </w:rPr>
        <w:t xml:space="preserve">, R. K., Lata, M., &amp; </w:t>
      </w:r>
      <w:proofErr w:type="spellStart"/>
      <w:r w:rsidRPr="00AD30F0">
        <w:rPr>
          <w:rFonts w:ascii="Times New Roman" w:hAnsi="Times New Roman" w:cs="Times New Roman"/>
          <w:bCs/>
          <w:sz w:val="24"/>
          <w:szCs w:val="24"/>
        </w:rPr>
        <w:t>Mohbe</w:t>
      </w:r>
      <w:proofErr w:type="spellEnd"/>
      <w:r w:rsidRPr="00AD30F0">
        <w:rPr>
          <w:rFonts w:ascii="Times New Roman" w:hAnsi="Times New Roman" w:cs="Times New Roman"/>
          <w:bCs/>
          <w:sz w:val="24"/>
          <w:szCs w:val="24"/>
        </w:rPr>
        <w:t>, S. (2020). Crop performance and soil properties under organic nutrient management. </w:t>
      </w:r>
      <w:r w:rsidRPr="00AD30F0">
        <w:rPr>
          <w:rFonts w:ascii="Times New Roman" w:hAnsi="Times New Roman" w:cs="Times New Roman"/>
          <w:bCs/>
          <w:i/>
          <w:iCs/>
          <w:sz w:val="24"/>
          <w:szCs w:val="24"/>
        </w:rPr>
        <w:t>International Journal of Current Microbiology and Applied Sciences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9</w:t>
      </w:r>
      <w:r w:rsidRPr="00AD30F0">
        <w:rPr>
          <w:rFonts w:ascii="Times New Roman" w:hAnsi="Times New Roman" w:cs="Times New Roman"/>
          <w:bCs/>
          <w:sz w:val="24"/>
          <w:szCs w:val="24"/>
        </w:rPr>
        <w:t>(4), 1055-1065.</w:t>
      </w:r>
    </w:p>
    <w:p w14:paraId="398BAD3A"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Khandagle</w:t>
      </w:r>
      <w:proofErr w:type="spellEnd"/>
      <w:r w:rsidRPr="00AD30F0">
        <w:rPr>
          <w:rFonts w:ascii="Times New Roman" w:hAnsi="Times New Roman" w:cs="Times New Roman"/>
          <w:bCs/>
          <w:sz w:val="24"/>
          <w:szCs w:val="24"/>
        </w:rPr>
        <w:t xml:space="preserve">, A., Dwivedi, B. S., </w:t>
      </w:r>
      <w:proofErr w:type="spellStart"/>
      <w:r w:rsidRPr="00AD30F0">
        <w:rPr>
          <w:rFonts w:ascii="Times New Roman" w:hAnsi="Times New Roman" w:cs="Times New Roman"/>
          <w:bCs/>
          <w:sz w:val="24"/>
          <w:szCs w:val="24"/>
        </w:rPr>
        <w:t>Aher</w:t>
      </w:r>
      <w:proofErr w:type="spellEnd"/>
      <w:r w:rsidRPr="00AD30F0">
        <w:rPr>
          <w:rFonts w:ascii="Times New Roman" w:hAnsi="Times New Roman" w:cs="Times New Roman"/>
          <w:bCs/>
          <w:sz w:val="24"/>
          <w:szCs w:val="24"/>
        </w:rPr>
        <w:t xml:space="preserve">, S. B., Dwivedi, A.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&amp; </w:t>
      </w:r>
      <w:proofErr w:type="spellStart"/>
      <w:r w:rsidRPr="00AD30F0">
        <w:rPr>
          <w:rFonts w:ascii="Times New Roman" w:hAnsi="Times New Roman" w:cs="Times New Roman"/>
          <w:bCs/>
          <w:sz w:val="24"/>
          <w:szCs w:val="24"/>
        </w:rPr>
        <w:t>Jat</w:t>
      </w:r>
      <w:proofErr w:type="spellEnd"/>
      <w:r w:rsidRPr="00AD30F0">
        <w:rPr>
          <w:rFonts w:ascii="Times New Roman" w:hAnsi="Times New Roman" w:cs="Times New Roman"/>
          <w:bCs/>
          <w:sz w:val="24"/>
          <w:szCs w:val="24"/>
        </w:rPr>
        <w:t>, D. (2019a). Effect of long-term application of fertilizers and manure on soil properties. </w:t>
      </w:r>
      <w:r w:rsidRPr="00AD30F0">
        <w:rPr>
          <w:rFonts w:ascii="Times New Roman" w:hAnsi="Times New Roman" w:cs="Times New Roman"/>
          <w:bCs/>
          <w:i/>
          <w:iCs/>
          <w:sz w:val="24"/>
          <w:szCs w:val="24"/>
        </w:rPr>
        <w:t>Journal of Soils and Crops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29</w:t>
      </w:r>
      <w:r w:rsidRPr="00AD30F0">
        <w:rPr>
          <w:rFonts w:ascii="Times New Roman" w:hAnsi="Times New Roman" w:cs="Times New Roman"/>
          <w:bCs/>
          <w:sz w:val="24"/>
          <w:szCs w:val="24"/>
        </w:rPr>
        <w:t>(1), 97-104.</w:t>
      </w:r>
    </w:p>
    <w:p w14:paraId="3E816A34"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lastRenderedPageBreak/>
        <w:t>Khandagle</w:t>
      </w:r>
      <w:proofErr w:type="spellEnd"/>
      <w:r w:rsidRPr="00AD30F0">
        <w:rPr>
          <w:rFonts w:ascii="Times New Roman" w:hAnsi="Times New Roman" w:cs="Times New Roman"/>
          <w:bCs/>
          <w:sz w:val="24"/>
          <w:szCs w:val="24"/>
        </w:rPr>
        <w:t xml:space="preserve">, A., Dwivedi, B. S., </w:t>
      </w:r>
      <w:proofErr w:type="spellStart"/>
      <w:r w:rsidRPr="00AD30F0">
        <w:rPr>
          <w:rFonts w:ascii="Times New Roman" w:hAnsi="Times New Roman" w:cs="Times New Roman"/>
          <w:bCs/>
          <w:sz w:val="24"/>
          <w:szCs w:val="24"/>
        </w:rPr>
        <w:t>Aher</w:t>
      </w:r>
      <w:proofErr w:type="spellEnd"/>
      <w:r w:rsidRPr="00AD30F0">
        <w:rPr>
          <w:rFonts w:ascii="Times New Roman" w:hAnsi="Times New Roman" w:cs="Times New Roman"/>
          <w:bCs/>
          <w:sz w:val="24"/>
          <w:szCs w:val="24"/>
        </w:rPr>
        <w:t xml:space="preserve">, S. B., Dwivedi, A.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w:t>
      </w:r>
      <w:proofErr w:type="spellStart"/>
      <w:r w:rsidRPr="00AD30F0">
        <w:rPr>
          <w:rFonts w:ascii="Times New Roman" w:hAnsi="Times New Roman" w:cs="Times New Roman"/>
          <w:bCs/>
          <w:sz w:val="24"/>
          <w:szCs w:val="24"/>
        </w:rPr>
        <w:t>Mohbe</w:t>
      </w:r>
      <w:proofErr w:type="spellEnd"/>
      <w:r w:rsidRPr="00AD30F0">
        <w:rPr>
          <w:rFonts w:ascii="Times New Roman" w:hAnsi="Times New Roman" w:cs="Times New Roman"/>
          <w:bCs/>
          <w:sz w:val="24"/>
          <w:szCs w:val="24"/>
        </w:rPr>
        <w:t xml:space="preserve">, S., &amp; Panwar, S. (2019b). Distribution of nitrogen fractions under long term fertilizer and manure application in a </w:t>
      </w:r>
      <w:proofErr w:type="spellStart"/>
      <w:r w:rsidRPr="00AD30F0">
        <w:rPr>
          <w:rFonts w:ascii="Times New Roman" w:hAnsi="Times New Roman" w:cs="Times New Roman"/>
          <w:bCs/>
          <w:sz w:val="24"/>
          <w:szCs w:val="24"/>
        </w:rPr>
        <w:t>vertisol</w:t>
      </w:r>
      <w:proofErr w:type="spellEnd"/>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Bioscience Biotechnology Research Communications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12</w:t>
      </w:r>
      <w:r w:rsidRPr="00AD30F0">
        <w:rPr>
          <w:rFonts w:ascii="Times New Roman" w:hAnsi="Times New Roman" w:cs="Times New Roman"/>
          <w:bCs/>
          <w:sz w:val="24"/>
          <w:szCs w:val="24"/>
        </w:rPr>
        <w:t>(1), 186-193.</w:t>
      </w:r>
    </w:p>
    <w:p w14:paraId="3740C3BE" w14:textId="520F6E83" w:rsidR="00B20458" w:rsidRDefault="00B20458" w:rsidP="00B20458">
      <w:pPr>
        <w:pStyle w:val="ListParagraph"/>
        <w:numPr>
          <w:ilvl w:val="0"/>
          <w:numId w:val="4"/>
        </w:numPr>
        <w:spacing w:after="120" w:line="360" w:lineRule="auto"/>
        <w:jc w:val="both"/>
        <w:rPr>
          <w:rFonts w:ascii="Times New Roman" w:hAnsi="Times New Roman" w:cs="Times New Roman"/>
          <w:bCs/>
          <w:sz w:val="24"/>
          <w:szCs w:val="24"/>
        </w:rPr>
      </w:pPr>
      <w:r w:rsidRPr="00B20458">
        <w:rPr>
          <w:rFonts w:ascii="Times New Roman" w:hAnsi="Times New Roman" w:cs="Times New Roman"/>
          <w:bCs/>
          <w:sz w:val="24"/>
          <w:szCs w:val="24"/>
        </w:rPr>
        <w:t xml:space="preserve">Meena, K., Aakash, M. S., Kumar, J., Meena, R. N., Singh, R. K., &amp; </w:t>
      </w:r>
      <w:proofErr w:type="spellStart"/>
      <w:r w:rsidRPr="00B20458">
        <w:rPr>
          <w:rFonts w:ascii="Times New Roman" w:hAnsi="Times New Roman" w:cs="Times New Roman"/>
          <w:bCs/>
          <w:sz w:val="24"/>
          <w:szCs w:val="24"/>
        </w:rPr>
        <w:t>Bairwa</w:t>
      </w:r>
      <w:proofErr w:type="spellEnd"/>
      <w:r w:rsidRPr="00B20458">
        <w:rPr>
          <w:rFonts w:ascii="Times New Roman" w:hAnsi="Times New Roman" w:cs="Times New Roman"/>
          <w:bCs/>
          <w:sz w:val="24"/>
          <w:szCs w:val="24"/>
        </w:rPr>
        <w:t xml:space="preserve">, T. C. (2025). Effect of Irrigation Schedules and Cow Urine Spray on Density and Dry Biomass of </w:t>
      </w:r>
      <w:proofErr w:type="spellStart"/>
      <w:r w:rsidRPr="00B20458">
        <w:rPr>
          <w:rFonts w:ascii="Times New Roman" w:hAnsi="Times New Roman" w:cs="Times New Roman"/>
          <w:bCs/>
          <w:sz w:val="24"/>
          <w:szCs w:val="24"/>
        </w:rPr>
        <w:t>Vicia</w:t>
      </w:r>
      <w:proofErr w:type="spellEnd"/>
      <w:r w:rsidRPr="00B20458">
        <w:rPr>
          <w:rFonts w:ascii="Times New Roman" w:hAnsi="Times New Roman" w:cs="Times New Roman"/>
          <w:bCs/>
          <w:sz w:val="24"/>
          <w:szCs w:val="24"/>
        </w:rPr>
        <w:t xml:space="preserve"> Sativa. </w:t>
      </w:r>
      <w:r w:rsidRPr="00B20458">
        <w:rPr>
          <w:rFonts w:ascii="Times New Roman" w:hAnsi="Times New Roman" w:cs="Times New Roman"/>
          <w:bCs/>
          <w:i/>
          <w:iCs/>
          <w:sz w:val="24"/>
          <w:szCs w:val="24"/>
        </w:rPr>
        <w:t>Journal of Experimental Agriculture International</w:t>
      </w:r>
      <w:r w:rsidRPr="00B20458">
        <w:rPr>
          <w:rFonts w:ascii="Times New Roman" w:hAnsi="Times New Roman" w:cs="Times New Roman"/>
          <w:bCs/>
          <w:sz w:val="24"/>
          <w:szCs w:val="24"/>
        </w:rPr>
        <w:t>, </w:t>
      </w:r>
      <w:r w:rsidRPr="00B20458">
        <w:rPr>
          <w:rFonts w:ascii="Times New Roman" w:hAnsi="Times New Roman" w:cs="Times New Roman"/>
          <w:bCs/>
          <w:i/>
          <w:iCs/>
          <w:sz w:val="24"/>
          <w:szCs w:val="24"/>
        </w:rPr>
        <w:t>47</w:t>
      </w:r>
      <w:r w:rsidRPr="00B20458">
        <w:rPr>
          <w:rFonts w:ascii="Times New Roman" w:hAnsi="Times New Roman" w:cs="Times New Roman"/>
          <w:bCs/>
          <w:sz w:val="24"/>
          <w:szCs w:val="24"/>
        </w:rPr>
        <w:t xml:space="preserve">(2), 462–467. </w:t>
      </w:r>
      <w:hyperlink r:id="rId11" w:history="1">
        <w:r w:rsidRPr="00B20458">
          <w:rPr>
            <w:rStyle w:val="Hyperlink"/>
            <w:rFonts w:ascii="Times New Roman" w:hAnsi="Times New Roman" w:cs="Times New Roman"/>
            <w:bCs/>
            <w:sz w:val="24"/>
            <w:szCs w:val="24"/>
          </w:rPr>
          <w:t>https://doi.org/10.9734/jeai/2025/v47i23305</w:t>
        </w:r>
      </w:hyperlink>
    </w:p>
    <w:p w14:paraId="5D92EF86" w14:textId="72E80334" w:rsidR="00FB3774" w:rsidRDefault="00FB3774" w:rsidP="00B20458">
      <w:pPr>
        <w:pStyle w:val="ListParagraph"/>
        <w:numPr>
          <w:ilvl w:val="0"/>
          <w:numId w:val="4"/>
        </w:numPr>
        <w:spacing w:after="120" w:line="360" w:lineRule="auto"/>
        <w:jc w:val="both"/>
        <w:rPr>
          <w:rFonts w:ascii="Times New Roman" w:hAnsi="Times New Roman" w:cs="Times New Roman"/>
          <w:bCs/>
          <w:sz w:val="24"/>
          <w:szCs w:val="24"/>
        </w:rPr>
      </w:pPr>
      <w:r w:rsidRPr="00FB3774">
        <w:rPr>
          <w:rFonts w:ascii="Times New Roman" w:hAnsi="Times New Roman" w:cs="Times New Roman"/>
          <w:bCs/>
          <w:sz w:val="24"/>
          <w:szCs w:val="24"/>
        </w:rPr>
        <w:t xml:space="preserve">Kumar, A., Singh, R. K., Singh, J. K., Aakash, </w:t>
      </w:r>
      <w:proofErr w:type="gramStart"/>
      <w:r w:rsidRPr="00FB3774">
        <w:rPr>
          <w:rFonts w:ascii="Times New Roman" w:hAnsi="Times New Roman" w:cs="Times New Roman"/>
          <w:bCs/>
          <w:sz w:val="24"/>
          <w:szCs w:val="24"/>
        </w:rPr>
        <w:t>Kumari ,</w:t>
      </w:r>
      <w:proofErr w:type="gramEnd"/>
      <w:r w:rsidRPr="00FB3774">
        <w:rPr>
          <w:rFonts w:ascii="Times New Roman" w:hAnsi="Times New Roman" w:cs="Times New Roman"/>
          <w:bCs/>
          <w:sz w:val="24"/>
          <w:szCs w:val="24"/>
        </w:rPr>
        <w:t xml:space="preserve"> S., </w:t>
      </w:r>
      <w:proofErr w:type="spellStart"/>
      <w:r w:rsidRPr="00FB3774">
        <w:rPr>
          <w:rFonts w:ascii="Times New Roman" w:hAnsi="Times New Roman" w:cs="Times New Roman"/>
          <w:bCs/>
          <w:sz w:val="24"/>
          <w:szCs w:val="24"/>
        </w:rPr>
        <w:t>Chandel</w:t>
      </w:r>
      <w:proofErr w:type="spellEnd"/>
      <w:r w:rsidRPr="00FB3774">
        <w:rPr>
          <w:rFonts w:ascii="Times New Roman" w:hAnsi="Times New Roman" w:cs="Times New Roman"/>
          <w:bCs/>
          <w:sz w:val="24"/>
          <w:szCs w:val="24"/>
        </w:rPr>
        <w:t xml:space="preserve"> , S. K. S., </w:t>
      </w:r>
      <w:proofErr w:type="spellStart"/>
      <w:r w:rsidRPr="00FB3774">
        <w:rPr>
          <w:rFonts w:ascii="Times New Roman" w:hAnsi="Times New Roman" w:cs="Times New Roman"/>
          <w:bCs/>
          <w:sz w:val="24"/>
          <w:szCs w:val="24"/>
        </w:rPr>
        <w:t>Jyothsna</w:t>
      </w:r>
      <w:proofErr w:type="spellEnd"/>
      <w:r w:rsidRPr="00FB3774">
        <w:rPr>
          <w:rFonts w:ascii="Times New Roman" w:hAnsi="Times New Roman" w:cs="Times New Roman"/>
          <w:bCs/>
          <w:sz w:val="24"/>
          <w:szCs w:val="24"/>
        </w:rPr>
        <w:t>, K., &amp; Solanki, A. (2023). Effect of Crop Establishment Methods and Irrigation Scheduling on Growth and Soil Nutrient Status of Wheat. </w:t>
      </w:r>
      <w:r w:rsidRPr="00FB3774">
        <w:rPr>
          <w:rFonts w:ascii="Times New Roman" w:hAnsi="Times New Roman" w:cs="Times New Roman"/>
          <w:bCs/>
          <w:i/>
          <w:iCs/>
          <w:sz w:val="24"/>
          <w:szCs w:val="24"/>
        </w:rPr>
        <w:t>Current Journal of Applied Science and Technology</w:t>
      </w:r>
      <w:r w:rsidRPr="00FB3774">
        <w:rPr>
          <w:rFonts w:ascii="Times New Roman" w:hAnsi="Times New Roman" w:cs="Times New Roman"/>
          <w:bCs/>
          <w:sz w:val="24"/>
          <w:szCs w:val="24"/>
        </w:rPr>
        <w:t>, </w:t>
      </w:r>
      <w:r w:rsidRPr="00FB3774">
        <w:rPr>
          <w:rFonts w:ascii="Times New Roman" w:hAnsi="Times New Roman" w:cs="Times New Roman"/>
          <w:bCs/>
          <w:i/>
          <w:iCs/>
          <w:sz w:val="24"/>
          <w:szCs w:val="24"/>
        </w:rPr>
        <w:t>42</w:t>
      </w:r>
      <w:r w:rsidRPr="00FB3774">
        <w:rPr>
          <w:rFonts w:ascii="Times New Roman" w:hAnsi="Times New Roman" w:cs="Times New Roman"/>
          <w:bCs/>
          <w:sz w:val="24"/>
          <w:szCs w:val="24"/>
        </w:rPr>
        <w:t xml:space="preserve">(47), 32–42. </w:t>
      </w:r>
      <w:hyperlink r:id="rId12" w:history="1">
        <w:r w:rsidRPr="00FB3774">
          <w:rPr>
            <w:rStyle w:val="Hyperlink"/>
            <w:rFonts w:ascii="Times New Roman" w:hAnsi="Times New Roman" w:cs="Times New Roman"/>
            <w:bCs/>
            <w:sz w:val="24"/>
            <w:szCs w:val="24"/>
          </w:rPr>
          <w:t>https://doi.org/10.9734/cjast/2023/v42i474314</w:t>
        </w:r>
      </w:hyperlink>
    </w:p>
    <w:p w14:paraId="63C5710B" w14:textId="525207DD" w:rsidR="00FB3774" w:rsidRDefault="00FB3774" w:rsidP="00B20458">
      <w:pPr>
        <w:pStyle w:val="ListParagraph"/>
        <w:numPr>
          <w:ilvl w:val="0"/>
          <w:numId w:val="4"/>
        </w:numPr>
        <w:spacing w:after="120" w:line="360" w:lineRule="auto"/>
        <w:jc w:val="both"/>
        <w:rPr>
          <w:rFonts w:ascii="Times New Roman" w:hAnsi="Times New Roman" w:cs="Times New Roman"/>
          <w:bCs/>
          <w:sz w:val="24"/>
          <w:szCs w:val="24"/>
        </w:rPr>
      </w:pPr>
      <w:r w:rsidRPr="00FB3774">
        <w:rPr>
          <w:rFonts w:ascii="Times New Roman" w:hAnsi="Times New Roman" w:cs="Times New Roman"/>
          <w:bCs/>
          <w:sz w:val="24"/>
          <w:szCs w:val="24"/>
        </w:rPr>
        <w:t xml:space="preserve">Meena, K., Singh, R.K., Meena, R.N., Aakash Meena, R., Srivastava, R. and Meena, A. (2022) The effect of irrigation schedules and cow urine spray on density and dry biomass of </w:t>
      </w:r>
      <w:r w:rsidRPr="00FB3774">
        <w:rPr>
          <w:rFonts w:ascii="Times New Roman" w:hAnsi="Times New Roman" w:cs="Times New Roman"/>
          <w:bCs/>
          <w:i/>
          <w:iCs/>
          <w:sz w:val="24"/>
          <w:szCs w:val="24"/>
        </w:rPr>
        <w:t>Chenopodium album</w:t>
      </w:r>
      <w:r w:rsidRPr="00FB3774">
        <w:rPr>
          <w:rFonts w:ascii="Times New Roman" w:hAnsi="Times New Roman" w:cs="Times New Roman"/>
          <w:bCs/>
          <w:sz w:val="24"/>
          <w:szCs w:val="24"/>
        </w:rPr>
        <w:t xml:space="preserve"> and growth of wheat (</w:t>
      </w:r>
      <w:r w:rsidRPr="00FB3774">
        <w:rPr>
          <w:rFonts w:ascii="Times New Roman" w:hAnsi="Times New Roman" w:cs="Times New Roman"/>
          <w:bCs/>
          <w:i/>
          <w:iCs/>
          <w:sz w:val="24"/>
          <w:szCs w:val="24"/>
        </w:rPr>
        <w:t xml:space="preserve">Triticum </w:t>
      </w:r>
      <w:proofErr w:type="spellStart"/>
      <w:r w:rsidRPr="00FB3774">
        <w:rPr>
          <w:rFonts w:ascii="Times New Roman" w:hAnsi="Times New Roman" w:cs="Times New Roman"/>
          <w:bCs/>
          <w:i/>
          <w:iCs/>
          <w:sz w:val="24"/>
          <w:szCs w:val="24"/>
        </w:rPr>
        <w:t>aestivum</w:t>
      </w:r>
      <w:proofErr w:type="spellEnd"/>
      <w:r w:rsidRPr="00FB3774">
        <w:rPr>
          <w:rFonts w:ascii="Times New Roman" w:hAnsi="Times New Roman" w:cs="Times New Roman"/>
          <w:bCs/>
          <w:sz w:val="24"/>
          <w:szCs w:val="24"/>
        </w:rPr>
        <w:t xml:space="preserve"> L.). </w:t>
      </w:r>
      <w:r w:rsidRPr="00FB3774">
        <w:rPr>
          <w:rFonts w:ascii="Times New Roman" w:hAnsi="Times New Roman" w:cs="Times New Roman"/>
          <w:bCs/>
          <w:i/>
          <w:iCs/>
          <w:sz w:val="24"/>
          <w:szCs w:val="24"/>
        </w:rPr>
        <w:t>Scientist</w:t>
      </w:r>
      <w:r w:rsidRPr="00FB3774">
        <w:rPr>
          <w:rFonts w:ascii="Times New Roman" w:hAnsi="Times New Roman" w:cs="Times New Roman"/>
          <w:bCs/>
          <w:sz w:val="24"/>
          <w:szCs w:val="24"/>
        </w:rPr>
        <w:t xml:space="preserve">. 1(3): 1025-1033. DOI: </w:t>
      </w:r>
      <w:hyperlink r:id="rId13" w:history="1">
        <w:r w:rsidRPr="00FB3774">
          <w:rPr>
            <w:rStyle w:val="Hyperlink"/>
            <w:rFonts w:ascii="Times New Roman" w:hAnsi="Times New Roman" w:cs="Times New Roman"/>
            <w:bCs/>
            <w:sz w:val="24"/>
            <w:szCs w:val="24"/>
          </w:rPr>
          <w:t>https://doi.org/10.5281/zenodo.7299042</w:t>
        </w:r>
      </w:hyperlink>
    </w:p>
    <w:p w14:paraId="7B5DE564" w14:textId="0DB63AAC" w:rsidR="00FB3774" w:rsidRDefault="00FB3774" w:rsidP="00FB3774">
      <w:pPr>
        <w:pStyle w:val="ListParagraph"/>
        <w:numPr>
          <w:ilvl w:val="0"/>
          <w:numId w:val="4"/>
        </w:numPr>
        <w:spacing w:after="120" w:line="360" w:lineRule="auto"/>
        <w:jc w:val="both"/>
        <w:rPr>
          <w:rFonts w:ascii="Times New Roman" w:hAnsi="Times New Roman" w:cs="Times New Roman"/>
          <w:bCs/>
          <w:sz w:val="24"/>
          <w:szCs w:val="24"/>
        </w:rPr>
      </w:pPr>
      <w:r w:rsidRPr="00FB3774">
        <w:rPr>
          <w:rFonts w:ascii="Times New Roman" w:hAnsi="Times New Roman" w:cs="Times New Roman"/>
          <w:bCs/>
          <w:sz w:val="24"/>
          <w:szCs w:val="24"/>
        </w:rPr>
        <w:t xml:space="preserve">Meena, K., Singh, R.K., Meena, R.N., </w:t>
      </w:r>
      <w:r w:rsidRPr="00210055">
        <w:rPr>
          <w:rFonts w:ascii="Times New Roman" w:hAnsi="Times New Roman" w:cs="Times New Roman"/>
          <w:sz w:val="24"/>
          <w:szCs w:val="24"/>
        </w:rPr>
        <w:t>Aakash</w:t>
      </w:r>
      <w:r w:rsidRPr="00FB3774">
        <w:rPr>
          <w:rFonts w:ascii="Times New Roman" w:hAnsi="Times New Roman" w:cs="Times New Roman"/>
          <w:bCs/>
          <w:sz w:val="24"/>
          <w:szCs w:val="24"/>
        </w:rPr>
        <w:t xml:space="preserve">, Meena, A., </w:t>
      </w:r>
      <w:proofErr w:type="spellStart"/>
      <w:r w:rsidRPr="00FB3774">
        <w:rPr>
          <w:rFonts w:ascii="Times New Roman" w:hAnsi="Times New Roman" w:cs="Times New Roman"/>
          <w:bCs/>
          <w:sz w:val="24"/>
          <w:szCs w:val="24"/>
        </w:rPr>
        <w:t>Bhayal</w:t>
      </w:r>
      <w:proofErr w:type="spellEnd"/>
      <w:r w:rsidRPr="00FB3774">
        <w:rPr>
          <w:rFonts w:ascii="Times New Roman" w:hAnsi="Times New Roman" w:cs="Times New Roman"/>
          <w:bCs/>
          <w:sz w:val="24"/>
          <w:szCs w:val="24"/>
        </w:rPr>
        <w:t xml:space="preserve">, L., Kumar, A. and Meena, B.L. (2022). Effect of Irrigation Schedules and Cow Urine Spray on </w:t>
      </w:r>
      <w:proofErr w:type="spellStart"/>
      <w:r w:rsidRPr="00FB3774">
        <w:rPr>
          <w:rFonts w:ascii="Times New Roman" w:hAnsi="Times New Roman" w:cs="Times New Roman"/>
          <w:bCs/>
          <w:i/>
          <w:iCs/>
          <w:sz w:val="24"/>
          <w:szCs w:val="24"/>
        </w:rPr>
        <w:t>Phalaris</w:t>
      </w:r>
      <w:proofErr w:type="spellEnd"/>
      <w:r w:rsidRPr="00FB3774">
        <w:rPr>
          <w:rFonts w:ascii="Times New Roman" w:hAnsi="Times New Roman" w:cs="Times New Roman"/>
          <w:bCs/>
          <w:i/>
          <w:iCs/>
          <w:sz w:val="24"/>
          <w:szCs w:val="24"/>
        </w:rPr>
        <w:t xml:space="preserve"> minor</w:t>
      </w:r>
      <w:r w:rsidRPr="00FB3774">
        <w:rPr>
          <w:rFonts w:ascii="Times New Roman" w:hAnsi="Times New Roman" w:cs="Times New Roman"/>
          <w:bCs/>
          <w:sz w:val="24"/>
          <w:szCs w:val="24"/>
        </w:rPr>
        <w:t xml:space="preserve"> and Growth of Wheat (</w:t>
      </w:r>
      <w:r w:rsidRPr="00FB3774">
        <w:rPr>
          <w:rFonts w:ascii="Times New Roman" w:hAnsi="Times New Roman" w:cs="Times New Roman"/>
          <w:bCs/>
          <w:i/>
          <w:iCs/>
          <w:sz w:val="24"/>
          <w:szCs w:val="24"/>
        </w:rPr>
        <w:t xml:space="preserve">Triticum </w:t>
      </w:r>
      <w:proofErr w:type="spellStart"/>
      <w:r w:rsidRPr="00FB3774">
        <w:rPr>
          <w:rFonts w:ascii="Times New Roman" w:hAnsi="Times New Roman" w:cs="Times New Roman"/>
          <w:bCs/>
          <w:i/>
          <w:iCs/>
          <w:sz w:val="24"/>
          <w:szCs w:val="24"/>
        </w:rPr>
        <w:t>aestivum</w:t>
      </w:r>
      <w:proofErr w:type="spellEnd"/>
      <w:r w:rsidRPr="00FB3774">
        <w:rPr>
          <w:rFonts w:ascii="Times New Roman" w:hAnsi="Times New Roman" w:cs="Times New Roman"/>
          <w:bCs/>
          <w:sz w:val="24"/>
          <w:szCs w:val="24"/>
        </w:rPr>
        <w:t xml:space="preserve"> L.). </w:t>
      </w:r>
      <w:r w:rsidRPr="00FB3774">
        <w:rPr>
          <w:rFonts w:ascii="Times New Roman" w:hAnsi="Times New Roman" w:cs="Times New Roman"/>
          <w:bCs/>
          <w:i/>
          <w:iCs/>
          <w:sz w:val="24"/>
          <w:szCs w:val="24"/>
        </w:rPr>
        <w:t>Frontiers in Crop Improvement,</w:t>
      </w:r>
      <w:r w:rsidRPr="00FB3774">
        <w:rPr>
          <w:rFonts w:ascii="Times New Roman" w:hAnsi="Times New Roman" w:cs="Times New Roman"/>
          <w:bCs/>
          <w:sz w:val="24"/>
          <w:szCs w:val="24"/>
        </w:rPr>
        <w:t xml:space="preserve"> 10(Special Issue-III):1232-1236.  </w:t>
      </w:r>
    </w:p>
    <w:p w14:paraId="147B9AD2" w14:textId="5C2661B4" w:rsidR="00FB3774" w:rsidRPr="00FB3774" w:rsidRDefault="00FB3774" w:rsidP="00FB3774">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FB3774">
        <w:rPr>
          <w:rFonts w:ascii="Times New Roman" w:hAnsi="Times New Roman" w:cs="Times New Roman"/>
          <w:bCs/>
          <w:sz w:val="24"/>
          <w:szCs w:val="24"/>
        </w:rPr>
        <w:t>Rukmni</w:t>
      </w:r>
      <w:proofErr w:type="spellEnd"/>
      <w:r w:rsidRPr="00FB3774">
        <w:rPr>
          <w:rFonts w:ascii="Times New Roman" w:hAnsi="Times New Roman" w:cs="Times New Roman"/>
          <w:bCs/>
          <w:sz w:val="24"/>
          <w:szCs w:val="24"/>
        </w:rPr>
        <w:t xml:space="preserve">, R., </w:t>
      </w:r>
      <w:proofErr w:type="spellStart"/>
      <w:r w:rsidRPr="00FB3774">
        <w:rPr>
          <w:rFonts w:ascii="Times New Roman" w:hAnsi="Times New Roman" w:cs="Times New Roman"/>
          <w:bCs/>
          <w:sz w:val="24"/>
          <w:szCs w:val="24"/>
        </w:rPr>
        <w:t>Halidoddi</w:t>
      </w:r>
      <w:proofErr w:type="spellEnd"/>
      <w:r w:rsidRPr="00FB3774">
        <w:rPr>
          <w:rFonts w:ascii="Times New Roman" w:hAnsi="Times New Roman" w:cs="Times New Roman"/>
          <w:bCs/>
          <w:sz w:val="24"/>
          <w:szCs w:val="24"/>
        </w:rPr>
        <w:t xml:space="preserve">, R. R., Rajesh, G. M., </w:t>
      </w:r>
      <w:proofErr w:type="spellStart"/>
      <w:r w:rsidRPr="00FB3774">
        <w:rPr>
          <w:rFonts w:ascii="Times New Roman" w:hAnsi="Times New Roman" w:cs="Times New Roman"/>
          <w:bCs/>
          <w:sz w:val="24"/>
          <w:szCs w:val="24"/>
        </w:rPr>
        <w:t>Ramthal</w:t>
      </w:r>
      <w:proofErr w:type="spellEnd"/>
      <w:r w:rsidRPr="00FB3774">
        <w:rPr>
          <w:rFonts w:ascii="Times New Roman" w:hAnsi="Times New Roman" w:cs="Times New Roman"/>
          <w:bCs/>
          <w:sz w:val="24"/>
          <w:szCs w:val="24"/>
        </w:rPr>
        <w:t xml:space="preserve">, M., &amp; Rao, P. S. (2025). Effect of deficit irrigation and drip emitter spacing on soil moisture, yield and </w:t>
      </w:r>
      <w:r>
        <w:rPr>
          <w:rFonts w:ascii="Times New Roman" w:hAnsi="Times New Roman" w:cs="Times New Roman"/>
          <w:bCs/>
          <w:sz w:val="24"/>
          <w:szCs w:val="24"/>
        </w:rPr>
        <w:t>water use efficiency of maize (</w:t>
      </w:r>
      <w:proofErr w:type="spellStart"/>
      <w:r w:rsidRPr="00FB3774">
        <w:rPr>
          <w:rFonts w:ascii="Times New Roman" w:hAnsi="Times New Roman" w:cs="Times New Roman"/>
          <w:bCs/>
          <w:i/>
          <w:iCs/>
          <w:sz w:val="24"/>
          <w:szCs w:val="24"/>
        </w:rPr>
        <w:t>Zea</w:t>
      </w:r>
      <w:proofErr w:type="spellEnd"/>
      <w:r w:rsidRPr="00FB3774">
        <w:rPr>
          <w:rFonts w:ascii="Times New Roman" w:hAnsi="Times New Roman" w:cs="Times New Roman"/>
          <w:bCs/>
          <w:i/>
          <w:iCs/>
          <w:sz w:val="24"/>
          <w:szCs w:val="24"/>
        </w:rPr>
        <w:t xml:space="preserve"> mays</w:t>
      </w:r>
      <w:r w:rsidRPr="00FB3774">
        <w:rPr>
          <w:rFonts w:ascii="Times New Roman" w:hAnsi="Times New Roman" w:cs="Times New Roman"/>
          <w:bCs/>
          <w:sz w:val="24"/>
          <w:szCs w:val="24"/>
        </w:rPr>
        <w:t>) under semi-arid condition. </w:t>
      </w:r>
      <w:r w:rsidRPr="00FB3774">
        <w:rPr>
          <w:rFonts w:ascii="Times New Roman" w:hAnsi="Times New Roman" w:cs="Times New Roman"/>
          <w:bCs/>
          <w:i/>
          <w:iCs/>
          <w:sz w:val="24"/>
          <w:szCs w:val="24"/>
        </w:rPr>
        <w:t>Plant Archives</w:t>
      </w:r>
      <w:r w:rsidRPr="00FB3774">
        <w:rPr>
          <w:rFonts w:ascii="Times New Roman" w:hAnsi="Times New Roman" w:cs="Times New Roman"/>
          <w:bCs/>
          <w:sz w:val="24"/>
          <w:szCs w:val="24"/>
        </w:rPr>
        <w:t>, </w:t>
      </w:r>
      <w:r w:rsidRPr="00FB3774">
        <w:rPr>
          <w:rFonts w:ascii="Times New Roman" w:hAnsi="Times New Roman" w:cs="Times New Roman"/>
          <w:bCs/>
          <w:i/>
          <w:iCs/>
          <w:sz w:val="24"/>
          <w:szCs w:val="24"/>
        </w:rPr>
        <w:t>25</w:t>
      </w:r>
      <w:r w:rsidRPr="00FB3774">
        <w:rPr>
          <w:rFonts w:ascii="Times New Roman" w:hAnsi="Times New Roman" w:cs="Times New Roman"/>
          <w:bCs/>
          <w:sz w:val="24"/>
          <w:szCs w:val="24"/>
        </w:rPr>
        <w:t>(1), 680-692.</w:t>
      </w:r>
    </w:p>
    <w:p w14:paraId="23EC4BD9" w14:textId="4FF85D2E" w:rsidR="00FB3774" w:rsidRPr="00A34939" w:rsidRDefault="00FB3774" w:rsidP="00FB3774">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FB3774">
        <w:rPr>
          <w:rFonts w:ascii="Times New Roman" w:hAnsi="Times New Roman" w:cs="Times New Roman"/>
          <w:bCs/>
          <w:sz w:val="24"/>
          <w:szCs w:val="24"/>
          <w:lang w:val="en-GB"/>
        </w:rPr>
        <w:t>Koushal</w:t>
      </w:r>
      <w:proofErr w:type="spellEnd"/>
      <w:r w:rsidRPr="00FB3774">
        <w:rPr>
          <w:rFonts w:ascii="Times New Roman" w:hAnsi="Times New Roman" w:cs="Times New Roman"/>
          <w:bCs/>
          <w:sz w:val="24"/>
          <w:szCs w:val="24"/>
          <w:lang w:val="en-GB"/>
        </w:rPr>
        <w:t xml:space="preserve">, Sanjay, S. </w:t>
      </w:r>
      <w:proofErr w:type="spellStart"/>
      <w:r w:rsidRPr="00FB3774">
        <w:rPr>
          <w:rFonts w:ascii="Times New Roman" w:hAnsi="Times New Roman" w:cs="Times New Roman"/>
          <w:bCs/>
          <w:sz w:val="24"/>
          <w:szCs w:val="24"/>
          <w:lang w:val="en-GB"/>
        </w:rPr>
        <w:t>Anbarasan</w:t>
      </w:r>
      <w:proofErr w:type="spellEnd"/>
      <w:r w:rsidRPr="00FB3774">
        <w:rPr>
          <w:rFonts w:ascii="Times New Roman" w:hAnsi="Times New Roman" w:cs="Times New Roman"/>
          <w:bCs/>
          <w:sz w:val="24"/>
          <w:szCs w:val="24"/>
          <w:lang w:val="en-GB"/>
        </w:rPr>
        <w:t xml:space="preserve">, Chandana H S, </w:t>
      </w:r>
      <w:proofErr w:type="spellStart"/>
      <w:r w:rsidRPr="00FB3774">
        <w:rPr>
          <w:rFonts w:ascii="Times New Roman" w:hAnsi="Times New Roman" w:cs="Times New Roman"/>
          <w:bCs/>
          <w:sz w:val="24"/>
          <w:szCs w:val="24"/>
          <w:lang w:val="en-GB"/>
        </w:rPr>
        <w:t>Bhim</w:t>
      </w:r>
      <w:proofErr w:type="spellEnd"/>
      <w:r w:rsidRPr="00FB3774">
        <w:rPr>
          <w:rFonts w:ascii="Times New Roman" w:hAnsi="Times New Roman" w:cs="Times New Roman"/>
          <w:bCs/>
          <w:sz w:val="24"/>
          <w:szCs w:val="24"/>
          <w:lang w:val="en-GB"/>
        </w:rPr>
        <w:t xml:space="preserve"> Singh, </w:t>
      </w:r>
      <w:proofErr w:type="spellStart"/>
      <w:r w:rsidRPr="00FB3774">
        <w:rPr>
          <w:rFonts w:ascii="Times New Roman" w:hAnsi="Times New Roman" w:cs="Times New Roman"/>
          <w:bCs/>
          <w:sz w:val="24"/>
          <w:szCs w:val="24"/>
          <w:lang w:val="en-GB"/>
        </w:rPr>
        <w:t>Hridesh</w:t>
      </w:r>
      <w:proofErr w:type="spellEnd"/>
      <w:r w:rsidRPr="00FB3774">
        <w:rPr>
          <w:rFonts w:ascii="Times New Roman" w:hAnsi="Times New Roman" w:cs="Times New Roman"/>
          <w:bCs/>
          <w:sz w:val="24"/>
          <w:szCs w:val="24"/>
          <w:lang w:val="en-GB"/>
        </w:rPr>
        <w:t xml:space="preserve"> Harsha </w:t>
      </w:r>
      <w:proofErr w:type="spellStart"/>
      <w:r w:rsidRPr="00FB3774">
        <w:rPr>
          <w:rFonts w:ascii="Times New Roman" w:hAnsi="Times New Roman" w:cs="Times New Roman"/>
          <w:bCs/>
          <w:sz w:val="24"/>
          <w:szCs w:val="24"/>
          <w:lang w:val="en-GB"/>
        </w:rPr>
        <w:t>Sarma</w:t>
      </w:r>
      <w:proofErr w:type="spellEnd"/>
      <w:r w:rsidRPr="00FB3774">
        <w:rPr>
          <w:rFonts w:ascii="Times New Roman" w:hAnsi="Times New Roman" w:cs="Times New Roman"/>
          <w:bCs/>
          <w:sz w:val="24"/>
          <w:szCs w:val="24"/>
          <w:lang w:val="en-GB"/>
        </w:rPr>
        <w:t xml:space="preserve">, </w:t>
      </w:r>
      <w:proofErr w:type="spellStart"/>
      <w:r w:rsidRPr="00FB3774">
        <w:rPr>
          <w:rFonts w:ascii="Times New Roman" w:hAnsi="Times New Roman" w:cs="Times New Roman"/>
          <w:bCs/>
          <w:sz w:val="24"/>
          <w:szCs w:val="24"/>
          <w:lang w:val="en-GB"/>
        </w:rPr>
        <w:t>Chinnahajisagari</w:t>
      </w:r>
      <w:proofErr w:type="spellEnd"/>
      <w:r w:rsidRPr="00FB3774">
        <w:rPr>
          <w:rFonts w:ascii="Times New Roman" w:hAnsi="Times New Roman" w:cs="Times New Roman"/>
          <w:bCs/>
          <w:sz w:val="24"/>
          <w:szCs w:val="24"/>
          <w:lang w:val="en-GB"/>
        </w:rPr>
        <w:t xml:space="preserve"> Mohammad </w:t>
      </w:r>
      <w:proofErr w:type="spellStart"/>
      <w:r w:rsidRPr="00FB3774">
        <w:rPr>
          <w:rFonts w:ascii="Times New Roman" w:hAnsi="Times New Roman" w:cs="Times New Roman"/>
          <w:bCs/>
          <w:sz w:val="24"/>
          <w:szCs w:val="24"/>
          <w:lang w:val="en-GB"/>
        </w:rPr>
        <w:t>Akram</w:t>
      </w:r>
      <w:proofErr w:type="spellEnd"/>
      <w:r w:rsidRPr="00FB3774">
        <w:rPr>
          <w:rFonts w:ascii="Times New Roman" w:hAnsi="Times New Roman" w:cs="Times New Roman"/>
          <w:bCs/>
          <w:sz w:val="24"/>
          <w:szCs w:val="24"/>
          <w:lang w:val="en-GB"/>
        </w:rPr>
        <w:t xml:space="preserve">, Sharan S P, and Rajesh G M. 2024. “Water Use Efficiency and Bio Mass Partitioning of Indian Mustard under Different Environment Conditions of Shivalik Foot Hills”. International Journal of Environment and Climate Change 14 (9):496-504. </w:t>
      </w:r>
      <w:hyperlink r:id="rId14" w:history="1">
        <w:r w:rsidR="00A34939" w:rsidRPr="008610BB">
          <w:rPr>
            <w:rStyle w:val="Hyperlink"/>
            <w:rFonts w:ascii="Times New Roman" w:hAnsi="Times New Roman" w:cs="Times New Roman"/>
            <w:bCs/>
            <w:sz w:val="24"/>
            <w:szCs w:val="24"/>
            <w:lang w:val="en-GB"/>
          </w:rPr>
          <w:t>https://doi.org/10.9734/ijecc/2024/v14i94433</w:t>
        </w:r>
      </w:hyperlink>
      <w:r w:rsidRPr="00FB3774">
        <w:rPr>
          <w:rFonts w:ascii="Times New Roman" w:hAnsi="Times New Roman" w:cs="Times New Roman"/>
          <w:bCs/>
          <w:sz w:val="24"/>
          <w:szCs w:val="24"/>
          <w:lang w:val="en-GB"/>
        </w:rPr>
        <w:t>.</w:t>
      </w:r>
    </w:p>
    <w:p w14:paraId="551E09FF" w14:textId="0FFF7E3A" w:rsidR="00A34939" w:rsidRDefault="00A34939" w:rsidP="00FB3774">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34939">
        <w:rPr>
          <w:rFonts w:ascii="Times New Roman" w:hAnsi="Times New Roman" w:cs="Times New Roman"/>
          <w:bCs/>
          <w:sz w:val="24"/>
          <w:szCs w:val="24"/>
        </w:rPr>
        <w:t>Jyothsna</w:t>
      </w:r>
      <w:proofErr w:type="spellEnd"/>
      <w:r w:rsidRPr="00A34939">
        <w:rPr>
          <w:rFonts w:ascii="Times New Roman" w:hAnsi="Times New Roman" w:cs="Times New Roman"/>
          <w:bCs/>
          <w:sz w:val="24"/>
          <w:szCs w:val="24"/>
        </w:rPr>
        <w:t xml:space="preserve">, K., Aakash, </w:t>
      </w:r>
      <w:proofErr w:type="spellStart"/>
      <w:r w:rsidRPr="00A34939">
        <w:rPr>
          <w:rFonts w:ascii="Times New Roman" w:hAnsi="Times New Roman" w:cs="Times New Roman"/>
          <w:bCs/>
          <w:sz w:val="24"/>
          <w:szCs w:val="24"/>
        </w:rPr>
        <w:t>Jayadeva</w:t>
      </w:r>
      <w:proofErr w:type="spellEnd"/>
      <w:r w:rsidRPr="00A34939">
        <w:rPr>
          <w:rFonts w:ascii="Times New Roman" w:hAnsi="Times New Roman" w:cs="Times New Roman"/>
          <w:bCs/>
          <w:sz w:val="24"/>
          <w:szCs w:val="24"/>
        </w:rPr>
        <w:t xml:space="preserve">, H. M., &amp; </w:t>
      </w:r>
      <w:proofErr w:type="spellStart"/>
      <w:proofErr w:type="gramStart"/>
      <w:r w:rsidRPr="00A34939">
        <w:rPr>
          <w:rFonts w:ascii="Times New Roman" w:hAnsi="Times New Roman" w:cs="Times New Roman"/>
          <w:bCs/>
          <w:sz w:val="24"/>
          <w:szCs w:val="24"/>
        </w:rPr>
        <w:t>Nagangoudar</w:t>
      </w:r>
      <w:proofErr w:type="spellEnd"/>
      <w:r w:rsidRPr="00A34939">
        <w:rPr>
          <w:rFonts w:ascii="Times New Roman" w:hAnsi="Times New Roman" w:cs="Times New Roman"/>
          <w:bCs/>
          <w:sz w:val="24"/>
          <w:szCs w:val="24"/>
        </w:rPr>
        <w:t xml:space="preserve"> ,</w:t>
      </w:r>
      <w:proofErr w:type="gramEnd"/>
      <w:r w:rsidRPr="00A34939">
        <w:rPr>
          <w:rFonts w:ascii="Times New Roman" w:hAnsi="Times New Roman" w:cs="Times New Roman"/>
          <w:bCs/>
          <w:sz w:val="24"/>
          <w:szCs w:val="24"/>
        </w:rPr>
        <w:t xml:space="preserve"> M. B. (2024). Cow Based Inputs for Sustainable Agriculture: A Review. Archives of Current Research International, 24(5), 262–272. </w:t>
      </w:r>
      <w:hyperlink r:id="rId15" w:history="1">
        <w:r w:rsidRPr="00A34939">
          <w:rPr>
            <w:rStyle w:val="Hyperlink"/>
            <w:rFonts w:ascii="Times New Roman" w:hAnsi="Times New Roman" w:cs="Times New Roman"/>
            <w:bCs/>
            <w:sz w:val="24"/>
            <w:szCs w:val="24"/>
          </w:rPr>
          <w:t>https://doi.org/10.9734/acri/2024/v24i5701</w:t>
        </w:r>
      </w:hyperlink>
    </w:p>
    <w:p w14:paraId="579A3E8D" w14:textId="0510C538" w:rsidR="00923AD3" w:rsidRPr="00923AD3" w:rsidRDefault="00923AD3" w:rsidP="00FB3774">
      <w:pPr>
        <w:pStyle w:val="ListParagraph"/>
        <w:numPr>
          <w:ilvl w:val="0"/>
          <w:numId w:val="4"/>
        </w:numPr>
        <w:spacing w:after="120" w:line="360" w:lineRule="auto"/>
        <w:jc w:val="both"/>
        <w:rPr>
          <w:rFonts w:ascii="Times New Roman" w:hAnsi="Times New Roman" w:cs="Times New Roman"/>
          <w:sz w:val="24"/>
          <w:szCs w:val="24"/>
        </w:rPr>
      </w:pPr>
      <w:proofErr w:type="spellStart"/>
      <w:r w:rsidRPr="00923AD3">
        <w:rPr>
          <w:rFonts w:ascii="Times New Roman" w:hAnsi="Times New Roman" w:cs="Times New Roman"/>
          <w:bCs/>
          <w:sz w:val="24"/>
          <w:szCs w:val="24"/>
        </w:rPr>
        <w:lastRenderedPageBreak/>
        <w:t>Chandel</w:t>
      </w:r>
      <w:proofErr w:type="spellEnd"/>
      <w:r w:rsidRPr="00923AD3">
        <w:rPr>
          <w:rFonts w:ascii="Times New Roman" w:hAnsi="Times New Roman" w:cs="Times New Roman"/>
          <w:bCs/>
          <w:sz w:val="24"/>
          <w:szCs w:val="24"/>
        </w:rPr>
        <w:t xml:space="preserve">, S. K. S., Singh, B. K., Singh, A. K., Singh, B., Kumar, A., and </w:t>
      </w:r>
      <w:r w:rsidRPr="00923AD3">
        <w:rPr>
          <w:rFonts w:ascii="Times New Roman" w:hAnsi="Times New Roman" w:cs="Times New Roman"/>
          <w:sz w:val="24"/>
          <w:szCs w:val="24"/>
        </w:rPr>
        <w:t>Aakash. (2022). Effect of Chemical and Mechanical Weed Management on Potato (</w:t>
      </w:r>
      <w:r w:rsidRPr="00923AD3">
        <w:rPr>
          <w:rFonts w:ascii="Times New Roman" w:hAnsi="Times New Roman" w:cs="Times New Roman"/>
          <w:i/>
          <w:iCs/>
          <w:sz w:val="24"/>
          <w:szCs w:val="24"/>
        </w:rPr>
        <w:t>Solanum tuberosum</w:t>
      </w:r>
      <w:r w:rsidRPr="00923AD3">
        <w:rPr>
          <w:rFonts w:ascii="Times New Roman" w:hAnsi="Times New Roman" w:cs="Times New Roman"/>
          <w:sz w:val="24"/>
          <w:szCs w:val="24"/>
        </w:rPr>
        <w:t xml:space="preserve"> L.) Production and Relative Composition of Weed under Varanasi Region, Uttar Pradesh. </w:t>
      </w:r>
      <w:r w:rsidRPr="00923AD3">
        <w:rPr>
          <w:rFonts w:ascii="Times New Roman" w:hAnsi="Times New Roman" w:cs="Times New Roman"/>
          <w:i/>
          <w:iCs/>
          <w:sz w:val="24"/>
          <w:szCs w:val="24"/>
        </w:rPr>
        <w:t>International Journal of Plant &amp; Soil Science</w:t>
      </w:r>
      <w:r w:rsidRPr="00923AD3">
        <w:rPr>
          <w:rFonts w:ascii="Times New Roman" w:hAnsi="Times New Roman" w:cs="Times New Roman"/>
          <w:sz w:val="24"/>
          <w:szCs w:val="24"/>
        </w:rPr>
        <w:t>, </w:t>
      </w:r>
      <w:r w:rsidRPr="00923AD3">
        <w:rPr>
          <w:rFonts w:ascii="Times New Roman" w:hAnsi="Times New Roman" w:cs="Times New Roman"/>
          <w:i/>
          <w:iCs/>
          <w:sz w:val="24"/>
          <w:szCs w:val="24"/>
        </w:rPr>
        <w:t>34</w:t>
      </w:r>
      <w:r w:rsidRPr="00923AD3">
        <w:rPr>
          <w:rFonts w:ascii="Times New Roman" w:hAnsi="Times New Roman" w:cs="Times New Roman"/>
          <w:sz w:val="24"/>
          <w:szCs w:val="24"/>
        </w:rPr>
        <w:t xml:space="preserve">(22), 1201-1209. </w:t>
      </w:r>
      <w:hyperlink r:id="rId16" w:history="1">
        <w:r w:rsidRPr="00923AD3">
          <w:rPr>
            <w:rStyle w:val="Hyperlink"/>
            <w:rFonts w:ascii="Times New Roman" w:hAnsi="Times New Roman" w:cs="Times New Roman"/>
            <w:sz w:val="24"/>
            <w:szCs w:val="24"/>
          </w:rPr>
          <w:t>https://doi.org/10.9734/ijpss/2022/v34i2231487</w:t>
        </w:r>
      </w:hyperlink>
    </w:p>
    <w:p w14:paraId="6F6A9FAD" w14:textId="7E1300D8" w:rsidR="00923AD3" w:rsidRDefault="00923AD3" w:rsidP="00FB3774">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923AD3">
        <w:rPr>
          <w:rFonts w:ascii="Times New Roman" w:hAnsi="Times New Roman" w:cs="Times New Roman"/>
          <w:sz w:val="24"/>
          <w:szCs w:val="24"/>
        </w:rPr>
        <w:t>Chandel</w:t>
      </w:r>
      <w:proofErr w:type="spellEnd"/>
      <w:r w:rsidRPr="00923AD3">
        <w:rPr>
          <w:rFonts w:ascii="Times New Roman" w:hAnsi="Times New Roman" w:cs="Times New Roman"/>
          <w:sz w:val="24"/>
          <w:szCs w:val="24"/>
        </w:rPr>
        <w:t>, S.K.S., Singh, B.K., Singh, A.K., Singh, B., Aakash and Kumar</w:t>
      </w:r>
      <w:r w:rsidRPr="00923AD3">
        <w:rPr>
          <w:rFonts w:ascii="Times New Roman" w:hAnsi="Times New Roman" w:cs="Times New Roman"/>
          <w:bCs/>
          <w:sz w:val="24"/>
          <w:szCs w:val="24"/>
        </w:rPr>
        <w:t>, A. (2022). Effect of Chemical and Mechanical Weed Management Practices on Leaf Dry Weight, Tuber Length, Tuber Width, Tuber Yield and Density of Weeds in Potato (</w:t>
      </w:r>
      <w:r w:rsidRPr="00923AD3">
        <w:rPr>
          <w:rFonts w:ascii="Times New Roman" w:hAnsi="Times New Roman" w:cs="Times New Roman"/>
          <w:bCs/>
          <w:i/>
          <w:iCs/>
          <w:sz w:val="24"/>
          <w:szCs w:val="24"/>
        </w:rPr>
        <w:t>Solanum tuberosum</w:t>
      </w:r>
      <w:r w:rsidRPr="00923AD3">
        <w:rPr>
          <w:rFonts w:ascii="Times New Roman" w:hAnsi="Times New Roman" w:cs="Times New Roman"/>
          <w:bCs/>
          <w:sz w:val="24"/>
          <w:szCs w:val="24"/>
        </w:rPr>
        <w:t xml:space="preserve"> L.) under Varanasi Region, Uttar Pradesh. </w:t>
      </w:r>
      <w:r w:rsidRPr="00923AD3">
        <w:rPr>
          <w:rFonts w:ascii="Times New Roman" w:hAnsi="Times New Roman" w:cs="Times New Roman"/>
          <w:bCs/>
          <w:i/>
          <w:iCs/>
          <w:sz w:val="24"/>
          <w:szCs w:val="24"/>
        </w:rPr>
        <w:t>Frontiers in Crop Improvement,</w:t>
      </w:r>
      <w:r w:rsidRPr="00923AD3">
        <w:rPr>
          <w:rFonts w:ascii="Times New Roman" w:hAnsi="Times New Roman" w:cs="Times New Roman"/>
          <w:bCs/>
          <w:sz w:val="24"/>
          <w:szCs w:val="24"/>
        </w:rPr>
        <w:t xml:space="preserve"> 10(Special Issue-III):1237-1243.  </w:t>
      </w:r>
    </w:p>
    <w:p w14:paraId="3A144A4B" w14:textId="22F00417" w:rsidR="00923AD3" w:rsidRDefault="00923AD3" w:rsidP="00923AD3">
      <w:pPr>
        <w:pStyle w:val="ListParagraph"/>
        <w:numPr>
          <w:ilvl w:val="0"/>
          <w:numId w:val="4"/>
        </w:numPr>
        <w:spacing w:after="120" w:line="360" w:lineRule="auto"/>
        <w:jc w:val="both"/>
        <w:rPr>
          <w:rFonts w:ascii="Times New Roman" w:hAnsi="Times New Roman" w:cs="Times New Roman"/>
          <w:bCs/>
          <w:sz w:val="24"/>
          <w:szCs w:val="24"/>
        </w:rPr>
      </w:pPr>
      <w:r w:rsidRPr="00923AD3">
        <w:rPr>
          <w:rFonts w:ascii="Times New Roman" w:hAnsi="Times New Roman" w:cs="Times New Roman"/>
          <w:bCs/>
          <w:sz w:val="24"/>
          <w:szCs w:val="24"/>
        </w:rPr>
        <w:t xml:space="preserve">Singh, S.R., Singh, M.K., </w:t>
      </w:r>
      <w:r w:rsidRPr="00923AD3">
        <w:rPr>
          <w:rFonts w:ascii="Times New Roman" w:hAnsi="Times New Roman" w:cs="Times New Roman"/>
          <w:sz w:val="24"/>
          <w:szCs w:val="24"/>
        </w:rPr>
        <w:t>Aakash</w:t>
      </w:r>
      <w:r w:rsidRPr="00923AD3">
        <w:rPr>
          <w:rFonts w:ascii="Times New Roman" w:hAnsi="Times New Roman" w:cs="Times New Roman"/>
          <w:bCs/>
          <w:sz w:val="24"/>
          <w:szCs w:val="24"/>
        </w:rPr>
        <w:t>, Meena, K. and Vishwakarma, S. P. (2021). Effect of Different NPK Levels on Fodder Production of Sudan Grass (</w:t>
      </w:r>
      <w:r w:rsidRPr="00923AD3">
        <w:rPr>
          <w:rFonts w:ascii="Times New Roman" w:hAnsi="Times New Roman" w:cs="Times New Roman"/>
          <w:bCs/>
          <w:i/>
          <w:sz w:val="24"/>
          <w:szCs w:val="24"/>
        </w:rPr>
        <w:t xml:space="preserve">Sorghum bicolor </w:t>
      </w:r>
      <w:r w:rsidRPr="00923AD3">
        <w:rPr>
          <w:rFonts w:ascii="Times New Roman" w:hAnsi="Times New Roman" w:cs="Times New Roman"/>
          <w:bCs/>
          <w:sz w:val="24"/>
          <w:szCs w:val="24"/>
        </w:rPr>
        <w:t xml:space="preserve">var. </w:t>
      </w:r>
      <w:r w:rsidRPr="00923AD3">
        <w:rPr>
          <w:rFonts w:ascii="Times New Roman" w:hAnsi="Times New Roman" w:cs="Times New Roman"/>
          <w:bCs/>
          <w:i/>
          <w:sz w:val="24"/>
          <w:szCs w:val="24"/>
        </w:rPr>
        <w:t>Sudanese</w:t>
      </w:r>
      <w:r w:rsidRPr="00923AD3">
        <w:rPr>
          <w:rFonts w:ascii="Times New Roman" w:hAnsi="Times New Roman" w:cs="Times New Roman"/>
          <w:bCs/>
          <w:sz w:val="24"/>
          <w:szCs w:val="24"/>
        </w:rPr>
        <w:t xml:space="preserve">). </w:t>
      </w:r>
      <w:r w:rsidRPr="00923AD3">
        <w:rPr>
          <w:rFonts w:ascii="Times New Roman" w:hAnsi="Times New Roman" w:cs="Times New Roman"/>
          <w:bCs/>
          <w:i/>
          <w:sz w:val="24"/>
          <w:szCs w:val="24"/>
        </w:rPr>
        <w:t>International Journal of Bio-resource and Stress Management</w:t>
      </w:r>
      <w:r w:rsidRPr="00923AD3">
        <w:rPr>
          <w:rFonts w:ascii="Times New Roman" w:hAnsi="Times New Roman" w:cs="Times New Roman"/>
          <w:bCs/>
          <w:sz w:val="24"/>
          <w:szCs w:val="24"/>
        </w:rPr>
        <w:t xml:space="preserve">, 12(3): 199-204. DOI: </w:t>
      </w:r>
      <w:hyperlink r:id="rId17" w:history="1">
        <w:r w:rsidRPr="00923AD3">
          <w:rPr>
            <w:rStyle w:val="Hyperlink"/>
            <w:rFonts w:ascii="Times New Roman" w:hAnsi="Times New Roman" w:cs="Times New Roman"/>
            <w:bCs/>
            <w:sz w:val="24"/>
            <w:szCs w:val="24"/>
          </w:rPr>
          <w:t>HTTPS://DOI.ORG/10.23910/1.2021.2229</w:t>
        </w:r>
      </w:hyperlink>
    </w:p>
    <w:p w14:paraId="6CD9BD0C" w14:textId="02F8914F" w:rsidR="00923AD3" w:rsidRDefault="00923AD3" w:rsidP="00923AD3">
      <w:pPr>
        <w:pStyle w:val="ListParagraph"/>
        <w:numPr>
          <w:ilvl w:val="0"/>
          <w:numId w:val="4"/>
        </w:numPr>
        <w:spacing w:after="120" w:line="360" w:lineRule="auto"/>
        <w:jc w:val="both"/>
        <w:rPr>
          <w:rFonts w:ascii="Times New Roman" w:hAnsi="Times New Roman" w:cs="Times New Roman"/>
          <w:bCs/>
          <w:sz w:val="24"/>
          <w:szCs w:val="24"/>
        </w:rPr>
      </w:pPr>
      <w:r w:rsidRPr="00923AD3">
        <w:rPr>
          <w:rFonts w:ascii="Times New Roman" w:hAnsi="Times New Roman" w:cs="Times New Roman"/>
          <w:bCs/>
          <w:sz w:val="24"/>
          <w:szCs w:val="24"/>
        </w:rPr>
        <w:t xml:space="preserve">Rai, N., Choudhary, S.K., </w:t>
      </w:r>
      <w:proofErr w:type="spellStart"/>
      <w:r w:rsidRPr="00923AD3">
        <w:rPr>
          <w:rFonts w:ascii="Times New Roman" w:hAnsi="Times New Roman" w:cs="Times New Roman"/>
          <w:bCs/>
          <w:sz w:val="24"/>
          <w:szCs w:val="24"/>
        </w:rPr>
        <w:t>Athnere</w:t>
      </w:r>
      <w:proofErr w:type="spellEnd"/>
      <w:r w:rsidRPr="00923AD3">
        <w:rPr>
          <w:rFonts w:ascii="Times New Roman" w:hAnsi="Times New Roman" w:cs="Times New Roman"/>
          <w:bCs/>
          <w:sz w:val="24"/>
          <w:szCs w:val="24"/>
        </w:rPr>
        <w:t xml:space="preserve">, S., </w:t>
      </w:r>
      <w:r w:rsidRPr="00923AD3">
        <w:rPr>
          <w:rFonts w:ascii="Times New Roman" w:hAnsi="Times New Roman" w:cs="Times New Roman"/>
          <w:sz w:val="24"/>
          <w:szCs w:val="24"/>
        </w:rPr>
        <w:t>Aakash</w:t>
      </w:r>
      <w:r w:rsidRPr="00923AD3">
        <w:rPr>
          <w:rFonts w:ascii="Times New Roman" w:hAnsi="Times New Roman" w:cs="Times New Roman"/>
          <w:bCs/>
          <w:sz w:val="24"/>
          <w:szCs w:val="24"/>
        </w:rPr>
        <w:t xml:space="preserve"> and </w:t>
      </w:r>
      <w:proofErr w:type="spellStart"/>
      <w:r w:rsidRPr="00923AD3">
        <w:rPr>
          <w:rFonts w:ascii="Times New Roman" w:hAnsi="Times New Roman" w:cs="Times New Roman"/>
          <w:bCs/>
          <w:sz w:val="24"/>
          <w:szCs w:val="24"/>
        </w:rPr>
        <w:t>Jamodkar</w:t>
      </w:r>
      <w:proofErr w:type="spellEnd"/>
      <w:r w:rsidRPr="00923AD3">
        <w:rPr>
          <w:rFonts w:ascii="Times New Roman" w:hAnsi="Times New Roman" w:cs="Times New Roman"/>
          <w:bCs/>
          <w:sz w:val="24"/>
          <w:szCs w:val="24"/>
        </w:rPr>
        <w:t xml:space="preserve">, V. (2021). Effect of Herbicides on Weed Control Measures of Cotton Crop. </w:t>
      </w:r>
      <w:r w:rsidRPr="00923AD3">
        <w:rPr>
          <w:rFonts w:ascii="Times New Roman" w:hAnsi="Times New Roman" w:cs="Times New Roman"/>
          <w:bCs/>
          <w:i/>
          <w:sz w:val="24"/>
          <w:szCs w:val="24"/>
        </w:rPr>
        <w:t>Chemical Science Review and Letters</w:t>
      </w:r>
      <w:r w:rsidRPr="00923AD3">
        <w:rPr>
          <w:rFonts w:ascii="Times New Roman" w:hAnsi="Times New Roman" w:cs="Times New Roman"/>
          <w:bCs/>
          <w:sz w:val="24"/>
          <w:szCs w:val="24"/>
        </w:rPr>
        <w:t>, 10(37): 135-140. DOI:10.37273/chesci.cs205107020</w:t>
      </w:r>
    </w:p>
    <w:p w14:paraId="14EB33E2" w14:textId="7C86E6A1" w:rsidR="00923AD3" w:rsidRPr="00923AD3" w:rsidRDefault="00923AD3" w:rsidP="00923AD3">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923AD3">
        <w:rPr>
          <w:rFonts w:ascii="Times New Roman" w:hAnsi="Times New Roman" w:cs="Times New Roman"/>
          <w:bCs/>
          <w:sz w:val="24"/>
          <w:szCs w:val="24"/>
        </w:rPr>
        <w:t>Saikia</w:t>
      </w:r>
      <w:proofErr w:type="spellEnd"/>
      <w:r w:rsidRPr="00923AD3">
        <w:rPr>
          <w:rFonts w:ascii="Times New Roman" w:hAnsi="Times New Roman" w:cs="Times New Roman"/>
          <w:bCs/>
          <w:sz w:val="24"/>
          <w:szCs w:val="24"/>
        </w:rPr>
        <w:t xml:space="preserve">, N., Singh, M. K., </w:t>
      </w:r>
      <w:proofErr w:type="spellStart"/>
      <w:r w:rsidRPr="00923AD3">
        <w:rPr>
          <w:rFonts w:ascii="Times New Roman" w:hAnsi="Times New Roman" w:cs="Times New Roman"/>
          <w:bCs/>
          <w:sz w:val="24"/>
          <w:szCs w:val="24"/>
        </w:rPr>
        <w:t>Pooniya</w:t>
      </w:r>
      <w:proofErr w:type="spellEnd"/>
      <w:r w:rsidRPr="00923AD3">
        <w:rPr>
          <w:rFonts w:ascii="Times New Roman" w:hAnsi="Times New Roman" w:cs="Times New Roman"/>
          <w:bCs/>
          <w:sz w:val="24"/>
          <w:szCs w:val="24"/>
        </w:rPr>
        <w:t xml:space="preserve">, V., </w:t>
      </w:r>
      <w:proofErr w:type="spellStart"/>
      <w:r w:rsidRPr="00923AD3">
        <w:rPr>
          <w:rFonts w:ascii="Times New Roman" w:hAnsi="Times New Roman" w:cs="Times New Roman"/>
          <w:bCs/>
          <w:sz w:val="24"/>
          <w:szCs w:val="24"/>
        </w:rPr>
        <w:t>Govindasamy</w:t>
      </w:r>
      <w:proofErr w:type="spellEnd"/>
      <w:r w:rsidRPr="00923AD3">
        <w:rPr>
          <w:rFonts w:ascii="Times New Roman" w:hAnsi="Times New Roman" w:cs="Times New Roman"/>
          <w:bCs/>
          <w:sz w:val="24"/>
          <w:szCs w:val="24"/>
        </w:rPr>
        <w:t xml:space="preserve">, P., Aakash, </w:t>
      </w:r>
      <w:proofErr w:type="spellStart"/>
      <w:r w:rsidRPr="00923AD3">
        <w:rPr>
          <w:rFonts w:ascii="Times New Roman" w:hAnsi="Times New Roman" w:cs="Times New Roman"/>
          <w:bCs/>
          <w:sz w:val="24"/>
          <w:szCs w:val="24"/>
        </w:rPr>
        <w:t>Dendukuri</w:t>
      </w:r>
      <w:proofErr w:type="spellEnd"/>
      <w:r w:rsidRPr="00923AD3">
        <w:rPr>
          <w:rFonts w:ascii="Times New Roman" w:hAnsi="Times New Roman" w:cs="Times New Roman"/>
          <w:bCs/>
          <w:sz w:val="24"/>
          <w:szCs w:val="24"/>
        </w:rPr>
        <w:t xml:space="preserve">, U. L., </w:t>
      </w:r>
      <w:proofErr w:type="spellStart"/>
      <w:r w:rsidRPr="00923AD3">
        <w:rPr>
          <w:rFonts w:ascii="Times New Roman" w:hAnsi="Times New Roman" w:cs="Times New Roman"/>
          <w:bCs/>
          <w:sz w:val="24"/>
          <w:szCs w:val="24"/>
        </w:rPr>
        <w:t>Nithinkumar</w:t>
      </w:r>
      <w:proofErr w:type="spellEnd"/>
      <w:r w:rsidRPr="00923AD3">
        <w:rPr>
          <w:rFonts w:ascii="Times New Roman" w:hAnsi="Times New Roman" w:cs="Times New Roman"/>
          <w:bCs/>
          <w:sz w:val="24"/>
          <w:szCs w:val="24"/>
        </w:rPr>
        <w:t xml:space="preserve">, </w:t>
      </w:r>
      <w:proofErr w:type="spellStart"/>
      <w:r w:rsidRPr="00923AD3">
        <w:rPr>
          <w:rFonts w:ascii="Times New Roman" w:hAnsi="Times New Roman" w:cs="Times New Roman"/>
          <w:bCs/>
          <w:sz w:val="24"/>
          <w:szCs w:val="24"/>
        </w:rPr>
        <w:t>Bagrecha</w:t>
      </w:r>
      <w:proofErr w:type="spellEnd"/>
      <w:r w:rsidRPr="00923AD3">
        <w:rPr>
          <w:rFonts w:ascii="Times New Roman" w:hAnsi="Times New Roman" w:cs="Times New Roman"/>
          <w:bCs/>
          <w:sz w:val="24"/>
          <w:szCs w:val="24"/>
        </w:rPr>
        <w:t>, S., Ali, S. K. A., &amp; Prajapati, S. K. (2024). Effects of pre-mix herbicide combinations on weed management in transplanted rice (</w:t>
      </w:r>
      <w:r w:rsidRPr="00923AD3">
        <w:rPr>
          <w:rFonts w:ascii="Times New Roman" w:hAnsi="Times New Roman" w:cs="Times New Roman"/>
          <w:bCs/>
          <w:i/>
          <w:iCs/>
          <w:sz w:val="24"/>
          <w:szCs w:val="24"/>
        </w:rPr>
        <w:t>Oryza sativa</w:t>
      </w:r>
      <w:r w:rsidRPr="00923AD3">
        <w:rPr>
          <w:rFonts w:ascii="Times New Roman" w:hAnsi="Times New Roman" w:cs="Times New Roman"/>
          <w:bCs/>
          <w:sz w:val="24"/>
          <w:szCs w:val="24"/>
        </w:rPr>
        <w:t>). </w:t>
      </w:r>
      <w:r w:rsidRPr="00923AD3">
        <w:rPr>
          <w:rFonts w:ascii="Times New Roman" w:hAnsi="Times New Roman" w:cs="Times New Roman"/>
          <w:bCs/>
          <w:i/>
          <w:iCs/>
          <w:sz w:val="24"/>
          <w:szCs w:val="24"/>
        </w:rPr>
        <w:t>The Indian Journal of Agricultural Sciences</w:t>
      </w:r>
      <w:r w:rsidRPr="00923AD3">
        <w:rPr>
          <w:rFonts w:ascii="Times New Roman" w:hAnsi="Times New Roman" w:cs="Times New Roman"/>
          <w:bCs/>
          <w:sz w:val="24"/>
          <w:szCs w:val="24"/>
        </w:rPr>
        <w:t>, </w:t>
      </w:r>
      <w:r w:rsidRPr="00923AD3">
        <w:rPr>
          <w:rFonts w:ascii="Times New Roman" w:hAnsi="Times New Roman" w:cs="Times New Roman"/>
          <w:bCs/>
          <w:i/>
          <w:iCs/>
          <w:sz w:val="24"/>
          <w:szCs w:val="24"/>
        </w:rPr>
        <w:t>94</w:t>
      </w:r>
      <w:r w:rsidRPr="00923AD3">
        <w:rPr>
          <w:rFonts w:ascii="Times New Roman" w:hAnsi="Times New Roman" w:cs="Times New Roman"/>
          <w:bCs/>
          <w:sz w:val="24"/>
          <w:szCs w:val="24"/>
        </w:rPr>
        <w:t>(12), 1377–1380. </w:t>
      </w:r>
      <w:hyperlink r:id="rId18" w:history="1">
        <w:r w:rsidRPr="00923AD3">
          <w:rPr>
            <w:rStyle w:val="Hyperlink"/>
            <w:rFonts w:ascii="Times New Roman" w:hAnsi="Times New Roman" w:cs="Times New Roman"/>
            <w:bCs/>
            <w:sz w:val="24"/>
            <w:szCs w:val="24"/>
          </w:rPr>
          <w:t>https://doi.org/10.56093/ijas.v94i12.153513</w:t>
        </w:r>
      </w:hyperlink>
    </w:p>
    <w:p w14:paraId="5E7FE92E" w14:textId="77777777" w:rsidR="00DA4AE9" w:rsidRDefault="00DA4AE9" w:rsidP="0006142C">
      <w:pPr>
        <w:spacing w:after="120" w:line="360" w:lineRule="auto"/>
        <w:jc w:val="both"/>
        <w:rPr>
          <w:rFonts w:ascii="Times New Roman" w:hAnsi="Times New Roman" w:cs="Times New Roman"/>
          <w:b/>
          <w:sz w:val="24"/>
          <w:szCs w:val="24"/>
        </w:rPr>
      </w:pPr>
    </w:p>
    <w:p w14:paraId="6C2164BF" w14:textId="77777777" w:rsidR="006F5810" w:rsidRDefault="006F5810" w:rsidP="006F5810">
      <w:pPr>
        <w:pStyle w:val="Default"/>
        <w:spacing w:after="120" w:line="360" w:lineRule="auto"/>
        <w:jc w:val="both"/>
        <w:rPr>
          <w:color w:val="auto"/>
        </w:rPr>
      </w:pPr>
    </w:p>
    <w:p w14:paraId="5822E7D3" w14:textId="77777777" w:rsidR="00B24FC4" w:rsidRDefault="00B24FC4" w:rsidP="006F5810">
      <w:pPr>
        <w:pStyle w:val="Default"/>
        <w:spacing w:after="120" w:line="360" w:lineRule="auto"/>
        <w:jc w:val="both"/>
        <w:rPr>
          <w:color w:val="auto"/>
        </w:rPr>
      </w:pPr>
    </w:p>
    <w:p w14:paraId="4E246DFB" w14:textId="77777777" w:rsidR="00B24FC4" w:rsidRDefault="00B24FC4" w:rsidP="006F5810">
      <w:pPr>
        <w:pStyle w:val="Default"/>
        <w:spacing w:after="120" w:line="360" w:lineRule="auto"/>
        <w:jc w:val="both"/>
        <w:rPr>
          <w:color w:val="auto"/>
        </w:rPr>
      </w:pPr>
    </w:p>
    <w:p w14:paraId="669C1856" w14:textId="77777777" w:rsidR="00B24FC4" w:rsidRDefault="00B24FC4" w:rsidP="006F5810">
      <w:pPr>
        <w:pStyle w:val="Default"/>
        <w:spacing w:after="120" w:line="360" w:lineRule="auto"/>
        <w:jc w:val="both"/>
        <w:rPr>
          <w:color w:val="auto"/>
        </w:rPr>
      </w:pPr>
    </w:p>
    <w:sectPr w:rsidR="00B24FC4" w:rsidSect="005A148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1E596E" w16cex:dateUtc="2025-03-15T15:57:00Z"/>
  <w16cex:commentExtensible w16cex:durableId="135C3780" w16cex:dateUtc="2025-03-15T15:57:00Z"/>
  <w16cex:commentExtensible w16cex:durableId="76ECF261" w16cex:dateUtc="2025-03-15T15:59:00Z"/>
  <w16cex:commentExtensible w16cex:durableId="62CD6BCA" w16cex:dateUtc="2025-03-15T15:58:00Z"/>
  <w16cex:commentExtensible w16cex:durableId="0F70A40E" w16cex:dateUtc="2025-03-15T16:04:00Z"/>
  <w16cex:commentExtensible w16cex:durableId="4B44E6DC" w16cex:dateUtc="2025-03-15T16:06:00Z"/>
  <w16cex:commentExtensible w16cex:durableId="26B44766" w16cex:dateUtc="2025-03-15T16:07:00Z"/>
  <w16cex:commentExtensible w16cex:durableId="5310A1F6" w16cex:dateUtc="2025-03-15T16:12:00Z"/>
  <w16cex:commentExtensible w16cex:durableId="6D3B7891" w16cex:dateUtc="2025-03-15T16:08:00Z"/>
  <w16cex:commentExtensible w16cex:durableId="4359D8EA" w16cex:dateUtc="2025-03-15T16:09:00Z"/>
  <w16cex:commentExtensible w16cex:durableId="4BAB333C" w16cex:dateUtc="2025-03-15T16:10:00Z"/>
  <w16cex:commentExtensible w16cex:durableId="792ED1B2" w16cex:dateUtc="2025-03-15T16:11:00Z"/>
  <w16cex:commentExtensible w16cex:durableId="72426DCF" w16cex:dateUtc="2025-03-15T16:15:00Z"/>
  <w16cex:commentExtensible w16cex:durableId="3A7826E3" w16cex:dateUtc="2025-03-15T16: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689E8" w14:textId="77777777" w:rsidR="00BB2955" w:rsidRDefault="00BB2955" w:rsidP="005203A6">
      <w:pPr>
        <w:spacing w:after="0" w:line="240" w:lineRule="auto"/>
      </w:pPr>
      <w:r>
        <w:separator/>
      </w:r>
    </w:p>
  </w:endnote>
  <w:endnote w:type="continuationSeparator" w:id="0">
    <w:p w14:paraId="7E20B245" w14:textId="77777777" w:rsidR="00BB2955" w:rsidRDefault="00BB2955" w:rsidP="0052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B96A" w14:textId="77777777" w:rsidR="005203A6" w:rsidRDefault="0052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E9D3" w14:textId="77777777" w:rsidR="005203A6" w:rsidRDefault="00520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FCAA" w14:textId="77777777" w:rsidR="005203A6" w:rsidRDefault="0052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77AEB" w14:textId="77777777" w:rsidR="00BB2955" w:rsidRDefault="00BB2955" w:rsidP="005203A6">
      <w:pPr>
        <w:spacing w:after="0" w:line="240" w:lineRule="auto"/>
      </w:pPr>
      <w:r>
        <w:separator/>
      </w:r>
    </w:p>
  </w:footnote>
  <w:footnote w:type="continuationSeparator" w:id="0">
    <w:p w14:paraId="7EE45895" w14:textId="77777777" w:rsidR="00BB2955" w:rsidRDefault="00BB2955" w:rsidP="0052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7BD5" w14:textId="05F826E1" w:rsidR="005203A6" w:rsidRDefault="00BB2955">
    <w:pPr>
      <w:pStyle w:val="Header"/>
    </w:pPr>
    <w:r>
      <w:rPr>
        <w:noProof/>
      </w:rPr>
      <w:pict w14:anchorId="6EBA8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F475" w14:textId="0079A44C" w:rsidR="005203A6" w:rsidRDefault="00BB2955">
    <w:pPr>
      <w:pStyle w:val="Header"/>
    </w:pPr>
    <w:r>
      <w:rPr>
        <w:noProof/>
      </w:rPr>
      <w:pict w14:anchorId="35F12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E991" w14:textId="2219813E" w:rsidR="005203A6" w:rsidRDefault="00BB2955">
    <w:pPr>
      <w:pStyle w:val="Header"/>
    </w:pPr>
    <w:r>
      <w:rPr>
        <w:noProof/>
      </w:rPr>
      <w:pict w14:anchorId="287B6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340E5"/>
    <w:multiLevelType w:val="hybridMultilevel"/>
    <w:tmpl w:val="BA8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C2E1E"/>
    <w:multiLevelType w:val="hybridMultilevel"/>
    <w:tmpl w:val="797026FA"/>
    <w:lvl w:ilvl="0" w:tplc="AB00933C">
      <w:start w:val="1"/>
      <w:numFmt w:val="decimal"/>
      <w:lvlText w:val="%1."/>
      <w:lvlJc w:val="left"/>
      <w:pPr>
        <w:ind w:left="404" w:hanging="360"/>
      </w:pPr>
      <w:rPr>
        <w:rFonts w:ascii="Arial MT" w:eastAsia="Arial MT" w:hAnsi="Arial MT" w:cs="Arial MT" w:hint="default"/>
        <w:b w:val="0"/>
        <w:bCs w:val="0"/>
        <w:i w:val="0"/>
        <w:iCs w:val="0"/>
        <w:color w:val="1E1916"/>
        <w:spacing w:val="0"/>
        <w:w w:val="100"/>
        <w:sz w:val="17"/>
        <w:szCs w:val="17"/>
        <w:lang w:val="en-US" w:eastAsia="en-US" w:bidi="ar-SA"/>
      </w:rPr>
    </w:lvl>
    <w:lvl w:ilvl="1" w:tplc="EC96EDD0">
      <w:numFmt w:val="bullet"/>
      <w:lvlText w:val="•"/>
      <w:lvlJc w:val="left"/>
      <w:pPr>
        <w:ind w:left="850" w:hanging="360"/>
      </w:pPr>
      <w:rPr>
        <w:rFonts w:hint="default"/>
        <w:lang w:val="en-US" w:eastAsia="en-US" w:bidi="ar-SA"/>
      </w:rPr>
    </w:lvl>
    <w:lvl w:ilvl="2" w:tplc="CD0CDEFA">
      <w:numFmt w:val="bullet"/>
      <w:lvlText w:val="•"/>
      <w:lvlJc w:val="left"/>
      <w:pPr>
        <w:ind w:left="1300" w:hanging="360"/>
      </w:pPr>
      <w:rPr>
        <w:rFonts w:hint="default"/>
        <w:lang w:val="en-US" w:eastAsia="en-US" w:bidi="ar-SA"/>
      </w:rPr>
    </w:lvl>
    <w:lvl w:ilvl="3" w:tplc="D9762224">
      <w:numFmt w:val="bullet"/>
      <w:lvlText w:val="•"/>
      <w:lvlJc w:val="left"/>
      <w:pPr>
        <w:ind w:left="1751" w:hanging="360"/>
      </w:pPr>
      <w:rPr>
        <w:rFonts w:hint="default"/>
        <w:lang w:val="en-US" w:eastAsia="en-US" w:bidi="ar-SA"/>
      </w:rPr>
    </w:lvl>
    <w:lvl w:ilvl="4" w:tplc="442CA1E4">
      <w:numFmt w:val="bullet"/>
      <w:lvlText w:val="•"/>
      <w:lvlJc w:val="left"/>
      <w:pPr>
        <w:ind w:left="2201" w:hanging="360"/>
      </w:pPr>
      <w:rPr>
        <w:rFonts w:hint="default"/>
        <w:lang w:val="en-US" w:eastAsia="en-US" w:bidi="ar-SA"/>
      </w:rPr>
    </w:lvl>
    <w:lvl w:ilvl="5" w:tplc="1FCE8FDC">
      <w:numFmt w:val="bullet"/>
      <w:lvlText w:val="•"/>
      <w:lvlJc w:val="left"/>
      <w:pPr>
        <w:ind w:left="2652" w:hanging="360"/>
      </w:pPr>
      <w:rPr>
        <w:rFonts w:hint="default"/>
        <w:lang w:val="en-US" w:eastAsia="en-US" w:bidi="ar-SA"/>
      </w:rPr>
    </w:lvl>
    <w:lvl w:ilvl="6" w:tplc="6EAE911E">
      <w:numFmt w:val="bullet"/>
      <w:lvlText w:val="•"/>
      <w:lvlJc w:val="left"/>
      <w:pPr>
        <w:ind w:left="3102" w:hanging="360"/>
      </w:pPr>
      <w:rPr>
        <w:rFonts w:hint="default"/>
        <w:lang w:val="en-US" w:eastAsia="en-US" w:bidi="ar-SA"/>
      </w:rPr>
    </w:lvl>
    <w:lvl w:ilvl="7" w:tplc="CBCCD0EC">
      <w:numFmt w:val="bullet"/>
      <w:lvlText w:val="•"/>
      <w:lvlJc w:val="left"/>
      <w:pPr>
        <w:ind w:left="3552" w:hanging="360"/>
      </w:pPr>
      <w:rPr>
        <w:rFonts w:hint="default"/>
        <w:lang w:val="en-US" w:eastAsia="en-US" w:bidi="ar-SA"/>
      </w:rPr>
    </w:lvl>
    <w:lvl w:ilvl="8" w:tplc="85BAB4E8">
      <w:numFmt w:val="bullet"/>
      <w:lvlText w:val="•"/>
      <w:lvlJc w:val="left"/>
      <w:pPr>
        <w:ind w:left="4003" w:hanging="360"/>
      </w:pPr>
      <w:rPr>
        <w:rFonts w:hint="default"/>
        <w:lang w:val="en-US" w:eastAsia="en-US" w:bidi="ar-SA"/>
      </w:rPr>
    </w:lvl>
  </w:abstractNum>
  <w:abstractNum w:abstractNumId="3" w15:restartNumberingAfterBreak="0">
    <w:nsid w:val="4ABF4FD0"/>
    <w:multiLevelType w:val="multilevel"/>
    <w:tmpl w:val="4B8A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66652"/>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805EE"/>
    <w:multiLevelType w:val="multilevel"/>
    <w:tmpl w:val="43D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C4149"/>
    <w:multiLevelType w:val="multilevel"/>
    <w:tmpl w:val="953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93AA5"/>
    <w:multiLevelType w:val="hybridMultilevel"/>
    <w:tmpl w:val="2F461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0D2CDB"/>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4"/>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1NDE2sDAwMTM2srBQ0lEKTi0uzszPAykwrAUA6PDjMCwAAAA="/>
  </w:docVars>
  <w:rsids>
    <w:rsidRoot w:val="0032423A"/>
    <w:rsid w:val="000412D4"/>
    <w:rsid w:val="000517DD"/>
    <w:rsid w:val="000545A0"/>
    <w:rsid w:val="00055AE6"/>
    <w:rsid w:val="0006142C"/>
    <w:rsid w:val="00086927"/>
    <w:rsid w:val="000952C9"/>
    <w:rsid w:val="000A4B9F"/>
    <w:rsid w:val="000E0E42"/>
    <w:rsid w:val="000E1130"/>
    <w:rsid w:val="000E1A3D"/>
    <w:rsid w:val="000F0DD2"/>
    <w:rsid w:val="001057A2"/>
    <w:rsid w:val="001174CF"/>
    <w:rsid w:val="00135017"/>
    <w:rsid w:val="00136A2D"/>
    <w:rsid w:val="00146B96"/>
    <w:rsid w:val="00147976"/>
    <w:rsid w:val="00161ACA"/>
    <w:rsid w:val="00161EB0"/>
    <w:rsid w:val="00190406"/>
    <w:rsid w:val="001A156C"/>
    <w:rsid w:val="001A4A7A"/>
    <w:rsid w:val="001B2C11"/>
    <w:rsid w:val="00210055"/>
    <w:rsid w:val="00221D44"/>
    <w:rsid w:val="00230819"/>
    <w:rsid w:val="002331EF"/>
    <w:rsid w:val="00233EFE"/>
    <w:rsid w:val="00283969"/>
    <w:rsid w:val="002D59D2"/>
    <w:rsid w:val="0031061C"/>
    <w:rsid w:val="00317416"/>
    <w:rsid w:val="0032423A"/>
    <w:rsid w:val="00341657"/>
    <w:rsid w:val="00390418"/>
    <w:rsid w:val="003A655C"/>
    <w:rsid w:val="004339D3"/>
    <w:rsid w:val="00452F71"/>
    <w:rsid w:val="0046653F"/>
    <w:rsid w:val="00477576"/>
    <w:rsid w:val="004868DC"/>
    <w:rsid w:val="0049110B"/>
    <w:rsid w:val="004B0081"/>
    <w:rsid w:val="004B2E0D"/>
    <w:rsid w:val="004C7305"/>
    <w:rsid w:val="004E7583"/>
    <w:rsid w:val="00511B5F"/>
    <w:rsid w:val="005203A6"/>
    <w:rsid w:val="005307B8"/>
    <w:rsid w:val="00543CB5"/>
    <w:rsid w:val="00550716"/>
    <w:rsid w:val="0055150F"/>
    <w:rsid w:val="00561329"/>
    <w:rsid w:val="00571C85"/>
    <w:rsid w:val="00573209"/>
    <w:rsid w:val="00594489"/>
    <w:rsid w:val="005A1481"/>
    <w:rsid w:val="005B698A"/>
    <w:rsid w:val="005C08BA"/>
    <w:rsid w:val="005C33B8"/>
    <w:rsid w:val="005C3FA2"/>
    <w:rsid w:val="005C7B0E"/>
    <w:rsid w:val="005E07A2"/>
    <w:rsid w:val="0067711F"/>
    <w:rsid w:val="006C3284"/>
    <w:rsid w:val="006F4AC4"/>
    <w:rsid w:val="006F5810"/>
    <w:rsid w:val="00700C0B"/>
    <w:rsid w:val="00701DE4"/>
    <w:rsid w:val="00703726"/>
    <w:rsid w:val="00705F0C"/>
    <w:rsid w:val="00707A50"/>
    <w:rsid w:val="00726D76"/>
    <w:rsid w:val="00763FFB"/>
    <w:rsid w:val="007967D2"/>
    <w:rsid w:val="007B23EF"/>
    <w:rsid w:val="007B6EC6"/>
    <w:rsid w:val="007D19FF"/>
    <w:rsid w:val="007D5394"/>
    <w:rsid w:val="007E41C6"/>
    <w:rsid w:val="007E7BEE"/>
    <w:rsid w:val="00806D93"/>
    <w:rsid w:val="008217F6"/>
    <w:rsid w:val="00844B6A"/>
    <w:rsid w:val="0084517D"/>
    <w:rsid w:val="008623F0"/>
    <w:rsid w:val="008860FE"/>
    <w:rsid w:val="008D143D"/>
    <w:rsid w:val="008E139E"/>
    <w:rsid w:val="008E67B5"/>
    <w:rsid w:val="008F68A5"/>
    <w:rsid w:val="00904403"/>
    <w:rsid w:val="0092359A"/>
    <w:rsid w:val="00923AD3"/>
    <w:rsid w:val="00942E71"/>
    <w:rsid w:val="00991861"/>
    <w:rsid w:val="009A7C3B"/>
    <w:rsid w:val="009B2707"/>
    <w:rsid w:val="009B72EF"/>
    <w:rsid w:val="009B78B0"/>
    <w:rsid w:val="009D1E3D"/>
    <w:rsid w:val="00A06084"/>
    <w:rsid w:val="00A20C09"/>
    <w:rsid w:val="00A34939"/>
    <w:rsid w:val="00A56894"/>
    <w:rsid w:val="00A9728A"/>
    <w:rsid w:val="00AB737A"/>
    <w:rsid w:val="00AB7902"/>
    <w:rsid w:val="00AF3366"/>
    <w:rsid w:val="00B20458"/>
    <w:rsid w:val="00B24FC4"/>
    <w:rsid w:val="00B43F58"/>
    <w:rsid w:val="00B65BCC"/>
    <w:rsid w:val="00B746B1"/>
    <w:rsid w:val="00BA2B5D"/>
    <w:rsid w:val="00BB2955"/>
    <w:rsid w:val="00BB74BE"/>
    <w:rsid w:val="00BC080A"/>
    <w:rsid w:val="00BC0DB7"/>
    <w:rsid w:val="00BC39A2"/>
    <w:rsid w:val="00BC6D4C"/>
    <w:rsid w:val="00BE247E"/>
    <w:rsid w:val="00C00648"/>
    <w:rsid w:val="00C261C8"/>
    <w:rsid w:val="00C676DB"/>
    <w:rsid w:val="00C954BA"/>
    <w:rsid w:val="00CA62E5"/>
    <w:rsid w:val="00CC4EB9"/>
    <w:rsid w:val="00CD32AD"/>
    <w:rsid w:val="00CD5AE2"/>
    <w:rsid w:val="00CE0168"/>
    <w:rsid w:val="00CF1040"/>
    <w:rsid w:val="00D01DE4"/>
    <w:rsid w:val="00D230BD"/>
    <w:rsid w:val="00D32AA8"/>
    <w:rsid w:val="00D4179F"/>
    <w:rsid w:val="00D44B0C"/>
    <w:rsid w:val="00D934E7"/>
    <w:rsid w:val="00D96E9A"/>
    <w:rsid w:val="00DA4AE9"/>
    <w:rsid w:val="00DA5394"/>
    <w:rsid w:val="00DC38AC"/>
    <w:rsid w:val="00DD0BEC"/>
    <w:rsid w:val="00DF1094"/>
    <w:rsid w:val="00DF4706"/>
    <w:rsid w:val="00E37A23"/>
    <w:rsid w:val="00E37C80"/>
    <w:rsid w:val="00E677C3"/>
    <w:rsid w:val="00E8690B"/>
    <w:rsid w:val="00E924BC"/>
    <w:rsid w:val="00E94D28"/>
    <w:rsid w:val="00E96396"/>
    <w:rsid w:val="00EB520E"/>
    <w:rsid w:val="00EB60AA"/>
    <w:rsid w:val="00EC4527"/>
    <w:rsid w:val="00EC6FF5"/>
    <w:rsid w:val="00EF281F"/>
    <w:rsid w:val="00EF42A4"/>
    <w:rsid w:val="00EF4C6C"/>
    <w:rsid w:val="00F048D0"/>
    <w:rsid w:val="00F17DBE"/>
    <w:rsid w:val="00F31A18"/>
    <w:rsid w:val="00F73958"/>
    <w:rsid w:val="00FB3774"/>
    <w:rsid w:val="00FC77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103FAA"/>
  <w15:docId w15:val="{B448A1C0-6B77-47AE-8CE4-08ED2A15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481"/>
  </w:style>
  <w:style w:type="paragraph" w:styleId="Heading1">
    <w:name w:val="heading 1"/>
    <w:basedOn w:val="Normal"/>
    <w:link w:val="Heading1Char"/>
    <w:uiPriority w:val="1"/>
    <w:qFormat/>
    <w:rsid w:val="00E37C80"/>
    <w:pPr>
      <w:widowControl w:val="0"/>
      <w:autoSpaceDE w:val="0"/>
      <w:autoSpaceDN w:val="0"/>
      <w:spacing w:before="149" w:after="0" w:line="240" w:lineRule="auto"/>
      <w:ind w:left="43"/>
      <w:outlineLvl w:val="0"/>
    </w:pPr>
    <w:rPr>
      <w:rFonts w:ascii="Arial" w:eastAsia="Arial" w:hAnsi="Arial" w:cs="Arial"/>
      <w:b/>
      <w:bCs/>
      <w:sz w:val="21"/>
      <w:szCs w:val="21"/>
      <w:lang w:bidi="ar-SA"/>
    </w:rPr>
  </w:style>
  <w:style w:type="paragraph" w:styleId="Heading3">
    <w:name w:val="heading 3"/>
    <w:basedOn w:val="Normal"/>
    <w:next w:val="Normal"/>
    <w:link w:val="Heading3Char"/>
    <w:uiPriority w:val="9"/>
    <w:semiHidden/>
    <w:unhideWhenUsed/>
    <w:qFormat/>
    <w:rsid w:val="00B20458"/>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23A"/>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table" w:styleId="TableGrid">
    <w:name w:val="Table Grid"/>
    <w:basedOn w:val="TableNormal"/>
    <w:uiPriority w:val="39"/>
    <w:rsid w:val="0032423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37C80"/>
    <w:rPr>
      <w:rFonts w:ascii="Arial" w:eastAsia="Arial" w:hAnsi="Arial" w:cs="Arial"/>
      <w:b/>
      <w:bCs/>
      <w:sz w:val="21"/>
      <w:szCs w:val="21"/>
      <w:lang w:bidi="ar-SA"/>
    </w:rPr>
  </w:style>
  <w:style w:type="paragraph" w:styleId="BodyText">
    <w:name w:val="Body Text"/>
    <w:basedOn w:val="Normal"/>
    <w:link w:val="BodyTextChar"/>
    <w:uiPriority w:val="1"/>
    <w:qFormat/>
    <w:rsid w:val="00E37C80"/>
    <w:pPr>
      <w:widowControl w:val="0"/>
      <w:autoSpaceDE w:val="0"/>
      <w:autoSpaceDN w:val="0"/>
      <w:spacing w:after="0" w:line="240" w:lineRule="auto"/>
      <w:jc w:val="both"/>
    </w:pPr>
    <w:rPr>
      <w:rFonts w:ascii="Arial MT" w:eastAsia="Arial MT" w:hAnsi="Arial MT" w:cs="Arial MT"/>
      <w:sz w:val="19"/>
      <w:szCs w:val="19"/>
      <w:lang w:bidi="ar-SA"/>
    </w:rPr>
  </w:style>
  <w:style w:type="character" w:customStyle="1" w:styleId="BodyTextChar">
    <w:name w:val="Body Text Char"/>
    <w:basedOn w:val="DefaultParagraphFont"/>
    <w:link w:val="BodyText"/>
    <w:uiPriority w:val="1"/>
    <w:rsid w:val="00E37C80"/>
    <w:rPr>
      <w:rFonts w:ascii="Arial MT" w:eastAsia="Arial MT" w:hAnsi="Arial MT" w:cs="Arial MT"/>
      <w:sz w:val="19"/>
      <w:szCs w:val="19"/>
      <w:lang w:bidi="ar-SA"/>
    </w:rPr>
  </w:style>
  <w:style w:type="paragraph" w:styleId="NormalWeb">
    <w:name w:val="Normal (Web)"/>
    <w:basedOn w:val="Normal"/>
    <w:uiPriority w:val="99"/>
    <w:unhideWhenUsed/>
    <w:rsid w:val="00095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2C9"/>
    <w:rPr>
      <w:i/>
      <w:iCs/>
    </w:rPr>
  </w:style>
  <w:style w:type="paragraph" w:styleId="BalloonText">
    <w:name w:val="Balloon Text"/>
    <w:basedOn w:val="Normal"/>
    <w:link w:val="BalloonTextChar"/>
    <w:uiPriority w:val="99"/>
    <w:semiHidden/>
    <w:unhideWhenUsed/>
    <w:rsid w:val="00DD0B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BEC"/>
    <w:rPr>
      <w:rFonts w:ascii="Tahoma" w:hAnsi="Tahoma" w:cs="Mangal"/>
      <w:sz w:val="16"/>
      <w:szCs w:val="14"/>
    </w:rPr>
  </w:style>
  <w:style w:type="paragraph" w:styleId="ListParagraph">
    <w:name w:val="List Paragraph"/>
    <w:basedOn w:val="Normal"/>
    <w:uiPriority w:val="1"/>
    <w:qFormat/>
    <w:rsid w:val="00F17DBE"/>
    <w:pPr>
      <w:ind w:left="720"/>
      <w:contextualSpacing/>
    </w:pPr>
  </w:style>
  <w:style w:type="character" w:styleId="Strong">
    <w:name w:val="Strong"/>
    <w:basedOn w:val="DefaultParagraphFont"/>
    <w:uiPriority w:val="22"/>
    <w:qFormat/>
    <w:rsid w:val="007B23EF"/>
    <w:rPr>
      <w:b/>
      <w:bCs/>
    </w:rPr>
  </w:style>
  <w:style w:type="paragraph" w:styleId="BodyText2">
    <w:name w:val="Body Text 2"/>
    <w:basedOn w:val="Normal"/>
    <w:link w:val="BodyText2Char"/>
    <w:uiPriority w:val="99"/>
    <w:unhideWhenUsed/>
    <w:rsid w:val="007E7BE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E7BE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6B96"/>
    <w:rPr>
      <w:color w:val="0000FF" w:themeColor="hyperlink"/>
      <w:u w:val="single"/>
    </w:rPr>
  </w:style>
  <w:style w:type="character" w:customStyle="1" w:styleId="UnresolvedMention1">
    <w:name w:val="Unresolved Mention1"/>
    <w:basedOn w:val="DefaultParagraphFont"/>
    <w:uiPriority w:val="99"/>
    <w:semiHidden/>
    <w:unhideWhenUsed/>
    <w:rsid w:val="00146B96"/>
    <w:rPr>
      <w:color w:val="605E5C"/>
      <w:shd w:val="clear" w:color="auto" w:fill="E1DFDD"/>
    </w:rPr>
  </w:style>
  <w:style w:type="paragraph" w:styleId="Header">
    <w:name w:val="header"/>
    <w:basedOn w:val="Normal"/>
    <w:link w:val="HeaderChar"/>
    <w:uiPriority w:val="99"/>
    <w:unhideWhenUsed/>
    <w:rsid w:val="00520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A6"/>
  </w:style>
  <w:style w:type="paragraph" w:styleId="Footer">
    <w:name w:val="footer"/>
    <w:basedOn w:val="Normal"/>
    <w:link w:val="FooterChar"/>
    <w:uiPriority w:val="99"/>
    <w:unhideWhenUsed/>
    <w:rsid w:val="0052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A6"/>
  </w:style>
  <w:style w:type="character" w:styleId="CommentReference">
    <w:name w:val="annotation reference"/>
    <w:basedOn w:val="DefaultParagraphFont"/>
    <w:uiPriority w:val="99"/>
    <w:semiHidden/>
    <w:unhideWhenUsed/>
    <w:rsid w:val="00EF42A4"/>
    <w:rPr>
      <w:sz w:val="16"/>
      <w:szCs w:val="16"/>
    </w:rPr>
  </w:style>
  <w:style w:type="paragraph" w:styleId="CommentText">
    <w:name w:val="annotation text"/>
    <w:basedOn w:val="Normal"/>
    <w:link w:val="CommentTextChar"/>
    <w:uiPriority w:val="99"/>
    <w:unhideWhenUsed/>
    <w:rsid w:val="00EF42A4"/>
    <w:pPr>
      <w:spacing w:line="240" w:lineRule="auto"/>
    </w:pPr>
    <w:rPr>
      <w:sz w:val="20"/>
      <w:szCs w:val="18"/>
    </w:rPr>
  </w:style>
  <w:style w:type="character" w:customStyle="1" w:styleId="CommentTextChar">
    <w:name w:val="Comment Text Char"/>
    <w:basedOn w:val="DefaultParagraphFont"/>
    <w:link w:val="CommentText"/>
    <w:uiPriority w:val="99"/>
    <w:rsid w:val="00EF42A4"/>
    <w:rPr>
      <w:sz w:val="20"/>
      <w:szCs w:val="18"/>
    </w:rPr>
  </w:style>
  <w:style w:type="paragraph" w:styleId="CommentSubject">
    <w:name w:val="annotation subject"/>
    <w:basedOn w:val="CommentText"/>
    <w:next w:val="CommentText"/>
    <w:link w:val="CommentSubjectChar"/>
    <w:uiPriority w:val="99"/>
    <w:semiHidden/>
    <w:unhideWhenUsed/>
    <w:rsid w:val="00EF42A4"/>
    <w:rPr>
      <w:b/>
      <w:bCs/>
    </w:rPr>
  </w:style>
  <w:style w:type="character" w:customStyle="1" w:styleId="CommentSubjectChar">
    <w:name w:val="Comment Subject Char"/>
    <w:basedOn w:val="CommentTextChar"/>
    <w:link w:val="CommentSubject"/>
    <w:uiPriority w:val="99"/>
    <w:semiHidden/>
    <w:rsid w:val="00EF42A4"/>
    <w:rPr>
      <w:b/>
      <w:bCs/>
      <w:sz w:val="20"/>
      <w:szCs w:val="18"/>
    </w:rPr>
  </w:style>
  <w:style w:type="character" w:customStyle="1" w:styleId="Heading3Char">
    <w:name w:val="Heading 3 Char"/>
    <w:basedOn w:val="DefaultParagraphFont"/>
    <w:link w:val="Heading3"/>
    <w:uiPriority w:val="9"/>
    <w:semiHidden/>
    <w:rsid w:val="00B20458"/>
    <w:rPr>
      <w:rFonts w:asciiTheme="majorHAnsi" w:eastAsiaTheme="majorEastAsia" w:hAnsiTheme="majorHAnsi" w:cstheme="majorBidi"/>
      <w:color w:val="243F60"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6561">
      <w:bodyDiv w:val="1"/>
      <w:marLeft w:val="0"/>
      <w:marRight w:val="0"/>
      <w:marTop w:val="0"/>
      <w:marBottom w:val="0"/>
      <w:divBdr>
        <w:top w:val="none" w:sz="0" w:space="0" w:color="auto"/>
        <w:left w:val="none" w:sz="0" w:space="0" w:color="auto"/>
        <w:bottom w:val="none" w:sz="0" w:space="0" w:color="auto"/>
        <w:right w:val="none" w:sz="0" w:space="0" w:color="auto"/>
      </w:divBdr>
    </w:div>
    <w:div w:id="462381123">
      <w:bodyDiv w:val="1"/>
      <w:marLeft w:val="0"/>
      <w:marRight w:val="0"/>
      <w:marTop w:val="0"/>
      <w:marBottom w:val="0"/>
      <w:divBdr>
        <w:top w:val="none" w:sz="0" w:space="0" w:color="auto"/>
        <w:left w:val="none" w:sz="0" w:space="0" w:color="auto"/>
        <w:bottom w:val="none" w:sz="0" w:space="0" w:color="auto"/>
        <w:right w:val="none" w:sz="0" w:space="0" w:color="auto"/>
      </w:divBdr>
    </w:div>
    <w:div w:id="504438606">
      <w:bodyDiv w:val="1"/>
      <w:marLeft w:val="0"/>
      <w:marRight w:val="0"/>
      <w:marTop w:val="0"/>
      <w:marBottom w:val="0"/>
      <w:divBdr>
        <w:top w:val="none" w:sz="0" w:space="0" w:color="auto"/>
        <w:left w:val="none" w:sz="0" w:space="0" w:color="auto"/>
        <w:bottom w:val="none" w:sz="0" w:space="0" w:color="auto"/>
        <w:right w:val="none" w:sz="0" w:space="0" w:color="auto"/>
      </w:divBdr>
    </w:div>
    <w:div w:id="546333041">
      <w:bodyDiv w:val="1"/>
      <w:marLeft w:val="0"/>
      <w:marRight w:val="0"/>
      <w:marTop w:val="0"/>
      <w:marBottom w:val="0"/>
      <w:divBdr>
        <w:top w:val="none" w:sz="0" w:space="0" w:color="auto"/>
        <w:left w:val="none" w:sz="0" w:space="0" w:color="auto"/>
        <w:bottom w:val="none" w:sz="0" w:space="0" w:color="auto"/>
        <w:right w:val="none" w:sz="0" w:space="0" w:color="auto"/>
      </w:divBdr>
    </w:div>
    <w:div w:id="564147214">
      <w:bodyDiv w:val="1"/>
      <w:marLeft w:val="0"/>
      <w:marRight w:val="0"/>
      <w:marTop w:val="0"/>
      <w:marBottom w:val="0"/>
      <w:divBdr>
        <w:top w:val="none" w:sz="0" w:space="0" w:color="auto"/>
        <w:left w:val="none" w:sz="0" w:space="0" w:color="auto"/>
        <w:bottom w:val="none" w:sz="0" w:space="0" w:color="auto"/>
        <w:right w:val="none" w:sz="0" w:space="0" w:color="auto"/>
      </w:divBdr>
    </w:div>
    <w:div w:id="661087114">
      <w:bodyDiv w:val="1"/>
      <w:marLeft w:val="0"/>
      <w:marRight w:val="0"/>
      <w:marTop w:val="0"/>
      <w:marBottom w:val="0"/>
      <w:divBdr>
        <w:top w:val="none" w:sz="0" w:space="0" w:color="auto"/>
        <w:left w:val="none" w:sz="0" w:space="0" w:color="auto"/>
        <w:bottom w:val="none" w:sz="0" w:space="0" w:color="auto"/>
        <w:right w:val="none" w:sz="0" w:space="0" w:color="auto"/>
      </w:divBdr>
    </w:div>
    <w:div w:id="768506547">
      <w:bodyDiv w:val="1"/>
      <w:marLeft w:val="0"/>
      <w:marRight w:val="0"/>
      <w:marTop w:val="0"/>
      <w:marBottom w:val="0"/>
      <w:divBdr>
        <w:top w:val="none" w:sz="0" w:space="0" w:color="auto"/>
        <w:left w:val="none" w:sz="0" w:space="0" w:color="auto"/>
        <w:bottom w:val="none" w:sz="0" w:space="0" w:color="auto"/>
        <w:right w:val="none" w:sz="0" w:space="0" w:color="auto"/>
      </w:divBdr>
    </w:div>
    <w:div w:id="784807286">
      <w:bodyDiv w:val="1"/>
      <w:marLeft w:val="0"/>
      <w:marRight w:val="0"/>
      <w:marTop w:val="0"/>
      <w:marBottom w:val="0"/>
      <w:divBdr>
        <w:top w:val="none" w:sz="0" w:space="0" w:color="auto"/>
        <w:left w:val="none" w:sz="0" w:space="0" w:color="auto"/>
        <w:bottom w:val="none" w:sz="0" w:space="0" w:color="auto"/>
        <w:right w:val="none" w:sz="0" w:space="0" w:color="auto"/>
      </w:divBdr>
    </w:div>
    <w:div w:id="1219513423">
      <w:bodyDiv w:val="1"/>
      <w:marLeft w:val="0"/>
      <w:marRight w:val="0"/>
      <w:marTop w:val="0"/>
      <w:marBottom w:val="0"/>
      <w:divBdr>
        <w:top w:val="none" w:sz="0" w:space="0" w:color="auto"/>
        <w:left w:val="none" w:sz="0" w:space="0" w:color="auto"/>
        <w:bottom w:val="none" w:sz="0" w:space="0" w:color="auto"/>
        <w:right w:val="none" w:sz="0" w:space="0" w:color="auto"/>
      </w:divBdr>
    </w:div>
    <w:div w:id="1298953386">
      <w:bodyDiv w:val="1"/>
      <w:marLeft w:val="0"/>
      <w:marRight w:val="0"/>
      <w:marTop w:val="0"/>
      <w:marBottom w:val="0"/>
      <w:divBdr>
        <w:top w:val="none" w:sz="0" w:space="0" w:color="auto"/>
        <w:left w:val="none" w:sz="0" w:space="0" w:color="auto"/>
        <w:bottom w:val="none" w:sz="0" w:space="0" w:color="auto"/>
        <w:right w:val="none" w:sz="0" w:space="0" w:color="auto"/>
      </w:divBdr>
    </w:div>
    <w:div w:id="1603345209">
      <w:bodyDiv w:val="1"/>
      <w:marLeft w:val="0"/>
      <w:marRight w:val="0"/>
      <w:marTop w:val="0"/>
      <w:marBottom w:val="0"/>
      <w:divBdr>
        <w:top w:val="none" w:sz="0" w:space="0" w:color="auto"/>
        <w:left w:val="none" w:sz="0" w:space="0" w:color="auto"/>
        <w:bottom w:val="none" w:sz="0" w:space="0" w:color="auto"/>
        <w:right w:val="none" w:sz="0" w:space="0" w:color="auto"/>
      </w:divBdr>
    </w:div>
    <w:div w:id="18783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5281/zenodo.7299042" TargetMode="External"/><Relationship Id="rId18" Type="http://schemas.openxmlformats.org/officeDocument/2006/relationships/hyperlink" Target="https://doi.org/10.56093/ijas.v94i12.15351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9734/cjast/2023/v42i474314" TargetMode="External"/><Relationship Id="rId17" Type="http://schemas.openxmlformats.org/officeDocument/2006/relationships/hyperlink" Target="HTTPS://DOI.ORG/10.23910/1.2021.22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ijpss/2022/v34i223148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eai/2025/v47i23305"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9734/acri/2024/v24i5701" TargetMode="Externa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9734/ijecc/2024/v14i94433" TargetMode="External"/><Relationship Id="rId22" Type="http://schemas.openxmlformats.org/officeDocument/2006/relationships/footer" Target="footer2.xml"/><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mlesh\Desktop\Paper%20under%20progress%20Paddy%20paper%202025\Thesis%20Paper\Vici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Sheet1!$D$754:$D$756</c:f>
              <c:strCache>
                <c:ptCount val="1"/>
                <c:pt idx="0">
                  <c:v>Density of Cynodon dactylon  (No. m-² ) 30 DAS 2019-20</c:v>
                </c:pt>
              </c:strCache>
            </c:strRef>
          </c:tx>
          <c:cat>
            <c:strRef>
              <c:f>Sheet1!$C$757:$C$768</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Sheet1!$D$757:$D$768</c:f>
              <c:numCache>
                <c:formatCode>General</c:formatCode>
                <c:ptCount val="12"/>
                <c:pt idx="1">
                  <c:v>9.0300000000000011</c:v>
                </c:pt>
                <c:pt idx="2">
                  <c:v>8.7900000000000009</c:v>
                </c:pt>
                <c:pt idx="3">
                  <c:v>8.42</c:v>
                </c:pt>
                <c:pt idx="5">
                  <c:v>8.75</c:v>
                </c:pt>
                <c:pt idx="6">
                  <c:v>7.94</c:v>
                </c:pt>
                <c:pt idx="7">
                  <c:v>7.98</c:v>
                </c:pt>
                <c:pt idx="8">
                  <c:v>8.68</c:v>
                </c:pt>
                <c:pt idx="9">
                  <c:v>8.67</c:v>
                </c:pt>
                <c:pt idx="10">
                  <c:v>8.629999999999999</c:v>
                </c:pt>
                <c:pt idx="11">
                  <c:v>8.6</c:v>
                </c:pt>
              </c:numCache>
            </c:numRef>
          </c:val>
          <c:smooth val="0"/>
          <c:extLst>
            <c:ext xmlns:c16="http://schemas.microsoft.com/office/drawing/2014/chart" uri="{C3380CC4-5D6E-409C-BE32-E72D297353CC}">
              <c16:uniqueId val="{00000000-A7BF-400B-A218-221B61B1F4DF}"/>
            </c:ext>
          </c:extLst>
        </c:ser>
        <c:ser>
          <c:idx val="1"/>
          <c:order val="1"/>
          <c:tx>
            <c:strRef>
              <c:f>Sheet1!$E$754:$E$756</c:f>
              <c:strCache>
                <c:ptCount val="1"/>
                <c:pt idx="0">
                  <c:v>Density of Cynodon dactylon  (No. m-² ) 30 DAS 2020-21</c:v>
                </c:pt>
              </c:strCache>
            </c:strRef>
          </c:tx>
          <c:cat>
            <c:strRef>
              <c:f>Sheet1!$C$757:$C$768</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Sheet1!$E$757:$E$768</c:f>
              <c:numCache>
                <c:formatCode>General</c:formatCode>
                <c:ptCount val="12"/>
                <c:pt idx="1">
                  <c:v>10.27</c:v>
                </c:pt>
                <c:pt idx="2">
                  <c:v>11.02</c:v>
                </c:pt>
                <c:pt idx="3">
                  <c:v>11.09</c:v>
                </c:pt>
                <c:pt idx="5">
                  <c:v>10.43</c:v>
                </c:pt>
                <c:pt idx="6">
                  <c:v>9.8800000000000008</c:v>
                </c:pt>
                <c:pt idx="7">
                  <c:v>10.25</c:v>
                </c:pt>
                <c:pt idx="8">
                  <c:v>10.62</c:v>
                </c:pt>
                <c:pt idx="9">
                  <c:v>10.47</c:v>
                </c:pt>
                <c:pt idx="10">
                  <c:v>10.38</c:v>
                </c:pt>
                <c:pt idx="11">
                  <c:v>10.54</c:v>
                </c:pt>
              </c:numCache>
            </c:numRef>
          </c:val>
          <c:smooth val="0"/>
          <c:extLst>
            <c:ext xmlns:c16="http://schemas.microsoft.com/office/drawing/2014/chart" uri="{C3380CC4-5D6E-409C-BE32-E72D297353CC}">
              <c16:uniqueId val="{00000001-A7BF-400B-A218-221B61B1F4DF}"/>
            </c:ext>
          </c:extLst>
        </c:ser>
        <c:dLbls>
          <c:showLegendKey val="0"/>
          <c:showVal val="0"/>
          <c:showCatName val="0"/>
          <c:showSerName val="0"/>
          <c:showPercent val="0"/>
          <c:showBubbleSize val="0"/>
        </c:dLbls>
        <c:marker val="1"/>
        <c:smooth val="0"/>
        <c:axId val="98800384"/>
        <c:axId val="98833152"/>
      </c:lineChart>
      <c:catAx>
        <c:axId val="98800384"/>
        <c:scaling>
          <c:orientation val="minMax"/>
        </c:scaling>
        <c:delete val="0"/>
        <c:axPos val="b"/>
        <c:majorGridlines/>
        <c:minorGridlines/>
        <c:numFmt formatCode="General" sourceLinked="0"/>
        <c:majorTickMark val="none"/>
        <c:minorTickMark val="none"/>
        <c:tickLblPos val="nextTo"/>
        <c:crossAx val="98833152"/>
        <c:crosses val="autoZero"/>
        <c:auto val="1"/>
        <c:lblAlgn val="ctr"/>
        <c:lblOffset val="100"/>
        <c:noMultiLvlLbl val="0"/>
      </c:catAx>
      <c:valAx>
        <c:axId val="98833152"/>
        <c:scaling>
          <c:orientation val="minMax"/>
        </c:scaling>
        <c:delete val="0"/>
        <c:axPos val="l"/>
        <c:min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Density of </a:t>
                </a:r>
                <a:r>
                  <a:rPr lang="en-US" sz="1200" i="1">
                    <a:latin typeface="Times New Roman" pitchFamily="18" charset="0"/>
                    <a:cs typeface="Times New Roman" pitchFamily="18" charset="0"/>
                  </a:rPr>
                  <a:t>Cynodon dyctylon</a:t>
                </a:r>
              </a:p>
            </c:rich>
          </c:tx>
          <c:overlay val="0"/>
        </c:title>
        <c:numFmt formatCode="General" sourceLinked="1"/>
        <c:majorTickMark val="none"/>
        <c:minorTickMark val="none"/>
        <c:tickLblPos val="nextTo"/>
        <c:spPr>
          <a:ln w="9525">
            <a:noFill/>
          </a:ln>
        </c:spPr>
        <c:crossAx val="98800384"/>
        <c:crosses val="autoZero"/>
        <c:crossBetween val="between"/>
      </c:valAx>
    </c:plotArea>
    <c:legend>
      <c:legendPos val="b"/>
      <c:legendEntry>
        <c:idx val="1"/>
        <c:txPr>
          <a:bodyPr/>
          <a:lstStyle/>
          <a:p>
            <a:pPr>
              <a:defRPr sz="1000">
                <a:latin typeface="Times New Roman" pitchFamily="18" charset="0"/>
                <a:cs typeface="Times New Roman" pitchFamily="18" charset="0"/>
              </a:defRPr>
            </a:pPr>
            <a:endParaRPr lang="en-US"/>
          </a:p>
        </c:txPr>
      </c:legendEntry>
      <c:overlay val="0"/>
      <c:txPr>
        <a:bodyPr/>
        <a:lstStyle/>
        <a:p>
          <a:pPr>
            <a:defRPr sz="100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Sheet1!$D$773:$D$775</c:f>
              <c:strCache>
                <c:ptCount val="1"/>
                <c:pt idx="0">
                  <c:v>Density of Cynodon dactylon  (No. m-² ) 60 DAS 2019-20</c:v>
                </c:pt>
              </c:strCache>
            </c:strRef>
          </c:tx>
          <c:spPr>
            <a:solidFill>
              <a:srgbClr val="002060"/>
            </a:solidFill>
          </c:spPr>
          <c:invertIfNegative val="0"/>
          <c:cat>
            <c:strRef>
              <c:f>Sheet1!$C$776:$C$787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Sheet1!$D$776:$D$787</c:f>
              <c:numCache>
                <c:formatCode>General</c:formatCode>
                <c:ptCount val="12"/>
                <c:pt idx="1">
                  <c:v>6.07</c:v>
                </c:pt>
                <c:pt idx="2">
                  <c:v>5.91</c:v>
                </c:pt>
                <c:pt idx="3">
                  <c:v>5.6599999999999975</c:v>
                </c:pt>
                <c:pt idx="5">
                  <c:v>5.22</c:v>
                </c:pt>
                <c:pt idx="6">
                  <c:v>5.34</c:v>
                </c:pt>
                <c:pt idx="7">
                  <c:v>5.3599999999999985</c:v>
                </c:pt>
                <c:pt idx="8">
                  <c:v>5.83</c:v>
                </c:pt>
                <c:pt idx="9">
                  <c:v>5.83</c:v>
                </c:pt>
                <c:pt idx="10">
                  <c:v>5.8</c:v>
                </c:pt>
                <c:pt idx="11">
                  <c:v>5.7700000000000014</c:v>
                </c:pt>
              </c:numCache>
            </c:numRef>
          </c:val>
          <c:extLst>
            <c:ext xmlns:c16="http://schemas.microsoft.com/office/drawing/2014/chart" uri="{C3380CC4-5D6E-409C-BE32-E72D297353CC}">
              <c16:uniqueId val="{00000000-6EB1-49DF-8988-AAE5DEE19CDA}"/>
            </c:ext>
          </c:extLst>
        </c:ser>
        <c:ser>
          <c:idx val="1"/>
          <c:order val="1"/>
          <c:tx>
            <c:strRef>
              <c:f>Sheet1!$E$773:$E$775</c:f>
              <c:strCache>
                <c:ptCount val="1"/>
                <c:pt idx="0">
                  <c:v>Density of Cynodon dactylon  (No. m-² ) 60 DAS 2020-21</c:v>
                </c:pt>
              </c:strCache>
            </c:strRef>
          </c:tx>
          <c:invertIfNegative val="0"/>
          <c:cat>
            <c:strRef>
              <c:f>Sheet1!$C$776:$C$787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Sheet1!$E$776:$E$787</c:f>
              <c:numCache>
                <c:formatCode>General</c:formatCode>
                <c:ptCount val="12"/>
                <c:pt idx="1">
                  <c:v>4.5999999999999996</c:v>
                </c:pt>
                <c:pt idx="2">
                  <c:v>5.0599999999999996</c:v>
                </c:pt>
                <c:pt idx="3">
                  <c:v>5.08</c:v>
                </c:pt>
                <c:pt idx="5">
                  <c:v>4.3899999999999997</c:v>
                </c:pt>
                <c:pt idx="6">
                  <c:v>4.17</c:v>
                </c:pt>
                <c:pt idx="7">
                  <c:v>4.29</c:v>
                </c:pt>
                <c:pt idx="8">
                  <c:v>4.4400000000000004</c:v>
                </c:pt>
                <c:pt idx="9">
                  <c:v>4.38</c:v>
                </c:pt>
                <c:pt idx="10">
                  <c:v>4.34</c:v>
                </c:pt>
                <c:pt idx="11">
                  <c:v>4.41</c:v>
                </c:pt>
              </c:numCache>
            </c:numRef>
          </c:val>
          <c:extLst>
            <c:ext xmlns:c16="http://schemas.microsoft.com/office/drawing/2014/chart" uri="{C3380CC4-5D6E-409C-BE32-E72D297353CC}">
              <c16:uniqueId val="{00000001-6EB1-49DF-8988-AAE5DEE19CDA}"/>
            </c:ext>
          </c:extLst>
        </c:ser>
        <c:dLbls>
          <c:showLegendKey val="0"/>
          <c:showVal val="0"/>
          <c:showCatName val="0"/>
          <c:showSerName val="0"/>
          <c:showPercent val="0"/>
          <c:showBubbleSize val="0"/>
        </c:dLbls>
        <c:gapWidth val="75"/>
        <c:axId val="101735424"/>
        <c:axId val="97440512"/>
      </c:barChart>
      <c:catAx>
        <c:axId val="101735424"/>
        <c:scaling>
          <c:orientation val="minMax"/>
        </c:scaling>
        <c:delete val="0"/>
        <c:axPos val="b"/>
        <c:majorGridlines/>
        <c:minorGridlines/>
        <c:numFmt formatCode="General" sourceLinked="0"/>
        <c:majorTickMark val="none"/>
        <c:minorTickMark val="none"/>
        <c:tickLblPos val="nextTo"/>
        <c:crossAx val="97440512"/>
        <c:crosses val="autoZero"/>
        <c:auto val="1"/>
        <c:lblAlgn val="ctr"/>
        <c:lblOffset val="100"/>
        <c:noMultiLvlLbl val="0"/>
      </c:catAx>
      <c:valAx>
        <c:axId val="97440512"/>
        <c:scaling>
          <c:orientation val="minMax"/>
        </c:scaling>
        <c:delete val="0"/>
        <c:axPos val="l"/>
        <c:majorGridlines/>
        <c:minorGridlines/>
        <c:title>
          <c:tx>
            <c:rich>
              <a:bodyPr rot="-5400000" vert="horz"/>
              <a:lstStyle/>
              <a:p>
                <a:pPr>
                  <a:defRPr/>
                </a:pPr>
                <a:r>
                  <a:rPr lang="en-US"/>
                  <a:t>Density of </a:t>
                </a:r>
                <a:r>
                  <a:rPr lang="en-US" i="1"/>
                  <a:t>Cynodon dactylon</a:t>
                </a:r>
              </a:p>
            </c:rich>
          </c:tx>
          <c:overlay val="0"/>
        </c:title>
        <c:numFmt formatCode="General" sourceLinked="1"/>
        <c:majorTickMark val="none"/>
        <c:minorTickMark val="none"/>
        <c:tickLblPos val="nextTo"/>
        <c:spPr>
          <a:ln w="9525">
            <a:noFill/>
          </a:ln>
        </c:spPr>
        <c:crossAx val="10173542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Sheet1!$D$793:$D$795</c:f>
              <c:strCache>
                <c:ptCount val="1"/>
                <c:pt idx="0">
                  <c:v>Density of Cynodon dactylon  (No. m-² ) 90 DAS 2019-20</c:v>
                </c:pt>
              </c:strCache>
            </c:strRef>
          </c:tx>
          <c:spPr>
            <a:solidFill>
              <a:srgbClr val="C00000"/>
            </a:solidFill>
          </c:spPr>
          <c:invertIfNegative val="0"/>
          <c:cat>
            <c:strRef>
              <c:f>Sheet1!$C$796:$C$807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Sheet1!$D$796:$D$807</c:f>
              <c:numCache>
                <c:formatCode>General</c:formatCode>
                <c:ptCount val="12"/>
                <c:pt idx="1">
                  <c:v>3.52</c:v>
                </c:pt>
                <c:pt idx="2">
                  <c:v>3.42</c:v>
                </c:pt>
                <c:pt idx="3">
                  <c:v>3.27</c:v>
                </c:pt>
                <c:pt idx="5">
                  <c:v>3.38</c:v>
                </c:pt>
                <c:pt idx="6">
                  <c:v>3.3099999999999987</c:v>
                </c:pt>
                <c:pt idx="7">
                  <c:v>3.3299999999999987</c:v>
                </c:pt>
                <c:pt idx="8">
                  <c:v>3.24</c:v>
                </c:pt>
                <c:pt idx="9">
                  <c:v>3.2</c:v>
                </c:pt>
                <c:pt idx="10">
                  <c:v>3.18</c:v>
                </c:pt>
                <c:pt idx="11">
                  <c:v>3.17</c:v>
                </c:pt>
              </c:numCache>
            </c:numRef>
          </c:val>
          <c:extLst>
            <c:ext xmlns:c16="http://schemas.microsoft.com/office/drawing/2014/chart" uri="{C3380CC4-5D6E-409C-BE32-E72D297353CC}">
              <c16:uniqueId val="{00000000-D649-42C1-BC1D-3906EDEB4BB7}"/>
            </c:ext>
          </c:extLst>
        </c:ser>
        <c:ser>
          <c:idx val="1"/>
          <c:order val="1"/>
          <c:tx>
            <c:strRef>
              <c:f>Sheet1!$E$793:$E$795</c:f>
              <c:strCache>
                <c:ptCount val="1"/>
                <c:pt idx="0">
                  <c:v>Density of Cynodon dactylon  (No. m-² ) 90 DAS 2020-21</c:v>
                </c:pt>
              </c:strCache>
            </c:strRef>
          </c:tx>
          <c:spPr>
            <a:solidFill>
              <a:schemeClr val="tx1"/>
            </a:solidFill>
          </c:spPr>
          <c:invertIfNegative val="0"/>
          <c:cat>
            <c:strRef>
              <c:f>Sheet1!$C$796:$C$807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Sheet1!$E$796:$E$807</c:f>
              <c:numCache>
                <c:formatCode>General</c:formatCode>
                <c:ptCount val="12"/>
                <c:pt idx="1">
                  <c:v>1.9900000000000022</c:v>
                </c:pt>
                <c:pt idx="2">
                  <c:v>1.9200000000000019</c:v>
                </c:pt>
                <c:pt idx="3">
                  <c:v>1.9300000000000019</c:v>
                </c:pt>
                <c:pt idx="5">
                  <c:v>1.54</c:v>
                </c:pt>
                <c:pt idx="6">
                  <c:v>1.57</c:v>
                </c:pt>
                <c:pt idx="7">
                  <c:v>1.76</c:v>
                </c:pt>
                <c:pt idx="8">
                  <c:v>1.62</c:v>
                </c:pt>
                <c:pt idx="9">
                  <c:v>1.6700000000000019</c:v>
                </c:pt>
                <c:pt idx="10">
                  <c:v>1.6600000000000001</c:v>
                </c:pt>
                <c:pt idx="11">
                  <c:v>1.6900000000000019</c:v>
                </c:pt>
              </c:numCache>
            </c:numRef>
          </c:val>
          <c:extLst>
            <c:ext xmlns:c16="http://schemas.microsoft.com/office/drawing/2014/chart" uri="{C3380CC4-5D6E-409C-BE32-E72D297353CC}">
              <c16:uniqueId val="{00000001-D649-42C1-BC1D-3906EDEB4BB7}"/>
            </c:ext>
          </c:extLst>
        </c:ser>
        <c:dLbls>
          <c:showLegendKey val="0"/>
          <c:showVal val="0"/>
          <c:showCatName val="0"/>
          <c:showSerName val="0"/>
          <c:showPercent val="0"/>
          <c:showBubbleSize val="0"/>
        </c:dLbls>
        <c:gapWidth val="75"/>
        <c:shape val="cone"/>
        <c:axId val="97499776"/>
        <c:axId val="98763136"/>
        <c:axId val="0"/>
      </c:bar3DChart>
      <c:catAx>
        <c:axId val="97499776"/>
        <c:scaling>
          <c:orientation val="minMax"/>
        </c:scaling>
        <c:delete val="0"/>
        <c:axPos val="b"/>
        <c:majorGridlines/>
        <c:minorGridlines/>
        <c:numFmt formatCode="General" sourceLinked="0"/>
        <c:majorTickMark val="none"/>
        <c:minorTickMark val="none"/>
        <c:tickLblPos val="nextTo"/>
        <c:crossAx val="98763136"/>
        <c:crosses val="autoZero"/>
        <c:auto val="1"/>
        <c:lblAlgn val="ctr"/>
        <c:lblOffset val="100"/>
        <c:noMultiLvlLbl val="0"/>
      </c:catAx>
      <c:valAx>
        <c:axId val="98763136"/>
        <c:scaling>
          <c:orientation val="minMax"/>
        </c:scaling>
        <c:delete val="0"/>
        <c:axPos val="l"/>
        <c:majorGridlines/>
        <c:minorGridlines/>
        <c:title>
          <c:tx>
            <c:rich>
              <a:bodyPr rot="-5400000" vert="horz"/>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Density of Cynodon dactylon</a:t>
                </a:r>
              </a:p>
            </c:rich>
          </c:tx>
          <c:overlay val="0"/>
        </c:title>
        <c:numFmt formatCode="General" sourceLinked="1"/>
        <c:majorTickMark val="none"/>
        <c:minorTickMark val="none"/>
        <c:tickLblPos val="nextTo"/>
        <c:spPr>
          <a:ln w="9525">
            <a:noFill/>
          </a:ln>
        </c:spPr>
        <c:crossAx val="97499776"/>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Sheet1!$E$822:$E$824</c:f>
              <c:strCache>
                <c:ptCount val="1"/>
                <c:pt idx="0">
                  <c:v>Dry biomass of Cynodon dactylon  (g. m-² ) 30 DAS 2019-20</c:v>
                </c:pt>
              </c:strCache>
            </c:strRef>
          </c:tx>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Sheet1!$E$825:$E$836</c:f>
              <c:numCache>
                <c:formatCode>General</c:formatCode>
                <c:ptCount val="12"/>
                <c:pt idx="1">
                  <c:v>7.8599999999999985</c:v>
                </c:pt>
                <c:pt idx="2">
                  <c:v>7.6499999999999995</c:v>
                </c:pt>
                <c:pt idx="3">
                  <c:v>7.33</c:v>
                </c:pt>
                <c:pt idx="5">
                  <c:v>7.9</c:v>
                </c:pt>
                <c:pt idx="6">
                  <c:v>7.6499999999999995</c:v>
                </c:pt>
                <c:pt idx="7">
                  <c:v>7.71</c:v>
                </c:pt>
                <c:pt idx="8">
                  <c:v>7.55</c:v>
                </c:pt>
                <c:pt idx="9">
                  <c:v>7.54</c:v>
                </c:pt>
                <c:pt idx="10">
                  <c:v>7.51</c:v>
                </c:pt>
                <c:pt idx="11">
                  <c:v>7.48</c:v>
                </c:pt>
              </c:numCache>
            </c:numRef>
          </c:val>
          <c:smooth val="0"/>
          <c:extLst>
            <c:ext xmlns:c16="http://schemas.microsoft.com/office/drawing/2014/chart" uri="{C3380CC4-5D6E-409C-BE32-E72D297353CC}">
              <c16:uniqueId val="{00000000-F07D-4730-A7F7-5D60638472F2}"/>
            </c:ext>
          </c:extLst>
        </c:ser>
        <c:ser>
          <c:idx val="1"/>
          <c:order val="1"/>
          <c:tx>
            <c:strRef>
              <c:f>Sheet1!$F$822:$F$824</c:f>
              <c:strCache>
                <c:ptCount val="1"/>
                <c:pt idx="0">
                  <c:v>Density of Cynodon dactylon  (No. m-² ) 30 DAS 2020-21</c:v>
                </c:pt>
              </c:strCache>
            </c:strRef>
          </c:tx>
          <c:marker>
            <c:spPr>
              <a:solidFill>
                <a:srgbClr val="FF000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Sheet1!$F$825:$F$836</c:f>
              <c:numCache>
                <c:formatCode>General</c:formatCode>
                <c:ptCount val="12"/>
                <c:pt idx="1">
                  <c:v>10.48</c:v>
                </c:pt>
                <c:pt idx="2">
                  <c:v>11.25</c:v>
                </c:pt>
                <c:pt idx="3">
                  <c:v>11.31</c:v>
                </c:pt>
                <c:pt idx="5">
                  <c:v>10.7</c:v>
                </c:pt>
                <c:pt idx="6">
                  <c:v>10.08</c:v>
                </c:pt>
                <c:pt idx="7">
                  <c:v>10.46</c:v>
                </c:pt>
                <c:pt idx="8">
                  <c:v>10.83</c:v>
                </c:pt>
                <c:pt idx="9">
                  <c:v>10.68</c:v>
                </c:pt>
                <c:pt idx="10">
                  <c:v>10.59</c:v>
                </c:pt>
                <c:pt idx="11">
                  <c:v>10.75</c:v>
                </c:pt>
              </c:numCache>
            </c:numRef>
          </c:val>
          <c:smooth val="0"/>
          <c:extLst>
            <c:ext xmlns:c16="http://schemas.microsoft.com/office/drawing/2014/chart" uri="{C3380CC4-5D6E-409C-BE32-E72D297353CC}">
              <c16:uniqueId val="{00000001-F07D-4730-A7F7-5D60638472F2}"/>
            </c:ext>
          </c:extLst>
        </c:ser>
        <c:ser>
          <c:idx val="2"/>
          <c:order val="2"/>
          <c:tx>
            <c:strRef>
              <c:f>Sheet1!$G$822:$G$824</c:f>
              <c:strCache>
                <c:ptCount val="1"/>
                <c:pt idx="0">
                  <c:v>Density of Cynodon dactylon  (No. m-² ) 60 DAS 2019-20</c:v>
                </c:pt>
              </c:strCache>
            </c:strRef>
          </c:tx>
          <c:marker>
            <c:spPr>
              <a:solidFill>
                <a:srgbClr val="00B05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Sheet1!$G$825:$G$836</c:f>
              <c:numCache>
                <c:formatCode>General</c:formatCode>
                <c:ptCount val="12"/>
                <c:pt idx="1">
                  <c:v>8.620000000000001</c:v>
                </c:pt>
                <c:pt idx="2">
                  <c:v>8.39</c:v>
                </c:pt>
                <c:pt idx="3">
                  <c:v>8.0400000000000009</c:v>
                </c:pt>
                <c:pt idx="5">
                  <c:v>8.26</c:v>
                </c:pt>
                <c:pt idx="6">
                  <c:v>7.58</c:v>
                </c:pt>
                <c:pt idx="7">
                  <c:v>7.6199999999999966</c:v>
                </c:pt>
                <c:pt idx="8">
                  <c:v>8.2900000000000009</c:v>
                </c:pt>
                <c:pt idx="9">
                  <c:v>8.2800000000000011</c:v>
                </c:pt>
                <c:pt idx="10">
                  <c:v>8.2399999999999984</c:v>
                </c:pt>
                <c:pt idx="11">
                  <c:v>8.2100000000000009</c:v>
                </c:pt>
              </c:numCache>
            </c:numRef>
          </c:val>
          <c:smooth val="0"/>
          <c:extLst>
            <c:ext xmlns:c16="http://schemas.microsoft.com/office/drawing/2014/chart" uri="{C3380CC4-5D6E-409C-BE32-E72D297353CC}">
              <c16:uniqueId val="{00000002-F07D-4730-A7F7-5D60638472F2}"/>
            </c:ext>
          </c:extLst>
        </c:ser>
        <c:ser>
          <c:idx val="3"/>
          <c:order val="3"/>
          <c:tx>
            <c:strRef>
              <c:f>Sheet1!$H$822:$H$824</c:f>
              <c:strCache>
                <c:ptCount val="1"/>
                <c:pt idx="0">
                  <c:v>Density of Cynodon dactylon  (No. m-² ) 60 DAS 2020-21</c:v>
                </c:pt>
              </c:strCache>
            </c:strRef>
          </c:tx>
          <c:marker>
            <c:spPr>
              <a:solidFill>
                <a:schemeClr val="tx1"/>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Sheet1!$H$825:$H$836</c:f>
              <c:numCache>
                <c:formatCode>General</c:formatCode>
                <c:ptCount val="12"/>
                <c:pt idx="1">
                  <c:v>6.08</c:v>
                </c:pt>
                <c:pt idx="2">
                  <c:v>6.68</c:v>
                </c:pt>
                <c:pt idx="3">
                  <c:v>6.72</c:v>
                </c:pt>
                <c:pt idx="5">
                  <c:v>5.76</c:v>
                </c:pt>
                <c:pt idx="6">
                  <c:v>5.83</c:v>
                </c:pt>
                <c:pt idx="7">
                  <c:v>5.6599999999999975</c:v>
                </c:pt>
                <c:pt idx="8">
                  <c:v>5.87</c:v>
                </c:pt>
                <c:pt idx="9">
                  <c:v>5.78</c:v>
                </c:pt>
                <c:pt idx="10">
                  <c:v>5.73</c:v>
                </c:pt>
                <c:pt idx="11">
                  <c:v>5.8199999999999985</c:v>
                </c:pt>
              </c:numCache>
            </c:numRef>
          </c:val>
          <c:smooth val="0"/>
          <c:extLst>
            <c:ext xmlns:c16="http://schemas.microsoft.com/office/drawing/2014/chart" uri="{C3380CC4-5D6E-409C-BE32-E72D297353CC}">
              <c16:uniqueId val="{00000003-F07D-4730-A7F7-5D60638472F2}"/>
            </c:ext>
          </c:extLst>
        </c:ser>
        <c:ser>
          <c:idx val="4"/>
          <c:order val="4"/>
          <c:tx>
            <c:strRef>
              <c:f>Sheet1!$I$822:$I$824</c:f>
              <c:strCache>
                <c:ptCount val="1"/>
                <c:pt idx="0">
                  <c:v>Density of Cynodon dactylon  (No. m-² ) 90 DAS 2019-20</c:v>
                </c:pt>
              </c:strCache>
            </c:strRef>
          </c:tx>
          <c:marker>
            <c:spPr>
              <a:solidFill>
                <a:srgbClr val="00206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Sheet1!$I$825:$I$836</c:f>
              <c:numCache>
                <c:formatCode>General</c:formatCode>
                <c:ptCount val="12"/>
                <c:pt idx="1">
                  <c:v>6.6499999999999995</c:v>
                </c:pt>
                <c:pt idx="2">
                  <c:v>6.46</c:v>
                </c:pt>
                <c:pt idx="3">
                  <c:v>6.17</c:v>
                </c:pt>
                <c:pt idx="5">
                  <c:v>6.48</c:v>
                </c:pt>
                <c:pt idx="6">
                  <c:v>6.26</c:v>
                </c:pt>
                <c:pt idx="7">
                  <c:v>6.29</c:v>
                </c:pt>
                <c:pt idx="8">
                  <c:v>6.74</c:v>
                </c:pt>
                <c:pt idx="9">
                  <c:v>6.25</c:v>
                </c:pt>
                <c:pt idx="10">
                  <c:v>6.21</c:v>
                </c:pt>
                <c:pt idx="11">
                  <c:v>6.8</c:v>
                </c:pt>
              </c:numCache>
            </c:numRef>
          </c:val>
          <c:smooth val="0"/>
          <c:extLst>
            <c:ext xmlns:c16="http://schemas.microsoft.com/office/drawing/2014/chart" uri="{C3380CC4-5D6E-409C-BE32-E72D297353CC}">
              <c16:uniqueId val="{00000004-F07D-4730-A7F7-5D60638472F2}"/>
            </c:ext>
          </c:extLst>
        </c:ser>
        <c:ser>
          <c:idx val="5"/>
          <c:order val="5"/>
          <c:tx>
            <c:strRef>
              <c:f>Sheet1!$J$822:$J$824</c:f>
              <c:strCache>
                <c:ptCount val="1"/>
                <c:pt idx="0">
                  <c:v>Density of Cynodon dactylon  (No. m-² ) 90 DAS 2020-21</c:v>
                </c:pt>
              </c:strCache>
            </c:strRef>
          </c:tx>
          <c:marker>
            <c:spPr>
              <a:solidFill>
                <a:srgbClr val="FFFF0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Sheet1!$J$825:$J$836</c:f>
              <c:numCache>
                <c:formatCode>General</c:formatCode>
                <c:ptCount val="12"/>
                <c:pt idx="1">
                  <c:v>3.52</c:v>
                </c:pt>
                <c:pt idx="2">
                  <c:v>3.3899999999999997</c:v>
                </c:pt>
                <c:pt idx="3">
                  <c:v>3.4099999999999997</c:v>
                </c:pt>
                <c:pt idx="5">
                  <c:v>2.88</c:v>
                </c:pt>
                <c:pt idx="6">
                  <c:v>2.8499999999999988</c:v>
                </c:pt>
                <c:pt idx="7">
                  <c:v>2.71</c:v>
                </c:pt>
                <c:pt idx="8">
                  <c:v>2.86</c:v>
                </c:pt>
                <c:pt idx="9">
                  <c:v>2.96</c:v>
                </c:pt>
                <c:pt idx="10">
                  <c:v>2.94</c:v>
                </c:pt>
                <c:pt idx="11">
                  <c:v>2.98</c:v>
                </c:pt>
              </c:numCache>
            </c:numRef>
          </c:val>
          <c:smooth val="0"/>
          <c:extLst>
            <c:ext xmlns:c16="http://schemas.microsoft.com/office/drawing/2014/chart" uri="{C3380CC4-5D6E-409C-BE32-E72D297353CC}">
              <c16:uniqueId val="{00000005-F07D-4730-A7F7-5D60638472F2}"/>
            </c:ext>
          </c:extLst>
        </c:ser>
        <c:dLbls>
          <c:showLegendKey val="0"/>
          <c:showVal val="0"/>
          <c:showCatName val="0"/>
          <c:showSerName val="0"/>
          <c:showPercent val="0"/>
          <c:showBubbleSize val="0"/>
        </c:dLbls>
        <c:marker val="1"/>
        <c:smooth val="0"/>
        <c:axId val="98844032"/>
        <c:axId val="98854400"/>
      </c:lineChart>
      <c:catAx>
        <c:axId val="98844032"/>
        <c:scaling>
          <c:orientation val="minMax"/>
        </c:scaling>
        <c:delete val="0"/>
        <c:axPos val="b"/>
        <c:numFmt formatCode="General" sourceLinked="0"/>
        <c:majorTickMark val="out"/>
        <c:minorTickMark val="none"/>
        <c:tickLblPos val="nextTo"/>
        <c:crossAx val="98854400"/>
        <c:crosses val="autoZero"/>
        <c:auto val="1"/>
        <c:lblAlgn val="ctr"/>
        <c:lblOffset val="100"/>
        <c:noMultiLvlLbl val="0"/>
      </c:catAx>
      <c:valAx>
        <c:axId val="98854400"/>
        <c:scaling>
          <c:orientation val="minMax"/>
        </c:scaling>
        <c:delete val="0"/>
        <c:axPos val="l"/>
        <c:majorGridlines/>
        <c:title>
          <c:tx>
            <c:rich>
              <a:bodyPr rot="-5400000" vert="horz"/>
              <a:lstStyle/>
              <a:p>
                <a:pPr>
                  <a:defRPr/>
                </a:pPr>
                <a:r>
                  <a:rPr lang="en-US"/>
                  <a:t>Dry biomass (g)</a:t>
                </a:r>
              </a:p>
            </c:rich>
          </c:tx>
          <c:overlay val="0"/>
        </c:title>
        <c:numFmt formatCode="General" sourceLinked="1"/>
        <c:majorTickMark val="out"/>
        <c:minorTickMark val="none"/>
        <c:tickLblPos val="nextTo"/>
        <c:crossAx val="98844032"/>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0.12308</cdr:x>
      <cdr:y>0.70435</cdr:y>
    </cdr:from>
    <cdr:to>
      <cdr:x>0.16054</cdr:x>
      <cdr:y>0.78551</cdr:y>
    </cdr:to>
    <cdr:sp macro="" textlink="">
      <cdr:nvSpPr>
        <cdr:cNvPr id="2" name="Text Box 1"/>
        <cdr:cNvSpPr txBox="1"/>
      </cdr:nvSpPr>
      <cdr:spPr>
        <a:xfrm xmlns:a="http://schemas.openxmlformats.org/drawingml/2006/main">
          <a:off x="731520" y="1932167"/>
          <a:ext cx="222636" cy="22263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10</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SDI 1183</cp:lastModifiedBy>
  <cp:revision>69</cp:revision>
  <dcterms:created xsi:type="dcterms:W3CDTF">2025-02-19T10:20:00Z</dcterms:created>
  <dcterms:modified xsi:type="dcterms:W3CDTF">2025-03-24T05:17:00Z</dcterms:modified>
</cp:coreProperties>
</file>