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F74BE" w14:textId="77777777" w:rsidR="006D7881" w:rsidRPr="00C01F07" w:rsidRDefault="006D7881" w:rsidP="006D7881">
      <w:pPr>
        <w:spacing w:before="100" w:beforeAutospacing="1" w:after="160" w:line="360" w:lineRule="auto"/>
        <w:jc w:val="both"/>
        <w:rPr>
          <w:rFonts w:ascii="Arial" w:eastAsia="Calibri" w:hAnsi="Arial" w:cs="Arial"/>
          <w:b/>
          <w:bCs/>
          <w:i/>
          <w:iCs/>
          <w:kern w:val="2"/>
          <w:sz w:val="24"/>
          <w:szCs w:val="24"/>
          <w:u w:val="single"/>
          <w:lang w:bidi="ar"/>
        </w:rPr>
      </w:pPr>
      <w:r w:rsidRPr="00C01F07">
        <w:rPr>
          <w:rFonts w:ascii="Arial" w:eastAsia="Calibri" w:hAnsi="Arial" w:cs="Arial"/>
          <w:b/>
          <w:bCs/>
          <w:i/>
          <w:iCs/>
          <w:kern w:val="2"/>
          <w:sz w:val="24"/>
          <w:szCs w:val="24"/>
          <w:u w:val="single"/>
          <w:lang w:bidi="ar"/>
        </w:rPr>
        <w:t>Original Research Article</w:t>
      </w:r>
    </w:p>
    <w:p w14:paraId="3B40758F" w14:textId="77777777" w:rsidR="00F6235F" w:rsidRPr="00C01F07" w:rsidRDefault="00F6235F" w:rsidP="006D7881">
      <w:pPr>
        <w:spacing w:before="100" w:beforeAutospacing="1" w:after="160" w:line="360" w:lineRule="auto"/>
        <w:jc w:val="both"/>
        <w:rPr>
          <w:rFonts w:ascii="Arial" w:eastAsia="Calibri" w:hAnsi="Arial" w:cs="Arial"/>
          <w:b/>
          <w:bCs/>
          <w:i/>
          <w:iCs/>
          <w:kern w:val="2"/>
          <w:sz w:val="24"/>
          <w:szCs w:val="24"/>
          <w:u w:val="single"/>
          <w:lang w:bidi="ar"/>
        </w:rPr>
      </w:pPr>
    </w:p>
    <w:p w14:paraId="7505F4F7" w14:textId="77777777" w:rsidR="00F6235F" w:rsidRPr="00C01F07" w:rsidRDefault="00F6235F" w:rsidP="006D7881">
      <w:pPr>
        <w:spacing w:before="100" w:beforeAutospacing="1" w:after="160" w:line="360" w:lineRule="auto"/>
        <w:jc w:val="both"/>
        <w:rPr>
          <w:rFonts w:ascii="Arial" w:eastAsia="Calibri" w:hAnsi="Arial" w:cs="Arial"/>
          <w:b/>
          <w:bCs/>
          <w:i/>
          <w:iCs/>
          <w:kern w:val="2"/>
          <w:sz w:val="24"/>
          <w:szCs w:val="24"/>
          <w:u w:val="single"/>
          <w:lang w:bidi="ar"/>
        </w:rPr>
      </w:pPr>
    </w:p>
    <w:p w14:paraId="463F8B40" w14:textId="2737F40E" w:rsidR="00177BA4" w:rsidRPr="00C01F07" w:rsidRDefault="00177BA4" w:rsidP="00177BA4">
      <w:pPr>
        <w:spacing w:before="100" w:beforeAutospacing="1" w:after="160" w:line="360" w:lineRule="auto"/>
        <w:jc w:val="both"/>
        <w:rPr>
          <w:rFonts w:ascii="Times New Roman" w:eastAsia="Calibri" w:hAnsi="Times New Roman" w:cs="Times New Roman"/>
          <w:b/>
          <w:bCs/>
          <w:kern w:val="2"/>
          <w:sz w:val="24"/>
          <w:szCs w:val="24"/>
          <w:lang w:bidi="ar"/>
        </w:rPr>
      </w:pPr>
      <w:r w:rsidRPr="00C01F07">
        <w:rPr>
          <w:rFonts w:ascii="Times New Roman" w:eastAsia="Calibri" w:hAnsi="Times New Roman" w:cs="Times New Roman"/>
          <w:b/>
          <w:bCs/>
          <w:kern w:val="2"/>
          <w:sz w:val="24"/>
          <w:szCs w:val="24"/>
          <w:lang w:bidi="ar"/>
        </w:rPr>
        <w:t>Rapidly Progressive Glomerulonephritis in Women: Clinical and histopathological Trends in Northwest Rajasthan</w:t>
      </w:r>
      <w:r w:rsidR="005158A8" w:rsidRPr="00C01F07">
        <w:rPr>
          <w:rFonts w:ascii="Times New Roman" w:eastAsia="Calibri" w:hAnsi="Times New Roman" w:cs="Times New Roman"/>
          <w:b/>
          <w:bCs/>
          <w:kern w:val="2"/>
          <w:sz w:val="24"/>
          <w:szCs w:val="24"/>
          <w:lang w:bidi="ar"/>
        </w:rPr>
        <w:t>, India</w:t>
      </w:r>
    </w:p>
    <w:p w14:paraId="12413574" w14:textId="6EE5CFB1" w:rsidR="006C14CE" w:rsidRPr="00C01F07" w:rsidRDefault="006C14CE" w:rsidP="00177BA4">
      <w:pPr>
        <w:spacing w:before="100" w:beforeAutospacing="1" w:after="160" w:line="360" w:lineRule="auto"/>
        <w:rPr>
          <w:rFonts w:ascii="Times New Roman" w:eastAsia="Calibri" w:hAnsi="Times New Roman" w:cs="Times New Roman"/>
          <w:kern w:val="2"/>
          <w:sz w:val="24"/>
          <w:szCs w:val="24"/>
          <w:lang w:bidi="ar"/>
        </w:rPr>
      </w:pPr>
    </w:p>
    <w:p w14:paraId="030BE982" w14:textId="77777777" w:rsidR="00177BA4" w:rsidRPr="00C01F07" w:rsidRDefault="006C14CE" w:rsidP="00177BA4">
      <w:pPr>
        <w:spacing w:beforeAutospacing="1" w:after="160" w:line="360" w:lineRule="auto"/>
        <w:jc w:val="both"/>
        <w:rPr>
          <w:rFonts w:ascii="Times New Roman" w:eastAsia="Calibri" w:hAnsi="Times New Roman" w:cs="Times New Roman"/>
          <w:b/>
          <w:bCs/>
          <w:kern w:val="2"/>
          <w:sz w:val="24"/>
          <w:szCs w:val="24"/>
          <w:u w:val="single"/>
          <w:lang w:bidi="ar"/>
        </w:rPr>
      </w:pPr>
      <w:r w:rsidRPr="00C01F07">
        <w:rPr>
          <w:rFonts w:ascii="Arial" w:eastAsia="Calibri" w:hAnsi="Arial" w:cs="Arial"/>
          <w:b/>
          <w:bCs/>
          <w:kern w:val="2"/>
          <w:sz w:val="22"/>
          <w:szCs w:val="22"/>
          <w:u w:val="single"/>
          <w:lang w:bidi="ar"/>
        </w:rPr>
        <w:t>ABSTRACT</w:t>
      </w:r>
      <w:r w:rsidR="000A3825" w:rsidRPr="00C01F07">
        <w:rPr>
          <w:rFonts w:ascii="Times New Roman" w:eastAsia="Calibri" w:hAnsi="Times New Roman" w:cs="Times New Roman"/>
          <w:b/>
          <w:bCs/>
          <w:kern w:val="2"/>
          <w:sz w:val="24"/>
          <w:szCs w:val="24"/>
          <w:u w:val="single"/>
          <w:lang w:bidi="ar"/>
        </w:rPr>
        <w:t>-</w:t>
      </w:r>
    </w:p>
    <w:p w14:paraId="3D39309D" w14:textId="2859C2DF" w:rsidR="00177BA4" w:rsidRPr="00C01F07" w:rsidRDefault="000A3825" w:rsidP="00177BA4">
      <w:pPr>
        <w:spacing w:beforeAutospacing="1" w:after="160" w:line="360" w:lineRule="auto"/>
        <w:jc w:val="both"/>
        <w:rPr>
          <w:rFonts w:ascii="Times New Roman" w:eastAsia="Calibri" w:hAnsi="Times New Roman" w:cs="Times New Roman"/>
          <w:kern w:val="2"/>
          <w:sz w:val="24"/>
          <w:szCs w:val="24"/>
          <w:lang w:bidi="ar"/>
        </w:rPr>
      </w:pPr>
      <w:r w:rsidRPr="00C01F07">
        <w:rPr>
          <w:rFonts w:ascii="Times New Roman" w:eastAsia="Calibri" w:hAnsi="Times New Roman" w:cs="Times New Roman"/>
          <w:b/>
          <w:bCs/>
          <w:kern w:val="2"/>
          <w:sz w:val="24"/>
          <w:szCs w:val="24"/>
          <w:lang w:bidi="ar"/>
        </w:rPr>
        <w:t xml:space="preserve"> </w:t>
      </w:r>
      <w:r w:rsidR="00177BA4" w:rsidRPr="00C01F07">
        <w:rPr>
          <w:rFonts w:ascii="Times New Roman" w:eastAsia="Calibri" w:hAnsi="Times New Roman" w:cs="Times New Roman"/>
          <w:b/>
          <w:bCs/>
          <w:kern w:val="2"/>
          <w:sz w:val="24"/>
          <w:szCs w:val="24"/>
          <w:lang w:bidi="ar"/>
        </w:rPr>
        <w:t>Background</w:t>
      </w:r>
      <w:r w:rsidR="00177BA4" w:rsidRPr="00C01F07">
        <w:rPr>
          <w:rFonts w:ascii="Times New Roman" w:eastAsia="Calibri" w:hAnsi="Times New Roman" w:cs="Times New Roman"/>
          <w:kern w:val="2"/>
          <w:sz w:val="24"/>
          <w:szCs w:val="24"/>
          <w:lang w:bidi="ar"/>
        </w:rPr>
        <w:t xml:space="preserve">: This retrospective study assessed the etiology, clinic-histological patterns, and outcomes of Rapidly Progressive Glomerulonephritis (RPGN) in 45 adult female patients from northwest Rajasthan. This study sought to identify the predictors influencing the outcomes of RPGN. Patients were diagnosed with RPGN based on renal biopsy showing crescents in more than 50% of glomeruli. </w:t>
      </w:r>
    </w:p>
    <w:p w14:paraId="560AD3B8" w14:textId="365FE035" w:rsidR="00177BA4" w:rsidRPr="00C01F07" w:rsidRDefault="00177BA4" w:rsidP="00177BA4">
      <w:pPr>
        <w:spacing w:beforeAutospacing="1" w:after="160" w:line="360" w:lineRule="auto"/>
        <w:jc w:val="both"/>
        <w:rPr>
          <w:rFonts w:ascii="Times New Roman" w:eastAsia="Calibri" w:hAnsi="Times New Roman" w:cs="Times New Roman"/>
          <w:kern w:val="2"/>
          <w:sz w:val="24"/>
          <w:szCs w:val="24"/>
          <w:lang w:bidi="ar"/>
        </w:rPr>
      </w:pPr>
      <w:r w:rsidRPr="00C01F07">
        <w:rPr>
          <w:rFonts w:ascii="Times New Roman" w:eastAsia="Calibri" w:hAnsi="Times New Roman" w:cs="Times New Roman"/>
          <w:b/>
          <w:bCs/>
          <w:kern w:val="2"/>
          <w:sz w:val="24"/>
          <w:szCs w:val="24"/>
          <w:lang w:bidi="ar"/>
        </w:rPr>
        <w:t>Methods</w:t>
      </w:r>
      <w:r w:rsidRPr="00C01F07">
        <w:rPr>
          <w:rFonts w:ascii="Times New Roman" w:eastAsia="Calibri" w:hAnsi="Times New Roman" w:cs="Times New Roman"/>
          <w:kern w:val="2"/>
          <w:sz w:val="24"/>
          <w:szCs w:val="24"/>
          <w:lang w:bidi="ar"/>
        </w:rPr>
        <w:t>: The cohort was categorized into four groups (Type I, II, III, and IV) based on immunohistochemistry and outcomes were analyzed under four headings- complete remission,  partial remission, end stage renal disease and mortality. Data on clinical history and physical examinations were collected.</w:t>
      </w:r>
    </w:p>
    <w:p w14:paraId="78692E21" w14:textId="032B6E88" w:rsidR="00177BA4" w:rsidRPr="00C01F07" w:rsidRDefault="00177BA4" w:rsidP="00177BA4">
      <w:pPr>
        <w:spacing w:beforeAutospacing="1" w:after="160" w:line="360" w:lineRule="auto"/>
        <w:jc w:val="both"/>
        <w:rPr>
          <w:rFonts w:ascii="Times New Roman" w:eastAsia="Calibri" w:hAnsi="Times New Roman" w:cs="Times New Roman"/>
          <w:kern w:val="2"/>
          <w:sz w:val="24"/>
          <w:szCs w:val="24"/>
          <w:lang w:bidi="ar"/>
        </w:rPr>
      </w:pPr>
      <w:r w:rsidRPr="00C01F07">
        <w:rPr>
          <w:rFonts w:ascii="Times New Roman" w:eastAsia="Calibri" w:hAnsi="Times New Roman" w:cs="Times New Roman"/>
          <w:b/>
          <w:bCs/>
          <w:kern w:val="2"/>
          <w:sz w:val="24"/>
          <w:szCs w:val="24"/>
          <w:lang w:bidi="ar"/>
        </w:rPr>
        <w:t>Results</w:t>
      </w:r>
      <w:r w:rsidRPr="00C01F07">
        <w:rPr>
          <w:rFonts w:ascii="Times New Roman" w:eastAsia="Calibri" w:hAnsi="Times New Roman" w:cs="Times New Roman"/>
          <w:kern w:val="2"/>
          <w:sz w:val="24"/>
          <w:szCs w:val="24"/>
          <w:lang w:bidi="ar"/>
        </w:rPr>
        <w:t>: Results revealed that Type II RPGN was the most common (57.77%), followed by Type III (22.22%), Type I (13.33%), and Type IV (6.66%). During follow-up, 12 patients (26.66%) died, and 17 patients (37.77%) progressed to End stage renal disease while 17 patients (37.77%) achieved remission. The ESRD group had presentation of  oliguria, serum creatinine, and a need for hemodialysis at presentation (P&lt;0.001 for all).</w:t>
      </w:r>
    </w:p>
    <w:p w14:paraId="761BA497" w14:textId="7B09E17C" w:rsidR="00177BA4" w:rsidRPr="00C01F07" w:rsidRDefault="00177BA4" w:rsidP="00177BA4">
      <w:pPr>
        <w:spacing w:beforeAutospacing="1" w:after="160" w:line="360" w:lineRule="auto"/>
        <w:jc w:val="both"/>
        <w:rPr>
          <w:rFonts w:ascii="Times New Roman" w:eastAsia="Calibri" w:hAnsi="Times New Roman" w:cs="Times New Roman"/>
          <w:b/>
          <w:bCs/>
          <w:kern w:val="2"/>
          <w:sz w:val="24"/>
          <w:szCs w:val="24"/>
          <w:u w:val="single"/>
          <w:lang w:bidi="ar"/>
        </w:rPr>
      </w:pPr>
      <w:r w:rsidRPr="00C01F07">
        <w:rPr>
          <w:rFonts w:ascii="Times New Roman" w:eastAsia="Calibri" w:hAnsi="Times New Roman" w:cs="Times New Roman"/>
          <w:b/>
          <w:bCs/>
          <w:kern w:val="2"/>
          <w:sz w:val="24"/>
          <w:szCs w:val="24"/>
          <w:lang w:bidi="ar"/>
        </w:rPr>
        <w:t>Conclusion:</w:t>
      </w:r>
      <w:r w:rsidRPr="00C01F07">
        <w:rPr>
          <w:rFonts w:ascii="Times New Roman" w:eastAsia="Calibri" w:hAnsi="Times New Roman" w:cs="Times New Roman"/>
          <w:kern w:val="2"/>
          <w:sz w:val="24"/>
          <w:szCs w:val="24"/>
          <w:lang w:bidi="ar"/>
        </w:rPr>
        <w:t xml:space="preserve"> The study found that Type II RPGN was the most prevalent form in this population. Key predictors of End stage renal disease included oliguria, glomerulosclerosis, and the need for hemodialysis at presentation. Respiratory failure, heart failure, and infections were significant mortality risk factors. This research highlights the poor prognosis of RPGN and underscores the need for early identification </w:t>
      </w:r>
      <w:r w:rsidRPr="00C01F07">
        <w:rPr>
          <w:rFonts w:ascii="Times New Roman" w:eastAsia="Calibri" w:hAnsi="Times New Roman" w:cs="Times New Roman"/>
          <w:kern w:val="2"/>
          <w:sz w:val="24"/>
          <w:szCs w:val="24"/>
          <w:lang w:bidi="ar"/>
        </w:rPr>
        <w:lastRenderedPageBreak/>
        <w:t>of high-risk patients to improve management and outcomes. Further studies are needed to confirm these findings and explore additional prognostic factors in this population.</w:t>
      </w:r>
    </w:p>
    <w:p w14:paraId="3101289F" w14:textId="1D8637C2" w:rsidR="00812438" w:rsidRPr="00C01F07" w:rsidRDefault="00812438">
      <w:pPr>
        <w:spacing w:beforeAutospacing="1" w:after="160" w:line="360" w:lineRule="auto"/>
        <w:jc w:val="both"/>
        <w:rPr>
          <w:rFonts w:ascii="Times New Roman" w:eastAsia="Calibri" w:hAnsi="Times New Roman" w:cs="Times New Roman"/>
          <w:b/>
          <w:bCs/>
          <w:kern w:val="2"/>
          <w:sz w:val="24"/>
          <w:szCs w:val="24"/>
          <w:u w:val="single"/>
          <w:lang w:bidi="ar"/>
        </w:rPr>
      </w:pPr>
    </w:p>
    <w:p w14:paraId="33887699" w14:textId="4B162E08" w:rsidR="00812438" w:rsidRPr="00C01F07" w:rsidRDefault="000A3825">
      <w:pPr>
        <w:spacing w:beforeAutospacing="1" w:after="160" w:line="360" w:lineRule="auto"/>
        <w:jc w:val="both"/>
        <w:rPr>
          <w:rFonts w:ascii="Arial" w:eastAsia="Calibri" w:hAnsi="Arial" w:cs="Arial"/>
          <w:i/>
          <w:iCs/>
          <w:kern w:val="2"/>
          <w:lang w:bidi="ar"/>
        </w:rPr>
      </w:pPr>
      <w:r w:rsidRPr="00C01F07">
        <w:rPr>
          <w:rFonts w:ascii="Times New Roman" w:eastAsia="Calibri" w:hAnsi="Times New Roman" w:cs="Times New Roman"/>
          <w:b/>
          <w:bCs/>
          <w:kern w:val="2"/>
          <w:sz w:val="24"/>
          <w:szCs w:val="24"/>
          <w:lang w:bidi="ar"/>
        </w:rPr>
        <w:t>Keywords:</w:t>
      </w:r>
      <w:r w:rsidRPr="00C01F07">
        <w:rPr>
          <w:rFonts w:ascii="Times New Roman" w:eastAsia="Calibri" w:hAnsi="Times New Roman" w:cs="Times New Roman"/>
          <w:kern w:val="2"/>
          <w:sz w:val="24"/>
          <w:szCs w:val="24"/>
          <w:lang w:bidi="ar"/>
        </w:rPr>
        <w:t xml:space="preserve"> </w:t>
      </w:r>
      <w:r w:rsidRPr="00C01F07">
        <w:rPr>
          <w:rFonts w:ascii="Arial" w:eastAsia="Calibri" w:hAnsi="Arial" w:cs="Arial"/>
          <w:i/>
          <w:iCs/>
          <w:kern w:val="2"/>
          <w:lang w:bidi="ar"/>
        </w:rPr>
        <w:t>End stage renal disease, Glomerulonephritis, Hemodialysis</w:t>
      </w:r>
    </w:p>
    <w:p w14:paraId="7E25E414" w14:textId="77777777" w:rsidR="00812438" w:rsidRPr="00C01F07" w:rsidRDefault="00812438">
      <w:pPr>
        <w:spacing w:beforeAutospacing="1" w:after="160" w:line="360" w:lineRule="auto"/>
        <w:jc w:val="both"/>
        <w:rPr>
          <w:rFonts w:ascii="Times New Roman" w:eastAsia="Calibri" w:hAnsi="Times New Roman" w:cs="Times New Roman"/>
          <w:b/>
          <w:bCs/>
          <w:kern w:val="2"/>
          <w:sz w:val="24"/>
          <w:szCs w:val="24"/>
          <w:lang w:bidi="ar"/>
        </w:rPr>
      </w:pPr>
    </w:p>
    <w:p w14:paraId="521ADA91" w14:textId="58E578CE" w:rsidR="00812438" w:rsidRPr="00C01F07" w:rsidRDefault="00A45145" w:rsidP="00A45145">
      <w:pPr>
        <w:spacing w:beforeAutospacing="1" w:after="160" w:line="360" w:lineRule="auto"/>
        <w:jc w:val="both"/>
        <w:rPr>
          <w:rFonts w:ascii="Arial" w:eastAsia="Calibri" w:hAnsi="Arial" w:cs="Arial"/>
          <w:b/>
          <w:bCs/>
          <w:kern w:val="2"/>
          <w:sz w:val="22"/>
          <w:szCs w:val="22"/>
          <w:u w:val="single"/>
        </w:rPr>
      </w:pPr>
      <w:r w:rsidRPr="00C01F07">
        <w:rPr>
          <w:rFonts w:ascii="Arial" w:eastAsia="Calibri" w:hAnsi="Arial" w:cs="Arial"/>
          <w:b/>
          <w:bCs/>
          <w:kern w:val="2"/>
          <w:sz w:val="22"/>
          <w:szCs w:val="22"/>
          <w:u w:val="single"/>
          <w:lang w:bidi="ar"/>
        </w:rPr>
        <w:t>INTRODUCTION</w:t>
      </w:r>
      <w:r w:rsidR="00BA4441" w:rsidRPr="00C01F07">
        <w:rPr>
          <w:rFonts w:ascii="Arial" w:eastAsia="Calibri" w:hAnsi="Arial" w:cs="Arial"/>
          <w:b/>
          <w:bCs/>
          <w:kern w:val="2"/>
          <w:sz w:val="22"/>
          <w:szCs w:val="22"/>
          <w:u w:val="single"/>
          <w:lang w:bidi="ar"/>
        </w:rPr>
        <w:t>-</w:t>
      </w:r>
    </w:p>
    <w:p w14:paraId="05533322" w14:textId="13325E26" w:rsidR="00177BA4" w:rsidRPr="00C01F07" w:rsidRDefault="000E1AF3" w:rsidP="00177BA4">
      <w:pPr>
        <w:tabs>
          <w:tab w:val="left" w:pos="720"/>
        </w:tabs>
        <w:spacing w:beforeAutospacing="1" w:after="160" w:line="360" w:lineRule="auto"/>
        <w:jc w:val="both"/>
        <w:rPr>
          <w:rFonts w:ascii="Arial" w:eastAsia="Calibri" w:hAnsi="Arial" w:cs="Arial"/>
          <w:kern w:val="2"/>
        </w:rPr>
      </w:pPr>
      <w:r>
        <w:rPr>
          <w:rFonts w:ascii="Arial" w:eastAsia="Calibri" w:hAnsi="Arial" w:cs="Arial"/>
          <w:kern w:val="2"/>
        </w:rPr>
        <w:t>“</w:t>
      </w:r>
      <w:r w:rsidR="00177BA4" w:rsidRPr="00C01F07">
        <w:rPr>
          <w:rFonts w:ascii="Arial" w:eastAsia="Calibri" w:hAnsi="Arial" w:cs="Arial"/>
          <w:kern w:val="2"/>
        </w:rPr>
        <w:t>Rapidly progressive glomerulonephritis (RPGN) is a clinical syndrome characterized by a rapid decline in kidney function ie 50% reduction in glomerular filtration rate over three months, accompanied by oliguria or anuria and features of glomerulonephritis, including dysmorphic erythrocyturia, erythrocyte cylindruria, and glomerular proteinuria. It is frequently associated with extensive crescent formation in the glomeruli, leading to its synonymy with crescentic glomerulonephritis. This aggressive pathology results from glomerular capillary rupture promoting inflammatory cell infiltration and if not treated timely and aggressively leads  to end stage renal disease. On renal biopsy, the hallmark histopathological finding is cellular crescent formation in the glomeruli with more than 50% crescents leading to presentation of rapidly progressive glomerulonephritis. Crescents result from a proliferative response of parietal epithelial cells within Bowman’s space</w:t>
      </w:r>
      <w:r>
        <w:rPr>
          <w:rFonts w:ascii="Arial" w:eastAsia="Calibri" w:hAnsi="Arial" w:cs="Arial"/>
          <w:kern w:val="2"/>
        </w:rPr>
        <w:t>” [1]</w:t>
      </w:r>
      <w:r w:rsidR="00177BA4" w:rsidRPr="00C01F07">
        <w:rPr>
          <w:rFonts w:ascii="Arial" w:eastAsia="Calibri" w:hAnsi="Arial" w:cs="Arial"/>
          <w:kern w:val="2"/>
        </w:rPr>
        <w:t xml:space="preserve">. </w:t>
      </w:r>
    </w:p>
    <w:p w14:paraId="63DD56DF" w14:textId="57E3B26C" w:rsidR="00177BA4" w:rsidRPr="00C01F07" w:rsidRDefault="001C0E0C" w:rsidP="00177BA4">
      <w:pPr>
        <w:tabs>
          <w:tab w:val="left" w:pos="720"/>
        </w:tabs>
        <w:spacing w:beforeAutospacing="1" w:after="160" w:line="360" w:lineRule="auto"/>
        <w:jc w:val="both"/>
        <w:rPr>
          <w:rFonts w:ascii="Arial" w:eastAsia="Calibri" w:hAnsi="Arial" w:cs="Arial"/>
          <w:kern w:val="2"/>
        </w:rPr>
      </w:pPr>
      <w:r>
        <w:rPr>
          <w:rFonts w:ascii="Arial" w:eastAsia="Calibri" w:hAnsi="Arial" w:cs="Arial"/>
          <w:kern w:val="2"/>
        </w:rPr>
        <w:t>“</w:t>
      </w:r>
      <w:r w:rsidR="00177BA4" w:rsidRPr="00C01F07">
        <w:rPr>
          <w:rFonts w:ascii="Arial" w:eastAsia="Calibri" w:hAnsi="Arial" w:cs="Arial"/>
          <w:kern w:val="2"/>
        </w:rPr>
        <w:t>The terms “crescentic glomerulonephritis” and “rapidly progressive glomerulonephritis” (RPGN) are often used interchangeably, as crescent formation is closely associated with the rapid and often irreversible loss of kidney function. Crescentic glomerulonephritis is typically defined as the presence of crescents in more than 50% of the glomeruli. However, even a single crescent may indicate an underlying pathological process. Early diagnosis and timely intervention are critical to preventing further loss of renal function</w:t>
      </w:r>
      <w:r>
        <w:rPr>
          <w:rFonts w:ascii="Arial" w:eastAsia="Calibri" w:hAnsi="Arial" w:cs="Arial"/>
          <w:kern w:val="2"/>
        </w:rPr>
        <w:t>” [2]</w:t>
      </w:r>
      <w:r w:rsidR="00177BA4" w:rsidRPr="00C01F07">
        <w:rPr>
          <w:rFonts w:ascii="Arial" w:eastAsia="Calibri" w:hAnsi="Arial" w:cs="Arial"/>
          <w:kern w:val="2"/>
        </w:rPr>
        <w:t>.</w:t>
      </w:r>
    </w:p>
    <w:p w14:paraId="401BB39B" w14:textId="0D77F05B" w:rsidR="002853AC" w:rsidRPr="00C01F07" w:rsidRDefault="000A3825">
      <w:pPr>
        <w:tabs>
          <w:tab w:val="left" w:pos="720"/>
        </w:tabs>
        <w:spacing w:beforeAutospacing="1" w:after="160" w:line="360" w:lineRule="auto"/>
        <w:jc w:val="both"/>
        <w:rPr>
          <w:rFonts w:ascii="Arial" w:eastAsia="Calibri" w:hAnsi="Arial" w:cs="Arial"/>
          <w:kern w:val="2"/>
        </w:rPr>
      </w:pPr>
      <w:r w:rsidRPr="00C01F07">
        <w:rPr>
          <w:rFonts w:ascii="Arial" w:eastAsia="Calibri" w:hAnsi="Arial" w:cs="Arial"/>
          <w:kern w:val="2"/>
        </w:rPr>
        <w:t>RPGN is broadly classified based on histopathology and the pattern of immune complex deposition observed through immunofluorescence</w:t>
      </w:r>
      <w:r w:rsidR="00177BA4" w:rsidRPr="00C01F07">
        <w:rPr>
          <w:rFonts w:ascii="Arial" w:eastAsia="Calibri" w:hAnsi="Arial" w:cs="Arial"/>
          <w:kern w:val="2"/>
        </w:rPr>
        <w:t xml:space="preserve"> </w:t>
      </w:r>
      <w:r w:rsidRPr="00C01F07">
        <w:rPr>
          <w:rFonts w:ascii="Arial" w:eastAsia="Calibri" w:hAnsi="Arial" w:cs="Arial"/>
          <w:kern w:val="2"/>
          <w:vertAlign w:val="superscript"/>
        </w:rPr>
        <w:t>[2]</w:t>
      </w:r>
      <w:r w:rsidRPr="00C01F07">
        <w:rPr>
          <w:rFonts w:ascii="Arial" w:eastAsia="Calibri" w:hAnsi="Arial" w:cs="Arial"/>
          <w:kern w:val="2"/>
        </w:rPr>
        <w:t xml:space="preserve">:                    </w:t>
      </w:r>
    </w:p>
    <w:p w14:paraId="00065E7B" w14:textId="01C624E4" w:rsidR="00812438" w:rsidRPr="00C01F07" w:rsidRDefault="000A3825">
      <w:pPr>
        <w:tabs>
          <w:tab w:val="left" w:pos="720"/>
        </w:tabs>
        <w:spacing w:beforeAutospacing="1" w:after="160" w:line="360" w:lineRule="auto"/>
        <w:jc w:val="both"/>
        <w:rPr>
          <w:rFonts w:ascii="Arial" w:eastAsia="Calibri" w:hAnsi="Arial" w:cs="Arial"/>
          <w:kern w:val="2"/>
        </w:rPr>
      </w:pPr>
      <w:r w:rsidRPr="00C01F07">
        <w:rPr>
          <w:rFonts w:ascii="Arial" w:eastAsia="Calibri" w:hAnsi="Arial" w:cs="Arial"/>
          <w:kern w:val="2"/>
        </w:rPr>
        <w:t xml:space="preserve"> </w:t>
      </w:r>
      <w:r w:rsidRPr="00C01F07">
        <w:rPr>
          <w:rFonts w:ascii="Arial" w:eastAsia="Calibri" w:hAnsi="Arial" w:cs="Arial"/>
          <w:b/>
          <w:bCs/>
          <w:kern w:val="2"/>
        </w:rPr>
        <w:t>Type I</w:t>
      </w:r>
      <w:r w:rsidRPr="00C01F07">
        <w:rPr>
          <w:rFonts w:ascii="Arial" w:eastAsia="Calibri" w:hAnsi="Arial" w:cs="Arial"/>
          <w:kern w:val="2"/>
        </w:rPr>
        <w:t>: Anti-glomerular basement membrane (GBM) disease, characterized by linear antibody deposition along the GBM.</w:t>
      </w:r>
    </w:p>
    <w:p w14:paraId="38D7268F" w14:textId="77777777" w:rsidR="00812438" w:rsidRPr="00C01F07" w:rsidRDefault="000A3825">
      <w:pPr>
        <w:tabs>
          <w:tab w:val="left" w:pos="720"/>
        </w:tabs>
        <w:spacing w:beforeAutospacing="1" w:after="160" w:line="360" w:lineRule="auto"/>
        <w:jc w:val="both"/>
        <w:rPr>
          <w:rFonts w:ascii="Arial" w:eastAsia="Calibri" w:hAnsi="Arial" w:cs="Arial"/>
          <w:kern w:val="2"/>
        </w:rPr>
      </w:pPr>
      <w:r w:rsidRPr="00C01F07">
        <w:rPr>
          <w:rFonts w:ascii="Arial" w:eastAsia="Calibri" w:hAnsi="Arial" w:cs="Arial"/>
          <w:b/>
          <w:bCs/>
          <w:kern w:val="2"/>
        </w:rPr>
        <w:t>Type II</w:t>
      </w:r>
      <w:r w:rsidRPr="00C01F07">
        <w:rPr>
          <w:rFonts w:ascii="Arial" w:eastAsia="Calibri" w:hAnsi="Arial" w:cs="Arial"/>
          <w:kern w:val="2"/>
        </w:rPr>
        <w:t>: Granular immune complex deposition disorders, often associated with conditions such as lupus nephritis or post-infectious glomerulonephritis.</w:t>
      </w:r>
    </w:p>
    <w:p w14:paraId="35862EB0" w14:textId="77777777" w:rsidR="00812438" w:rsidRPr="00C01F07" w:rsidRDefault="000A3825">
      <w:pPr>
        <w:tabs>
          <w:tab w:val="left" w:pos="720"/>
        </w:tabs>
        <w:spacing w:beforeAutospacing="1" w:after="160" w:line="360" w:lineRule="auto"/>
        <w:jc w:val="both"/>
        <w:rPr>
          <w:rFonts w:ascii="Arial" w:eastAsia="Calibri" w:hAnsi="Arial" w:cs="Arial"/>
          <w:kern w:val="2"/>
        </w:rPr>
      </w:pPr>
      <w:r w:rsidRPr="00C01F07">
        <w:rPr>
          <w:rFonts w:ascii="Arial" w:eastAsia="Calibri" w:hAnsi="Arial" w:cs="Arial"/>
          <w:b/>
          <w:bCs/>
          <w:kern w:val="2"/>
        </w:rPr>
        <w:t>Type III</w:t>
      </w:r>
      <w:r w:rsidRPr="00C01F07">
        <w:rPr>
          <w:rFonts w:ascii="Arial" w:eastAsia="Calibri" w:hAnsi="Arial" w:cs="Arial"/>
          <w:kern w:val="2"/>
        </w:rPr>
        <w:t>: Pauci-immune disease, marked by the absence of immune deposits and generally linked to anti-neutrophil cytoplasmic antibody (ANCA)-positive vasculitis.</w:t>
      </w:r>
    </w:p>
    <w:p w14:paraId="20DD1F93" w14:textId="77777777" w:rsidR="00812438" w:rsidRPr="00C01F07" w:rsidRDefault="000A3825">
      <w:pPr>
        <w:tabs>
          <w:tab w:val="left" w:pos="720"/>
        </w:tabs>
        <w:spacing w:beforeAutospacing="1" w:after="160" w:line="360" w:lineRule="auto"/>
        <w:jc w:val="both"/>
        <w:rPr>
          <w:rFonts w:ascii="Arial" w:eastAsia="Calibri" w:hAnsi="Arial" w:cs="Arial"/>
          <w:kern w:val="2"/>
          <w:lang w:bidi="ar"/>
        </w:rPr>
      </w:pPr>
      <w:r w:rsidRPr="00C01F07">
        <w:rPr>
          <w:rFonts w:ascii="Arial" w:eastAsia="Calibri" w:hAnsi="Arial" w:cs="Arial"/>
          <w:b/>
          <w:bCs/>
          <w:kern w:val="2"/>
        </w:rPr>
        <w:lastRenderedPageBreak/>
        <w:t>Type IV</w:t>
      </w:r>
      <w:r w:rsidRPr="00C01F07">
        <w:rPr>
          <w:rFonts w:ascii="Arial" w:eastAsia="Calibri" w:hAnsi="Arial" w:cs="Arial"/>
          <w:kern w:val="2"/>
        </w:rPr>
        <w:t>: Double antibody-positive disease, where both ANCA and anti-GBM antibodies are present.</w:t>
      </w:r>
    </w:p>
    <w:p w14:paraId="3E9FE058" w14:textId="77777777" w:rsidR="00812438" w:rsidRPr="00C01F07" w:rsidRDefault="00812438">
      <w:pPr>
        <w:tabs>
          <w:tab w:val="left" w:pos="720"/>
        </w:tabs>
        <w:spacing w:beforeAutospacing="1" w:after="160" w:line="360" w:lineRule="auto"/>
        <w:jc w:val="both"/>
        <w:rPr>
          <w:rFonts w:ascii="Arial" w:eastAsia="Calibri" w:hAnsi="Arial" w:cs="Arial"/>
          <w:kern w:val="2"/>
          <w:lang w:bidi="ar"/>
        </w:rPr>
      </w:pPr>
    </w:p>
    <w:p w14:paraId="55AA7108" w14:textId="77777777" w:rsidR="00812438" w:rsidRPr="00C01F07" w:rsidRDefault="000A3825">
      <w:pPr>
        <w:spacing w:beforeAutospacing="1" w:after="160" w:line="360" w:lineRule="auto"/>
        <w:jc w:val="both"/>
        <w:rPr>
          <w:rFonts w:ascii="Arial" w:eastAsia="Calibri" w:hAnsi="Arial" w:cs="Arial"/>
          <w:kern w:val="2"/>
        </w:rPr>
      </w:pPr>
      <w:r w:rsidRPr="00C01F07">
        <w:rPr>
          <w:rFonts w:ascii="Arial" w:eastAsia="Calibri" w:hAnsi="Arial" w:cs="Arial"/>
          <w:b/>
          <w:bCs/>
          <w:kern w:val="2"/>
          <w:lang w:bidi="ar"/>
        </w:rPr>
        <w:t>Anti-Glomerular Basement Membrane Disease</w:t>
      </w:r>
    </w:p>
    <w:p w14:paraId="1585DC0E" w14:textId="301FF2E7" w:rsidR="00812438" w:rsidRPr="00C01F07" w:rsidRDefault="00781606">
      <w:pPr>
        <w:spacing w:beforeAutospacing="1" w:after="160" w:line="360" w:lineRule="auto"/>
        <w:jc w:val="both"/>
        <w:rPr>
          <w:rFonts w:ascii="Arial" w:eastAsia="Calibri" w:hAnsi="Arial" w:cs="Arial"/>
          <w:kern w:val="2"/>
        </w:rPr>
      </w:pPr>
      <w:r>
        <w:rPr>
          <w:rFonts w:ascii="Arial" w:eastAsia="Calibri" w:hAnsi="Arial" w:cs="Arial"/>
          <w:kern w:val="2"/>
          <w:lang w:bidi="ar"/>
        </w:rPr>
        <w:t>“</w:t>
      </w:r>
      <w:r w:rsidR="000A3825" w:rsidRPr="00C01F07">
        <w:rPr>
          <w:rFonts w:ascii="Arial" w:eastAsia="Calibri" w:hAnsi="Arial" w:cs="Arial"/>
          <w:kern w:val="2"/>
          <w:lang w:bidi="ar"/>
        </w:rPr>
        <w:t>Circulating immunoglobulin G (IgG) antibodies are directed against an antigen normally present in the GBM and alveolar basement membrane, specifically the non-collagenous domain of the α-3 chain of type IV collagen. This anti-GBM antibody deposition accounts for approximately 10% to 15% of diffuse crescentic glomerulonephritis cases. About 40% to 60% of these cases are associated with alveolar hemorrhage, a condition known as Goodpasture syndrome</w:t>
      </w:r>
      <w:r>
        <w:rPr>
          <w:rFonts w:ascii="Arial" w:eastAsia="Calibri" w:hAnsi="Arial" w:cs="Arial"/>
          <w:kern w:val="2"/>
          <w:lang w:bidi="ar"/>
        </w:rPr>
        <w:t>”</w:t>
      </w:r>
      <w:r w:rsidR="000A3825" w:rsidRPr="00C01F07">
        <w:rPr>
          <w:rFonts w:ascii="Arial" w:eastAsia="Calibri" w:hAnsi="Arial" w:cs="Arial"/>
          <w:kern w:val="2"/>
          <w:lang w:bidi="ar"/>
        </w:rPr>
        <w:t>.</w:t>
      </w:r>
      <w:hyperlink r:id="rId8" w:history="1">
        <w:r w:rsidR="00812438" w:rsidRPr="00C01F07">
          <w:rPr>
            <w:rStyle w:val="Hyperlink"/>
            <w:rFonts w:ascii="Arial" w:eastAsia="Calibri" w:hAnsi="Arial" w:cs="Arial"/>
            <w:color w:val="auto"/>
            <w:u w:val="none"/>
            <w:vertAlign w:val="superscript"/>
          </w:rPr>
          <w:t>[3]</w:t>
        </w:r>
      </w:hyperlink>
      <w:r w:rsidR="000A3825" w:rsidRPr="00C01F07">
        <w:rPr>
          <w:rFonts w:ascii="Arial" w:eastAsia="Calibri" w:hAnsi="Arial" w:cs="Arial"/>
          <w:kern w:val="2"/>
          <w:lang w:bidi="ar"/>
        </w:rPr>
        <w:t xml:space="preserve"> Fewer than 10% of anti-GBM disease cases present with isolated pulmonary involvement.</w:t>
      </w:r>
      <w:hyperlink r:id="rId9" w:history="1">
        <w:r w:rsidR="00812438" w:rsidRPr="00C01F07">
          <w:rPr>
            <w:rStyle w:val="Hyperlink"/>
            <w:rFonts w:ascii="Arial" w:eastAsia="Calibri" w:hAnsi="Arial" w:cs="Arial"/>
            <w:color w:val="auto"/>
            <w:u w:val="none"/>
            <w:vertAlign w:val="superscript"/>
          </w:rPr>
          <w:t>[4]</w:t>
        </w:r>
      </w:hyperlink>
    </w:p>
    <w:p w14:paraId="178D05FB" w14:textId="6D41BDBA" w:rsidR="00812438" w:rsidRPr="00C01F07" w:rsidRDefault="00B22455">
      <w:pPr>
        <w:spacing w:beforeAutospacing="1" w:after="160" w:line="360" w:lineRule="auto"/>
        <w:jc w:val="both"/>
        <w:rPr>
          <w:rFonts w:ascii="Arial" w:eastAsia="Calibri" w:hAnsi="Arial" w:cs="Arial"/>
          <w:kern w:val="2"/>
        </w:rPr>
      </w:pPr>
      <w:r>
        <w:rPr>
          <w:rFonts w:ascii="Arial" w:eastAsia="Calibri" w:hAnsi="Arial" w:cs="Arial"/>
          <w:kern w:val="2"/>
          <w:lang w:bidi="ar"/>
        </w:rPr>
        <w:t>“</w:t>
      </w:r>
      <w:r w:rsidR="000A3825" w:rsidRPr="00C01F07">
        <w:rPr>
          <w:rFonts w:ascii="Arial" w:eastAsia="Calibri" w:hAnsi="Arial" w:cs="Arial"/>
          <w:kern w:val="2"/>
          <w:lang w:bidi="ar"/>
        </w:rPr>
        <w:t>Immune complex RPGN (type II) which represents 40% of cases occurs in numerous systemic rheumatic diseases such as lupus nephritis and cryoglobulinemic GN. It is also seen in infectious diseases such as post-streptococcal GN, infective endocarditis, visceral abscess and also occurs with other primary glomerular disorders including membranoproliferative glomerulonephritis (MPGN), and IgA nephropathy. IHC staining illustrates granular immunological deposits</w:t>
      </w:r>
      <w:r>
        <w:rPr>
          <w:rFonts w:ascii="Arial" w:eastAsia="Calibri" w:hAnsi="Arial" w:cs="Arial"/>
          <w:kern w:val="2"/>
          <w:lang w:bidi="ar"/>
        </w:rPr>
        <w:t>” [4]</w:t>
      </w:r>
      <w:r w:rsidR="000A3825" w:rsidRPr="00C01F07">
        <w:rPr>
          <w:rFonts w:ascii="Arial" w:eastAsia="Calibri" w:hAnsi="Arial" w:cs="Arial"/>
          <w:kern w:val="2"/>
          <w:lang w:bidi="ar"/>
        </w:rPr>
        <w:t>.</w:t>
      </w:r>
    </w:p>
    <w:p w14:paraId="791FE222" w14:textId="77777777" w:rsidR="00812438" w:rsidRPr="00C01F07" w:rsidRDefault="000A3825">
      <w:pPr>
        <w:spacing w:beforeAutospacing="1" w:after="160" w:line="360" w:lineRule="auto"/>
        <w:jc w:val="both"/>
        <w:rPr>
          <w:rFonts w:ascii="Arial" w:eastAsia="Calibri" w:hAnsi="Arial" w:cs="Arial"/>
          <w:kern w:val="2"/>
        </w:rPr>
      </w:pPr>
      <w:r w:rsidRPr="00C01F07">
        <w:rPr>
          <w:rFonts w:ascii="Arial" w:eastAsia="Calibri" w:hAnsi="Arial" w:cs="Arial"/>
          <w:kern w:val="2"/>
          <w:lang w:bidi="ar"/>
        </w:rPr>
        <w:t>Pauci-immune RPGN (type III) which constitutes 50% of cases is characterised by absence of complement or immune complex deposition on IHC staining. The majority of patients also exhibit systemic vasculitis and high antineutrophil cytoplasmic antibodies (ANCAs), typically myeloperoxidase-ANCA or antiproteinase 3-ANCA.</w:t>
      </w:r>
    </w:p>
    <w:p w14:paraId="68860F8B" w14:textId="6E12EC69" w:rsidR="00812438" w:rsidRPr="00C01F07" w:rsidRDefault="00781606">
      <w:pPr>
        <w:spacing w:beforeAutospacing="1" w:after="160" w:line="360" w:lineRule="auto"/>
        <w:jc w:val="both"/>
        <w:rPr>
          <w:rFonts w:ascii="Arial" w:eastAsia="Calibri" w:hAnsi="Arial" w:cs="Arial"/>
          <w:kern w:val="2"/>
        </w:rPr>
      </w:pPr>
      <w:r>
        <w:rPr>
          <w:rFonts w:ascii="Arial" w:eastAsia="Calibri" w:hAnsi="Arial" w:cs="Arial"/>
          <w:kern w:val="2"/>
          <w:lang w:bidi="ar"/>
        </w:rPr>
        <w:t>“</w:t>
      </w:r>
      <w:r w:rsidR="000A3825" w:rsidRPr="00C01F07">
        <w:rPr>
          <w:rFonts w:ascii="Arial" w:eastAsia="Calibri" w:hAnsi="Arial" w:cs="Arial"/>
          <w:kern w:val="2"/>
          <w:lang w:bidi="ar"/>
        </w:rPr>
        <w:t>There are regional and temporal variations in the prevalence, etiology, and prognosis of RPGN worldwide. RPGN is seen in 4–10% of native kidney biopsies</w:t>
      </w:r>
      <w:proofErr w:type="gramStart"/>
      <w:r>
        <w:rPr>
          <w:rFonts w:ascii="Arial" w:eastAsia="Calibri" w:hAnsi="Arial" w:cs="Arial"/>
          <w:kern w:val="2"/>
          <w:lang w:bidi="ar"/>
        </w:rPr>
        <w:t>”</w:t>
      </w:r>
      <w:r w:rsidR="000A3825" w:rsidRPr="00C01F07">
        <w:rPr>
          <w:rFonts w:ascii="Arial" w:eastAsia="Calibri" w:hAnsi="Arial" w:cs="Arial"/>
          <w:kern w:val="2"/>
          <w:lang w:bidi="ar"/>
        </w:rPr>
        <w:t>.</w:t>
      </w:r>
      <w:r w:rsidR="000A3825" w:rsidRPr="00C01F07">
        <w:rPr>
          <w:rFonts w:ascii="Arial" w:eastAsia="Calibri" w:hAnsi="Arial" w:cs="Arial"/>
          <w:kern w:val="2"/>
          <w:vertAlign w:val="superscript"/>
          <w:lang w:bidi="ar"/>
        </w:rPr>
        <w:t>[</w:t>
      </w:r>
      <w:proofErr w:type="gramEnd"/>
      <w:r w:rsidR="000A3825" w:rsidRPr="00C01F07">
        <w:rPr>
          <w:rFonts w:ascii="Arial" w:eastAsia="Calibri" w:hAnsi="Arial" w:cs="Arial"/>
          <w:kern w:val="2"/>
          <w:vertAlign w:val="superscript"/>
          <w:lang w:bidi="ar"/>
        </w:rPr>
        <w:t>5]</w:t>
      </w:r>
      <w:r w:rsidR="000A3825" w:rsidRPr="00C01F07">
        <w:rPr>
          <w:rFonts w:ascii="Arial" w:eastAsia="Calibri" w:hAnsi="Arial" w:cs="Arial"/>
          <w:kern w:val="2"/>
          <w:lang w:bidi="ar"/>
        </w:rPr>
        <w:t xml:space="preserve"> Despite immunosuppressive medications, its prognosis is poor, with a higher risk of ESRD and death.</w:t>
      </w:r>
      <w:r w:rsidR="000A3825" w:rsidRPr="00C01F07">
        <w:rPr>
          <w:rFonts w:ascii="Arial" w:eastAsia="Calibri" w:hAnsi="Arial" w:cs="Arial"/>
          <w:kern w:val="2"/>
          <w:vertAlign w:val="superscript"/>
          <w:lang w:bidi="ar"/>
        </w:rPr>
        <w:t>[6]</w:t>
      </w:r>
      <w:r w:rsidR="000A3825" w:rsidRPr="00C01F07">
        <w:rPr>
          <w:rFonts w:ascii="Arial" w:eastAsia="Calibri" w:hAnsi="Arial" w:cs="Arial"/>
          <w:kern w:val="2"/>
          <w:lang w:bidi="ar"/>
        </w:rPr>
        <w:t xml:space="preserve"> </w:t>
      </w:r>
      <w:r>
        <w:rPr>
          <w:rFonts w:ascii="Arial" w:eastAsia="Calibri" w:hAnsi="Arial" w:cs="Arial"/>
          <w:kern w:val="2"/>
          <w:lang w:bidi="ar"/>
        </w:rPr>
        <w:t>“</w:t>
      </w:r>
      <w:r w:rsidR="000A3825" w:rsidRPr="00C01F07">
        <w:rPr>
          <w:rFonts w:ascii="Arial" w:eastAsia="Calibri" w:hAnsi="Arial" w:cs="Arial"/>
          <w:kern w:val="2"/>
          <w:lang w:bidi="ar"/>
        </w:rPr>
        <w:t>The prognosis is significantly influenced by specific clinicopathological characteristics, such as the subtype, serum creatinine, oliguria, age, and an increased percentage of crescentic glomeruli</w:t>
      </w:r>
      <w:r>
        <w:rPr>
          <w:rFonts w:ascii="Arial" w:eastAsia="Calibri" w:hAnsi="Arial" w:cs="Arial"/>
          <w:kern w:val="2"/>
          <w:lang w:bidi="ar"/>
        </w:rPr>
        <w:t>”</w:t>
      </w:r>
      <w:r w:rsidR="000A3825" w:rsidRPr="00C01F07">
        <w:rPr>
          <w:rFonts w:ascii="Arial" w:eastAsia="Calibri" w:hAnsi="Arial" w:cs="Arial"/>
          <w:kern w:val="2"/>
          <w:lang w:bidi="ar"/>
        </w:rPr>
        <w:t>.</w:t>
      </w:r>
      <w:r w:rsidR="000A3825" w:rsidRPr="00C01F07">
        <w:rPr>
          <w:rFonts w:ascii="Arial" w:eastAsia="Calibri" w:hAnsi="Arial" w:cs="Arial"/>
          <w:kern w:val="2"/>
          <w:vertAlign w:val="superscript"/>
          <w:lang w:bidi="ar"/>
        </w:rPr>
        <w:t>[7]</w:t>
      </w:r>
      <w:r w:rsidR="000A3825" w:rsidRPr="00C01F07">
        <w:rPr>
          <w:rFonts w:ascii="Arial" w:eastAsia="Calibri" w:hAnsi="Arial" w:cs="Arial"/>
          <w:kern w:val="2"/>
          <w:lang w:bidi="ar"/>
        </w:rPr>
        <w:t xml:space="preserve"> The aim of the present study was to analyze and</w:t>
      </w:r>
      <w:bookmarkStart w:id="0" w:name="_GoBack"/>
      <w:bookmarkEnd w:id="0"/>
      <w:r w:rsidR="000A3825" w:rsidRPr="00C01F07">
        <w:rPr>
          <w:rFonts w:ascii="Arial" w:eastAsia="Calibri" w:hAnsi="Arial" w:cs="Arial"/>
          <w:kern w:val="2"/>
          <w:lang w:bidi="ar"/>
        </w:rPr>
        <w:t xml:space="preserve"> follow up female patients diagnosed with RPGN. Additionally, efforts were made to identify clinical, biological, histological, and immunohistological factors that could predict treatment response and outcomes.</w:t>
      </w:r>
    </w:p>
    <w:p w14:paraId="6FB3B607" w14:textId="77777777" w:rsidR="00812438" w:rsidRPr="00C01F07" w:rsidRDefault="000A3825">
      <w:pPr>
        <w:spacing w:beforeAutospacing="1" w:after="160" w:line="360" w:lineRule="auto"/>
        <w:jc w:val="both"/>
        <w:rPr>
          <w:rFonts w:ascii="Arial" w:eastAsia="Calibri" w:hAnsi="Arial" w:cs="Arial"/>
          <w:kern w:val="2"/>
          <w:lang w:bidi="ar"/>
        </w:rPr>
      </w:pPr>
      <w:r w:rsidRPr="00C01F07">
        <w:rPr>
          <w:rFonts w:ascii="Arial" w:eastAsia="Calibri" w:hAnsi="Arial" w:cs="Arial"/>
          <w:kern w:val="2"/>
          <w:lang w:bidi="ar"/>
        </w:rPr>
        <w:t xml:space="preserve"> </w:t>
      </w:r>
    </w:p>
    <w:p w14:paraId="420315AD" w14:textId="74AD1315" w:rsidR="00812438" w:rsidRPr="00C01F07" w:rsidRDefault="000A3825" w:rsidP="00A45145">
      <w:pPr>
        <w:spacing w:beforeAutospacing="1" w:after="160" w:line="360" w:lineRule="auto"/>
        <w:rPr>
          <w:rFonts w:ascii="Arial" w:eastAsia="Calibri" w:hAnsi="Arial" w:cs="Arial"/>
          <w:b/>
          <w:kern w:val="2"/>
          <w:sz w:val="22"/>
          <w:szCs w:val="22"/>
          <w:lang w:bidi="ar"/>
        </w:rPr>
      </w:pPr>
      <w:r w:rsidRPr="00C01F07">
        <w:rPr>
          <w:rFonts w:ascii="Arial" w:eastAsia="Calibri" w:hAnsi="Arial" w:cs="Arial"/>
          <w:b/>
          <w:kern w:val="2"/>
          <w:sz w:val="22"/>
          <w:szCs w:val="22"/>
          <w:lang w:bidi="ar"/>
        </w:rPr>
        <w:t>MATERIAL  AND METHODS</w:t>
      </w:r>
    </w:p>
    <w:p w14:paraId="01ABF7EB" w14:textId="15DA59A0" w:rsidR="00812438" w:rsidRPr="00C01F07" w:rsidRDefault="00A45145">
      <w:pPr>
        <w:spacing w:beforeAutospacing="1" w:after="160" w:line="360" w:lineRule="auto"/>
        <w:jc w:val="both"/>
        <w:rPr>
          <w:rFonts w:ascii="Arial" w:eastAsia="Calibri" w:hAnsi="Arial" w:cs="Arial"/>
          <w:b/>
          <w:kern w:val="2"/>
          <w:u w:val="single"/>
        </w:rPr>
      </w:pPr>
      <w:r w:rsidRPr="00C01F07">
        <w:rPr>
          <w:rFonts w:ascii="Arial" w:eastAsia="Calibri" w:hAnsi="Arial" w:cs="Arial"/>
          <w:b/>
          <w:kern w:val="2"/>
          <w:u w:val="single"/>
          <w:lang w:bidi="ar"/>
        </w:rPr>
        <w:t>STUDY DESIGN AND POPULATION</w:t>
      </w:r>
    </w:p>
    <w:p w14:paraId="10934ECC" w14:textId="77777777" w:rsidR="00812438" w:rsidRPr="00C01F07" w:rsidRDefault="000A3825">
      <w:pPr>
        <w:spacing w:beforeAutospacing="1" w:after="160" w:line="360" w:lineRule="auto"/>
        <w:jc w:val="both"/>
        <w:rPr>
          <w:rFonts w:ascii="Times New Roman" w:eastAsia="Calibri" w:hAnsi="Times New Roman"/>
          <w:kern w:val="2"/>
          <w:sz w:val="24"/>
          <w:szCs w:val="24"/>
        </w:rPr>
      </w:pPr>
      <w:r w:rsidRPr="00C01F07">
        <w:rPr>
          <w:rFonts w:ascii="Times New Roman" w:eastAsia="Calibri" w:hAnsi="Times New Roman"/>
          <w:kern w:val="2"/>
          <w:sz w:val="24"/>
          <w:szCs w:val="24"/>
        </w:rPr>
        <w:lastRenderedPageBreak/>
        <w:t>This retrospective study was conducted in the Department of Nephrology at a tertiary care hospital in Northwestern Rajasthan, following approval from the Institutional Ethical Committee. Female patients who visited the hospital between July 2022 and January 2024 were evaluated for crescentic glomerulonephritis (GN) and followed up for one year. Informed consent was obtained from all participants. A total of 45 female patients were diagnosed with rapidly progressive glomerulonephritis (RPGN), which was confirmed by renal histopathology showing crescents in ≥ 50% of the glomeruli.</w:t>
      </w:r>
    </w:p>
    <w:p w14:paraId="2B5FD58E" w14:textId="77777777" w:rsidR="00812438" w:rsidRPr="00C01F07" w:rsidRDefault="000A3825">
      <w:pPr>
        <w:spacing w:beforeAutospacing="1" w:after="160" w:line="360" w:lineRule="auto"/>
        <w:jc w:val="both"/>
        <w:rPr>
          <w:rFonts w:ascii="Times New Roman" w:eastAsia="Calibri" w:hAnsi="Times New Roman" w:cs="Times New Roman"/>
          <w:kern w:val="2"/>
          <w:sz w:val="24"/>
          <w:szCs w:val="24"/>
          <w:lang w:bidi="ar"/>
        </w:rPr>
      </w:pPr>
      <w:r w:rsidRPr="00C01F07">
        <w:rPr>
          <w:rFonts w:ascii="Times New Roman" w:eastAsia="Calibri" w:hAnsi="Times New Roman"/>
          <w:kern w:val="2"/>
          <w:sz w:val="24"/>
          <w:szCs w:val="24"/>
        </w:rPr>
        <w:t>The study included adult female patients over 18 years of age with biopsy-confirmed rapidly progressive glomerulonephritis (RPGN) and rapidly progressing renal failure. Patients with crescents in less than 50% of glomeruli on renal biopsy or those who declined consent for a biopsy were excluded.</w:t>
      </w:r>
    </w:p>
    <w:p w14:paraId="45E2AE11" w14:textId="77777777" w:rsidR="00812438" w:rsidRPr="00C01F07" w:rsidRDefault="00812438">
      <w:pPr>
        <w:spacing w:beforeAutospacing="1" w:after="160" w:line="360" w:lineRule="auto"/>
        <w:jc w:val="both"/>
        <w:rPr>
          <w:rFonts w:ascii="Times New Roman" w:eastAsia="Calibri" w:hAnsi="Times New Roman" w:cs="Times New Roman"/>
          <w:kern w:val="2"/>
          <w:sz w:val="24"/>
          <w:szCs w:val="24"/>
          <w:lang w:bidi="ar"/>
        </w:rPr>
      </w:pPr>
    </w:p>
    <w:p w14:paraId="0348C658" w14:textId="0D3B8279" w:rsidR="00812438" w:rsidRPr="00C01F07" w:rsidRDefault="00A45145">
      <w:pPr>
        <w:spacing w:beforeAutospacing="1" w:after="160" w:line="360" w:lineRule="auto"/>
        <w:jc w:val="both"/>
        <w:rPr>
          <w:rFonts w:ascii="Arial" w:eastAsia="Calibri" w:hAnsi="Arial" w:cs="Arial"/>
          <w:kern w:val="2"/>
          <w:u w:val="single"/>
        </w:rPr>
      </w:pPr>
      <w:r w:rsidRPr="00C01F07">
        <w:rPr>
          <w:rFonts w:ascii="Arial" w:eastAsia="Calibri" w:hAnsi="Arial" w:cs="Arial"/>
          <w:b/>
          <w:kern w:val="2"/>
          <w:u w:val="single"/>
          <w:lang w:bidi="ar"/>
        </w:rPr>
        <w:t>CLINICAL AND LABORATORY DATA</w:t>
      </w:r>
    </w:p>
    <w:p w14:paraId="63E6364A" w14:textId="77777777" w:rsidR="00812438" w:rsidRPr="00C01F07" w:rsidRDefault="000A3825">
      <w:pPr>
        <w:spacing w:beforeAutospacing="1" w:after="160" w:line="360" w:lineRule="auto"/>
        <w:jc w:val="both"/>
        <w:rPr>
          <w:rFonts w:ascii="Arial" w:eastAsia="Calibri" w:hAnsi="Arial" w:cs="Arial"/>
          <w:kern w:val="2"/>
          <w:lang w:bidi="ar"/>
        </w:rPr>
      </w:pPr>
      <w:r w:rsidRPr="00C01F07">
        <w:rPr>
          <w:rFonts w:ascii="Arial" w:eastAsia="Calibri" w:hAnsi="Arial" w:cs="Arial"/>
          <w:kern w:val="2"/>
          <w:lang w:bidi="ar"/>
        </w:rPr>
        <w:t>A thorough clinical history, including symptoms from various organ systems, was obtained, followed by a comprehensive systemic and physical examination. Laboratory test results were recorded, including the 24-hour urine protein or spot protein-to-creatinine ratio, urine microscopy, dipstick analysis, random blood sugar, C-reactive protein, liver function tests, renal function tests, and complete blood count (CBC).</w:t>
      </w:r>
    </w:p>
    <w:p w14:paraId="4D165D14" w14:textId="77777777" w:rsidR="00812438" w:rsidRPr="00C01F07" w:rsidRDefault="000A3825">
      <w:pPr>
        <w:spacing w:beforeAutospacing="1" w:after="160" w:line="360" w:lineRule="auto"/>
        <w:jc w:val="both"/>
        <w:rPr>
          <w:rFonts w:ascii="Arial" w:eastAsia="Calibri" w:hAnsi="Arial" w:cs="Arial"/>
          <w:kern w:val="2"/>
          <w:lang w:bidi="ar"/>
        </w:rPr>
      </w:pPr>
      <w:r w:rsidRPr="00C01F07">
        <w:rPr>
          <w:rFonts w:ascii="Arial" w:eastAsia="Calibri" w:hAnsi="Arial" w:cs="Arial"/>
          <w:kern w:val="2"/>
          <w:lang w:bidi="ar"/>
        </w:rPr>
        <w:t>The estimated glomerular filtration rate (eGFR) was calculated using the equation developed by the Chronic Kidney Disease Epidemiology Collaboration. ANCA antibodies were measured using the Dot-blot strip test and indirect immunofluorescence (IF) test/ELISA. Antinuclear antibodies (ANA) and anti-double-stranded DNA antibodies were both assessed using the indirect IF test. Serum complement levels were measured through nephelometry. Additionally, all patients underwent a chest X-ray, electrocardiogram, and abdominal ultrasound.</w:t>
      </w:r>
    </w:p>
    <w:p w14:paraId="66E7C8F4" w14:textId="77777777" w:rsidR="00812438" w:rsidRPr="00C01F07" w:rsidRDefault="000A3825">
      <w:pPr>
        <w:spacing w:beforeAutospacing="1" w:after="160" w:line="360" w:lineRule="auto"/>
        <w:jc w:val="both"/>
        <w:rPr>
          <w:rFonts w:ascii="Arial" w:eastAsia="Calibri" w:hAnsi="Arial" w:cs="Arial"/>
          <w:kern w:val="2"/>
        </w:rPr>
      </w:pPr>
      <w:r w:rsidRPr="00C01F07">
        <w:rPr>
          <w:rFonts w:ascii="Arial" w:eastAsia="Calibri" w:hAnsi="Arial" w:cs="Arial"/>
          <w:kern w:val="2"/>
          <w:lang w:bidi="ar"/>
        </w:rPr>
        <w:t>Each patient underwent a percutaneous kidney biopsy assisted by an automated biopsy gun under ultrasound guidance. The biopsy samples were prepared for immunohistochemistry (IHC) and light microscopy (LM) analysis. For LM, the renal tissue was preserved in 10% neutral buffered formalin, and histological staining was performed on consecutive 3 μm serial sections.</w:t>
      </w:r>
    </w:p>
    <w:p w14:paraId="5AF5F12C" w14:textId="77777777" w:rsidR="00812438" w:rsidRPr="00C01F07" w:rsidRDefault="000A3825">
      <w:pPr>
        <w:spacing w:beforeAutospacing="1" w:after="160" w:line="360" w:lineRule="auto"/>
        <w:jc w:val="both"/>
        <w:rPr>
          <w:rFonts w:ascii="Arial" w:eastAsia="Calibri" w:hAnsi="Arial" w:cs="Arial"/>
          <w:kern w:val="2"/>
        </w:rPr>
      </w:pPr>
      <w:r w:rsidRPr="00C01F07">
        <w:rPr>
          <w:rFonts w:ascii="Arial" w:eastAsia="Calibri" w:hAnsi="Arial" w:cs="Arial"/>
          <w:kern w:val="2"/>
          <w:lang w:bidi="ar"/>
        </w:rPr>
        <w:t xml:space="preserve">A semiquantitative scoring system was used to assess renal arteriosclerosis based on the degree of vascular occlusion in the most affected vessel. Scores of 0, 1, 2, and 3 represented arterial luminal narrowing of &lt;10%, 10–25%, 26–50%, and &gt;50%, respectively. TLO development was defined as an organized lymphocyte-based cluster, with an arbitrary </w:t>
      </w:r>
      <w:r w:rsidRPr="00C01F07">
        <w:rPr>
          <w:rFonts w:ascii="Arial" w:eastAsia="Calibri" w:hAnsi="Arial" w:cs="Arial"/>
          <w:kern w:val="2"/>
          <w:lang w:bidi="ar"/>
        </w:rPr>
        <w:lastRenderedPageBreak/>
        <w:t>threshold of 50 cells. Severe tubular atrophy was characterized by the presence of tubular atrophy in more than 50% of the cortical tubules within a specimen.</w:t>
      </w:r>
      <w:r w:rsidRPr="00C01F07">
        <w:rPr>
          <w:rFonts w:ascii="Arial" w:eastAsia="Calibri" w:hAnsi="Arial" w:cs="Arial"/>
          <w:kern w:val="2"/>
          <w:vertAlign w:val="superscript"/>
          <w:lang w:bidi="ar"/>
        </w:rPr>
        <w:t>[9]</w:t>
      </w:r>
      <w:r w:rsidRPr="00C01F07">
        <w:rPr>
          <w:rFonts w:ascii="Arial" w:eastAsia="Calibri" w:hAnsi="Arial" w:cs="Arial"/>
          <w:kern w:val="2"/>
          <w:lang w:bidi="ar"/>
        </w:rPr>
        <w:t xml:space="preserve"> </w:t>
      </w:r>
    </w:p>
    <w:p w14:paraId="2ABB4842" w14:textId="77777777" w:rsidR="00A81527" w:rsidRPr="00C01F07" w:rsidRDefault="000A3825" w:rsidP="00A81527">
      <w:pPr>
        <w:spacing w:beforeAutospacing="1" w:after="160" w:line="360" w:lineRule="auto"/>
        <w:jc w:val="both"/>
        <w:rPr>
          <w:rFonts w:ascii="Arial" w:eastAsia="Calibri" w:hAnsi="Arial" w:cs="Arial"/>
          <w:kern w:val="2"/>
        </w:rPr>
      </w:pPr>
      <w:r w:rsidRPr="00C01F07">
        <w:rPr>
          <w:rFonts w:ascii="Arial" w:eastAsia="Calibri" w:hAnsi="Arial" w:cs="Arial"/>
          <w:kern w:val="2"/>
        </w:rPr>
        <w:t xml:space="preserve">Thick sections (5 μm) were prepared from the renal biopsy for immunohistochemistry (IHC) analysis. Tissue sections were processed following the routine IHC protocol. Slides were stained with immunoglobulin A (IgA) antibody (polyclonal rabbit antibody, clone 267 A-16, 1mL concentrate, diluted 1:200, incubated for 45 minutes at 4ºC in a humidity chamber, Cell Marque, USA), immunoglobulin G (IgG) antibody (polyclonal rabbit antibody, clone 269 A-16, 1mL concentrate, diluted 1:200, incubated for 45 minutes at 4ºC in a humidity chamber, Cell Marque, USA), and complement 3 (C3) antibody (polyclonal rabbit antibody, 100 µl concentrate, diluted 1:300, incubated for 45 minutes at 4ºC in a humidity chamber). IgG, IgA, and C3 staining were observed along the glomerular basement membrane and mesangium. Based on IHC results, patients were classified into type I, type II, type III, or type IV RPGN. </w:t>
      </w:r>
    </w:p>
    <w:p w14:paraId="1FD509A2" w14:textId="1346B1B0" w:rsidR="00A81527" w:rsidRPr="00C01F07" w:rsidRDefault="00A81527" w:rsidP="00A81527">
      <w:pPr>
        <w:spacing w:beforeAutospacing="1" w:after="160" w:line="360" w:lineRule="auto"/>
        <w:jc w:val="both"/>
        <w:rPr>
          <w:rFonts w:ascii="Arial" w:eastAsia="Calibri" w:hAnsi="Arial" w:cs="Arial"/>
          <w:kern w:val="2"/>
        </w:rPr>
      </w:pPr>
      <w:r w:rsidRPr="00C01F07">
        <w:rPr>
          <w:rFonts w:ascii="Arial" w:eastAsia="Calibri" w:hAnsi="Arial" w:cs="Arial"/>
          <w:kern w:val="2"/>
        </w:rPr>
        <w:t>Depending on the type of RPGN and overall clinical status, the patients were treated for the disease as per standard protocol. in type I RPGN, patients were treated with 3 doses of pulse steroid (0.5 g each) and oral steroids (1 mg/kg/day tapered to 20 mg/ day by 6 weeks) for 6 months along with oral cyclophosphamide 2.5 mg/ kg / day for 12 weeks and plasmapheresis with 50 ml/kg volume exchange with 5% albumin if patient had alveolar hemorrhage, non oliguric disease or creatinine less than 5.7 mg /dl. No maintenance therapy is needed for anti GBM disease. In Anti GBM plus ANCA disease (type IV RPGN ) patient are treated with maintenance therapy as per ANCA disease.</w:t>
      </w:r>
    </w:p>
    <w:p w14:paraId="4ADF453F" w14:textId="78A9FA5E" w:rsidR="00A81527" w:rsidRPr="00C01F07" w:rsidRDefault="00A81527" w:rsidP="00A81527">
      <w:pPr>
        <w:spacing w:beforeAutospacing="1" w:after="160" w:line="360" w:lineRule="auto"/>
        <w:jc w:val="both"/>
        <w:rPr>
          <w:rFonts w:ascii="Arial" w:eastAsia="Calibri" w:hAnsi="Arial" w:cs="Arial"/>
          <w:kern w:val="2"/>
        </w:rPr>
      </w:pPr>
      <w:r w:rsidRPr="00C01F07">
        <w:rPr>
          <w:rFonts w:ascii="Arial" w:eastAsia="Calibri" w:hAnsi="Arial" w:cs="Arial"/>
          <w:kern w:val="2"/>
        </w:rPr>
        <w:t xml:space="preserve">In type II RPGN, Patients were started on induction therapy with three methylprednisolone (0.5 g) pulses followed by oral prednisolone plus six intravenous cyclophosphamide fortnightly pulses (500 mg each). After induction phase, patients were started on maintenance therapy with mycophenolate mofetil (2gm/ day) in lupus nephritis. </w:t>
      </w:r>
    </w:p>
    <w:p w14:paraId="727060F8" w14:textId="4DA491AB" w:rsidR="00A81527" w:rsidRPr="00C01F07" w:rsidRDefault="00A81527" w:rsidP="00A81527">
      <w:pPr>
        <w:spacing w:beforeAutospacing="1" w:after="160" w:line="360" w:lineRule="auto"/>
        <w:jc w:val="both"/>
        <w:rPr>
          <w:rFonts w:ascii="Arial" w:eastAsia="Calibri" w:hAnsi="Arial" w:cs="Arial"/>
          <w:kern w:val="2"/>
        </w:rPr>
      </w:pPr>
      <w:r w:rsidRPr="00C01F07">
        <w:rPr>
          <w:rFonts w:ascii="Arial" w:eastAsia="Calibri" w:hAnsi="Arial" w:cs="Arial"/>
          <w:kern w:val="2"/>
        </w:rPr>
        <w:t>In type III RPGN, patients were given induction with iv cyclophosphamide (15mg/kg) every two weeks for three doses followed by every 3 weeks for another three doses followed by maintenance with azathioprine (1-1.5 mg/ kg/ day.) Those patients that do not showed improvement in 8-12 weeks were withdrawn from immunosuppression.</w:t>
      </w:r>
    </w:p>
    <w:p w14:paraId="5C44F730" w14:textId="77777777" w:rsidR="00A81527" w:rsidRPr="00C01F07" w:rsidRDefault="00A81527" w:rsidP="00A81527">
      <w:pPr>
        <w:spacing w:beforeAutospacing="1" w:after="160" w:line="360" w:lineRule="auto"/>
        <w:jc w:val="both"/>
        <w:rPr>
          <w:rFonts w:ascii="Arial" w:eastAsia="Calibri" w:hAnsi="Arial" w:cs="Arial"/>
          <w:kern w:val="2"/>
        </w:rPr>
      </w:pPr>
      <w:r w:rsidRPr="00C01F07">
        <w:rPr>
          <w:rFonts w:ascii="Arial" w:eastAsia="Calibri" w:hAnsi="Arial" w:cs="Arial"/>
          <w:kern w:val="2"/>
        </w:rPr>
        <w:t>Patients were followed up for a period of twelve months. Complete blood counts, serum creatinine, blood urea nitrogen, urine routine examination, and 24 h urine protein or spot urine to protein creatinine ratio were done according to predefined intervals.</w:t>
      </w:r>
    </w:p>
    <w:p w14:paraId="1A903EC2" w14:textId="5E0110BB" w:rsidR="00A81527" w:rsidRPr="00C01F07" w:rsidRDefault="00A81527" w:rsidP="00A81527">
      <w:pPr>
        <w:spacing w:beforeAutospacing="1" w:after="160" w:line="360" w:lineRule="auto"/>
        <w:jc w:val="both"/>
        <w:rPr>
          <w:rFonts w:ascii="Arial" w:eastAsia="Calibri" w:hAnsi="Arial" w:cs="Arial"/>
          <w:b/>
          <w:bCs/>
          <w:kern w:val="2"/>
        </w:rPr>
      </w:pPr>
      <w:r w:rsidRPr="00C01F07">
        <w:rPr>
          <w:rFonts w:ascii="Arial" w:eastAsia="Calibri" w:hAnsi="Arial" w:cs="Arial"/>
          <w:b/>
          <w:bCs/>
          <w:kern w:val="2"/>
          <w:u w:val="single"/>
        </w:rPr>
        <w:t>OUTCOME</w:t>
      </w:r>
      <w:r w:rsidRPr="00C01F07">
        <w:rPr>
          <w:rFonts w:ascii="Arial" w:eastAsia="Calibri" w:hAnsi="Arial" w:cs="Arial"/>
          <w:b/>
          <w:bCs/>
          <w:kern w:val="2"/>
        </w:rPr>
        <w:t xml:space="preserve"> </w:t>
      </w:r>
    </w:p>
    <w:p w14:paraId="2AC45ED6" w14:textId="13D9B88D" w:rsidR="00A81527" w:rsidRPr="00C01F07" w:rsidRDefault="00A81527" w:rsidP="00A81527">
      <w:pPr>
        <w:spacing w:beforeAutospacing="1" w:after="160" w:line="360" w:lineRule="auto"/>
        <w:jc w:val="both"/>
        <w:rPr>
          <w:rFonts w:ascii="Arial" w:eastAsia="Calibri" w:hAnsi="Arial" w:cs="Arial"/>
          <w:kern w:val="2"/>
        </w:rPr>
      </w:pPr>
      <w:r w:rsidRPr="00C01F07">
        <w:rPr>
          <w:rFonts w:ascii="Arial" w:eastAsia="Calibri" w:hAnsi="Arial" w:cs="Arial"/>
          <w:kern w:val="2"/>
        </w:rPr>
        <w:t>Response to therapy was studied in terms of complete remission, partial remission, end stage renal disease and death.</w:t>
      </w:r>
    </w:p>
    <w:p w14:paraId="4A7700B9" w14:textId="2075FC96" w:rsidR="00A81527" w:rsidRPr="00C01F07" w:rsidRDefault="00A81527" w:rsidP="00A81527">
      <w:pPr>
        <w:spacing w:beforeAutospacing="1" w:after="160" w:line="360" w:lineRule="auto"/>
        <w:jc w:val="both"/>
        <w:rPr>
          <w:rFonts w:ascii="Arial" w:eastAsia="Calibri" w:hAnsi="Arial" w:cs="Arial"/>
          <w:kern w:val="2"/>
        </w:rPr>
      </w:pPr>
      <w:r w:rsidRPr="00C01F07">
        <w:rPr>
          <w:rFonts w:ascii="Arial" w:eastAsia="Calibri" w:hAnsi="Arial" w:cs="Arial"/>
          <w:kern w:val="2"/>
        </w:rPr>
        <w:lastRenderedPageBreak/>
        <w:t xml:space="preserve"> Complete remission was defined as 24 h urine protein &lt;500 mg/day and serum creatinine &lt;1.4 mg/dL. Partial remission was defined as stable or decreasing serum creatinine in non</w:t>
      </w:r>
      <w:r w:rsidR="009B62AC" w:rsidRPr="00C01F07">
        <w:rPr>
          <w:rFonts w:ascii="Arial" w:eastAsia="Calibri" w:hAnsi="Arial" w:cs="Arial"/>
          <w:kern w:val="2"/>
        </w:rPr>
        <w:t>-</w:t>
      </w:r>
      <w:r w:rsidRPr="00C01F07">
        <w:rPr>
          <w:rFonts w:ascii="Arial" w:eastAsia="Calibri" w:hAnsi="Arial" w:cs="Arial"/>
          <w:kern w:val="2"/>
        </w:rPr>
        <w:t>dialysis patients, dialysis independence, and serum creatinine &lt;5.8 mg/dL in dialysis dependents. No response was defined as increasing serum creatinine or dialysis dependency or end stage renal disease in non</w:t>
      </w:r>
      <w:r w:rsidR="009B62AC" w:rsidRPr="00C01F07">
        <w:rPr>
          <w:rFonts w:ascii="Arial" w:eastAsia="Calibri" w:hAnsi="Arial" w:cs="Arial"/>
          <w:kern w:val="2"/>
        </w:rPr>
        <w:t>-</w:t>
      </w:r>
      <w:r w:rsidRPr="00C01F07">
        <w:rPr>
          <w:rFonts w:ascii="Arial" w:eastAsia="Calibri" w:hAnsi="Arial" w:cs="Arial"/>
          <w:kern w:val="2"/>
        </w:rPr>
        <w:t xml:space="preserve">dialysis patients and dialysis dependency or serum creatinine &gt;5.8 mg/dL in dialysis dependent patient. Death of a patient during the next six months after enrollment was another primary outcome of the study. </w:t>
      </w:r>
    </w:p>
    <w:p w14:paraId="3AF392B7" w14:textId="77777777" w:rsidR="002638CA" w:rsidRPr="00C01F07" w:rsidRDefault="002638CA">
      <w:pPr>
        <w:spacing w:beforeAutospacing="1" w:after="160" w:line="360" w:lineRule="auto"/>
        <w:jc w:val="both"/>
        <w:rPr>
          <w:rFonts w:ascii="Arial" w:eastAsia="Calibri" w:hAnsi="Arial" w:cs="Arial"/>
          <w:b/>
          <w:kern w:val="2"/>
          <w:u w:val="single"/>
          <w:lang w:bidi="ar"/>
        </w:rPr>
      </w:pPr>
    </w:p>
    <w:p w14:paraId="22C35F56" w14:textId="0EC1C6C8" w:rsidR="00812438" w:rsidRPr="00C01F07" w:rsidRDefault="00A45145">
      <w:pPr>
        <w:spacing w:beforeAutospacing="1" w:after="160" w:line="360" w:lineRule="auto"/>
        <w:jc w:val="both"/>
        <w:rPr>
          <w:rFonts w:ascii="Arial" w:eastAsia="Calibri" w:hAnsi="Arial" w:cs="Arial"/>
          <w:kern w:val="2"/>
          <w:u w:val="single"/>
        </w:rPr>
      </w:pPr>
      <w:r w:rsidRPr="00C01F07">
        <w:rPr>
          <w:rFonts w:ascii="Arial" w:eastAsia="Calibri" w:hAnsi="Arial" w:cs="Arial"/>
          <w:b/>
          <w:kern w:val="2"/>
          <w:u w:val="single"/>
          <w:lang w:bidi="ar"/>
        </w:rPr>
        <w:t>STATISTICAL ANALYSIS</w:t>
      </w:r>
    </w:p>
    <w:p w14:paraId="501D05D8" w14:textId="77777777" w:rsidR="00812438" w:rsidRPr="00C01F07" w:rsidRDefault="000A3825">
      <w:pPr>
        <w:spacing w:beforeAutospacing="1" w:after="160" w:line="360" w:lineRule="auto"/>
        <w:jc w:val="both"/>
        <w:rPr>
          <w:rFonts w:ascii="Times New Roman" w:eastAsia="Calibri" w:hAnsi="Times New Roman" w:cs="Times New Roman"/>
          <w:kern w:val="2"/>
          <w:sz w:val="24"/>
          <w:szCs w:val="24"/>
        </w:rPr>
      </w:pPr>
      <w:r w:rsidRPr="00C01F07">
        <w:rPr>
          <w:rFonts w:ascii="Arial" w:eastAsia="Calibri" w:hAnsi="Arial" w:cs="Arial"/>
          <w:kern w:val="2"/>
        </w:rPr>
        <w:t>Data analysis was performed using SPSS version 25. Continuous data are presented as medians with interquartile ranges (IQR) or means with standard deviations, while categorical data are shown as counts and percentages. The chi-square test was used to compare categorical variables. Spearman's correlation was applied to assess the relationship between categorical and continuous variables or between two categorical variables.</w:t>
      </w:r>
    </w:p>
    <w:p w14:paraId="53B855BE" w14:textId="77777777" w:rsidR="002638CA" w:rsidRPr="00C01F07" w:rsidRDefault="002638CA" w:rsidP="002638CA">
      <w:pPr>
        <w:spacing w:beforeAutospacing="1" w:after="160" w:line="256" w:lineRule="auto"/>
        <w:rPr>
          <w:rFonts w:ascii="Times New Roman" w:eastAsia="Calibri" w:hAnsi="Times New Roman" w:cs="Times New Roman"/>
          <w:b/>
          <w:kern w:val="2"/>
          <w:sz w:val="28"/>
          <w:szCs w:val="28"/>
          <w:lang w:bidi="ar"/>
        </w:rPr>
      </w:pPr>
    </w:p>
    <w:p w14:paraId="70A6F86F" w14:textId="5B455B05" w:rsidR="00812438" w:rsidRPr="00C01F07" w:rsidRDefault="000A3825" w:rsidP="002638CA">
      <w:pPr>
        <w:spacing w:beforeAutospacing="1" w:after="160" w:line="256" w:lineRule="auto"/>
        <w:rPr>
          <w:rFonts w:ascii="Times New Roman" w:eastAsia="Calibri" w:hAnsi="Times New Roman" w:cs="Times New Roman"/>
          <w:b/>
          <w:kern w:val="2"/>
          <w:sz w:val="28"/>
          <w:szCs w:val="28"/>
          <w:u w:val="single"/>
        </w:rPr>
      </w:pPr>
      <w:r w:rsidRPr="00C01F07">
        <w:rPr>
          <w:rFonts w:ascii="Arial" w:eastAsia="Calibri" w:hAnsi="Arial" w:cs="Arial"/>
          <w:b/>
          <w:kern w:val="2"/>
          <w:sz w:val="22"/>
          <w:szCs w:val="22"/>
          <w:u w:val="single"/>
          <w:lang w:bidi="ar"/>
        </w:rPr>
        <w:t>RESULTS</w:t>
      </w:r>
    </w:p>
    <w:p w14:paraId="3319D645" w14:textId="77777777" w:rsidR="005952BB" w:rsidRPr="00C01F07" w:rsidRDefault="005952BB" w:rsidP="005952BB">
      <w:pPr>
        <w:spacing w:before="120" w:line="360" w:lineRule="auto"/>
        <w:jc w:val="both"/>
        <w:rPr>
          <w:rFonts w:ascii="Times New Roman" w:eastAsia="Calibri" w:hAnsi="Times New Roman" w:cs="Times New Roman"/>
          <w:bCs/>
          <w:kern w:val="2"/>
          <w:sz w:val="24"/>
          <w:szCs w:val="24"/>
          <w:lang w:bidi="ar"/>
        </w:rPr>
      </w:pPr>
      <w:r w:rsidRPr="00C01F07">
        <w:rPr>
          <w:rFonts w:ascii="Times New Roman" w:eastAsia="Calibri" w:hAnsi="Times New Roman" w:cs="Times New Roman"/>
          <w:bCs/>
          <w:kern w:val="2"/>
          <w:sz w:val="24"/>
          <w:szCs w:val="24"/>
          <w:lang w:bidi="ar"/>
        </w:rPr>
        <w:t>Patients with type I, type II, type III, and type IV RPGN had mean ages of 33 ± 13, 28 ± 10.75, 58 ± 10.10, and 65 ± 1.7 years, respectively. Type IV had a significantly higher age compared to both type I and type II (P &lt; 0.001 for each). Type II RPGN was the most common cause of RPGN (57.77%), followed by type III (22.22%), type I (13.33%), and type IV (6.66%). Type II included 14 patients with lupus nephritis (53.84%), 5 with IgA nephropathy (19.23%), and 7 with MPGN (26.92%) (Table 1). Regarding renal and extrarenal manifestations, edema was significantly more prevalent in type II compared to type IV (P = 0.05). Oliguria was significantly more common in patients with type II and type I RPGN compared to those with type IV RPGN (P &lt; 0.05). Skin rash occurred significantly more often in type II RPGN than in type I (P &lt; 0.03) and in type II RPGN compared to type III (P &lt; 0.006). The need for hemodialysis (HD) at presentation was significantly higher in type I RPGN compared to type III (P &lt; 0.03) and in type II RPGN compared to type IV (P &lt; 0.04). Both type II and type III RPGN groups had significantly lower serum creatinine levels compared to type I RPGN (P &lt; 0.05 for each). Serum albumin levels were significantly lower in type I, II, and III RPGN compared to type IV RPGN (P &lt; 0.001). Proteinuria was significantly higher in type II, type III, and type IV RPGN compared to type I RPGN (P &lt; 0.05 for each).</w:t>
      </w:r>
    </w:p>
    <w:p w14:paraId="013DD56F" w14:textId="61668F60" w:rsidR="005952BB" w:rsidRPr="00C01F07" w:rsidRDefault="005952BB" w:rsidP="005952BB">
      <w:pPr>
        <w:spacing w:before="120" w:line="360" w:lineRule="auto"/>
        <w:jc w:val="both"/>
        <w:rPr>
          <w:rFonts w:ascii="Times New Roman" w:eastAsia="Calibri" w:hAnsi="Times New Roman" w:cs="Times New Roman"/>
          <w:bCs/>
          <w:kern w:val="2"/>
          <w:sz w:val="24"/>
          <w:szCs w:val="24"/>
          <w:lang w:bidi="ar"/>
        </w:rPr>
      </w:pPr>
      <w:r w:rsidRPr="00C01F07">
        <w:rPr>
          <w:rFonts w:ascii="Times New Roman" w:eastAsia="Calibri" w:hAnsi="Times New Roman" w:cs="Times New Roman"/>
          <w:bCs/>
          <w:kern w:val="2"/>
          <w:sz w:val="24"/>
          <w:szCs w:val="24"/>
          <w:lang w:bidi="ar"/>
        </w:rPr>
        <w:lastRenderedPageBreak/>
        <w:t>Type I RPGN showed a total of 20 ± 4 glomeruli, with a relatively higher number of sclerotic glomeruli (7 ± 6) and fibrous crescents (3 ± 2). This pattern is consistent with anti-glomerular basement membrane (GBM) disease. The high number of crescentic glomeruli (11.5 ± 4) is also characteristic of this disease. Type II RPGN also showed a high number of crescentic glomeruli (11 ± 3). However, the number of sclerotic glomeruli (4 ± 4) was comparatively lower than that seen in Type I RPGN. Additionally, Type II RPGN had a higher number of cellular crescents (9 ± 4.75). In Type III RPGN, characterized by ANCA-associated vasculitis, the glomerular morphology includes a slightly lower number of total glomeruli (17 ± 8) and a similar number of crescentic glomeruli (12 ± 5.5). The sclerotic glomeruli count was also relatively low (3 ± 6</w:t>
      </w:r>
      <w:proofErr w:type="gramStart"/>
      <w:r w:rsidRPr="00C01F07">
        <w:rPr>
          <w:rFonts w:ascii="Times New Roman" w:eastAsia="Calibri" w:hAnsi="Times New Roman" w:cs="Times New Roman"/>
          <w:bCs/>
          <w:kern w:val="2"/>
          <w:sz w:val="24"/>
          <w:szCs w:val="24"/>
          <w:lang w:bidi="ar"/>
        </w:rPr>
        <w:t>).Type</w:t>
      </w:r>
      <w:proofErr w:type="gramEnd"/>
      <w:r w:rsidRPr="00C01F07">
        <w:rPr>
          <w:rFonts w:ascii="Times New Roman" w:eastAsia="Calibri" w:hAnsi="Times New Roman" w:cs="Times New Roman"/>
          <w:bCs/>
          <w:kern w:val="2"/>
          <w:sz w:val="24"/>
          <w:szCs w:val="24"/>
          <w:lang w:bidi="ar"/>
        </w:rPr>
        <w:t xml:space="preserve"> IV RPGN had a similar pattern to Type III RPGN, with a comparable number of crescentic glomeruli (12 ± 4.5). Type I RPGN showed a striking positivity for anti-GBM antibodies in 83.3% of patients. In contrast, Type II RPGN exhibited significant immunological activity, with positive ANA (69.2%) and positive anti-dsDNA (69.2%) antibodies.  Type III RPGN and Type IV RPGN, both of which are associated with ANCA-associated vasculitis, had positive results for P-ANCA (50% in Type III and 33.3% in Type IV) and C-ANCA (30% in Type III and 33.3% in Type IV</w:t>
      </w:r>
      <w:proofErr w:type="gramStart"/>
      <w:r w:rsidRPr="00C01F07">
        <w:rPr>
          <w:rFonts w:ascii="Times New Roman" w:eastAsia="Calibri" w:hAnsi="Times New Roman" w:cs="Times New Roman"/>
          <w:bCs/>
          <w:kern w:val="2"/>
          <w:sz w:val="24"/>
          <w:szCs w:val="24"/>
          <w:lang w:bidi="ar"/>
        </w:rPr>
        <w:t>).Low</w:t>
      </w:r>
      <w:proofErr w:type="gramEnd"/>
      <w:r w:rsidRPr="00C01F07">
        <w:rPr>
          <w:rFonts w:ascii="Times New Roman" w:eastAsia="Calibri" w:hAnsi="Times New Roman" w:cs="Times New Roman"/>
          <w:bCs/>
          <w:kern w:val="2"/>
          <w:sz w:val="24"/>
          <w:szCs w:val="24"/>
          <w:lang w:bidi="ar"/>
        </w:rPr>
        <w:t xml:space="preserve"> C3 levels were found in 73.07% of Type II RPGN patients, which is consistent with immune complex-mediated diseases such as lupus nephritis. None of the Type III or Type IV RPGN patients exhibited low C3 levels, suggesting that these forms of RPGN may not be as dependent on complement activation via immune complexes.</w:t>
      </w:r>
    </w:p>
    <w:p w14:paraId="3C31B7ED" w14:textId="715AA8B5" w:rsidR="005952BB" w:rsidRPr="00C01F07" w:rsidRDefault="005952BB" w:rsidP="005952BB">
      <w:pPr>
        <w:spacing w:before="120" w:line="360" w:lineRule="auto"/>
        <w:jc w:val="both"/>
        <w:rPr>
          <w:rFonts w:ascii="Times New Roman" w:eastAsia="Calibri" w:hAnsi="Times New Roman" w:cs="Times New Roman"/>
          <w:bCs/>
          <w:kern w:val="2"/>
          <w:sz w:val="24"/>
          <w:szCs w:val="24"/>
          <w:lang w:bidi="ar"/>
        </w:rPr>
      </w:pPr>
      <w:r w:rsidRPr="00C01F07">
        <w:rPr>
          <w:rFonts w:ascii="Times New Roman" w:eastAsia="Calibri" w:hAnsi="Times New Roman" w:cs="Times New Roman"/>
          <w:bCs/>
          <w:kern w:val="2"/>
          <w:sz w:val="24"/>
          <w:szCs w:val="24"/>
          <w:lang w:bidi="ar"/>
        </w:rPr>
        <w:t xml:space="preserve">Mesangial proliferation was </w:t>
      </w:r>
      <w:proofErr w:type="gramStart"/>
      <w:r w:rsidRPr="00C01F07">
        <w:rPr>
          <w:rFonts w:ascii="Times New Roman" w:eastAsia="Calibri" w:hAnsi="Times New Roman" w:cs="Times New Roman"/>
          <w:bCs/>
          <w:kern w:val="2"/>
          <w:sz w:val="24"/>
          <w:szCs w:val="24"/>
          <w:lang w:bidi="ar"/>
        </w:rPr>
        <w:t>observed  with</w:t>
      </w:r>
      <w:proofErr w:type="gramEnd"/>
      <w:r w:rsidRPr="00C01F07">
        <w:rPr>
          <w:rFonts w:ascii="Times New Roman" w:eastAsia="Calibri" w:hAnsi="Times New Roman" w:cs="Times New Roman"/>
          <w:bCs/>
          <w:kern w:val="2"/>
          <w:sz w:val="24"/>
          <w:szCs w:val="24"/>
          <w:lang w:bidi="ar"/>
        </w:rPr>
        <w:t xml:space="preserve"> the highest percentage in Type II RPGN (53.8%), . Type I RPGN demonstrates 16.6% neutrophilic infiltration, while Type III RPGN shows 20%. Type III RPGN shows a significant percentage of glomerular thrombosis (21.1%) followed by Type I (10%). Moderate to severe IFTA is most prevalent in Type II RPGN (50 %) followed by Type I (33.3%) and Type III (30 %</w:t>
      </w:r>
      <w:proofErr w:type="gramStart"/>
      <w:r w:rsidRPr="00C01F07">
        <w:rPr>
          <w:rFonts w:ascii="Times New Roman" w:eastAsia="Calibri" w:hAnsi="Times New Roman" w:cs="Times New Roman"/>
          <w:bCs/>
          <w:kern w:val="2"/>
          <w:sz w:val="24"/>
          <w:szCs w:val="24"/>
          <w:lang w:bidi="ar"/>
        </w:rPr>
        <w:t>) ,.TLO</w:t>
      </w:r>
      <w:proofErr w:type="gramEnd"/>
      <w:r w:rsidRPr="00C01F07">
        <w:rPr>
          <w:rFonts w:ascii="Times New Roman" w:eastAsia="Calibri" w:hAnsi="Times New Roman" w:cs="Times New Roman"/>
          <w:bCs/>
          <w:kern w:val="2"/>
          <w:sz w:val="24"/>
          <w:szCs w:val="24"/>
          <w:lang w:bidi="ar"/>
        </w:rPr>
        <w:t xml:space="preserve"> formation is observed in approximately 50% of Types I, (46.1%) in type II, and (50% ) in type  III RPGN. Fibrinoid necrosis was observed in all patients with Type IV RPGN and type III RPGN (100%) and less prominent in Types I (16.6%), II (30%). Severe arteriosclerosis was found in a significant percentage of Type II RPGN (53.8%) and Type IV RPGN (66.6%).</w:t>
      </w:r>
    </w:p>
    <w:p w14:paraId="5A69C634" w14:textId="34C364A5" w:rsidR="005952BB" w:rsidRPr="00C01F07" w:rsidRDefault="005952BB" w:rsidP="005952BB">
      <w:pPr>
        <w:spacing w:before="120" w:line="360" w:lineRule="auto"/>
        <w:jc w:val="both"/>
        <w:rPr>
          <w:rFonts w:ascii="Times New Roman" w:eastAsia="Calibri" w:hAnsi="Times New Roman" w:cs="Times New Roman"/>
          <w:bCs/>
          <w:kern w:val="2"/>
          <w:sz w:val="24"/>
          <w:szCs w:val="24"/>
          <w:lang w:bidi="ar"/>
        </w:rPr>
      </w:pPr>
      <w:r w:rsidRPr="00C01F07">
        <w:rPr>
          <w:rFonts w:ascii="Times New Roman" w:eastAsia="Calibri" w:hAnsi="Times New Roman" w:cs="Times New Roman"/>
          <w:bCs/>
          <w:kern w:val="2"/>
          <w:sz w:val="24"/>
          <w:szCs w:val="24"/>
          <w:lang w:bidi="ar"/>
        </w:rPr>
        <w:t xml:space="preserve">End stage renal disease was the most common primary outcome in our study. Among 45 patients, 17 (37.77%) progressed to End stage renal disease and 12 (26.66%) died </w:t>
      </w:r>
      <w:r w:rsidRPr="00C01F07">
        <w:rPr>
          <w:rFonts w:ascii="Times New Roman" w:eastAsia="Calibri" w:hAnsi="Times New Roman" w:cs="Times New Roman"/>
          <w:bCs/>
          <w:kern w:val="2"/>
          <w:sz w:val="24"/>
          <w:szCs w:val="24"/>
          <w:lang w:bidi="ar"/>
        </w:rPr>
        <w:lastRenderedPageBreak/>
        <w:t>during follow-up. Remission occurred in 17 patients (37.77%), with 5 achieving complete remission and 12 experiencing partial remission.</w:t>
      </w:r>
    </w:p>
    <w:p w14:paraId="3D79DD07" w14:textId="77777777" w:rsidR="00E55A78" w:rsidRPr="00C01F07" w:rsidRDefault="00E55A78">
      <w:pPr>
        <w:spacing w:before="120" w:line="360" w:lineRule="auto"/>
        <w:jc w:val="both"/>
        <w:rPr>
          <w:rFonts w:ascii="Times New Roman" w:eastAsia="Calibri" w:hAnsi="Times New Roman" w:cs="Times New Roman"/>
          <w:bCs/>
          <w:kern w:val="2"/>
          <w:sz w:val="24"/>
          <w:szCs w:val="24"/>
          <w:lang w:bidi="ar"/>
        </w:rPr>
      </w:pPr>
    </w:p>
    <w:p w14:paraId="3BBC1F4A" w14:textId="77777777" w:rsidR="00812438" w:rsidRPr="00C01F07" w:rsidRDefault="000A3825">
      <w:pPr>
        <w:spacing w:before="120" w:line="360" w:lineRule="auto"/>
        <w:rPr>
          <w:rFonts w:ascii="Arial" w:eastAsia="Calibri" w:hAnsi="Arial" w:cs="Arial"/>
          <w:b/>
          <w:bCs/>
          <w:kern w:val="2"/>
          <w:sz w:val="22"/>
          <w:szCs w:val="22"/>
          <w:u w:val="single"/>
        </w:rPr>
      </w:pPr>
      <w:r w:rsidRPr="00C01F07">
        <w:rPr>
          <w:rFonts w:ascii="Arial" w:eastAsia="Calibri" w:hAnsi="Arial" w:cs="Arial"/>
          <w:b/>
          <w:bCs/>
          <w:kern w:val="2"/>
          <w:sz w:val="22"/>
          <w:szCs w:val="22"/>
          <w:lang w:bidi="ar"/>
        </w:rPr>
        <w:t xml:space="preserve"> </w:t>
      </w:r>
      <w:r w:rsidRPr="00C01F07">
        <w:rPr>
          <w:rFonts w:ascii="Arial" w:eastAsia="Calibri" w:hAnsi="Arial" w:cs="Arial"/>
          <w:b/>
          <w:bCs/>
          <w:kern w:val="2"/>
          <w:sz w:val="22"/>
          <w:szCs w:val="22"/>
          <w:u w:val="single"/>
          <w:lang w:bidi="ar"/>
        </w:rPr>
        <w:t>DISCUSSION</w:t>
      </w:r>
    </w:p>
    <w:p w14:paraId="0D3736D1" w14:textId="77777777" w:rsidR="00B22B4F" w:rsidRPr="00C01F07" w:rsidRDefault="00B22B4F" w:rsidP="00B22B4F">
      <w:pPr>
        <w:spacing w:before="240" w:line="360" w:lineRule="auto"/>
        <w:jc w:val="both"/>
        <w:rPr>
          <w:rFonts w:ascii="Arial" w:eastAsia="Calibri" w:hAnsi="Arial" w:cs="Arial"/>
          <w:kern w:val="2"/>
          <w:sz w:val="24"/>
          <w:szCs w:val="24"/>
          <w:lang w:bidi="ar"/>
        </w:rPr>
      </w:pPr>
      <w:r w:rsidRPr="00C01F07">
        <w:rPr>
          <w:rFonts w:ascii="Arial" w:eastAsia="Calibri" w:hAnsi="Arial" w:cs="Arial"/>
          <w:kern w:val="2"/>
          <w:sz w:val="24"/>
          <w:szCs w:val="24"/>
          <w:lang w:bidi="ar"/>
        </w:rPr>
        <w:t xml:space="preserve">The most common cause of RPGN in our study was type II, followed by type III and type I. Type II crescentic GN has been identified as the most prevalent cause in several studies from China, Saudi Arabia, and India. </w:t>
      </w:r>
      <w:r w:rsidRPr="00C01F07">
        <w:rPr>
          <w:rFonts w:ascii="Arial" w:eastAsia="Calibri" w:hAnsi="Arial" w:cs="Arial"/>
          <w:kern w:val="2"/>
          <w:sz w:val="24"/>
          <w:szCs w:val="24"/>
          <w:vertAlign w:val="superscript"/>
          <w:lang w:bidi="ar"/>
        </w:rPr>
        <w:t>[6, 11-12]</w:t>
      </w:r>
      <w:r w:rsidRPr="00C01F07">
        <w:rPr>
          <w:rFonts w:ascii="Arial" w:eastAsia="Calibri" w:hAnsi="Arial" w:cs="Arial"/>
          <w:kern w:val="2"/>
          <w:sz w:val="24"/>
          <w:szCs w:val="24"/>
          <w:lang w:bidi="ar"/>
        </w:rPr>
        <w:t xml:space="preserve"> Our findings align with those of Mohamed et al. </w:t>
      </w:r>
      <w:r w:rsidRPr="00C01F07">
        <w:rPr>
          <w:rFonts w:ascii="Arial" w:eastAsia="Calibri" w:hAnsi="Arial" w:cs="Arial"/>
          <w:kern w:val="2"/>
          <w:sz w:val="24"/>
          <w:szCs w:val="24"/>
          <w:vertAlign w:val="superscript"/>
          <w:lang w:bidi="ar"/>
        </w:rPr>
        <w:t>[1]</w:t>
      </w:r>
      <w:r w:rsidRPr="00C01F07">
        <w:rPr>
          <w:rFonts w:ascii="Arial" w:eastAsia="Calibri" w:hAnsi="Arial" w:cs="Arial"/>
          <w:kern w:val="2"/>
          <w:sz w:val="24"/>
          <w:szCs w:val="24"/>
          <w:lang w:bidi="ar"/>
        </w:rPr>
        <w:t xml:space="preserve">, with type II being the most common (57.7%), followed by type III and type I. The most frequent cause of type II RPGN was lupus nephritis (31.1%), followed by IgA nephropathy (30%), post-infectious GN (20%), and MPGN (20%). This is consistent with a large Chinese review that also found lupus nephritis to be the leading cause of crescentic GN (20%). </w:t>
      </w:r>
      <w:r w:rsidRPr="00C01F07">
        <w:rPr>
          <w:rFonts w:ascii="Arial" w:eastAsia="Calibri" w:hAnsi="Arial" w:cs="Arial"/>
          <w:kern w:val="2"/>
          <w:sz w:val="24"/>
          <w:szCs w:val="24"/>
          <w:vertAlign w:val="superscript"/>
          <w:lang w:bidi="ar"/>
        </w:rPr>
        <w:t>[6]</w:t>
      </w:r>
      <w:r w:rsidRPr="00C01F07">
        <w:rPr>
          <w:rFonts w:ascii="Arial" w:eastAsia="Calibri" w:hAnsi="Arial" w:cs="Arial"/>
          <w:kern w:val="2"/>
          <w:sz w:val="24"/>
          <w:szCs w:val="24"/>
          <w:lang w:bidi="ar"/>
        </w:rPr>
        <w:t xml:space="preserve"> The higher incidence of type II RPGN in these regions is thought to be linked to infection rates and the prevalence of systemic lupus erythematosus (SLE).</w:t>
      </w:r>
    </w:p>
    <w:p w14:paraId="1A3EB1CA" w14:textId="77777777" w:rsidR="00B22B4F" w:rsidRPr="00C01F07" w:rsidRDefault="00B22B4F" w:rsidP="00B22B4F">
      <w:pPr>
        <w:spacing w:before="240" w:line="360" w:lineRule="auto"/>
        <w:jc w:val="both"/>
        <w:rPr>
          <w:rFonts w:ascii="Arial" w:eastAsia="Calibri" w:hAnsi="Arial" w:cs="Arial"/>
          <w:kern w:val="2"/>
          <w:sz w:val="24"/>
          <w:szCs w:val="24"/>
          <w:vertAlign w:val="superscript"/>
          <w:lang w:bidi="ar"/>
        </w:rPr>
      </w:pPr>
      <w:r w:rsidRPr="00C01F07">
        <w:rPr>
          <w:rFonts w:ascii="Arial" w:eastAsia="Calibri" w:hAnsi="Arial" w:cs="Arial"/>
          <w:kern w:val="2"/>
          <w:sz w:val="24"/>
          <w:szCs w:val="24"/>
          <w:lang w:bidi="ar"/>
        </w:rPr>
        <w:t>The average age of patients with type III RPGN was significantly higher than that of those with type II and type I RPGN. Mohamed et al. also reported that patients with type III RPGN were older than those with type I and type II RPGN (P = 0.03 and P = 0.003, respectively), which is consistent with our findings. Type II RPGN had more patients with oliguria presentation as compared to type III, which contrasts with a study that found no significant difference in oliguria across the groups.</w:t>
      </w:r>
      <w:r w:rsidRPr="00C01F07">
        <w:rPr>
          <w:rFonts w:ascii="Arial" w:eastAsia="Calibri" w:hAnsi="Arial" w:cs="Arial"/>
          <w:kern w:val="2"/>
          <w:sz w:val="24"/>
          <w:szCs w:val="24"/>
          <w:vertAlign w:val="superscript"/>
          <w:lang w:bidi="ar"/>
        </w:rPr>
        <w:t xml:space="preserve"> [13]</w:t>
      </w:r>
      <w:r w:rsidRPr="00C01F07">
        <w:rPr>
          <w:rFonts w:ascii="Arial" w:eastAsia="Calibri" w:hAnsi="Arial" w:cs="Arial"/>
          <w:kern w:val="2"/>
          <w:sz w:val="24"/>
          <w:szCs w:val="24"/>
          <w:lang w:bidi="ar"/>
        </w:rPr>
        <w:t xml:space="preserve"> The rates of microscopic or gross hematuria were notably higher in the type III and type II RPGN groups in our study, which contradicts the results of Mohamed et al. and Parry et al., who reported no significant differences in hematuria across RPGN types. </w:t>
      </w:r>
      <w:r w:rsidRPr="00C01F07">
        <w:rPr>
          <w:rFonts w:ascii="Arial" w:eastAsia="Calibri" w:hAnsi="Arial" w:cs="Arial"/>
          <w:kern w:val="2"/>
          <w:sz w:val="24"/>
          <w:szCs w:val="24"/>
          <w:vertAlign w:val="superscript"/>
          <w:lang w:bidi="ar"/>
        </w:rPr>
        <w:t xml:space="preserve">[1, 13] </w:t>
      </w:r>
      <w:r w:rsidRPr="00C01F07">
        <w:rPr>
          <w:rFonts w:ascii="Arial" w:eastAsia="Calibri" w:hAnsi="Arial" w:cs="Arial"/>
          <w:kern w:val="2"/>
          <w:sz w:val="24"/>
          <w:szCs w:val="24"/>
          <w:lang w:bidi="ar"/>
        </w:rPr>
        <w:t>Hemodialysis requirements were significantly higher in the type I and type II groups compared to the type III group. Parry et al.'s findings, which indicated that type I patients required more hemodialysis sessions than type II patients (P = 0.035), align with our results. Another study also found that type II patients needed more hemodialysis sessions than type III patients (P = 0.01), which is consistent with our observations.</w:t>
      </w:r>
      <w:r w:rsidRPr="00C01F07">
        <w:rPr>
          <w:rFonts w:ascii="Arial" w:eastAsia="Calibri" w:hAnsi="Arial" w:cs="Arial"/>
          <w:kern w:val="2"/>
          <w:sz w:val="24"/>
          <w:szCs w:val="24"/>
          <w:vertAlign w:val="superscript"/>
          <w:lang w:bidi="ar"/>
        </w:rPr>
        <w:t>[14]</w:t>
      </w:r>
    </w:p>
    <w:p w14:paraId="72375F42" w14:textId="77777777" w:rsidR="00B22B4F" w:rsidRPr="00C01F07" w:rsidRDefault="00B22B4F" w:rsidP="00B22B4F">
      <w:pPr>
        <w:spacing w:before="240" w:line="360" w:lineRule="auto"/>
        <w:jc w:val="both"/>
        <w:rPr>
          <w:rFonts w:ascii="Arial" w:eastAsia="Calibri" w:hAnsi="Arial" w:cs="Arial"/>
          <w:kern w:val="2"/>
          <w:sz w:val="24"/>
          <w:szCs w:val="24"/>
          <w:lang w:bidi="ar"/>
        </w:rPr>
      </w:pPr>
      <w:r w:rsidRPr="00C01F07">
        <w:rPr>
          <w:rFonts w:ascii="Arial" w:eastAsia="Calibri" w:hAnsi="Arial" w:cs="Arial"/>
          <w:kern w:val="2"/>
          <w:sz w:val="24"/>
          <w:szCs w:val="24"/>
          <w:lang w:bidi="ar"/>
        </w:rPr>
        <w:lastRenderedPageBreak/>
        <w:t xml:space="preserve">Skin rash was significantly more common in immune complex-mediated RPGN than in type I and type III, which is consistent with findings from Parry et al. and Mohamed et al., who reported that skin rash was more prevalent in type II compared to type III and type I RPGN. </w:t>
      </w:r>
      <w:r w:rsidRPr="00C01F07">
        <w:rPr>
          <w:rFonts w:ascii="Arial" w:eastAsia="Calibri" w:hAnsi="Arial" w:cs="Arial"/>
          <w:kern w:val="2"/>
          <w:sz w:val="24"/>
          <w:szCs w:val="24"/>
          <w:vertAlign w:val="superscript"/>
          <w:lang w:bidi="ar"/>
        </w:rPr>
        <w:t>[1, 13]</w:t>
      </w:r>
      <w:r w:rsidRPr="00C01F07">
        <w:rPr>
          <w:rFonts w:ascii="Arial" w:eastAsia="Calibri" w:hAnsi="Arial" w:cs="Arial"/>
          <w:kern w:val="2"/>
          <w:sz w:val="24"/>
          <w:szCs w:val="24"/>
          <w:lang w:bidi="ar"/>
        </w:rPr>
        <w:t xml:space="preserve"> Hemoptysis, on the other hand, was notably more common in anti-GBM disease than in type II or type III RPGN. This contrasts with a study that found hemoptysis to be more frequent in type III than in type II and type I RPGN. </w:t>
      </w:r>
      <w:r w:rsidRPr="00C01F07">
        <w:rPr>
          <w:rFonts w:ascii="Arial" w:eastAsia="Calibri" w:hAnsi="Arial" w:cs="Arial"/>
          <w:kern w:val="2"/>
          <w:sz w:val="24"/>
          <w:szCs w:val="24"/>
          <w:vertAlign w:val="superscript"/>
          <w:lang w:bidi="ar"/>
        </w:rPr>
        <w:t>[1]</w:t>
      </w:r>
    </w:p>
    <w:p w14:paraId="514E4EC0" w14:textId="77777777" w:rsidR="00B22B4F" w:rsidRPr="00C01F07" w:rsidRDefault="00B22B4F" w:rsidP="00B22B4F">
      <w:pPr>
        <w:spacing w:before="240" w:line="360" w:lineRule="auto"/>
        <w:jc w:val="both"/>
        <w:rPr>
          <w:rFonts w:ascii="Arial" w:eastAsia="Calibri" w:hAnsi="Arial" w:cs="Arial"/>
          <w:kern w:val="2"/>
          <w:sz w:val="24"/>
          <w:szCs w:val="24"/>
          <w:lang w:bidi="ar"/>
        </w:rPr>
      </w:pPr>
      <w:r w:rsidRPr="00C01F07">
        <w:rPr>
          <w:rFonts w:ascii="Arial" w:eastAsia="Calibri" w:hAnsi="Arial" w:cs="Arial"/>
          <w:kern w:val="2"/>
          <w:sz w:val="24"/>
          <w:szCs w:val="24"/>
          <w:lang w:bidi="ar"/>
        </w:rPr>
        <w:t xml:space="preserve">Although the average hemoglobin (Hb) levels were lower across all RPGN groups, there was no significant variation in Hb levels among the groups, which aligns with previous studies. </w:t>
      </w:r>
      <w:r w:rsidRPr="00C01F07">
        <w:rPr>
          <w:rFonts w:ascii="Arial" w:eastAsia="Calibri" w:hAnsi="Arial" w:cs="Arial"/>
          <w:kern w:val="2"/>
          <w:sz w:val="24"/>
          <w:szCs w:val="24"/>
          <w:vertAlign w:val="superscript"/>
          <w:lang w:bidi="ar"/>
        </w:rPr>
        <w:t xml:space="preserve">[13-14] </w:t>
      </w:r>
      <w:r w:rsidRPr="00C01F07">
        <w:rPr>
          <w:rFonts w:ascii="Arial" w:eastAsia="Calibri" w:hAnsi="Arial" w:cs="Arial"/>
          <w:kern w:val="2"/>
          <w:sz w:val="24"/>
          <w:szCs w:val="24"/>
          <w:lang w:bidi="ar"/>
        </w:rPr>
        <w:t>However, Wu et al. found that patients with type II RPGN had less severe anemia compared to those with type I or type III, which contradicts our findings.</w:t>
      </w:r>
      <w:r w:rsidRPr="00C01F07">
        <w:rPr>
          <w:rFonts w:ascii="Arial" w:eastAsia="Calibri" w:hAnsi="Arial" w:cs="Arial"/>
          <w:kern w:val="2"/>
          <w:sz w:val="24"/>
          <w:szCs w:val="24"/>
          <w:vertAlign w:val="superscript"/>
          <w:lang w:bidi="ar"/>
        </w:rPr>
        <w:t xml:space="preserve"> [7]</w:t>
      </w:r>
    </w:p>
    <w:p w14:paraId="44300B9E" w14:textId="77777777" w:rsidR="00B22B4F" w:rsidRPr="00C01F07" w:rsidRDefault="00B22B4F" w:rsidP="00B22B4F">
      <w:pPr>
        <w:spacing w:before="240" w:line="360" w:lineRule="auto"/>
        <w:jc w:val="both"/>
        <w:rPr>
          <w:rFonts w:ascii="Arial" w:eastAsia="Calibri" w:hAnsi="Arial" w:cs="Arial"/>
          <w:kern w:val="2"/>
          <w:sz w:val="24"/>
          <w:szCs w:val="24"/>
          <w:lang w:bidi="ar"/>
        </w:rPr>
      </w:pPr>
      <w:r w:rsidRPr="00C01F07">
        <w:rPr>
          <w:rFonts w:ascii="Arial" w:eastAsia="Calibri" w:hAnsi="Arial" w:cs="Arial"/>
          <w:kern w:val="2"/>
          <w:sz w:val="24"/>
          <w:szCs w:val="24"/>
          <w:lang w:bidi="ar"/>
        </w:rPr>
        <w:t xml:space="preserve">In our study, serum albumin levels were significantly lower in the type II and type III groups compared to the type I group, with type III also having lower albumin levels than type II. Both type II and type III had higher levels of proteinuria compared to type I. These results are consistent with the study by Parry et al., which found that type II crescentic GN had the highest mean proteinuria (P &lt; 0.001) and the lowest mean serum albumin (P = 0.006) [13]. Wu et al.'s findings, which reported lower proteinuria levels in type III patients, are also in line with our results. </w:t>
      </w:r>
      <w:r w:rsidRPr="00C01F07">
        <w:rPr>
          <w:rFonts w:ascii="Arial" w:eastAsia="Calibri" w:hAnsi="Arial" w:cs="Arial"/>
          <w:kern w:val="2"/>
          <w:sz w:val="24"/>
          <w:szCs w:val="24"/>
          <w:vertAlign w:val="superscript"/>
          <w:lang w:bidi="ar"/>
        </w:rPr>
        <w:t xml:space="preserve">[7] </w:t>
      </w:r>
      <w:r w:rsidRPr="00C01F07">
        <w:rPr>
          <w:rFonts w:ascii="Arial" w:eastAsia="Calibri" w:hAnsi="Arial" w:cs="Arial"/>
          <w:kern w:val="2"/>
          <w:sz w:val="24"/>
          <w:szCs w:val="24"/>
          <w:lang w:bidi="ar"/>
        </w:rPr>
        <w:t xml:space="preserve">However, our findings contrast with Wu et al., who observed no significant differences in albumin levels between the groups. </w:t>
      </w:r>
      <w:r w:rsidRPr="00C01F07">
        <w:rPr>
          <w:rFonts w:ascii="Arial" w:eastAsia="Calibri" w:hAnsi="Arial" w:cs="Arial"/>
          <w:kern w:val="2"/>
          <w:sz w:val="24"/>
          <w:szCs w:val="24"/>
          <w:vertAlign w:val="superscript"/>
          <w:lang w:bidi="ar"/>
        </w:rPr>
        <w:t>[7]</w:t>
      </w:r>
    </w:p>
    <w:p w14:paraId="023A8D82" w14:textId="77777777" w:rsidR="00B22B4F" w:rsidRPr="00C01F07" w:rsidRDefault="00B22B4F" w:rsidP="00B22B4F">
      <w:pPr>
        <w:spacing w:before="240" w:line="360" w:lineRule="auto"/>
        <w:jc w:val="both"/>
        <w:rPr>
          <w:rFonts w:ascii="Arial" w:eastAsia="Calibri" w:hAnsi="Arial" w:cs="Arial"/>
          <w:kern w:val="2"/>
          <w:sz w:val="24"/>
          <w:szCs w:val="24"/>
          <w:lang w:bidi="ar"/>
        </w:rPr>
      </w:pPr>
      <w:r w:rsidRPr="00C01F07">
        <w:rPr>
          <w:rFonts w:ascii="Arial" w:eastAsia="Calibri" w:hAnsi="Arial" w:cs="Arial"/>
          <w:kern w:val="2"/>
          <w:sz w:val="24"/>
          <w:szCs w:val="24"/>
          <w:lang w:bidi="ar"/>
        </w:rPr>
        <w:t xml:space="preserve">Consistent with previous studies, our current investigation found no significant differences in the percentages of glomeruli with cellular and fibrous crescents across the RPGN groups. </w:t>
      </w:r>
      <w:r w:rsidRPr="00C01F07">
        <w:rPr>
          <w:rFonts w:ascii="Arial" w:eastAsia="Calibri" w:hAnsi="Arial" w:cs="Arial"/>
          <w:kern w:val="2"/>
          <w:sz w:val="24"/>
          <w:szCs w:val="24"/>
          <w:vertAlign w:val="superscript"/>
          <w:lang w:bidi="ar"/>
        </w:rPr>
        <w:t>[6-7]</w:t>
      </w:r>
      <w:r w:rsidRPr="00C01F07">
        <w:rPr>
          <w:rFonts w:ascii="Arial" w:eastAsia="Calibri" w:hAnsi="Arial" w:cs="Arial"/>
          <w:kern w:val="2"/>
          <w:sz w:val="24"/>
          <w:szCs w:val="24"/>
          <w:lang w:bidi="ar"/>
        </w:rPr>
        <w:t xml:space="preserve"> However, Parry et al. reported conflicting results, finding crescents in 75.1 ± 18.3 percent of glomeruli, with type I RPGN showing the highest percentage (87 ± 15.2, P = 0.04). Additionally, Parry et al. observed that </w:t>
      </w:r>
      <w:proofErr w:type="spellStart"/>
      <w:r w:rsidRPr="00C01F07">
        <w:rPr>
          <w:rFonts w:ascii="Arial" w:eastAsia="Calibri" w:hAnsi="Arial" w:cs="Arial"/>
          <w:kern w:val="2"/>
          <w:sz w:val="24"/>
          <w:szCs w:val="24"/>
          <w:lang w:bidi="ar"/>
        </w:rPr>
        <w:t>fibrocellular</w:t>
      </w:r>
      <w:proofErr w:type="spellEnd"/>
      <w:r w:rsidRPr="00C01F07">
        <w:rPr>
          <w:rFonts w:ascii="Arial" w:eastAsia="Calibri" w:hAnsi="Arial" w:cs="Arial"/>
          <w:kern w:val="2"/>
          <w:sz w:val="24"/>
          <w:szCs w:val="24"/>
          <w:lang w:bidi="ar"/>
        </w:rPr>
        <w:t xml:space="preserve"> crescents were the most common type in all three RPGN groups. </w:t>
      </w:r>
      <w:r w:rsidRPr="00C01F07">
        <w:rPr>
          <w:rFonts w:ascii="Arial" w:eastAsia="Calibri" w:hAnsi="Arial" w:cs="Arial"/>
          <w:kern w:val="2"/>
          <w:sz w:val="24"/>
          <w:szCs w:val="24"/>
          <w:vertAlign w:val="superscript"/>
          <w:lang w:bidi="ar"/>
        </w:rPr>
        <w:t>[13]</w:t>
      </w:r>
    </w:p>
    <w:p w14:paraId="1B53774A" w14:textId="77777777" w:rsidR="00B22B4F" w:rsidRPr="00C01F07" w:rsidRDefault="00B22B4F" w:rsidP="00B22B4F">
      <w:pPr>
        <w:spacing w:before="240" w:line="360" w:lineRule="auto"/>
        <w:jc w:val="both"/>
        <w:rPr>
          <w:rFonts w:ascii="Arial" w:eastAsia="Calibri" w:hAnsi="Arial" w:cs="Arial"/>
          <w:kern w:val="2"/>
          <w:sz w:val="24"/>
          <w:szCs w:val="24"/>
          <w:lang w:bidi="ar"/>
        </w:rPr>
      </w:pPr>
      <w:r w:rsidRPr="00C01F07">
        <w:rPr>
          <w:rFonts w:ascii="Arial" w:eastAsia="Calibri" w:hAnsi="Arial" w:cs="Arial"/>
          <w:kern w:val="2"/>
          <w:sz w:val="24"/>
          <w:szCs w:val="24"/>
          <w:lang w:bidi="ar"/>
        </w:rPr>
        <w:t xml:space="preserve">Endocapillary proliferation was present in all patients with type II RPGN and in two patients with type III RPGN, but it was not observed in anti-GBM disease. </w:t>
      </w:r>
      <w:r w:rsidRPr="00C01F07">
        <w:rPr>
          <w:rFonts w:ascii="Arial" w:eastAsia="Calibri" w:hAnsi="Arial" w:cs="Arial"/>
          <w:kern w:val="2"/>
          <w:sz w:val="24"/>
          <w:szCs w:val="24"/>
          <w:lang w:bidi="ar"/>
        </w:rPr>
        <w:lastRenderedPageBreak/>
        <w:t xml:space="preserve">Mesangial proliferation was seen </w:t>
      </w:r>
      <w:proofErr w:type="gramStart"/>
      <w:r w:rsidRPr="00C01F07">
        <w:rPr>
          <w:rFonts w:ascii="Arial" w:eastAsia="Calibri" w:hAnsi="Arial" w:cs="Arial"/>
          <w:kern w:val="2"/>
          <w:sz w:val="24"/>
          <w:szCs w:val="24"/>
          <w:lang w:bidi="ar"/>
        </w:rPr>
        <w:t>in  53.8</w:t>
      </w:r>
      <w:proofErr w:type="gramEnd"/>
      <w:r w:rsidRPr="00C01F07">
        <w:rPr>
          <w:rFonts w:ascii="Arial" w:eastAsia="Calibri" w:hAnsi="Arial" w:cs="Arial"/>
          <w:kern w:val="2"/>
          <w:sz w:val="24"/>
          <w:szCs w:val="24"/>
          <w:lang w:bidi="ar"/>
        </w:rPr>
        <w:t xml:space="preserve"> % of those with immune complex-mediated RPGN. It was also found in 40% of patients with pauci-immune RPGN. Parry et al. reported similar findings, showing that most type II RPGN patients had mesangial proliferation (69.4%, P &lt; 0.001) and endocapillary proliferation (97.2%, P &lt; 0.001) </w:t>
      </w:r>
      <w:r w:rsidRPr="00C01F07">
        <w:rPr>
          <w:rFonts w:ascii="Arial" w:eastAsia="Calibri" w:hAnsi="Arial" w:cs="Arial"/>
          <w:kern w:val="2"/>
          <w:sz w:val="24"/>
          <w:szCs w:val="24"/>
          <w:vertAlign w:val="superscript"/>
          <w:lang w:bidi="ar"/>
        </w:rPr>
        <w:t>[1]</w:t>
      </w:r>
      <w:r w:rsidRPr="00C01F07">
        <w:rPr>
          <w:rFonts w:ascii="Arial" w:eastAsia="Calibri" w:hAnsi="Arial" w:cs="Arial"/>
          <w:kern w:val="2"/>
          <w:sz w:val="24"/>
          <w:szCs w:val="24"/>
          <w:lang w:bidi="ar"/>
        </w:rPr>
        <w:t xml:space="preserve">. </w:t>
      </w:r>
    </w:p>
    <w:p w14:paraId="6C141B2A" w14:textId="77777777" w:rsidR="00B22B4F" w:rsidRPr="00C01F07" w:rsidRDefault="00B22B4F" w:rsidP="00B22B4F">
      <w:pPr>
        <w:spacing w:before="240" w:line="360" w:lineRule="auto"/>
        <w:jc w:val="both"/>
        <w:rPr>
          <w:rFonts w:ascii="Arial" w:eastAsia="Calibri" w:hAnsi="Arial" w:cs="Arial"/>
          <w:kern w:val="2"/>
          <w:sz w:val="24"/>
          <w:szCs w:val="24"/>
          <w:lang w:bidi="ar"/>
        </w:rPr>
      </w:pPr>
      <w:r w:rsidRPr="00C01F07">
        <w:rPr>
          <w:rFonts w:ascii="Arial" w:eastAsia="Calibri" w:hAnsi="Arial" w:cs="Arial"/>
          <w:kern w:val="2"/>
          <w:sz w:val="24"/>
          <w:szCs w:val="24"/>
          <w:lang w:bidi="ar"/>
        </w:rPr>
        <w:t xml:space="preserve">Our findings showed that two patients with type I RPGN (10%) and seven patients with type III RPGN (21.1%) had glomerular thrombosis, while no patients with type II RPGN exhibited this condition. In contrast, Mohamed et al. reported that three patients with type II RPGN had glomerular thrombosis, but none of the patients with type I or type III RPGN had it. </w:t>
      </w:r>
      <w:r w:rsidRPr="00C01F07">
        <w:rPr>
          <w:rFonts w:ascii="Arial" w:eastAsia="Calibri" w:hAnsi="Arial" w:cs="Arial"/>
          <w:kern w:val="2"/>
          <w:sz w:val="24"/>
          <w:szCs w:val="24"/>
          <w:vertAlign w:val="superscript"/>
          <w:lang w:bidi="ar"/>
        </w:rPr>
        <w:t>[1]</w:t>
      </w:r>
    </w:p>
    <w:p w14:paraId="5A62FD76" w14:textId="77777777" w:rsidR="00B22B4F" w:rsidRPr="00C01F07" w:rsidRDefault="00B22B4F" w:rsidP="00B22B4F">
      <w:pPr>
        <w:spacing w:before="240" w:line="360" w:lineRule="auto"/>
        <w:jc w:val="both"/>
        <w:rPr>
          <w:rFonts w:ascii="Arial" w:eastAsia="Calibri" w:hAnsi="Arial" w:cs="Arial"/>
          <w:kern w:val="2"/>
          <w:sz w:val="24"/>
          <w:szCs w:val="24"/>
          <w:vertAlign w:val="superscript"/>
          <w:lang w:bidi="ar"/>
        </w:rPr>
      </w:pPr>
      <w:r w:rsidRPr="00C01F07">
        <w:rPr>
          <w:rFonts w:ascii="Arial" w:eastAsia="Calibri" w:hAnsi="Arial" w:cs="Arial"/>
          <w:kern w:val="2"/>
          <w:sz w:val="24"/>
          <w:szCs w:val="24"/>
          <w:lang w:bidi="ar"/>
        </w:rPr>
        <w:t xml:space="preserve">We found that 1(16.6%),8(30.7%), </w:t>
      </w:r>
      <w:proofErr w:type="gramStart"/>
      <w:r w:rsidRPr="00C01F07">
        <w:rPr>
          <w:rFonts w:ascii="Arial" w:eastAsia="Calibri" w:hAnsi="Arial" w:cs="Arial"/>
          <w:kern w:val="2"/>
          <w:sz w:val="24"/>
          <w:szCs w:val="24"/>
          <w:lang w:bidi="ar"/>
        </w:rPr>
        <w:t>10( 100</w:t>
      </w:r>
      <w:proofErr w:type="gramEnd"/>
      <w:r w:rsidRPr="00C01F07">
        <w:rPr>
          <w:rFonts w:ascii="Arial" w:eastAsia="Calibri" w:hAnsi="Arial" w:cs="Arial"/>
          <w:kern w:val="2"/>
          <w:sz w:val="24"/>
          <w:szCs w:val="24"/>
          <w:lang w:bidi="ar"/>
        </w:rPr>
        <w:t>%) ) and 3(100%) patients with type I, type II, type III and type IV RPGN, respectively, had fibrinoid necrosis. In contrast, Gupta et al. reported fibrinoid necrosis in 54.5%, 23%, and 29% of patients with type I, type II, and type III RPGN, respectively. This differs from the findings of Nagaraju et al., who found no arterial fibrinoid necrosis in RPGN patients.</w:t>
      </w:r>
      <w:r w:rsidRPr="00C01F07">
        <w:rPr>
          <w:rFonts w:ascii="Arial" w:eastAsia="Calibri" w:hAnsi="Arial" w:cs="Arial"/>
          <w:kern w:val="2"/>
          <w:sz w:val="24"/>
          <w:szCs w:val="24"/>
          <w:vertAlign w:val="superscript"/>
          <w:lang w:bidi="ar"/>
        </w:rPr>
        <w:t>[5]</w:t>
      </w:r>
    </w:p>
    <w:p w14:paraId="22A28497" w14:textId="77777777" w:rsidR="00B22B4F" w:rsidRPr="00C01F07" w:rsidRDefault="00B22B4F" w:rsidP="00B22B4F">
      <w:pPr>
        <w:spacing w:before="240" w:line="360" w:lineRule="auto"/>
        <w:jc w:val="both"/>
        <w:rPr>
          <w:rFonts w:ascii="Arial" w:eastAsia="Calibri" w:hAnsi="Arial" w:cs="Arial"/>
          <w:kern w:val="2"/>
          <w:sz w:val="24"/>
          <w:szCs w:val="24"/>
          <w:lang w:bidi="ar"/>
        </w:rPr>
      </w:pPr>
      <w:r w:rsidRPr="00C01F07">
        <w:rPr>
          <w:rFonts w:ascii="Arial" w:eastAsia="Calibri" w:hAnsi="Arial" w:cs="Arial"/>
          <w:kern w:val="2"/>
          <w:sz w:val="24"/>
          <w:szCs w:val="24"/>
          <w:lang w:bidi="ar"/>
        </w:rPr>
        <w:t xml:space="preserve">Complement activation is responsible for the active lesions seen in RPGN, including glomerular leukocytic infiltrates, vascular fibrinoid necrosis, endothelial and mesangial cell proliferation, intravascular neutrophil karyorrhexis or </w:t>
      </w:r>
      <w:proofErr w:type="spellStart"/>
      <w:r w:rsidRPr="00C01F07">
        <w:rPr>
          <w:rFonts w:ascii="Arial" w:eastAsia="Calibri" w:hAnsi="Arial" w:cs="Arial"/>
          <w:kern w:val="2"/>
          <w:sz w:val="24"/>
          <w:szCs w:val="24"/>
          <w:lang w:bidi="ar"/>
        </w:rPr>
        <w:t>NETosis</w:t>
      </w:r>
      <w:proofErr w:type="spellEnd"/>
      <w:r w:rsidRPr="00C01F07">
        <w:rPr>
          <w:rFonts w:ascii="Arial" w:eastAsia="Calibri" w:hAnsi="Arial" w:cs="Arial"/>
          <w:kern w:val="2"/>
          <w:sz w:val="24"/>
          <w:szCs w:val="24"/>
          <w:lang w:bidi="ar"/>
        </w:rPr>
        <w:t xml:space="preserve">, </w:t>
      </w:r>
      <w:proofErr w:type="spellStart"/>
      <w:r w:rsidRPr="00C01F07">
        <w:rPr>
          <w:rFonts w:ascii="Arial" w:eastAsia="Calibri" w:hAnsi="Arial" w:cs="Arial"/>
          <w:kern w:val="2"/>
          <w:sz w:val="24"/>
          <w:szCs w:val="24"/>
          <w:lang w:bidi="ar"/>
        </w:rPr>
        <w:t>immunothrombosis</w:t>
      </w:r>
      <w:proofErr w:type="spellEnd"/>
      <w:r w:rsidRPr="00C01F07">
        <w:rPr>
          <w:rFonts w:ascii="Arial" w:eastAsia="Calibri" w:hAnsi="Arial" w:cs="Arial"/>
          <w:kern w:val="2"/>
          <w:sz w:val="24"/>
          <w:szCs w:val="24"/>
          <w:lang w:bidi="ar"/>
        </w:rPr>
        <w:t xml:space="preserve"> and fibrin deposition, and cellular crescents. ANCA (anti-neutrophil cytoplasmic antibodies) is implicated in 50–80% of cases, targeting either proteinase 3 (PR3), myeloperoxidase (MPO), or both. While the precise mechanism behind ANCA development is not fully understood, autoantibodies are known to activate neutrophils, leading to damage of the glomerular capillary wall. Both systemic and local complement activation occur via different pathways. Furthermore, cytokines like TNF-α play a crucial role in the pathophysiology. Anti-plasminogen and plasminogen activator autoantibodies can impair fibrinolysis, increasing the risk of thrombophilia and fibrinoid necrosis. </w:t>
      </w:r>
      <w:r w:rsidRPr="00C01F07">
        <w:rPr>
          <w:rFonts w:ascii="Arial" w:eastAsia="Calibri" w:hAnsi="Arial" w:cs="Arial"/>
          <w:kern w:val="2"/>
          <w:sz w:val="24"/>
          <w:szCs w:val="24"/>
          <w:vertAlign w:val="superscript"/>
          <w:lang w:bidi="ar"/>
        </w:rPr>
        <w:t>[15]</w:t>
      </w:r>
    </w:p>
    <w:p w14:paraId="4FC55DD6" w14:textId="001CDF0A" w:rsidR="00B22B4F" w:rsidRPr="00C01F07" w:rsidRDefault="00B22B4F" w:rsidP="00B22B4F">
      <w:pPr>
        <w:spacing w:before="240" w:line="360" w:lineRule="auto"/>
        <w:jc w:val="both"/>
        <w:rPr>
          <w:rFonts w:ascii="Arial" w:eastAsia="Calibri" w:hAnsi="Arial" w:cs="Arial"/>
          <w:kern w:val="2"/>
          <w:sz w:val="24"/>
          <w:szCs w:val="24"/>
          <w:lang w:bidi="ar"/>
        </w:rPr>
      </w:pPr>
      <w:r w:rsidRPr="00C01F07">
        <w:rPr>
          <w:rFonts w:ascii="Arial" w:eastAsia="Calibri" w:hAnsi="Arial" w:cs="Arial"/>
          <w:kern w:val="2"/>
          <w:sz w:val="24"/>
          <w:szCs w:val="24"/>
          <w:lang w:bidi="ar"/>
        </w:rPr>
        <w:t xml:space="preserve">End stage renal disease was the most common primary outcome in our study. Of the 45 patients, 12 (26.67%) died during follow-up, and 17 (37.77%) </w:t>
      </w:r>
      <w:r w:rsidRPr="00C01F07">
        <w:rPr>
          <w:rFonts w:ascii="Arial" w:eastAsia="Calibri" w:hAnsi="Arial" w:cs="Arial"/>
          <w:kern w:val="2"/>
          <w:sz w:val="24"/>
          <w:szCs w:val="24"/>
          <w:lang w:bidi="ar"/>
        </w:rPr>
        <w:lastRenderedPageBreak/>
        <w:t>developed ESRD. Twelve patients (26.67%) experienced partial remission, and 5 patients (11.11%) achieved complete remission. Similar findings were reported by Nagaraju et al., who found that 8 of 29 patients (27.6%) died, 30% required continuous hemodialysis due to ESRD, and 34.5% achieved complete or partial remission by the end of the observation period.</w:t>
      </w:r>
      <w:r w:rsidRPr="00C01F07">
        <w:rPr>
          <w:rFonts w:ascii="Arial" w:eastAsia="Calibri" w:hAnsi="Arial" w:cs="Arial"/>
          <w:kern w:val="2"/>
          <w:sz w:val="24"/>
          <w:szCs w:val="24"/>
          <w:vertAlign w:val="superscript"/>
          <w:lang w:bidi="ar"/>
        </w:rPr>
        <w:t>[5]</w:t>
      </w:r>
      <w:proofErr w:type="spellStart"/>
      <w:r w:rsidRPr="00C01F07">
        <w:rPr>
          <w:rFonts w:ascii="Arial" w:eastAsia="Calibri" w:hAnsi="Arial" w:cs="Arial"/>
          <w:kern w:val="2"/>
          <w:sz w:val="24"/>
          <w:szCs w:val="24"/>
          <w:lang w:bidi="ar"/>
        </w:rPr>
        <w:t>Rampelli</w:t>
      </w:r>
      <w:proofErr w:type="spellEnd"/>
      <w:r w:rsidRPr="00C01F07">
        <w:rPr>
          <w:rFonts w:ascii="Arial" w:eastAsia="Calibri" w:hAnsi="Arial" w:cs="Arial"/>
          <w:kern w:val="2"/>
          <w:sz w:val="24"/>
          <w:szCs w:val="24"/>
          <w:lang w:bidi="ar"/>
        </w:rPr>
        <w:t xml:space="preserve"> et al. reported that 18.9% of patients died, while 48.6% developed ESRD, which is similar to our results.</w:t>
      </w:r>
      <w:r w:rsidRPr="00C01F07">
        <w:rPr>
          <w:rFonts w:ascii="Arial" w:eastAsia="Calibri" w:hAnsi="Arial" w:cs="Arial"/>
          <w:kern w:val="2"/>
          <w:sz w:val="24"/>
          <w:szCs w:val="24"/>
          <w:vertAlign w:val="superscript"/>
          <w:lang w:bidi="ar"/>
        </w:rPr>
        <w:t>[11]</w:t>
      </w:r>
      <w:r w:rsidRPr="00C01F07">
        <w:rPr>
          <w:rFonts w:ascii="Arial" w:eastAsia="Calibri" w:hAnsi="Arial" w:cs="Arial"/>
          <w:kern w:val="2"/>
          <w:sz w:val="24"/>
          <w:szCs w:val="24"/>
          <w:lang w:bidi="ar"/>
        </w:rPr>
        <w:t xml:space="preserve"> Sharma et al.'s study also reported comparable findings, with complete and partial remission seen in 12.5% and 22.5% of patients, respectively, and 10 patients dying during follow-up.</w:t>
      </w:r>
      <w:r w:rsidRPr="00C01F07">
        <w:rPr>
          <w:rFonts w:ascii="Arial" w:eastAsia="Calibri" w:hAnsi="Arial" w:cs="Arial"/>
          <w:kern w:val="2"/>
          <w:sz w:val="24"/>
          <w:szCs w:val="24"/>
          <w:vertAlign w:val="superscript"/>
          <w:lang w:bidi="ar"/>
        </w:rPr>
        <w:t>[2]</w:t>
      </w:r>
      <w:r w:rsidR="007A2E52" w:rsidRPr="00C01F07">
        <w:rPr>
          <w:rFonts w:ascii="Arial" w:eastAsia="Calibri" w:hAnsi="Arial" w:cs="Arial"/>
          <w:kern w:val="2"/>
          <w:sz w:val="24"/>
          <w:szCs w:val="24"/>
          <w:vertAlign w:val="superscript"/>
          <w:lang w:bidi="ar"/>
        </w:rPr>
        <w:t xml:space="preserve"> </w:t>
      </w:r>
      <w:proofErr w:type="spellStart"/>
      <w:r w:rsidRPr="00C01F07">
        <w:rPr>
          <w:rFonts w:ascii="Arial" w:eastAsia="Calibri" w:hAnsi="Arial" w:cs="Arial"/>
          <w:kern w:val="2"/>
          <w:sz w:val="24"/>
          <w:szCs w:val="24"/>
          <w:lang w:bidi="ar"/>
        </w:rPr>
        <w:t>Erdogmus</w:t>
      </w:r>
      <w:proofErr w:type="spellEnd"/>
      <w:r w:rsidRPr="00C01F07">
        <w:rPr>
          <w:rFonts w:ascii="Arial" w:eastAsia="Calibri" w:hAnsi="Arial" w:cs="Arial"/>
          <w:kern w:val="2"/>
          <w:sz w:val="24"/>
          <w:szCs w:val="24"/>
          <w:lang w:bidi="ar"/>
        </w:rPr>
        <w:t xml:space="preserve"> et al. found that by the end of a 30-month follow-up period, 34% of patients had progressed to ESRD and 13.5% had died.</w:t>
      </w:r>
      <w:r w:rsidRPr="00C01F07">
        <w:rPr>
          <w:rFonts w:ascii="Arial" w:eastAsia="Calibri" w:hAnsi="Arial" w:cs="Arial"/>
          <w:kern w:val="2"/>
          <w:sz w:val="24"/>
          <w:szCs w:val="24"/>
          <w:vertAlign w:val="superscript"/>
          <w:lang w:bidi="ar"/>
        </w:rPr>
        <w:t>[16]</w:t>
      </w:r>
      <w:r w:rsidRPr="00C01F07">
        <w:rPr>
          <w:rFonts w:ascii="Arial" w:eastAsia="Calibri" w:hAnsi="Arial" w:cs="Arial"/>
          <w:kern w:val="2"/>
          <w:sz w:val="24"/>
          <w:szCs w:val="24"/>
          <w:lang w:bidi="ar"/>
        </w:rPr>
        <w:t xml:space="preserve"> Similar results were observed by </w:t>
      </w:r>
      <w:proofErr w:type="spellStart"/>
      <w:r w:rsidRPr="00C01F07">
        <w:rPr>
          <w:rFonts w:ascii="Arial" w:eastAsia="Calibri" w:hAnsi="Arial" w:cs="Arial"/>
          <w:kern w:val="2"/>
          <w:sz w:val="24"/>
          <w:szCs w:val="24"/>
          <w:lang w:bidi="ar"/>
        </w:rPr>
        <w:t>Alsuheili</w:t>
      </w:r>
      <w:proofErr w:type="spellEnd"/>
      <w:r w:rsidRPr="00C01F07">
        <w:rPr>
          <w:rFonts w:ascii="Arial" w:eastAsia="Calibri" w:hAnsi="Arial" w:cs="Arial"/>
          <w:kern w:val="2"/>
          <w:sz w:val="24"/>
          <w:szCs w:val="24"/>
          <w:lang w:bidi="ar"/>
        </w:rPr>
        <w:t xml:space="preserve"> et al.</w:t>
      </w:r>
      <w:r w:rsidRPr="00C01F07">
        <w:rPr>
          <w:rFonts w:ascii="Arial" w:eastAsia="Calibri" w:hAnsi="Arial" w:cs="Arial"/>
          <w:kern w:val="2"/>
          <w:sz w:val="24"/>
          <w:szCs w:val="24"/>
          <w:vertAlign w:val="superscript"/>
          <w:lang w:bidi="ar"/>
        </w:rPr>
        <w:t>[17]</w:t>
      </w:r>
    </w:p>
    <w:p w14:paraId="61ADB16F" w14:textId="77777777" w:rsidR="00B22B4F" w:rsidRPr="00C01F07" w:rsidRDefault="00B22B4F" w:rsidP="00B22B4F">
      <w:pPr>
        <w:spacing w:before="240" w:line="360" w:lineRule="auto"/>
        <w:jc w:val="both"/>
        <w:rPr>
          <w:rFonts w:ascii="Arial" w:eastAsia="Calibri" w:hAnsi="Arial" w:cs="Arial"/>
          <w:kern w:val="2"/>
          <w:sz w:val="24"/>
          <w:szCs w:val="24"/>
          <w:lang w:bidi="ar"/>
        </w:rPr>
      </w:pPr>
      <w:r w:rsidRPr="00C01F07">
        <w:rPr>
          <w:rFonts w:ascii="Arial" w:eastAsia="Calibri" w:hAnsi="Arial" w:cs="Arial"/>
          <w:kern w:val="2"/>
          <w:sz w:val="24"/>
          <w:szCs w:val="24"/>
          <w:lang w:bidi="ar"/>
        </w:rPr>
        <w:t xml:space="preserve">We further separated the patients into following outcomes; complete remission, partial remission, end stage renal disease and </w:t>
      </w:r>
      <w:proofErr w:type="gramStart"/>
      <w:r w:rsidRPr="00C01F07">
        <w:rPr>
          <w:rFonts w:ascii="Arial" w:eastAsia="Calibri" w:hAnsi="Arial" w:cs="Arial"/>
          <w:kern w:val="2"/>
          <w:sz w:val="24"/>
          <w:szCs w:val="24"/>
          <w:lang w:bidi="ar"/>
        </w:rPr>
        <w:t>death .</w:t>
      </w:r>
      <w:proofErr w:type="gramEnd"/>
      <w:r w:rsidRPr="00C01F07">
        <w:rPr>
          <w:rFonts w:ascii="Arial" w:eastAsia="Calibri" w:hAnsi="Arial" w:cs="Arial"/>
          <w:kern w:val="2"/>
          <w:sz w:val="24"/>
          <w:szCs w:val="24"/>
          <w:lang w:bidi="ar"/>
        </w:rPr>
        <w:t xml:space="preserve"> It was observed that the ESRD group experienced a marked rise in serum creatinine levels at admission, oedema, HTN, oliguria, the need for HD at presentation, and proteinuria. The ESRD group had significantly lower levels of serum albumin and hemoglobin. Sclerotic glomeruli and fibrous crescents were substantially more common in ESRD patients, while cellular crescents were less common. </w:t>
      </w:r>
    </w:p>
    <w:p w14:paraId="5F7CCF3B" w14:textId="77777777" w:rsidR="00B22B4F" w:rsidRPr="00C01F07" w:rsidRDefault="00B22B4F" w:rsidP="00B22B4F">
      <w:pPr>
        <w:spacing w:before="240" w:line="360" w:lineRule="auto"/>
        <w:jc w:val="both"/>
        <w:rPr>
          <w:rFonts w:ascii="Arial" w:eastAsia="Calibri" w:hAnsi="Arial" w:cs="Arial"/>
          <w:kern w:val="2"/>
          <w:sz w:val="24"/>
          <w:szCs w:val="24"/>
          <w:lang w:bidi="ar"/>
        </w:rPr>
      </w:pPr>
      <w:r w:rsidRPr="00C01F07">
        <w:rPr>
          <w:rFonts w:ascii="Arial" w:eastAsia="Calibri" w:hAnsi="Arial" w:cs="Arial"/>
          <w:kern w:val="2"/>
          <w:sz w:val="24"/>
          <w:szCs w:val="24"/>
          <w:lang w:bidi="ar"/>
        </w:rPr>
        <w:t>In Nagaraju et al.'s study, univariate regression analysis identified oliguria, the need for hemodialysis at presentation, and elevated serum creatinine at admission as the primary risk factors for death and renal loss. In contrast to our findings, their results were not influenced by histopathological features such as IFTA or the presence of fibrous/</w:t>
      </w:r>
      <w:proofErr w:type="spellStart"/>
      <w:r w:rsidRPr="00C01F07">
        <w:rPr>
          <w:rFonts w:ascii="Arial" w:eastAsia="Calibri" w:hAnsi="Arial" w:cs="Arial"/>
          <w:kern w:val="2"/>
          <w:sz w:val="24"/>
          <w:szCs w:val="24"/>
          <w:lang w:bidi="ar"/>
        </w:rPr>
        <w:t>fibrocellular</w:t>
      </w:r>
      <w:proofErr w:type="spellEnd"/>
      <w:r w:rsidRPr="00C01F07">
        <w:rPr>
          <w:rFonts w:ascii="Arial" w:eastAsia="Calibri" w:hAnsi="Arial" w:cs="Arial"/>
          <w:kern w:val="2"/>
          <w:sz w:val="24"/>
          <w:szCs w:val="24"/>
          <w:lang w:bidi="ar"/>
        </w:rPr>
        <w:t xml:space="preserve"> crescents.</w:t>
      </w:r>
      <w:r w:rsidRPr="00C01F07">
        <w:rPr>
          <w:rFonts w:ascii="Arial" w:eastAsia="Calibri" w:hAnsi="Arial" w:cs="Arial"/>
          <w:kern w:val="2"/>
          <w:sz w:val="24"/>
          <w:szCs w:val="24"/>
          <w:vertAlign w:val="superscript"/>
          <w:lang w:bidi="ar"/>
        </w:rPr>
        <w:t xml:space="preserve"> [5]</w:t>
      </w:r>
      <w:r w:rsidRPr="00C01F07">
        <w:rPr>
          <w:rFonts w:ascii="Arial" w:eastAsia="Calibri" w:hAnsi="Arial" w:cs="Arial"/>
          <w:kern w:val="2"/>
          <w:sz w:val="24"/>
          <w:szCs w:val="24"/>
          <w:lang w:bidi="ar"/>
        </w:rPr>
        <w:t xml:space="preserve"> In </w:t>
      </w:r>
      <w:proofErr w:type="spellStart"/>
      <w:r w:rsidRPr="00C01F07">
        <w:rPr>
          <w:rFonts w:ascii="Arial" w:eastAsia="Calibri" w:hAnsi="Arial" w:cs="Arial"/>
          <w:kern w:val="2"/>
          <w:sz w:val="24"/>
          <w:szCs w:val="24"/>
          <w:lang w:bidi="ar"/>
        </w:rPr>
        <w:t>Eksin</w:t>
      </w:r>
      <w:proofErr w:type="spellEnd"/>
      <w:r w:rsidRPr="00C01F07">
        <w:rPr>
          <w:rFonts w:ascii="Arial" w:eastAsia="Calibri" w:hAnsi="Arial" w:cs="Arial"/>
          <w:kern w:val="2"/>
          <w:sz w:val="24"/>
          <w:szCs w:val="24"/>
          <w:lang w:bidi="ar"/>
        </w:rPr>
        <w:t xml:space="preserve"> et al.'s study, univariate regression showed that both serum creatinine (P = 0.019) and the requirement for dialysis at the time of diagnosis (P = 0.018) were significant predictors of renal loss.</w:t>
      </w:r>
      <w:r w:rsidRPr="00C01F07">
        <w:rPr>
          <w:rFonts w:ascii="Arial" w:eastAsia="Calibri" w:hAnsi="Arial" w:cs="Arial"/>
          <w:kern w:val="2"/>
          <w:sz w:val="24"/>
          <w:szCs w:val="24"/>
          <w:vertAlign w:val="superscript"/>
          <w:lang w:bidi="ar"/>
        </w:rPr>
        <w:t>[14]</w:t>
      </w:r>
      <w:r w:rsidRPr="00C01F07">
        <w:rPr>
          <w:rFonts w:ascii="Arial" w:eastAsia="Calibri" w:hAnsi="Arial" w:cs="Arial"/>
          <w:kern w:val="2"/>
          <w:sz w:val="24"/>
          <w:szCs w:val="24"/>
          <w:lang w:bidi="ar"/>
        </w:rPr>
        <w:t xml:space="preserve"> Another study found that a serum creatinine level of ≥3.5 mg/dl and an IFTA score greater than 25% were risk factors for end-stage renal disease.</w:t>
      </w:r>
    </w:p>
    <w:p w14:paraId="5226F774" w14:textId="543914E9" w:rsidR="00B22B4F" w:rsidRPr="00C01F07" w:rsidRDefault="00B22B4F" w:rsidP="00B22B4F">
      <w:pPr>
        <w:spacing w:before="240" w:line="360" w:lineRule="auto"/>
        <w:jc w:val="both"/>
        <w:rPr>
          <w:rFonts w:ascii="Arial" w:eastAsia="Calibri" w:hAnsi="Arial" w:cs="Arial"/>
          <w:kern w:val="2"/>
          <w:sz w:val="24"/>
          <w:szCs w:val="24"/>
          <w:lang w:bidi="ar"/>
        </w:rPr>
      </w:pPr>
      <w:r w:rsidRPr="00C01F07">
        <w:rPr>
          <w:rFonts w:ascii="Arial" w:eastAsia="Calibri" w:hAnsi="Arial" w:cs="Arial"/>
          <w:kern w:val="2"/>
          <w:sz w:val="24"/>
          <w:szCs w:val="24"/>
          <w:lang w:bidi="ar"/>
        </w:rPr>
        <w:t xml:space="preserve">Mohamed et al.'s study found that univariate logistic regression identified IFTA (P &lt; 0.001), mesangial proliferation (P = 0.01), oliguria (P &lt; 0.001), serum creatinine at presentation (P &lt; 0.001), and the percentage of crescents (P &lt; </w:t>
      </w:r>
      <w:r w:rsidRPr="00C01F07">
        <w:rPr>
          <w:rFonts w:ascii="Arial" w:eastAsia="Calibri" w:hAnsi="Arial" w:cs="Arial"/>
          <w:kern w:val="2"/>
          <w:sz w:val="24"/>
          <w:szCs w:val="24"/>
          <w:lang w:bidi="ar"/>
        </w:rPr>
        <w:lastRenderedPageBreak/>
        <w:t xml:space="preserve">0.001) as predictors of ESRD. Multivariate regression revealed that oliguria (P = 0.001), IFTA (P &lt; 0.001), and the percentage of crescents (P = 0.01) were significant ESRD predictors. </w:t>
      </w:r>
      <w:r w:rsidRPr="00C01F07">
        <w:rPr>
          <w:rFonts w:ascii="Arial" w:eastAsia="Calibri" w:hAnsi="Arial" w:cs="Arial"/>
          <w:kern w:val="2"/>
          <w:sz w:val="24"/>
          <w:szCs w:val="24"/>
          <w:vertAlign w:val="superscript"/>
          <w:lang w:bidi="ar"/>
        </w:rPr>
        <w:t>[1, 3]</w:t>
      </w:r>
    </w:p>
    <w:p w14:paraId="3BF001FF" w14:textId="77777777" w:rsidR="00B22B4F" w:rsidRPr="00C01F07" w:rsidRDefault="00B22B4F" w:rsidP="00B22B4F">
      <w:pPr>
        <w:spacing w:before="240" w:line="360" w:lineRule="auto"/>
        <w:jc w:val="both"/>
        <w:rPr>
          <w:rFonts w:ascii="Arial" w:eastAsia="Calibri" w:hAnsi="Arial" w:cs="Arial"/>
          <w:kern w:val="2"/>
          <w:sz w:val="24"/>
          <w:szCs w:val="24"/>
          <w:lang w:bidi="ar"/>
        </w:rPr>
      </w:pPr>
      <w:r w:rsidRPr="00C01F07">
        <w:rPr>
          <w:rFonts w:ascii="Arial" w:eastAsia="Calibri" w:hAnsi="Arial" w:cs="Arial"/>
          <w:kern w:val="2"/>
          <w:sz w:val="24"/>
          <w:szCs w:val="24"/>
          <w:lang w:bidi="ar"/>
        </w:rPr>
        <w:t xml:space="preserve"> </w:t>
      </w:r>
    </w:p>
    <w:p w14:paraId="018959D9" w14:textId="46B86598" w:rsidR="00B22B4F" w:rsidRPr="00C01F07" w:rsidRDefault="00B22B4F" w:rsidP="00B22B4F">
      <w:pPr>
        <w:spacing w:before="240" w:line="360" w:lineRule="auto"/>
        <w:jc w:val="both"/>
        <w:rPr>
          <w:rFonts w:ascii="Arial" w:eastAsia="Calibri" w:hAnsi="Arial" w:cs="Arial"/>
          <w:kern w:val="2"/>
          <w:sz w:val="24"/>
          <w:szCs w:val="24"/>
          <w:lang w:bidi="ar"/>
        </w:rPr>
      </w:pPr>
      <w:r w:rsidRPr="00C01F07">
        <w:rPr>
          <w:rFonts w:ascii="Arial" w:eastAsia="Calibri" w:hAnsi="Arial" w:cs="Arial"/>
          <w:kern w:val="2"/>
          <w:sz w:val="24"/>
          <w:szCs w:val="24"/>
          <w:lang w:bidi="ar"/>
        </w:rPr>
        <w:t xml:space="preserve">In our study, all patients were </w:t>
      </w:r>
      <w:r w:rsidR="007A2E52" w:rsidRPr="00C01F07">
        <w:rPr>
          <w:rFonts w:ascii="Arial" w:eastAsia="Calibri" w:hAnsi="Arial" w:cs="Arial"/>
          <w:kern w:val="2"/>
          <w:sz w:val="24"/>
          <w:szCs w:val="24"/>
          <w:lang w:bidi="ar"/>
        </w:rPr>
        <w:t>t</w:t>
      </w:r>
      <w:r w:rsidRPr="00C01F07">
        <w:rPr>
          <w:rFonts w:ascii="Arial" w:eastAsia="Calibri" w:hAnsi="Arial" w:cs="Arial"/>
          <w:kern w:val="2"/>
          <w:sz w:val="24"/>
          <w:szCs w:val="24"/>
          <w:lang w:bidi="ar"/>
        </w:rPr>
        <w:t xml:space="preserve">reated with cyclophosphamide as induction agent. Cyclophosphamide use was found to be an independent predictor of both renal and patient survival in a survival analysis by Lee et al. </w:t>
      </w:r>
      <w:r w:rsidRPr="00C01F07">
        <w:rPr>
          <w:rFonts w:ascii="Arial" w:eastAsia="Calibri" w:hAnsi="Arial" w:cs="Arial"/>
          <w:kern w:val="2"/>
          <w:sz w:val="24"/>
          <w:szCs w:val="24"/>
          <w:vertAlign w:val="superscript"/>
          <w:lang w:bidi="ar"/>
        </w:rPr>
        <w:t>[21]</w:t>
      </w:r>
      <w:r w:rsidRPr="00C01F07">
        <w:rPr>
          <w:rFonts w:ascii="Arial" w:eastAsia="Calibri" w:hAnsi="Arial" w:cs="Arial"/>
          <w:kern w:val="2"/>
          <w:sz w:val="24"/>
          <w:szCs w:val="24"/>
          <w:lang w:bidi="ar"/>
        </w:rPr>
        <w:t xml:space="preserve"> Furthermore, the positive effect of cyclophosphamide on patient survival is consistent with findings from previous studies. </w:t>
      </w:r>
      <w:r w:rsidRPr="00C01F07">
        <w:rPr>
          <w:rFonts w:ascii="Arial" w:eastAsia="Calibri" w:hAnsi="Arial" w:cs="Arial"/>
          <w:kern w:val="2"/>
          <w:sz w:val="24"/>
          <w:szCs w:val="24"/>
          <w:vertAlign w:val="superscript"/>
          <w:lang w:bidi="ar"/>
        </w:rPr>
        <w:t>[22-23]</w:t>
      </w:r>
      <w:r w:rsidRPr="00C01F07">
        <w:rPr>
          <w:rFonts w:ascii="Arial" w:eastAsia="Calibri" w:hAnsi="Arial" w:cs="Arial"/>
          <w:kern w:val="2"/>
          <w:sz w:val="24"/>
          <w:szCs w:val="24"/>
          <w:lang w:bidi="ar"/>
        </w:rPr>
        <w:t xml:space="preserve"> In a study by Ishikawa et al., 8.5% of patients in the rituximab group had poor renal outcomes, compared to only 2.4% in the cyclophosphamide group (P &lt; 0.01). </w:t>
      </w:r>
      <w:r w:rsidRPr="00C01F07">
        <w:rPr>
          <w:rFonts w:ascii="Arial" w:eastAsia="Calibri" w:hAnsi="Arial" w:cs="Arial"/>
          <w:kern w:val="2"/>
          <w:sz w:val="24"/>
          <w:szCs w:val="24"/>
          <w:vertAlign w:val="superscript"/>
          <w:lang w:bidi="ar"/>
        </w:rPr>
        <w:t xml:space="preserve">[24] </w:t>
      </w:r>
      <w:r w:rsidRPr="00C01F07">
        <w:rPr>
          <w:rFonts w:ascii="Arial" w:eastAsia="Calibri" w:hAnsi="Arial" w:cs="Arial"/>
          <w:kern w:val="2"/>
          <w:sz w:val="24"/>
          <w:szCs w:val="24"/>
          <w:lang w:bidi="ar"/>
        </w:rPr>
        <w:t>Our findings support these results.</w:t>
      </w:r>
    </w:p>
    <w:p w14:paraId="5CA083FC" w14:textId="77777777" w:rsidR="0066287B" w:rsidRPr="00C01F07" w:rsidRDefault="0066287B" w:rsidP="0066287B">
      <w:pPr>
        <w:spacing w:before="240" w:line="360" w:lineRule="auto"/>
        <w:jc w:val="both"/>
        <w:rPr>
          <w:rFonts w:ascii="Arial" w:eastAsia="Calibri" w:hAnsi="Arial" w:cs="Arial"/>
          <w:b/>
          <w:bCs/>
          <w:kern w:val="2"/>
          <w:sz w:val="22"/>
          <w:szCs w:val="22"/>
          <w:u w:val="single"/>
          <w:lang w:bidi="ar"/>
        </w:rPr>
      </w:pPr>
    </w:p>
    <w:p w14:paraId="3D1A9549" w14:textId="199AA45F" w:rsidR="0066287B" w:rsidRPr="00C01F07" w:rsidRDefault="0066287B" w:rsidP="0066287B">
      <w:pPr>
        <w:spacing w:before="240" w:line="360" w:lineRule="auto"/>
        <w:jc w:val="both"/>
        <w:rPr>
          <w:rFonts w:ascii="Arial" w:eastAsia="Calibri" w:hAnsi="Arial" w:cs="Arial"/>
          <w:b/>
          <w:bCs/>
          <w:kern w:val="2"/>
          <w:sz w:val="22"/>
          <w:szCs w:val="22"/>
          <w:lang w:bidi="ar"/>
        </w:rPr>
      </w:pPr>
      <w:r w:rsidRPr="00C01F07">
        <w:rPr>
          <w:rFonts w:ascii="Arial" w:eastAsia="Calibri" w:hAnsi="Arial" w:cs="Arial"/>
          <w:b/>
          <w:bCs/>
          <w:kern w:val="2"/>
          <w:sz w:val="22"/>
          <w:szCs w:val="22"/>
          <w:lang w:bidi="ar"/>
        </w:rPr>
        <w:t>TABLES:</w:t>
      </w:r>
    </w:p>
    <w:p w14:paraId="3FDDF40D" w14:textId="77777777" w:rsidR="0066287B" w:rsidRPr="00C01F07" w:rsidRDefault="0066287B" w:rsidP="0066287B">
      <w:pPr>
        <w:spacing w:before="240" w:line="360" w:lineRule="auto"/>
        <w:jc w:val="both"/>
        <w:rPr>
          <w:rFonts w:ascii="Arial" w:eastAsia="Calibri" w:hAnsi="Arial" w:cs="Arial"/>
          <w:b/>
          <w:bCs/>
          <w:kern w:val="2"/>
          <w:sz w:val="22"/>
          <w:szCs w:val="22"/>
          <w:lang w:bidi="ar"/>
        </w:rPr>
      </w:pPr>
      <w:r w:rsidRPr="00C01F07">
        <w:rPr>
          <w:rFonts w:ascii="Arial" w:eastAsia="Calibri" w:hAnsi="Arial" w:cs="Arial"/>
          <w:b/>
          <w:bCs/>
          <w:kern w:val="2"/>
          <w:sz w:val="22"/>
          <w:szCs w:val="22"/>
          <w:lang w:bidi="ar"/>
        </w:rPr>
        <w:t>Table 1: Demographic and clinical characteristics of the studied RPGN patients</w:t>
      </w:r>
    </w:p>
    <w:tbl>
      <w:tblPr>
        <w:tblW w:w="8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35"/>
        <w:gridCol w:w="1350"/>
        <w:gridCol w:w="1463"/>
        <w:gridCol w:w="1237"/>
        <w:gridCol w:w="1305"/>
      </w:tblGrid>
      <w:tr w:rsidR="0066287B" w:rsidRPr="00C01F07" w14:paraId="24F42E7E" w14:textId="77777777" w:rsidTr="00306001">
        <w:trPr>
          <w:trHeight w:val="414"/>
          <w:jc w:val="center"/>
        </w:trPr>
        <w:tc>
          <w:tcPr>
            <w:tcW w:w="3235" w:type="dxa"/>
            <w:vMerge w:val="restart"/>
            <w:tcBorders>
              <w:top w:val="single" w:sz="4" w:space="0" w:color="auto"/>
              <w:left w:val="single" w:sz="4" w:space="0" w:color="auto"/>
              <w:bottom w:val="single" w:sz="4" w:space="0" w:color="auto"/>
              <w:right w:val="single" w:sz="4" w:space="0" w:color="auto"/>
            </w:tcBorders>
            <w:shd w:val="clear" w:color="auto" w:fill="auto"/>
          </w:tcPr>
          <w:p w14:paraId="40E86B18" w14:textId="77777777" w:rsidR="0066287B" w:rsidRPr="00C01F07" w:rsidRDefault="0066287B" w:rsidP="0066287B">
            <w:pPr>
              <w:spacing w:before="240" w:line="360" w:lineRule="auto"/>
              <w:jc w:val="center"/>
              <w:rPr>
                <w:rFonts w:ascii="Arial" w:eastAsia="Calibri" w:hAnsi="Arial" w:cs="Arial"/>
                <w:b/>
                <w:bCs/>
                <w:kern w:val="2"/>
                <w:sz w:val="22"/>
                <w:szCs w:val="22"/>
                <w:lang w:bidi="ar"/>
              </w:rPr>
            </w:pPr>
            <w:bookmarkStart w:id="1" w:name="﻿Comparison_of_demographic,_clinical,_hi"/>
            <w:bookmarkStart w:id="2" w:name="_Hlk191717351"/>
            <w:bookmarkEnd w:id="1"/>
          </w:p>
          <w:p w14:paraId="2F613F6D" w14:textId="77777777" w:rsidR="0066287B" w:rsidRPr="00C01F07" w:rsidRDefault="0066287B" w:rsidP="0066287B">
            <w:pPr>
              <w:spacing w:before="240" w:line="360" w:lineRule="auto"/>
              <w:jc w:val="center"/>
              <w:rPr>
                <w:rFonts w:ascii="Arial" w:eastAsia="Calibri" w:hAnsi="Arial" w:cs="Arial"/>
                <w:b/>
                <w:bCs/>
                <w:kern w:val="2"/>
                <w:sz w:val="22"/>
                <w:szCs w:val="22"/>
                <w:lang w:bidi="ar"/>
              </w:rPr>
            </w:pPr>
            <w:r w:rsidRPr="00C01F07">
              <w:rPr>
                <w:rFonts w:ascii="Arial" w:eastAsia="Calibri" w:hAnsi="Arial" w:cs="Arial"/>
                <w:b/>
                <w:bCs/>
                <w:kern w:val="2"/>
                <w:sz w:val="22"/>
                <w:szCs w:val="22"/>
                <w:lang w:bidi="ar"/>
              </w:rPr>
              <w:t>Variables (%)</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tcPr>
          <w:p w14:paraId="40CB0BEB" w14:textId="77777777" w:rsidR="0066287B" w:rsidRPr="00C01F07" w:rsidRDefault="0066287B" w:rsidP="0066287B">
            <w:pPr>
              <w:spacing w:before="240" w:line="360" w:lineRule="auto"/>
              <w:jc w:val="center"/>
              <w:rPr>
                <w:rFonts w:ascii="Arial" w:eastAsia="Calibri" w:hAnsi="Arial" w:cs="Arial"/>
                <w:b/>
                <w:bCs/>
                <w:kern w:val="2"/>
                <w:sz w:val="22"/>
                <w:szCs w:val="22"/>
                <w:lang w:bidi="ar"/>
              </w:rPr>
            </w:pPr>
            <w:r w:rsidRPr="00C01F07">
              <w:rPr>
                <w:rFonts w:ascii="Arial" w:eastAsia="Calibri" w:hAnsi="Arial" w:cs="Arial"/>
                <w:b/>
                <w:bCs/>
                <w:kern w:val="2"/>
                <w:sz w:val="22"/>
                <w:szCs w:val="22"/>
                <w:lang w:bidi="ar"/>
              </w:rPr>
              <w:t>Type I RPGN</w:t>
            </w:r>
          </w:p>
          <w:p w14:paraId="48950F9C" w14:textId="77777777" w:rsidR="0066287B" w:rsidRPr="00C01F07" w:rsidRDefault="0066287B" w:rsidP="0066287B">
            <w:pPr>
              <w:spacing w:before="240" w:line="360" w:lineRule="auto"/>
              <w:jc w:val="center"/>
              <w:rPr>
                <w:rFonts w:ascii="Arial" w:eastAsia="Calibri" w:hAnsi="Arial" w:cs="Arial"/>
                <w:b/>
                <w:bCs/>
                <w:kern w:val="2"/>
                <w:sz w:val="22"/>
                <w:szCs w:val="22"/>
                <w:lang w:bidi="ar"/>
              </w:rPr>
            </w:pPr>
            <w:r w:rsidRPr="00C01F07">
              <w:rPr>
                <w:rFonts w:ascii="Arial" w:eastAsia="Calibri" w:hAnsi="Arial" w:cs="Arial"/>
                <w:b/>
                <w:bCs/>
                <w:i/>
                <w:iCs/>
                <w:kern w:val="2"/>
                <w:sz w:val="22"/>
                <w:szCs w:val="22"/>
                <w:lang w:bidi="ar"/>
              </w:rPr>
              <w:t xml:space="preserve">n </w:t>
            </w:r>
            <w:r w:rsidRPr="00C01F07">
              <w:rPr>
                <w:rFonts w:ascii="Arial" w:eastAsia="Calibri" w:hAnsi="Arial" w:cs="Arial"/>
                <w:b/>
                <w:bCs/>
                <w:kern w:val="2"/>
                <w:sz w:val="22"/>
                <w:szCs w:val="22"/>
                <w:lang w:bidi="ar"/>
              </w:rPr>
              <w:t>= 6</w:t>
            </w:r>
          </w:p>
        </w:tc>
        <w:tc>
          <w:tcPr>
            <w:tcW w:w="1463" w:type="dxa"/>
            <w:vMerge w:val="restart"/>
            <w:tcBorders>
              <w:top w:val="single" w:sz="4" w:space="0" w:color="auto"/>
              <w:left w:val="single" w:sz="4" w:space="0" w:color="auto"/>
              <w:bottom w:val="single" w:sz="4" w:space="0" w:color="auto"/>
              <w:right w:val="single" w:sz="4" w:space="0" w:color="auto"/>
            </w:tcBorders>
            <w:shd w:val="clear" w:color="auto" w:fill="auto"/>
          </w:tcPr>
          <w:p w14:paraId="1984BA54" w14:textId="77777777" w:rsidR="0066287B" w:rsidRPr="00C01F07" w:rsidRDefault="0066287B" w:rsidP="0066287B">
            <w:pPr>
              <w:spacing w:before="240" w:line="360" w:lineRule="auto"/>
              <w:jc w:val="center"/>
              <w:rPr>
                <w:rFonts w:ascii="Arial" w:eastAsia="Calibri" w:hAnsi="Arial" w:cs="Arial"/>
                <w:b/>
                <w:bCs/>
                <w:kern w:val="2"/>
                <w:sz w:val="22"/>
                <w:szCs w:val="22"/>
                <w:lang w:bidi="ar"/>
              </w:rPr>
            </w:pPr>
            <w:r w:rsidRPr="00C01F07">
              <w:rPr>
                <w:rFonts w:ascii="Arial" w:eastAsia="Calibri" w:hAnsi="Arial" w:cs="Arial"/>
                <w:b/>
                <w:bCs/>
                <w:kern w:val="2"/>
                <w:sz w:val="22"/>
                <w:szCs w:val="22"/>
                <w:lang w:bidi="ar"/>
              </w:rPr>
              <w:t>Type II RPGN</w:t>
            </w:r>
          </w:p>
          <w:p w14:paraId="13ECD626" w14:textId="77777777" w:rsidR="0066287B" w:rsidRPr="00C01F07" w:rsidRDefault="0066287B" w:rsidP="0066287B">
            <w:pPr>
              <w:spacing w:before="240" w:line="360" w:lineRule="auto"/>
              <w:jc w:val="center"/>
              <w:rPr>
                <w:rFonts w:ascii="Arial" w:eastAsia="Calibri" w:hAnsi="Arial" w:cs="Arial"/>
                <w:b/>
                <w:bCs/>
                <w:kern w:val="2"/>
                <w:sz w:val="22"/>
                <w:szCs w:val="22"/>
                <w:lang w:bidi="ar"/>
              </w:rPr>
            </w:pPr>
            <w:r w:rsidRPr="00C01F07">
              <w:rPr>
                <w:rFonts w:ascii="Arial" w:eastAsia="Calibri" w:hAnsi="Arial" w:cs="Arial"/>
                <w:b/>
                <w:bCs/>
                <w:i/>
                <w:iCs/>
                <w:kern w:val="2"/>
                <w:sz w:val="22"/>
                <w:szCs w:val="22"/>
                <w:lang w:bidi="ar"/>
              </w:rPr>
              <w:t xml:space="preserve">n </w:t>
            </w:r>
            <w:r w:rsidRPr="00C01F07">
              <w:rPr>
                <w:rFonts w:ascii="Arial" w:eastAsia="Calibri" w:hAnsi="Arial" w:cs="Arial"/>
                <w:b/>
                <w:bCs/>
                <w:kern w:val="2"/>
                <w:sz w:val="22"/>
                <w:szCs w:val="22"/>
                <w:lang w:bidi="ar"/>
              </w:rPr>
              <w:t>= 26</w:t>
            </w:r>
          </w:p>
        </w:tc>
        <w:tc>
          <w:tcPr>
            <w:tcW w:w="1237" w:type="dxa"/>
            <w:vMerge w:val="restart"/>
            <w:tcBorders>
              <w:top w:val="single" w:sz="4" w:space="0" w:color="auto"/>
              <w:left w:val="single" w:sz="4" w:space="0" w:color="auto"/>
              <w:bottom w:val="single" w:sz="4" w:space="0" w:color="auto"/>
              <w:right w:val="single" w:sz="4" w:space="0" w:color="auto"/>
            </w:tcBorders>
            <w:shd w:val="clear" w:color="auto" w:fill="auto"/>
          </w:tcPr>
          <w:p w14:paraId="7FE03B07" w14:textId="77777777" w:rsidR="0066287B" w:rsidRPr="00C01F07" w:rsidRDefault="0066287B" w:rsidP="0066287B">
            <w:pPr>
              <w:spacing w:before="240" w:line="360" w:lineRule="auto"/>
              <w:jc w:val="center"/>
              <w:rPr>
                <w:rFonts w:ascii="Arial" w:eastAsia="Calibri" w:hAnsi="Arial" w:cs="Arial"/>
                <w:b/>
                <w:bCs/>
                <w:kern w:val="2"/>
                <w:sz w:val="22"/>
                <w:szCs w:val="22"/>
                <w:lang w:bidi="ar"/>
              </w:rPr>
            </w:pPr>
            <w:r w:rsidRPr="00C01F07">
              <w:rPr>
                <w:rFonts w:ascii="Arial" w:eastAsia="Calibri" w:hAnsi="Arial" w:cs="Arial"/>
                <w:b/>
                <w:bCs/>
                <w:kern w:val="2"/>
                <w:sz w:val="22"/>
                <w:szCs w:val="22"/>
                <w:lang w:bidi="ar"/>
              </w:rPr>
              <w:t>Type III RPGN</w:t>
            </w:r>
          </w:p>
          <w:p w14:paraId="584589D5" w14:textId="77777777" w:rsidR="0066287B" w:rsidRPr="00C01F07" w:rsidRDefault="0066287B" w:rsidP="0066287B">
            <w:pPr>
              <w:spacing w:before="240" w:line="360" w:lineRule="auto"/>
              <w:jc w:val="center"/>
              <w:rPr>
                <w:rFonts w:ascii="Arial" w:eastAsia="Calibri" w:hAnsi="Arial" w:cs="Arial"/>
                <w:b/>
                <w:bCs/>
                <w:kern w:val="2"/>
                <w:sz w:val="22"/>
                <w:szCs w:val="22"/>
                <w:lang w:bidi="ar"/>
              </w:rPr>
            </w:pPr>
            <w:r w:rsidRPr="00C01F07">
              <w:rPr>
                <w:rFonts w:ascii="Arial" w:eastAsia="Calibri" w:hAnsi="Arial" w:cs="Arial"/>
                <w:b/>
                <w:bCs/>
                <w:i/>
                <w:iCs/>
                <w:kern w:val="2"/>
                <w:sz w:val="22"/>
                <w:szCs w:val="22"/>
                <w:lang w:bidi="ar"/>
              </w:rPr>
              <w:t xml:space="preserve">n </w:t>
            </w:r>
            <w:r w:rsidRPr="00C01F07">
              <w:rPr>
                <w:rFonts w:ascii="Arial" w:eastAsia="Calibri" w:hAnsi="Arial" w:cs="Arial"/>
                <w:b/>
                <w:bCs/>
                <w:kern w:val="2"/>
                <w:sz w:val="22"/>
                <w:szCs w:val="22"/>
                <w:lang w:bidi="ar"/>
              </w:rPr>
              <w:t>= 10</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auto"/>
          </w:tcPr>
          <w:p w14:paraId="7EC587D1" w14:textId="77777777" w:rsidR="0066287B" w:rsidRPr="00C01F07" w:rsidRDefault="0066287B" w:rsidP="0066287B">
            <w:pPr>
              <w:spacing w:before="240" w:line="360" w:lineRule="auto"/>
              <w:jc w:val="center"/>
              <w:rPr>
                <w:rFonts w:ascii="Arial" w:eastAsia="Calibri" w:hAnsi="Arial" w:cs="Arial"/>
                <w:b/>
                <w:bCs/>
                <w:kern w:val="2"/>
                <w:sz w:val="22"/>
                <w:szCs w:val="22"/>
                <w:lang w:bidi="ar"/>
              </w:rPr>
            </w:pPr>
            <w:r w:rsidRPr="00C01F07">
              <w:rPr>
                <w:rFonts w:ascii="Arial" w:eastAsia="Calibri" w:hAnsi="Arial" w:cs="Arial"/>
                <w:b/>
                <w:bCs/>
                <w:kern w:val="2"/>
                <w:sz w:val="22"/>
                <w:szCs w:val="22"/>
                <w:lang w:bidi="ar"/>
              </w:rPr>
              <w:t>Type IV RPGN</w:t>
            </w:r>
          </w:p>
          <w:p w14:paraId="7AF85C27" w14:textId="77777777" w:rsidR="0066287B" w:rsidRPr="00C01F07" w:rsidRDefault="0066287B" w:rsidP="0066287B">
            <w:pPr>
              <w:spacing w:before="240" w:line="360" w:lineRule="auto"/>
              <w:jc w:val="center"/>
              <w:rPr>
                <w:rFonts w:ascii="Arial" w:eastAsia="Calibri" w:hAnsi="Arial" w:cs="Arial"/>
                <w:b/>
                <w:bCs/>
                <w:kern w:val="2"/>
                <w:sz w:val="22"/>
                <w:szCs w:val="22"/>
                <w:lang w:bidi="ar"/>
              </w:rPr>
            </w:pPr>
            <w:r w:rsidRPr="00C01F07">
              <w:rPr>
                <w:rFonts w:ascii="Arial" w:eastAsia="Calibri" w:hAnsi="Arial" w:cs="Arial"/>
                <w:b/>
                <w:bCs/>
                <w:i/>
                <w:iCs/>
                <w:kern w:val="2"/>
                <w:sz w:val="22"/>
                <w:szCs w:val="22"/>
                <w:lang w:bidi="ar"/>
              </w:rPr>
              <w:t xml:space="preserve">n </w:t>
            </w:r>
            <w:r w:rsidRPr="00C01F07">
              <w:rPr>
                <w:rFonts w:ascii="Arial" w:eastAsia="Calibri" w:hAnsi="Arial" w:cs="Arial"/>
                <w:b/>
                <w:bCs/>
                <w:kern w:val="2"/>
                <w:sz w:val="22"/>
                <w:szCs w:val="22"/>
                <w:lang w:bidi="ar"/>
              </w:rPr>
              <w:t>= 3</w:t>
            </w:r>
          </w:p>
        </w:tc>
      </w:tr>
      <w:bookmarkEnd w:id="2"/>
      <w:tr w:rsidR="0066287B" w:rsidRPr="00C01F07" w14:paraId="5D50FB54" w14:textId="77777777" w:rsidTr="00306001">
        <w:trPr>
          <w:trHeight w:val="619"/>
          <w:jc w:val="center"/>
        </w:trPr>
        <w:tc>
          <w:tcPr>
            <w:tcW w:w="3235" w:type="dxa"/>
            <w:vMerge/>
            <w:tcBorders>
              <w:top w:val="single" w:sz="4" w:space="0" w:color="auto"/>
              <w:left w:val="single" w:sz="4" w:space="0" w:color="auto"/>
              <w:bottom w:val="single" w:sz="4" w:space="0" w:color="auto"/>
              <w:right w:val="single" w:sz="4" w:space="0" w:color="auto"/>
            </w:tcBorders>
            <w:shd w:val="clear" w:color="auto" w:fill="auto"/>
          </w:tcPr>
          <w:p w14:paraId="46A86806" w14:textId="77777777" w:rsidR="0066287B" w:rsidRPr="00C01F07" w:rsidRDefault="0066287B" w:rsidP="0066287B">
            <w:pPr>
              <w:spacing w:before="240" w:line="360" w:lineRule="auto"/>
              <w:jc w:val="center"/>
              <w:rPr>
                <w:rFonts w:ascii="Arial" w:eastAsia="Calibri" w:hAnsi="Arial" w:cs="Arial"/>
                <w:b/>
                <w:bCs/>
                <w:kern w:val="2"/>
                <w:sz w:val="22"/>
                <w:szCs w:val="22"/>
                <w:u w:val="single"/>
                <w:lang w:bidi="ar"/>
              </w:rPr>
            </w:pPr>
          </w:p>
        </w:tc>
        <w:tc>
          <w:tcPr>
            <w:tcW w:w="1350" w:type="dxa"/>
            <w:vMerge/>
            <w:tcBorders>
              <w:top w:val="single" w:sz="4" w:space="0" w:color="auto"/>
              <w:left w:val="single" w:sz="4" w:space="0" w:color="auto"/>
              <w:bottom w:val="single" w:sz="4" w:space="0" w:color="auto"/>
              <w:right w:val="single" w:sz="4" w:space="0" w:color="auto"/>
            </w:tcBorders>
            <w:shd w:val="clear" w:color="auto" w:fill="auto"/>
          </w:tcPr>
          <w:p w14:paraId="45AB7643" w14:textId="77777777" w:rsidR="0066287B" w:rsidRPr="00C01F07" w:rsidRDefault="0066287B" w:rsidP="0066287B">
            <w:pPr>
              <w:spacing w:before="240" w:line="360" w:lineRule="auto"/>
              <w:jc w:val="center"/>
              <w:rPr>
                <w:rFonts w:ascii="Arial" w:eastAsia="Calibri" w:hAnsi="Arial" w:cs="Arial"/>
                <w:b/>
                <w:bCs/>
                <w:kern w:val="2"/>
                <w:sz w:val="22"/>
                <w:szCs w:val="22"/>
                <w:u w:val="single"/>
                <w:lang w:bidi="ar"/>
              </w:rPr>
            </w:pPr>
          </w:p>
        </w:tc>
        <w:tc>
          <w:tcPr>
            <w:tcW w:w="1463" w:type="dxa"/>
            <w:vMerge/>
            <w:tcBorders>
              <w:top w:val="single" w:sz="4" w:space="0" w:color="auto"/>
              <w:left w:val="single" w:sz="4" w:space="0" w:color="auto"/>
              <w:bottom w:val="single" w:sz="4" w:space="0" w:color="auto"/>
              <w:right w:val="single" w:sz="4" w:space="0" w:color="auto"/>
            </w:tcBorders>
            <w:shd w:val="clear" w:color="auto" w:fill="auto"/>
          </w:tcPr>
          <w:p w14:paraId="5DE4B823" w14:textId="77777777" w:rsidR="0066287B" w:rsidRPr="00C01F07" w:rsidRDefault="0066287B" w:rsidP="0066287B">
            <w:pPr>
              <w:spacing w:before="240" w:line="360" w:lineRule="auto"/>
              <w:jc w:val="center"/>
              <w:rPr>
                <w:rFonts w:ascii="Arial" w:eastAsia="Calibri" w:hAnsi="Arial" w:cs="Arial"/>
                <w:b/>
                <w:bCs/>
                <w:kern w:val="2"/>
                <w:sz w:val="22"/>
                <w:szCs w:val="22"/>
                <w:u w:val="single"/>
                <w:lang w:bidi="ar"/>
              </w:rPr>
            </w:pPr>
          </w:p>
        </w:tc>
        <w:tc>
          <w:tcPr>
            <w:tcW w:w="1237" w:type="dxa"/>
            <w:vMerge/>
            <w:tcBorders>
              <w:top w:val="single" w:sz="4" w:space="0" w:color="auto"/>
              <w:left w:val="single" w:sz="4" w:space="0" w:color="auto"/>
              <w:bottom w:val="single" w:sz="4" w:space="0" w:color="auto"/>
              <w:right w:val="single" w:sz="4" w:space="0" w:color="auto"/>
            </w:tcBorders>
            <w:shd w:val="clear" w:color="auto" w:fill="auto"/>
          </w:tcPr>
          <w:p w14:paraId="2A7901B7" w14:textId="77777777" w:rsidR="0066287B" w:rsidRPr="00C01F07" w:rsidRDefault="0066287B" w:rsidP="0066287B">
            <w:pPr>
              <w:spacing w:before="240" w:line="360" w:lineRule="auto"/>
              <w:jc w:val="center"/>
              <w:rPr>
                <w:rFonts w:ascii="Arial" w:eastAsia="Calibri" w:hAnsi="Arial" w:cs="Arial"/>
                <w:b/>
                <w:bCs/>
                <w:kern w:val="2"/>
                <w:sz w:val="22"/>
                <w:szCs w:val="22"/>
                <w:u w:val="single"/>
                <w:lang w:bidi="ar"/>
              </w:rPr>
            </w:pPr>
          </w:p>
        </w:tc>
        <w:tc>
          <w:tcPr>
            <w:tcW w:w="1305" w:type="dxa"/>
            <w:vMerge/>
            <w:tcBorders>
              <w:top w:val="single" w:sz="4" w:space="0" w:color="auto"/>
              <w:left w:val="single" w:sz="4" w:space="0" w:color="auto"/>
              <w:bottom w:val="single" w:sz="4" w:space="0" w:color="auto"/>
              <w:right w:val="single" w:sz="4" w:space="0" w:color="auto"/>
            </w:tcBorders>
            <w:shd w:val="clear" w:color="auto" w:fill="auto"/>
          </w:tcPr>
          <w:p w14:paraId="7F438BA3" w14:textId="77777777" w:rsidR="0066287B" w:rsidRPr="00C01F07" w:rsidRDefault="0066287B" w:rsidP="0066287B">
            <w:pPr>
              <w:spacing w:before="240" w:line="360" w:lineRule="auto"/>
              <w:jc w:val="center"/>
              <w:rPr>
                <w:rFonts w:ascii="Arial" w:eastAsia="Calibri" w:hAnsi="Arial" w:cs="Arial"/>
                <w:b/>
                <w:bCs/>
                <w:kern w:val="2"/>
                <w:sz w:val="22"/>
                <w:szCs w:val="22"/>
                <w:u w:val="single"/>
                <w:lang w:bidi="ar"/>
              </w:rPr>
            </w:pPr>
          </w:p>
        </w:tc>
      </w:tr>
      <w:tr w:rsidR="0066287B" w:rsidRPr="00C01F07" w14:paraId="5E55F33E" w14:textId="77777777" w:rsidTr="00306001">
        <w:trPr>
          <w:trHeight w:val="233"/>
          <w:jc w:val="center"/>
        </w:trPr>
        <w:tc>
          <w:tcPr>
            <w:tcW w:w="3235" w:type="dxa"/>
            <w:tcBorders>
              <w:top w:val="single" w:sz="4" w:space="0" w:color="auto"/>
              <w:left w:val="single" w:sz="4" w:space="0" w:color="auto"/>
              <w:bottom w:val="single" w:sz="4" w:space="0" w:color="auto"/>
              <w:right w:val="single" w:sz="4" w:space="0" w:color="auto"/>
            </w:tcBorders>
            <w:shd w:val="clear" w:color="auto" w:fill="auto"/>
          </w:tcPr>
          <w:p w14:paraId="06C69CF6"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Age (years)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C803BDF"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33 ±13</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2E859DD3"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28 ±10.75</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70469E3"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58 ±10.10</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5F5F192E"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65+1.7</w:t>
            </w:r>
          </w:p>
        </w:tc>
      </w:tr>
      <w:tr w:rsidR="0066287B" w:rsidRPr="00C01F07" w14:paraId="41A1C25A" w14:textId="77777777" w:rsidTr="00306001">
        <w:trPr>
          <w:trHeight w:val="233"/>
          <w:jc w:val="center"/>
        </w:trPr>
        <w:tc>
          <w:tcPr>
            <w:tcW w:w="3235" w:type="dxa"/>
            <w:tcBorders>
              <w:top w:val="single" w:sz="4" w:space="0" w:color="auto"/>
              <w:left w:val="single" w:sz="4" w:space="0" w:color="auto"/>
              <w:bottom w:val="single" w:sz="4" w:space="0" w:color="auto"/>
              <w:right w:val="single" w:sz="4" w:space="0" w:color="auto"/>
            </w:tcBorders>
            <w:shd w:val="clear" w:color="auto" w:fill="auto"/>
          </w:tcPr>
          <w:p w14:paraId="22618331"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Edema (%)</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1F2B756"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2 (33.33%)</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27700B20"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15 (57.69%)</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0679CE6"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6 (60.00%)</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71FAE7F6"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0</w:t>
            </w:r>
          </w:p>
        </w:tc>
      </w:tr>
      <w:tr w:rsidR="0066287B" w:rsidRPr="00C01F07" w14:paraId="324E9217" w14:textId="77777777" w:rsidTr="00306001">
        <w:trPr>
          <w:trHeight w:val="233"/>
          <w:jc w:val="center"/>
        </w:trPr>
        <w:tc>
          <w:tcPr>
            <w:tcW w:w="3235" w:type="dxa"/>
            <w:tcBorders>
              <w:top w:val="single" w:sz="4" w:space="0" w:color="auto"/>
              <w:left w:val="single" w:sz="4" w:space="0" w:color="auto"/>
              <w:bottom w:val="single" w:sz="4" w:space="0" w:color="auto"/>
              <w:right w:val="single" w:sz="4" w:space="0" w:color="auto"/>
            </w:tcBorders>
            <w:shd w:val="clear" w:color="auto" w:fill="auto"/>
          </w:tcPr>
          <w:p w14:paraId="75A9C571"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Microscopic hematuria (%)</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D087C96"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3 (50%)</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19A035C6"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22 (84.61%)</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23BB802"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8 (80.00%)</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380EFEB7"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2 (66.67%)</w:t>
            </w:r>
          </w:p>
        </w:tc>
      </w:tr>
      <w:tr w:rsidR="0066287B" w:rsidRPr="00C01F07" w14:paraId="2B592826" w14:textId="77777777" w:rsidTr="00306001">
        <w:trPr>
          <w:trHeight w:val="233"/>
          <w:jc w:val="center"/>
        </w:trPr>
        <w:tc>
          <w:tcPr>
            <w:tcW w:w="3235" w:type="dxa"/>
            <w:tcBorders>
              <w:top w:val="single" w:sz="4" w:space="0" w:color="auto"/>
              <w:left w:val="single" w:sz="4" w:space="0" w:color="auto"/>
              <w:bottom w:val="single" w:sz="4" w:space="0" w:color="auto"/>
              <w:right w:val="single" w:sz="4" w:space="0" w:color="auto"/>
            </w:tcBorders>
            <w:shd w:val="clear" w:color="auto" w:fill="auto"/>
          </w:tcPr>
          <w:p w14:paraId="0B474D82"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Macroscopic hematuria (%)</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9751CD6"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3 (50%)</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2CE028D1"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4 (15.38%)</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E8AA30F"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2 (20.00%)</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79E34B8"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1 (33.33%)</w:t>
            </w:r>
          </w:p>
        </w:tc>
      </w:tr>
      <w:tr w:rsidR="0066287B" w:rsidRPr="00C01F07" w14:paraId="3D2B05C6" w14:textId="77777777" w:rsidTr="00306001">
        <w:trPr>
          <w:trHeight w:val="233"/>
          <w:jc w:val="center"/>
        </w:trPr>
        <w:tc>
          <w:tcPr>
            <w:tcW w:w="3235" w:type="dxa"/>
            <w:tcBorders>
              <w:top w:val="single" w:sz="4" w:space="0" w:color="auto"/>
              <w:left w:val="single" w:sz="4" w:space="0" w:color="auto"/>
              <w:bottom w:val="single" w:sz="4" w:space="0" w:color="auto"/>
              <w:right w:val="single" w:sz="4" w:space="0" w:color="auto"/>
            </w:tcBorders>
            <w:shd w:val="clear" w:color="auto" w:fill="auto"/>
          </w:tcPr>
          <w:p w14:paraId="16660137"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Oliguria (%)</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249526D"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4 (66.67%)</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31EC0953"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16 (61.53%)</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72E73F1"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6 (60.00%)</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5C22C6A1"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0</w:t>
            </w:r>
          </w:p>
        </w:tc>
      </w:tr>
      <w:tr w:rsidR="0066287B" w:rsidRPr="00C01F07" w14:paraId="1846F527" w14:textId="77777777" w:rsidTr="00306001">
        <w:trPr>
          <w:trHeight w:val="233"/>
          <w:jc w:val="center"/>
        </w:trPr>
        <w:tc>
          <w:tcPr>
            <w:tcW w:w="3235" w:type="dxa"/>
            <w:tcBorders>
              <w:top w:val="single" w:sz="4" w:space="0" w:color="auto"/>
              <w:left w:val="single" w:sz="4" w:space="0" w:color="auto"/>
              <w:bottom w:val="single" w:sz="4" w:space="0" w:color="auto"/>
              <w:right w:val="single" w:sz="4" w:space="0" w:color="auto"/>
            </w:tcBorders>
            <w:shd w:val="clear" w:color="auto" w:fill="auto"/>
          </w:tcPr>
          <w:p w14:paraId="36895D5D"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Fever (%)</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ECF89DB"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1 (16.67%)</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0AE884EE"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9 (34.61%)</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540674B"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1 (10.00%)</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2C77100"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0</w:t>
            </w:r>
          </w:p>
        </w:tc>
      </w:tr>
      <w:tr w:rsidR="0066287B" w:rsidRPr="00C01F07" w14:paraId="2AC31619" w14:textId="77777777" w:rsidTr="00306001">
        <w:trPr>
          <w:trHeight w:val="233"/>
          <w:jc w:val="center"/>
        </w:trPr>
        <w:tc>
          <w:tcPr>
            <w:tcW w:w="3235" w:type="dxa"/>
            <w:tcBorders>
              <w:top w:val="single" w:sz="4" w:space="0" w:color="auto"/>
              <w:left w:val="single" w:sz="4" w:space="0" w:color="auto"/>
              <w:bottom w:val="single" w:sz="4" w:space="0" w:color="auto"/>
              <w:right w:val="single" w:sz="4" w:space="0" w:color="auto"/>
            </w:tcBorders>
            <w:shd w:val="clear" w:color="auto" w:fill="auto"/>
          </w:tcPr>
          <w:p w14:paraId="75379F13"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Skin rash (%)</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1DE87CC"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1 (16.67%)</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010C8C88"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16 (61.53%)</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977F4C7"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1 (10.00%)</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9F6590C"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1 (33.33%)</w:t>
            </w:r>
          </w:p>
        </w:tc>
      </w:tr>
      <w:tr w:rsidR="0066287B" w:rsidRPr="00C01F07" w14:paraId="72D5E190" w14:textId="77777777" w:rsidTr="00306001">
        <w:trPr>
          <w:trHeight w:val="236"/>
          <w:jc w:val="center"/>
        </w:trPr>
        <w:tc>
          <w:tcPr>
            <w:tcW w:w="3235" w:type="dxa"/>
            <w:tcBorders>
              <w:top w:val="single" w:sz="4" w:space="0" w:color="auto"/>
              <w:left w:val="single" w:sz="4" w:space="0" w:color="auto"/>
              <w:bottom w:val="single" w:sz="4" w:space="0" w:color="auto"/>
              <w:right w:val="single" w:sz="4" w:space="0" w:color="auto"/>
            </w:tcBorders>
            <w:shd w:val="clear" w:color="auto" w:fill="auto"/>
          </w:tcPr>
          <w:p w14:paraId="193396C6"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Serum creatinine at presentation (mg/dL)</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B2BEDAA"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5.32 ±4</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0F497465"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5.10 ±3.65</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002EDE2"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2.72 ±2.6</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5B6CAA80"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2.5+0.9</w:t>
            </w:r>
          </w:p>
        </w:tc>
      </w:tr>
      <w:tr w:rsidR="0066287B" w:rsidRPr="00C01F07" w14:paraId="15710A7F" w14:textId="77777777" w:rsidTr="00306001">
        <w:trPr>
          <w:trHeight w:val="236"/>
          <w:jc w:val="center"/>
        </w:trPr>
        <w:tc>
          <w:tcPr>
            <w:tcW w:w="3235" w:type="dxa"/>
            <w:tcBorders>
              <w:top w:val="single" w:sz="4" w:space="0" w:color="auto"/>
              <w:left w:val="single" w:sz="4" w:space="0" w:color="auto"/>
              <w:bottom w:val="single" w:sz="4" w:space="0" w:color="auto"/>
              <w:right w:val="single" w:sz="4" w:space="0" w:color="auto"/>
            </w:tcBorders>
            <w:shd w:val="clear" w:color="auto" w:fill="auto"/>
          </w:tcPr>
          <w:p w14:paraId="123B5530"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lastRenderedPageBreak/>
              <w:t>GFR at presentation (ml/min/1.73</w:t>
            </w:r>
            <w:r w:rsidRPr="00C01F07">
              <w:rPr>
                <w:rFonts w:ascii="Arial" w:eastAsia="Calibri" w:hAnsi="Arial" w:cs="Arial"/>
                <w:kern w:val="2"/>
                <w:vertAlign w:val="superscript"/>
                <w:lang w:bidi="ar"/>
              </w:rPr>
              <w:t>2</w:t>
            </w:r>
            <w:r w:rsidRPr="00C01F07">
              <w:rPr>
                <w:rFonts w:ascii="Arial" w:eastAsia="Calibri" w:hAnsi="Arial" w:cs="Arial"/>
                <w:kern w:val="2"/>
                <w:lang w:bidi="ar"/>
              </w:rPr>
              <w: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93FE04B"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10.1 ±10</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728C4627"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13.2 ±18.75</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A6C4D1E"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20.04 ±14</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77D7309E"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22.1+11.2</w:t>
            </w:r>
          </w:p>
        </w:tc>
      </w:tr>
      <w:tr w:rsidR="0066287B" w:rsidRPr="00C01F07" w14:paraId="198BEEBD" w14:textId="77777777" w:rsidTr="00306001">
        <w:trPr>
          <w:trHeight w:val="236"/>
          <w:jc w:val="center"/>
        </w:trPr>
        <w:tc>
          <w:tcPr>
            <w:tcW w:w="3235" w:type="dxa"/>
            <w:tcBorders>
              <w:top w:val="single" w:sz="4" w:space="0" w:color="auto"/>
              <w:left w:val="single" w:sz="4" w:space="0" w:color="auto"/>
              <w:bottom w:val="single" w:sz="4" w:space="0" w:color="auto"/>
              <w:right w:val="single" w:sz="4" w:space="0" w:color="auto"/>
            </w:tcBorders>
            <w:shd w:val="clear" w:color="auto" w:fill="auto"/>
          </w:tcPr>
          <w:p w14:paraId="2CAC6F99"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Hb (gm/dL)</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E4202AB"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8.3 ±1.6</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756D3BE6"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8.85 ±1.35</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A9FE867"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8.9 ±2</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3A3AF60"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9.2+1.8</w:t>
            </w:r>
          </w:p>
        </w:tc>
      </w:tr>
      <w:tr w:rsidR="0066287B" w:rsidRPr="00C01F07" w14:paraId="696D94FE" w14:textId="77777777" w:rsidTr="00306001">
        <w:trPr>
          <w:trHeight w:val="236"/>
          <w:jc w:val="center"/>
        </w:trPr>
        <w:tc>
          <w:tcPr>
            <w:tcW w:w="3235" w:type="dxa"/>
            <w:tcBorders>
              <w:top w:val="single" w:sz="4" w:space="0" w:color="auto"/>
              <w:left w:val="single" w:sz="4" w:space="0" w:color="auto"/>
              <w:bottom w:val="single" w:sz="4" w:space="0" w:color="auto"/>
              <w:right w:val="single" w:sz="4" w:space="0" w:color="auto"/>
            </w:tcBorders>
            <w:shd w:val="clear" w:color="auto" w:fill="auto"/>
          </w:tcPr>
          <w:p w14:paraId="28527B9D"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Serum albumin (gm/dL)</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F5CFD4A"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3 ±0.2</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2D6DF61F"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1.9 ±0.4</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E87CF03"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2.1 ±1.0</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B1D986E"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1.5+0.6</w:t>
            </w:r>
          </w:p>
        </w:tc>
      </w:tr>
      <w:tr w:rsidR="0066287B" w:rsidRPr="00C01F07" w14:paraId="726BC2FF" w14:textId="77777777" w:rsidTr="00306001">
        <w:trPr>
          <w:trHeight w:val="236"/>
          <w:jc w:val="center"/>
        </w:trPr>
        <w:tc>
          <w:tcPr>
            <w:tcW w:w="3235" w:type="dxa"/>
            <w:tcBorders>
              <w:top w:val="single" w:sz="4" w:space="0" w:color="auto"/>
              <w:left w:val="single" w:sz="4" w:space="0" w:color="auto"/>
              <w:bottom w:val="single" w:sz="4" w:space="0" w:color="auto"/>
              <w:right w:val="single" w:sz="4" w:space="0" w:color="auto"/>
            </w:tcBorders>
            <w:shd w:val="clear" w:color="auto" w:fill="auto"/>
          </w:tcPr>
          <w:p w14:paraId="2BF9B6CE"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Proteinuria (gm/day)</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5E6D135"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2.8 ±0.8</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22F4A5F6"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5.1 ±2.1</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E8FA1B1"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4.8 ±1.15</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73AB62E"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3.3+1.8</w:t>
            </w:r>
          </w:p>
        </w:tc>
      </w:tr>
    </w:tbl>
    <w:p w14:paraId="0B78DEE8" w14:textId="77777777" w:rsidR="0066287B" w:rsidRPr="00C01F07" w:rsidRDefault="0066287B" w:rsidP="0066287B">
      <w:pPr>
        <w:spacing w:before="240" w:line="360" w:lineRule="auto"/>
        <w:jc w:val="both"/>
        <w:rPr>
          <w:rFonts w:ascii="Arial" w:eastAsia="Calibri" w:hAnsi="Arial" w:cs="Arial"/>
          <w:b/>
          <w:bCs/>
          <w:kern w:val="2"/>
          <w:sz w:val="22"/>
          <w:szCs w:val="22"/>
          <w:u w:val="single"/>
          <w:lang w:bidi="ar"/>
        </w:rPr>
      </w:pPr>
    </w:p>
    <w:p w14:paraId="5629BD15" w14:textId="6168C5CB" w:rsidR="0066287B" w:rsidRPr="00C01F07" w:rsidRDefault="0066287B" w:rsidP="0066287B">
      <w:pPr>
        <w:spacing w:before="240" w:line="360" w:lineRule="auto"/>
        <w:jc w:val="both"/>
        <w:rPr>
          <w:rFonts w:ascii="Arial" w:eastAsia="Calibri" w:hAnsi="Arial" w:cs="Arial"/>
          <w:b/>
          <w:bCs/>
          <w:kern w:val="2"/>
          <w:sz w:val="22"/>
          <w:szCs w:val="22"/>
          <w:lang w:bidi="ar"/>
        </w:rPr>
      </w:pPr>
      <w:r w:rsidRPr="00C01F07">
        <w:rPr>
          <w:rFonts w:ascii="Arial" w:eastAsia="Calibri" w:hAnsi="Arial" w:cs="Arial"/>
          <w:b/>
          <w:bCs/>
          <w:kern w:val="2"/>
          <w:sz w:val="22"/>
          <w:szCs w:val="22"/>
          <w:lang w:bidi="ar"/>
        </w:rPr>
        <w:t>Table 2: Immunological &amp; Histological characteristics of RPGN Patients</w:t>
      </w: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05"/>
        <w:gridCol w:w="1170"/>
        <w:gridCol w:w="1260"/>
        <w:gridCol w:w="1170"/>
        <w:gridCol w:w="1170"/>
      </w:tblGrid>
      <w:tr w:rsidR="0066287B" w:rsidRPr="00C01F07" w14:paraId="3B50E585" w14:textId="77777777" w:rsidTr="00306001">
        <w:trPr>
          <w:trHeight w:val="414"/>
          <w:jc w:val="center"/>
        </w:trPr>
        <w:tc>
          <w:tcPr>
            <w:tcW w:w="3505" w:type="dxa"/>
            <w:vMerge w:val="restart"/>
            <w:tcBorders>
              <w:top w:val="single" w:sz="4" w:space="0" w:color="auto"/>
              <w:left w:val="single" w:sz="4" w:space="0" w:color="auto"/>
              <w:bottom w:val="single" w:sz="4" w:space="0" w:color="auto"/>
              <w:right w:val="single" w:sz="4" w:space="0" w:color="auto"/>
            </w:tcBorders>
            <w:shd w:val="clear" w:color="auto" w:fill="auto"/>
          </w:tcPr>
          <w:p w14:paraId="1A47A1E0" w14:textId="77777777" w:rsidR="0066287B" w:rsidRPr="00C01F07" w:rsidRDefault="0066287B" w:rsidP="0066287B">
            <w:pPr>
              <w:spacing w:before="240" w:line="360" w:lineRule="auto"/>
              <w:jc w:val="center"/>
              <w:rPr>
                <w:rFonts w:ascii="Arial" w:eastAsia="Calibri" w:hAnsi="Arial" w:cs="Arial"/>
                <w:b/>
                <w:bCs/>
                <w:kern w:val="2"/>
                <w:lang w:bidi="ar"/>
              </w:rPr>
            </w:pPr>
            <w:r w:rsidRPr="00C01F07">
              <w:rPr>
                <w:rFonts w:ascii="Arial" w:eastAsia="Calibri" w:hAnsi="Arial" w:cs="Arial"/>
                <w:b/>
                <w:bCs/>
                <w:kern w:val="2"/>
                <w:lang w:bidi="ar"/>
              </w:rPr>
              <w:t>Variables (Mean ± SD)</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tcPr>
          <w:p w14:paraId="4919E0A5" w14:textId="77777777" w:rsidR="0066287B" w:rsidRPr="00C01F07" w:rsidRDefault="0066287B" w:rsidP="0066287B">
            <w:pPr>
              <w:spacing w:before="240" w:line="360" w:lineRule="auto"/>
              <w:jc w:val="center"/>
              <w:rPr>
                <w:rFonts w:ascii="Arial" w:eastAsia="Calibri" w:hAnsi="Arial" w:cs="Arial"/>
                <w:b/>
                <w:bCs/>
                <w:kern w:val="2"/>
                <w:lang w:bidi="ar"/>
              </w:rPr>
            </w:pPr>
            <w:r w:rsidRPr="00C01F07">
              <w:rPr>
                <w:rFonts w:ascii="Arial" w:eastAsia="Calibri" w:hAnsi="Arial" w:cs="Arial"/>
                <w:b/>
                <w:bCs/>
                <w:kern w:val="2"/>
                <w:lang w:bidi="ar"/>
              </w:rPr>
              <w:t>Type I RPGN</w:t>
            </w:r>
          </w:p>
          <w:p w14:paraId="00CC04B8" w14:textId="77777777" w:rsidR="0066287B" w:rsidRPr="00C01F07" w:rsidRDefault="0066287B" w:rsidP="0066287B">
            <w:pPr>
              <w:spacing w:before="240" w:line="360" w:lineRule="auto"/>
              <w:jc w:val="center"/>
              <w:rPr>
                <w:rFonts w:ascii="Arial" w:eastAsia="Calibri" w:hAnsi="Arial" w:cs="Arial"/>
                <w:b/>
                <w:bCs/>
                <w:kern w:val="2"/>
                <w:lang w:bidi="ar"/>
              </w:rPr>
            </w:pPr>
            <w:r w:rsidRPr="00C01F07">
              <w:rPr>
                <w:rFonts w:ascii="Arial" w:eastAsia="Calibri" w:hAnsi="Arial" w:cs="Arial"/>
                <w:b/>
                <w:bCs/>
                <w:i/>
                <w:iCs/>
                <w:kern w:val="2"/>
                <w:lang w:bidi="ar"/>
              </w:rPr>
              <w:t xml:space="preserve">n </w:t>
            </w:r>
            <w:r w:rsidRPr="00C01F07">
              <w:rPr>
                <w:rFonts w:ascii="Arial" w:eastAsia="Calibri" w:hAnsi="Arial" w:cs="Arial"/>
                <w:b/>
                <w:bCs/>
                <w:kern w:val="2"/>
                <w:lang w:bidi="ar"/>
              </w:rPr>
              <w:t>= 6</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tcPr>
          <w:p w14:paraId="2DDDB41A" w14:textId="77777777" w:rsidR="0066287B" w:rsidRPr="00C01F07" w:rsidRDefault="0066287B" w:rsidP="0066287B">
            <w:pPr>
              <w:spacing w:before="240" w:line="360" w:lineRule="auto"/>
              <w:jc w:val="center"/>
              <w:rPr>
                <w:rFonts w:ascii="Arial" w:eastAsia="Calibri" w:hAnsi="Arial" w:cs="Arial"/>
                <w:b/>
                <w:bCs/>
                <w:kern w:val="2"/>
                <w:lang w:bidi="ar"/>
              </w:rPr>
            </w:pPr>
            <w:r w:rsidRPr="00C01F07">
              <w:rPr>
                <w:rFonts w:ascii="Arial" w:eastAsia="Calibri" w:hAnsi="Arial" w:cs="Arial"/>
                <w:b/>
                <w:bCs/>
                <w:kern w:val="2"/>
                <w:lang w:bidi="ar"/>
              </w:rPr>
              <w:t>Type II RPGN</w:t>
            </w:r>
          </w:p>
          <w:p w14:paraId="2D531833" w14:textId="77777777" w:rsidR="0066287B" w:rsidRPr="00C01F07" w:rsidRDefault="0066287B" w:rsidP="0066287B">
            <w:pPr>
              <w:spacing w:before="240" w:line="360" w:lineRule="auto"/>
              <w:jc w:val="center"/>
              <w:rPr>
                <w:rFonts w:ascii="Arial" w:eastAsia="Calibri" w:hAnsi="Arial" w:cs="Arial"/>
                <w:b/>
                <w:bCs/>
                <w:kern w:val="2"/>
                <w:lang w:bidi="ar"/>
              </w:rPr>
            </w:pPr>
            <w:r w:rsidRPr="00C01F07">
              <w:rPr>
                <w:rFonts w:ascii="Arial" w:eastAsia="Calibri" w:hAnsi="Arial" w:cs="Arial"/>
                <w:b/>
                <w:bCs/>
                <w:i/>
                <w:iCs/>
                <w:kern w:val="2"/>
                <w:lang w:bidi="ar"/>
              </w:rPr>
              <w:t xml:space="preserve">n </w:t>
            </w:r>
            <w:r w:rsidRPr="00C01F07">
              <w:rPr>
                <w:rFonts w:ascii="Arial" w:eastAsia="Calibri" w:hAnsi="Arial" w:cs="Arial"/>
                <w:b/>
                <w:bCs/>
                <w:kern w:val="2"/>
                <w:lang w:bidi="ar"/>
              </w:rPr>
              <w:t>= 26</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tcPr>
          <w:p w14:paraId="67D417D5" w14:textId="77777777" w:rsidR="0066287B" w:rsidRPr="00C01F07" w:rsidRDefault="0066287B" w:rsidP="0066287B">
            <w:pPr>
              <w:spacing w:before="240" w:line="360" w:lineRule="auto"/>
              <w:jc w:val="center"/>
              <w:rPr>
                <w:rFonts w:ascii="Arial" w:eastAsia="Calibri" w:hAnsi="Arial" w:cs="Arial"/>
                <w:b/>
                <w:bCs/>
                <w:kern w:val="2"/>
                <w:lang w:bidi="ar"/>
              </w:rPr>
            </w:pPr>
            <w:r w:rsidRPr="00C01F07">
              <w:rPr>
                <w:rFonts w:ascii="Arial" w:eastAsia="Calibri" w:hAnsi="Arial" w:cs="Arial"/>
                <w:b/>
                <w:bCs/>
                <w:kern w:val="2"/>
                <w:lang w:bidi="ar"/>
              </w:rPr>
              <w:t>Type III RPGN</w:t>
            </w:r>
          </w:p>
          <w:p w14:paraId="4EA32A85" w14:textId="77777777" w:rsidR="0066287B" w:rsidRPr="00C01F07" w:rsidRDefault="0066287B" w:rsidP="0066287B">
            <w:pPr>
              <w:spacing w:before="240" w:line="360" w:lineRule="auto"/>
              <w:jc w:val="center"/>
              <w:rPr>
                <w:rFonts w:ascii="Arial" w:eastAsia="Calibri" w:hAnsi="Arial" w:cs="Arial"/>
                <w:b/>
                <w:bCs/>
                <w:kern w:val="2"/>
                <w:lang w:bidi="ar"/>
              </w:rPr>
            </w:pPr>
            <w:r w:rsidRPr="00C01F07">
              <w:rPr>
                <w:rFonts w:ascii="Arial" w:eastAsia="Calibri" w:hAnsi="Arial" w:cs="Arial"/>
                <w:b/>
                <w:bCs/>
                <w:i/>
                <w:iCs/>
                <w:kern w:val="2"/>
                <w:lang w:bidi="ar"/>
              </w:rPr>
              <w:t xml:space="preserve">n </w:t>
            </w:r>
            <w:r w:rsidRPr="00C01F07">
              <w:rPr>
                <w:rFonts w:ascii="Arial" w:eastAsia="Calibri" w:hAnsi="Arial" w:cs="Arial"/>
                <w:b/>
                <w:bCs/>
                <w:kern w:val="2"/>
                <w:lang w:bidi="ar"/>
              </w:rPr>
              <w:t>= 10</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tcPr>
          <w:p w14:paraId="64A31445" w14:textId="370C1BCF" w:rsidR="0066287B" w:rsidRPr="00C01F07" w:rsidRDefault="0066287B" w:rsidP="0066287B">
            <w:pPr>
              <w:spacing w:before="240" w:line="360" w:lineRule="auto"/>
              <w:jc w:val="center"/>
              <w:rPr>
                <w:rFonts w:ascii="Arial" w:eastAsia="Calibri" w:hAnsi="Arial" w:cs="Arial"/>
                <w:b/>
                <w:bCs/>
                <w:kern w:val="2"/>
                <w:lang w:bidi="ar"/>
              </w:rPr>
            </w:pPr>
            <w:r w:rsidRPr="00C01F07">
              <w:rPr>
                <w:rFonts w:ascii="Arial" w:eastAsia="Calibri" w:hAnsi="Arial" w:cs="Arial"/>
                <w:b/>
                <w:bCs/>
                <w:kern w:val="2"/>
                <w:lang w:bidi="ar"/>
              </w:rPr>
              <w:t>Type IV RPGN</w:t>
            </w:r>
          </w:p>
          <w:p w14:paraId="5F4D80BE" w14:textId="77777777" w:rsidR="0066287B" w:rsidRPr="00C01F07" w:rsidRDefault="0066287B" w:rsidP="0066287B">
            <w:pPr>
              <w:spacing w:before="240" w:line="360" w:lineRule="auto"/>
              <w:jc w:val="center"/>
              <w:rPr>
                <w:rFonts w:ascii="Arial" w:eastAsia="Calibri" w:hAnsi="Arial" w:cs="Arial"/>
                <w:b/>
                <w:bCs/>
                <w:kern w:val="2"/>
                <w:lang w:bidi="ar"/>
              </w:rPr>
            </w:pPr>
            <w:r w:rsidRPr="00C01F07">
              <w:rPr>
                <w:rFonts w:ascii="Arial" w:eastAsia="Calibri" w:hAnsi="Arial" w:cs="Arial"/>
                <w:b/>
                <w:bCs/>
                <w:i/>
                <w:iCs/>
                <w:kern w:val="2"/>
                <w:lang w:bidi="ar"/>
              </w:rPr>
              <w:t>n</w:t>
            </w:r>
            <w:r w:rsidRPr="00C01F07">
              <w:rPr>
                <w:rFonts w:ascii="Arial" w:eastAsia="Calibri" w:hAnsi="Arial" w:cs="Arial"/>
                <w:b/>
                <w:bCs/>
                <w:kern w:val="2"/>
                <w:lang w:bidi="ar"/>
              </w:rPr>
              <w:t>=3</w:t>
            </w:r>
          </w:p>
        </w:tc>
      </w:tr>
      <w:tr w:rsidR="0066287B" w:rsidRPr="00C01F07" w14:paraId="70518BAD" w14:textId="77777777" w:rsidTr="00306001">
        <w:trPr>
          <w:trHeight w:val="619"/>
          <w:jc w:val="center"/>
        </w:trPr>
        <w:tc>
          <w:tcPr>
            <w:tcW w:w="3505" w:type="dxa"/>
            <w:vMerge/>
            <w:tcBorders>
              <w:top w:val="single" w:sz="4" w:space="0" w:color="auto"/>
              <w:left w:val="single" w:sz="4" w:space="0" w:color="auto"/>
              <w:bottom w:val="single" w:sz="4" w:space="0" w:color="auto"/>
              <w:right w:val="single" w:sz="4" w:space="0" w:color="auto"/>
            </w:tcBorders>
            <w:shd w:val="clear" w:color="auto" w:fill="auto"/>
          </w:tcPr>
          <w:p w14:paraId="2981F9C2" w14:textId="77777777" w:rsidR="0066287B" w:rsidRPr="00C01F07" w:rsidRDefault="0066287B" w:rsidP="0066287B">
            <w:pPr>
              <w:spacing w:before="240" w:line="360" w:lineRule="auto"/>
              <w:jc w:val="center"/>
              <w:rPr>
                <w:rFonts w:ascii="Arial" w:eastAsia="Calibri" w:hAnsi="Arial" w:cs="Arial"/>
                <w:kern w:val="2"/>
                <w:lang w:bidi="ar"/>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tcPr>
          <w:p w14:paraId="7A57442A" w14:textId="77777777" w:rsidR="0066287B" w:rsidRPr="00C01F07" w:rsidRDefault="0066287B" w:rsidP="0066287B">
            <w:pPr>
              <w:spacing w:before="240" w:line="360" w:lineRule="auto"/>
              <w:jc w:val="center"/>
              <w:rPr>
                <w:rFonts w:ascii="Arial" w:eastAsia="Calibri" w:hAnsi="Arial" w:cs="Arial"/>
                <w:kern w:val="2"/>
                <w:lang w:bidi="ar"/>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tcPr>
          <w:p w14:paraId="00DF0469" w14:textId="77777777" w:rsidR="0066287B" w:rsidRPr="00C01F07" w:rsidRDefault="0066287B" w:rsidP="0066287B">
            <w:pPr>
              <w:spacing w:before="240" w:line="360" w:lineRule="auto"/>
              <w:jc w:val="center"/>
              <w:rPr>
                <w:rFonts w:ascii="Arial" w:eastAsia="Calibri" w:hAnsi="Arial" w:cs="Arial"/>
                <w:kern w:val="2"/>
                <w:lang w:bidi="ar"/>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tcPr>
          <w:p w14:paraId="06B8DB15" w14:textId="77777777" w:rsidR="0066287B" w:rsidRPr="00C01F07" w:rsidRDefault="0066287B" w:rsidP="0066287B">
            <w:pPr>
              <w:spacing w:before="240" w:line="360" w:lineRule="auto"/>
              <w:jc w:val="center"/>
              <w:rPr>
                <w:rFonts w:ascii="Arial" w:eastAsia="Calibri" w:hAnsi="Arial" w:cs="Arial"/>
                <w:kern w:val="2"/>
                <w:lang w:bidi="ar"/>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tcPr>
          <w:p w14:paraId="7CB96B2D" w14:textId="77777777" w:rsidR="0066287B" w:rsidRPr="00C01F07" w:rsidRDefault="0066287B" w:rsidP="0066287B">
            <w:pPr>
              <w:spacing w:before="240" w:line="360" w:lineRule="auto"/>
              <w:jc w:val="center"/>
              <w:rPr>
                <w:rFonts w:ascii="Arial" w:eastAsia="Calibri" w:hAnsi="Arial" w:cs="Arial"/>
                <w:kern w:val="2"/>
                <w:lang w:bidi="ar"/>
              </w:rPr>
            </w:pPr>
          </w:p>
        </w:tc>
      </w:tr>
      <w:tr w:rsidR="0066287B" w:rsidRPr="00C01F07" w14:paraId="727431E7" w14:textId="77777777" w:rsidTr="00306001">
        <w:trPr>
          <w:trHeight w:val="230"/>
          <w:jc w:val="center"/>
        </w:trPr>
        <w:tc>
          <w:tcPr>
            <w:tcW w:w="3505" w:type="dxa"/>
            <w:tcBorders>
              <w:top w:val="single" w:sz="4" w:space="0" w:color="auto"/>
              <w:left w:val="single" w:sz="4" w:space="0" w:color="auto"/>
              <w:bottom w:val="single" w:sz="4" w:space="0" w:color="auto"/>
              <w:right w:val="single" w:sz="4" w:space="0" w:color="auto"/>
            </w:tcBorders>
            <w:shd w:val="clear" w:color="auto" w:fill="auto"/>
          </w:tcPr>
          <w:p w14:paraId="03686ADB"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Total number of glomeruli</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7D8028A"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20 ±4</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4E63DB4"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20 ±6.75</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FD9E680"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17 ±8</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56C9A9C"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16 ±7.1</w:t>
            </w:r>
          </w:p>
        </w:tc>
      </w:tr>
      <w:tr w:rsidR="0066287B" w:rsidRPr="00C01F07" w14:paraId="6FC8DB19" w14:textId="77777777" w:rsidTr="00306001">
        <w:trPr>
          <w:trHeight w:val="230"/>
          <w:jc w:val="center"/>
        </w:trPr>
        <w:tc>
          <w:tcPr>
            <w:tcW w:w="3505" w:type="dxa"/>
            <w:tcBorders>
              <w:top w:val="single" w:sz="4" w:space="0" w:color="auto"/>
              <w:left w:val="single" w:sz="4" w:space="0" w:color="auto"/>
              <w:bottom w:val="single" w:sz="4" w:space="0" w:color="auto"/>
              <w:right w:val="single" w:sz="4" w:space="0" w:color="auto"/>
            </w:tcBorders>
            <w:shd w:val="clear" w:color="auto" w:fill="auto"/>
          </w:tcPr>
          <w:p w14:paraId="6EAB65F3"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Number of normal glomeruli</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072FF02"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3.0 ±1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6ADC094"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4 ±3</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2C1A0DE"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4 ±2</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94539D7"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4.5 ±2.1</w:t>
            </w:r>
          </w:p>
        </w:tc>
      </w:tr>
      <w:tr w:rsidR="0066287B" w:rsidRPr="00C01F07" w14:paraId="473BD6CC" w14:textId="77777777" w:rsidTr="00306001">
        <w:trPr>
          <w:trHeight w:val="230"/>
          <w:jc w:val="center"/>
        </w:trPr>
        <w:tc>
          <w:tcPr>
            <w:tcW w:w="3505" w:type="dxa"/>
            <w:tcBorders>
              <w:top w:val="single" w:sz="4" w:space="0" w:color="auto"/>
              <w:left w:val="single" w:sz="4" w:space="0" w:color="auto"/>
              <w:bottom w:val="single" w:sz="4" w:space="0" w:color="auto"/>
              <w:right w:val="single" w:sz="4" w:space="0" w:color="auto"/>
            </w:tcBorders>
            <w:shd w:val="clear" w:color="auto" w:fill="auto"/>
          </w:tcPr>
          <w:p w14:paraId="078A40CD"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Number of sclerotic glomeruli</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DE4AF8B"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7 ±6</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92F54BE"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4 ±4</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7D2D06C"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3 ±6</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D927915"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3 ±4.8</w:t>
            </w:r>
          </w:p>
        </w:tc>
      </w:tr>
      <w:tr w:rsidR="0066287B" w:rsidRPr="00C01F07" w14:paraId="158E2ACD" w14:textId="77777777" w:rsidTr="00306001">
        <w:trPr>
          <w:trHeight w:val="230"/>
          <w:jc w:val="center"/>
        </w:trPr>
        <w:tc>
          <w:tcPr>
            <w:tcW w:w="3505" w:type="dxa"/>
            <w:tcBorders>
              <w:top w:val="single" w:sz="4" w:space="0" w:color="auto"/>
              <w:left w:val="single" w:sz="4" w:space="0" w:color="auto"/>
              <w:bottom w:val="single" w:sz="4" w:space="0" w:color="auto"/>
              <w:right w:val="single" w:sz="4" w:space="0" w:color="auto"/>
            </w:tcBorders>
            <w:shd w:val="clear" w:color="auto" w:fill="auto"/>
          </w:tcPr>
          <w:p w14:paraId="5DAC247A"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Number of crescentic glomeruli</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0004A64"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11.5 ±4</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632B1A7"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11 ±3</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1D6068C"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12 ±5.5</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AC5E925"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12 ±4.5</w:t>
            </w:r>
          </w:p>
        </w:tc>
      </w:tr>
      <w:tr w:rsidR="0066287B" w:rsidRPr="00C01F07" w14:paraId="58088F37" w14:textId="77777777" w:rsidTr="00306001">
        <w:trPr>
          <w:trHeight w:val="230"/>
          <w:jc w:val="center"/>
        </w:trPr>
        <w:tc>
          <w:tcPr>
            <w:tcW w:w="3505" w:type="dxa"/>
            <w:tcBorders>
              <w:top w:val="single" w:sz="4" w:space="0" w:color="auto"/>
              <w:left w:val="single" w:sz="4" w:space="0" w:color="auto"/>
              <w:bottom w:val="single" w:sz="4" w:space="0" w:color="auto"/>
              <w:right w:val="single" w:sz="4" w:space="0" w:color="auto"/>
            </w:tcBorders>
            <w:shd w:val="clear" w:color="auto" w:fill="auto"/>
          </w:tcPr>
          <w:p w14:paraId="0A0CC5C7"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Number of fibrous crescents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70C2BD3"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3 ±2</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8FA10E6"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2.5 ±1.75</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C6719D3"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2 ±3</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A569E6D"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1.8 ±3</w:t>
            </w:r>
          </w:p>
        </w:tc>
      </w:tr>
      <w:tr w:rsidR="0066287B" w:rsidRPr="00C01F07" w14:paraId="398A535D" w14:textId="77777777" w:rsidTr="00306001">
        <w:trPr>
          <w:trHeight w:val="230"/>
          <w:jc w:val="center"/>
        </w:trPr>
        <w:tc>
          <w:tcPr>
            <w:tcW w:w="3505" w:type="dxa"/>
            <w:tcBorders>
              <w:top w:val="single" w:sz="4" w:space="0" w:color="auto"/>
              <w:left w:val="single" w:sz="4" w:space="0" w:color="auto"/>
              <w:bottom w:val="single" w:sz="4" w:space="0" w:color="auto"/>
              <w:right w:val="single" w:sz="4" w:space="0" w:color="auto"/>
            </w:tcBorders>
            <w:shd w:val="clear" w:color="auto" w:fill="auto"/>
          </w:tcPr>
          <w:p w14:paraId="5B6B2618"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Number of cellular crescents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8A13CE3"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8.5 ±3</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CA9A5F6"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9 ±4.75</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3508B83"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8 ±6</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404DC75"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7.75 ±6</w:t>
            </w:r>
          </w:p>
        </w:tc>
      </w:tr>
      <w:tr w:rsidR="0066287B" w:rsidRPr="00C01F07" w14:paraId="34227930" w14:textId="77777777" w:rsidTr="00306001">
        <w:trPr>
          <w:trHeight w:val="230"/>
          <w:jc w:val="center"/>
        </w:trPr>
        <w:tc>
          <w:tcPr>
            <w:tcW w:w="3505" w:type="dxa"/>
            <w:tcBorders>
              <w:top w:val="single" w:sz="4" w:space="0" w:color="auto"/>
              <w:left w:val="single" w:sz="4" w:space="0" w:color="auto"/>
              <w:bottom w:val="single" w:sz="4" w:space="0" w:color="auto"/>
              <w:right w:val="single" w:sz="4" w:space="0" w:color="auto"/>
            </w:tcBorders>
            <w:shd w:val="clear" w:color="auto" w:fill="auto"/>
          </w:tcPr>
          <w:p w14:paraId="0AACEEFB"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Low C3 (%)</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758BEA5"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1 (16.7%)</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29680E8"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19 (73.07%)</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2DC0A44"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0 (0%)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E829F35"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0 (0%)</w:t>
            </w:r>
          </w:p>
        </w:tc>
      </w:tr>
      <w:tr w:rsidR="0066287B" w:rsidRPr="00C01F07" w14:paraId="2580FD93" w14:textId="77777777" w:rsidTr="00306001">
        <w:trPr>
          <w:trHeight w:val="230"/>
          <w:jc w:val="center"/>
        </w:trPr>
        <w:tc>
          <w:tcPr>
            <w:tcW w:w="3505" w:type="dxa"/>
            <w:tcBorders>
              <w:top w:val="single" w:sz="4" w:space="0" w:color="auto"/>
              <w:left w:val="single" w:sz="4" w:space="0" w:color="auto"/>
              <w:bottom w:val="single" w:sz="4" w:space="0" w:color="auto"/>
              <w:right w:val="single" w:sz="4" w:space="0" w:color="auto"/>
            </w:tcBorders>
            <w:shd w:val="clear" w:color="auto" w:fill="auto"/>
          </w:tcPr>
          <w:p w14:paraId="29900479"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Low C4 (%)</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5086E3A"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0 (0%)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F79597E"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18 (69.2%)</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D6B4057"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0 (0%)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6903654"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0 (0%)</w:t>
            </w:r>
          </w:p>
        </w:tc>
      </w:tr>
      <w:tr w:rsidR="0066287B" w:rsidRPr="00C01F07" w14:paraId="78363C88" w14:textId="77777777" w:rsidTr="00306001">
        <w:trPr>
          <w:trHeight w:val="230"/>
          <w:jc w:val="center"/>
        </w:trPr>
        <w:tc>
          <w:tcPr>
            <w:tcW w:w="3505" w:type="dxa"/>
            <w:tcBorders>
              <w:top w:val="single" w:sz="4" w:space="0" w:color="auto"/>
              <w:left w:val="single" w:sz="4" w:space="0" w:color="auto"/>
              <w:bottom w:val="single" w:sz="4" w:space="0" w:color="auto"/>
              <w:right w:val="single" w:sz="4" w:space="0" w:color="auto"/>
            </w:tcBorders>
            <w:shd w:val="clear" w:color="auto" w:fill="auto"/>
          </w:tcPr>
          <w:p w14:paraId="608CA7B3"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Positive ANA (%)</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F0A59D1"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0 (0%)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B246DF6"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18 (69.2%)</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F9B3156"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0 (0%)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FC08835"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0 (0%)</w:t>
            </w:r>
          </w:p>
        </w:tc>
      </w:tr>
      <w:tr w:rsidR="0066287B" w:rsidRPr="00C01F07" w14:paraId="3250190D" w14:textId="77777777" w:rsidTr="00306001">
        <w:trPr>
          <w:trHeight w:val="230"/>
          <w:jc w:val="center"/>
        </w:trPr>
        <w:tc>
          <w:tcPr>
            <w:tcW w:w="3505" w:type="dxa"/>
            <w:tcBorders>
              <w:top w:val="single" w:sz="4" w:space="0" w:color="auto"/>
              <w:left w:val="single" w:sz="4" w:space="0" w:color="auto"/>
              <w:bottom w:val="single" w:sz="4" w:space="0" w:color="auto"/>
              <w:right w:val="single" w:sz="4" w:space="0" w:color="auto"/>
            </w:tcBorders>
            <w:shd w:val="clear" w:color="auto" w:fill="auto"/>
          </w:tcPr>
          <w:p w14:paraId="53BD2118"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Positive Anti dsDNA (%)</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9AB80F2"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0 (0%)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37E749E"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18 (69.2%)</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54CADCA"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0 (0%)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9B3D06F"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0 (0%)</w:t>
            </w:r>
          </w:p>
        </w:tc>
      </w:tr>
      <w:tr w:rsidR="0066287B" w:rsidRPr="00C01F07" w14:paraId="1B4972EB" w14:textId="77777777" w:rsidTr="00306001">
        <w:trPr>
          <w:trHeight w:val="230"/>
          <w:jc w:val="center"/>
        </w:trPr>
        <w:tc>
          <w:tcPr>
            <w:tcW w:w="3505" w:type="dxa"/>
            <w:tcBorders>
              <w:top w:val="single" w:sz="4" w:space="0" w:color="auto"/>
              <w:left w:val="single" w:sz="4" w:space="0" w:color="auto"/>
              <w:bottom w:val="single" w:sz="4" w:space="0" w:color="auto"/>
              <w:right w:val="single" w:sz="4" w:space="0" w:color="auto"/>
            </w:tcBorders>
            <w:shd w:val="clear" w:color="auto" w:fill="auto"/>
          </w:tcPr>
          <w:p w14:paraId="45DDE2B0"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Positive Anti GBM Ab (%)</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C4E410B"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5 (83.3%)</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1222B4D"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0 (0%)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6E3D674"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0 (0%)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DA703CB"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0 (0%)</w:t>
            </w:r>
          </w:p>
        </w:tc>
      </w:tr>
      <w:tr w:rsidR="0066287B" w:rsidRPr="00C01F07" w14:paraId="5C98F120" w14:textId="77777777" w:rsidTr="00306001">
        <w:trPr>
          <w:trHeight w:val="230"/>
          <w:jc w:val="center"/>
        </w:trPr>
        <w:tc>
          <w:tcPr>
            <w:tcW w:w="3505" w:type="dxa"/>
            <w:tcBorders>
              <w:top w:val="single" w:sz="4" w:space="0" w:color="auto"/>
              <w:left w:val="single" w:sz="4" w:space="0" w:color="auto"/>
              <w:bottom w:val="single" w:sz="4" w:space="0" w:color="auto"/>
              <w:right w:val="single" w:sz="4" w:space="0" w:color="auto"/>
            </w:tcBorders>
            <w:shd w:val="clear" w:color="auto" w:fill="auto"/>
          </w:tcPr>
          <w:p w14:paraId="6BCA519F"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Positive P-ANCA (%)</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BAA4011"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0 (0%)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D689707"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0 (0%)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76D2FE"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5 (50%)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9891FE2"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1 (33.3%)</w:t>
            </w:r>
          </w:p>
        </w:tc>
      </w:tr>
      <w:tr w:rsidR="0066287B" w:rsidRPr="00C01F07" w14:paraId="671D0FD7" w14:textId="77777777" w:rsidTr="00306001">
        <w:trPr>
          <w:trHeight w:val="230"/>
          <w:jc w:val="center"/>
        </w:trPr>
        <w:tc>
          <w:tcPr>
            <w:tcW w:w="3505" w:type="dxa"/>
            <w:tcBorders>
              <w:top w:val="single" w:sz="4" w:space="0" w:color="auto"/>
              <w:left w:val="single" w:sz="4" w:space="0" w:color="auto"/>
              <w:bottom w:val="single" w:sz="4" w:space="0" w:color="auto"/>
              <w:right w:val="single" w:sz="4" w:space="0" w:color="auto"/>
            </w:tcBorders>
            <w:shd w:val="clear" w:color="auto" w:fill="auto"/>
          </w:tcPr>
          <w:p w14:paraId="72673229"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Positive C-ANCA (%)</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BFC516B"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0 (0%)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9CC5FE6"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0 (0%)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087AEEE"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3 (30%)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04EB908"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1 (33.3%)</w:t>
            </w:r>
          </w:p>
        </w:tc>
      </w:tr>
    </w:tbl>
    <w:p w14:paraId="0C3DDCCC" w14:textId="77777777" w:rsidR="00A9507F" w:rsidRPr="00C01F07" w:rsidRDefault="00A9507F" w:rsidP="0066287B">
      <w:pPr>
        <w:spacing w:before="240" w:line="360" w:lineRule="auto"/>
        <w:jc w:val="both"/>
        <w:rPr>
          <w:rFonts w:ascii="Arial" w:eastAsia="Calibri" w:hAnsi="Arial" w:cs="Arial"/>
          <w:b/>
          <w:bCs/>
          <w:kern w:val="2"/>
          <w:sz w:val="22"/>
          <w:szCs w:val="22"/>
          <w:u w:val="single"/>
          <w:lang w:bidi="ar"/>
        </w:rPr>
      </w:pPr>
    </w:p>
    <w:p w14:paraId="2EE490AF" w14:textId="7C33C88E" w:rsidR="00B22B4F" w:rsidRPr="00C01F07" w:rsidRDefault="00B22B4F" w:rsidP="0066287B">
      <w:pPr>
        <w:spacing w:before="240" w:line="360" w:lineRule="auto"/>
        <w:jc w:val="both"/>
        <w:rPr>
          <w:rFonts w:ascii="Arial" w:eastAsia="Calibri" w:hAnsi="Arial" w:cs="Arial"/>
          <w:b/>
          <w:bCs/>
          <w:kern w:val="2"/>
          <w:sz w:val="22"/>
          <w:szCs w:val="22"/>
          <w:u w:val="single"/>
          <w:lang w:bidi="ar"/>
        </w:rPr>
      </w:pPr>
      <w:r w:rsidRPr="00C01F07">
        <w:rPr>
          <w:rFonts w:ascii="Arial" w:eastAsia="Calibri" w:hAnsi="Arial" w:cs="Arial"/>
          <w:b/>
          <w:bCs/>
          <w:kern w:val="2"/>
          <w:sz w:val="22"/>
          <w:szCs w:val="22"/>
          <w:u w:val="single"/>
          <w:lang w:bidi="ar"/>
        </w:rPr>
        <w:lastRenderedPageBreak/>
        <w:t>Table 3: Histological characteristics &amp; treatment of RPGN Patients</w:t>
      </w: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05"/>
        <w:gridCol w:w="1170"/>
        <w:gridCol w:w="1260"/>
        <w:gridCol w:w="1170"/>
        <w:gridCol w:w="1170"/>
      </w:tblGrid>
      <w:tr w:rsidR="00B22B4F" w:rsidRPr="00C01F07" w14:paraId="023B5393" w14:textId="77777777" w:rsidTr="00A6077E">
        <w:trPr>
          <w:trHeight w:val="414"/>
          <w:jc w:val="center"/>
        </w:trPr>
        <w:tc>
          <w:tcPr>
            <w:tcW w:w="3505" w:type="dxa"/>
            <w:vMerge w:val="restart"/>
            <w:tcBorders>
              <w:top w:val="single" w:sz="4" w:space="0" w:color="auto"/>
              <w:left w:val="single" w:sz="4" w:space="0" w:color="auto"/>
              <w:bottom w:val="single" w:sz="4" w:space="0" w:color="auto"/>
              <w:right w:val="single" w:sz="4" w:space="0" w:color="auto"/>
            </w:tcBorders>
            <w:shd w:val="clear" w:color="auto" w:fill="auto"/>
          </w:tcPr>
          <w:p w14:paraId="6A63570B" w14:textId="77777777" w:rsidR="00B22B4F" w:rsidRPr="00C01F07" w:rsidRDefault="00B22B4F" w:rsidP="00A6077E">
            <w:pPr>
              <w:spacing w:before="240" w:line="360" w:lineRule="auto"/>
              <w:jc w:val="center"/>
              <w:rPr>
                <w:rFonts w:ascii="Arial" w:eastAsia="Calibri" w:hAnsi="Arial" w:cs="Arial"/>
                <w:b/>
                <w:bCs/>
                <w:kern w:val="2"/>
                <w:lang w:bidi="ar"/>
              </w:rPr>
            </w:pPr>
            <w:r w:rsidRPr="00C01F07">
              <w:rPr>
                <w:rFonts w:ascii="Arial" w:eastAsia="Calibri" w:hAnsi="Arial" w:cs="Arial"/>
                <w:b/>
                <w:bCs/>
                <w:kern w:val="2"/>
                <w:lang w:bidi="ar"/>
              </w:rPr>
              <w:t>Variables (Mean ± SD)</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tcPr>
          <w:p w14:paraId="000F2913" w14:textId="77777777" w:rsidR="00B22B4F" w:rsidRPr="00C01F07" w:rsidRDefault="00B22B4F" w:rsidP="00A6077E">
            <w:pPr>
              <w:spacing w:before="240" w:line="360" w:lineRule="auto"/>
              <w:jc w:val="center"/>
              <w:rPr>
                <w:rFonts w:ascii="Arial" w:eastAsia="Calibri" w:hAnsi="Arial" w:cs="Arial"/>
                <w:b/>
                <w:bCs/>
                <w:kern w:val="2"/>
                <w:lang w:bidi="ar"/>
              </w:rPr>
            </w:pPr>
            <w:r w:rsidRPr="00C01F07">
              <w:rPr>
                <w:rFonts w:ascii="Arial" w:eastAsia="Calibri" w:hAnsi="Arial" w:cs="Arial"/>
                <w:b/>
                <w:bCs/>
                <w:kern w:val="2"/>
                <w:lang w:bidi="ar"/>
              </w:rPr>
              <w:t>Type I RPGN</w:t>
            </w:r>
          </w:p>
          <w:p w14:paraId="60A77CD7" w14:textId="77777777" w:rsidR="00B22B4F" w:rsidRPr="00C01F07" w:rsidRDefault="00B22B4F" w:rsidP="00A6077E">
            <w:pPr>
              <w:spacing w:before="240" w:line="360" w:lineRule="auto"/>
              <w:jc w:val="center"/>
              <w:rPr>
                <w:rFonts w:ascii="Arial" w:eastAsia="Calibri" w:hAnsi="Arial" w:cs="Arial"/>
                <w:b/>
                <w:bCs/>
                <w:kern w:val="2"/>
                <w:lang w:bidi="ar"/>
              </w:rPr>
            </w:pPr>
            <w:r w:rsidRPr="00C01F07">
              <w:rPr>
                <w:rFonts w:ascii="Arial" w:eastAsia="Calibri" w:hAnsi="Arial" w:cs="Arial"/>
                <w:b/>
                <w:bCs/>
                <w:i/>
                <w:iCs/>
                <w:kern w:val="2"/>
                <w:lang w:bidi="ar"/>
              </w:rPr>
              <w:t xml:space="preserve">n </w:t>
            </w:r>
            <w:r w:rsidRPr="00C01F07">
              <w:rPr>
                <w:rFonts w:ascii="Arial" w:eastAsia="Calibri" w:hAnsi="Arial" w:cs="Arial"/>
                <w:b/>
                <w:bCs/>
                <w:kern w:val="2"/>
                <w:lang w:bidi="ar"/>
              </w:rPr>
              <w:t>= 6</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tcPr>
          <w:p w14:paraId="146D3421" w14:textId="77777777" w:rsidR="00B22B4F" w:rsidRPr="00C01F07" w:rsidRDefault="00B22B4F" w:rsidP="00A6077E">
            <w:pPr>
              <w:spacing w:before="240" w:line="360" w:lineRule="auto"/>
              <w:jc w:val="center"/>
              <w:rPr>
                <w:rFonts w:ascii="Arial" w:eastAsia="Calibri" w:hAnsi="Arial" w:cs="Arial"/>
                <w:b/>
                <w:bCs/>
                <w:kern w:val="2"/>
                <w:lang w:bidi="ar"/>
              </w:rPr>
            </w:pPr>
            <w:r w:rsidRPr="00C01F07">
              <w:rPr>
                <w:rFonts w:ascii="Arial" w:eastAsia="Calibri" w:hAnsi="Arial" w:cs="Arial"/>
                <w:b/>
                <w:bCs/>
                <w:kern w:val="2"/>
                <w:lang w:bidi="ar"/>
              </w:rPr>
              <w:t>Type II RPGN</w:t>
            </w:r>
          </w:p>
          <w:p w14:paraId="3C7585F1" w14:textId="77777777" w:rsidR="00B22B4F" w:rsidRPr="00C01F07" w:rsidRDefault="00B22B4F" w:rsidP="00A6077E">
            <w:pPr>
              <w:spacing w:before="240" w:line="360" w:lineRule="auto"/>
              <w:jc w:val="center"/>
              <w:rPr>
                <w:rFonts w:ascii="Arial" w:eastAsia="Calibri" w:hAnsi="Arial" w:cs="Arial"/>
                <w:b/>
                <w:bCs/>
                <w:kern w:val="2"/>
                <w:lang w:bidi="ar"/>
              </w:rPr>
            </w:pPr>
            <w:r w:rsidRPr="00C01F07">
              <w:rPr>
                <w:rFonts w:ascii="Arial" w:eastAsia="Calibri" w:hAnsi="Arial" w:cs="Arial"/>
                <w:b/>
                <w:bCs/>
                <w:i/>
                <w:iCs/>
                <w:kern w:val="2"/>
                <w:lang w:bidi="ar"/>
              </w:rPr>
              <w:t xml:space="preserve">n </w:t>
            </w:r>
            <w:r w:rsidRPr="00C01F07">
              <w:rPr>
                <w:rFonts w:ascii="Arial" w:eastAsia="Calibri" w:hAnsi="Arial" w:cs="Arial"/>
                <w:b/>
                <w:bCs/>
                <w:kern w:val="2"/>
                <w:lang w:bidi="ar"/>
              </w:rPr>
              <w:t>= 26</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tcPr>
          <w:p w14:paraId="03A051FC" w14:textId="77777777" w:rsidR="00B22B4F" w:rsidRPr="00C01F07" w:rsidRDefault="00B22B4F" w:rsidP="00A6077E">
            <w:pPr>
              <w:spacing w:before="240" w:line="360" w:lineRule="auto"/>
              <w:jc w:val="center"/>
              <w:rPr>
                <w:rFonts w:ascii="Arial" w:eastAsia="Calibri" w:hAnsi="Arial" w:cs="Arial"/>
                <w:b/>
                <w:bCs/>
                <w:kern w:val="2"/>
                <w:lang w:bidi="ar"/>
              </w:rPr>
            </w:pPr>
            <w:r w:rsidRPr="00C01F07">
              <w:rPr>
                <w:rFonts w:ascii="Arial" w:eastAsia="Calibri" w:hAnsi="Arial" w:cs="Arial"/>
                <w:b/>
                <w:bCs/>
                <w:kern w:val="2"/>
                <w:lang w:bidi="ar"/>
              </w:rPr>
              <w:t>Type III RPGN</w:t>
            </w:r>
          </w:p>
          <w:p w14:paraId="3875E572" w14:textId="77777777" w:rsidR="00B22B4F" w:rsidRPr="00C01F07" w:rsidRDefault="00B22B4F" w:rsidP="00A6077E">
            <w:pPr>
              <w:spacing w:before="240" w:line="360" w:lineRule="auto"/>
              <w:jc w:val="center"/>
              <w:rPr>
                <w:rFonts w:ascii="Arial" w:eastAsia="Calibri" w:hAnsi="Arial" w:cs="Arial"/>
                <w:b/>
                <w:bCs/>
                <w:kern w:val="2"/>
                <w:lang w:bidi="ar"/>
              </w:rPr>
            </w:pPr>
            <w:r w:rsidRPr="00C01F07">
              <w:rPr>
                <w:rFonts w:ascii="Arial" w:eastAsia="Calibri" w:hAnsi="Arial" w:cs="Arial"/>
                <w:b/>
                <w:bCs/>
                <w:i/>
                <w:iCs/>
                <w:kern w:val="2"/>
                <w:lang w:bidi="ar"/>
              </w:rPr>
              <w:t xml:space="preserve">n </w:t>
            </w:r>
            <w:r w:rsidRPr="00C01F07">
              <w:rPr>
                <w:rFonts w:ascii="Arial" w:eastAsia="Calibri" w:hAnsi="Arial" w:cs="Arial"/>
                <w:b/>
                <w:bCs/>
                <w:kern w:val="2"/>
                <w:lang w:bidi="ar"/>
              </w:rPr>
              <w:t>= 10</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tcPr>
          <w:p w14:paraId="1DF02966" w14:textId="77777777" w:rsidR="00B22B4F" w:rsidRPr="00C01F07" w:rsidRDefault="00B22B4F" w:rsidP="00A6077E">
            <w:pPr>
              <w:spacing w:before="240" w:line="360" w:lineRule="auto"/>
              <w:jc w:val="center"/>
              <w:rPr>
                <w:rFonts w:ascii="Arial" w:eastAsia="Calibri" w:hAnsi="Arial" w:cs="Arial"/>
                <w:b/>
                <w:bCs/>
                <w:kern w:val="2"/>
                <w:lang w:bidi="ar"/>
              </w:rPr>
            </w:pPr>
            <w:r w:rsidRPr="00C01F07">
              <w:rPr>
                <w:rFonts w:ascii="Arial" w:eastAsia="Calibri" w:hAnsi="Arial" w:cs="Arial"/>
                <w:b/>
                <w:bCs/>
                <w:kern w:val="2"/>
                <w:lang w:bidi="ar"/>
              </w:rPr>
              <w:t>Type IV RPGN</w:t>
            </w:r>
          </w:p>
          <w:p w14:paraId="2170DF82" w14:textId="77777777" w:rsidR="00B22B4F" w:rsidRPr="00C01F07" w:rsidRDefault="00B22B4F" w:rsidP="00A6077E">
            <w:pPr>
              <w:spacing w:before="240" w:line="360" w:lineRule="auto"/>
              <w:jc w:val="center"/>
              <w:rPr>
                <w:rFonts w:ascii="Arial" w:eastAsia="Calibri" w:hAnsi="Arial" w:cs="Arial"/>
                <w:b/>
                <w:bCs/>
                <w:kern w:val="2"/>
                <w:lang w:bidi="ar"/>
              </w:rPr>
            </w:pPr>
            <w:r w:rsidRPr="00C01F07">
              <w:rPr>
                <w:rFonts w:ascii="Arial" w:eastAsia="Calibri" w:hAnsi="Arial" w:cs="Arial"/>
                <w:b/>
                <w:bCs/>
                <w:i/>
                <w:iCs/>
                <w:kern w:val="2"/>
                <w:lang w:bidi="ar"/>
              </w:rPr>
              <w:t>n</w:t>
            </w:r>
            <w:r w:rsidRPr="00C01F07">
              <w:rPr>
                <w:rFonts w:ascii="Arial" w:eastAsia="Calibri" w:hAnsi="Arial" w:cs="Arial"/>
                <w:b/>
                <w:bCs/>
                <w:kern w:val="2"/>
                <w:lang w:bidi="ar"/>
              </w:rPr>
              <w:t>=3</w:t>
            </w:r>
          </w:p>
        </w:tc>
      </w:tr>
      <w:tr w:rsidR="00B22B4F" w:rsidRPr="00C01F07" w14:paraId="03A896F7" w14:textId="77777777" w:rsidTr="00A6077E">
        <w:trPr>
          <w:trHeight w:val="619"/>
          <w:jc w:val="center"/>
        </w:trPr>
        <w:tc>
          <w:tcPr>
            <w:tcW w:w="3505" w:type="dxa"/>
            <w:vMerge/>
            <w:tcBorders>
              <w:top w:val="single" w:sz="4" w:space="0" w:color="auto"/>
              <w:left w:val="single" w:sz="4" w:space="0" w:color="auto"/>
              <w:bottom w:val="single" w:sz="4" w:space="0" w:color="auto"/>
              <w:right w:val="single" w:sz="4" w:space="0" w:color="auto"/>
            </w:tcBorders>
            <w:shd w:val="clear" w:color="auto" w:fill="auto"/>
          </w:tcPr>
          <w:p w14:paraId="3901DD9C" w14:textId="77777777" w:rsidR="00B22B4F" w:rsidRPr="00C01F07" w:rsidRDefault="00B22B4F" w:rsidP="00A6077E">
            <w:pPr>
              <w:spacing w:before="240" w:line="360" w:lineRule="auto"/>
              <w:jc w:val="center"/>
              <w:rPr>
                <w:rFonts w:ascii="Arial" w:eastAsia="Calibri" w:hAnsi="Arial" w:cs="Arial"/>
                <w:kern w:val="2"/>
                <w:lang w:bidi="ar"/>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tcPr>
          <w:p w14:paraId="179F6DC9" w14:textId="77777777" w:rsidR="00B22B4F" w:rsidRPr="00C01F07" w:rsidRDefault="00B22B4F" w:rsidP="00A6077E">
            <w:pPr>
              <w:spacing w:before="240" w:line="360" w:lineRule="auto"/>
              <w:jc w:val="center"/>
              <w:rPr>
                <w:rFonts w:ascii="Arial" w:eastAsia="Calibri" w:hAnsi="Arial" w:cs="Arial"/>
                <w:kern w:val="2"/>
                <w:lang w:bidi="ar"/>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tcPr>
          <w:p w14:paraId="5A4386C5" w14:textId="77777777" w:rsidR="00B22B4F" w:rsidRPr="00C01F07" w:rsidRDefault="00B22B4F" w:rsidP="00A6077E">
            <w:pPr>
              <w:spacing w:before="240" w:line="360" w:lineRule="auto"/>
              <w:jc w:val="center"/>
              <w:rPr>
                <w:rFonts w:ascii="Arial" w:eastAsia="Calibri" w:hAnsi="Arial" w:cs="Arial"/>
                <w:kern w:val="2"/>
                <w:lang w:bidi="ar"/>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tcPr>
          <w:p w14:paraId="6B9609BB" w14:textId="77777777" w:rsidR="00B22B4F" w:rsidRPr="00C01F07" w:rsidRDefault="00B22B4F" w:rsidP="00A6077E">
            <w:pPr>
              <w:spacing w:before="240" w:line="360" w:lineRule="auto"/>
              <w:jc w:val="center"/>
              <w:rPr>
                <w:rFonts w:ascii="Arial" w:eastAsia="Calibri" w:hAnsi="Arial" w:cs="Arial"/>
                <w:kern w:val="2"/>
                <w:lang w:bidi="ar"/>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tcPr>
          <w:p w14:paraId="760046C9" w14:textId="77777777" w:rsidR="00B22B4F" w:rsidRPr="00C01F07" w:rsidRDefault="00B22B4F" w:rsidP="00A6077E">
            <w:pPr>
              <w:spacing w:before="240" w:line="360" w:lineRule="auto"/>
              <w:jc w:val="center"/>
              <w:rPr>
                <w:rFonts w:ascii="Arial" w:eastAsia="Calibri" w:hAnsi="Arial" w:cs="Arial"/>
                <w:kern w:val="2"/>
                <w:lang w:bidi="ar"/>
              </w:rPr>
            </w:pPr>
          </w:p>
        </w:tc>
      </w:tr>
      <w:tr w:rsidR="00B22B4F" w:rsidRPr="00C01F07" w14:paraId="1FBA2949" w14:textId="77777777" w:rsidTr="00A6077E">
        <w:trPr>
          <w:trHeight w:val="230"/>
          <w:jc w:val="center"/>
        </w:trPr>
        <w:tc>
          <w:tcPr>
            <w:tcW w:w="8275" w:type="dxa"/>
            <w:gridSpan w:val="5"/>
            <w:tcBorders>
              <w:top w:val="single" w:sz="4" w:space="0" w:color="auto"/>
              <w:left w:val="single" w:sz="4" w:space="0" w:color="auto"/>
              <w:bottom w:val="single" w:sz="4" w:space="0" w:color="auto"/>
              <w:right w:val="single" w:sz="4" w:space="0" w:color="auto"/>
            </w:tcBorders>
            <w:shd w:val="clear" w:color="auto" w:fill="auto"/>
          </w:tcPr>
          <w:p w14:paraId="75B444A3" w14:textId="77777777" w:rsidR="00B22B4F" w:rsidRPr="00C01F07" w:rsidRDefault="00B22B4F" w:rsidP="00A6077E">
            <w:pPr>
              <w:spacing w:before="240" w:line="360" w:lineRule="auto"/>
              <w:rPr>
                <w:rFonts w:ascii="Arial" w:eastAsia="Calibri" w:hAnsi="Arial" w:cs="Arial"/>
                <w:b/>
                <w:bCs/>
                <w:kern w:val="2"/>
                <w:lang w:bidi="ar"/>
              </w:rPr>
            </w:pPr>
            <w:r w:rsidRPr="00C01F07">
              <w:rPr>
                <w:rFonts w:ascii="Arial" w:eastAsia="Calibri" w:hAnsi="Arial" w:cs="Arial"/>
                <w:b/>
                <w:bCs/>
                <w:kern w:val="2"/>
                <w:lang w:bidi="ar"/>
              </w:rPr>
              <w:t>Glomerular lesions (%)</w:t>
            </w:r>
          </w:p>
        </w:tc>
      </w:tr>
      <w:tr w:rsidR="00B22B4F" w:rsidRPr="00C01F07" w14:paraId="1C410BEA" w14:textId="77777777" w:rsidTr="00A6077E">
        <w:trPr>
          <w:trHeight w:val="602"/>
          <w:jc w:val="center"/>
        </w:trPr>
        <w:tc>
          <w:tcPr>
            <w:tcW w:w="3505" w:type="dxa"/>
            <w:tcBorders>
              <w:top w:val="single" w:sz="4" w:space="0" w:color="auto"/>
              <w:left w:val="single" w:sz="4" w:space="0" w:color="auto"/>
              <w:bottom w:val="single" w:sz="4" w:space="0" w:color="auto"/>
              <w:right w:val="single" w:sz="4" w:space="0" w:color="auto"/>
            </w:tcBorders>
            <w:shd w:val="clear" w:color="auto" w:fill="auto"/>
          </w:tcPr>
          <w:p w14:paraId="43CEA9F7" w14:textId="77777777" w:rsidR="00B22B4F" w:rsidRPr="00C01F07" w:rsidRDefault="00B22B4F" w:rsidP="00B22B4F">
            <w:pPr>
              <w:numPr>
                <w:ilvl w:val="0"/>
                <w:numId w:val="3"/>
              </w:numPr>
              <w:spacing w:before="240" w:line="360" w:lineRule="auto"/>
              <w:rPr>
                <w:rFonts w:ascii="Arial" w:eastAsia="Calibri" w:hAnsi="Arial" w:cs="Arial"/>
                <w:kern w:val="2"/>
                <w:lang w:bidi="ar"/>
              </w:rPr>
            </w:pPr>
            <w:r w:rsidRPr="00C01F07">
              <w:rPr>
                <w:rFonts w:ascii="Arial" w:eastAsia="Calibri" w:hAnsi="Arial" w:cs="Arial"/>
                <w:kern w:val="2"/>
                <w:lang w:bidi="ar"/>
              </w:rPr>
              <w:t>Mesangial proliferation (%)</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A5B3767" w14:textId="10FB1F51" w:rsidR="00B22B4F" w:rsidRPr="00C01F07" w:rsidRDefault="002715D9" w:rsidP="00A6077E">
            <w:pPr>
              <w:spacing w:before="240" w:line="360" w:lineRule="auto"/>
              <w:jc w:val="center"/>
              <w:rPr>
                <w:rFonts w:ascii="Arial" w:eastAsia="Calibri" w:hAnsi="Arial" w:cs="Arial"/>
                <w:kern w:val="2"/>
                <w:lang w:bidi="ar"/>
              </w:rPr>
            </w:pPr>
            <w:r w:rsidRPr="00C01F07">
              <w:rPr>
                <w:rFonts w:ascii="Arial" w:eastAsia="Calibri" w:hAnsi="Arial" w:cs="Arial"/>
                <w:kern w:val="2"/>
                <w:lang w:bidi="ar"/>
              </w:rPr>
              <w:t>1</w:t>
            </w:r>
            <w:r w:rsidR="00B22B4F" w:rsidRPr="00C01F07">
              <w:rPr>
                <w:rFonts w:ascii="Arial" w:eastAsia="Calibri" w:hAnsi="Arial" w:cs="Arial"/>
                <w:kern w:val="2"/>
                <w:lang w:bidi="ar"/>
              </w:rPr>
              <w:t xml:space="preserve"> (</w:t>
            </w:r>
            <w:r w:rsidRPr="00C01F07">
              <w:rPr>
                <w:rFonts w:ascii="Arial" w:eastAsia="Calibri" w:hAnsi="Arial" w:cs="Arial"/>
                <w:kern w:val="2"/>
                <w:lang w:bidi="ar"/>
              </w:rPr>
              <w:t>16.6</w:t>
            </w:r>
            <w:r w:rsidR="00B22B4F" w:rsidRPr="00C01F07">
              <w:rPr>
                <w:rFonts w:ascii="Arial" w:eastAsia="Calibri" w:hAnsi="Arial" w:cs="Arial"/>
                <w:kern w:val="2"/>
                <w:lang w:bidi="ar"/>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8695FFB" w14:textId="77777777" w:rsidR="00B22B4F" w:rsidRPr="00C01F07" w:rsidRDefault="00B22B4F" w:rsidP="00A6077E">
            <w:pPr>
              <w:spacing w:before="240" w:line="360" w:lineRule="auto"/>
              <w:jc w:val="center"/>
              <w:rPr>
                <w:rFonts w:ascii="Arial" w:eastAsia="Calibri" w:hAnsi="Arial" w:cs="Arial"/>
                <w:kern w:val="2"/>
                <w:lang w:bidi="ar"/>
              </w:rPr>
            </w:pPr>
            <w:r w:rsidRPr="00C01F07">
              <w:rPr>
                <w:rFonts w:ascii="Arial" w:eastAsia="Calibri" w:hAnsi="Arial" w:cs="Arial"/>
                <w:kern w:val="2"/>
                <w:lang w:bidi="ar"/>
              </w:rPr>
              <w:t>14 (53.8%)</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D93F9CD" w14:textId="77777777" w:rsidR="00B22B4F" w:rsidRPr="00C01F07" w:rsidRDefault="00B22B4F" w:rsidP="00A6077E">
            <w:pPr>
              <w:spacing w:before="240" w:line="360" w:lineRule="auto"/>
              <w:jc w:val="center"/>
              <w:rPr>
                <w:rFonts w:ascii="Arial" w:eastAsia="Calibri" w:hAnsi="Arial" w:cs="Arial"/>
                <w:kern w:val="2"/>
                <w:lang w:bidi="ar"/>
              </w:rPr>
            </w:pPr>
            <w:r w:rsidRPr="00C01F07">
              <w:rPr>
                <w:rFonts w:ascii="Arial" w:eastAsia="Calibri" w:hAnsi="Arial" w:cs="Arial"/>
                <w:kern w:val="2"/>
                <w:lang w:bidi="ar"/>
              </w:rPr>
              <w:t>4 (40%)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0E2EA3E" w14:textId="77777777" w:rsidR="00B22B4F" w:rsidRPr="00C01F07" w:rsidRDefault="00B22B4F" w:rsidP="00A6077E">
            <w:pPr>
              <w:spacing w:before="240" w:line="360" w:lineRule="auto"/>
              <w:jc w:val="center"/>
              <w:rPr>
                <w:rFonts w:ascii="Arial" w:eastAsia="Calibri" w:hAnsi="Arial" w:cs="Arial"/>
                <w:kern w:val="2"/>
                <w:lang w:bidi="ar"/>
              </w:rPr>
            </w:pPr>
            <w:r w:rsidRPr="00C01F07">
              <w:rPr>
                <w:rFonts w:ascii="Arial" w:eastAsia="Calibri" w:hAnsi="Arial" w:cs="Arial"/>
                <w:kern w:val="2"/>
                <w:lang w:bidi="ar"/>
              </w:rPr>
              <w:t>0(0%)</w:t>
            </w:r>
          </w:p>
        </w:tc>
      </w:tr>
      <w:tr w:rsidR="00B22B4F" w:rsidRPr="00C01F07" w14:paraId="4EEA22C8" w14:textId="77777777" w:rsidTr="00A6077E">
        <w:trPr>
          <w:trHeight w:val="230"/>
          <w:jc w:val="center"/>
        </w:trPr>
        <w:tc>
          <w:tcPr>
            <w:tcW w:w="3505" w:type="dxa"/>
            <w:tcBorders>
              <w:top w:val="single" w:sz="4" w:space="0" w:color="auto"/>
              <w:left w:val="single" w:sz="4" w:space="0" w:color="auto"/>
              <w:bottom w:val="single" w:sz="4" w:space="0" w:color="auto"/>
              <w:right w:val="single" w:sz="4" w:space="0" w:color="auto"/>
            </w:tcBorders>
            <w:shd w:val="clear" w:color="auto" w:fill="auto"/>
          </w:tcPr>
          <w:p w14:paraId="0672DD1D" w14:textId="77777777" w:rsidR="00B22B4F" w:rsidRPr="00C01F07" w:rsidRDefault="00B22B4F" w:rsidP="00B22B4F">
            <w:pPr>
              <w:numPr>
                <w:ilvl w:val="0"/>
                <w:numId w:val="2"/>
              </w:numPr>
              <w:spacing w:before="240" w:line="360" w:lineRule="auto"/>
              <w:rPr>
                <w:rFonts w:ascii="Arial" w:eastAsia="Calibri" w:hAnsi="Arial" w:cs="Arial"/>
                <w:kern w:val="2"/>
                <w:lang w:bidi="ar"/>
              </w:rPr>
            </w:pPr>
            <w:r w:rsidRPr="00C01F07">
              <w:rPr>
                <w:rFonts w:ascii="Arial" w:eastAsia="Calibri" w:hAnsi="Arial" w:cs="Arial"/>
                <w:kern w:val="2"/>
                <w:lang w:bidi="ar"/>
              </w:rPr>
              <w:t>Neutrophilic infiltration (%)</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F995CFD" w14:textId="77777777" w:rsidR="00B22B4F" w:rsidRPr="00C01F07" w:rsidRDefault="00B22B4F" w:rsidP="00A6077E">
            <w:pPr>
              <w:spacing w:before="240" w:line="360" w:lineRule="auto"/>
              <w:jc w:val="center"/>
              <w:rPr>
                <w:rFonts w:ascii="Arial" w:eastAsia="Calibri" w:hAnsi="Arial" w:cs="Arial"/>
                <w:kern w:val="2"/>
                <w:lang w:bidi="ar"/>
              </w:rPr>
            </w:pPr>
            <w:r w:rsidRPr="00C01F07">
              <w:rPr>
                <w:rFonts w:ascii="Arial" w:eastAsia="Calibri" w:hAnsi="Arial" w:cs="Arial"/>
                <w:kern w:val="2"/>
                <w:lang w:bidi="ar"/>
              </w:rPr>
              <w:t>1 (16.6%)</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99147FD" w14:textId="772B594E" w:rsidR="00B22B4F" w:rsidRPr="00C01F07" w:rsidRDefault="002715D9" w:rsidP="00A6077E">
            <w:pPr>
              <w:spacing w:before="240" w:line="360" w:lineRule="auto"/>
              <w:jc w:val="center"/>
              <w:rPr>
                <w:rFonts w:ascii="Arial" w:eastAsia="Calibri" w:hAnsi="Arial" w:cs="Arial"/>
                <w:kern w:val="2"/>
                <w:lang w:bidi="ar"/>
              </w:rPr>
            </w:pPr>
            <w:r w:rsidRPr="00C01F07">
              <w:rPr>
                <w:rFonts w:ascii="Arial" w:eastAsia="Calibri" w:hAnsi="Arial" w:cs="Arial"/>
                <w:kern w:val="2"/>
                <w:lang w:bidi="ar"/>
              </w:rPr>
              <w:t>3</w:t>
            </w:r>
            <w:r w:rsidR="00B22B4F" w:rsidRPr="00C01F07">
              <w:rPr>
                <w:rFonts w:ascii="Arial" w:eastAsia="Calibri" w:hAnsi="Arial" w:cs="Arial"/>
                <w:kern w:val="2"/>
                <w:lang w:bidi="ar"/>
              </w:rPr>
              <w:t xml:space="preserve"> (</w:t>
            </w:r>
            <w:r w:rsidRPr="00C01F07">
              <w:rPr>
                <w:rFonts w:ascii="Arial" w:eastAsia="Calibri" w:hAnsi="Arial" w:cs="Arial"/>
                <w:kern w:val="2"/>
                <w:lang w:bidi="ar"/>
              </w:rPr>
              <w:t>15.3</w:t>
            </w:r>
            <w:r w:rsidR="00B22B4F" w:rsidRPr="00C01F07">
              <w:rPr>
                <w:rFonts w:ascii="Arial" w:eastAsia="Calibri" w:hAnsi="Arial" w:cs="Arial"/>
                <w:kern w:val="2"/>
                <w:lang w:bidi="ar"/>
              </w:rPr>
              <w:t>%)</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58390B3" w14:textId="77777777" w:rsidR="00B22B4F" w:rsidRPr="00C01F07" w:rsidRDefault="00B22B4F" w:rsidP="00A6077E">
            <w:pPr>
              <w:spacing w:before="240" w:line="360" w:lineRule="auto"/>
              <w:jc w:val="center"/>
              <w:rPr>
                <w:rFonts w:ascii="Arial" w:eastAsia="Calibri" w:hAnsi="Arial" w:cs="Arial"/>
                <w:kern w:val="2"/>
                <w:lang w:bidi="ar"/>
              </w:rPr>
            </w:pPr>
            <w:r w:rsidRPr="00C01F07">
              <w:rPr>
                <w:rFonts w:ascii="Arial" w:eastAsia="Calibri" w:hAnsi="Arial" w:cs="Arial"/>
                <w:kern w:val="2"/>
                <w:lang w:bidi="ar"/>
              </w:rPr>
              <w:t>2 (20%)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352EA0E" w14:textId="77777777" w:rsidR="00B22B4F" w:rsidRPr="00C01F07" w:rsidRDefault="00B22B4F" w:rsidP="00A6077E">
            <w:pPr>
              <w:spacing w:before="240" w:line="360" w:lineRule="auto"/>
              <w:jc w:val="center"/>
              <w:rPr>
                <w:rFonts w:ascii="Arial" w:eastAsia="Calibri" w:hAnsi="Arial" w:cs="Arial"/>
                <w:kern w:val="2"/>
                <w:lang w:bidi="ar"/>
              </w:rPr>
            </w:pPr>
            <w:r w:rsidRPr="00C01F07">
              <w:rPr>
                <w:rFonts w:ascii="Arial" w:eastAsia="Calibri" w:hAnsi="Arial" w:cs="Arial"/>
                <w:kern w:val="2"/>
                <w:lang w:bidi="ar"/>
              </w:rPr>
              <w:t>0(0%)</w:t>
            </w:r>
          </w:p>
        </w:tc>
      </w:tr>
      <w:tr w:rsidR="00B22B4F" w:rsidRPr="00C01F07" w14:paraId="18CF24D4" w14:textId="77777777" w:rsidTr="00A6077E">
        <w:trPr>
          <w:trHeight w:val="230"/>
          <w:jc w:val="center"/>
        </w:trPr>
        <w:tc>
          <w:tcPr>
            <w:tcW w:w="3505" w:type="dxa"/>
            <w:tcBorders>
              <w:top w:val="single" w:sz="4" w:space="0" w:color="auto"/>
              <w:left w:val="single" w:sz="4" w:space="0" w:color="auto"/>
              <w:bottom w:val="single" w:sz="4" w:space="0" w:color="auto"/>
              <w:right w:val="single" w:sz="4" w:space="0" w:color="auto"/>
            </w:tcBorders>
            <w:shd w:val="clear" w:color="auto" w:fill="auto"/>
          </w:tcPr>
          <w:p w14:paraId="07452AB3" w14:textId="77777777" w:rsidR="00B22B4F" w:rsidRPr="00C01F07" w:rsidRDefault="00B22B4F" w:rsidP="00B22B4F">
            <w:pPr>
              <w:numPr>
                <w:ilvl w:val="0"/>
                <w:numId w:val="2"/>
              </w:numPr>
              <w:spacing w:before="240" w:line="360" w:lineRule="auto"/>
              <w:rPr>
                <w:rFonts w:ascii="Arial" w:eastAsia="Calibri" w:hAnsi="Arial" w:cs="Arial"/>
                <w:kern w:val="2"/>
                <w:lang w:bidi="ar"/>
              </w:rPr>
            </w:pPr>
            <w:r w:rsidRPr="00C01F07">
              <w:rPr>
                <w:rFonts w:ascii="Arial" w:eastAsia="Calibri" w:hAnsi="Arial" w:cs="Arial"/>
                <w:kern w:val="2"/>
                <w:lang w:bidi="ar"/>
              </w:rPr>
              <w:t>Glomerular thrombosis (%)</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383D8EB" w14:textId="77777777" w:rsidR="00B22B4F" w:rsidRPr="00C01F07" w:rsidRDefault="00B22B4F" w:rsidP="00A6077E">
            <w:pPr>
              <w:spacing w:before="240" w:line="360" w:lineRule="auto"/>
              <w:jc w:val="center"/>
              <w:rPr>
                <w:rFonts w:ascii="Arial" w:eastAsia="Calibri" w:hAnsi="Arial" w:cs="Arial"/>
                <w:kern w:val="2"/>
                <w:lang w:bidi="ar"/>
              </w:rPr>
            </w:pPr>
            <w:r w:rsidRPr="00C01F07">
              <w:rPr>
                <w:rFonts w:ascii="Arial" w:eastAsia="Calibri" w:hAnsi="Arial" w:cs="Arial"/>
                <w:kern w:val="2"/>
                <w:lang w:bidi="ar"/>
              </w:rPr>
              <w:t>2 (10%)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4255236" w14:textId="77777777" w:rsidR="00B22B4F" w:rsidRPr="00C01F07" w:rsidRDefault="00B22B4F" w:rsidP="00A6077E">
            <w:pPr>
              <w:spacing w:before="240" w:line="360" w:lineRule="auto"/>
              <w:jc w:val="center"/>
              <w:rPr>
                <w:rFonts w:ascii="Arial" w:eastAsia="Calibri" w:hAnsi="Arial" w:cs="Arial"/>
                <w:kern w:val="2"/>
                <w:lang w:bidi="ar"/>
              </w:rPr>
            </w:pPr>
            <w:r w:rsidRPr="00C01F07">
              <w:rPr>
                <w:rFonts w:ascii="Arial" w:eastAsia="Calibri" w:hAnsi="Arial" w:cs="Arial"/>
                <w:kern w:val="2"/>
                <w:lang w:bidi="ar"/>
              </w:rPr>
              <w:t>0 (0%)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6CFCD37" w14:textId="77777777" w:rsidR="00B22B4F" w:rsidRPr="00C01F07" w:rsidRDefault="00B22B4F" w:rsidP="00A6077E">
            <w:pPr>
              <w:spacing w:before="240" w:line="360" w:lineRule="auto"/>
              <w:jc w:val="center"/>
              <w:rPr>
                <w:rFonts w:ascii="Arial" w:eastAsia="Calibri" w:hAnsi="Arial" w:cs="Arial"/>
                <w:kern w:val="2"/>
                <w:lang w:bidi="ar"/>
              </w:rPr>
            </w:pPr>
            <w:r w:rsidRPr="00C01F07">
              <w:rPr>
                <w:rFonts w:ascii="Arial" w:eastAsia="Calibri" w:hAnsi="Arial" w:cs="Arial"/>
                <w:kern w:val="2"/>
                <w:lang w:bidi="ar"/>
              </w:rPr>
              <w:t>7 (21.1%)</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D008A86" w14:textId="77777777" w:rsidR="00B22B4F" w:rsidRPr="00C01F07" w:rsidRDefault="00B22B4F" w:rsidP="00A6077E">
            <w:pPr>
              <w:spacing w:before="240" w:line="360" w:lineRule="auto"/>
              <w:jc w:val="center"/>
              <w:rPr>
                <w:rFonts w:ascii="Arial" w:eastAsia="Calibri" w:hAnsi="Arial" w:cs="Arial"/>
                <w:kern w:val="2"/>
                <w:lang w:bidi="ar"/>
              </w:rPr>
            </w:pPr>
            <w:r w:rsidRPr="00C01F07">
              <w:rPr>
                <w:rFonts w:ascii="Arial" w:eastAsia="Calibri" w:hAnsi="Arial" w:cs="Arial"/>
                <w:kern w:val="2"/>
                <w:lang w:bidi="ar"/>
              </w:rPr>
              <w:t>0 (%)</w:t>
            </w:r>
          </w:p>
        </w:tc>
      </w:tr>
      <w:tr w:rsidR="00B22B4F" w:rsidRPr="00C01F07" w14:paraId="4254A4E8" w14:textId="77777777" w:rsidTr="00A6077E">
        <w:trPr>
          <w:trHeight w:val="230"/>
          <w:jc w:val="center"/>
        </w:trPr>
        <w:tc>
          <w:tcPr>
            <w:tcW w:w="3505" w:type="dxa"/>
            <w:tcBorders>
              <w:top w:val="single" w:sz="4" w:space="0" w:color="auto"/>
              <w:left w:val="single" w:sz="4" w:space="0" w:color="auto"/>
              <w:bottom w:val="single" w:sz="4" w:space="0" w:color="auto"/>
              <w:right w:val="single" w:sz="4" w:space="0" w:color="auto"/>
            </w:tcBorders>
            <w:shd w:val="clear" w:color="auto" w:fill="auto"/>
          </w:tcPr>
          <w:p w14:paraId="5DC48D17" w14:textId="77777777" w:rsidR="00B22B4F" w:rsidRPr="00C01F07" w:rsidRDefault="00B22B4F" w:rsidP="00B22B4F">
            <w:pPr>
              <w:numPr>
                <w:ilvl w:val="0"/>
                <w:numId w:val="2"/>
              </w:numPr>
              <w:spacing w:before="240" w:line="360" w:lineRule="auto"/>
              <w:rPr>
                <w:rFonts w:ascii="Arial" w:eastAsia="Calibri" w:hAnsi="Arial" w:cs="Arial"/>
                <w:kern w:val="2"/>
                <w:lang w:bidi="ar"/>
              </w:rPr>
            </w:pPr>
            <w:r w:rsidRPr="00C01F07">
              <w:rPr>
                <w:rFonts w:ascii="Arial" w:eastAsia="Calibri" w:hAnsi="Arial" w:cs="Arial"/>
                <w:kern w:val="2"/>
                <w:lang w:bidi="ar"/>
              </w:rPr>
              <w:t>Endocapillary proliferation (%)</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8658E69" w14:textId="77777777" w:rsidR="00B22B4F" w:rsidRPr="00C01F07" w:rsidRDefault="00B22B4F" w:rsidP="00A6077E">
            <w:pPr>
              <w:spacing w:before="240" w:line="360" w:lineRule="auto"/>
              <w:jc w:val="center"/>
              <w:rPr>
                <w:rFonts w:ascii="Arial" w:eastAsia="Calibri" w:hAnsi="Arial" w:cs="Arial"/>
                <w:kern w:val="2"/>
                <w:lang w:bidi="ar"/>
              </w:rPr>
            </w:pPr>
            <w:r w:rsidRPr="00C01F07">
              <w:rPr>
                <w:rFonts w:ascii="Arial" w:eastAsia="Calibri" w:hAnsi="Arial" w:cs="Arial"/>
                <w:kern w:val="2"/>
                <w:lang w:bidi="ar"/>
              </w:rPr>
              <w:t>0 (0%)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B1530EE" w14:textId="77777777" w:rsidR="00B22B4F" w:rsidRPr="00C01F07" w:rsidRDefault="00B22B4F" w:rsidP="00A6077E">
            <w:pPr>
              <w:spacing w:before="240" w:line="360" w:lineRule="auto"/>
              <w:jc w:val="center"/>
              <w:rPr>
                <w:rFonts w:ascii="Arial" w:eastAsia="Calibri" w:hAnsi="Arial" w:cs="Arial"/>
                <w:kern w:val="2"/>
                <w:lang w:bidi="ar"/>
              </w:rPr>
            </w:pPr>
            <w:r w:rsidRPr="00C01F07">
              <w:rPr>
                <w:rFonts w:ascii="Arial" w:eastAsia="Calibri" w:hAnsi="Arial" w:cs="Arial"/>
                <w:kern w:val="2"/>
                <w:lang w:bidi="ar"/>
              </w:rPr>
              <w:t>26 (100%)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702EBB0" w14:textId="77777777" w:rsidR="00B22B4F" w:rsidRPr="00C01F07" w:rsidRDefault="00B22B4F" w:rsidP="00A6077E">
            <w:pPr>
              <w:spacing w:before="240" w:line="360" w:lineRule="auto"/>
              <w:jc w:val="center"/>
              <w:rPr>
                <w:rFonts w:ascii="Arial" w:eastAsia="Calibri" w:hAnsi="Arial" w:cs="Arial"/>
                <w:kern w:val="2"/>
                <w:lang w:bidi="ar"/>
              </w:rPr>
            </w:pPr>
            <w:r w:rsidRPr="00C01F07">
              <w:rPr>
                <w:rFonts w:ascii="Arial" w:eastAsia="Calibri" w:hAnsi="Arial" w:cs="Arial"/>
                <w:kern w:val="2"/>
                <w:lang w:bidi="ar"/>
              </w:rPr>
              <w:t>2 (20%)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6186E85" w14:textId="77777777" w:rsidR="00B22B4F" w:rsidRPr="00C01F07" w:rsidRDefault="00B22B4F" w:rsidP="00A6077E">
            <w:pPr>
              <w:spacing w:before="240" w:line="360" w:lineRule="auto"/>
              <w:jc w:val="center"/>
              <w:rPr>
                <w:rFonts w:ascii="Arial" w:eastAsia="Calibri" w:hAnsi="Arial" w:cs="Arial"/>
                <w:kern w:val="2"/>
                <w:lang w:bidi="ar"/>
              </w:rPr>
            </w:pPr>
            <w:r w:rsidRPr="00C01F07">
              <w:rPr>
                <w:rFonts w:ascii="Arial" w:eastAsia="Calibri" w:hAnsi="Arial" w:cs="Arial"/>
                <w:kern w:val="2"/>
                <w:lang w:bidi="ar"/>
              </w:rPr>
              <w:t>0 (0%)</w:t>
            </w:r>
          </w:p>
        </w:tc>
      </w:tr>
      <w:tr w:rsidR="00B22B4F" w:rsidRPr="00C01F07" w14:paraId="13578FFE" w14:textId="77777777" w:rsidTr="00A6077E">
        <w:trPr>
          <w:trHeight w:val="230"/>
          <w:jc w:val="center"/>
        </w:trPr>
        <w:tc>
          <w:tcPr>
            <w:tcW w:w="3505" w:type="dxa"/>
            <w:tcBorders>
              <w:top w:val="single" w:sz="4" w:space="0" w:color="auto"/>
              <w:left w:val="single" w:sz="4" w:space="0" w:color="auto"/>
              <w:bottom w:val="single" w:sz="4" w:space="0" w:color="auto"/>
              <w:right w:val="single" w:sz="4" w:space="0" w:color="auto"/>
            </w:tcBorders>
            <w:shd w:val="clear" w:color="auto" w:fill="auto"/>
          </w:tcPr>
          <w:p w14:paraId="444721C9" w14:textId="77777777" w:rsidR="00B22B4F" w:rsidRPr="00C01F07" w:rsidRDefault="00B22B4F" w:rsidP="00B22B4F">
            <w:pPr>
              <w:numPr>
                <w:ilvl w:val="0"/>
                <w:numId w:val="2"/>
              </w:numPr>
              <w:spacing w:before="240" w:line="360" w:lineRule="auto"/>
              <w:rPr>
                <w:rFonts w:ascii="Arial" w:eastAsia="Calibri" w:hAnsi="Arial" w:cs="Arial"/>
                <w:kern w:val="2"/>
                <w:lang w:bidi="ar"/>
              </w:rPr>
            </w:pPr>
            <w:r w:rsidRPr="00C01F07">
              <w:rPr>
                <w:rFonts w:ascii="Arial" w:eastAsia="Calibri" w:hAnsi="Arial" w:cs="Arial"/>
                <w:kern w:val="2"/>
                <w:lang w:bidi="ar"/>
              </w:rPr>
              <w:t>Moderate to severe IFTA (%)</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7E7FD20" w14:textId="1521C12C" w:rsidR="00B22B4F" w:rsidRPr="00C01F07" w:rsidRDefault="002715D9" w:rsidP="00A6077E">
            <w:pPr>
              <w:spacing w:before="240" w:line="360" w:lineRule="auto"/>
              <w:jc w:val="center"/>
              <w:rPr>
                <w:rFonts w:ascii="Arial" w:eastAsia="Calibri" w:hAnsi="Arial" w:cs="Arial"/>
                <w:kern w:val="2"/>
                <w:lang w:bidi="ar"/>
              </w:rPr>
            </w:pPr>
            <w:r w:rsidRPr="00C01F07">
              <w:rPr>
                <w:rFonts w:ascii="Arial" w:eastAsia="Calibri" w:hAnsi="Arial" w:cs="Arial"/>
                <w:kern w:val="2"/>
                <w:lang w:bidi="ar"/>
              </w:rPr>
              <w:t>2</w:t>
            </w:r>
            <w:r w:rsidR="00B22B4F" w:rsidRPr="00C01F07">
              <w:rPr>
                <w:rFonts w:ascii="Arial" w:eastAsia="Calibri" w:hAnsi="Arial" w:cs="Arial"/>
                <w:kern w:val="2"/>
                <w:lang w:bidi="ar"/>
              </w:rPr>
              <w:t xml:space="preserve"> (</w:t>
            </w:r>
            <w:r w:rsidRPr="00C01F07">
              <w:rPr>
                <w:rFonts w:ascii="Arial" w:eastAsia="Calibri" w:hAnsi="Arial" w:cs="Arial"/>
                <w:kern w:val="2"/>
                <w:lang w:bidi="ar"/>
              </w:rPr>
              <w:t>33.3</w:t>
            </w:r>
            <w:r w:rsidR="00B22B4F" w:rsidRPr="00C01F07">
              <w:rPr>
                <w:rFonts w:ascii="Arial" w:eastAsia="Calibri" w:hAnsi="Arial" w:cs="Arial"/>
                <w:kern w:val="2"/>
                <w:lang w:bidi="ar"/>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9E69E0D" w14:textId="77777777" w:rsidR="00B22B4F" w:rsidRPr="00C01F07" w:rsidRDefault="00B22B4F" w:rsidP="00A6077E">
            <w:pPr>
              <w:spacing w:before="240" w:line="360" w:lineRule="auto"/>
              <w:jc w:val="center"/>
              <w:rPr>
                <w:rFonts w:ascii="Arial" w:eastAsia="Calibri" w:hAnsi="Arial" w:cs="Arial"/>
                <w:kern w:val="2"/>
                <w:lang w:bidi="ar"/>
              </w:rPr>
            </w:pPr>
            <w:r w:rsidRPr="00C01F07">
              <w:rPr>
                <w:rFonts w:ascii="Arial" w:eastAsia="Calibri" w:hAnsi="Arial" w:cs="Arial"/>
                <w:kern w:val="2"/>
                <w:lang w:bidi="ar"/>
              </w:rPr>
              <w:t>13(50%)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F4A2214" w14:textId="77777777" w:rsidR="00B22B4F" w:rsidRPr="00C01F07" w:rsidRDefault="00B22B4F" w:rsidP="00A6077E">
            <w:pPr>
              <w:spacing w:before="240" w:line="360" w:lineRule="auto"/>
              <w:jc w:val="center"/>
              <w:rPr>
                <w:rFonts w:ascii="Arial" w:eastAsia="Calibri" w:hAnsi="Arial" w:cs="Arial"/>
                <w:kern w:val="2"/>
                <w:lang w:bidi="ar"/>
              </w:rPr>
            </w:pPr>
            <w:r w:rsidRPr="00C01F07">
              <w:rPr>
                <w:rFonts w:ascii="Arial" w:eastAsia="Calibri" w:hAnsi="Arial" w:cs="Arial"/>
                <w:kern w:val="2"/>
                <w:lang w:bidi="ar"/>
              </w:rPr>
              <w:t>5 (50%)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A0A2C70" w14:textId="77777777" w:rsidR="00B22B4F" w:rsidRPr="00C01F07" w:rsidRDefault="00B22B4F" w:rsidP="00A6077E">
            <w:pPr>
              <w:spacing w:before="240" w:line="360" w:lineRule="auto"/>
              <w:jc w:val="center"/>
              <w:rPr>
                <w:rFonts w:ascii="Arial" w:eastAsia="Calibri" w:hAnsi="Arial" w:cs="Arial"/>
                <w:kern w:val="2"/>
                <w:lang w:bidi="ar"/>
              </w:rPr>
            </w:pPr>
            <w:r w:rsidRPr="00C01F07">
              <w:rPr>
                <w:rFonts w:ascii="Arial" w:eastAsia="Calibri" w:hAnsi="Arial" w:cs="Arial"/>
                <w:kern w:val="2"/>
                <w:lang w:bidi="ar"/>
              </w:rPr>
              <w:t>0 (0%)</w:t>
            </w:r>
          </w:p>
        </w:tc>
      </w:tr>
      <w:tr w:rsidR="00B22B4F" w:rsidRPr="00C01F07" w14:paraId="6A989576" w14:textId="77777777" w:rsidTr="00A6077E">
        <w:trPr>
          <w:trHeight w:val="230"/>
          <w:jc w:val="center"/>
        </w:trPr>
        <w:tc>
          <w:tcPr>
            <w:tcW w:w="3505" w:type="dxa"/>
            <w:tcBorders>
              <w:top w:val="single" w:sz="4" w:space="0" w:color="auto"/>
              <w:left w:val="single" w:sz="4" w:space="0" w:color="auto"/>
              <w:bottom w:val="single" w:sz="4" w:space="0" w:color="auto"/>
              <w:right w:val="single" w:sz="4" w:space="0" w:color="auto"/>
            </w:tcBorders>
            <w:shd w:val="clear" w:color="auto" w:fill="auto"/>
          </w:tcPr>
          <w:p w14:paraId="213BCBCE" w14:textId="77777777" w:rsidR="00B22B4F" w:rsidRPr="00C01F07" w:rsidRDefault="00B22B4F" w:rsidP="00B22B4F">
            <w:pPr>
              <w:numPr>
                <w:ilvl w:val="0"/>
                <w:numId w:val="2"/>
              </w:numPr>
              <w:spacing w:before="240" w:line="360" w:lineRule="auto"/>
              <w:rPr>
                <w:rFonts w:ascii="Arial" w:eastAsia="Calibri" w:hAnsi="Arial" w:cs="Arial"/>
                <w:kern w:val="2"/>
                <w:lang w:bidi="ar"/>
              </w:rPr>
            </w:pPr>
            <w:r w:rsidRPr="00C01F07">
              <w:rPr>
                <w:rFonts w:ascii="Arial" w:eastAsia="Calibri" w:hAnsi="Arial" w:cs="Arial"/>
                <w:kern w:val="2"/>
                <w:lang w:bidi="ar"/>
              </w:rPr>
              <w:t>TLO formation (%)</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E067116" w14:textId="77777777" w:rsidR="00B22B4F" w:rsidRPr="00C01F07" w:rsidRDefault="00B22B4F" w:rsidP="00A6077E">
            <w:pPr>
              <w:spacing w:before="240" w:line="360" w:lineRule="auto"/>
              <w:jc w:val="center"/>
              <w:rPr>
                <w:rFonts w:ascii="Arial" w:eastAsia="Calibri" w:hAnsi="Arial" w:cs="Arial"/>
                <w:kern w:val="2"/>
                <w:lang w:bidi="ar"/>
              </w:rPr>
            </w:pPr>
            <w:r w:rsidRPr="00C01F07">
              <w:rPr>
                <w:rFonts w:ascii="Arial" w:eastAsia="Calibri" w:hAnsi="Arial" w:cs="Arial"/>
                <w:kern w:val="2"/>
                <w:lang w:bidi="ar"/>
              </w:rPr>
              <w:t>3 (50%)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82D04E7" w14:textId="77777777" w:rsidR="00B22B4F" w:rsidRPr="00C01F07" w:rsidRDefault="00B22B4F" w:rsidP="00A6077E">
            <w:pPr>
              <w:spacing w:before="240" w:line="360" w:lineRule="auto"/>
              <w:jc w:val="center"/>
              <w:rPr>
                <w:rFonts w:ascii="Arial" w:eastAsia="Calibri" w:hAnsi="Arial" w:cs="Arial"/>
                <w:kern w:val="2"/>
                <w:lang w:bidi="ar"/>
              </w:rPr>
            </w:pPr>
            <w:r w:rsidRPr="00C01F07">
              <w:rPr>
                <w:rFonts w:ascii="Arial" w:eastAsia="Calibri" w:hAnsi="Arial" w:cs="Arial"/>
                <w:kern w:val="2"/>
                <w:lang w:bidi="ar"/>
              </w:rPr>
              <w:t>12 (46.1%)</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221D653" w14:textId="77777777" w:rsidR="00B22B4F" w:rsidRPr="00C01F07" w:rsidRDefault="00B22B4F" w:rsidP="00A6077E">
            <w:pPr>
              <w:spacing w:before="240" w:line="360" w:lineRule="auto"/>
              <w:jc w:val="center"/>
              <w:rPr>
                <w:rFonts w:ascii="Arial" w:eastAsia="Calibri" w:hAnsi="Arial" w:cs="Arial"/>
                <w:kern w:val="2"/>
                <w:lang w:bidi="ar"/>
              </w:rPr>
            </w:pPr>
            <w:r w:rsidRPr="00C01F07">
              <w:rPr>
                <w:rFonts w:ascii="Arial" w:eastAsia="Calibri" w:hAnsi="Arial" w:cs="Arial"/>
                <w:kern w:val="2"/>
                <w:lang w:bidi="ar"/>
              </w:rPr>
              <w:t>5 (50%)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7282823" w14:textId="77777777" w:rsidR="00B22B4F" w:rsidRPr="00C01F07" w:rsidRDefault="00B22B4F" w:rsidP="00A6077E">
            <w:pPr>
              <w:spacing w:before="240" w:line="360" w:lineRule="auto"/>
              <w:jc w:val="center"/>
              <w:rPr>
                <w:rFonts w:ascii="Arial" w:eastAsia="Calibri" w:hAnsi="Arial" w:cs="Arial"/>
                <w:kern w:val="2"/>
                <w:lang w:bidi="ar"/>
              </w:rPr>
            </w:pPr>
            <w:r w:rsidRPr="00C01F07">
              <w:rPr>
                <w:rFonts w:ascii="Arial" w:eastAsia="Calibri" w:hAnsi="Arial" w:cs="Arial"/>
                <w:kern w:val="2"/>
                <w:lang w:bidi="ar"/>
              </w:rPr>
              <w:t>0 (0%)</w:t>
            </w:r>
          </w:p>
        </w:tc>
      </w:tr>
      <w:tr w:rsidR="00B22B4F" w:rsidRPr="00C01F07" w14:paraId="05703A8D" w14:textId="77777777" w:rsidTr="00A6077E">
        <w:trPr>
          <w:trHeight w:val="230"/>
          <w:jc w:val="center"/>
        </w:trPr>
        <w:tc>
          <w:tcPr>
            <w:tcW w:w="8275" w:type="dxa"/>
            <w:gridSpan w:val="5"/>
            <w:tcBorders>
              <w:top w:val="single" w:sz="4" w:space="0" w:color="auto"/>
              <w:left w:val="single" w:sz="4" w:space="0" w:color="auto"/>
              <w:bottom w:val="single" w:sz="4" w:space="0" w:color="auto"/>
              <w:right w:val="single" w:sz="4" w:space="0" w:color="auto"/>
            </w:tcBorders>
            <w:shd w:val="clear" w:color="auto" w:fill="auto"/>
          </w:tcPr>
          <w:p w14:paraId="7AAACC65" w14:textId="77777777" w:rsidR="00B22B4F" w:rsidRPr="00C01F07" w:rsidRDefault="00B22B4F" w:rsidP="00A6077E">
            <w:pPr>
              <w:spacing w:before="240" w:line="360" w:lineRule="auto"/>
              <w:rPr>
                <w:rFonts w:ascii="Arial" w:eastAsia="Calibri" w:hAnsi="Arial" w:cs="Arial"/>
                <w:b/>
                <w:bCs/>
                <w:kern w:val="2"/>
                <w:lang w:bidi="ar"/>
              </w:rPr>
            </w:pPr>
            <w:r w:rsidRPr="00C01F07">
              <w:rPr>
                <w:rFonts w:ascii="Arial" w:eastAsia="Calibri" w:hAnsi="Arial" w:cs="Arial"/>
                <w:b/>
                <w:bCs/>
                <w:kern w:val="2"/>
                <w:lang w:bidi="ar"/>
              </w:rPr>
              <w:t>Vascular lesions</w:t>
            </w:r>
          </w:p>
        </w:tc>
      </w:tr>
      <w:tr w:rsidR="00B22B4F" w:rsidRPr="00C01F07" w14:paraId="089593CF" w14:textId="77777777" w:rsidTr="00A6077E">
        <w:trPr>
          <w:trHeight w:val="230"/>
          <w:jc w:val="center"/>
        </w:trPr>
        <w:tc>
          <w:tcPr>
            <w:tcW w:w="3505" w:type="dxa"/>
            <w:tcBorders>
              <w:top w:val="single" w:sz="4" w:space="0" w:color="auto"/>
              <w:left w:val="single" w:sz="4" w:space="0" w:color="auto"/>
              <w:bottom w:val="single" w:sz="4" w:space="0" w:color="auto"/>
              <w:right w:val="single" w:sz="4" w:space="0" w:color="auto"/>
            </w:tcBorders>
            <w:shd w:val="clear" w:color="auto" w:fill="auto"/>
          </w:tcPr>
          <w:p w14:paraId="3D82F071" w14:textId="77777777" w:rsidR="00B22B4F" w:rsidRPr="00C01F07" w:rsidRDefault="00B22B4F" w:rsidP="00B22B4F">
            <w:pPr>
              <w:numPr>
                <w:ilvl w:val="0"/>
                <w:numId w:val="5"/>
              </w:numPr>
              <w:spacing w:before="240" w:line="360" w:lineRule="auto"/>
              <w:rPr>
                <w:rFonts w:ascii="Arial" w:eastAsia="Calibri" w:hAnsi="Arial" w:cs="Arial"/>
                <w:kern w:val="2"/>
                <w:lang w:bidi="ar"/>
              </w:rPr>
            </w:pPr>
            <w:r w:rsidRPr="00C01F07">
              <w:rPr>
                <w:rFonts w:ascii="Arial" w:eastAsia="Calibri" w:hAnsi="Arial" w:cs="Arial"/>
                <w:kern w:val="2"/>
                <w:lang w:bidi="ar"/>
              </w:rPr>
              <w:t>Fibrinoid necrosis (%)</w:t>
            </w:r>
          </w:p>
          <w:p w14:paraId="634EE1E3" w14:textId="77777777" w:rsidR="00B22B4F" w:rsidRPr="00C01F07" w:rsidRDefault="00B22B4F" w:rsidP="00A6077E">
            <w:pPr>
              <w:spacing w:before="240" w:line="360" w:lineRule="auto"/>
              <w:rPr>
                <w:rFonts w:ascii="Arial" w:eastAsia="Calibri" w:hAnsi="Arial" w:cs="Arial"/>
                <w:kern w:val="2"/>
                <w:lang w:bidi="ar"/>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43C9C33" w14:textId="77777777" w:rsidR="00B22B4F" w:rsidRPr="00C01F07" w:rsidRDefault="00B22B4F" w:rsidP="00A6077E">
            <w:pPr>
              <w:spacing w:before="240" w:line="360" w:lineRule="auto"/>
              <w:jc w:val="center"/>
              <w:rPr>
                <w:rFonts w:ascii="Arial" w:eastAsia="Calibri" w:hAnsi="Arial" w:cs="Arial"/>
                <w:kern w:val="2"/>
                <w:lang w:bidi="ar"/>
              </w:rPr>
            </w:pPr>
            <w:r w:rsidRPr="00C01F07">
              <w:rPr>
                <w:rFonts w:ascii="Arial" w:eastAsia="Calibri" w:hAnsi="Arial" w:cs="Arial"/>
                <w:kern w:val="2"/>
                <w:lang w:bidi="ar"/>
              </w:rPr>
              <w:t>1 (16.6 %)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4414F76" w14:textId="77777777" w:rsidR="00B22B4F" w:rsidRPr="00C01F07" w:rsidRDefault="00B22B4F" w:rsidP="00A6077E">
            <w:pPr>
              <w:spacing w:before="240" w:line="360" w:lineRule="auto"/>
              <w:jc w:val="center"/>
              <w:rPr>
                <w:rFonts w:ascii="Arial" w:eastAsia="Calibri" w:hAnsi="Arial" w:cs="Arial"/>
                <w:kern w:val="2"/>
                <w:lang w:bidi="ar"/>
              </w:rPr>
            </w:pPr>
            <w:r w:rsidRPr="00C01F07">
              <w:rPr>
                <w:rFonts w:ascii="Arial" w:eastAsia="Calibri" w:hAnsi="Arial" w:cs="Arial"/>
                <w:kern w:val="2"/>
                <w:lang w:bidi="ar"/>
              </w:rPr>
              <w:t>8 (30.7%)</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89209CE" w14:textId="1882463D" w:rsidR="00B22B4F" w:rsidRPr="00C01F07" w:rsidRDefault="002715D9" w:rsidP="00A6077E">
            <w:pPr>
              <w:spacing w:before="240" w:line="360" w:lineRule="auto"/>
              <w:jc w:val="center"/>
              <w:rPr>
                <w:rFonts w:ascii="Arial" w:eastAsia="Calibri" w:hAnsi="Arial" w:cs="Arial"/>
                <w:kern w:val="2"/>
                <w:lang w:bidi="ar"/>
              </w:rPr>
            </w:pPr>
            <w:r w:rsidRPr="00C01F07">
              <w:rPr>
                <w:rFonts w:ascii="Arial" w:eastAsia="Calibri" w:hAnsi="Arial" w:cs="Arial"/>
                <w:kern w:val="2"/>
                <w:lang w:bidi="ar"/>
              </w:rPr>
              <w:t>10</w:t>
            </w:r>
            <w:r w:rsidR="00B22B4F" w:rsidRPr="00C01F07">
              <w:rPr>
                <w:rFonts w:ascii="Arial" w:eastAsia="Calibri" w:hAnsi="Arial" w:cs="Arial"/>
                <w:kern w:val="2"/>
                <w:lang w:bidi="ar"/>
              </w:rPr>
              <w:t xml:space="preserve"> (</w:t>
            </w:r>
            <w:r w:rsidRPr="00C01F07">
              <w:rPr>
                <w:rFonts w:ascii="Arial" w:eastAsia="Calibri" w:hAnsi="Arial" w:cs="Arial"/>
                <w:kern w:val="2"/>
                <w:lang w:bidi="ar"/>
              </w:rPr>
              <w:t>10</w:t>
            </w:r>
            <w:r w:rsidR="00B22B4F" w:rsidRPr="00C01F07">
              <w:rPr>
                <w:rFonts w:ascii="Arial" w:eastAsia="Calibri" w:hAnsi="Arial" w:cs="Arial"/>
                <w:kern w:val="2"/>
                <w:lang w:bidi="ar"/>
              </w:rPr>
              <w:t>0 %)</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58EF68E" w14:textId="77777777" w:rsidR="00B22B4F" w:rsidRPr="00C01F07" w:rsidRDefault="00B22B4F" w:rsidP="00A6077E">
            <w:pPr>
              <w:spacing w:before="240" w:line="360" w:lineRule="auto"/>
              <w:jc w:val="center"/>
              <w:rPr>
                <w:rFonts w:ascii="Arial" w:eastAsia="Calibri" w:hAnsi="Arial" w:cs="Arial"/>
                <w:kern w:val="2"/>
                <w:lang w:bidi="ar"/>
              </w:rPr>
            </w:pPr>
            <w:r w:rsidRPr="00C01F07">
              <w:rPr>
                <w:rFonts w:ascii="Arial" w:eastAsia="Calibri" w:hAnsi="Arial" w:cs="Arial"/>
                <w:kern w:val="2"/>
                <w:lang w:bidi="ar"/>
              </w:rPr>
              <w:t>3 (100%)</w:t>
            </w:r>
          </w:p>
        </w:tc>
      </w:tr>
      <w:tr w:rsidR="00B22B4F" w:rsidRPr="00C01F07" w14:paraId="25046E53" w14:textId="77777777" w:rsidTr="00A6077E">
        <w:trPr>
          <w:trHeight w:val="230"/>
          <w:jc w:val="center"/>
        </w:trPr>
        <w:tc>
          <w:tcPr>
            <w:tcW w:w="3505" w:type="dxa"/>
            <w:tcBorders>
              <w:top w:val="single" w:sz="4" w:space="0" w:color="auto"/>
              <w:left w:val="single" w:sz="4" w:space="0" w:color="auto"/>
              <w:bottom w:val="single" w:sz="4" w:space="0" w:color="auto"/>
              <w:right w:val="single" w:sz="4" w:space="0" w:color="auto"/>
            </w:tcBorders>
            <w:shd w:val="clear" w:color="auto" w:fill="auto"/>
          </w:tcPr>
          <w:p w14:paraId="6D54272A" w14:textId="77777777" w:rsidR="00B22B4F" w:rsidRPr="00C01F07" w:rsidRDefault="00B22B4F" w:rsidP="00B22B4F">
            <w:pPr>
              <w:numPr>
                <w:ilvl w:val="0"/>
                <w:numId w:val="5"/>
              </w:numPr>
              <w:spacing w:before="240" w:line="360" w:lineRule="auto"/>
              <w:rPr>
                <w:rFonts w:ascii="Arial" w:eastAsia="Calibri" w:hAnsi="Arial" w:cs="Arial"/>
                <w:kern w:val="2"/>
                <w:lang w:bidi="ar"/>
              </w:rPr>
            </w:pPr>
            <w:r w:rsidRPr="00C01F07">
              <w:rPr>
                <w:rFonts w:ascii="Arial" w:eastAsia="Calibri" w:hAnsi="Arial" w:cs="Arial"/>
                <w:kern w:val="2"/>
                <w:lang w:bidi="ar"/>
              </w:rPr>
              <w:t>Degree of severe arteriosclerosis</w:t>
            </w:r>
          </w:p>
          <w:p w14:paraId="506F7496" w14:textId="77777777" w:rsidR="00B22B4F" w:rsidRPr="00C01F07" w:rsidRDefault="00B22B4F" w:rsidP="00A6077E">
            <w:pPr>
              <w:spacing w:before="240" w:line="360" w:lineRule="auto"/>
              <w:rPr>
                <w:rFonts w:ascii="Arial" w:eastAsia="Calibri" w:hAnsi="Arial" w:cs="Arial"/>
                <w:kern w:val="2"/>
                <w:lang w:bidi="ar"/>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ED881EC" w14:textId="77777777" w:rsidR="00B22B4F" w:rsidRPr="00C01F07" w:rsidRDefault="00B22B4F" w:rsidP="00A6077E">
            <w:pPr>
              <w:spacing w:before="240" w:line="360" w:lineRule="auto"/>
              <w:jc w:val="center"/>
              <w:rPr>
                <w:rFonts w:ascii="Arial" w:eastAsia="Calibri" w:hAnsi="Arial" w:cs="Arial"/>
                <w:kern w:val="2"/>
                <w:lang w:bidi="ar"/>
              </w:rPr>
            </w:pPr>
            <w:r w:rsidRPr="00C01F07">
              <w:rPr>
                <w:rFonts w:ascii="Arial" w:eastAsia="Calibri" w:hAnsi="Arial" w:cs="Arial"/>
                <w:kern w:val="2"/>
                <w:lang w:bidi="ar"/>
              </w:rPr>
              <w:t>2 (33.3%)</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2FD1600" w14:textId="77777777" w:rsidR="00B22B4F" w:rsidRPr="00C01F07" w:rsidRDefault="00B22B4F" w:rsidP="00A6077E">
            <w:pPr>
              <w:spacing w:before="240" w:line="360" w:lineRule="auto"/>
              <w:jc w:val="center"/>
              <w:rPr>
                <w:rFonts w:ascii="Arial" w:eastAsia="Calibri" w:hAnsi="Arial" w:cs="Arial"/>
                <w:kern w:val="2"/>
                <w:lang w:bidi="ar"/>
              </w:rPr>
            </w:pPr>
            <w:r w:rsidRPr="00C01F07">
              <w:rPr>
                <w:rFonts w:ascii="Arial" w:eastAsia="Calibri" w:hAnsi="Arial" w:cs="Arial"/>
                <w:kern w:val="2"/>
                <w:lang w:bidi="ar"/>
              </w:rPr>
              <w:t>14 (53.8%)</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241BA9E" w14:textId="77777777" w:rsidR="00B22B4F" w:rsidRPr="00C01F07" w:rsidRDefault="00B22B4F" w:rsidP="00A6077E">
            <w:pPr>
              <w:spacing w:before="240" w:line="360" w:lineRule="auto"/>
              <w:jc w:val="center"/>
              <w:rPr>
                <w:rFonts w:ascii="Arial" w:eastAsia="Calibri" w:hAnsi="Arial" w:cs="Arial"/>
                <w:kern w:val="2"/>
                <w:lang w:bidi="ar"/>
              </w:rPr>
            </w:pPr>
            <w:r w:rsidRPr="00C01F07">
              <w:rPr>
                <w:rFonts w:ascii="Arial" w:eastAsia="Calibri" w:hAnsi="Arial" w:cs="Arial"/>
                <w:kern w:val="2"/>
                <w:lang w:bidi="ar"/>
              </w:rPr>
              <w:t>4 (40%)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EA11737" w14:textId="77777777" w:rsidR="00B22B4F" w:rsidRPr="00C01F07" w:rsidRDefault="00B22B4F" w:rsidP="00A6077E">
            <w:pPr>
              <w:spacing w:before="240" w:line="360" w:lineRule="auto"/>
              <w:jc w:val="center"/>
              <w:rPr>
                <w:rFonts w:ascii="Arial" w:eastAsia="Calibri" w:hAnsi="Arial" w:cs="Arial"/>
                <w:kern w:val="2"/>
                <w:lang w:bidi="ar"/>
              </w:rPr>
            </w:pPr>
            <w:r w:rsidRPr="00C01F07">
              <w:rPr>
                <w:rFonts w:ascii="Arial" w:eastAsia="Calibri" w:hAnsi="Arial" w:cs="Arial"/>
                <w:kern w:val="2"/>
                <w:lang w:bidi="ar"/>
              </w:rPr>
              <w:t>2 (66.6%)</w:t>
            </w:r>
          </w:p>
        </w:tc>
      </w:tr>
      <w:tr w:rsidR="00B22B4F" w:rsidRPr="00C01F07" w14:paraId="1B44EC52" w14:textId="77777777" w:rsidTr="00A6077E">
        <w:trPr>
          <w:trHeight w:val="230"/>
          <w:jc w:val="center"/>
        </w:trPr>
        <w:tc>
          <w:tcPr>
            <w:tcW w:w="8275" w:type="dxa"/>
            <w:gridSpan w:val="5"/>
            <w:tcBorders>
              <w:top w:val="single" w:sz="4" w:space="0" w:color="auto"/>
              <w:left w:val="single" w:sz="4" w:space="0" w:color="auto"/>
              <w:bottom w:val="single" w:sz="4" w:space="0" w:color="auto"/>
              <w:right w:val="single" w:sz="4" w:space="0" w:color="auto"/>
            </w:tcBorders>
            <w:shd w:val="clear" w:color="auto" w:fill="auto"/>
          </w:tcPr>
          <w:p w14:paraId="36093BB9" w14:textId="77777777" w:rsidR="00B22B4F" w:rsidRPr="00C01F07" w:rsidRDefault="00B22B4F" w:rsidP="00A6077E">
            <w:pPr>
              <w:spacing w:before="240" w:line="360" w:lineRule="auto"/>
              <w:rPr>
                <w:rFonts w:ascii="Arial" w:eastAsia="Calibri" w:hAnsi="Arial" w:cs="Arial"/>
                <w:b/>
                <w:bCs/>
                <w:kern w:val="2"/>
                <w:lang w:bidi="ar"/>
              </w:rPr>
            </w:pPr>
            <w:r w:rsidRPr="00C01F07">
              <w:rPr>
                <w:rFonts w:ascii="Arial" w:eastAsia="Calibri" w:hAnsi="Arial" w:cs="Arial"/>
                <w:b/>
                <w:bCs/>
                <w:kern w:val="2"/>
                <w:lang w:bidi="ar"/>
              </w:rPr>
              <w:t>Treatment</w:t>
            </w:r>
          </w:p>
        </w:tc>
      </w:tr>
      <w:tr w:rsidR="002715D9" w:rsidRPr="00C01F07" w14:paraId="4C7928B1" w14:textId="77777777" w:rsidTr="003240BE">
        <w:trPr>
          <w:trHeight w:val="230"/>
          <w:jc w:val="center"/>
        </w:trPr>
        <w:tc>
          <w:tcPr>
            <w:tcW w:w="3505" w:type="dxa"/>
            <w:tcBorders>
              <w:top w:val="single" w:sz="4" w:space="0" w:color="auto"/>
              <w:left w:val="single" w:sz="4" w:space="0" w:color="auto"/>
              <w:bottom w:val="single" w:sz="4" w:space="0" w:color="auto"/>
              <w:right w:val="single" w:sz="4" w:space="0" w:color="auto"/>
            </w:tcBorders>
            <w:shd w:val="clear" w:color="auto" w:fill="auto"/>
          </w:tcPr>
          <w:p w14:paraId="3E2ABD89" w14:textId="77777777" w:rsidR="002715D9" w:rsidRPr="00C01F07" w:rsidRDefault="002715D9" w:rsidP="002715D9">
            <w:pPr>
              <w:numPr>
                <w:ilvl w:val="0"/>
                <w:numId w:val="5"/>
              </w:numPr>
              <w:spacing w:before="240" w:line="360" w:lineRule="auto"/>
              <w:rPr>
                <w:rFonts w:ascii="Arial" w:eastAsia="Calibri" w:hAnsi="Arial" w:cs="Arial"/>
                <w:kern w:val="2"/>
                <w:lang w:bidi="ar"/>
              </w:rPr>
            </w:pPr>
            <w:r w:rsidRPr="00C01F07">
              <w:rPr>
                <w:rFonts w:ascii="Arial" w:eastAsia="Calibri" w:hAnsi="Arial" w:cs="Arial"/>
                <w:kern w:val="2"/>
                <w:lang w:bidi="ar"/>
              </w:rPr>
              <w:t>Steroid, CYC as induction then</w:t>
            </w:r>
          </w:p>
          <w:p w14:paraId="08B61002" w14:textId="77777777" w:rsidR="002715D9" w:rsidRPr="00C01F07" w:rsidRDefault="002715D9" w:rsidP="002715D9">
            <w:pPr>
              <w:spacing w:before="240" w:line="360" w:lineRule="auto"/>
              <w:ind w:left="720"/>
              <w:rPr>
                <w:rFonts w:ascii="Arial" w:eastAsia="Calibri" w:hAnsi="Arial" w:cs="Arial"/>
                <w:kern w:val="2"/>
                <w:lang w:bidi="ar"/>
              </w:rPr>
            </w:pPr>
            <w:r w:rsidRPr="00C01F07">
              <w:rPr>
                <w:rFonts w:ascii="Arial" w:eastAsia="Calibri" w:hAnsi="Arial" w:cs="Arial"/>
                <w:kern w:val="2"/>
                <w:lang w:bidi="ar"/>
              </w:rPr>
              <w:t>steroid, AZA as maintenance</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B90CB08" w14:textId="77777777" w:rsidR="002715D9" w:rsidRPr="00C01F07" w:rsidRDefault="002715D9" w:rsidP="002715D9">
            <w:pPr>
              <w:spacing w:before="240" w:line="360" w:lineRule="auto"/>
              <w:jc w:val="center"/>
              <w:rPr>
                <w:rFonts w:ascii="Arial" w:eastAsia="Calibri" w:hAnsi="Arial" w:cs="Arial"/>
                <w:kern w:val="2"/>
                <w:lang w:bidi="ar"/>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CC9D57D" w14:textId="77777777" w:rsidR="002715D9" w:rsidRPr="00C01F07" w:rsidRDefault="002715D9" w:rsidP="002715D9">
            <w:pPr>
              <w:spacing w:before="240" w:line="360" w:lineRule="auto"/>
              <w:jc w:val="center"/>
              <w:rPr>
                <w:rFonts w:ascii="Arial" w:eastAsia="Calibri" w:hAnsi="Arial" w:cs="Arial"/>
                <w:kern w:val="2"/>
                <w:lang w:bidi="ar"/>
              </w:rPr>
            </w:pPr>
          </w:p>
        </w:tc>
        <w:tc>
          <w:tcPr>
            <w:tcW w:w="1170" w:type="dxa"/>
            <w:tcBorders>
              <w:top w:val="single" w:sz="4" w:space="0" w:color="auto"/>
              <w:left w:val="single" w:sz="4" w:space="0" w:color="auto"/>
              <w:bottom w:val="single" w:sz="4" w:space="0" w:color="auto"/>
              <w:right w:val="single" w:sz="4" w:space="0" w:color="auto"/>
            </w:tcBorders>
          </w:tcPr>
          <w:p w14:paraId="360FDF3F" w14:textId="78C866BE" w:rsidR="002715D9" w:rsidRPr="00C01F07" w:rsidRDefault="002715D9" w:rsidP="002715D9">
            <w:pPr>
              <w:spacing w:before="240" w:line="360" w:lineRule="auto"/>
              <w:jc w:val="center"/>
              <w:rPr>
                <w:rFonts w:ascii="Arial" w:eastAsia="Calibri" w:hAnsi="Arial" w:cs="Arial"/>
                <w:kern w:val="2"/>
                <w:lang w:bidi="ar"/>
              </w:rPr>
            </w:pPr>
            <w:r w:rsidRPr="00C01F07">
              <w:rPr>
                <w:rFonts w:hAnsi="Arial" w:cs="Arial"/>
              </w:rPr>
              <w:t>9(90%)</w:t>
            </w:r>
          </w:p>
        </w:tc>
        <w:tc>
          <w:tcPr>
            <w:tcW w:w="1170" w:type="dxa"/>
            <w:tcBorders>
              <w:top w:val="single" w:sz="4" w:space="0" w:color="auto"/>
              <w:left w:val="nil"/>
              <w:bottom w:val="single" w:sz="4" w:space="0" w:color="auto"/>
              <w:right w:val="single" w:sz="4" w:space="0" w:color="auto"/>
            </w:tcBorders>
          </w:tcPr>
          <w:p w14:paraId="19F44EA1" w14:textId="3B1A7E03" w:rsidR="002715D9" w:rsidRPr="00C01F07" w:rsidRDefault="002715D9" w:rsidP="002715D9">
            <w:pPr>
              <w:spacing w:before="240" w:line="360" w:lineRule="auto"/>
              <w:jc w:val="center"/>
              <w:rPr>
                <w:rFonts w:ascii="Arial" w:eastAsia="Calibri" w:hAnsi="Arial" w:cs="Arial"/>
                <w:kern w:val="2"/>
                <w:lang w:bidi="ar"/>
              </w:rPr>
            </w:pPr>
            <w:r w:rsidRPr="00C01F07">
              <w:rPr>
                <w:rFonts w:hAnsi="Arial" w:cs="Arial"/>
              </w:rPr>
              <w:t>2(66.6%)</w:t>
            </w:r>
          </w:p>
        </w:tc>
      </w:tr>
      <w:tr w:rsidR="002715D9" w:rsidRPr="00C01F07" w14:paraId="0AB8CE7C" w14:textId="77777777" w:rsidTr="00A6077E">
        <w:trPr>
          <w:trHeight w:val="230"/>
          <w:jc w:val="center"/>
        </w:trPr>
        <w:tc>
          <w:tcPr>
            <w:tcW w:w="3505" w:type="dxa"/>
            <w:tcBorders>
              <w:top w:val="single" w:sz="4" w:space="0" w:color="auto"/>
              <w:left w:val="single" w:sz="4" w:space="0" w:color="auto"/>
              <w:bottom w:val="single" w:sz="4" w:space="0" w:color="auto"/>
              <w:right w:val="single" w:sz="4" w:space="0" w:color="auto"/>
            </w:tcBorders>
            <w:shd w:val="clear" w:color="auto" w:fill="auto"/>
          </w:tcPr>
          <w:p w14:paraId="5F1ADC99" w14:textId="77777777" w:rsidR="002715D9" w:rsidRPr="00C01F07" w:rsidRDefault="002715D9" w:rsidP="002715D9">
            <w:pPr>
              <w:numPr>
                <w:ilvl w:val="0"/>
                <w:numId w:val="5"/>
              </w:numPr>
              <w:spacing w:before="240" w:line="360" w:lineRule="auto"/>
              <w:rPr>
                <w:rFonts w:ascii="Arial" w:eastAsia="Calibri" w:hAnsi="Arial" w:cs="Arial"/>
                <w:kern w:val="2"/>
                <w:lang w:bidi="ar"/>
              </w:rPr>
            </w:pPr>
            <w:r w:rsidRPr="00C01F07">
              <w:rPr>
                <w:rFonts w:ascii="Arial" w:eastAsia="Calibri" w:hAnsi="Arial" w:cs="Arial"/>
                <w:kern w:val="2"/>
                <w:lang w:bidi="ar"/>
              </w:rPr>
              <w:t>Steroid, rituximab</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48DD2AB" w14:textId="77777777" w:rsidR="002715D9" w:rsidRPr="00C01F07" w:rsidRDefault="002715D9" w:rsidP="002715D9">
            <w:pPr>
              <w:spacing w:before="240" w:line="360" w:lineRule="auto"/>
              <w:jc w:val="center"/>
              <w:rPr>
                <w:rFonts w:ascii="Arial" w:eastAsia="Calibri" w:hAnsi="Arial" w:cs="Arial"/>
                <w:kern w:val="2"/>
                <w:lang w:bidi="ar"/>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6CC6F18" w14:textId="45708218" w:rsidR="002715D9" w:rsidRPr="00C01F07" w:rsidRDefault="002715D9" w:rsidP="002715D9">
            <w:pPr>
              <w:spacing w:before="240" w:line="360" w:lineRule="auto"/>
              <w:jc w:val="center"/>
              <w:rPr>
                <w:rFonts w:ascii="Arial" w:eastAsia="Calibri" w:hAnsi="Arial" w:cs="Arial"/>
                <w:kern w:val="2"/>
                <w:lang w:bidi="ar"/>
              </w:rPr>
            </w:pPr>
            <w:r w:rsidRPr="00C01F07">
              <w:rPr>
                <w:rFonts w:ascii="Arial" w:eastAsia="Calibri" w:hAnsi="Arial" w:cs="Arial"/>
                <w:kern w:val="2"/>
                <w:lang w:bidi="ar"/>
              </w:rPr>
              <w:t>15 (57.6%)</w:t>
            </w:r>
          </w:p>
          <w:p w14:paraId="6FD7B1FA" w14:textId="77777777" w:rsidR="002715D9" w:rsidRPr="00C01F07" w:rsidRDefault="002715D9" w:rsidP="002715D9">
            <w:pPr>
              <w:spacing w:before="240" w:line="360" w:lineRule="auto"/>
              <w:jc w:val="center"/>
              <w:rPr>
                <w:rFonts w:ascii="Arial" w:eastAsia="Calibri" w:hAnsi="Arial" w:cs="Arial"/>
                <w:kern w:val="2"/>
                <w:lang w:bidi="ar"/>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0D3A514" w14:textId="77777777" w:rsidR="002715D9" w:rsidRPr="00C01F07" w:rsidRDefault="002715D9" w:rsidP="002715D9">
            <w:pPr>
              <w:spacing w:before="240" w:line="360" w:lineRule="auto"/>
              <w:jc w:val="center"/>
              <w:rPr>
                <w:rFonts w:ascii="Arial" w:eastAsia="Calibri" w:hAnsi="Arial" w:cs="Arial"/>
                <w:kern w:val="2"/>
                <w:lang w:bidi="ar"/>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270C16B" w14:textId="77777777" w:rsidR="002715D9" w:rsidRPr="00C01F07" w:rsidRDefault="002715D9" w:rsidP="002715D9">
            <w:pPr>
              <w:spacing w:before="240" w:line="360" w:lineRule="auto"/>
              <w:jc w:val="center"/>
              <w:rPr>
                <w:rFonts w:ascii="Arial" w:eastAsia="Calibri" w:hAnsi="Arial" w:cs="Arial"/>
                <w:kern w:val="2"/>
                <w:lang w:bidi="ar"/>
              </w:rPr>
            </w:pPr>
          </w:p>
        </w:tc>
      </w:tr>
      <w:tr w:rsidR="002715D9" w:rsidRPr="00C01F07" w14:paraId="08F4BB8B" w14:textId="77777777" w:rsidTr="007D5C3E">
        <w:trPr>
          <w:trHeight w:val="230"/>
          <w:jc w:val="center"/>
        </w:trPr>
        <w:tc>
          <w:tcPr>
            <w:tcW w:w="3505" w:type="dxa"/>
            <w:tcBorders>
              <w:top w:val="single" w:sz="4" w:space="0" w:color="auto"/>
              <w:left w:val="single" w:sz="4" w:space="0" w:color="auto"/>
              <w:bottom w:val="single" w:sz="4" w:space="0" w:color="auto"/>
              <w:right w:val="single" w:sz="4" w:space="0" w:color="auto"/>
            </w:tcBorders>
            <w:shd w:val="clear" w:color="auto" w:fill="auto"/>
          </w:tcPr>
          <w:p w14:paraId="6ED62FC1" w14:textId="77777777" w:rsidR="002715D9" w:rsidRPr="00C01F07" w:rsidRDefault="002715D9" w:rsidP="002715D9">
            <w:pPr>
              <w:numPr>
                <w:ilvl w:val="0"/>
                <w:numId w:val="5"/>
              </w:numPr>
              <w:spacing w:before="240" w:line="360" w:lineRule="auto"/>
              <w:rPr>
                <w:rFonts w:ascii="Arial" w:eastAsia="Calibri" w:hAnsi="Arial" w:cs="Arial"/>
                <w:kern w:val="2"/>
                <w:lang w:bidi="ar"/>
              </w:rPr>
            </w:pPr>
            <w:r w:rsidRPr="00C01F07">
              <w:rPr>
                <w:rFonts w:ascii="Arial" w:eastAsia="Calibri" w:hAnsi="Arial" w:cs="Arial"/>
                <w:kern w:val="2"/>
                <w:lang w:bidi="ar"/>
              </w:rPr>
              <w:t>Steroid, CYC, plasmapheresis as induction then steroid, AZA as maintenance</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9F2EE9C" w14:textId="77777777" w:rsidR="002715D9" w:rsidRPr="00C01F07" w:rsidRDefault="002715D9" w:rsidP="002715D9">
            <w:pPr>
              <w:spacing w:before="240" w:line="360" w:lineRule="auto"/>
              <w:jc w:val="center"/>
              <w:rPr>
                <w:rFonts w:ascii="Arial" w:eastAsia="Calibri" w:hAnsi="Arial" w:cs="Arial"/>
                <w:kern w:val="2"/>
                <w:lang w:bidi="ar"/>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7B894EF" w14:textId="77777777" w:rsidR="002715D9" w:rsidRPr="00C01F07" w:rsidRDefault="002715D9" w:rsidP="002715D9">
            <w:pPr>
              <w:spacing w:before="240" w:line="360" w:lineRule="auto"/>
              <w:jc w:val="center"/>
              <w:rPr>
                <w:rFonts w:ascii="Arial" w:eastAsia="Calibri" w:hAnsi="Arial" w:cs="Arial"/>
                <w:kern w:val="2"/>
                <w:lang w:bidi="ar"/>
              </w:rPr>
            </w:pPr>
          </w:p>
        </w:tc>
        <w:tc>
          <w:tcPr>
            <w:tcW w:w="1170" w:type="dxa"/>
            <w:tcBorders>
              <w:top w:val="single" w:sz="4" w:space="0" w:color="auto"/>
              <w:left w:val="single" w:sz="4" w:space="0" w:color="auto"/>
              <w:bottom w:val="single" w:sz="4" w:space="0" w:color="auto"/>
              <w:right w:val="single" w:sz="4" w:space="0" w:color="auto"/>
            </w:tcBorders>
          </w:tcPr>
          <w:p w14:paraId="2F3692DB" w14:textId="6F8FBC7A" w:rsidR="002715D9" w:rsidRPr="00C01F07" w:rsidRDefault="002715D9" w:rsidP="002715D9">
            <w:pPr>
              <w:spacing w:before="240" w:line="360" w:lineRule="auto"/>
              <w:jc w:val="center"/>
              <w:rPr>
                <w:rFonts w:ascii="Arial" w:eastAsia="Calibri" w:hAnsi="Arial" w:cs="Arial"/>
                <w:kern w:val="2"/>
                <w:lang w:bidi="ar"/>
              </w:rPr>
            </w:pPr>
            <w:r w:rsidRPr="00C01F07">
              <w:rPr>
                <w:rFonts w:hAnsi="Arial" w:cs="Arial"/>
              </w:rPr>
              <w:t>4(40%)</w:t>
            </w:r>
          </w:p>
        </w:tc>
        <w:tc>
          <w:tcPr>
            <w:tcW w:w="1170" w:type="dxa"/>
            <w:tcBorders>
              <w:top w:val="single" w:sz="4" w:space="0" w:color="auto"/>
              <w:left w:val="nil"/>
              <w:bottom w:val="single" w:sz="4" w:space="0" w:color="auto"/>
              <w:right w:val="single" w:sz="4" w:space="0" w:color="auto"/>
            </w:tcBorders>
          </w:tcPr>
          <w:p w14:paraId="5BACA2F7" w14:textId="783E7A25" w:rsidR="002715D9" w:rsidRPr="00C01F07" w:rsidRDefault="002715D9" w:rsidP="002715D9">
            <w:pPr>
              <w:spacing w:before="240" w:line="360" w:lineRule="auto"/>
              <w:jc w:val="center"/>
              <w:rPr>
                <w:rFonts w:ascii="Arial" w:eastAsia="Calibri" w:hAnsi="Arial" w:cs="Arial"/>
                <w:kern w:val="2"/>
                <w:lang w:bidi="ar"/>
              </w:rPr>
            </w:pPr>
            <w:r w:rsidRPr="00C01F07">
              <w:rPr>
                <w:rFonts w:hAnsi="Arial" w:cs="Arial"/>
              </w:rPr>
              <w:t>3(100%)</w:t>
            </w:r>
          </w:p>
        </w:tc>
      </w:tr>
    </w:tbl>
    <w:p w14:paraId="43DA5735" w14:textId="77777777" w:rsidR="00B22B4F" w:rsidRPr="00C01F07" w:rsidRDefault="00B22B4F" w:rsidP="0066287B">
      <w:pPr>
        <w:spacing w:before="240" w:line="360" w:lineRule="auto"/>
        <w:jc w:val="both"/>
        <w:rPr>
          <w:rFonts w:ascii="Arial" w:eastAsia="Calibri" w:hAnsi="Arial" w:cs="Arial"/>
          <w:b/>
          <w:bCs/>
          <w:kern w:val="2"/>
          <w:sz w:val="22"/>
          <w:szCs w:val="22"/>
          <w:u w:val="single"/>
          <w:lang w:bidi="ar"/>
        </w:rPr>
      </w:pPr>
    </w:p>
    <w:p w14:paraId="6949D9D0" w14:textId="77777777" w:rsidR="00B22B4F" w:rsidRPr="00C01F07" w:rsidRDefault="00B22B4F" w:rsidP="0066287B">
      <w:pPr>
        <w:spacing w:before="240" w:line="360" w:lineRule="auto"/>
        <w:jc w:val="both"/>
        <w:rPr>
          <w:rFonts w:ascii="Arial" w:eastAsia="Calibri" w:hAnsi="Arial" w:cs="Arial"/>
          <w:b/>
          <w:bCs/>
          <w:kern w:val="2"/>
          <w:sz w:val="22"/>
          <w:szCs w:val="22"/>
          <w:u w:val="single"/>
          <w:lang w:bidi="ar"/>
        </w:rPr>
      </w:pPr>
    </w:p>
    <w:p w14:paraId="19AF5922" w14:textId="3FC95E84" w:rsidR="0066287B" w:rsidRPr="00C01F07" w:rsidRDefault="0066287B" w:rsidP="0066287B">
      <w:pPr>
        <w:spacing w:before="240" w:line="360" w:lineRule="auto"/>
        <w:jc w:val="both"/>
        <w:rPr>
          <w:rFonts w:ascii="Arial" w:eastAsia="Calibri" w:hAnsi="Arial" w:cs="Arial"/>
          <w:b/>
          <w:bCs/>
          <w:kern w:val="2"/>
          <w:sz w:val="22"/>
          <w:szCs w:val="22"/>
          <w:lang w:bidi="ar"/>
        </w:rPr>
      </w:pPr>
      <w:r w:rsidRPr="00C01F07">
        <w:rPr>
          <w:rFonts w:ascii="Arial" w:eastAsia="Calibri" w:hAnsi="Arial" w:cs="Arial"/>
          <w:b/>
          <w:bCs/>
          <w:kern w:val="2"/>
          <w:sz w:val="22"/>
          <w:szCs w:val="22"/>
          <w:lang w:bidi="ar"/>
        </w:rPr>
        <w:t xml:space="preserve">Table </w:t>
      </w:r>
      <w:r w:rsidR="002715D9" w:rsidRPr="00C01F07">
        <w:rPr>
          <w:rFonts w:ascii="Arial" w:eastAsia="Calibri" w:hAnsi="Arial" w:cs="Arial"/>
          <w:b/>
          <w:bCs/>
          <w:kern w:val="2"/>
          <w:sz w:val="22"/>
          <w:szCs w:val="22"/>
          <w:lang w:bidi="ar"/>
        </w:rPr>
        <w:t>4</w:t>
      </w:r>
      <w:r w:rsidRPr="00C01F07">
        <w:rPr>
          <w:rFonts w:ascii="Arial" w:eastAsia="Calibri" w:hAnsi="Arial" w:cs="Arial"/>
          <w:b/>
          <w:bCs/>
          <w:kern w:val="2"/>
          <w:sz w:val="22"/>
          <w:szCs w:val="22"/>
          <w:lang w:bidi="ar"/>
        </w:rPr>
        <w:t>: Primary and secondary outcomes in the studied RPGN patients</w:t>
      </w:r>
    </w:p>
    <w:p w14:paraId="35AB475E" w14:textId="77777777" w:rsidR="007A2E52" w:rsidRPr="00C01F07" w:rsidRDefault="007A2E52" w:rsidP="0066287B">
      <w:pPr>
        <w:spacing w:before="240" w:line="360" w:lineRule="auto"/>
        <w:jc w:val="both"/>
        <w:rPr>
          <w:rFonts w:ascii="Arial" w:eastAsia="Calibri" w:hAnsi="Arial" w:cs="Arial"/>
          <w:b/>
          <w:bCs/>
          <w:kern w:val="2"/>
          <w:sz w:val="22"/>
          <w:szCs w:val="22"/>
          <w:lang w:bidi="ar"/>
        </w:rPr>
      </w:pPr>
    </w:p>
    <w:tbl>
      <w:tblPr>
        <w:tblW w:w="8071"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1"/>
        <w:gridCol w:w="1428"/>
        <w:gridCol w:w="1243"/>
        <w:gridCol w:w="1281"/>
        <w:gridCol w:w="1260"/>
        <w:gridCol w:w="1448"/>
      </w:tblGrid>
      <w:tr w:rsidR="0066287B" w:rsidRPr="00C01F07" w14:paraId="663718D3" w14:textId="77777777" w:rsidTr="00306001">
        <w:trPr>
          <w:trHeight w:val="647"/>
        </w:trPr>
        <w:tc>
          <w:tcPr>
            <w:tcW w:w="1411" w:type="dxa"/>
            <w:tcBorders>
              <w:top w:val="single" w:sz="4" w:space="0" w:color="000000"/>
              <w:left w:val="single" w:sz="4" w:space="0" w:color="000000"/>
              <w:bottom w:val="single" w:sz="4" w:space="0" w:color="000000"/>
              <w:right w:val="single" w:sz="4" w:space="0" w:color="000000"/>
            </w:tcBorders>
            <w:shd w:val="clear" w:color="auto" w:fill="auto"/>
          </w:tcPr>
          <w:p w14:paraId="76FB3B20" w14:textId="77777777" w:rsidR="0066287B" w:rsidRPr="00C01F07" w:rsidRDefault="0066287B" w:rsidP="0066287B">
            <w:pPr>
              <w:spacing w:before="240" w:line="360" w:lineRule="auto"/>
              <w:jc w:val="center"/>
              <w:rPr>
                <w:rFonts w:ascii="Arial" w:eastAsia="Calibri" w:hAnsi="Arial" w:cs="Arial"/>
                <w:b/>
                <w:bCs/>
                <w:kern w:val="2"/>
                <w:lang w:bidi="ar"/>
              </w:rPr>
            </w:pPr>
            <w:r w:rsidRPr="00C01F07">
              <w:rPr>
                <w:rFonts w:ascii="Arial" w:eastAsia="Calibri" w:hAnsi="Arial" w:cs="Arial"/>
                <w:b/>
                <w:bCs/>
                <w:kern w:val="2"/>
                <w:lang w:bidi="ar"/>
              </w:rPr>
              <w:t>Variables</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1F18294C" w14:textId="77777777" w:rsidR="0066287B" w:rsidRPr="00C01F07" w:rsidRDefault="0066287B" w:rsidP="0066287B">
            <w:pPr>
              <w:spacing w:before="240" w:line="360" w:lineRule="auto"/>
              <w:jc w:val="center"/>
              <w:rPr>
                <w:rFonts w:ascii="Arial" w:eastAsia="Calibri" w:hAnsi="Arial" w:cs="Arial"/>
                <w:b/>
                <w:bCs/>
                <w:kern w:val="2"/>
                <w:lang w:bidi="ar"/>
              </w:rPr>
            </w:pPr>
            <w:r w:rsidRPr="00C01F07">
              <w:rPr>
                <w:rFonts w:ascii="Arial" w:eastAsia="Calibri" w:hAnsi="Arial" w:cs="Arial"/>
                <w:b/>
                <w:bCs/>
                <w:kern w:val="2"/>
                <w:lang w:bidi="ar"/>
              </w:rPr>
              <w:t>Total patients</w:t>
            </w:r>
          </w:p>
          <w:p w14:paraId="7CF50705" w14:textId="77777777" w:rsidR="0066287B" w:rsidRPr="00C01F07" w:rsidRDefault="0066287B" w:rsidP="0066287B">
            <w:pPr>
              <w:spacing w:before="240" w:line="360" w:lineRule="auto"/>
              <w:jc w:val="center"/>
              <w:rPr>
                <w:rFonts w:ascii="Arial" w:eastAsia="Calibri" w:hAnsi="Arial" w:cs="Arial"/>
                <w:b/>
                <w:bCs/>
                <w:i/>
                <w:iCs/>
                <w:kern w:val="2"/>
                <w:lang w:bidi="ar"/>
              </w:rPr>
            </w:pPr>
            <w:r w:rsidRPr="00C01F07">
              <w:rPr>
                <w:rFonts w:ascii="Arial" w:eastAsia="Calibri" w:hAnsi="Arial" w:cs="Arial"/>
                <w:b/>
                <w:bCs/>
                <w:i/>
                <w:iCs/>
                <w:kern w:val="2"/>
                <w:lang w:bidi="ar"/>
              </w:rPr>
              <w:t>n = 45</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5F1B56C8" w14:textId="77777777" w:rsidR="0066287B" w:rsidRPr="00C01F07" w:rsidRDefault="0066287B" w:rsidP="0066287B">
            <w:pPr>
              <w:spacing w:before="240" w:line="360" w:lineRule="auto"/>
              <w:jc w:val="center"/>
              <w:rPr>
                <w:rFonts w:ascii="Arial" w:eastAsia="Calibri" w:hAnsi="Arial" w:cs="Arial"/>
                <w:b/>
                <w:bCs/>
                <w:kern w:val="2"/>
                <w:lang w:bidi="ar"/>
              </w:rPr>
            </w:pPr>
            <w:r w:rsidRPr="00C01F07">
              <w:rPr>
                <w:rFonts w:ascii="Arial" w:eastAsia="Calibri" w:hAnsi="Arial" w:cs="Arial"/>
                <w:b/>
                <w:bCs/>
                <w:kern w:val="2"/>
                <w:lang w:bidi="ar"/>
              </w:rPr>
              <w:t>Type I RPGN</w:t>
            </w:r>
          </w:p>
          <w:p w14:paraId="36DD1C2F" w14:textId="77777777" w:rsidR="0066287B" w:rsidRPr="00C01F07" w:rsidRDefault="0066287B" w:rsidP="0066287B">
            <w:pPr>
              <w:spacing w:before="240" w:line="360" w:lineRule="auto"/>
              <w:jc w:val="center"/>
              <w:rPr>
                <w:rFonts w:ascii="Arial" w:eastAsia="Calibri" w:hAnsi="Arial" w:cs="Arial"/>
                <w:b/>
                <w:bCs/>
                <w:kern w:val="2"/>
                <w:lang w:bidi="ar"/>
              </w:rPr>
            </w:pPr>
            <w:r w:rsidRPr="00C01F07">
              <w:rPr>
                <w:rFonts w:ascii="Arial" w:eastAsia="Calibri" w:hAnsi="Arial" w:cs="Arial"/>
                <w:b/>
                <w:bCs/>
                <w:i/>
                <w:iCs/>
                <w:kern w:val="2"/>
                <w:lang w:bidi="ar"/>
              </w:rPr>
              <w:t xml:space="preserve">n </w:t>
            </w:r>
            <w:r w:rsidRPr="00C01F07">
              <w:rPr>
                <w:rFonts w:ascii="Arial" w:eastAsia="Calibri" w:hAnsi="Arial" w:cs="Arial"/>
                <w:b/>
                <w:bCs/>
                <w:kern w:val="2"/>
                <w:lang w:bidi="ar"/>
              </w:rPr>
              <w:t>= 6</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14:paraId="5B8F15A2" w14:textId="77777777" w:rsidR="0066287B" w:rsidRPr="00C01F07" w:rsidRDefault="0066287B" w:rsidP="0066287B">
            <w:pPr>
              <w:spacing w:before="240" w:line="360" w:lineRule="auto"/>
              <w:jc w:val="center"/>
              <w:rPr>
                <w:rFonts w:ascii="Arial" w:eastAsia="Calibri" w:hAnsi="Arial" w:cs="Arial"/>
                <w:b/>
                <w:bCs/>
                <w:kern w:val="2"/>
                <w:lang w:bidi="ar"/>
              </w:rPr>
            </w:pPr>
            <w:r w:rsidRPr="00C01F07">
              <w:rPr>
                <w:rFonts w:ascii="Arial" w:eastAsia="Calibri" w:hAnsi="Arial" w:cs="Arial"/>
                <w:b/>
                <w:bCs/>
                <w:kern w:val="2"/>
                <w:lang w:bidi="ar"/>
              </w:rPr>
              <w:t>Type II RPGN</w:t>
            </w:r>
          </w:p>
          <w:p w14:paraId="1B3DCA89" w14:textId="77777777" w:rsidR="0066287B" w:rsidRPr="00C01F07" w:rsidRDefault="0066287B" w:rsidP="0066287B">
            <w:pPr>
              <w:spacing w:before="240" w:line="360" w:lineRule="auto"/>
              <w:jc w:val="center"/>
              <w:rPr>
                <w:rFonts w:ascii="Arial" w:eastAsia="Calibri" w:hAnsi="Arial" w:cs="Arial"/>
                <w:b/>
                <w:bCs/>
                <w:kern w:val="2"/>
                <w:lang w:bidi="ar"/>
              </w:rPr>
            </w:pPr>
            <w:r w:rsidRPr="00C01F07">
              <w:rPr>
                <w:rFonts w:ascii="Arial" w:eastAsia="Calibri" w:hAnsi="Arial" w:cs="Arial"/>
                <w:b/>
                <w:bCs/>
                <w:i/>
                <w:iCs/>
                <w:kern w:val="2"/>
                <w:lang w:bidi="ar"/>
              </w:rPr>
              <w:t xml:space="preserve">n </w:t>
            </w:r>
            <w:r w:rsidRPr="00C01F07">
              <w:rPr>
                <w:rFonts w:ascii="Arial" w:eastAsia="Calibri" w:hAnsi="Arial" w:cs="Arial"/>
                <w:b/>
                <w:bCs/>
                <w:kern w:val="2"/>
                <w:lang w:bidi="ar"/>
              </w:rPr>
              <w:t>= 26</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C8FA5B7" w14:textId="77777777" w:rsidR="0066287B" w:rsidRPr="00C01F07" w:rsidRDefault="0066287B" w:rsidP="0066287B">
            <w:pPr>
              <w:spacing w:before="240" w:line="360" w:lineRule="auto"/>
              <w:jc w:val="center"/>
              <w:rPr>
                <w:rFonts w:ascii="Arial" w:eastAsia="Calibri" w:hAnsi="Arial" w:cs="Arial"/>
                <w:b/>
                <w:bCs/>
                <w:kern w:val="2"/>
                <w:lang w:bidi="ar"/>
              </w:rPr>
            </w:pPr>
            <w:r w:rsidRPr="00C01F07">
              <w:rPr>
                <w:rFonts w:ascii="Arial" w:eastAsia="Calibri" w:hAnsi="Arial" w:cs="Arial"/>
                <w:b/>
                <w:bCs/>
                <w:kern w:val="2"/>
                <w:lang w:bidi="ar"/>
              </w:rPr>
              <w:t>Type III RPGN</w:t>
            </w:r>
          </w:p>
          <w:p w14:paraId="1DD51CF2" w14:textId="77777777" w:rsidR="0066287B" w:rsidRPr="00C01F07" w:rsidRDefault="0066287B" w:rsidP="0066287B">
            <w:pPr>
              <w:spacing w:before="240" w:line="360" w:lineRule="auto"/>
              <w:jc w:val="center"/>
              <w:rPr>
                <w:rFonts w:ascii="Arial" w:eastAsia="Calibri" w:hAnsi="Arial" w:cs="Arial"/>
                <w:b/>
                <w:bCs/>
                <w:kern w:val="2"/>
                <w:lang w:bidi="ar"/>
              </w:rPr>
            </w:pPr>
            <w:r w:rsidRPr="00C01F07">
              <w:rPr>
                <w:rFonts w:ascii="Arial" w:eastAsia="Calibri" w:hAnsi="Arial" w:cs="Arial"/>
                <w:b/>
                <w:bCs/>
                <w:i/>
                <w:iCs/>
                <w:kern w:val="2"/>
                <w:lang w:bidi="ar"/>
              </w:rPr>
              <w:t xml:space="preserve">n </w:t>
            </w:r>
            <w:r w:rsidRPr="00C01F07">
              <w:rPr>
                <w:rFonts w:ascii="Arial" w:eastAsia="Calibri" w:hAnsi="Arial" w:cs="Arial"/>
                <w:b/>
                <w:bCs/>
                <w:kern w:val="2"/>
                <w:lang w:bidi="ar"/>
              </w:rPr>
              <w:t>= 10</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13C443FD" w14:textId="77777777" w:rsidR="0066287B" w:rsidRPr="00C01F07" w:rsidRDefault="0066287B" w:rsidP="0066287B">
            <w:pPr>
              <w:spacing w:before="240" w:line="360" w:lineRule="auto"/>
              <w:jc w:val="center"/>
              <w:rPr>
                <w:rFonts w:ascii="Arial" w:eastAsia="Calibri" w:hAnsi="Arial" w:cs="Arial"/>
                <w:b/>
                <w:bCs/>
                <w:kern w:val="2"/>
                <w:lang w:bidi="ar"/>
              </w:rPr>
            </w:pPr>
            <w:r w:rsidRPr="00C01F07">
              <w:rPr>
                <w:rFonts w:ascii="Arial" w:eastAsia="Calibri" w:hAnsi="Arial" w:cs="Arial"/>
                <w:b/>
                <w:bCs/>
                <w:kern w:val="2"/>
                <w:lang w:bidi="ar"/>
              </w:rPr>
              <w:t>Type IV RPGN</w:t>
            </w:r>
          </w:p>
          <w:p w14:paraId="6B70ECBE" w14:textId="77777777" w:rsidR="0066287B" w:rsidRPr="00C01F07" w:rsidRDefault="0066287B" w:rsidP="0066287B">
            <w:pPr>
              <w:spacing w:before="240" w:line="360" w:lineRule="auto"/>
              <w:jc w:val="center"/>
              <w:rPr>
                <w:rFonts w:ascii="Arial" w:eastAsia="Calibri" w:hAnsi="Arial" w:cs="Arial"/>
                <w:b/>
                <w:bCs/>
                <w:kern w:val="2"/>
                <w:lang w:bidi="ar"/>
              </w:rPr>
            </w:pPr>
            <w:r w:rsidRPr="00C01F07">
              <w:rPr>
                <w:rFonts w:ascii="Arial" w:eastAsia="Calibri" w:hAnsi="Arial" w:cs="Arial"/>
                <w:b/>
                <w:bCs/>
                <w:i/>
                <w:iCs/>
                <w:kern w:val="2"/>
                <w:lang w:bidi="ar"/>
              </w:rPr>
              <w:t>n</w:t>
            </w:r>
            <w:r w:rsidRPr="00C01F07">
              <w:rPr>
                <w:rFonts w:ascii="Arial" w:eastAsia="Calibri" w:hAnsi="Arial" w:cs="Arial"/>
                <w:b/>
                <w:bCs/>
                <w:kern w:val="2"/>
                <w:lang w:bidi="ar"/>
              </w:rPr>
              <w:t>=3</w:t>
            </w:r>
          </w:p>
        </w:tc>
      </w:tr>
      <w:tr w:rsidR="0066287B" w:rsidRPr="00C01F07" w14:paraId="6F8064D9" w14:textId="77777777" w:rsidTr="00306001">
        <w:trPr>
          <w:trHeight w:val="243"/>
        </w:trPr>
        <w:tc>
          <w:tcPr>
            <w:tcW w:w="8071" w:type="dxa"/>
            <w:gridSpan w:val="6"/>
            <w:tcBorders>
              <w:top w:val="single" w:sz="4" w:space="0" w:color="000000"/>
              <w:left w:val="single" w:sz="4" w:space="0" w:color="000000"/>
              <w:bottom w:val="single" w:sz="4" w:space="0" w:color="000000"/>
              <w:right w:val="single" w:sz="4" w:space="0" w:color="000000"/>
            </w:tcBorders>
            <w:shd w:val="clear" w:color="auto" w:fill="auto"/>
          </w:tcPr>
          <w:p w14:paraId="6AC054C1" w14:textId="77777777" w:rsidR="0066287B" w:rsidRPr="00C01F07" w:rsidRDefault="0066287B" w:rsidP="0066287B">
            <w:pPr>
              <w:spacing w:before="240" w:line="360" w:lineRule="auto"/>
              <w:jc w:val="both"/>
              <w:rPr>
                <w:rFonts w:ascii="Arial" w:eastAsia="Calibri" w:hAnsi="Arial" w:cs="Arial"/>
                <w:b/>
                <w:bCs/>
                <w:kern w:val="2"/>
                <w:sz w:val="22"/>
                <w:szCs w:val="22"/>
                <w:lang w:bidi="ar"/>
              </w:rPr>
            </w:pPr>
            <w:r w:rsidRPr="00C01F07">
              <w:rPr>
                <w:rFonts w:ascii="Arial" w:eastAsia="Calibri" w:hAnsi="Arial" w:cs="Arial"/>
                <w:b/>
                <w:bCs/>
                <w:kern w:val="2"/>
                <w:lang w:bidi="ar"/>
              </w:rPr>
              <w:t>Primary outcomes</w:t>
            </w:r>
          </w:p>
        </w:tc>
      </w:tr>
      <w:tr w:rsidR="0066287B" w:rsidRPr="00C01F07" w14:paraId="2FAA4CB9" w14:textId="77777777" w:rsidTr="00306001">
        <w:trPr>
          <w:trHeight w:val="446"/>
        </w:trPr>
        <w:tc>
          <w:tcPr>
            <w:tcW w:w="1411" w:type="dxa"/>
            <w:tcBorders>
              <w:top w:val="single" w:sz="4" w:space="0" w:color="000000"/>
              <w:left w:val="single" w:sz="4" w:space="0" w:color="000000"/>
              <w:bottom w:val="single" w:sz="4" w:space="0" w:color="000000"/>
              <w:right w:val="single" w:sz="4" w:space="0" w:color="000000"/>
            </w:tcBorders>
            <w:shd w:val="clear" w:color="auto" w:fill="auto"/>
          </w:tcPr>
          <w:p w14:paraId="2BA9D8E3"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Non ESRD</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2DF24047"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16 (35.55%)</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4198A608"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1 (16.66%)</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14:paraId="18264A44"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10 (38.46%)</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FFBBF83"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2 (20.00%)</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47EECFE5"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0</w:t>
            </w:r>
          </w:p>
        </w:tc>
      </w:tr>
      <w:tr w:rsidR="0066287B" w:rsidRPr="00C01F07" w14:paraId="66C952D3" w14:textId="77777777" w:rsidTr="00306001">
        <w:trPr>
          <w:trHeight w:val="446"/>
        </w:trPr>
        <w:tc>
          <w:tcPr>
            <w:tcW w:w="1411" w:type="dxa"/>
            <w:tcBorders>
              <w:top w:val="single" w:sz="4" w:space="0" w:color="000000"/>
              <w:left w:val="single" w:sz="4" w:space="0" w:color="000000"/>
              <w:bottom w:val="single" w:sz="4" w:space="0" w:color="000000"/>
              <w:right w:val="single" w:sz="4" w:space="0" w:color="000000"/>
            </w:tcBorders>
            <w:shd w:val="clear" w:color="auto" w:fill="auto"/>
          </w:tcPr>
          <w:p w14:paraId="334E2874"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ESRD</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5872BC69"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17 (37.77%)</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44B2F2EB"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3 (50%)</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14:paraId="201DF4FE"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10 (38.46%)</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84C8306"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2 (20.00%)</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6A4B5358"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2 (66.67%)</w:t>
            </w:r>
          </w:p>
        </w:tc>
      </w:tr>
      <w:tr w:rsidR="0066287B" w:rsidRPr="00C01F07" w14:paraId="0ACDBA7B" w14:textId="77777777" w:rsidTr="00306001">
        <w:trPr>
          <w:trHeight w:val="446"/>
        </w:trPr>
        <w:tc>
          <w:tcPr>
            <w:tcW w:w="1411" w:type="dxa"/>
            <w:tcBorders>
              <w:top w:val="single" w:sz="4" w:space="0" w:color="000000"/>
              <w:left w:val="single" w:sz="4" w:space="0" w:color="000000"/>
              <w:bottom w:val="single" w:sz="4" w:space="0" w:color="000000"/>
              <w:right w:val="single" w:sz="4" w:space="0" w:color="000000"/>
            </w:tcBorders>
            <w:shd w:val="clear" w:color="auto" w:fill="auto"/>
          </w:tcPr>
          <w:p w14:paraId="547B4C28"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Death</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19257CC4"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12 (26.67%)</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4E3023B3"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2 (33.33%)</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14:paraId="27D66238"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4 (15.38%)</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6682D02A"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5 (50%)</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4378C296"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1 (33.33%)</w:t>
            </w:r>
          </w:p>
        </w:tc>
      </w:tr>
      <w:tr w:rsidR="0066287B" w:rsidRPr="00C01F07" w14:paraId="3051288A" w14:textId="77777777" w:rsidTr="00306001">
        <w:trPr>
          <w:trHeight w:val="446"/>
        </w:trPr>
        <w:tc>
          <w:tcPr>
            <w:tcW w:w="1411" w:type="dxa"/>
            <w:tcBorders>
              <w:top w:val="single" w:sz="4" w:space="0" w:color="000000"/>
              <w:left w:val="single" w:sz="4" w:space="0" w:color="000000"/>
              <w:bottom w:val="single" w:sz="4" w:space="0" w:color="000000"/>
              <w:right w:val="single" w:sz="4" w:space="0" w:color="000000"/>
            </w:tcBorders>
            <w:shd w:val="clear" w:color="auto" w:fill="auto"/>
          </w:tcPr>
          <w:p w14:paraId="1177A6D3"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Partial remission</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3647B196"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12 (26.67%)</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7774A586"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3 (50%)</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14:paraId="50FF044F"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6 (23.07)</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625523A3"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3 (30%)</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7745155A"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0</w:t>
            </w:r>
          </w:p>
        </w:tc>
      </w:tr>
      <w:tr w:rsidR="0066287B" w:rsidRPr="00C01F07" w14:paraId="3F984682" w14:textId="77777777" w:rsidTr="00306001">
        <w:trPr>
          <w:trHeight w:val="240"/>
        </w:trPr>
        <w:tc>
          <w:tcPr>
            <w:tcW w:w="1411" w:type="dxa"/>
            <w:tcBorders>
              <w:top w:val="single" w:sz="4" w:space="0" w:color="000000"/>
              <w:left w:val="single" w:sz="4" w:space="0" w:color="000000"/>
              <w:bottom w:val="single" w:sz="4" w:space="0" w:color="000000"/>
              <w:right w:val="single" w:sz="4" w:space="0" w:color="000000"/>
            </w:tcBorders>
            <w:shd w:val="clear" w:color="auto" w:fill="auto"/>
          </w:tcPr>
          <w:p w14:paraId="348CFFF0"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Complete remission</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204370CF"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5 (11.11%)</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564B67C6"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0 (0%)</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14:paraId="25D90813"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3 (11.53%)</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2177F05"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2 (20%)</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2A70AC8C" w14:textId="77777777" w:rsidR="0066287B" w:rsidRPr="00C01F07" w:rsidRDefault="0066287B" w:rsidP="0066287B">
            <w:pPr>
              <w:spacing w:before="240" w:line="360" w:lineRule="auto"/>
              <w:jc w:val="center"/>
              <w:rPr>
                <w:rFonts w:ascii="Arial" w:eastAsia="Calibri" w:hAnsi="Arial" w:cs="Arial"/>
                <w:kern w:val="2"/>
                <w:lang w:bidi="ar"/>
              </w:rPr>
            </w:pPr>
            <w:r w:rsidRPr="00C01F07">
              <w:rPr>
                <w:rFonts w:ascii="Arial" w:eastAsia="Calibri" w:hAnsi="Arial" w:cs="Arial"/>
                <w:kern w:val="2"/>
                <w:lang w:bidi="ar"/>
              </w:rPr>
              <w:t>0</w:t>
            </w:r>
          </w:p>
        </w:tc>
      </w:tr>
    </w:tbl>
    <w:p w14:paraId="39458900" w14:textId="77777777" w:rsidR="002638CA" w:rsidRPr="00C01F07" w:rsidRDefault="002638CA" w:rsidP="0066287B">
      <w:pPr>
        <w:spacing w:before="240" w:line="360" w:lineRule="auto"/>
        <w:jc w:val="center"/>
        <w:rPr>
          <w:rFonts w:ascii="Arial" w:eastAsia="Calibri" w:hAnsi="Arial" w:cs="Arial"/>
          <w:kern w:val="2"/>
          <w:lang w:bidi="ar"/>
        </w:rPr>
      </w:pPr>
    </w:p>
    <w:p w14:paraId="7C588251" w14:textId="28DCCA31" w:rsidR="00812438" w:rsidRPr="00C01F07" w:rsidRDefault="000A3825">
      <w:pPr>
        <w:spacing w:before="240" w:line="360" w:lineRule="auto"/>
        <w:jc w:val="both"/>
        <w:rPr>
          <w:rFonts w:ascii="Arial" w:eastAsia="Calibri" w:hAnsi="Arial" w:cs="Arial"/>
          <w:b/>
          <w:bCs/>
          <w:kern w:val="2"/>
          <w:sz w:val="22"/>
          <w:szCs w:val="22"/>
          <w:u w:val="single"/>
        </w:rPr>
      </w:pPr>
      <w:r w:rsidRPr="00C01F07">
        <w:rPr>
          <w:rFonts w:ascii="Arial" w:eastAsia="Calibri" w:hAnsi="Arial" w:cs="Arial"/>
          <w:b/>
          <w:bCs/>
          <w:kern w:val="2"/>
          <w:sz w:val="22"/>
          <w:szCs w:val="22"/>
          <w:u w:val="single"/>
          <w:lang w:bidi="ar"/>
        </w:rPr>
        <w:t xml:space="preserve">LIMITATIONS </w:t>
      </w:r>
    </w:p>
    <w:p w14:paraId="459BD477" w14:textId="6A9468DA" w:rsidR="002715D9" w:rsidRPr="00C01F07" w:rsidRDefault="000A3825" w:rsidP="002715D9">
      <w:pPr>
        <w:jc w:val="both"/>
        <w:rPr>
          <w:rFonts w:ascii="Arial" w:eastAsia="Times New Roman" w:hAnsi="Arial" w:cs="Arial"/>
          <w:iCs/>
          <w:lang w:eastAsia="en-US"/>
        </w:rPr>
      </w:pPr>
      <w:r w:rsidRPr="00C01F07">
        <w:rPr>
          <w:rFonts w:ascii="Arial" w:eastAsia="Calibri" w:hAnsi="Arial" w:cs="Arial"/>
          <w:kern w:val="2"/>
        </w:rPr>
        <w:t>Our study did not provide specific data on the prognosis of patients with RPGN. Additionally,</w:t>
      </w:r>
      <w:r w:rsidR="002715D9" w:rsidRPr="00C01F07">
        <w:rPr>
          <w:rFonts w:ascii="Arial" w:eastAsia="Calibri" w:hAnsi="Arial" w:cs="Arial"/>
          <w:kern w:val="2"/>
        </w:rPr>
        <w:t xml:space="preserve"> </w:t>
      </w:r>
      <w:r w:rsidR="002715D9" w:rsidRPr="00C01F07">
        <w:rPr>
          <w:rFonts w:ascii="Arial" w:eastAsia="Times New Roman" w:hAnsi="Arial" w:cs="Arial"/>
          <w:iCs/>
          <w:lang w:eastAsia="en-US"/>
        </w:rPr>
        <w:t>the need for prospective multicenter studies, incorporation of socio-demographic data, use of multivariate analysis to identify independent risk factors, and long-term follow-up to assess treatment efficacy across RPGN subtypes.</w:t>
      </w:r>
    </w:p>
    <w:p w14:paraId="55103266" w14:textId="0632A18A" w:rsidR="00812438" w:rsidRPr="00C01F07" w:rsidRDefault="00812438" w:rsidP="002715D9">
      <w:pPr>
        <w:spacing w:before="240" w:line="360" w:lineRule="auto"/>
        <w:jc w:val="both"/>
        <w:rPr>
          <w:rFonts w:ascii="Arial" w:eastAsia="Calibri" w:hAnsi="Arial" w:cs="Arial"/>
          <w:kern w:val="2"/>
          <w:sz w:val="24"/>
          <w:szCs w:val="24"/>
        </w:rPr>
      </w:pPr>
    </w:p>
    <w:p w14:paraId="4A615329" w14:textId="77777777" w:rsidR="00812438" w:rsidRPr="00C01F07" w:rsidRDefault="000A3825">
      <w:pPr>
        <w:spacing w:before="240" w:line="360" w:lineRule="auto"/>
        <w:jc w:val="both"/>
        <w:rPr>
          <w:rFonts w:ascii="Arial" w:eastAsia="Calibri" w:hAnsi="Arial" w:cs="Arial"/>
          <w:b/>
          <w:bCs/>
          <w:kern w:val="2"/>
          <w:sz w:val="22"/>
          <w:szCs w:val="22"/>
          <w:u w:val="single"/>
        </w:rPr>
      </w:pPr>
      <w:r w:rsidRPr="00C01F07">
        <w:rPr>
          <w:rFonts w:ascii="Arial" w:eastAsia="Calibri" w:hAnsi="Arial" w:cs="Arial"/>
          <w:b/>
          <w:bCs/>
          <w:kern w:val="2"/>
          <w:sz w:val="22"/>
          <w:szCs w:val="22"/>
          <w:u w:val="single"/>
          <w:lang w:bidi="ar"/>
        </w:rPr>
        <w:t>CONCLUSION</w:t>
      </w:r>
    </w:p>
    <w:p w14:paraId="7744AA09" w14:textId="78B7D50F" w:rsidR="002715D9" w:rsidRPr="00C01F07" w:rsidRDefault="002715D9" w:rsidP="002715D9">
      <w:pPr>
        <w:spacing w:beforeAutospacing="1" w:after="160" w:line="256" w:lineRule="auto"/>
        <w:jc w:val="both"/>
        <w:rPr>
          <w:rFonts w:ascii="Arial" w:eastAsia="Calibri" w:hAnsi="Arial" w:cs="Arial"/>
          <w:kern w:val="2"/>
          <w:lang w:bidi="ar"/>
        </w:rPr>
      </w:pPr>
      <w:r w:rsidRPr="00C01F07">
        <w:rPr>
          <w:rFonts w:ascii="Arial" w:eastAsia="Calibri" w:hAnsi="Arial" w:cs="Arial"/>
          <w:kern w:val="2"/>
          <w:lang w:bidi="ar"/>
        </w:rPr>
        <w:t xml:space="preserve">This study provides valuable insights into the spectrum of RPGN diseases. The immunological and histological characteristics of RPGN are crucial for understanding the underlying pathophysiology of each subtype. Differentiating between these subtypes based on these markers can guide clinicians in selecting the most appropriate treatment strategies, ultimately improving patient outcomes in this life-threatening condition. The most common types of RPGN were type II, followed by type III, type I, and type IV. Patients with RPGN exhibit a range of clinical characteristics. ESRD, affecting 37.77% of patients, was the primary outcome, and 12 patients (26.67%) died during follow-up. Additionally, 12 patients (26.67%) achieved partial remission, while 5 (11.11%) experienced complete remission. Hence to conclude, </w:t>
      </w:r>
      <w:proofErr w:type="gramStart"/>
      <w:r w:rsidRPr="00C01F07">
        <w:rPr>
          <w:rFonts w:ascii="Arial" w:eastAsia="Calibri" w:hAnsi="Arial" w:cs="Arial"/>
          <w:kern w:val="2"/>
          <w:lang w:bidi="ar"/>
        </w:rPr>
        <w:t>To</w:t>
      </w:r>
      <w:proofErr w:type="gramEnd"/>
      <w:r w:rsidRPr="00C01F07">
        <w:rPr>
          <w:rFonts w:ascii="Arial" w:eastAsia="Calibri" w:hAnsi="Arial" w:cs="Arial"/>
          <w:kern w:val="2"/>
          <w:lang w:bidi="ar"/>
        </w:rPr>
        <w:t xml:space="preserve"> improve </w:t>
      </w:r>
      <w:r w:rsidRPr="00C01F07">
        <w:rPr>
          <w:rFonts w:ascii="Arial" w:eastAsia="Calibri" w:hAnsi="Arial" w:cs="Arial"/>
          <w:kern w:val="2"/>
          <w:lang w:bidi="ar"/>
        </w:rPr>
        <w:lastRenderedPageBreak/>
        <w:t>outcomes in a patient with a rapidly progressive glomerulonephritis presentation, early referral to a nephrologist for prompt diagnosis and treatment is crucial for both renal and patient survival.</w:t>
      </w:r>
    </w:p>
    <w:p w14:paraId="2D224A15" w14:textId="77777777" w:rsidR="008413B9" w:rsidRPr="00C01F07" w:rsidRDefault="008413B9" w:rsidP="008413B9">
      <w:pPr>
        <w:spacing w:beforeAutospacing="1" w:after="160" w:line="256" w:lineRule="auto"/>
        <w:rPr>
          <w:rFonts w:ascii="Arial" w:eastAsia="Calibri" w:hAnsi="Arial" w:cs="Arial"/>
          <w:b/>
          <w:bCs/>
          <w:kern w:val="2"/>
          <w:sz w:val="22"/>
          <w:szCs w:val="22"/>
          <w:lang w:bidi="ar"/>
        </w:rPr>
      </w:pPr>
    </w:p>
    <w:p w14:paraId="1A0D5B04" w14:textId="3C0BAE61" w:rsidR="008413B9" w:rsidRPr="00C01F07" w:rsidRDefault="008413B9" w:rsidP="008413B9">
      <w:pPr>
        <w:spacing w:beforeAutospacing="1" w:after="160" w:line="256" w:lineRule="auto"/>
        <w:rPr>
          <w:rFonts w:ascii="Arial" w:eastAsia="Calibri" w:hAnsi="Arial" w:cs="Arial"/>
          <w:b/>
          <w:bCs/>
          <w:kern w:val="2"/>
          <w:sz w:val="22"/>
          <w:szCs w:val="22"/>
          <w:u w:val="single"/>
          <w:lang w:bidi="ar"/>
        </w:rPr>
      </w:pPr>
      <w:r w:rsidRPr="00C01F07">
        <w:rPr>
          <w:rFonts w:ascii="Arial" w:eastAsia="Calibri" w:hAnsi="Arial" w:cs="Arial"/>
          <w:b/>
          <w:bCs/>
          <w:kern w:val="2"/>
          <w:sz w:val="22"/>
          <w:szCs w:val="22"/>
          <w:u w:val="single"/>
          <w:lang w:bidi="ar"/>
        </w:rPr>
        <w:t>CONSENT</w:t>
      </w:r>
    </w:p>
    <w:p w14:paraId="013F98A8" w14:textId="0D696659" w:rsidR="005330DC" w:rsidRPr="00C01F07" w:rsidRDefault="008413B9" w:rsidP="00E11AE9">
      <w:pPr>
        <w:spacing w:beforeAutospacing="1" w:after="160" w:line="256" w:lineRule="auto"/>
        <w:jc w:val="both"/>
        <w:rPr>
          <w:rFonts w:ascii="Arial" w:eastAsia="Calibri" w:hAnsi="Arial" w:cs="Arial"/>
          <w:kern w:val="2"/>
          <w:lang w:bidi="ar"/>
        </w:rPr>
      </w:pPr>
      <w:r w:rsidRPr="00C01F07">
        <w:rPr>
          <w:rFonts w:ascii="Arial" w:eastAsia="Calibri" w:hAnsi="Arial" w:cs="Arial"/>
          <w:kern w:val="2"/>
          <w:lang w:bidi="ar"/>
        </w:rPr>
        <w:t>As per international standards or university standards, patient(s) written consent has been collected and preserved by the author(s).</w:t>
      </w:r>
    </w:p>
    <w:p w14:paraId="41323D46" w14:textId="272DA12C" w:rsidR="008413B9" w:rsidRPr="00C01F07" w:rsidRDefault="008413B9" w:rsidP="008413B9">
      <w:pPr>
        <w:spacing w:beforeAutospacing="1" w:after="160" w:line="256" w:lineRule="auto"/>
        <w:rPr>
          <w:rFonts w:ascii="Arial" w:eastAsia="Calibri" w:hAnsi="Arial" w:cs="Arial"/>
          <w:b/>
          <w:bCs/>
          <w:kern w:val="2"/>
          <w:sz w:val="22"/>
          <w:szCs w:val="22"/>
          <w:u w:val="single"/>
          <w:lang w:bidi="ar"/>
        </w:rPr>
      </w:pPr>
      <w:r w:rsidRPr="00C01F07">
        <w:rPr>
          <w:rFonts w:ascii="Arial" w:eastAsia="Calibri" w:hAnsi="Arial" w:cs="Arial"/>
          <w:b/>
          <w:bCs/>
          <w:kern w:val="2"/>
          <w:sz w:val="22"/>
          <w:szCs w:val="22"/>
          <w:u w:val="single"/>
          <w:lang w:bidi="ar"/>
        </w:rPr>
        <w:t>ETHICAL APPROVAL</w:t>
      </w:r>
    </w:p>
    <w:p w14:paraId="76B8CE34" w14:textId="6B33C4A4" w:rsidR="00E11AE9" w:rsidRPr="00C01F07" w:rsidRDefault="008413B9" w:rsidP="00C87B08">
      <w:pPr>
        <w:spacing w:beforeAutospacing="1" w:after="160" w:line="256" w:lineRule="auto"/>
        <w:jc w:val="both"/>
        <w:rPr>
          <w:rFonts w:ascii="Arial" w:eastAsia="Calibri" w:hAnsi="Arial" w:cs="Arial"/>
          <w:kern w:val="2"/>
          <w:lang w:bidi="ar"/>
        </w:rPr>
      </w:pPr>
      <w:r w:rsidRPr="00C01F07">
        <w:rPr>
          <w:rFonts w:ascii="Arial" w:eastAsia="Calibri" w:hAnsi="Arial" w:cs="Arial"/>
          <w:kern w:val="2"/>
          <w:lang w:bidi="ar"/>
        </w:rPr>
        <w:t>As per international standards or university standards written ethical approval has been collected and preserved by the author(s)</w:t>
      </w:r>
    </w:p>
    <w:p w14:paraId="6F03B0FB" w14:textId="113AEDD7" w:rsidR="005330DC" w:rsidRPr="00C01F07" w:rsidRDefault="005330DC" w:rsidP="005330DC">
      <w:pPr>
        <w:spacing w:beforeAutospacing="1" w:after="160" w:line="256" w:lineRule="auto"/>
        <w:rPr>
          <w:rFonts w:ascii="Arial" w:eastAsia="Calibri" w:hAnsi="Arial" w:cs="Arial"/>
          <w:b/>
          <w:bCs/>
          <w:kern w:val="2"/>
          <w:sz w:val="22"/>
          <w:szCs w:val="22"/>
          <w:lang w:bidi="ar"/>
        </w:rPr>
      </w:pPr>
    </w:p>
    <w:p w14:paraId="60D4E8D4" w14:textId="77777777" w:rsidR="00BA6946" w:rsidRPr="00C01F07" w:rsidRDefault="00BA6946" w:rsidP="00BA6946">
      <w:pPr>
        <w:spacing w:beforeAutospacing="1" w:after="160" w:line="256" w:lineRule="auto"/>
        <w:rPr>
          <w:rFonts w:ascii="Arial" w:eastAsia="Calibri" w:hAnsi="Arial" w:cs="Arial"/>
          <w:b/>
          <w:bCs/>
          <w:kern w:val="2"/>
          <w:sz w:val="22"/>
          <w:szCs w:val="22"/>
          <w:lang w:bidi="ar"/>
        </w:rPr>
      </w:pPr>
      <w:r w:rsidRPr="00C01F07">
        <w:rPr>
          <w:rFonts w:ascii="Arial" w:eastAsia="Calibri" w:hAnsi="Arial" w:cs="Arial"/>
          <w:b/>
          <w:bCs/>
          <w:kern w:val="2"/>
          <w:sz w:val="22"/>
          <w:szCs w:val="22"/>
          <w:lang w:bidi="ar"/>
        </w:rPr>
        <w:t>Disclaimer (Artificial intelligence)</w:t>
      </w:r>
    </w:p>
    <w:p w14:paraId="62F4EC66" w14:textId="77777777" w:rsidR="00BA6946" w:rsidRPr="00C01F07" w:rsidRDefault="00BA6946" w:rsidP="00BA6946">
      <w:pPr>
        <w:spacing w:beforeAutospacing="1" w:after="160" w:line="256" w:lineRule="auto"/>
        <w:rPr>
          <w:rFonts w:ascii="Arial" w:eastAsia="Calibri" w:hAnsi="Arial" w:cs="Arial"/>
          <w:b/>
          <w:bCs/>
          <w:kern w:val="2"/>
          <w:sz w:val="22"/>
          <w:szCs w:val="22"/>
          <w:lang w:bidi="ar"/>
        </w:rPr>
      </w:pPr>
    </w:p>
    <w:p w14:paraId="691DE7A8" w14:textId="77777777" w:rsidR="00BA6946" w:rsidRPr="00C01F07" w:rsidRDefault="00BA6946" w:rsidP="00BA6946">
      <w:pPr>
        <w:spacing w:beforeAutospacing="1" w:after="160" w:line="256" w:lineRule="auto"/>
        <w:rPr>
          <w:rFonts w:ascii="Arial" w:eastAsia="Calibri" w:hAnsi="Arial" w:cs="Arial"/>
          <w:b/>
          <w:bCs/>
          <w:kern w:val="2"/>
          <w:sz w:val="22"/>
          <w:szCs w:val="22"/>
          <w:lang w:bidi="ar"/>
        </w:rPr>
      </w:pPr>
      <w:r w:rsidRPr="00C01F07">
        <w:rPr>
          <w:rFonts w:ascii="Arial" w:eastAsia="Calibri" w:hAnsi="Arial" w:cs="Arial"/>
          <w:b/>
          <w:bCs/>
          <w:kern w:val="2"/>
          <w:sz w:val="22"/>
          <w:szCs w:val="22"/>
          <w:lang w:bidi="ar"/>
        </w:rPr>
        <w:t xml:space="preserve">Option 1: </w:t>
      </w:r>
    </w:p>
    <w:p w14:paraId="3B4D19BC" w14:textId="77777777" w:rsidR="00BA6946" w:rsidRPr="00C01F07" w:rsidRDefault="00BA6946" w:rsidP="00BA6946">
      <w:pPr>
        <w:spacing w:beforeAutospacing="1" w:after="160" w:line="256" w:lineRule="auto"/>
        <w:rPr>
          <w:rFonts w:ascii="Arial" w:eastAsia="Calibri" w:hAnsi="Arial" w:cs="Arial"/>
          <w:b/>
          <w:bCs/>
          <w:kern w:val="2"/>
          <w:sz w:val="22"/>
          <w:szCs w:val="22"/>
          <w:lang w:bidi="ar"/>
        </w:rPr>
      </w:pPr>
    </w:p>
    <w:p w14:paraId="17E104E3" w14:textId="77777777" w:rsidR="00BA6946" w:rsidRPr="00C01F07" w:rsidRDefault="00BA6946" w:rsidP="00BA6946">
      <w:pPr>
        <w:spacing w:beforeAutospacing="1" w:after="160" w:line="256" w:lineRule="auto"/>
        <w:rPr>
          <w:rFonts w:ascii="Arial" w:eastAsia="Calibri" w:hAnsi="Arial" w:cs="Arial"/>
          <w:b/>
          <w:bCs/>
          <w:kern w:val="2"/>
          <w:sz w:val="22"/>
          <w:szCs w:val="22"/>
          <w:lang w:bidi="ar"/>
        </w:rPr>
      </w:pPr>
      <w:r w:rsidRPr="00C01F07">
        <w:rPr>
          <w:rFonts w:ascii="Arial" w:eastAsia="Calibri" w:hAnsi="Arial" w:cs="Arial"/>
          <w:b/>
          <w:bCs/>
          <w:kern w:val="2"/>
          <w:sz w:val="22"/>
          <w:szCs w:val="22"/>
          <w:lang w:bidi="ar"/>
        </w:rPr>
        <w:t xml:space="preserve">Author(s) hereby declare that NO generative AI technologies such as Large Language Models (ChatGPT, COPILOT, etc.) and text-to-image generators have been used during the writing or editing of this manuscript. </w:t>
      </w:r>
    </w:p>
    <w:p w14:paraId="2E8525CC" w14:textId="77777777" w:rsidR="00BA6946" w:rsidRPr="00C01F07" w:rsidRDefault="00BA6946" w:rsidP="00BA6946">
      <w:pPr>
        <w:spacing w:beforeAutospacing="1" w:after="160" w:line="256" w:lineRule="auto"/>
        <w:rPr>
          <w:rFonts w:ascii="Arial" w:eastAsia="Calibri" w:hAnsi="Arial" w:cs="Arial"/>
          <w:b/>
          <w:bCs/>
          <w:kern w:val="2"/>
          <w:sz w:val="22"/>
          <w:szCs w:val="22"/>
          <w:lang w:bidi="ar"/>
        </w:rPr>
      </w:pPr>
    </w:p>
    <w:p w14:paraId="4507D8D4" w14:textId="77777777" w:rsidR="00BA6946" w:rsidRPr="00C01F07" w:rsidRDefault="00BA6946" w:rsidP="00BA6946">
      <w:pPr>
        <w:spacing w:beforeAutospacing="1" w:after="160" w:line="256" w:lineRule="auto"/>
        <w:rPr>
          <w:rFonts w:ascii="Arial" w:eastAsia="Calibri" w:hAnsi="Arial" w:cs="Arial"/>
          <w:b/>
          <w:bCs/>
          <w:kern w:val="2"/>
          <w:sz w:val="22"/>
          <w:szCs w:val="22"/>
          <w:lang w:bidi="ar"/>
        </w:rPr>
      </w:pPr>
      <w:r w:rsidRPr="00C01F07">
        <w:rPr>
          <w:rFonts w:ascii="Arial" w:eastAsia="Calibri" w:hAnsi="Arial" w:cs="Arial"/>
          <w:b/>
          <w:bCs/>
          <w:kern w:val="2"/>
          <w:sz w:val="22"/>
          <w:szCs w:val="22"/>
          <w:lang w:bidi="ar"/>
        </w:rPr>
        <w:t xml:space="preserve">Option 2: </w:t>
      </w:r>
    </w:p>
    <w:p w14:paraId="59160F10" w14:textId="77777777" w:rsidR="00BA6946" w:rsidRPr="00C01F07" w:rsidRDefault="00BA6946" w:rsidP="00BA6946">
      <w:pPr>
        <w:spacing w:beforeAutospacing="1" w:after="160" w:line="256" w:lineRule="auto"/>
        <w:rPr>
          <w:rFonts w:ascii="Arial" w:eastAsia="Calibri" w:hAnsi="Arial" w:cs="Arial"/>
          <w:b/>
          <w:bCs/>
          <w:kern w:val="2"/>
          <w:sz w:val="22"/>
          <w:szCs w:val="22"/>
          <w:lang w:bidi="ar"/>
        </w:rPr>
      </w:pPr>
    </w:p>
    <w:p w14:paraId="3E4CAEAE" w14:textId="77777777" w:rsidR="00BA6946" w:rsidRPr="00C01F07" w:rsidRDefault="00BA6946" w:rsidP="00BA6946">
      <w:pPr>
        <w:spacing w:beforeAutospacing="1" w:after="160" w:line="256" w:lineRule="auto"/>
        <w:rPr>
          <w:rFonts w:ascii="Arial" w:eastAsia="Calibri" w:hAnsi="Arial" w:cs="Arial"/>
          <w:b/>
          <w:bCs/>
          <w:kern w:val="2"/>
          <w:sz w:val="22"/>
          <w:szCs w:val="22"/>
          <w:lang w:bidi="ar"/>
        </w:rPr>
      </w:pPr>
      <w:r w:rsidRPr="00C01F07">
        <w:rPr>
          <w:rFonts w:ascii="Arial" w:eastAsia="Calibri" w:hAnsi="Arial" w:cs="Arial"/>
          <w:b/>
          <w:bCs/>
          <w:kern w:val="2"/>
          <w:sz w:val="22"/>
          <w:szCs w:val="22"/>
          <w:lang w:bidi="ar"/>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ED62932" w14:textId="77777777" w:rsidR="00BA6946" w:rsidRPr="00C01F07" w:rsidRDefault="00BA6946" w:rsidP="00BA6946">
      <w:pPr>
        <w:spacing w:beforeAutospacing="1" w:after="160" w:line="256" w:lineRule="auto"/>
        <w:rPr>
          <w:rFonts w:ascii="Arial" w:eastAsia="Calibri" w:hAnsi="Arial" w:cs="Arial"/>
          <w:b/>
          <w:bCs/>
          <w:kern w:val="2"/>
          <w:sz w:val="22"/>
          <w:szCs w:val="22"/>
          <w:lang w:bidi="ar"/>
        </w:rPr>
      </w:pPr>
    </w:p>
    <w:p w14:paraId="18F730CB" w14:textId="77777777" w:rsidR="00BA6946" w:rsidRPr="00C01F07" w:rsidRDefault="00BA6946" w:rsidP="00BA6946">
      <w:pPr>
        <w:spacing w:beforeAutospacing="1" w:after="160" w:line="256" w:lineRule="auto"/>
        <w:rPr>
          <w:rFonts w:ascii="Arial" w:eastAsia="Calibri" w:hAnsi="Arial" w:cs="Arial"/>
          <w:b/>
          <w:bCs/>
          <w:kern w:val="2"/>
          <w:sz w:val="22"/>
          <w:szCs w:val="22"/>
          <w:lang w:bidi="ar"/>
        </w:rPr>
      </w:pPr>
      <w:r w:rsidRPr="00C01F07">
        <w:rPr>
          <w:rFonts w:ascii="Arial" w:eastAsia="Calibri" w:hAnsi="Arial" w:cs="Arial"/>
          <w:b/>
          <w:bCs/>
          <w:kern w:val="2"/>
          <w:sz w:val="22"/>
          <w:szCs w:val="22"/>
          <w:lang w:bidi="ar"/>
        </w:rPr>
        <w:t>Details of the AI usage are given below:</w:t>
      </w:r>
    </w:p>
    <w:p w14:paraId="5E17961D" w14:textId="77777777" w:rsidR="00BA6946" w:rsidRPr="00C01F07" w:rsidRDefault="00BA6946" w:rsidP="00BA6946">
      <w:pPr>
        <w:spacing w:beforeAutospacing="1" w:after="160" w:line="256" w:lineRule="auto"/>
        <w:rPr>
          <w:rFonts w:ascii="Arial" w:eastAsia="Calibri" w:hAnsi="Arial" w:cs="Arial"/>
          <w:b/>
          <w:bCs/>
          <w:kern w:val="2"/>
          <w:sz w:val="22"/>
          <w:szCs w:val="22"/>
          <w:lang w:bidi="ar"/>
        </w:rPr>
      </w:pPr>
      <w:r w:rsidRPr="00C01F07">
        <w:rPr>
          <w:rFonts w:ascii="Arial" w:eastAsia="Calibri" w:hAnsi="Arial" w:cs="Arial"/>
          <w:b/>
          <w:bCs/>
          <w:kern w:val="2"/>
          <w:sz w:val="22"/>
          <w:szCs w:val="22"/>
          <w:lang w:bidi="ar"/>
        </w:rPr>
        <w:t>1.</w:t>
      </w:r>
    </w:p>
    <w:p w14:paraId="49E6C37B" w14:textId="77777777" w:rsidR="00BA6946" w:rsidRPr="00C01F07" w:rsidRDefault="00BA6946" w:rsidP="00BA6946">
      <w:pPr>
        <w:spacing w:beforeAutospacing="1" w:after="160" w:line="256" w:lineRule="auto"/>
        <w:rPr>
          <w:rFonts w:ascii="Arial" w:eastAsia="Calibri" w:hAnsi="Arial" w:cs="Arial"/>
          <w:b/>
          <w:bCs/>
          <w:kern w:val="2"/>
          <w:sz w:val="22"/>
          <w:szCs w:val="22"/>
          <w:lang w:bidi="ar"/>
        </w:rPr>
      </w:pPr>
      <w:r w:rsidRPr="00C01F07">
        <w:rPr>
          <w:rFonts w:ascii="Arial" w:eastAsia="Calibri" w:hAnsi="Arial" w:cs="Arial"/>
          <w:b/>
          <w:bCs/>
          <w:kern w:val="2"/>
          <w:sz w:val="22"/>
          <w:szCs w:val="22"/>
          <w:lang w:bidi="ar"/>
        </w:rPr>
        <w:t>2.</w:t>
      </w:r>
    </w:p>
    <w:p w14:paraId="1CC30303" w14:textId="34E62392" w:rsidR="00E0198A" w:rsidRPr="00C01F07" w:rsidRDefault="00BA6946" w:rsidP="00BA6946">
      <w:pPr>
        <w:spacing w:beforeAutospacing="1" w:after="160" w:line="256" w:lineRule="auto"/>
        <w:rPr>
          <w:rFonts w:ascii="Arial" w:eastAsia="Calibri" w:hAnsi="Arial" w:cs="Arial"/>
          <w:b/>
          <w:bCs/>
          <w:kern w:val="2"/>
          <w:sz w:val="22"/>
          <w:szCs w:val="22"/>
          <w:lang w:bidi="ar"/>
        </w:rPr>
      </w:pPr>
      <w:r w:rsidRPr="00C01F07">
        <w:rPr>
          <w:rFonts w:ascii="Arial" w:eastAsia="Calibri" w:hAnsi="Arial" w:cs="Arial"/>
          <w:b/>
          <w:bCs/>
          <w:kern w:val="2"/>
          <w:sz w:val="22"/>
          <w:szCs w:val="22"/>
          <w:lang w:bidi="ar"/>
        </w:rPr>
        <w:t>3.</w:t>
      </w:r>
    </w:p>
    <w:p w14:paraId="2DB97729" w14:textId="77777777" w:rsidR="00E0198A" w:rsidRPr="00C01F07" w:rsidRDefault="00E0198A" w:rsidP="005330DC">
      <w:pPr>
        <w:spacing w:beforeAutospacing="1" w:after="160" w:line="256" w:lineRule="auto"/>
        <w:rPr>
          <w:rFonts w:ascii="Arial" w:eastAsia="Calibri" w:hAnsi="Arial" w:cs="Arial"/>
          <w:b/>
          <w:bCs/>
          <w:kern w:val="2"/>
          <w:sz w:val="22"/>
          <w:szCs w:val="22"/>
          <w:lang w:bidi="ar"/>
        </w:rPr>
      </w:pPr>
    </w:p>
    <w:p w14:paraId="510952E3" w14:textId="6230B293" w:rsidR="00812438" w:rsidRPr="00C01F07" w:rsidRDefault="005330DC" w:rsidP="005330DC">
      <w:pPr>
        <w:spacing w:beforeAutospacing="1" w:after="160" w:line="256" w:lineRule="auto"/>
        <w:rPr>
          <w:rFonts w:ascii="Arial" w:eastAsia="Calibri" w:hAnsi="Arial" w:cs="Arial"/>
          <w:b/>
          <w:bCs/>
          <w:kern w:val="2"/>
          <w:sz w:val="22"/>
          <w:szCs w:val="22"/>
        </w:rPr>
      </w:pPr>
      <w:r w:rsidRPr="00C01F07">
        <w:rPr>
          <w:rFonts w:ascii="Arial" w:eastAsia="Calibri" w:hAnsi="Arial" w:cs="Arial"/>
          <w:b/>
          <w:bCs/>
          <w:kern w:val="2"/>
          <w:sz w:val="22"/>
          <w:szCs w:val="22"/>
          <w:lang w:bidi="ar"/>
        </w:rPr>
        <w:t>REFRENCES</w:t>
      </w:r>
    </w:p>
    <w:p w14:paraId="597021C3" w14:textId="1DEA8028" w:rsidR="00812438" w:rsidRPr="00C01F07" w:rsidRDefault="000A3825" w:rsidP="005330DC">
      <w:pPr>
        <w:pStyle w:val="ListParagraph1"/>
        <w:numPr>
          <w:ilvl w:val="0"/>
          <w:numId w:val="1"/>
        </w:numPr>
        <w:spacing w:before="120" w:after="0" w:line="360" w:lineRule="auto"/>
        <w:jc w:val="both"/>
        <w:rPr>
          <w:rFonts w:ascii="Arial" w:eastAsia="Calibri" w:hAnsi="Arial" w:cs="Arial"/>
          <w:sz w:val="20"/>
          <w:szCs w:val="20"/>
        </w:rPr>
      </w:pPr>
      <w:r w:rsidRPr="00C01F07">
        <w:rPr>
          <w:rFonts w:ascii="Arial" w:eastAsia="Calibri" w:hAnsi="Arial" w:cs="Arial"/>
          <w:sz w:val="20"/>
          <w:szCs w:val="20"/>
        </w:rPr>
        <w:t>Mohamed ON, Ibrahim SA, Saleh RK, Issa AS, Setouhi A, Rabou AAA, Mohamed MR, Kamel SF. Clinicopathological characteristics and predictors of outcome of rapidly progressive glomerulonephritis: a retrospective study. BMC Nephrol. 2024 Mar 18;25(1):103.</w:t>
      </w:r>
    </w:p>
    <w:p w14:paraId="05BDCF71" w14:textId="77777777" w:rsidR="00812438" w:rsidRPr="00C01F07" w:rsidRDefault="000A3825">
      <w:pPr>
        <w:pStyle w:val="ListParagraph1"/>
        <w:numPr>
          <w:ilvl w:val="0"/>
          <w:numId w:val="1"/>
        </w:numPr>
        <w:spacing w:before="120" w:after="0" w:line="360" w:lineRule="auto"/>
        <w:jc w:val="both"/>
        <w:rPr>
          <w:rFonts w:ascii="Arial" w:eastAsia="Calibri" w:hAnsi="Arial" w:cs="Arial"/>
          <w:sz w:val="20"/>
          <w:szCs w:val="20"/>
        </w:rPr>
      </w:pPr>
      <w:r w:rsidRPr="00C01F07">
        <w:rPr>
          <w:rFonts w:ascii="Arial" w:eastAsia="Calibri" w:hAnsi="Arial" w:cs="Arial"/>
          <w:sz w:val="20"/>
          <w:szCs w:val="20"/>
        </w:rPr>
        <w:t>Moroni G, Ponticelli C. Rapidly progressive crescentic glomerulonephritis: Early treatment is a must. Autoimmun Rev. 2014 Jul;13(7):723-9.</w:t>
      </w:r>
    </w:p>
    <w:p w14:paraId="146D2C28" w14:textId="77777777" w:rsidR="00812438" w:rsidRPr="00C01F07" w:rsidRDefault="000A3825">
      <w:pPr>
        <w:pStyle w:val="ListParagraph1"/>
        <w:numPr>
          <w:ilvl w:val="0"/>
          <w:numId w:val="1"/>
        </w:numPr>
        <w:spacing w:before="120" w:after="0" w:line="360" w:lineRule="auto"/>
        <w:jc w:val="both"/>
        <w:rPr>
          <w:rFonts w:ascii="Arial" w:eastAsia="Calibri" w:hAnsi="Arial" w:cs="Arial"/>
          <w:sz w:val="20"/>
          <w:szCs w:val="20"/>
        </w:rPr>
      </w:pPr>
      <w:r w:rsidRPr="00C01F07">
        <w:rPr>
          <w:rFonts w:ascii="Arial" w:eastAsia="Calibri" w:hAnsi="Arial" w:cs="Arial"/>
          <w:sz w:val="20"/>
          <w:szCs w:val="20"/>
        </w:rPr>
        <w:t xml:space="preserve">Reggiani F, L'Imperio V, Calatroni M, Pagni F, Sinico RA. Goodpasture syndrome and anti-glomerular basement membrane disease. Clin Exp Rheumatol. 2023 Apr;41(4):964-974. </w:t>
      </w:r>
    </w:p>
    <w:p w14:paraId="2F6F398C" w14:textId="77777777" w:rsidR="00812438" w:rsidRPr="00C01F07" w:rsidRDefault="000A3825">
      <w:pPr>
        <w:pStyle w:val="ListParagraph1"/>
        <w:numPr>
          <w:ilvl w:val="0"/>
          <w:numId w:val="1"/>
        </w:numPr>
        <w:spacing w:before="120" w:after="0" w:line="360" w:lineRule="auto"/>
        <w:jc w:val="both"/>
        <w:rPr>
          <w:rFonts w:ascii="Arial" w:eastAsia="Calibri" w:hAnsi="Arial" w:cs="Arial"/>
          <w:sz w:val="20"/>
          <w:szCs w:val="20"/>
        </w:rPr>
      </w:pPr>
      <w:r w:rsidRPr="00C01F07">
        <w:rPr>
          <w:rFonts w:ascii="Arial" w:eastAsia="Calibri" w:hAnsi="Arial" w:cs="Arial"/>
          <w:sz w:val="20"/>
          <w:szCs w:val="20"/>
        </w:rPr>
        <w:t>Vries TB, Boerma S, Doornebal J, Dikkeschei B, Stegeman C, Veneman TF. Goodpasture's Syndrome with Negative Anti-glomerular Basement Membrane Antibodies. Eur J Case Rep Intern Med. 2017;4(8):000687.</w:t>
      </w:r>
    </w:p>
    <w:p w14:paraId="1C2F1D20" w14:textId="77777777" w:rsidR="00812438" w:rsidRPr="00C01F07" w:rsidRDefault="000A3825">
      <w:pPr>
        <w:pStyle w:val="ListParagraph1"/>
        <w:numPr>
          <w:ilvl w:val="0"/>
          <w:numId w:val="1"/>
        </w:numPr>
        <w:spacing w:before="120" w:after="0" w:line="360" w:lineRule="auto"/>
        <w:jc w:val="both"/>
        <w:rPr>
          <w:rFonts w:ascii="Arial" w:eastAsia="Calibri" w:hAnsi="Arial" w:cs="Arial"/>
          <w:sz w:val="20"/>
          <w:szCs w:val="20"/>
        </w:rPr>
      </w:pPr>
      <w:r w:rsidRPr="00C01F07">
        <w:rPr>
          <w:rFonts w:ascii="Arial" w:eastAsia="Calibri" w:hAnsi="Arial" w:cs="Arial"/>
          <w:sz w:val="20"/>
          <w:szCs w:val="20"/>
        </w:rPr>
        <w:t>Nagaraju SP, Laxminarayana SLK, Kosuru S, Parthasarathy R, Attur RP, Rangaswamy D, et al. Clinicopathological characteristics and outcomes of diffuse crescentic glomerulonephritis - A single Center experience from Southern India. J Clin Diagn Res. 2017;11(9):Oc21–oc24.</w:t>
      </w:r>
    </w:p>
    <w:p w14:paraId="35795437" w14:textId="77777777" w:rsidR="00812438" w:rsidRPr="00C01F07" w:rsidRDefault="000A3825">
      <w:pPr>
        <w:pStyle w:val="ListParagraph1"/>
        <w:numPr>
          <w:ilvl w:val="0"/>
          <w:numId w:val="1"/>
        </w:numPr>
        <w:spacing w:before="120" w:after="0" w:line="360" w:lineRule="auto"/>
        <w:jc w:val="both"/>
        <w:rPr>
          <w:rFonts w:ascii="Arial" w:eastAsia="Calibri" w:hAnsi="Arial" w:cs="Arial"/>
          <w:sz w:val="20"/>
          <w:szCs w:val="20"/>
        </w:rPr>
      </w:pPr>
      <w:r w:rsidRPr="00C01F07">
        <w:rPr>
          <w:rFonts w:ascii="Arial" w:eastAsia="Calibri" w:hAnsi="Arial" w:cs="Arial"/>
          <w:sz w:val="20"/>
          <w:szCs w:val="20"/>
        </w:rPr>
        <w:t>Chen S, Tang Z, Xiang H, Li X, Chen H, Zhang H, et al. Etiology and outcome of crescentic glomerulonephritis from a single center in China: a 10-year review. Am J Kidney Dis. 2016;67(3):376–83.</w:t>
      </w:r>
    </w:p>
    <w:p w14:paraId="3471153C" w14:textId="77777777" w:rsidR="00812438" w:rsidRPr="00C01F07" w:rsidRDefault="000A3825">
      <w:pPr>
        <w:pStyle w:val="ListParagraph1"/>
        <w:numPr>
          <w:ilvl w:val="0"/>
          <w:numId w:val="1"/>
        </w:numPr>
        <w:spacing w:before="120" w:after="0" w:line="360" w:lineRule="auto"/>
        <w:jc w:val="both"/>
        <w:rPr>
          <w:rFonts w:ascii="Arial" w:eastAsia="Calibri" w:hAnsi="Arial" w:cs="Arial"/>
          <w:sz w:val="20"/>
          <w:szCs w:val="20"/>
        </w:rPr>
      </w:pPr>
      <w:r w:rsidRPr="00C01F07">
        <w:rPr>
          <w:rFonts w:ascii="Arial" w:eastAsia="Calibri" w:hAnsi="Arial" w:cs="Arial"/>
          <w:sz w:val="20"/>
          <w:szCs w:val="20"/>
        </w:rPr>
        <w:t>Wu T, Peng J, Meng T, Liu Q, Ao X, Lin W, et al. Clinicopathological features and prognostic analysis of 49 cases with crescentic glomerulonephritis. Exp Ther Med. 2019;18(5):3984–90.</w:t>
      </w:r>
    </w:p>
    <w:p w14:paraId="010EE7D6" w14:textId="77777777" w:rsidR="00812438" w:rsidRPr="00C01F07" w:rsidRDefault="000A3825">
      <w:pPr>
        <w:pStyle w:val="ListParagraph1"/>
        <w:numPr>
          <w:ilvl w:val="0"/>
          <w:numId w:val="1"/>
        </w:numPr>
        <w:spacing w:before="120" w:after="0" w:line="360" w:lineRule="auto"/>
        <w:jc w:val="both"/>
        <w:rPr>
          <w:rFonts w:ascii="Arial" w:eastAsia="Calibri" w:hAnsi="Arial" w:cs="Arial"/>
          <w:sz w:val="20"/>
          <w:szCs w:val="20"/>
        </w:rPr>
      </w:pPr>
      <w:r w:rsidRPr="00C01F07">
        <w:rPr>
          <w:rFonts w:ascii="Arial" w:eastAsia="Calibri" w:hAnsi="Arial" w:cs="Arial"/>
          <w:sz w:val="20"/>
          <w:szCs w:val="20"/>
        </w:rPr>
        <w:t>Chang A, Henderson SG, Brandt D, Liu N, Guttikonda R, Hsieh C, et al. In situ B cell-mediated immune responses and tubulointerstitial inflammation in human lupus nephritis. J Immunol. 2011;186(3):1849–60.</w:t>
      </w:r>
    </w:p>
    <w:p w14:paraId="513322E1" w14:textId="77777777" w:rsidR="00812438" w:rsidRPr="00C01F07" w:rsidRDefault="000A3825">
      <w:pPr>
        <w:pStyle w:val="ListParagraph1"/>
        <w:numPr>
          <w:ilvl w:val="0"/>
          <w:numId w:val="1"/>
        </w:numPr>
        <w:spacing w:before="120" w:after="0" w:line="360" w:lineRule="auto"/>
        <w:jc w:val="both"/>
        <w:rPr>
          <w:rFonts w:ascii="Arial" w:eastAsia="Calibri" w:hAnsi="Arial" w:cs="Arial"/>
          <w:sz w:val="20"/>
          <w:szCs w:val="20"/>
        </w:rPr>
      </w:pPr>
      <w:r w:rsidRPr="00C01F07">
        <w:rPr>
          <w:rFonts w:ascii="Arial" w:eastAsia="Calibri" w:hAnsi="Arial" w:cs="Arial"/>
          <w:sz w:val="20"/>
          <w:szCs w:val="20"/>
        </w:rPr>
        <w:t>Racusen LC, Solez K, Colvin RB, Bonsib SM, Castro MC, Cavallo T, et al. The Banff 97 working classification of renal allograft pathology. Kidney int. 1999;55(2):713–23.</w:t>
      </w:r>
    </w:p>
    <w:p w14:paraId="2617AA74" w14:textId="77777777" w:rsidR="00812438" w:rsidRPr="00C01F07" w:rsidRDefault="000A3825">
      <w:pPr>
        <w:pStyle w:val="ListParagraph1"/>
        <w:numPr>
          <w:ilvl w:val="0"/>
          <w:numId w:val="1"/>
        </w:numPr>
        <w:spacing w:before="120" w:after="0" w:line="360" w:lineRule="auto"/>
        <w:jc w:val="both"/>
        <w:rPr>
          <w:rFonts w:ascii="Arial" w:eastAsia="Calibri" w:hAnsi="Arial" w:cs="Arial"/>
          <w:sz w:val="20"/>
          <w:szCs w:val="20"/>
        </w:rPr>
      </w:pPr>
      <w:r w:rsidRPr="00C01F07">
        <w:rPr>
          <w:rFonts w:ascii="Arial" w:eastAsia="Calibri" w:hAnsi="Arial" w:cs="Arial"/>
          <w:sz w:val="20"/>
          <w:szCs w:val="20"/>
        </w:rPr>
        <w:t>Kim S-W, Roh J, Park C-S. Immunohistochemistry for pathologists: protocols, pitfalls, and tips. J Pathol Transl Med. 2016;50(6):411–8.</w:t>
      </w:r>
    </w:p>
    <w:p w14:paraId="31771BA9" w14:textId="77777777" w:rsidR="00812438" w:rsidRPr="00C01F07" w:rsidRDefault="000A3825">
      <w:pPr>
        <w:pStyle w:val="ListParagraph1"/>
        <w:numPr>
          <w:ilvl w:val="0"/>
          <w:numId w:val="1"/>
        </w:numPr>
        <w:spacing w:before="120" w:after="0" w:line="360" w:lineRule="auto"/>
        <w:jc w:val="both"/>
        <w:rPr>
          <w:rFonts w:ascii="Arial" w:eastAsia="Calibri" w:hAnsi="Arial" w:cs="Arial"/>
          <w:sz w:val="20"/>
          <w:szCs w:val="20"/>
        </w:rPr>
      </w:pPr>
      <w:r w:rsidRPr="00C01F07">
        <w:rPr>
          <w:rFonts w:ascii="Arial" w:eastAsia="Calibri" w:hAnsi="Arial" w:cs="Arial"/>
          <w:sz w:val="20"/>
          <w:szCs w:val="20"/>
        </w:rPr>
        <w:t>Rampelli S, Rajesh N, Srinivas B, Kumar KH, Swaminathan R, Priyamvada P. Clinical spectrum and outcomes of crescentic glomerulonephritis: a single center experience. Indian J Nephrol. 2016;26(4):252.</w:t>
      </w:r>
    </w:p>
    <w:p w14:paraId="2EF3A09E" w14:textId="77777777" w:rsidR="00812438" w:rsidRPr="00C01F07" w:rsidRDefault="000A3825">
      <w:pPr>
        <w:pStyle w:val="ListParagraph1"/>
        <w:numPr>
          <w:ilvl w:val="0"/>
          <w:numId w:val="1"/>
        </w:numPr>
        <w:spacing w:before="120" w:after="0" w:line="360" w:lineRule="auto"/>
        <w:jc w:val="both"/>
        <w:rPr>
          <w:rFonts w:ascii="Arial" w:eastAsia="Calibri" w:hAnsi="Arial" w:cs="Arial"/>
          <w:sz w:val="20"/>
          <w:szCs w:val="20"/>
        </w:rPr>
      </w:pPr>
      <w:r w:rsidRPr="00C01F07">
        <w:rPr>
          <w:rFonts w:ascii="Arial" w:eastAsia="Calibri" w:hAnsi="Arial" w:cs="Arial"/>
          <w:sz w:val="20"/>
          <w:szCs w:val="20"/>
        </w:rPr>
        <w:t>Al-Hussain T, Asiri S, Amer S, Al Mana H, Akhtar M. Patterns of glomerulonephritis with crescents: experience at a tertiary medical center in Saudi Arabia. Saudi J Kidney Dis Transpl. 2017;28(3):532–7.</w:t>
      </w:r>
    </w:p>
    <w:p w14:paraId="7A238C6D" w14:textId="77777777" w:rsidR="00812438" w:rsidRPr="00C01F07" w:rsidRDefault="000A3825">
      <w:pPr>
        <w:pStyle w:val="ListParagraph1"/>
        <w:numPr>
          <w:ilvl w:val="0"/>
          <w:numId w:val="1"/>
        </w:numPr>
        <w:spacing w:before="120" w:after="0" w:line="360" w:lineRule="auto"/>
        <w:jc w:val="both"/>
        <w:rPr>
          <w:rFonts w:ascii="Arial" w:eastAsia="Calibri" w:hAnsi="Arial" w:cs="Arial"/>
          <w:sz w:val="20"/>
          <w:szCs w:val="20"/>
        </w:rPr>
      </w:pPr>
      <w:r w:rsidRPr="00C01F07">
        <w:rPr>
          <w:rFonts w:ascii="Arial" w:eastAsia="Calibri" w:hAnsi="Arial" w:cs="Arial"/>
          <w:sz w:val="20"/>
          <w:szCs w:val="20"/>
        </w:rPr>
        <w:lastRenderedPageBreak/>
        <w:t>Parry MA, Mazumder MA, Sharma M, Jeelani H, Alam S. Clinicopathological spectrum and outcome of Crescentic Glomerulonephritis: a retrospective study from North-East India. J Ren Hepatic Disorders. 2022;6(1):24–31.</w:t>
      </w:r>
    </w:p>
    <w:p w14:paraId="1C6440FF" w14:textId="77777777" w:rsidR="00812438" w:rsidRPr="00C01F07" w:rsidRDefault="000A3825">
      <w:pPr>
        <w:pStyle w:val="ListParagraph1"/>
        <w:numPr>
          <w:ilvl w:val="0"/>
          <w:numId w:val="1"/>
        </w:numPr>
        <w:spacing w:before="120" w:after="0" w:line="360" w:lineRule="auto"/>
        <w:jc w:val="both"/>
        <w:rPr>
          <w:rFonts w:ascii="Arial" w:eastAsia="Calibri" w:hAnsi="Arial" w:cs="Arial"/>
          <w:sz w:val="20"/>
          <w:szCs w:val="20"/>
        </w:rPr>
      </w:pPr>
      <w:r w:rsidRPr="00C01F07">
        <w:rPr>
          <w:rFonts w:ascii="Arial" w:eastAsia="Calibri" w:hAnsi="Arial" w:cs="Arial"/>
          <w:sz w:val="20"/>
          <w:szCs w:val="20"/>
        </w:rPr>
        <w:t>Eksin MA, Oğuz EG, Atılgan KG, Şahin H, Selen T, Okyay GU, et al. Clinicopathological features and kidney survival in Rapidly Progressive Glomerulonephritis: a single-center experience. Turk J Nephrol. 2022;31(2):138–47.</w:t>
      </w:r>
    </w:p>
    <w:p w14:paraId="49A6D04C" w14:textId="77777777" w:rsidR="00812438" w:rsidRPr="00C01F07" w:rsidRDefault="000A3825">
      <w:pPr>
        <w:pStyle w:val="ListParagraph1"/>
        <w:numPr>
          <w:ilvl w:val="0"/>
          <w:numId w:val="1"/>
        </w:numPr>
        <w:spacing w:before="120" w:after="0" w:line="360" w:lineRule="auto"/>
        <w:jc w:val="both"/>
        <w:rPr>
          <w:rFonts w:ascii="Arial" w:eastAsia="Calibri" w:hAnsi="Arial" w:cs="Arial"/>
          <w:sz w:val="20"/>
          <w:szCs w:val="20"/>
        </w:rPr>
      </w:pPr>
      <w:r w:rsidRPr="00C01F07">
        <w:rPr>
          <w:rFonts w:ascii="Arial" w:eastAsia="Calibri" w:hAnsi="Arial" w:cs="Arial"/>
          <w:sz w:val="20"/>
          <w:szCs w:val="20"/>
        </w:rPr>
        <w:t>Jennette JC, Falk RJ, Hu P, Xiao H. Pathogenesis of antineutrophil cytoplasmic autoantibody–associated small-vessel vasculitis. Annu Rev Pathol. 2013;8:139–60.</w:t>
      </w:r>
    </w:p>
    <w:p w14:paraId="7996DE0C" w14:textId="77777777" w:rsidR="00812438" w:rsidRPr="00C01F07" w:rsidRDefault="000A3825">
      <w:pPr>
        <w:pStyle w:val="ListParagraph1"/>
        <w:numPr>
          <w:ilvl w:val="0"/>
          <w:numId w:val="1"/>
        </w:numPr>
        <w:spacing w:before="120" w:after="0" w:line="360" w:lineRule="auto"/>
        <w:jc w:val="both"/>
        <w:rPr>
          <w:rFonts w:ascii="Arial" w:eastAsia="Calibri" w:hAnsi="Arial" w:cs="Arial"/>
          <w:sz w:val="20"/>
          <w:szCs w:val="20"/>
        </w:rPr>
      </w:pPr>
      <w:r w:rsidRPr="00C01F07">
        <w:rPr>
          <w:rFonts w:ascii="Arial" w:eastAsia="Calibri" w:hAnsi="Arial" w:cs="Arial"/>
          <w:sz w:val="20"/>
          <w:szCs w:val="20"/>
        </w:rPr>
        <w:t>Sadioglu ERDOGMUSS, Kumru RE, Eyupoglu G, Kutlay S, Keven S. SAT-410 clinicopathologic features and outcomes of patients with crescentic glomerulonephritis with renal involvement: a Single-Center, 13-year Retrospective Study from Turkey. Kidney Int Rep. 2020;5(3):171.</w:t>
      </w:r>
    </w:p>
    <w:p w14:paraId="35A4CE82" w14:textId="77777777" w:rsidR="00812438" w:rsidRPr="00C01F07" w:rsidRDefault="000A3825">
      <w:pPr>
        <w:pStyle w:val="ListParagraph1"/>
        <w:numPr>
          <w:ilvl w:val="0"/>
          <w:numId w:val="1"/>
        </w:numPr>
        <w:spacing w:before="120" w:after="0" w:line="360" w:lineRule="auto"/>
        <w:jc w:val="both"/>
        <w:rPr>
          <w:rFonts w:ascii="Arial" w:eastAsia="Calibri" w:hAnsi="Arial" w:cs="Arial"/>
          <w:sz w:val="20"/>
          <w:szCs w:val="20"/>
        </w:rPr>
      </w:pPr>
      <w:r w:rsidRPr="00C01F07">
        <w:rPr>
          <w:rFonts w:ascii="Arial" w:eastAsia="Calibri" w:hAnsi="Arial" w:cs="Arial"/>
          <w:sz w:val="20"/>
          <w:szCs w:val="20"/>
        </w:rPr>
        <w:t>Alsuheili AZ, Alhozali H, Bukhari AA, Khan MA, Alzahrani AS, Abualnaja SK et al. Clinico-pathological outcomes of patients with Crescentic Glomerulonephritis: a single-center study. Cureus. 2023;15(5).</w:t>
      </w:r>
    </w:p>
    <w:p w14:paraId="7AE44AC0" w14:textId="77777777" w:rsidR="00812438" w:rsidRPr="00C01F07" w:rsidRDefault="000A3825">
      <w:pPr>
        <w:pStyle w:val="ListParagraph1"/>
        <w:numPr>
          <w:ilvl w:val="0"/>
          <w:numId w:val="1"/>
        </w:numPr>
        <w:spacing w:before="120" w:after="0" w:line="360" w:lineRule="auto"/>
        <w:jc w:val="both"/>
        <w:rPr>
          <w:rFonts w:ascii="Arial" w:eastAsia="Calibri" w:hAnsi="Arial" w:cs="Arial"/>
          <w:sz w:val="20"/>
          <w:szCs w:val="20"/>
        </w:rPr>
      </w:pPr>
      <w:r w:rsidRPr="00C01F07">
        <w:rPr>
          <w:rFonts w:ascii="Arial" w:eastAsia="Calibri" w:hAnsi="Arial" w:cs="Arial"/>
          <w:sz w:val="20"/>
          <w:szCs w:val="20"/>
        </w:rPr>
        <w:t>Wangnoo A, Banotra P, Bali S. Study of the Clinical Profile of Rapidly Progressive Glomerulonephritis. Int J Res Rev. 2020;7(4):286–94.</w:t>
      </w:r>
    </w:p>
    <w:p w14:paraId="157336DA" w14:textId="77777777" w:rsidR="00812438" w:rsidRPr="00C01F07" w:rsidRDefault="000A3825">
      <w:pPr>
        <w:pStyle w:val="ListParagraph1"/>
        <w:numPr>
          <w:ilvl w:val="0"/>
          <w:numId w:val="1"/>
        </w:numPr>
        <w:spacing w:before="120" w:after="0" w:line="360" w:lineRule="auto"/>
        <w:jc w:val="both"/>
        <w:rPr>
          <w:rFonts w:ascii="Arial" w:eastAsia="Calibri" w:hAnsi="Arial" w:cs="Arial"/>
          <w:sz w:val="20"/>
          <w:szCs w:val="20"/>
        </w:rPr>
      </w:pPr>
      <w:r w:rsidRPr="00C01F07">
        <w:rPr>
          <w:rFonts w:ascii="Arial" w:eastAsia="Calibri" w:hAnsi="Arial" w:cs="Arial"/>
          <w:sz w:val="20"/>
          <w:szCs w:val="20"/>
        </w:rPr>
        <w:t>Sandhu J, Mon-044 Prediction, of Outcomes of Rapidly Progressive Glomerulonephritis. Kidney Int Rep. 2019;4(7):322.</w:t>
      </w:r>
    </w:p>
    <w:p w14:paraId="09A170E5" w14:textId="77777777" w:rsidR="00812438" w:rsidRPr="00C01F07" w:rsidRDefault="000A3825">
      <w:pPr>
        <w:pStyle w:val="ListParagraph1"/>
        <w:numPr>
          <w:ilvl w:val="0"/>
          <w:numId w:val="1"/>
        </w:numPr>
        <w:spacing w:before="120" w:after="0" w:line="360" w:lineRule="auto"/>
        <w:jc w:val="both"/>
        <w:rPr>
          <w:rFonts w:ascii="Arial" w:eastAsia="Calibri" w:hAnsi="Arial" w:cs="Arial"/>
          <w:sz w:val="20"/>
          <w:szCs w:val="20"/>
        </w:rPr>
      </w:pPr>
      <w:r w:rsidRPr="00C01F07">
        <w:rPr>
          <w:rFonts w:ascii="Arial" w:eastAsia="Calibri" w:hAnsi="Arial" w:cs="Arial"/>
          <w:sz w:val="20"/>
          <w:szCs w:val="20"/>
        </w:rPr>
        <w:t>Barmettler S, Ong M-S, Farmer JR, Choi H, Walter J. Association of immunoglobulin levels, infectious risk, and mortality with rituximab and hypogammaglobulinemia. AMA Netw Open. 2018;1(7):e184169–e.</w:t>
      </w:r>
    </w:p>
    <w:p w14:paraId="079E96AF" w14:textId="77777777" w:rsidR="00812438" w:rsidRPr="00C01F07" w:rsidRDefault="000A3825">
      <w:pPr>
        <w:pStyle w:val="ListParagraph1"/>
        <w:numPr>
          <w:ilvl w:val="0"/>
          <w:numId w:val="1"/>
        </w:numPr>
        <w:spacing w:before="120" w:after="0" w:line="360" w:lineRule="auto"/>
        <w:jc w:val="both"/>
        <w:rPr>
          <w:rFonts w:ascii="Arial" w:eastAsia="Calibri" w:hAnsi="Arial" w:cs="Arial"/>
          <w:sz w:val="20"/>
          <w:szCs w:val="20"/>
        </w:rPr>
      </w:pPr>
      <w:r w:rsidRPr="00C01F07">
        <w:rPr>
          <w:rFonts w:ascii="Arial" w:eastAsia="Calibri" w:hAnsi="Arial" w:cs="Arial"/>
          <w:sz w:val="20"/>
          <w:szCs w:val="20"/>
        </w:rPr>
        <w:t>Lee T, Gasim A, Derebail VK, Chung Y, McGregor JG, Lionaki S, et al. Predictors of treatment outcomes in ANCA-associated vasculitis with severe kidney failure. Clin J Am Soc Nephrol: CJASN. 2014;9(5):905.</w:t>
      </w:r>
    </w:p>
    <w:p w14:paraId="794A7F25" w14:textId="77777777" w:rsidR="00812438" w:rsidRPr="00C01F07" w:rsidRDefault="000A3825">
      <w:pPr>
        <w:pStyle w:val="NormalWeb"/>
        <w:numPr>
          <w:ilvl w:val="0"/>
          <w:numId w:val="1"/>
        </w:numPr>
        <w:spacing w:before="120" w:beforeAutospacing="0" w:afterAutospacing="0" w:line="360" w:lineRule="auto"/>
        <w:contextualSpacing/>
        <w:jc w:val="both"/>
        <w:rPr>
          <w:rFonts w:ascii="Arial" w:eastAsia="Calibri" w:hAnsi="Arial" w:cs="Arial"/>
          <w:kern w:val="2"/>
          <w:sz w:val="20"/>
          <w:szCs w:val="20"/>
        </w:rPr>
      </w:pPr>
      <w:r w:rsidRPr="00C01F07">
        <w:rPr>
          <w:rFonts w:ascii="Arial" w:eastAsia="Calibri" w:hAnsi="Arial" w:cs="Arial"/>
          <w:kern w:val="2"/>
          <w:sz w:val="20"/>
          <w:szCs w:val="20"/>
          <w:lang w:bidi="ar"/>
        </w:rPr>
        <w:t>Day CJ, Howie AJ, Nightingale P, Shabir S, Adu D, Savage CO, et al. Prediction of ESRD in pauci-immune necrotizing glomerulonephritis: quantitative histomorphometric assessment and serum creatinine. Am J Kidney Dis. 2010;55(2):250–8.</w:t>
      </w:r>
    </w:p>
    <w:p w14:paraId="0FA09A95" w14:textId="77777777" w:rsidR="00812438" w:rsidRPr="00C01F07" w:rsidRDefault="000A3825">
      <w:pPr>
        <w:pStyle w:val="NormalWeb"/>
        <w:numPr>
          <w:ilvl w:val="0"/>
          <w:numId w:val="1"/>
        </w:numPr>
        <w:spacing w:before="120" w:beforeAutospacing="0" w:afterAutospacing="0" w:line="360" w:lineRule="auto"/>
        <w:contextualSpacing/>
        <w:jc w:val="both"/>
        <w:rPr>
          <w:rFonts w:ascii="Arial" w:eastAsia="Calibri" w:hAnsi="Arial" w:cs="Arial"/>
          <w:kern w:val="2"/>
          <w:sz w:val="20"/>
          <w:szCs w:val="20"/>
        </w:rPr>
      </w:pPr>
      <w:r w:rsidRPr="00C01F07">
        <w:rPr>
          <w:rFonts w:ascii="Arial" w:eastAsia="Calibri" w:hAnsi="Arial" w:cs="Arial"/>
          <w:kern w:val="2"/>
          <w:sz w:val="20"/>
          <w:szCs w:val="20"/>
          <w:lang w:bidi="ar"/>
        </w:rPr>
        <w:t>Hogan SL, Falk RJ, Chin H, Cai J, Jennette CE, Jennette JC, et al. Predictors of relapse and treatment resistance in antineutrophil cytoplasmic antibody– associated small-vessel vasculitis. Ann Intern Med. 2005;143(9):621–31.</w:t>
      </w:r>
    </w:p>
    <w:p w14:paraId="6B2F48EA" w14:textId="77777777" w:rsidR="00812438" w:rsidRPr="00C01F07" w:rsidRDefault="000A3825">
      <w:pPr>
        <w:pStyle w:val="NormalWeb"/>
        <w:numPr>
          <w:ilvl w:val="0"/>
          <w:numId w:val="1"/>
        </w:numPr>
        <w:spacing w:before="120" w:beforeAutospacing="0" w:afterAutospacing="0" w:line="360" w:lineRule="auto"/>
        <w:contextualSpacing/>
        <w:jc w:val="both"/>
        <w:rPr>
          <w:rFonts w:ascii="Arial" w:eastAsia="Calibri" w:hAnsi="Arial" w:cs="Arial"/>
          <w:kern w:val="2"/>
          <w:sz w:val="20"/>
          <w:szCs w:val="20"/>
        </w:rPr>
      </w:pPr>
      <w:r w:rsidRPr="00C01F07">
        <w:rPr>
          <w:rFonts w:ascii="Arial" w:eastAsia="Calibri" w:hAnsi="Arial" w:cs="Arial"/>
          <w:kern w:val="2"/>
          <w:sz w:val="20"/>
          <w:szCs w:val="20"/>
          <w:lang w:bidi="ar"/>
        </w:rPr>
        <w:t>Ishikawa Y, Tokutsu K, Nakayamada S, Kuchiba A, Fushimi K, Matsuda S, et al. Short-term effectiveness and safety of Rituximab versus cyclophosphamide for life-threatening ANCA-associated vasculitis: a propensity score analysis of the real-world nationwide database. Ann Rheum Dis. 2024;83(1):103–11.</w:t>
      </w:r>
    </w:p>
    <w:p w14:paraId="395B468A" w14:textId="77777777" w:rsidR="00812438" w:rsidRPr="005330DC" w:rsidRDefault="00812438">
      <w:pPr>
        <w:pStyle w:val="NormalWeb"/>
        <w:spacing w:before="120" w:beforeAutospacing="0" w:afterAutospacing="0" w:line="360" w:lineRule="auto"/>
        <w:ind w:left="720"/>
        <w:contextualSpacing/>
        <w:jc w:val="both"/>
        <w:rPr>
          <w:rFonts w:ascii="Arial" w:eastAsia="Calibri" w:hAnsi="Arial" w:cs="Arial"/>
          <w:kern w:val="2"/>
          <w:sz w:val="20"/>
          <w:szCs w:val="20"/>
        </w:rPr>
      </w:pPr>
    </w:p>
    <w:p w14:paraId="4BE0D6FA" w14:textId="77777777" w:rsidR="00812438" w:rsidRPr="005330DC" w:rsidRDefault="00812438">
      <w:pPr>
        <w:spacing w:before="120" w:line="360" w:lineRule="auto"/>
        <w:jc w:val="both"/>
        <w:rPr>
          <w:rFonts w:ascii="Arial" w:eastAsia="Calibri" w:hAnsi="Arial" w:cs="Arial"/>
          <w:kern w:val="2"/>
        </w:rPr>
      </w:pPr>
    </w:p>
    <w:p w14:paraId="3C84FFD1" w14:textId="77777777" w:rsidR="00812438" w:rsidRPr="005330DC" w:rsidRDefault="000A3825">
      <w:pPr>
        <w:spacing w:beforeAutospacing="1" w:after="160" w:line="256" w:lineRule="auto"/>
        <w:rPr>
          <w:rFonts w:ascii="Arial" w:eastAsia="Calibri" w:hAnsi="Arial" w:cs="Arial"/>
          <w:b/>
          <w:kern w:val="2"/>
        </w:rPr>
      </w:pPr>
      <w:r w:rsidRPr="005330DC">
        <w:rPr>
          <w:rFonts w:ascii="Arial" w:eastAsia="Calibri" w:hAnsi="Arial" w:cs="Arial"/>
          <w:b/>
          <w:kern w:val="2"/>
          <w:lang w:bidi="ar"/>
        </w:rPr>
        <w:br w:type="page"/>
      </w:r>
    </w:p>
    <w:p w14:paraId="31D5C80B" w14:textId="77777777" w:rsidR="00812438" w:rsidRDefault="00812438">
      <w:pPr>
        <w:spacing w:beforeAutospacing="1" w:after="160" w:line="360" w:lineRule="auto"/>
        <w:jc w:val="both"/>
        <w:rPr>
          <w:rFonts w:ascii="Times New Roman" w:eastAsia="Calibri" w:hAnsi="Times New Roman" w:cs="Times New Roman"/>
          <w:kern w:val="2"/>
          <w:sz w:val="24"/>
          <w:szCs w:val="24"/>
        </w:rPr>
      </w:pPr>
    </w:p>
    <w:p w14:paraId="4C14DE38" w14:textId="77777777" w:rsidR="00812438" w:rsidRDefault="000A3825">
      <w:pPr>
        <w:spacing w:beforeAutospacing="1" w:after="160" w:line="256" w:lineRule="auto"/>
      </w:pPr>
      <w:r>
        <w:rPr>
          <w:rFonts w:ascii="Times New Roman" w:eastAsia="Calibri" w:hAnsi="Times New Roman" w:cs="Times New Roman"/>
          <w:b/>
          <w:kern w:val="2"/>
          <w:sz w:val="24"/>
          <w:szCs w:val="24"/>
        </w:rPr>
        <w:br w:type="page"/>
      </w:r>
    </w:p>
    <w:p w14:paraId="62BC99CD" w14:textId="77777777" w:rsidR="00812438" w:rsidRDefault="00812438"/>
    <w:sectPr w:rsidR="00812438" w:rsidSect="00E0198A">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BD359" w14:textId="77777777" w:rsidR="006647A7" w:rsidRDefault="006647A7" w:rsidP="00685F70">
      <w:r>
        <w:separator/>
      </w:r>
    </w:p>
  </w:endnote>
  <w:endnote w:type="continuationSeparator" w:id="0">
    <w:p w14:paraId="79F9945C" w14:textId="77777777" w:rsidR="006647A7" w:rsidRDefault="006647A7" w:rsidP="00685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ngal">
    <w:altName w:val="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40896" w14:textId="77777777" w:rsidR="00E0198A" w:rsidRDefault="00E019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EF308" w14:textId="77777777" w:rsidR="00E0198A" w:rsidRDefault="00E019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D96BD" w14:textId="77777777" w:rsidR="00E0198A" w:rsidRDefault="00E01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608EB" w14:textId="77777777" w:rsidR="006647A7" w:rsidRDefault="006647A7" w:rsidP="00685F70">
      <w:r>
        <w:separator/>
      </w:r>
    </w:p>
  </w:footnote>
  <w:footnote w:type="continuationSeparator" w:id="0">
    <w:p w14:paraId="14192C85" w14:textId="77777777" w:rsidR="006647A7" w:rsidRDefault="006647A7" w:rsidP="00685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D4EC8" w14:textId="467789D1" w:rsidR="00E0198A" w:rsidRDefault="00B22455">
    <w:pPr>
      <w:pStyle w:val="Header"/>
    </w:pPr>
    <w:r>
      <w:rPr>
        <w:noProof/>
      </w:rPr>
      <w:pict w14:anchorId="383E3B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6578391" o:spid="_x0000_s1026"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C7C05" w14:textId="38732ACA" w:rsidR="00E0198A" w:rsidRDefault="00B22455">
    <w:pPr>
      <w:pStyle w:val="Header"/>
    </w:pPr>
    <w:r>
      <w:rPr>
        <w:noProof/>
      </w:rPr>
      <w:pict w14:anchorId="1D6B4C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6578392" o:spid="_x0000_s1027"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B118B" w14:textId="418596D5" w:rsidR="00E0198A" w:rsidRDefault="00B22455">
    <w:pPr>
      <w:pStyle w:val="Header"/>
    </w:pPr>
    <w:r>
      <w:rPr>
        <w:noProof/>
      </w:rPr>
      <w:pict w14:anchorId="061A7E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6578390" o:spid="_x0000_s1025"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57B1BF"/>
    <w:multiLevelType w:val="multilevel"/>
    <w:tmpl w:val="8557B1BF"/>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 w15:restartNumberingAfterBreak="0">
    <w:nsid w:val="21EE6123"/>
    <w:multiLevelType w:val="hybridMultilevel"/>
    <w:tmpl w:val="143A7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E02C62"/>
    <w:multiLevelType w:val="hybridMultilevel"/>
    <w:tmpl w:val="6BF2B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AD26DD"/>
    <w:multiLevelType w:val="hybridMultilevel"/>
    <w:tmpl w:val="B784DEF2"/>
    <w:lvl w:ilvl="0" w:tplc="B97EA3B4">
      <w:start w:val="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AD5C03"/>
    <w:multiLevelType w:val="hybridMultilevel"/>
    <w:tmpl w:val="594AF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DC7FD1"/>
    <w:multiLevelType w:val="hybridMultilevel"/>
    <w:tmpl w:val="7EA06144"/>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defaultTabStop w:val="720"/>
  <w:drawingGridVerticalSpacing w:val="156"/>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cwsLQwNjcxsjQ1tLRQ0lEKTi0uzszPAykwrAUA+FcJcywAAAA="/>
  </w:docVars>
  <w:rsids>
    <w:rsidRoot w:val="00812438"/>
    <w:rsid w:val="000044BD"/>
    <w:rsid w:val="000800E0"/>
    <w:rsid w:val="000A3825"/>
    <w:rsid w:val="000E1AF3"/>
    <w:rsid w:val="00111CB2"/>
    <w:rsid w:val="001277A5"/>
    <w:rsid w:val="0013245B"/>
    <w:rsid w:val="001609AC"/>
    <w:rsid w:val="00177BA4"/>
    <w:rsid w:val="001A19F6"/>
    <w:rsid w:val="001C0E0C"/>
    <w:rsid w:val="001F6104"/>
    <w:rsid w:val="00227796"/>
    <w:rsid w:val="002638CA"/>
    <w:rsid w:val="002715D9"/>
    <w:rsid w:val="002853AC"/>
    <w:rsid w:val="00297D25"/>
    <w:rsid w:val="002D2F2B"/>
    <w:rsid w:val="0030495F"/>
    <w:rsid w:val="00350E5F"/>
    <w:rsid w:val="003B22DE"/>
    <w:rsid w:val="003C7069"/>
    <w:rsid w:val="003E6451"/>
    <w:rsid w:val="003F6281"/>
    <w:rsid w:val="004364FF"/>
    <w:rsid w:val="00451DA9"/>
    <w:rsid w:val="004A5434"/>
    <w:rsid w:val="005158A8"/>
    <w:rsid w:val="005330D8"/>
    <w:rsid w:val="005330DC"/>
    <w:rsid w:val="00593E73"/>
    <w:rsid w:val="005952BB"/>
    <w:rsid w:val="005E05E9"/>
    <w:rsid w:val="00620A1D"/>
    <w:rsid w:val="00661256"/>
    <w:rsid w:val="0066287B"/>
    <w:rsid w:val="006647A7"/>
    <w:rsid w:val="00673A10"/>
    <w:rsid w:val="00685F70"/>
    <w:rsid w:val="006C14CE"/>
    <w:rsid w:val="006D7881"/>
    <w:rsid w:val="00781606"/>
    <w:rsid w:val="00786228"/>
    <w:rsid w:val="00797232"/>
    <w:rsid w:val="007A2E52"/>
    <w:rsid w:val="007B4734"/>
    <w:rsid w:val="00812438"/>
    <w:rsid w:val="008273E4"/>
    <w:rsid w:val="008413B9"/>
    <w:rsid w:val="008548DB"/>
    <w:rsid w:val="00854E37"/>
    <w:rsid w:val="008877A6"/>
    <w:rsid w:val="008E4A24"/>
    <w:rsid w:val="00980E86"/>
    <w:rsid w:val="009A0512"/>
    <w:rsid w:val="009B62AC"/>
    <w:rsid w:val="00A019FB"/>
    <w:rsid w:val="00A14560"/>
    <w:rsid w:val="00A45145"/>
    <w:rsid w:val="00A55EBA"/>
    <w:rsid w:val="00A57B43"/>
    <w:rsid w:val="00A61781"/>
    <w:rsid w:val="00A67610"/>
    <w:rsid w:val="00A81527"/>
    <w:rsid w:val="00A9507F"/>
    <w:rsid w:val="00AB43A2"/>
    <w:rsid w:val="00AD5485"/>
    <w:rsid w:val="00B14D8A"/>
    <w:rsid w:val="00B15228"/>
    <w:rsid w:val="00B22455"/>
    <w:rsid w:val="00B22B4F"/>
    <w:rsid w:val="00B251D8"/>
    <w:rsid w:val="00BA4441"/>
    <w:rsid w:val="00BA6946"/>
    <w:rsid w:val="00BF0A36"/>
    <w:rsid w:val="00C01F07"/>
    <w:rsid w:val="00C126D9"/>
    <w:rsid w:val="00C37A37"/>
    <w:rsid w:val="00C85E8F"/>
    <w:rsid w:val="00C87B08"/>
    <w:rsid w:val="00D23C33"/>
    <w:rsid w:val="00D768D4"/>
    <w:rsid w:val="00DA0069"/>
    <w:rsid w:val="00E0198A"/>
    <w:rsid w:val="00E10413"/>
    <w:rsid w:val="00E11AE9"/>
    <w:rsid w:val="00E55A78"/>
    <w:rsid w:val="00E640F0"/>
    <w:rsid w:val="00EA1A43"/>
    <w:rsid w:val="00EF1B5D"/>
    <w:rsid w:val="00EF739D"/>
    <w:rsid w:val="00F0565B"/>
    <w:rsid w:val="00F157E5"/>
    <w:rsid w:val="00F172FB"/>
    <w:rsid w:val="00F6235F"/>
    <w:rsid w:val="00FA6E17"/>
    <w:rsid w:val="00FE0596"/>
    <w:rsid w:val="00FE52E2"/>
    <w:rsid w:val="0D591D77"/>
    <w:rsid w:val="12063C36"/>
    <w:rsid w:val="1E843983"/>
    <w:rsid w:val="3D3E660F"/>
    <w:rsid w:val="40EF7B71"/>
    <w:rsid w:val="4D287439"/>
    <w:rsid w:val="5772159B"/>
    <w:rsid w:val="70CC1B58"/>
    <w:rsid w:val="76EC2D5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AF4A3"/>
  <w15:docId w15:val="{CA56A4A7-4E50-4409-B148-FA64146E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paragraph" w:styleId="NormalWeb">
    <w:name w:val="Normal (Web)"/>
    <w:qFormat/>
    <w:pPr>
      <w:spacing w:beforeAutospacing="1" w:afterAutospacing="1"/>
    </w:pPr>
    <w:rPr>
      <w:sz w:val="24"/>
      <w:szCs w:val="24"/>
      <w:lang w:eastAsia="zh-CN"/>
    </w:rPr>
  </w:style>
  <w:style w:type="character" w:styleId="Strong">
    <w:name w:val="Strong"/>
    <w:basedOn w:val="DefaultParagraphFont"/>
    <w:qFormat/>
    <w:rPr>
      <w:b/>
      <w:bCs/>
    </w:rPr>
  </w:style>
  <w:style w:type="character" w:customStyle="1" w:styleId="15">
    <w:name w:val="15"/>
    <w:qFormat/>
    <w:rPr>
      <w:rFonts w:ascii="Times New Roman" w:hAnsi="Times New Roman" w:cs="Times New Roman" w:hint="default"/>
      <w:color w:val="0563C1"/>
      <w:u w:val="single"/>
    </w:rPr>
  </w:style>
  <w:style w:type="character" w:customStyle="1" w:styleId="10">
    <w:name w:val="10"/>
    <w:qFormat/>
    <w:rPr>
      <w:rFonts w:ascii="Times New Roman" w:hAnsi="Times New Roman" w:cs="Times New Roman" w:hint="default"/>
    </w:rPr>
  </w:style>
  <w:style w:type="paragraph" w:customStyle="1" w:styleId="ListParagraph1">
    <w:name w:val="List Paragraph1"/>
    <w:qFormat/>
    <w:pPr>
      <w:spacing w:after="160" w:line="256" w:lineRule="auto"/>
      <w:ind w:left="720"/>
      <w:contextualSpacing/>
    </w:pPr>
    <w:rPr>
      <w:rFonts w:ascii="Calibri" w:hAnsi="Calibri"/>
      <w:kern w:val="2"/>
      <w:sz w:val="22"/>
      <w:szCs w:val="22"/>
      <w:lang w:eastAsia="zh-CN"/>
    </w:rPr>
  </w:style>
  <w:style w:type="paragraph" w:styleId="ListParagraph">
    <w:name w:val="List Paragraph"/>
    <w:basedOn w:val="Normal"/>
    <w:uiPriority w:val="99"/>
    <w:unhideWhenUsed/>
    <w:rsid w:val="00A67610"/>
    <w:pPr>
      <w:ind w:left="720"/>
      <w:contextualSpacing/>
    </w:pPr>
  </w:style>
  <w:style w:type="paragraph" w:styleId="Header">
    <w:name w:val="header"/>
    <w:basedOn w:val="Normal"/>
    <w:link w:val="HeaderChar"/>
    <w:rsid w:val="00685F70"/>
    <w:pPr>
      <w:tabs>
        <w:tab w:val="center" w:pos="4680"/>
        <w:tab w:val="right" w:pos="9360"/>
      </w:tabs>
    </w:pPr>
  </w:style>
  <w:style w:type="character" w:customStyle="1" w:styleId="HeaderChar">
    <w:name w:val="Header Char"/>
    <w:basedOn w:val="DefaultParagraphFont"/>
    <w:link w:val="Header"/>
    <w:rsid w:val="00685F70"/>
    <w:rPr>
      <w:rFonts w:asciiTheme="minorHAnsi" w:eastAsiaTheme="minorEastAsia" w:hAnsiTheme="minorHAnsi" w:cstheme="minorBidi"/>
      <w:lang w:eastAsia="zh-CN"/>
    </w:rPr>
  </w:style>
  <w:style w:type="paragraph" w:styleId="Footer">
    <w:name w:val="footer"/>
    <w:basedOn w:val="Normal"/>
    <w:link w:val="FooterChar"/>
    <w:uiPriority w:val="99"/>
    <w:rsid w:val="00685F70"/>
    <w:pPr>
      <w:tabs>
        <w:tab w:val="center" w:pos="4680"/>
        <w:tab w:val="right" w:pos="9360"/>
      </w:tabs>
    </w:pPr>
  </w:style>
  <w:style w:type="character" w:customStyle="1" w:styleId="FooterChar">
    <w:name w:val="Footer Char"/>
    <w:basedOn w:val="DefaultParagraphFont"/>
    <w:link w:val="Footer"/>
    <w:uiPriority w:val="99"/>
    <w:rsid w:val="00685F70"/>
    <w:rPr>
      <w:rFonts w:asciiTheme="minorHAnsi" w:eastAsiaTheme="minorEastAsia" w:hAnsiTheme="minorHAnsi" w:cstheme="minorBidi"/>
      <w:lang w:eastAsia="zh-CN"/>
    </w:rPr>
  </w:style>
  <w:style w:type="paragraph" w:styleId="BalloonText">
    <w:name w:val="Balloon Text"/>
    <w:basedOn w:val="Normal"/>
    <w:link w:val="BalloonTextChar"/>
    <w:rsid w:val="00685F70"/>
    <w:rPr>
      <w:rFonts w:ascii="Tahoma" w:hAnsi="Tahoma" w:cs="Tahoma"/>
      <w:sz w:val="16"/>
      <w:szCs w:val="16"/>
    </w:rPr>
  </w:style>
  <w:style w:type="character" w:customStyle="1" w:styleId="BalloonTextChar">
    <w:name w:val="Balloon Text Char"/>
    <w:basedOn w:val="DefaultParagraphFont"/>
    <w:link w:val="BalloonText"/>
    <w:rsid w:val="00685F70"/>
    <w:rPr>
      <w:rFonts w:ascii="Tahoma" w:eastAsiaTheme="minorEastAsia" w:hAnsi="Tahoma" w:cs="Tahoma"/>
      <w:sz w:val="16"/>
      <w:szCs w:val="16"/>
      <w:lang w:eastAsia="zh-CN"/>
    </w:rPr>
  </w:style>
  <w:style w:type="character" w:styleId="LineNumber">
    <w:name w:val="line number"/>
    <w:basedOn w:val="DefaultParagraphFont"/>
    <w:rsid w:val="00BA4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33507">
      <w:bodyDiv w:val="1"/>
      <w:marLeft w:val="0"/>
      <w:marRight w:val="0"/>
      <w:marTop w:val="0"/>
      <w:marBottom w:val="0"/>
      <w:divBdr>
        <w:top w:val="none" w:sz="0" w:space="0" w:color="auto"/>
        <w:left w:val="none" w:sz="0" w:space="0" w:color="auto"/>
        <w:bottom w:val="none" w:sz="0" w:space="0" w:color="auto"/>
        <w:right w:val="none" w:sz="0" w:space="0" w:color="auto"/>
      </w:divBdr>
    </w:div>
    <w:div w:id="819149086">
      <w:bodyDiv w:val="1"/>
      <w:marLeft w:val="0"/>
      <w:marRight w:val="0"/>
      <w:marTop w:val="0"/>
      <w:marBottom w:val="0"/>
      <w:divBdr>
        <w:top w:val="none" w:sz="0" w:space="0" w:color="auto"/>
        <w:left w:val="none" w:sz="0" w:space="0" w:color="auto"/>
        <w:bottom w:val="none" w:sz="0" w:space="0" w:color="auto"/>
        <w:right w:val="none" w:sz="0" w:space="0" w:color="auto"/>
      </w:divBdr>
    </w:div>
    <w:div w:id="1048261683">
      <w:bodyDiv w:val="1"/>
      <w:marLeft w:val="0"/>
      <w:marRight w:val="0"/>
      <w:marTop w:val="0"/>
      <w:marBottom w:val="0"/>
      <w:divBdr>
        <w:top w:val="none" w:sz="0" w:space="0" w:color="auto"/>
        <w:left w:val="none" w:sz="0" w:space="0" w:color="auto"/>
        <w:bottom w:val="none" w:sz="0" w:space="0" w:color="auto"/>
        <w:right w:val="none" w:sz="0" w:space="0" w:color="auto"/>
      </w:divBdr>
    </w:div>
    <w:div w:id="1216310906">
      <w:bodyDiv w:val="1"/>
      <w:marLeft w:val="0"/>
      <w:marRight w:val="0"/>
      <w:marTop w:val="0"/>
      <w:marBottom w:val="0"/>
      <w:divBdr>
        <w:top w:val="none" w:sz="0" w:space="0" w:color="auto"/>
        <w:left w:val="none" w:sz="0" w:space="0" w:color="auto"/>
        <w:bottom w:val="none" w:sz="0" w:space="0" w:color="auto"/>
        <w:right w:val="none" w:sz="0" w:space="0" w:color="auto"/>
      </w:divBdr>
    </w:div>
    <w:div w:id="1228998005">
      <w:bodyDiv w:val="1"/>
      <w:marLeft w:val="0"/>
      <w:marRight w:val="0"/>
      <w:marTop w:val="0"/>
      <w:marBottom w:val="0"/>
      <w:divBdr>
        <w:top w:val="none" w:sz="0" w:space="0" w:color="auto"/>
        <w:left w:val="none" w:sz="0" w:space="0" w:color="auto"/>
        <w:bottom w:val="none" w:sz="0" w:space="0" w:color="auto"/>
        <w:right w:val="none" w:sz="0" w:space="0" w:color="auto"/>
      </w:divBdr>
    </w:div>
    <w:div w:id="1277952227">
      <w:bodyDiv w:val="1"/>
      <w:marLeft w:val="0"/>
      <w:marRight w:val="0"/>
      <w:marTop w:val="0"/>
      <w:marBottom w:val="0"/>
      <w:divBdr>
        <w:top w:val="none" w:sz="0" w:space="0" w:color="auto"/>
        <w:left w:val="none" w:sz="0" w:space="0" w:color="auto"/>
        <w:bottom w:val="none" w:sz="0" w:space="0" w:color="auto"/>
        <w:right w:val="none" w:sz="0" w:space="0" w:color="auto"/>
      </w:divBdr>
    </w:div>
    <w:div w:id="1354114153">
      <w:bodyDiv w:val="1"/>
      <w:marLeft w:val="0"/>
      <w:marRight w:val="0"/>
      <w:marTop w:val="0"/>
      <w:marBottom w:val="0"/>
      <w:divBdr>
        <w:top w:val="none" w:sz="0" w:space="0" w:color="auto"/>
        <w:left w:val="none" w:sz="0" w:space="0" w:color="auto"/>
        <w:bottom w:val="none" w:sz="0" w:space="0" w:color="auto"/>
        <w:right w:val="none" w:sz="0" w:space="0" w:color="auto"/>
      </w:divBdr>
    </w:div>
    <w:div w:id="1458376398">
      <w:bodyDiv w:val="1"/>
      <w:marLeft w:val="0"/>
      <w:marRight w:val="0"/>
      <w:marTop w:val="0"/>
      <w:marBottom w:val="0"/>
      <w:divBdr>
        <w:top w:val="none" w:sz="0" w:space="0" w:color="auto"/>
        <w:left w:val="none" w:sz="0" w:space="0" w:color="auto"/>
        <w:bottom w:val="none" w:sz="0" w:space="0" w:color="auto"/>
        <w:right w:val="none" w:sz="0" w:space="0" w:color="auto"/>
      </w:divBdr>
    </w:div>
    <w:div w:id="1479810145">
      <w:bodyDiv w:val="1"/>
      <w:marLeft w:val="0"/>
      <w:marRight w:val="0"/>
      <w:marTop w:val="0"/>
      <w:marBottom w:val="0"/>
      <w:divBdr>
        <w:top w:val="none" w:sz="0" w:space="0" w:color="auto"/>
        <w:left w:val="none" w:sz="0" w:space="0" w:color="auto"/>
        <w:bottom w:val="none" w:sz="0" w:space="0" w:color="auto"/>
        <w:right w:val="none" w:sz="0" w:space="0" w:color="auto"/>
      </w:divBdr>
    </w:div>
    <w:div w:id="1649556301">
      <w:bodyDiv w:val="1"/>
      <w:marLeft w:val="0"/>
      <w:marRight w:val="0"/>
      <w:marTop w:val="0"/>
      <w:marBottom w:val="0"/>
      <w:divBdr>
        <w:top w:val="none" w:sz="0" w:space="0" w:color="auto"/>
        <w:left w:val="none" w:sz="0" w:space="0" w:color="auto"/>
        <w:bottom w:val="none" w:sz="0" w:space="0" w:color="auto"/>
        <w:right w:val="none" w:sz="0" w:space="0" w:color="auto"/>
      </w:divBdr>
    </w:div>
    <w:div w:id="2014524079">
      <w:bodyDiv w:val="1"/>
      <w:marLeft w:val="0"/>
      <w:marRight w:val="0"/>
      <w:marTop w:val="0"/>
      <w:marBottom w:val="0"/>
      <w:divBdr>
        <w:top w:val="none" w:sz="0" w:space="0" w:color="auto"/>
        <w:left w:val="none" w:sz="0" w:space="0" w:color="auto"/>
        <w:bottom w:val="none" w:sz="0" w:space="0" w:color="auto"/>
        <w:right w:val="none" w:sz="0" w:space="0" w:color="auto"/>
      </w:divBdr>
    </w:div>
    <w:div w:id="2062508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books/NBK55743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cbi.nlm.nih.gov/books/NBK557430/"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E2B0F-C77A-490C-B780-79FC83BDD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5670</Words>
  <Characters>31220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DR.Sahil</dc:creator>
  <cp:lastModifiedBy>SDI PC New 16</cp:lastModifiedBy>
  <cp:revision>14</cp:revision>
  <dcterms:created xsi:type="dcterms:W3CDTF">2025-03-19T08:17:00Z</dcterms:created>
  <dcterms:modified xsi:type="dcterms:W3CDTF">2025-03-21T05:52:00Z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2897B420273446E98E62B18672E44D93_12</vt:lpwstr>
  </property>
</Properties>
</file>