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2D31" w14:textId="00A508AB" w:rsidR="00754C9A" w:rsidRDefault="00175078" w:rsidP="00175078">
      <w:pPr>
        <w:pStyle w:val="Title"/>
        <w:spacing w:after="0"/>
        <w:rPr>
          <w:rFonts w:ascii="Arial" w:hAnsi="Arial" w:cs="Arial"/>
          <w:i/>
          <w:iCs/>
          <w:sz w:val="24"/>
          <w:szCs w:val="14"/>
        </w:rPr>
      </w:pPr>
      <w:r w:rsidRPr="0054078B">
        <w:rPr>
          <w:rFonts w:ascii="Arial" w:hAnsi="Arial" w:cs="Arial"/>
          <w:i/>
          <w:iCs/>
          <w:sz w:val="24"/>
          <w:szCs w:val="14"/>
        </w:rPr>
        <w:t>Original Research Article</w:t>
      </w:r>
    </w:p>
    <w:p w14:paraId="7A7326E7" w14:textId="77777777" w:rsidR="0054078B" w:rsidRPr="00175078" w:rsidRDefault="0054078B" w:rsidP="00175078">
      <w:pPr>
        <w:pStyle w:val="Title"/>
        <w:spacing w:after="0"/>
        <w:rPr>
          <w:rFonts w:ascii="Arial" w:hAnsi="Arial" w:cs="Arial"/>
          <w:i/>
          <w:iCs/>
          <w:sz w:val="24"/>
          <w:szCs w:val="14"/>
        </w:rPr>
      </w:pPr>
    </w:p>
    <w:p w14:paraId="66B45B95" w14:textId="161331D3" w:rsidR="00163BC4" w:rsidRPr="00163BC4" w:rsidRDefault="007A06B8" w:rsidP="00441B6F">
      <w:pPr>
        <w:pStyle w:val="Author"/>
        <w:spacing w:line="240" w:lineRule="auto"/>
        <w:rPr>
          <w:rFonts w:ascii="Arial" w:hAnsi="Arial" w:cs="Arial"/>
          <w:bCs/>
          <w:iCs/>
          <w:kern w:val="28"/>
          <w:sz w:val="36"/>
        </w:rPr>
      </w:pPr>
      <w:bookmarkStart w:id="0" w:name="_Hlk188003131"/>
      <w:r>
        <w:rPr>
          <w:rFonts w:ascii="Arial" w:hAnsi="Arial" w:cs="Arial"/>
          <w:bCs/>
          <w:iCs/>
          <w:kern w:val="28"/>
          <w:sz w:val="36"/>
        </w:rPr>
        <w:t xml:space="preserve">Assessment of </w:t>
      </w:r>
      <w:r w:rsidRPr="007A06B8">
        <w:rPr>
          <w:rFonts w:ascii="Arial" w:hAnsi="Arial" w:cs="Arial"/>
          <w:bCs/>
          <w:iCs/>
          <w:kern w:val="28"/>
          <w:sz w:val="36"/>
        </w:rPr>
        <w:t>Protective</w:t>
      </w:r>
      <w:r>
        <w:rPr>
          <w:rFonts w:ascii="Arial" w:hAnsi="Arial" w:cs="Arial"/>
          <w:bCs/>
          <w:iCs/>
          <w:kern w:val="28"/>
          <w:sz w:val="36"/>
        </w:rPr>
        <w:t xml:space="preserve"> and Therapeutic</w:t>
      </w:r>
      <w:r w:rsidRPr="007A06B8">
        <w:rPr>
          <w:rFonts w:ascii="Arial" w:hAnsi="Arial" w:cs="Arial"/>
          <w:bCs/>
          <w:iCs/>
          <w:kern w:val="28"/>
          <w:sz w:val="36"/>
        </w:rPr>
        <w:t xml:space="preserve"> Effect</w:t>
      </w:r>
      <w:r>
        <w:rPr>
          <w:rFonts w:ascii="Arial" w:hAnsi="Arial" w:cs="Arial"/>
          <w:bCs/>
          <w:iCs/>
          <w:kern w:val="28"/>
          <w:sz w:val="36"/>
        </w:rPr>
        <w:t>s</w:t>
      </w:r>
      <w:r w:rsidRPr="007A06B8">
        <w:rPr>
          <w:rFonts w:ascii="Arial" w:hAnsi="Arial" w:cs="Arial"/>
          <w:bCs/>
          <w:iCs/>
          <w:kern w:val="28"/>
          <w:sz w:val="36"/>
        </w:rPr>
        <w:t xml:space="preserve"> of Green Tea and Honey on Atrazine-Induced Nephrotoxicity in Albino Wistar Rats</w:t>
      </w:r>
    </w:p>
    <w:bookmarkEnd w:id="0"/>
    <w:p w14:paraId="302A5878" w14:textId="77777777" w:rsidR="00A258C3" w:rsidRPr="00790ADA" w:rsidRDefault="00A258C3" w:rsidP="00441B6F">
      <w:pPr>
        <w:pStyle w:val="Author"/>
        <w:spacing w:line="240" w:lineRule="auto"/>
        <w:jc w:val="both"/>
        <w:rPr>
          <w:rFonts w:ascii="Arial" w:hAnsi="Arial" w:cs="Arial"/>
          <w:sz w:val="36"/>
        </w:rPr>
      </w:pPr>
    </w:p>
    <w:p w14:paraId="7113F526" w14:textId="77777777" w:rsidR="00790ADA" w:rsidRDefault="00790ADA" w:rsidP="00441B6F">
      <w:pPr>
        <w:pStyle w:val="Affiliation"/>
        <w:spacing w:after="0" w:line="240" w:lineRule="auto"/>
        <w:jc w:val="both"/>
        <w:rPr>
          <w:rFonts w:ascii="Arial" w:hAnsi="Arial" w:cs="Arial"/>
        </w:rPr>
      </w:pPr>
    </w:p>
    <w:p w14:paraId="7053B1B7" w14:textId="77777777" w:rsidR="00281EEA" w:rsidRDefault="00281EEA" w:rsidP="00441B6F">
      <w:pPr>
        <w:pStyle w:val="Affiliation"/>
        <w:spacing w:after="0" w:line="240" w:lineRule="auto"/>
        <w:jc w:val="both"/>
        <w:rPr>
          <w:rFonts w:ascii="Arial" w:hAnsi="Arial" w:cs="Arial"/>
        </w:rPr>
      </w:pPr>
    </w:p>
    <w:p w14:paraId="7EE5F27F" w14:textId="77777777" w:rsidR="00281EEA" w:rsidRDefault="00281EEA" w:rsidP="00441B6F">
      <w:pPr>
        <w:pStyle w:val="Affiliation"/>
        <w:spacing w:after="0" w:line="240" w:lineRule="auto"/>
        <w:jc w:val="both"/>
        <w:rPr>
          <w:rFonts w:ascii="Arial" w:hAnsi="Arial" w:cs="Arial"/>
        </w:rPr>
      </w:pPr>
    </w:p>
    <w:p w14:paraId="0371CC46" w14:textId="77777777" w:rsidR="00B01FCD" w:rsidRPr="00FB3A86" w:rsidRDefault="002D2997" w:rsidP="00441B6F">
      <w:pPr>
        <w:pStyle w:val="Copyright"/>
        <w:spacing w:after="0" w:line="240" w:lineRule="auto"/>
        <w:jc w:val="both"/>
        <w:rPr>
          <w:rFonts w:ascii="Arial" w:hAnsi="Arial" w:cs="Arial"/>
        </w:rPr>
        <w:sectPr w:rsidR="00B01FCD" w:rsidRPr="00FB3A86" w:rsidSect="00281E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C5D6F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" strokeweight="1.5pt">
                <o:lock v:ext="edit" shapetype="f"/>
                <w10:anchorlock/>
              </v:shape>
            </w:pict>
          </mc:Fallback>
        </mc:AlternateContent>
      </w:r>
      <w:r w:rsidR="00FB3A86">
        <w:rPr>
          <w:rFonts w:ascii="Arial" w:hAnsi="Arial" w:cs="Arial"/>
        </w:rPr>
        <w:t>.</w:t>
      </w:r>
    </w:p>
    <w:p w14:paraId="3FB65C1E" w14:textId="411D9901" w:rsidR="00B01FCD" w:rsidRDefault="00B01FCD" w:rsidP="00441B6F">
      <w:pPr>
        <w:pStyle w:val="AbstHead"/>
        <w:spacing w:after="0"/>
        <w:jc w:val="both"/>
        <w:rPr>
          <w:rFonts w:ascii="Arial" w:hAnsi="Arial" w:cs="Arial"/>
        </w:rPr>
      </w:pPr>
      <w:r w:rsidRPr="00FB3A86">
        <w:rPr>
          <w:rFonts w:ascii="Arial" w:hAnsi="Arial" w:cs="Arial"/>
        </w:rPr>
        <w:t>ABSTRACT</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9CAF49" w14:textId="77777777" w:rsidTr="001E44FE">
        <w:tc>
          <w:tcPr>
            <w:tcW w:w="9576" w:type="dxa"/>
            <w:shd w:val="clear" w:color="auto" w:fill="F2F2F2"/>
          </w:tcPr>
          <w:p w14:paraId="770E33D3" w14:textId="3FB8385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E512AD">
              <w:rPr>
                <w:rFonts w:ascii="Arial" w:eastAsia="Calibri" w:hAnsi="Arial" w:cs="Arial"/>
                <w:szCs w:val="22"/>
              </w:rPr>
              <w:t>To assess</w:t>
            </w:r>
            <w:r w:rsidR="00E512AD" w:rsidRPr="00E512AD">
              <w:rPr>
                <w:rFonts w:ascii="Arial" w:eastAsia="Calibri" w:hAnsi="Arial" w:cs="Arial"/>
                <w:szCs w:val="22"/>
              </w:rPr>
              <w:t xml:space="preserve"> the effect of green tea and honey on atrazine induced nephrotoxicity in albino Wistar rats.</w:t>
            </w:r>
          </w:p>
          <w:p w14:paraId="76E71B5D" w14:textId="66884E2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E512AD" w:rsidRPr="00BA1B01">
              <w:rPr>
                <w:rFonts w:ascii="Arial" w:eastAsia="Calibri" w:hAnsi="Arial" w:cs="Arial"/>
                <w:b/>
                <w:szCs w:val="22"/>
              </w:rPr>
              <w:t>:</w:t>
            </w:r>
            <w:r w:rsidR="00E512AD" w:rsidRPr="00BA1B01">
              <w:rPr>
                <w:rFonts w:ascii="Arial" w:eastAsia="Calibri" w:hAnsi="Arial" w:cs="Arial"/>
                <w:szCs w:val="22"/>
              </w:rPr>
              <w:t xml:space="preserve"> Experimental</w:t>
            </w:r>
            <w:r w:rsidR="00E512AD">
              <w:rPr>
                <w:rFonts w:ascii="Arial" w:eastAsia="Calibri" w:hAnsi="Arial" w:cs="Arial"/>
                <w:szCs w:val="22"/>
              </w:rPr>
              <w:t xml:space="preserve"> study</w:t>
            </w:r>
          </w:p>
          <w:p w14:paraId="1B11A66A" w14:textId="7DFC7F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512AD" w:rsidRPr="00BA1B01">
              <w:rPr>
                <w:rFonts w:ascii="Arial" w:eastAsia="Calibri" w:hAnsi="Arial" w:cs="Arial"/>
                <w:szCs w:val="22"/>
              </w:rPr>
              <w:t xml:space="preserve">Department of </w:t>
            </w:r>
            <w:r w:rsidR="00E512AD">
              <w:rPr>
                <w:rFonts w:ascii="Arial" w:eastAsia="Calibri" w:hAnsi="Arial" w:cs="Arial"/>
                <w:szCs w:val="22"/>
              </w:rPr>
              <w:t>Clinical Chemistry and Department of Anatomy, Rivers State University, Port Harcourt,</w:t>
            </w:r>
            <w:r w:rsidR="00E512AD" w:rsidRPr="00BA1B01">
              <w:rPr>
                <w:rFonts w:ascii="Arial" w:eastAsia="Calibri" w:hAnsi="Arial" w:cs="Arial"/>
                <w:szCs w:val="22"/>
              </w:rPr>
              <w:t xml:space="preserve"> between </w:t>
            </w:r>
            <w:r w:rsidR="00E512AD">
              <w:rPr>
                <w:rFonts w:ascii="Arial" w:eastAsia="Calibri" w:hAnsi="Arial" w:cs="Arial"/>
                <w:szCs w:val="22"/>
              </w:rPr>
              <w:t>August</w:t>
            </w:r>
            <w:r w:rsidR="00E512AD" w:rsidRPr="00BA1B01">
              <w:rPr>
                <w:rFonts w:ascii="Arial" w:eastAsia="Calibri" w:hAnsi="Arial" w:cs="Arial"/>
                <w:szCs w:val="22"/>
              </w:rPr>
              <w:t xml:space="preserve"> 20</w:t>
            </w:r>
            <w:r w:rsidR="00E512AD">
              <w:rPr>
                <w:rFonts w:ascii="Arial" w:eastAsia="Calibri" w:hAnsi="Arial" w:cs="Arial"/>
                <w:szCs w:val="22"/>
              </w:rPr>
              <w:t>24</w:t>
            </w:r>
            <w:r w:rsidR="00E512AD" w:rsidRPr="00BA1B01">
              <w:rPr>
                <w:rFonts w:ascii="Arial" w:eastAsia="Calibri" w:hAnsi="Arial" w:cs="Arial"/>
                <w:szCs w:val="22"/>
              </w:rPr>
              <w:t xml:space="preserve"> and </w:t>
            </w:r>
            <w:r w:rsidR="00E512AD">
              <w:rPr>
                <w:rFonts w:ascii="Arial" w:eastAsia="Calibri" w:hAnsi="Arial" w:cs="Arial"/>
                <w:szCs w:val="22"/>
              </w:rPr>
              <w:t>December</w:t>
            </w:r>
            <w:r w:rsidR="00E512AD" w:rsidRPr="00BA1B01">
              <w:rPr>
                <w:rFonts w:ascii="Arial" w:eastAsia="Calibri" w:hAnsi="Arial" w:cs="Arial"/>
                <w:szCs w:val="22"/>
              </w:rPr>
              <w:t xml:space="preserve"> 20</w:t>
            </w:r>
            <w:r w:rsidR="00E512AD">
              <w:rPr>
                <w:rFonts w:ascii="Arial" w:eastAsia="Calibri" w:hAnsi="Arial" w:cs="Arial"/>
                <w:szCs w:val="22"/>
              </w:rPr>
              <w:t>24</w:t>
            </w:r>
            <w:r w:rsidR="00E512AD" w:rsidRPr="00BA1B01">
              <w:rPr>
                <w:rFonts w:ascii="Arial" w:eastAsia="Calibri" w:hAnsi="Arial" w:cs="Arial"/>
                <w:szCs w:val="22"/>
              </w:rPr>
              <w:t>.</w:t>
            </w:r>
          </w:p>
          <w:p w14:paraId="0F29EC14" w14:textId="643CE7F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512AD" w:rsidRPr="00E22FE8">
              <w:rPr>
                <w:rFonts w:ascii="Arial" w:eastAsia="Calibri" w:hAnsi="Arial" w:cs="Arial"/>
                <w:szCs w:val="22"/>
                <w:highlight w:val="yellow"/>
              </w:rPr>
              <w:t>Thirty (30) rats both male and female</w:t>
            </w:r>
            <w:r w:rsidR="00F13669" w:rsidRPr="00E22FE8">
              <w:rPr>
                <w:rFonts w:ascii="Arial" w:eastAsia="Calibri" w:hAnsi="Arial" w:cs="Arial"/>
                <w:szCs w:val="22"/>
                <w:highlight w:val="yellow"/>
              </w:rPr>
              <w:t xml:space="preserve"> averagely</w:t>
            </w:r>
            <w:r w:rsidR="00E512AD" w:rsidRPr="00E22FE8">
              <w:rPr>
                <w:rFonts w:ascii="Arial" w:eastAsia="Calibri" w:hAnsi="Arial" w:cs="Arial"/>
                <w:szCs w:val="22"/>
                <w:highlight w:val="yellow"/>
              </w:rPr>
              <w:t xml:space="preserve"> weighing between 150-250g were randomly divided into six (6) groups of five rats each </w:t>
            </w:r>
            <w:r w:rsidR="00F13669" w:rsidRPr="00E22FE8">
              <w:rPr>
                <w:rFonts w:ascii="Arial" w:eastAsia="Calibri" w:hAnsi="Arial" w:cs="Arial"/>
                <w:szCs w:val="22"/>
                <w:highlight w:val="yellow"/>
              </w:rPr>
              <w:t xml:space="preserve">and </w:t>
            </w:r>
            <w:r w:rsidR="00E512AD" w:rsidRPr="00E22FE8">
              <w:rPr>
                <w:rFonts w:ascii="Arial" w:eastAsia="Calibri" w:hAnsi="Arial" w:cs="Arial"/>
                <w:szCs w:val="22"/>
                <w:highlight w:val="yellow"/>
              </w:rPr>
              <w:t>acclimatize</w:t>
            </w:r>
            <w:r w:rsidR="00F13669" w:rsidRPr="00E22FE8">
              <w:rPr>
                <w:rFonts w:ascii="Arial" w:eastAsia="Calibri" w:hAnsi="Arial" w:cs="Arial"/>
                <w:szCs w:val="22"/>
                <w:highlight w:val="yellow"/>
              </w:rPr>
              <w:t>d</w:t>
            </w:r>
            <w:r w:rsidR="00E512AD" w:rsidRPr="00E22FE8">
              <w:rPr>
                <w:rFonts w:ascii="Arial" w:eastAsia="Calibri" w:hAnsi="Arial" w:cs="Arial"/>
                <w:szCs w:val="22"/>
                <w:highlight w:val="yellow"/>
              </w:rPr>
              <w:t xml:space="preserve"> for 14 days. Group </w:t>
            </w:r>
            <w:r w:rsidR="004B7E2A" w:rsidRPr="00E22FE8">
              <w:rPr>
                <w:rFonts w:ascii="Arial" w:eastAsia="Calibri" w:hAnsi="Arial" w:cs="Arial"/>
                <w:szCs w:val="22"/>
                <w:highlight w:val="yellow"/>
              </w:rPr>
              <w:t>1</w:t>
            </w:r>
            <w:r w:rsidR="00F13669" w:rsidRPr="00E22FE8">
              <w:rPr>
                <w:rFonts w:ascii="Arial" w:eastAsia="Calibri" w:hAnsi="Arial" w:cs="Arial"/>
                <w:szCs w:val="22"/>
                <w:highlight w:val="yellow"/>
              </w:rPr>
              <w:t xml:space="preserve"> (negative control, were allowed rat feed and water </w:t>
            </w:r>
            <w:r w:rsidR="00F13669" w:rsidRPr="00E22FE8">
              <w:rPr>
                <w:rFonts w:ascii="Arial" w:eastAsia="Calibri" w:hAnsi="Arial" w:cs="Arial"/>
                <w:i/>
                <w:iCs/>
                <w:szCs w:val="22"/>
                <w:highlight w:val="yellow"/>
              </w:rPr>
              <w:t>ad libitum</w:t>
            </w:r>
            <w:r w:rsidR="00F13669" w:rsidRPr="00E22FE8">
              <w:rPr>
                <w:rFonts w:ascii="Arial" w:eastAsia="Calibri" w:hAnsi="Arial" w:cs="Arial"/>
                <w:szCs w:val="22"/>
                <w:highlight w:val="yellow"/>
              </w:rPr>
              <w:t xml:space="preserve">), </w:t>
            </w:r>
            <w:r w:rsidR="00E512AD" w:rsidRPr="00E22FE8">
              <w:rPr>
                <w:rFonts w:ascii="Arial" w:eastAsia="Calibri" w:hAnsi="Arial" w:cs="Arial"/>
                <w:szCs w:val="22"/>
                <w:highlight w:val="yellow"/>
              </w:rPr>
              <w:t>group II</w:t>
            </w:r>
            <w:r w:rsidR="00F13669" w:rsidRPr="00E22FE8">
              <w:rPr>
                <w:rFonts w:ascii="Arial" w:eastAsia="Calibri" w:hAnsi="Arial" w:cs="Arial"/>
                <w:szCs w:val="22"/>
                <w:highlight w:val="yellow"/>
              </w:rPr>
              <w:t xml:space="preserve"> (positive control, received oral administration of 0.23ml Atrazine orally),</w:t>
            </w:r>
            <w:r w:rsidR="00E512AD" w:rsidRPr="00E22FE8">
              <w:rPr>
                <w:rFonts w:ascii="Arial" w:eastAsia="Calibri" w:hAnsi="Arial" w:cs="Arial"/>
                <w:szCs w:val="22"/>
                <w:highlight w:val="yellow"/>
              </w:rPr>
              <w:t xml:space="preserve"> group III</w:t>
            </w:r>
            <w:r w:rsidR="00F13669" w:rsidRPr="00E22FE8">
              <w:rPr>
                <w:rFonts w:ascii="Arial" w:eastAsia="Calibri" w:hAnsi="Arial" w:cs="Arial"/>
                <w:szCs w:val="22"/>
                <w:highlight w:val="yellow"/>
              </w:rPr>
              <w:t xml:space="preserve"> (received 0.23ml of 100mg/kg of atrazine and 0.2ml of 50mg/kg)</w:t>
            </w:r>
            <w:r w:rsidR="00882F8B"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group IV</w:t>
            </w:r>
            <w:r w:rsidR="00F13669" w:rsidRPr="00E22FE8">
              <w:rPr>
                <w:rFonts w:ascii="Arial" w:eastAsia="Calibri" w:hAnsi="Arial" w:cs="Arial"/>
                <w:szCs w:val="22"/>
                <w:highlight w:val="yellow"/>
              </w:rPr>
              <w:t xml:space="preserve"> (received 0.23ml of 100mg/kg of atrazine and 0.9ml of 200mg/kg)</w:t>
            </w:r>
            <w:r w:rsidR="00882F8B"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group V </w:t>
            </w:r>
            <w:r w:rsidR="00F13669" w:rsidRPr="00E22FE8">
              <w:rPr>
                <w:rFonts w:ascii="Arial" w:eastAsia="Calibri" w:hAnsi="Arial" w:cs="Arial"/>
                <w:szCs w:val="22"/>
                <w:highlight w:val="yellow"/>
              </w:rPr>
              <w:t>(received 0.23ml of 100mg/kg of atrazine, 0.5ml of 100mg/kg of green tea and 10% honey solution at 0.7ml)</w:t>
            </w:r>
            <w:r w:rsidR="00882F8B" w:rsidRPr="00E22FE8">
              <w:rPr>
                <w:rFonts w:ascii="Arial" w:eastAsia="Calibri" w:hAnsi="Arial" w:cs="Arial"/>
                <w:szCs w:val="22"/>
                <w:highlight w:val="yellow"/>
              </w:rPr>
              <w:t>,</w:t>
            </w:r>
            <w:r w:rsidR="00F13669" w:rsidRPr="00E22FE8">
              <w:rPr>
                <w:rFonts w:ascii="Arial" w:eastAsia="Calibri" w:hAnsi="Arial" w:cs="Arial"/>
                <w:szCs w:val="22"/>
                <w:highlight w:val="yellow"/>
              </w:rPr>
              <w:t xml:space="preserve"> </w:t>
            </w:r>
            <w:r w:rsidR="00E512AD" w:rsidRPr="00E22FE8">
              <w:rPr>
                <w:rFonts w:ascii="Arial" w:eastAsia="Calibri" w:hAnsi="Arial" w:cs="Arial"/>
                <w:szCs w:val="22"/>
                <w:highlight w:val="yellow"/>
              </w:rPr>
              <w:t xml:space="preserve">group VI </w:t>
            </w:r>
            <w:r w:rsidR="00F13669" w:rsidRPr="00E22FE8">
              <w:rPr>
                <w:rFonts w:ascii="Arial" w:eastAsia="Calibri" w:hAnsi="Arial" w:cs="Arial"/>
                <w:szCs w:val="22"/>
                <w:highlight w:val="yellow"/>
              </w:rPr>
              <w:t xml:space="preserve"> (received 0.23ml of 100mg/kg of atrazine after 15 days of administering 10% honey solution at 0.7ml)</w:t>
            </w:r>
            <w:r w:rsidR="00E512AD" w:rsidRPr="00E22FE8">
              <w:rPr>
                <w:rFonts w:ascii="Arial" w:eastAsia="Calibri" w:hAnsi="Arial" w:cs="Arial"/>
                <w:szCs w:val="22"/>
                <w:highlight w:val="yellow"/>
              </w:rPr>
              <w:t>.</w:t>
            </w:r>
            <w:r w:rsidR="00882F8B" w:rsidRPr="00E22FE8">
              <w:rPr>
                <w:rFonts w:ascii="Arial" w:eastAsia="Calibri" w:hAnsi="Arial" w:cs="Arial"/>
                <w:szCs w:val="22"/>
                <w:highlight w:val="yellow"/>
              </w:rPr>
              <w:t xml:space="preserve"> All treatments were done once daily for 15 days.</w:t>
            </w:r>
            <w:r w:rsidR="00E512AD" w:rsidRPr="00E512AD">
              <w:rPr>
                <w:rFonts w:ascii="Arial" w:eastAsia="Calibri" w:hAnsi="Arial" w:cs="Arial"/>
                <w:szCs w:val="22"/>
              </w:rPr>
              <w:t xml:space="preserve"> </w:t>
            </w:r>
            <w:r w:rsidR="00E22FE8" w:rsidRPr="00E22FE8">
              <w:rPr>
                <w:rFonts w:ascii="Arial" w:eastAsia="Calibri" w:hAnsi="Arial" w:cs="Arial"/>
                <w:szCs w:val="22"/>
                <w:highlight w:val="yellow"/>
              </w:rPr>
              <w:t>At the end of 15 days, t</w:t>
            </w:r>
            <w:r w:rsidR="00E512AD" w:rsidRPr="00E22FE8">
              <w:rPr>
                <w:rFonts w:ascii="Arial" w:eastAsia="Calibri" w:hAnsi="Arial" w:cs="Arial"/>
                <w:szCs w:val="22"/>
                <w:highlight w:val="yellow"/>
              </w:rPr>
              <w:t xml:space="preserve">he rats were </w:t>
            </w:r>
            <w:r w:rsidR="00E22FE8" w:rsidRPr="00E22FE8">
              <w:rPr>
                <w:rFonts w:ascii="Arial" w:eastAsia="Calibri" w:hAnsi="Arial" w:cs="Arial"/>
                <w:szCs w:val="22"/>
                <w:highlight w:val="yellow"/>
              </w:rPr>
              <w:t xml:space="preserve">anaesthetized </w:t>
            </w:r>
            <w:r w:rsidR="00E512AD" w:rsidRPr="00E22FE8">
              <w:rPr>
                <w:rFonts w:ascii="Arial" w:eastAsia="Calibri" w:hAnsi="Arial" w:cs="Arial"/>
                <w:szCs w:val="22"/>
                <w:highlight w:val="yellow"/>
              </w:rPr>
              <w:t>using chloroform and 2ml</w:t>
            </w:r>
            <w:r w:rsidR="00E22FE8" w:rsidRPr="00E22FE8">
              <w:rPr>
                <w:rFonts w:ascii="Arial" w:eastAsia="Calibri" w:hAnsi="Arial" w:cs="Arial"/>
                <w:szCs w:val="22"/>
                <w:highlight w:val="yellow"/>
              </w:rPr>
              <w:t xml:space="preserve"> of</w:t>
            </w:r>
            <w:r w:rsidR="00E512AD" w:rsidRPr="00E22FE8">
              <w:rPr>
                <w:rFonts w:ascii="Arial" w:eastAsia="Calibri" w:hAnsi="Arial" w:cs="Arial"/>
                <w:szCs w:val="22"/>
                <w:highlight w:val="yellow"/>
              </w:rPr>
              <w:t xml:space="preserve"> blood </w:t>
            </w:r>
            <w:r w:rsidR="00E22FE8" w:rsidRPr="00E22FE8">
              <w:rPr>
                <w:rFonts w:ascii="Arial" w:eastAsia="Calibri" w:hAnsi="Arial" w:cs="Arial"/>
                <w:szCs w:val="22"/>
                <w:highlight w:val="yellow"/>
              </w:rPr>
              <w:t>was</w:t>
            </w:r>
            <w:r w:rsidR="00E512AD" w:rsidRPr="00E22FE8">
              <w:rPr>
                <w:rFonts w:ascii="Arial" w:eastAsia="Calibri" w:hAnsi="Arial" w:cs="Arial"/>
                <w:szCs w:val="22"/>
                <w:highlight w:val="yellow"/>
              </w:rPr>
              <w:t xml:space="preserve"> collected</w:t>
            </w:r>
            <w:r w:rsidR="00E22FE8" w:rsidRPr="00E22FE8">
              <w:rPr>
                <w:rFonts w:ascii="Arial" w:eastAsia="Calibri" w:hAnsi="Arial" w:cs="Arial"/>
                <w:szCs w:val="22"/>
                <w:highlight w:val="yellow"/>
              </w:rPr>
              <w:t xml:space="preserve"> from</w:t>
            </w:r>
            <w:r w:rsidR="00E512AD" w:rsidRPr="00E22FE8">
              <w:rPr>
                <w:rFonts w:ascii="Arial" w:eastAsia="Calibri" w:hAnsi="Arial" w:cs="Arial"/>
                <w:szCs w:val="22"/>
                <w:highlight w:val="yellow"/>
              </w:rPr>
              <w:t xml:space="preserve"> each through cardiac puncture after a fasting period of 24 hours</w:t>
            </w:r>
            <w:r w:rsidR="00E22FE8"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for the analysis of </w:t>
            </w:r>
            <w:r w:rsidR="00E22FE8" w:rsidRPr="00E22FE8">
              <w:rPr>
                <w:rFonts w:ascii="Arial" w:eastAsia="Calibri" w:hAnsi="Arial" w:cs="Arial"/>
                <w:szCs w:val="22"/>
                <w:highlight w:val="yellow"/>
              </w:rPr>
              <w:t>s</w:t>
            </w:r>
            <w:r w:rsidR="00E512AD" w:rsidRPr="00E22FE8">
              <w:rPr>
                <w:rFonts w:ascii="Arial" w:eastAsia="Calibri" w:hAnsi="Arial" w:cs="Arial"/>
                <w:szCs w:val="22"/>
                <w:highlight w:val="yellow"/>
              </w:rPr>
              <w:t xml:space="preserve">odium, </w:t>
            </w:r>
            <w:r w:rsidR="00E22FE8" w:rsidRPr="00E22FE8">
              <w:rPr>
                <w:rFonts w:ascii="Arial" w:eastAsia="Calibri" w:hAnsi="Arial" w:cs="Arial"/>
                <w:szCs w:val="22"/>
                <w:highlight w:val="yellow"/>
              </w:rPr>
              <w:t>p</w:t>
            </w:r>
            <w:r w:rsidR="00E512AD" w:rsidRPr="00E22FE8">
              <w:rPr>
                <w:rFonts w:ascii="Arial" w:eastAsia="Calibri" w:hAnsi="Arial" w:cs="Arial"/>
                <w:szCs w:val="22"/>
                <w:highlight w:val="yellow"/>
              </w:rPr>
              <w:t xml:space="preserve">otassium, </w:t>
            </w:r>
            <w:r w:rsidR="00E22FE8" w:rsidRPr="00E22FE8">
              <w:rPr>
                <w:rFonts w:ascii="Arial" w:eastAsia="Calibri" w:hAnsi="Arial" w:cs="Arial"/>
                <w:szCs w:val="22"/>
                <w:highlight w:val="yellow"/>
              </w:rPr>
              <w:t>c</w:t>
            </w:r>
            <w:r w:rsidR="00E512AD" w:rsidRPr="00E22FE8">
              <w:rPr>
                <w:rFonts w:ascii="Arial" w:eastAsia="Calibri" w:hAnsi="Arial" w:cs="Arial"/>
                <w:szCs w:val="22"/>
                <w:highlight w:val="yellow"/>
              </w:rPr>
              <w:t xml:space="preserve">hloride, and </w:t>
            </w:r>
            <w:r w:rsidR="00E22FE8" w:rsidRPr="00E22FE8">
              <w:rPr>
                <w:rFonts w:ascii="Arial" w:eastAsia="Calibri" w:hAnsi="Arial" w:cs="Arial"/>
                <w:szCs w:val="22"/>
                <w:highlight w:val="yellow"/>
              </w:rPr>
              <w:t>b</w:t>
            </w:r>
            <w:r w:rsidR="00E512AD" w:rsidRPr="00E22FE8">
              <w:rPr>
                <w:rFonts w:ascii="Arial" w:eastAsia="Calibri" w:hAnsi="Arial" w:cs="Arial"/>
                <w:szCs w:val="22"/>
                <w:highlight w:val="yellow"/>
              </w:rPr>
              <w:t>icarbonate</w:t>
            </w:r>
            <w:r w:rsidR="00E22FE8" w:rsidRPr="00E22FE8">
              <w:rPr>
                <w:rFonts w:ascii="Arial" w:eastAsia="Calibri" w:hAnsi="Arial" w:cs="Arial"/>
                <w:szCs w:val="22"/>
                <w:highlight w:val="yellow"/>
              </w:rPr>
              <w:t>, using enzymatic method, and</w:t>
            </w:r>
            <w:r w:rsidR="00E512AD" w:rsidRPr="00E22FE8">
              <w:rPr>
                <w:rFonts w:ascii="Arial" w:eastAsia="Calibri" w:hAnsi="Arial" w:cs="Arial"/>
                <w:szCs w:val="22"/>
                <w:highlight w:val="yellow"/>
              </w:rPr>
              <w:t xml:space="preserve"> </w:t>
            </w:r>
            <w:r w:rsidR="00E22FE8" w:rsidRPr="00E22FE8">
              <w:rPr>
                <w:rFonts w:ascii="Arial" w:eastAsia="Calibri" w:hAnsi="Arial" w:cs="Arial"/>
                <w:szCs w:val="22"/>
                <w:highlight w:val="yellow"/>
              </w:rPr>
              <w:t>u</w:t>
            </w:r>
            <w:r w:rsidR="00E512AD" w:rsidRPr="00E22FE8">
              <w:rPr>
                <w:rFonts w:ascii="Arial" w:eastAsia="Calibri" w:hAnsi="Arial" w:cs="Arial"/>
                <w:szCs w:val="22"/>
                <w:highlight w:val="yellow"/>
              </w:rPr>
              <w:t xml:space="preserve">rea and </w:t>
            </w:r>
            <w:r w:rsidR="00E22FE8" w:rsidRPr="00E22FE8">
              <w:rPr>
                <w:rFonts w:ascii="Arial" w:eastAsia="Calibri" w:hAnsi="Arial" w:cs="Arial"/>
                <w:szCs w:val="22"/>
                <w:highlight w:val="yellow"/>
              </w:rPr>
              <w:t>creatinine,</w:t>
            </w:r>
            <w:r w:rsidR="00E512AD" w:rsidRPr="00E22FE8">
              <w:rPr>
                <w:rFonts w:ascii="Arial" w:eastAsia="Calibri" w:hAnsi="Arial" w:cs="Arial"/>
                <w:szCs w:val="22"/>
                <w:highlight w:val="yellow"/>
              </w:rPr>
              <w:t xml:space="preserve"> using spectrophotometric method. GraphPad Prism Version 10.0 was used for data analysis with statistical tools such as mean, standard deviation (SD), Analysis of Variance (ANOVA) and Tukey’s multiple comparison test</w:t>
            </w:r>
            <w:r w:rsidR="00E22FE8"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and p&lt;0.05 was regarded to be statistically significant.</w:t>
            </w:r>
          </w:p>
          <w:p w14:paraId="56527E40" w14:textId="17F03C0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512AD" w:rsidRPr="004B7E2A">
              <w:rPr>
                <w:rFonts w:ascii="Arial" w:eastAsia="Calibri" w:hAnsi="Arial" w:cs="Arial"/>
                <w:szCs w:val="22"/>
                <w:highlight w:val="yellow"/>
              </w:rPr>
              <w:t>The results showed a significant difference in</w:t>
            </w:r>
            <w:r w:rsidR="004B7E2A" w:rsidRPr="004B7E2A">
              <w:rPr>
                <w:rFonts w:ascii="Arial" w:eastAsia="Calibri" w:hAnsi="Arial" w:cs="Arial"/>
                <w:szCs w:val="22"/>
                <w:highlight w:val="yellow"/>
              </w:rPr>
              <w:t xml:space="preserve"> u</w:t>
            </w:r>
            <w:r w:rsidR="00E512AD" w:rsidRPr="004B7E2A">
              <w:rPr>
                <w:rFonts w:ascii="Arial" w:eastAsia="Calibri" w:hAnsi="Arial" w:cs="Arial"/>
                <w:szCs w:val="22"/>
                <w:highlight w:val="yellow"/>
              </w:rPr>
              <w:t xml:space="preserve">rea </w:t>
            </w:r>
            <w:r w:rsidR="004B7E2A" w:rsidRPr="004B7E2A">
              <w:rPr>
                <w:rFonts w:ascii="Arial" w:eastAsia="Calibri" w:hAnsi="Arial" w:cs="Arial"/>
                <w:szCs w:val="22"/>
                <w:highlight w:val="yellow"/>
              </w:rPr>
              <w:t>(p</w:t>
            </w:r>
            <w:r w:rsidR="00E512AD" w:rsidRPr="004B7E2A">
              <w:rPr>
                <w:rFonts w:ascii="Arial" w:eastAsia="Calibri" w:hAnsi="Arial" w:cs="Arial"/>
                <w:szCs w:val="22"/>
                <w:highlight w:val="yellow"/>
              </w:rPr>
              <w:t xml:space="preserve">=0.0001) and </w:t>
            </w:r>
            <w:r w:rsidR="004B7E2A" w:rsidRPr="004B7E2A">
              <w:rPr>
                <w:rFonts w:ascii="Arial" w:eastAsia="Calibri" w:hAnsi="Arial" w:cs="Arial"/>
                <w:szCs w:val="22"/>
                <w:highlight w:val="yellow"/>
              </w:rPr>
              <w:t>c</w:t>
            </w:r>
            <w:r w:rsidR="00E512AD" w:rsidRPr="004B7E2A">
              <w:rPr>
                <w:rFonts w:ascii="Arial" w:eastAsia="Calibri" w:hAnsi="Arial" w:cs="Arial"/>
                <w:szCs w:val="22"/>
                <w:highlight w:val="yellow"/>
              </w:rPr>
              <w:t xml:space="preserve">reatinine </w:t>
            </w:r>
            <w:r w:rsidR="004B7E2A" w:rsidRPr="004B7E2A">
              <w:rPr>
                <w:rFonts w:ascii="Arial" w:eastAsia="Calibri" w:hAnsi="Arial" w:cs="Arial"/>
                <w:szCs w:val="22"/>
                <w:highlight w:val="yellow"/>
              </w:rPr>
              <w:t>(p</w:t>
            </w:r>
            <w:r w:rsidR="00E512AD" w:rsidRPr="004B7E2A">
              <w:rPr>
                <w:rFonts w:ascii="Arial" w:eastAsia="Calibri" w:hAnsi="Arial" w:cs="Arial"/>
                <w:szCs w:val="22"/>
                <w:highlight w:val="yellow"/>
              </w:rPr>
              <w:t>=0.</w:t>
            </w:r>
            <w:r w:rsidR="00E512AD" w:rsidRPr="00F13669">
              <w:rPr>
                <w:rFonts w:ascii="Arial" w:eastAsia="Calibri" w:hAnsi="Arial" w:cs="Arial"/>
                <w:szCs w:val="22"/>
                <w:highlight w:val="yellow"/>
              </w:rPr>
              <w:t>0001)</w:t>
            </w:r>
            <w:r w:rsidR="004B7E2A" w:rsidRPr="00F13669">
              <w:rPr>
                <w:rFonts w:ascii="Arial" w:eastAsia="Calibri" w:hAnsi="Arial" w:cs="Arial"/>
                <w:szCs w:val="22"/>
                <w:highlight w:val="yellow"/>
              </w:rPr>
              <w:t>. The</w:t>
            </w:r>
            <w:r w:rsidR="00E512AD" w:rsidRPr="00F13669">
              <w:rPr>
                <w:rFonts w:ascii="Arial" w:eastAsia="Calibri" w:hAnsi="Arial" w:cs="Arial"/>
                <w:szCs w:val="22"/>
                <w:highlight w:val="yellow"/>
              </w:rPr>
              <w:t xml:space="preserve"> </w:t>
            </w:r>
            <w:r w:rsidR="004B7E2A" w:rsidRPr="00F13669">
              <w:rPr>
                <w:rFonts w:ascii="Arial" w:eastAsia="Calibri" w:hAnsi="Arial" w:cs="Arial"/>
                <w:szCs w:val="22"/>
                <w:highlight w:val="yellow"/>
              </w:rPr>
              <w:t>mean s</w:t>
            </w:r>
            <w:r w:rsidR="00E512AD" w:rsidRPr="00F13669">
              <w:rPr>
                <w:rFonts w:ascii="Arial" w:eastAsia="Calibri" w:hAnsi="Arial" w:cs="Arial"/>
                <w:szCs w:val="22"/>
                <w:highlight w:val="yellow"/>
              </w:rPr>
              <w:t>odium</w:t>
            </w:r>
            <w:r w:rsidR="004B7E2A" w:rsidRPr="00F13669">
              <w:rPr>
                <w:rFonts w:ascii="Arial" w:eastAsia="Calibri" w:hAnsi="Arial" w:cs="Arial"/>
                <w:szCs w:val="22"/>
                <w:highlight w:val="yellow"/>
              </w:rPr>
              <w:t xml:space="preserve"> (p&lt;0.0001), potassium (p&lt;0.0001), chloride (p=0.0138) and bicarbonate (p=0.0003)</w:t>
            </w:r>
            <w:r w:rsidR="00E512AD" w:rsidRPr="00F13669">
              <w:rPr>
                <w:rFonts w:ascii="Arial" w:eastAsia="Calibri" w:hAnsi="Arial" w:cs="Arial"/>
                <w:szCs w:val="22"/>
                <w:highlight w:val="yellow"/>
              </w:rPr>
              <w:t xml:space="preserve"> level</w:t>
            </w:r>
            <w:r w:rsidR="004B7E2A" w:rsidRPr="00F13669">
              <w:rPr>
                <w:rFonts w:ascii="Arial" w:eastAsia="Calibri" w:hAnsi="Arial" w:cs="Arial"/>
                <w:szCs w:val="22"/>
                <w:highlight w:val="yellow"/>
              </w:rPr>
              <w:t xml:space="preserve">s for all groups also showed a </w:t>
            </w:r>
            <w:r w:rsidR="00F13669" w:rsidRPr="00F13669">
              <w:rPr>
                <w:rFonts w:ascii="Arial" w:eastAsia="Calibri" w:hAnsi="Arial" w:cs="Arial"/>
                <w:szCs w:val="22"/>
                <w:highlight w:val="yellow"/>
              </w:rPr>
              <w:t>significant difference</w:t>
            </w:r>
            <w:r w:rsidR="004B7E2A" w:rsidRPr="00F13669">
              <w:rPr>
                <w:rFonts w:ascii="Arial" w:eastAsia="Calibri" w:hAnsi="Arial" w:cs="Arial"/>
                <w:szCs w:val="22"/>
                <w:highlight w:val="yellow"/>
              </w:rPr>
              <w:t xml:space="preserve"> when compared.</w:t>
            </w:r>
            <w:r w:rsidR="00E512AD" w:rsidRPr="00F13669">
              <w:rPr>
                <w:rFonts w:ascii="Arial" w:eastAsia="Calibri" w:hAnsi="Arial" w:cs="Arial"/>
                <w:szCs w:val="22"/>
                <w:highlight w:val="yellow"/>
              </w:rPr>
              <w:t xml:space="preserve"> in the treatment groups compared to the positive control group (group II).</w:t>
            </w:r>
          </w:p>
          <w:p w14:paraId="7901656B" w14:textId="53A611BA" w:rsidR="00505F06" w:rsidRPr="00BA1B01" w:rsidRDefault="00BA1B01" w:rsidP="00B911A2">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6307A" w:rsidRPr="0066307A">
              <w:rPr>
                <w:rFonts w:ascii="Arial" w:eastAsia="Calibri" w:hAnsi="Arial" w:cs="Arial"/>
                <w:szCs w:val="22"/>
              </w:rPr>
              <w:t xml:space="preserve">These results may suggest that green tea and honey </w:t>
            </w:r>
            <w:r w:rsidR="00C549D8" w:rsidRPr="0066307A">
              <w:rPr>
                <w:rFonts w:ascii="Arial" w:eastAsia="Calibri" w:hAnsi="Arial" w:cs="Arial"/>
                <w:szCs w:val="22"/>
              </w:rPr>
              <w:t>possess</w:t>
            </w:r>
            <w:r w:rsidR="0066307A" w:rsidRPr="0066307A">
              <w:rPr>
                <w:rFonts w:ascii="Arial" w:eastAsia="Calibri" w:hAnsi="Arial" w:cs="Arial"/>
                <w:szCs w:val="22"/>
              </w:rPr>
              <w:t xml:space="preserve"> the potential of ameliorating nephrotoxicity caused by Atrazine. Further related studies on the mechanisms of nephrotoxicity </w:t>
            </w:r>
            <w:r w:rsidR="00921BFE" w:rsidRPr="0066307A">
              <w:rPr>
                <w:rFonts w:ascii="Arial" w:eastAsia="Calibri" w:hAnsi="Arial" w:cs="Arial"/>
                <w:szCs w:val="22"/>
              </w:rPr>
              <w:t>are,</w:t>
            </w:r>
            <w:r w:rsidR="0066307A" w:rsidRPr="0066307A">
              <w:rPr>
                <w:rFonts w:ascii="Arial" w:eastAsia="Calibri" w:hAnsi="Arial" w:cs="Arial"/>
                <w:szCs w:val="22"/>
              </w:rPr>
              <w:t xml:space="preserve"> however, recommended.</w:t>
            </w:r>
          </w:p>
        </w:tc>
      </w:tr>
    </w:tbl>
    <w:p w14:paraId="789E02A9" w14:textId="000A607C" w:rsidR="00790ADA" w:rsidRDefault="00A24E7E" w:rsidP="00441B6F">
      <w:pPr>
        <w:pStyle w:val="Body"/>
        <w:spacing w:after="0"/>
        <w:rPr>
          <w:rFonts w:ascii="Arial" w:hAnsi="Arial" w:cs="Arial"/>
          <w:i/>
        </w:rPr>
      </w:pPr>
      <w:r>
        <w:rPr>
          <w:rFonts w:ascii="Arial" w:hAnsi="Arial" w:cs="Arial"/>
          <w:i/>
        </w:rPr>
        <w:t xml:space="preserve">Keywords: </w:t>
      </w:r>
      <w:r w:rsidR="00A310DF" w:rsidRPr="00A310DF">
        <w:rPr>
          <w:rFonts w:ascii="Arial" w:hAnsi="Arial" w:cs="Arial"/>
          <w:i/>
        </w:rPr>
        <w:t>Protective</w:t>
      </w:r>
      <w:r w:rsidR="00A310DF">
        <w:rPr>
          <w:rFonts w:ascii="Arial" w:hAnsi="Arial" w:cs="Arial"/>
          <w:i/>
        </w:rPr>
        <w:t>,</w:t>
      </w:r>
      <w:r w:rsidR="00A310DF" w:rsidRPr="00A310DF">
        <w:rPr>
          <w:rFonts w:ascii="Arial" w:hAnsi="Arial" w:cs="Arial"/>
          <w:i/>
        </w:rPr>
        <w:t xml:space="preserve"> Therapeutic Effects</w:t>
      </w:r>
      <w:r w:rsidR="00A310DF">
        <w:rPr>
          <w:rFonts w:ascii="Arial" w:hAnsi="Arial" w:cs="Arial"/>
          <w:i/>
        </w:rPr>
        <w:t>,</w:t>
      </w:r>
      <w:r w:rsidR="00A310DF" w:rsidRPr="00A310DF">
        <w:rPr>
          <w:rFonts w:ascii="Arial" w:hAnsi="Arial" w:cs="Arial"/>
          <w:i/>
        </w:rPr>
        <w:t xml:space="preserve"> Green Tea</w:t>
      </w:r>
      <w:r w:rsidR="00A310DF">
        <w:rPr>
          <w:rFonts w:ascii="Arial" w:hAnsi="Arial" w:cs="Arial"/>
          <w:i/>
        </w:rPr>
        <w:t>,</w:t>
      </w:r>
      <w:r w:rsidR="00A310DF" w:rsidRPr="00A310DF">
        <w:rPr>
          <w:rFonts w:ascii="Arial" w:hAnsi="Arial" w:cs="Arial"/>
          <w:i/>
        </w:rPr>
        <w:t xml:space="preserve"> Honey</w:t>
      </w:r>
      <w:r w:rsidR="00A310DF">
        <w:rPr>
          <w:rFonts w:ascii="Arial" w:hAnsi="Arial" w:cs="Arial"/>
          <w:i/>
        </w:rPr>
        <w:t>,</w:t>
      </w:r>
      <w:r w:rsidR="00A310DF" w:rsidRPr="00A310DF">
        <w:rPr>
          <w:rFonts w:ascii="Arial" w:hAnsi="Arial" w:cs="Arial"/>
          <w:i/>
        </w:rPr>
        <w:t xml:space="preserve"> </w:t>
      </w:r>
      <w:r w:rsidR="00A310DF">
        <w:rPr>
          <w:rFonts w:ascii="Arial" w:hAnsi="Arial" w:cs="Arial"/>
          <w:i/>
        </w:rPr>
        <w:t>A</w:t>
      </w:r>
      <w:r w:rsidR="00A310DF" w:rsidRPr="00A310DF">
        <w:rPr>
          <w:rFonts w:ascii="Arial" w:hAnsi="Arial" w:cs="Arial"/>
          <w:i/>
        </w:rPr>
        <w:t>trazine-Induced Nephrotoxicity</w:t>
      </w:r>
      <w:r w:rsidR="00A310DF">
        <w:rPr>
          <w:rFonts w:ascii="Arial" w:hAnsi="Arial" w:cs="Arial"/>
          <w:i/>
        </w:rPr>
        <w:t>,</w:t>
      </w:r>
      <w:r w:rsidR="00A310DF" w:rsidRPr="00A310DF">
        <w:rPr>
          <w:rFonts w:ascii="Arial" w:hAnsi="Arial" w:cs="Arial"/>
          <w:i/>
        </w:rPr>
        <w:t xml:space="preserve"> Albino Wistar Rats</w:t>
      </w:r>
    </w:p>
    <w:p w14:paraId="373C71CD" w14:textId="77777777" w:rsidR="00A310DF" w:rsidRDefault="00A310DF"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565F19" w14:textId="73337F19" w:rsidR="00643524" w:rsidRDefault="00C85E94" w:rsidP="00643524">
      <w:pPr>
        <w:pStyle w:val="Body"/>
        <w:rPr>
          <w:rFonts w:ascii="Arial" w:eastAsia="Calibri" w:hAnsi="Arial" w:cs="Arial"/>
          <w:szCs w:val="22"/>
        </w:rPr>
      </w:pPr>
      <w:r w:rsidRPr="00C85E94">
        <w:rPr>
          <w:rFonts w:ascii="Arial" w:eastAsia="Calibri" w:hAnsi="Arial" w:cs="Arial"/>
          <w:szCs w:val="22"/>
        </w:rPr>
        <w:t xml:space="preserve">A growing number of people who are directly or indirectly exposed to atrazine through environmental contamination may be at risk for health problems </w:t>
      </w:r>
      <w:r w:rsidR="00476805" w:rsidRPr="00C85E94">
        <w:rPr>
          <w:rFonts w:ascii="Arial" w:eastAsia="Calibri" w:hAnsi="Arial" w:cs="Arial"/>
          <w:szCs w:val="22"/>
        </w:rPr>
        <w:t>because of</w:t>
      </w:r>
      <w:r w:rsidRPr="00C85E94">
        <w:rPr>
          <w:rFonts w:ascii="Arial" w:eastAsia="Calibri" w:hAnsi="Arial" w:cs="Arial"/>
          <w:szCs w:val="22"/>
        </w:rPr>
        <w:t xml:space="preserve"> this practice in agriculture. Chronic renal problems, which are expensive and difficult to treat, can result from hazardous exposure-induced kidney damage. Green tea and honey are widely accessible and have been used traditionally for a variety of health benefits. They are renowned for their </w:t>
      </w:r>
      <w:r w:rsidRPr="00C85E94">
        <w:rPr>
          <w:rFonts w:ascii="Arial" w:eastAsia="Calibri" w:hAnsi="Arial" w:cs="Arial"/>
          <w:szCs w:val="22"/>
        </w:rPr>
        <w:lastRenderedPageBreak/>
        <w:t>antioxidants and nephro-protective qualities. Nevertheless, there is little scientific data to support their effectiveness in stopping or lessening atrazine-induced nephrotoxicity. The purpose of this study is to provide scientific insights into the possible application of these natural chemicals as protective agents against kidney damage, potentially resulting in a more affordable, safer, and accessible treatment option for toxin-induced nephrotoxicity.</w:t>
      </w:r>
      <w:r w:rsidR="00643524">
        <w:rPr>
          <w:rFonts w:ascii="Arial" w:eastAsia="Calibri" w:hAnsi="Arial" w:cs="Arial"/>
          <w:szCs w:val="22"/>
        </w:rPr>
        <w:t xml:space="preserve"> </w:t>
      </w:r>
      <w:r w:rsidR="00643524" w:rsidRPr="00C85E94">
        <w:rPr>
          <w:rFonts w:ascii="Arial" w:eastAsia="Calibri" w:hAnsi="Arial" w:cs="Arial"/>
          <w:szCs w:val="22"/>
        </w:rPr>
        <w:t>The herbicide atrazine, which is frequently used in agricultural operations, is known to be harmful to several organs, including the kidneys</w:t>
      </w:r>
      <w:r w:rsidR="00643524">
        <w:rPr>
          <w:rFonts w:ascii="Arial" w:eastAsia="Calibri" w:hAnsi="Arial" w:cs="Arial"/>
          <w:szCs w:val="22"/>
        </w:rPr>
        <w:t xml:space="preserve"> [1]</w:t>
      </w:r>
      <w:r w:rsidR="00643524" w:rsidRPr="00C85E94">
        <w:rPr>
          <w:rFonts w:ascii="Arial" w:eastAsia="Calibri" w:hAnsi="Arial" w:cs="Arial"/>
          <w:szCs w:val="22"/>
        </w:rPr>
        <w:t xml:space="preserve">. Renal inflammation, oxidative stress, and nephrotoxicity have all been related to extended atrazine exposure </w:t>
      </w:r>
      <w:r w:rsidR="00643524">
        <w:rPr>
          <w:rFonts w:ascii="Arial" w:eastAsia="Calibri" w:hAnsi="Arial" w:cs="Arial"/>
          <w:szCs w:val="22"/>
        </w:rPr>
        <w:t>[2]</w:t>
      </w:r>
      <w:r w:rsidR="00643524" w:rsidRPr="00C85E94">
        <w:rPr>
          <w:rFonts w:ascii="Arial" w:eastAsia="Calibri" w:hAnsi="Arial" w:cs="Arial"/>
          <w:szCs w:val="22"/>
        </w:rPr>
        <w:t xml:space="preserve">. </w:t>
      </w:r>
    </w:p>
    <w:p w14:paraId="5163EBCA" w14:textId="3EEA8AAC" w:rsidR="00C85E94" w:rsidRPr="00C85E94" w:rsidRDefault="00181283" w:rsidP="00C85E94">
      <w:pPr>
        <w:pStyle w:val="Body"/>
        <w:rPr>
          <w:rFonts w:ascii="Arial" w:eastAsia="Calibri" w:hAnsi="Arial" w:cs="Arial"/>
          <w:szCs w:val="22"/>
        </w:rPr>
      </w:pPr>
      <w:r w:rsidRPr="00C85E94">
        <w:rPr>
          <w:rFonts w:ascii="Arial" w:eastAsia="Calibri" w:hAnsi="Arial" w:cs="Arial"/>
          <w:szCs w:val="22"/>
        </w:rPr>
        <w:t xml:space="preserve">The use of herbal plants as natural medicines is growing in popularity </w:t>
      </w:r>
      <w:r w:rsidR="0027173D" w:rsidRPr="00C85E94">
        <w:rPr>
          <w:rFonts w:ascii="Arial" w:eastAsia="Calibri" w:hAnsi="Arial" w:cs="Arial"/>
          <w:szCs w:val="22"/>
        </w:rPr>
        <w:t>today</w:t>
      </w:r>
      <w:r w:rsidRPr="00C85E94">
        <w:rPr>
          <w:rFonts w:ascii="Arial" w:eastAsia="Calibri" w:hAnsi="Arial" w:cs="Arial"/>
          <w:szCs w:val="22"/>
        </w:rPr>
        <w:t xml:space="preserve">. It could potentially be because many herbs' primary ingredients contain antioxidant properties that either prevent Reactive Oxygen Species (ROS) from forming or scavenge those that have already been produced. Furthermore, by upregulating vitagenes, which shield cells from a variety of electrophiles and oxidants, herb components can reduce the generation of reactive oxygen species (ROS). Ferritin, glutathione reductase, haemeoxygenase-1 (HO-1), and repair enzymes like the 26S proteasome are a few examples of these cytoprotective proteins </w:t>
      </w:r>
      <w:r>
        <w:rPr>
          <w:rFonts w:ascii="Arial" w:eastAsia="Calibri" w:hAnsi="Arial" w:cs="Arial"/>
          <w:szCs w:val="22"/>
        </w:rPr>
        <w:t>[</w:t>
      </w:r>
      <w:r w:rsidR="00051779">
        <w:rPr>
          <w:rFonts w:ascii="Arial" w:eastAsia="Calibri" w:hAnsi="Arial" w:cs="Arial"/>
          <w:szCs w:val="22"/>
        </w:rPr>
        <w:t>3</w:t>
      </w:r>
      <w:r>
        <w:rPr>
          <w:rFonts w:ascii="Arial" w:eastAsia="Calibri" w:hAnsi="Arial" w:cs="Arial"/>
          <w:szCs w:val="22"/>
        </w:rPr>
        <w:t>]</w:t>
      </w:r>
      <w:r w:rsidRPr="00C85E94">
        <w:rPr>
          <w:rFonts w:ascii="Arial" w:eastAsia="Calibri" w:hAnsi="Arial" w:cs="Arial"/>
          <w:szCs w:val="22"/>
        </w:rPr>
        <w:t>.</w:t>
      </w:r>
      <w:r>
        <w:rPr>
          <w:rFonts w:ascii="Arial" w:eastAsia="Calibri" w:hAnsi="Arial" w:cs="Arial"/>
          <w:szCs w:val="22"/>
        </w:rPr>
        <w:t xml:space="preserve"> </w:t>
      </w:r>
      <w:r w:rsidR="00C85E94" w:rsidRPr="00C85E94">
        <w:rPr>
          <w:rFonts w:ascii="Arial" w:eastAsia="Calibri" w:hAnsi="Arial" w:cs="Arial"/>
          <w:szCs w:val="22"/>
        </w:rPr>
        <w:t xml:space="preserve">Organic components such as green tea and honey are gaining a lot of attention increasingly for their nephro-protective properties, especially when the kidneys are exposed to toxins or dangerous chemicals.  Atrazine, a commonly used herbicide with a reputation for causing major health concerns, including kidney damage, is one such toxin </w:t>
      </w:r>
      <w:r w:rsidR="004A68DB">
        <w:rPr>
          <w:rFonts w:ascii="Arial" w:eastAsia="Calibri" w:hAnsi="Arial" w:cs="Arial"/>
          <w:szCs w:val="22"/>
        </w:rPr>
        <w:t>[</w:t>
      </w:r>
      <w:r w:rsidR="00DC5446">
        <w:rPr>
          <w:rFonts w:ascii="Arial" w:eastAsia="Calibri" w:hAnsi="Arial" w:cs="Arial"/>
          <w:szCs w:val="22"/>
        </w:rPr>
        <w:t>1</w:t>
      </w:r>
      <w:r w:rsidR="004A68DB">
        <w:rPr>
          <w:rFonts w:ascii="Arial" w:eastAsia="Calibri" w:hAnsi="Arial" w:cs="Arial"/>
          <w:szCs w:val="22"/>
        </w:rPr>
        <w:t>]</w:t>
      </w:r>
      <w:r w:rsidR="00C85E94" w:rsidRPr="00C85E94">
        <w:rPr>
          <w:rFonts w:ascii="Arial" w:eastAsia="Calibri" w:hAnsi="Arial" w:cs="Arial"/>
          <w:szCs w:val="22"/>
        </w:rPr>
        <w:t>.</w:t>
      </w:r>
    </w:p>
    <w:p w14:paraId="619C9EC2" w14:textId="75086334" w:rsidR="00C85E94" w:rsidRPr="00C85E94" w:rsidRDefault="00C85E94" w:rsidP="00C85E94">
      <w:pPr>
        <w:pStyle w:val="Body"/>
        <w:rPr>
          <w:rFonts w:ascii="Arial" w:eastAsia="Calibri" w:hAnsi="Arial" w:cs="Arial"/>
          <w:szCs w:val="22"/>
        </w:rPr>
      </w:pPr>
      <w:r w:rsidRPr="00C85E94">
        <w:rPr>
          <w:rFonts w:ascii="Arial" w:eastAsia="Calibri" w:hAnsi="Arial" w:cs="Arial"/>
          <w:szCs w:val="22"/>
        </w:rPr>
        <w:t xml:space="preserve">The kidney is an organ with multiple biological functions, the most significant of which is maintaining the homeostatic balance of bodily fluids by filtering and secreting minerals, urea, uric acid, and other metabolites from the blood and excreting nitrogenous </w:t>
      </w:r>
      <w:r w:rsidR="00CB4242" w:rsidRPr="00C85E94">
        <w:rPr>
          <w:rFonts w:ascii="Arial" w:eastAsia="Calibri" w:hAnsi="Arial" w:cs="Arial"/>
          <w:szCs w:val="22"/>
        </w:rPr>
        <w:t>waste</w:t>
      </w:r>
      <w:r w:rsidRPr="00C85E94">
        <w:rPr>
          <w:rFonts w:ascii="Arial" w:eastAsia="Calibri" w:hAnsi="Arial" w:cs="Arial"/>
          <w:szCs w:val="22"/>
        </w:rPr>
        <w:t xml:space="preserve"> in the form of urine together with water </w:t>
      </w:r>
      <w:r w:rsidR="00FD49A3">
        <w:rPr>
          <w:rFonts w:ascii="Arial" w:eastAsia="Calibri" w:hAnsi="Arial" w:cs="Arial"/>
          <w:szCs w:val="22"/>
        </w:rPr>
        <w:t>[</w:t>
      </w:r>
      <w:r w:rsidR="007F7D48">
        <w:rPr>
          <w:rFonts w:ascii="Arial" w:eastAsia="Calibri" w:hAnsi="Arial" w:cs="Arial"/>
          <w:szCs w:val="22"/>
        </w:rPr>
        <w:t>4</w:t>
      </w:r>
      <w:r w:rsidR="00FD49A3">
        <w:rPr>
          <w:rFonts w:ascii="Arial" w:eastAsia="Calibri" w:hAnsi="Arial" w:cs="Arial"/>
          <w:szCs w:val="22"/>
        </w:rPr>
        <w:t>][</w:t>
      </w:r>
      <w:r w:rsidR="00C330A4">
        <w:rPr>
          <w:rFonts w:ascii="Arial" w:eastAsia="Calibri" w:hAnsi="Arial" w:cs="Arial"/>
          <w:szCs w:val="22"/>
        </w:rPr>
        <w:t>5</w:t>
      </w:r>
      <w:r w:rsidR="00FD49A3">
        <w:rPr>
          <w:rFonts w:ascii="Arial" w:eastAsia="Calibri" w:hAnsi="Arial" w:cs="Arial"/>
          <w:szCs w:val="22"/>
        </w:rPr>
        <w:t>]</w:t>
      </w:r>
      <w:r w:rsidRPr="00C85E94">
        <w:rPr>
          <w:rFonts w:ascii="Arial" w:eastAsia="Calibri" w:hAnsi="Arial" w:cs="Arial"/>
          <w:szCs w:val="22"/>
        </w:rPr>
        <w:t xml:space="preserve">. Because of its high blood flow and ability for highly specialized cells to collect and concentrate hazardous compounds, it is frequently the target of toxic xenobiotics </w:t>
      </w:r>
      <w:r w:rsidR="00FA7B01">
        <w:rPr>
          <w:rFonts w:ascii="Arial" w:eastAsia="Calibri" w:hAnsi="Arial" w:cs="Arial"/>
          <w:szCs w:val="22"/>
        </w:rPr>
        <w:t>[6]</w:t>
      </w:r>
      <w:r w:rsidRPr="00C85E94">
        <w:rPr>
          <w:rFonts w:ascii="Arial" w:eastAsia="Calibri" w:hAnsi="Arial" w:cs="Arial"/>
          <w:szCs w:val="22"/>
        </w:rPr>
        <w:t xml:space="preserve">. </w:t>
      </w:r>
      <w:r w:rsidR="00952367">
        <w:rPr>
          <w:rFonts w:ascii="Arial" w:eastAsia="Calibri" w:hAnsi="Arial" w:cs="Arial"/>
          <w:szCs w:val="22"/>
        </w:rPr>
        <w:t xml:space="preserve"> </w:t>
      </w:r>
      <w:r w:rsidRPr="00C85E94">
        <w:rPr>
          <w:rFonts w:ascii="Arial" w:eastAsia="Calibri" w:hAnsi="Arial" w:cs="Arial"/>
          <w:szCs w:val="22"/>
        </w:rPr>
        <w:t xml:space="preserve">Nephrotoxicity occurs when endogenous or external toxins cause the kidneys to fail, impairing the kidneys' ability to excrete and detoxify waste products </w:t>
      </w:r>
      <w:r w:rsidR="00FD49A3">
        <w:rPr>
          <w:rFonts w:ascii="Arial" w:eastAsia="Calibri" w:hAnsi="Arial" w:cs="Arial"/>
          <w:szCs w:val="22"/>
        </w:rPr>
        <w:t>[</w:t>
      </w:r>
      <w:r w:rsidR="00BA69EC">
        <w:rPr>
          <w:rFonts w:ascii="Arial" w:eastAsia="Calibri" w:hAnsi="Arial" w:cs="Arial"/>
          <w:szCs w:val="22"/>
        </w:rPr>
        <w:t>7</w:t>
      </w:r>
      <w:r w:rsidR="00FD49A3">
        <w:rPr>
          <w:rFonts w:ascii="Arial" w:eastAsia="Calibri" w:hAnsi="Arial" w:cs="Arial"/>
          <w:szCs w:val="22"/>
        </w:rPr>
        <w:t>]</w:t>
      </w:r>
      <w:r w:rsidRPr="00C85E94">
        <w:rPr>
          <w:rFonts w:ascii="Arial" w:eastAsia="Calibri" w:hAnsi="Arial" w:cs="Arial"/>
          <w:szCs w:val="22"/>
        </w:rPr>
        <w:t xml:space="preserve">. It is one of the most prevalent kidney issues that </w:t>
      </w:r>
      <w:r w:rsidR="002F3671" w:rsidRPr="00C85E94">
        <w:rPr>
          <w:rFonts w:ascii="Arial" w:eastAsia="Calibri" w:hAnsi="Arial" w:cs="Arial"/>
          <w:szCs w:val="22"/>
        </w:rPr>
        <w:t>arise</w:t>
      </w:r>
      <w:r w:rsidRPr="00C85E94">
        <w:rPr>
          <w:rFonts w:ascii="Arial" w:eastAsia="Calibri" w:hAnsi="Arial" w:cs="Arial"/>
          <w:szCs w:val="22"/>
        </w:rPr>
        <w:t xml:space="preserve"> from drug or toxin exposure </w:t>
      </w:r>
      <w:r w:rsidR="00FD49A3">
        <w:rPr>
          <w:rFonts w:ascii="Arial" w:eastAsia="Calibri" w:hAnsi="Arial" w:cs="Arial"/>
          <w:szCs w:val="22"/>
        </w:rPr>
        <w:t>[</w:t>
      </w:r>
      <w:r w:rsidR="00682095">
        <w:rPr>
          <w:rFonts w:ascii="Arial" w:eastAsia="Calibri" w:hAnsi="Arial" w:cs="Arial"/>
          <w:szCs w:val="22"/>
        </w:rPr>
        <w:t>8</w:t>
      </w:r>
      <w:r w:rsidR="00FD49A3">
        <w:rPr>
          <w:rFonts w:ascii="Arial" w:eastAsia="Calibri" w:hAnsi="Arial" w:cs="Arial"/>
          <w:szCs w:val="22"/>
        </w:rPr>
        <w:t>]</w:t>
      </w:r>
      <w:r w:rsidRPr="00C85E94">
        <w:rPr>
          <w:rFonts w:ascii="Arial" w:eastAsia="Calibri" w:hAnsi="Arial" w:cs="Arial"/>
          <w:szCs w:val="22"/>
        </w:rPr>
        <w:t>. According to Azab et al.</w:t>
      </w:r>
      <w:r w:rsidR="00B06C93">
        <w:rPr>
          <w:rFonts w:ascii="Arial" w:eastAsia="Calibri" w:hAnsi="Arial" w:cs="Arial"/>
          <w:szCs w:val="22"/>
        </w:rPr>
        <w:t xml:space="preserve"> </w:t>
      </w:r>
      <w:r w:rsidR="00FD49A3">
        <w:rPr>
          <w:rFonts w:ascii="Arial" w:eastAsia="Calibri" w:hAnsi="Arial" w:cs="Arial"/>
          <w:szCs w:val="22"/>
        </w:rPr>
        <w:t>[</w:t>
      </w:r>
      <w:r w:rsidR="002F3671">
        <w:rPr>
          <w:rFonts w:ascii="Arial" w:eastAsia="Calibri" w:hAnsi="Arial" w:cs="Arial"/>
          <w:szCs w:val="22"/>
        </w:rPr>
        <w:t>9</w:t>
      </w:r>
      <w:r w:rsidR="00FD49A3">
        <w:rPr>
          <w:rFonts w:ascii="Arial" w:eastAsia="Calibri" w:hAnsi="Arial" w:cs="Arial"/>
          <w:szCs w:val="22"/>
        </w:rPr>
        <w:t>]</w:t>
      </w:r>
      <w:r w:rsidRPr="00C85E94">
        <w:rPr>
          <w:rFonts w:ascii="Arial" w:eastAsia="Calibri" w:hAnsi="Arial" w:cs="Arial"/>
          <w:szCs w:val="22"/>
        </w:rPr>
        <w:t xml:space="preserve">, nephrotoxicity is defined as kidney illness or dysfunction resulting from exposure to pharmaceuticals, industrial or environmental toxins, or both in an absolute or aberrant manner. There are </w:t>
      </w:r>
      <w:r w:rsidR="0066307A" w:rsidRPr="00C85E94">
        <w:rPr>
          <w:rFonts w:ascii="Arial" w:eastAsia="Calibri" w:hAnsi="Arial" w:cs="Arial"/>
          <w:szCs w:val="22"/>
        </w:rPr>
        <w:t>several</w:t>
      </w:r>
      <w:r w:rsidRPr="00C85E94">
        <w:rPr>
          <w:rFonts w:ascii="Arial" w:eastAsia="Calibri" w:hAnsi="Arial" w:cs="Arial"/>
          <w:szCs w:val="22"/>
        </w:rPr>
        <w:t xml:space="preserve"> acknowledged elements that make the kidney vulnerable to toxic damage from traditional medicines </w:t>
      </w:r>
      <w:r w:rsidR="00FD49A3">
        <w:rPr>
          <w:rFonts w:ascii="Arial" w:eastAsia="Calibri" w:hAnsi="Arial" w:cs="Arial"/>
          <w:szCs w:val="22"/>
        </w:rPr>
        <w:t>[</w:t>
      </w:r>
      <w:r w:rsidR="00FF3B18">
        <w:rPr>
          <w:rFonts w:ascii="Arial" w:eastAsia="Calibri" w:hAnsi="Arial" w:cs="Arial"/>
          <w:szCs w:val="22"/>
        </w:rPr>
        <w:t>10</w:t>
      </w:r>
      <w:r w:rsidR="00FD49A3">
        <w:rPr>
          <w:rFonts w:ascii="Arial" w:eastAsia="Calibri" w:hAnsi="Arial" w:cs="Arial"/>
          <w:szCs w:val="22"/>
        </w:rPr>
        <w:t>]</w:t>
      </w:r>
      <w:r w:rsidRPr="00C85E94">
        <w:rPr>
          <w:rFonts w:ascii="Arial" w:eastAsia="Calibri" w:hAnsi="Arial" w:cs="Arial"/>
          <w:szCs w:val="22"/>
        </w:rPr>
        <w:t>. This contains high metabolic activity, high blood flow rate, high pH of the urine, high endothelial surface area, active tubular cell absorption, and medullary interstitial concentration. According to Rivastava et al.</w:t>
      </w:r>
      <w:r w:rsidR="00FD49A3">
        <w:rPr>
          <w:rFonts w:ascii="Arial" w:eastAsia="Calibri" w:hAnsi="Arial" w:cs="Arial"/>
          <w:szCs w:val="22"/>
        </w:rPr>
        <w:t xml:space="preserve"> [</w:t>
      </w:r>
      <w:r w:rsidR="009A4CCD">
        <w:rPr>
          <w:rFonts w:ascii="Arial" w:eastAsia="Calibri" w:hAnsi="Arial" w:cs="Arial"/>
          <w:szCs w:val="22"/>
        </w:rPr>
        <w:t>11</w:t>
      </w:r>
      <w:r w:rsidR="00FD49A3">
        <w:rPr>
          <w:rFonts w:ascii="Arial" w:eastAsia="Calibri" w:hAnsi="Arial" w:cs="Arial"/>
          <w:szCs w:val="22"/>
        </w:rPr>
        <w:t>]</w:t>
      </w:r>
      <w:r w:rsidRPr="00C85E94">
        <w:rPr>
          <w:rFonts w:ascii="Arial" w:eastAsia="Calibri" w:hAnsi="Arial" w:cs="Arial"/>
          <w:szCs w:val="22"/>
        </w:rPr>
        <w:t>, the toxins can cause renal ischemia, haemoglobinuria, myoglobinuria, or direct abuse of the tubules.</w:t>
      </w:r>
    </w:p>
    <w:p w14:paraId="331CA4C7" w14:textId="20605058" w:rsidR="00C85E94" w:rsidRPr="00C85E94" w:rsidRDefault="00C85E94" w:rsidP="00C85E94">
      <w:pPr>
        <w:pStyle w:val="Body"/>
        <w:rPr>
          <w:rFonts w:ascii="Arial" w:eastAsia="Calibri" w:hAnsi="Arial" w:cs="Arial"/>
          <w:szCs w:val="22"/>
        </w:rPr>
      </w:pPr>
      <w:r w:rsidRPr="00C85E94">
        <w:rPr>
          <w:rFonts w:ascii="Arial" w:eastAsia="Calibri" w:hAnsi="Arial" w:cs="Arial"/>
          <w:szCs w:val="22"/>
        </w:rPr>
        <w:t>Green tea, a known herbal plant which is manufactured from the leaves of the Camellia sinensis plant. It is rich in antioxidant polyphenolic flavonoids, which are found in water</w:t>
      </w:r>
      <w:r w:rsidR="005037D9">
        <w:rPr>
          <w:rFonts w:ascii="Arial" w:eastAsia="Calibri" w:hAnsi="Arial" w:cs="Arial"/>
          <w:szCs w:val="22"/>
        </w:rPr>
        <w:t>.</w:t>
      </w:r>
      <w:r w:rsidRPr="00C85E94">
        <w:rPr>
          <w:rFonts w:ascii="Arial" w:eastAsia="Calibri" w:hAnsi="Arial" w:cs="Arial"/>
          <w:szCs w:val="22"/>
        </w:rPr>
        <w:t xml:space="preserve">  Additionally, according to Bitu Pinto et al.</w:t>
      </w:r>
      <w:r w:rsidR="00323258">
        <w:rPr>
          <w:rFonts w:ascii="Arial" w:eastAsia="Calibri" w:hAnsi="Arial" w:cs="Arial"/>
          <w:szCs w:val="22"/>
        </w:rPr>
        <w:t xml:space="preserve"> </w:t>
      </w:r>
      <w:r w:rsidR="00FD49A3">
        <w:rPr>
          <w:rFonts w:ascii="Arial" w:eastAsia="Calibri" w:hAnsi="Arial" w:cs="Arial"/>
          <w:szCs w:val="22"/>
        </w:rPr>
        <w:t>[</w:t>
      </w:r>
      <w:r w:rsidR="00323258">
        <w:rPr>
          <w:rFonts w:ascii="Arial" w:eastAsia="Calibri" w:hAnsi="Arial" w:cs="Arial"/>
          <w:szCs w:val="22"/>
        </w:rPr>
        <w:t>12</w:t>
      </w:r>
      <w:r w:rsidR="00FD49A3">
        <w:rPr>
          <w:rFonts w:ascii="Arial" w:eastAsia="Calibri" w:hAnsi="Arial" w:cs="Arial"/>
          <w:szCs w:val="22"/>
        </w:rPr>
        <w:t>]</w:t>
      </w:r>
      <w:r w:rsidRPr="00C85E94">
        <w:rPr>
          <w:rFonts w:ascii="Arial" w:eastAsia="Calibri" w:hAnsi="Arial" w:cs="Arial"/>
          <w:szCs w:val="22"/>
        </w:rPr>
        <w:t xml:space="preserve">, it has anti-mutagenic, anti-carcinogenic, and anti-apoptotic properties. </w:t>
      </w:r>
      <w:r w:rsidR="00323258">
        <w:rPr>
          <w:rFonts w:ascii="Arial" w:eastAsia="Calibri" w:hAnsi="Arial" w:cs="Arial"/>
          <w:szCs w:val="22"/>
        </w:rPr>
        <w:t>I</w:t>
      </w:r>
      <w:r w:rsidRPr="00C85E94">
        <w:rPr>
          <w:rFonts w:ascii="Arial" w:eastAsia="Calibri" w:hAnsi="Arial" w:cs="Arial"/>
          <w:szCs w:val="22"/>
        </w:rPr>
        <w:t>t has very high vitamin C content, which has significant positive impacts on human health.  More than 3000 phytochemical substances have been found in green tea (GT), with polyphenols making up roughly one-third of these components</w:t>
      </w:r>
      <w:r w:rsidR="006636D3">
        <w:rPr>
          <w:rFonts w:ascii="Arial" w:eastAsia="Calibri" w:hAnsi="Arial" w:cs="Arial"/>
          <w:szCs w:val="22"/>
        </w:rPr>
        <w:t xml:space="preserve"> </w:t>
      </w:r>
      <w:r w:rsidR="00FD49A3">
        <w:rPr>
          <w:rFonts w:ascii="Arial" w:eastAsia="Calibri" w:hAnsi="Arial" w:cs="Arial"/>
          <w:szCs w:val="22"/>
        </w:rPr>
        <w:t>[</w:t>
      </w:r>
      <w:r w:rsidR="006636D3">
        <w:rPr>
          <w:rFonts w:ascii="Arial" w:eastAsia="Calibri" w:hAnsi="Arial" w:cs="Arial"/>
          <w:szCs w:val="22"/>
        </w:rPr>
        <w:t>13</w:t>
      </w:r>
      <w:r w:rsidR="00FD49A3">
        <w:rPr>
          <w:rFonts w:ascii="Arial" w:eastAsia="Calibri" w:hAnsi="Arial" w:cs="Arial"/>
          <w:szCs w:val="22"/>
        </w:rPr>
        <w:t>]</w:t>
      </w:r>
      <w:r w:rsidR="006636D3">
        <w:rPr>
          <w:rFonts w:ascii="Arial" w:eastAsia="Calibri" w:hAnsi="Arial" w:cs="Arial"/>
          <w:szCs w:val="22"/>
        </w:rPr>
        <w:t>.</w:t>
      </w:r>
      <w:r w:rsidRPr="00C85E94">
        <w:rPr>
          <w:rFonts w:ascii="Arial" w:eastAsia="Calibri" w:hAnsi="Arial" w:cs="Arial"/>
          <w:szCs w:val="22"/>
        </w:rPr>
        <w:t xml:space="preserve"> </w:t>
      </w:r>
    </w:p>
    <w:p w14:paraId="13D416D9" w14:textId="2F696072" w:rsidR="00B01FCD" w:rsidRDefault="00C85E94" w:rsidP="00053110">
      <w:pPr>
        <w:pStyle w:val="Body"/>
        <w:rPr>
          <w:rFonts w:ascii="Arial" w:hAnsi="Arial" w:cs="Arial"/>
        </w:rPr>
      </w:pPr>
      <w:r w:rsidRPr="00C85E94">
        <w:rPr>
          <w:rFonts w:ascii="Arial" w:eastAsia="Calibri" w:hAnsi="Arial" w:cs="Arial"/>
          <w:szCs w:val="22"/>
        </w:rPr>
        <w:t xml:space="preserve">One of these natural products, bee honey (BH), which is made by honeybees (Apis millifera) from nectar, has gained more attention lately. A Sumerian tablet and an Egyptian papyrus both attest to its long history of usage as a traditional medicine. </w:t>
      </w:r>
      <w:r w:rsidR="00DC0C7F">
        <w:rPr>
          <w:rFonts w:ascii="Arial" w:eastAsia="Calibri" w:hAnsi="Arial" w:cs="Arial"/>
          <w:szCs w:val="22"/>
        </w:rPr>
        <w:t>I</w:t>
      </w:r>
      <w:r w:rsidRPr="00C85E94">
        <w:rPr>
          <w:rFonts w:ascii="Arial" w:eastAsia="Calibri" w:hAnsi="Arial" w:cs="Arial"/>
          <w:szCs w:val="22"/>
        </w:rPr>
        <w:t xml:space="preserve">t has a variety of </w:t>
      </w:r>
      <w:r w:rsidR="001544BB" w:rsidRPr="00C85E94">
        <w:rPr>
          <w:rFonts w:ascii="Arial" w:eastAsia="Calibri" w:hAnsi="Arial" w:cs="Arial"/>
          <w:szCs w:val="22"/>
        </w:rPr>
        <w:t>advantages</w:t>
      </w:r>
      <w:r w:rsidRPr="00C85E94">
        <w:rPr>
          <w:rFonts w:ascii="Arial" w:eastAsia="Calibri" w:hAnsi="Arial" w:cs="Arial"/>
          <w:szCs w:val="22"/>
        </w:rPr>
        <w:t xml:space="preserve">, including antibacterial, anti-inflammatory, hepatoprotective, antioxidant, and anti-hypertensive actions. Furthermore, some investigations have demonstrated the potential anticancer effects of raw honey on a variety of tumor cell lines both in vivo and </w:t>
      </w:r>
      <w:r w:rsidRPr="00640C0F">
        <w:rPr>
          <w:rFonts w:ascii="Arial" w:eastAsia="Calibri" w:hAnsi="Arial" w:cs="Arial"/>
          <w:i/>
          <w:iCs/>
          <w:szCs w:val="22"/>
        </w:rPr>
        <w:t>in vitro</w:t>
      </w:r>
      <w:r w:rsidR="00640C0F" w:rsidRPr="00640C0F">
        <w:rPr>
          <w:rFonts w:ascii="Arial" w:eastAsia="Calibri" w:hAnsi="Arial" w:cs="Arial"/>
          <w:i/>
          <w:iCs/>
          <w:szCs w:val="22"/>
        </w:rPr>
        <w:t>.</w:t>
      </w:r>
      <w:r w:rsidRPr="00C85E94">
        <w:rPr>
          <w:rFonts w:ascii="Arial" w:eastAsia="Calibri" w:hAnsi="Arial" w:cs="Arial"/>
          <w:szCs w:val="22"/>
        </w:rPr>
        <w:t xml:space="preserve"> </w:t>
      </w:r>
      <w:r w:rsidR="00053110">
        <w:rPr>
          <w:rFonts w:ascii="Arial" w:eastAsia="Calibri" w:hAnsi="Arial" w:cs="Arial"/>
          <w:szCs w:val="22"/>
        </w:rPr>
        <w:t xml:space="preserve">We hypothesize that </w:t>
      </w:r>
      <w:r w:rsidR="00640C0F" w:rsidRPr="00C85E94">
        <w:rPr>
          <w:rFonts w:ascii="Arial" w:eastAsia="Calibri" w:hAnsi="Arial" w:cs="Arial"/>
          <w:szCs w:val="22"/>
        </w:rPr>
        <w:t>green</w:t>
      </w:r>
      <w:r w:rsidRPr="00C85E94">
        <w:rPr>
          <w:rFonts w:ascii="Arial" w:eastAsia="Calibri" w:hAnsi="Arial" w:cs="Arial"/>
          <w:szCs w:val="22"/>
        </w:rPr>
        <w:t xml:space="preserve"> tea and honey taken together may have a synergistic effect on kidney protection against atrazine-induced damage.</w:t>
      </w:r>
      <w:r w:rsidR="00640C0F">
        <w:rPr>
          <w:rFonts w:ascii="Arial" w:eastAsia="Calibri" w:hAnsi="Arial" w:cs="Arial"/>
          <w:szCs w:val="22"/>
        </w:rPr>
        <w:t xml:space="preserve"> Therefore, the aim of this study was to</w:t>
      </w:r>
      <w:r w:rsidR="00C70A79">
        <w:rPr>
          <w:rFonts w:ascii="Arial" w:eastAsia="Calibri" w:hAnsi="Arial" w:cs="Arial"/>
          <w:szCs w:val="22"/>
        </w:rPr>
        <w:t xml:space="preserve"> assess</w:t>
      </w:r>
      <w:r w:rsidR="00C70A79" w:rsidRPr="00E512AD">
        <w:rPr>
          <w:rFonts w:ascii="Arial" w:eastAsia="Calibri" w:hAnsi="Arial" w:cs="Arial"/>
          <w:szCs w:val="22"/>
        </w:rPr>
        <w:t xml:space="preserve"> the effect of green tea and honey on atrazine induced nephrotoxicity in albino Wistar rats.</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84067C">
      <w:pPr>
        <w:pStyle w:val="AbstHead"/>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56D9417E" w14:textId="77777777" w:rsidR="00A310DF" w:rsidRPr="005653A8" w:rsidRDefault="00A310DF" w:rsidP="00A310DF">
      <w:pPr>
        <w:pStyle w:val="Body"/>
        <w:spacing w:after="0"/>
        <w:rPr>
          <w:rFonts w:ascii="Arial" w:eastAsia="Calibri" w:hAnsi="Arial" w:cs="Arial"/>
          <w:b/>
          <w:bCs/>
          <w:szCs w:val="22"/>
        </w:rPr>
      </w:pPr>
      <w:r w:rsidRPr="009C138A">
        <w:rPr>
          <w:rFonts w:ascii="Arial" w:eastAsia="Calibri" w:hAnsi="Arial" w:cs="Arial"/>
          <w:b/>
          <w:bCs/>
          <w:sz w:val="22"/>
          <w:szCs w:val="24"/>
        </w:rPr>
        <w:t>2.1 Experimental Animals</w:t>
      </w:r>
    </w:p>
    <w:p w14:paraId="67B24FD8" w14:textId="2B35E8D4"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Thirty (30) randomly selected albino rats that weighed 150- 200g were used for the study. The animals were obtained from the Department of Anatomy, College of Medical Sciences, Rivers State University. They were transported in well-ventilated wired cages to the Animal House in the Department of An</w:t>
      </w:r>
      <w:r>
        <w:rPr>
          <w:rFonts w:ascii="Arial" w:eastAsia="Calibri" w:hAnsi="Arial" w:cs="Arial"/>
          <w:szCs w:val="22"/>
        </w:rPr>
        <w:t>atomy</w:t>
      </w:r>
      <w:r w:rsidRPr="005653A8">
        <w:rPr>
          <w:rFonts w:ascii="Arial" w:eastAsia="Calibri" w:hAnsi="Arial" w:cs="Arial"/>
          <w:szCs w:val="22"/>
        </w:rPr>
        <w:t>, Rivers State University, Port Harcourt</w:t>
      </w:r>
      <w:r w:rsidR="005D42E5">
        <w:rPr>
          <w:rFonts w:ascii="Arial" w:eastAsia="Calibri" w:hAnsi="Arial" w:cs="Arial"/>
          <w:szCs w:val="22"/>
        </w:rPr>
        <w:t xml:space="preserve">, </w:t>
      </w:r>
      <w:r w:rsidR="005D42E5" w:rsidRPr="005D42E5">
        <w:rPr>
          <w:rFonts w:ascii="Arial" w:eastAsia="Calibri" w:hAnsi="Arial" w:cs="Arial"/>
          <w:szCs w:val="22"/>
          <w:highlight w:val="yellow"/>
        </w:rPr>
        <w:t>Nigeria</w:t>
      </w:r>
      <w:r w:rsidRPr="005653A8">
        <w:rPr>
          <w:rFonts w:ascii="Arial" w:eastAsia="Calibri" w:hAnsi="Arial" w:cs="Arial"/>
          <w:szCs w:val="22"/>
        </w:rPr>
        <w:t xml:space="preserve">. </w:t>
      </w:r>
      <w:r>
        <w:rPr>
          <w:rFonts w:ascii="Arial" w:eastAsia="Calibri" w:hAnsi="Arial" w:cs="Arial"/>
          <w:szCs w:val="22"/>
        </w:rPr>
        <w:t>T</w:t>
      </w:r>
      <w:r w:rsidRPr="005653A8">
        <w:rPr>
          <w:rFonts w:ascii="Arial" w:eastAsia="Calibri" w:hAnsi="Arial" w:cs="Arial"/>
          <w:szCs w:val="22"/>
        </w:rPr>
        <w:t>he</w:t>
      </w:r>
      <w:r>
        <w:rPr>
          <w:rFonts w:ascii="Arial" w:eastAsia="Calibri" w:hAnsi="Arial" w:cs="Arial"/>
          <w:szCs w:val="22"/>
        </w:rPr>
        <w:t xml:space="preserve"> rats</w:t>
      </w:r>
      <w:r w:rsidRPr="005653A8">
        <w:rPr>
          <w:rFonts w:ascii="Arial" w:eastAsia="Calibri" w:hAnsi="Arial" w:cs="Arial"/>
          <w:szCs w:val="22"/>
        </w:rPr>
        <w:t xml:space="preserve"> were maintained </w:t>
      </w:r>
      <w:r>
        <w:rPr>
          <w:rFonts w:ascii="Arial" w:eastAsia="Calibri" w:hAnsi="Arial" w:cs="Arial"/>
          <w:szCs w:val="22"/>
        </w:rPr>
        <w:t xml:space="preserve">in </w:t>
      </w:r>
      <w:r w:rsidRPr="005653A8">
        <w:rPr>
          <w:rFonts w:ascii="Arial" w:eastAsia="Calibri" w:hAnsi="Arial" w:cs="Arial"/>
          <w:szCs w:val="22"/>
        </w:rPr>
        <w:t xml:space="preserve">a 12- hour light/ dark cycle and were </w:t>
      </w:r>
      <w:r>
        <w:rPr>
          <w:rFonts w:ascii="Arial" w:eastAsia="Calibri" w:hAnsi="Arial" w:cs="Arial"/>
          <w:szCs w:val="22"/>
        </w:rPr>
        <w:t>allowed</w:t>
      </w:r>
      <w:r w:rsidRPr="005653A8">
        <w:rPr>
          <w:rFonts w:ascii="Arial" w:eastAsia="Calibri" w:hAnsi="Arial" w:cs="Arial"/>
          <w:szCs w:val="22"/>
        </w:rPr>
        <w:t xml:space="preserve"> solid poultry chow as feed and water</w:t>
      </w:r>
      <w:r>
        <w:rPr>
          <w:rFonts w:ascii="Arial" w:eastAsia="Calibri" w:hAnsi="Arial" w:cs="Arial"/>
          <w:szCs w:val="22"/>
        </w:rPr>
        <w:t xml:space="preserve"> </w:t>
      </w:r>
      <w:r>
        <w:rPr>
          <w:rFonts w:ascii="Arial" w:eastAsia="Calibri" w:hAnsi="Arial" w:cs="Arial"/>
          <w:i/>
          <w:iCs/>
          <w:szCs w:val="22"/>
        </w:rPr>
        <w:t xml:space="preserve">ad libitum </w:t>
      </w:r>
      <w:r w:rsidRPr="009C138A">
        <w:rPr>
          <w:rFonts w:ascii="Arial" w:eastAsia="Calibri" w:hAnsi="Arial" w:cs="Arial"/>
          <w:szCs w:val="22"/>
        </w:rPr>
        <w:t>and</w:t>
      </w:r>
      <w:r>
        <w:rPr>
          <w:rFonts w:ascii="Arial" w:eastAsia="Calibri" w:hAnsi="Arial" w:cs="Arial"/>
          <w:i/>
          <w:iCs/>
          <w:szCs w:val="22"/>
        </w:rPr>
        <w:t xml:space="preserve"> </w:t>
      </w:r>
      <w:r w:rsidRPr="005653A8">
        <w:rPr>
          <w:rFonts w:ascii="Arial" w:eastAsia="Calibri" w:hAnsi="Arial" w:cs="Arial"/>
          <w:szCs w:val="22"/>
        </w:rPr>
        <w:t>were allowed to acclimatize for 2 weeks.</w:t>
      </w:r>
    </w:p>
    <w:p w14:paraId="3EADFFD7" w14:textId="77777777" w:rsidR="00A310DF" w:rsidRDefault="00A310DF" w:rsidP="00A310DF">
      <w:pPr>
        <w:pStyle w:val="Body"/>
        <w:rPr>
          <w:rFonts w:ascii="Arial" w:eastAsia="Calibri" w:hAnsi="Arial" w:cs="Arial"/>
          <w:b/>
          <w:bCs/>
          <w:sz w:val="22"/>
          <w:szCs w:val="24"/>
        </w:rPr>
      </w:pPr>
      <w:r w:rsidRPr="009C138A">
        <w:rPr>
          <w:rFonts w:ascii="Arial" w:eastAsia="Calibri" w:hAnsi="Arial" w:cs="Arial"/>
          <w:b/>
          <w:bCs/>
          <w:sz w:val="22"/>
          <w:szCs w:val="24"/>
        </w:rPr>
        <w:t xml:space="preserve">2.2 Determination and Preparation of Solution </w:t>
      </w:r>
    </w:p>
    <w:p w14:paraId="343CA3F0" w14:textId="77777777" w:rsidR="00A310DF" w:rsidRPr="009C138A" w:rsidRDefault="00A310DF" w:rsidP="00A310DF">
      <w:pPr>
        <w:pStyle w:val="Body"/>
        <w:spacing w:after="0"/>
        <w:rPr>
          <w:rFonts w:ascii="Arial" w:eastAsia="Calibri" w:hAnsi="Arial" w:cs="Arial"/>
          <w:b/>
          <w:bCs/>
          <w:szCs w:val="22"/>
        </w:rPr>
      </w:pPr>
      <w:r w:rsidRPr="009C138A">
        <w:rPr>
          <w:rFonts w:ascii="Arial" w:eastAsia="Calibri" w:hAnsi="Arial" w:cs="Arial"/>
          <w:b/>
          <w:bCs/>
          <w:szCs w:val="22"/>
        </w:rPr>
        <w:t>2.2.1 Atrazine</w:t>
      </w:r>
    </w:p>
    <w:p w14:paraId="1569F6F2"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The Atrazine was administered at 100mg/kg of rat. Each rat was weighed and 100mg of Atrazine was administered to a 1kg rat.</w:t>
      </w:r>
    </w:p>
    <w:p w14:paraId="1D3363B4"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For</w:t>
      </w:r>
      <w:r>
        <w:rPr>
          <w:rFonts w:ascii="Arial" w:eastAsia="Calibri" w:hAnsi="Arial" w:cs="Arial"/>
          <w:szCs w:val="22"/>
        </w:rPr>
        <w:t xml:space="preserve"> a</w:t>
      </w:r>
      <w:r w:rsidRPr="005653A8">
        <w:rPr>
          <w:rFonts w:ascii="Arial" w:eastAsia="Calibri" w:hAnsi="Arial" w:cs="Arial"/>
          <w:szCs w:val="22"/>
        </w:rPr>
        <w:t xml:space="preserve"> rat that weighed 230g, 23mg of Atrazine was administered 1000g</w:t>
      </w:r>
      <w:r w:rsidRPr="005653A8">
        <w:rPr>
          <w:rFonts w:ascii="Arial" w:eastAsia="Calibri" w:hAnsi="Arial" w:cs="Arial"/>
          <w:szCs w:val="22"/>
        </w:rPr>
        <w:tab/>
        <w:t>&gt;</w:t>
      </w:r>
      <w:r>
        <w:rPr>
          <w:rFonts w:ascii="Arial" w:eastAsia="Calibri" w:hAnsi="Arial" w:cs="Arial"/>
          <w:szCs w:val="22"/>
        </w:rPr>
        <w:t xml:space="preserve"> </w:t>
      </w:r>
      <w:r w:rsidRPr="005653A8">
        <w:rPr>
          <w:rFonts w:ascii="Arial" w:eastAsia="Calibri" w:hAnsi="Arial" w:cs="Arial"/>
          <w:szCs w:val="22"/>
        </w:rPr>
        <w:t>1kg</w:t>
      </w:r>
    </w:p>
    <w:p w14:paraId="5784B64C"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230g</w:t>
      </w:r>
      <w:r w:rsidRPr="005653A8">
        <w:rPr>
          <w:rFonts w:ascii="Arial" w:eastAsia="Calibri" w:hAnsi="Arial" w:cs="Arial"/>
          <w:szCs w:val="22"/>
        </w:rPr>
        <w:tab/>
        <w:t>&gt; 230/1000 = 0.23kg</w:t>
      </w:r>
    </w:p>
    <w:p w14:paraId="19526D82"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Determining the dose 1kg.</w:t>
      </w:r>
      <w:r w:rsidRPr="005653A8">
        <w:rPr>
          <w:rFonts w:ascii="Arial" w:eastAsia="Calibri" w:hAnsi="Arial" w:cs="Arial"/>
          <w:szCs w:val="22"/>
        </w:rPr>
        <w:tab/>
        <w:t>&gt; 100mg</w:t>
      </w:r>
    </w:p>
    <w:p w14:paraId="0A3FDD49"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0.23kg</w:t>
      </w:r>
      <w:r w:rsidRPr="005653A8">
        <w:rPr>
          <w:rFonts w:ascii="Arial" w:eastAsia="Calibri" w:hAnsi="Arial" w:cs="Arial"/>
          <w:szCs w:val="22"/>
        </w:rPr>
        <w:tab/>
        <w:t>&gt; 0.23×100= 23mg</w:t>
      </w:r>
    </w:p>
    <w:p w14:paraId="4F18F0D1"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 xml:space="preserve"> A stock solution of 100ml was prepared in the chemistry laboratory at Rivers State University, Port Harcourt. To create 23mg/ml solution; 2.3grams of atrazine was dissolved in 100ml of distilled water.</w:t>
      </w:r>
    </w:p>
    <w:p w14:paraId="0ADB5DB7" w14:textId="77777777" w:rsidR="00A310DF" w:rsidRPr="009C138A" w:rsidRDefault="00A310DF" w:rsidP="00A310DF">
      <w:pPr>
        <w:pStyle w:val="Body"/>
        <w:spacing w:after="0"/>
        <w:rPr>
          <w:rFonts w:ascii="Arial" w:eastAsia="Calibri" w:hAnsi="Arial" w:cs="Arial"/>
          <w:b/>
          <w:bCs/>
          <w:szCs w:val="22"/>
        </w:rPr>
      </w:pPr>
      <w:r w:rsidRPr="009C138A">
        <w:rPr>
          <w:rFonts w:ascii="Arial" w:eastAsia="Calibri" w:hAnsi="Arial" w:cs="Arial"/>
          <w:b/>
          <w:bCs/>
          <w:szCs w:val="22"/>
        </w:rPr>
        <w:t>2.2.2 Green Tea</w:t>
      </w:r>
    </w:p>
    <w:p w14:paraId="1CA6FC84"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Dose per rat: low dose = 50mg/kg × 0.23kg = 11.5mg High dose = 200mg/kg × 0.23kg = 46mg</w:t>
      </w:r>
    </w:p>
    <w:p w14:paraId="4D320EEC"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Volume: low volume = 11.5mg ÷ 50mg/ml = 0.23ml High volume = 46mg ÷ 50mg/ml = 0.92ml</w:t>
      </w:r>
      <w:r>
        <w:rPr>
          <w:rFonts w:ascii="Arial" w:eastAsia="Calibri" w:hAnsi="Arial" w:cs="Arial"/>
          <w:szCs w:val="22"/>
        </w:rPr>
        <w:t>.</w:t>
      </w:r>
    </w:p>
    <w:p w14:paraId="14734BB4" w14:textId="77777777" w:rsidR="00A310DF" w:rsidRDefault="00A310DF" w:rsidP="00A310DF">
      <w:pPr>
        <w:pStyle w:val="Body"/>
        <w:rPr>
          <w:rFonts w:ascii="Arial" w:eastAsia="Calibri" w:hAnsi="Arial" w:cs="Arial"/>
          <w:szCs w:val="22"/>
        </w:rPr>
      </w:pPr>
      <w:r w:rsidRPr="005653A8">
        <w:rPr>
          <w:rFonts w:ascii="Arial" w:eastAsia="Calibri" w:hAnsi="Arial" w:cs="Arial"/>
          <w:szCs w:val="22"/>
        </w:rPr>
        <w:t>Green tea in the form of green tea bags were purchased from the supermarket in Port Harcourt. Green tea is usually prepared as an extract (aqueous) from commercially available green tea leaves or bags. A known green tea bag weighing 2g per 100ml of distilled water. Distilled water was boiled and poured over the tea bags. The tea is allowed to steep for 10-20 minutes to extract the active component(s), the tea is filtered to remove the tea bags, leaving a clear green tea extract.</w:t>
      </w:r>
    </w:p>
    <w:p w14:paraId="262BF54F" w14:textId="77777777" w:rsidR="00A310DF" w:rsidRPr="000C0197" w:rsidRDefault="00A310DF" w:rsidP="00A310DF">
      <w:pPr>
        <w:pStyle w:val="Body"/>
        <w:spacing w:after="0"/>
        <w:rPr>
          <w:rFonts w:ascii="Arial" w:eastAsia="Calibri" w:hAnsi="Arial" w:cs="Arial"/>
          <w:b/>
          <w:bCs/>
          <w:szCs w:val="22"/>
        </w:rPr>
      </w:pPr>
      <w:r w:rsidRPr="000C0197">
        <w:rPr>
          <w:rFonts w:ascii="Arial" w:eastAsia="Calibri" w:hAnsi="Arial" w:cs="Arial"/>
          <w:b/>
          <w:bCs/>
          <w:szCs w:val="22"/>
        </w:rPr>
        <w:t>2.2.3 Honey Solution</w:t>
      </w:r>
    </w:p>
    <w:p w14:paraId="7F6EA506" w14:textId="77777777" w:rsidR="00A310DF" w:rsidRPr="005653A8" w:rsidRDefault="00A310DF" w:rsidP="00A310DF">
      <w:pPr>
        <w:pStyle w:val="Body"/>
        <w:rPr>
          <w:rFonts w:ascii="Arial" w:eastAsia="Calibri" w:hAnsi="Arial" w:cs="Arial"/>
          <w:szCs w:val="22"/>
        </w:rPr>
      </w:pPr>
      <w:r w:rsidRPr="00B5142B">
        <w:rPr>
          <w:rFonts w:ascii="Arial" w:eastAsia="Calibri" w:hAnsi="Arial" w:cs="Arial"/>
          <w:szCs w:val="22"/>
        </w:rPr>
        <w:t>The standard concentration of honey per body weight used for 1g/kg was 1g/ml. For the dilution process to take place, the standard concentration was first determined. Dilution was carried out with distilled water to achieve the desired result. In the dilution of the honey, 10% honey solution was prepared by dissolving 10g of honey in 90ml of distilled water to make a total amount of 100ml of a 10% solution.</w:t>
      </w:r>
    </w:p>
    <w:p w14:paraId="52BDC267" w14:textId="77777777" w:rsidR="00A310DF" w:rsidRPr="009C138A" w:rsidRDefault="00A310DF" w:rsidP="00A310DF">
      <w:pPr>
        <w:pStyle w:val="Body"/>
        <w:spacing w:after="0"/>
        <w:rPr>
          <w:rFonts w:ascii="Arial" w:eastAsia="Calibri" w:hAnsi="Arial" w:cs="Arial"/>
          <w:b/>
          <w:bCs/>
          <w:sz w:val="22"/>
          <w:szCs w:val="24"/>
        </w:rPr>
      </w:pPr>
      <w:r w:rsidRPr="009C138A">
        <w:rPr>
          <w:rFonts w:ascii="Arial" w:eastAsia="Calibri" w:hAnsi="Arial" w:cs="Arial"/>
          <w:b/>
          <w:bCs/>
          <w:sz w:val="22"/>
          <w:szCs w:val="24"/>
        </w:rPr>
        <w:t>2.3 Experimental Design</w:t>
      </w:r>
    </w:p>
    <w:p w14:paraId="54D7C08F"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After acclimatization, the rats were assigned into six (6) groups of five (5) rats each, and the study lasted for 15 days.</w:t>
      </w:r>
    </w:p>
    <w:p w14:paraId="7403114D"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1</w:t>
      </w:r>
      <w:r w:rsidRPr="005653A8">
        <w:rPr>
          <w:rFonts w:ascii="Arial" w:eastAsia="Calibri" w:hAnsi="Arial" w:cs="Arial"/>
          <w:szCs w:val="22"/>
        </w:rPr>
        <w:t>: Rats in this group were given only food and water for 15 days. They served as negative control for the study.</w:t>
      </w:r>
    </w:p>
    <w:p w14:paraId="34BBB1A2"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2</w:t>
      </w:r>
      <w:r w:rsidRPr="005653A8">
        <w:rPr>
          <w:rFonts w:ascii="Arial" w:eastAsia="Calibri" w:hAnsi="Arial" w:cs="Arial"/>
          <w:szCs w:val="22"/>
        </w:rPr>
        <w:t>: Rats in this group were given 23mg atrazine for 15 days to induce toxicity. They served</w:t>
      </w:r>
      <w:r>
        <w:rPr>
          <w:rFonts w:ascii="Arial" w:eastAsia="Calibri" w:hAnsi="Arial" w:cs="Arial"/>
          <w:szCs w:val="22"/>
        </w:rPr>
        <w:t xml:space="preserve"> </w:t>
      </w:r>
      <w:r w:rsidRPr="005653A8">
        <w:rPr>
          <w:rFonts w:ascii="Arial" w:eastAsia="Calibri" w:hAnsi="Arial" w:cs="Arial"/>
          <w:szCs w:val="22"/>
        </w:rPr>
        <w:t>as positive control for the study.</w:t>
      </w:r>
    </w:p>
    <w:p w14:paraId="1F9A54AB"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3:</w:t>
      </w:r>
      <w:r w:rsidRPr="005653A8">
        <w:rPr>
          <w:rFonts w:ascii="Arial" w:eastAsia="Calibri" w:hAnsi="Arial" w:cs="Arial"/>
          <w:szCs w:val="22"/>
        </w:rPr>
        <w:t xml:space="preserve"> Rats in this group were given 23mg atrazine and low dose (11.5mg) of green tea for 15 days.</w:t>
      </w:r>
    </w:p>
    <w:p w14:paraId="7EAEDC2A"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lastRenderedPageBreak/>
        <w:t>Group 4</w:t>
      </w:r>
      <w:r w:rsidRPr="005653A8">
        <w:rPr>
          <w:rFonts w:ascii="Arial" w:eastAsia="Calibri" w:hAnsi="Arial" w:cs="Arial"/>
          <w:szCs w:val="22"/>
        </w:rPr>
        <w:t>: Rats in this group were given 23mg of atrazine and high dose (46mg) of green tea for 15 days.</w:t>
      </w:r>
    </w:p>
    <w:p w14:paraId="1541325E"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5</w:t>
      </w:r>
      <w:r w:rsidRPr="005653A8">
        <w:rPr>
          <w:rFonts w:ascii="Arial" w:eastAsia="Calibri" w:hAnsi="Arial" w:cs="Arial"/>
          <w:szCs w:val="22"/>
        </w:rPr>
        <w:t>: Rats in this group were given 23mg of atrazine and 11.5mg of green tea and high dose of honey for 15 days.</w:t>
      </w:r>
    </w:p>
    <w:p w14:paraId="0136046A" w14:textId="77777777" w:rsidR="00A310DF" w:rsidRPr="005653A8" w:rsidRDefault="00A310DF" w:rsidP="00A310DF">
      <w:pPr>
        <w:pStyle w:val="Body"/>
        <w:rPr>
          <w:rFonts w:ascii="Arial" w:eastAsia="Calibri" w:hAnsi="Arial" w:cs="Arial"/>
          <w:szCs w:val="22"/>
        </w:rPr>
      </w:pPr>
      <w:r w:rsidRPr="009C138A">
        <w:rPr>
          <w:rFonts w:ascii="Arial" w:eastAsia="Calibri" w:hAnsi="Arial" w:cs="Arial"/>
          <w:b/>
          <w:bCs/>
          <w:szCs w:val="22"/>
        </w:rPr>
        <w:t>Group 6</w:t>
      </w:r>
      <w:r w:rsidRPr="005653A8">
        <w:rPr>
          <w:rFonts w:ascii="Arial" w:eastAsia="Calibri" w:hAnsi="Arial" w:cs="Arial"/>
          <w:szCs w:val="22"/>
        </w:rPr>
        <w:t>: Rats in this group were given 23mg of atrazine after 15 days of administering high dose of honey.</w:t>
      </w:r>
    </w:p>
    <w:p w14:paraId="1053F5D5" w14:textId="77777777" w:rsidR="00A310DF" w:rsidRPr="008C71A2" w:rsidRDefault="00A310DF" w:rsidP="00A310DF">
      <w:pPr>
        <w:pStyle w:val="Body"/>
        <w:spacing w:after="0"/>
        <w:rPr>
          <w:rFonts w:ascii="Arial" w:eastAsia="Calibri" w:hAnsi="Arial" w:cs="Arial"/>
          <w:b/>
          <w:bCs/>
          <w:sz w:val="22"/>
          <w:szCs w:val="24"/>
        </w:rPr>
      </w:pPr>
      <w:r w:rsidRPr="008C71A2">
        <w:rPr>
          <w:rFonts w:ascii="Arial" w:eastAsia="Calibri" w:hAnsi="Arial" w:cs="Arial"/>
          <w:b/>
          <w:bCs/>
          <w:sz w:val="22"/>
          <w:szCs w:val="24"/>
        </w:rPr>
        <w:t>2.4 Blood Collection and Preparation</w:t>
      </w:r>
    </w:p>
    <w:p w14:paraId="4E3EA977" w14:textId="77777777" w:rsidR="00957328" w:rsidRDefault="00957328" w:rsidP="00A310DF">
      <w:pPr>
        <w:pStyle w:val="Body"/>
        <w:rPr>
          <w:rFonts w:ascii="Arial" w:eastAsia="Calibri" w:hAnsi="Arial" w:cs="Arial"/>
          <w:szCs w:val="22"/>
        </w:rPr>
      </w:pPr>
      <w:r w:rsidRPr="00957328">
        <w:rPr>
          <w:rFonts w:ascii="Arial" w:eastAsia="Calibri" w:hAnsi="Arial" w:cs="Arial"/>
          <w:szCs w:val="22"/>
        </w:rPr>
        <w:t>At the end of the 15 days of experimental study, the rats in the respective groups were allowed to fast overnight and were then anaesthetized in a jar containing cotton wool soaked with chloroform, and blood samples were collected via cardiac puncture. Two mililitre(2ml) of blood samples was collected aseptically into plain bottles using 2ml sterile syringes. The blood was then taken to the laboratory where it was spun in a centrifuge for 5 minutes at 3000rpm. The serum was separated and transferred into another plain bottle for the analysis of kidney function (Urea, Creatinine, Sodium, Potassium, Chloride, and Bicarbonate).</w:t>
      </w:r>
    </w:p>
    <w:p w14:paraId="323636A6" w14:textId="4F24B4F3" w:rsidR="00A310DF" w:rsidRPr="008C71A2" w:rsidRDefault="00A310DF" w:rsidP="00A310DF">
      <w:pPr>
        <w:pStyle w:val="Body"/>
        <w:rPr>
          <w:rFonts w:ascii="Arial" w:eastAsia="Calibri" w:hAnsi="Arial" w:cs="Arial"/>
          <w:b/>
          <w:bCs/>
          <w:sz w:val="22"/>
          <w:szCs w:val="24"/>
        </w:rPr>
      </w:pPr>
      <w:r w:rsidRPr="008C71A2">
        <w:rPr>
          <w:rFonts w:ascii="Arial" w:eastAsia="Calibri" w:hAnsi="Arial" w:cs="Arial"/>
          <w:b/>
          <w:bCs/>
          <w:sz w:val="22"/>
          <w:szCs w:val="24"/>
        </w:rPr>
        <w:t>2.5 Sample Analysis</w:t>
      </w:r>
    </w:p>
    <w:p w14:paraId="49228A90" w14:textId="17C7CAA0"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2.5.1 Determination of Urea Concentration</w:t>
      </w:r>
      <w:r w:rsidRPr="00957328">
        <w:rPr>
          <w:rFonts w:ascii="Arial" w:eastAsia="Calibri" w:hAnsi="Arial" w:cs="Arial"/>
          <w:szCs w:val="22"/>
        </w:rPr>
        <w:t xml:space="preserve"> </w:t>
      </w:r>
    </w:p>
    <w:p w14:paraId="7675A7FD" w14:textId="6B90B287"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Method:</w:t>
      </w:r>
      <w:r>
        <w:rPr>
          <w:rFonts w:ascii="Arial" w:eastAsia="Calibri" w:hAnsi="Arial" w:cs="Arial"/>
          <w:szCs w:val="22"/>
        </w:rPr>
        <w:t xml:space="preserve"> </w:t>
      </w:r>
      <w:r w:rsidRPr="00957328">
        <w:rPr>
          <w:rFonts w:ascii="Arial" w:eastAsia="Calibri" w:hAnsi="Arial" w:cs="Arial"/>
          <w:szCs w:val="22"/>
        </w:rPr>
        <w:t>Enzymatic method</w:t>
      </w:r>
      <w:r w:rsidR="00E2169D" w:rsidRPr="00B32CDE">
        <w:rPr>
          <w:rFonts w:ascii="Arial" w:eastAsia="Calibri" w:hAnsi="Arial" w:cs="Arial"/>
          <w:szCs w:val="22"/>
        </w:rPr>
        <w:t xml:space="preserve"> [</w:t>
      </w:r>
      <w:r w:rsidR="000A2D40" w:rsidRPr="00B32CDE">
        <w:rPr>
          <w:rFonts w:ascii="Arial" w:eastAsia="Calibri" w:hAnsi="Arial" w:cs="Arial"/>
          <w:szCs w:val="22"/>
        </w:rPr>
        <w:t>14</w:t>
      </w:r>
      <w:r w:rsidR="00E2169D" w:rsidRPr="00B32CDE">
        <w:rPr>
          <w:rFonts w:ascii="Arial" w:eastAsia="Calibri" w:hAnsi="Arial" w:cs="Arial"/>
          <w:szCs w:val="22"/>
        </w:rPr>
        <w:t>]</w:t>
      </w:r>
      <w:r w:rsidRPr="00B32CDE">
        <w:rPr>
          <w:rFonts w:ascii="Arial" w:eastAsia="Calibri" w:hAnsi="Arial" w:cs="Arial"/>
          <w:szCs w:val="22"/>
        </w:rPr>
        <w:t>.</w:t>
      </w:r>
    </w:p>
    <w:p w14:paraId="66888816" w14:textId="3403619C"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Principle:</w:t>
      </w:r>
      <w:r>
        <w:rPr>
          <w:rFonts w:ascii="Arial" w:eastAsia="Calibri" w:hAnsi="Arial" w:cs="Arial"/>
          <w:szCs w:val="22"/>
        </w:rPr>
        <w:t xml:space="preserve"> </w:t>
      </w:r>
      <w:r w:rsidRPr="00957328">
        <w:rPr>
          <w:rFonts w:ascii="Arial" w:eastAsia="Calibri" w:hAnsi="Arial" w:cs="Arial"/>
          <w:szCs w:val="22"/>
        </w:rPr>
        <w:t xml:space="preserve">Urea is hydrolyzed in the presence of the enzyme urease to give ammonia which </w:t>
      </w:r>
    </w:p>
    <w:p w14:paraId="1ED9B193" w14:textId="3EF01428"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2.5.2 Determination of Creatinine Concentration</w:t>
      </w:r>
      <w:r w:rsidRPr="00957328">
        <w:rPr>
          <w:rFonts w:ascii="Arial" w:eastAsia="Calibri" w:hAnsi="Arial" w:cs="Arial"/>
          <w:szCs w:val="22"/>
        </w:rPr>
        <w:t xml:space="preserve"> </w:t>
      </w:r>
    </w:p>
    <w:p w14:paraId="207E185D" w14:textId="71B677F1"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Method:</w:t>
      </w:r>
      <w:r>
        <w:rPr>
          <w:rFonts w:ascii="Arial" w:eastAsia="Calibri" w:hAnsi="Arial" w:cs="Arial"/>
          <w:b/>
          <w:bCs/>
          <w:szCs w:val="22"/>
        </w:rPr>
        <w:t xml:space="preserve"> </w:t>
      </w:r>
      <w:r w:rsidRPr="00957328">
        <w:rPr>
          <w:rFonts w:ascii="Arial" w:eastAsia="Calibri" w:hAnsi="Arial" w:cs="Arial"/>
          <w:szCs w:val="22"/>
        </w:rPr>
        <w:t>Jaffe’s Method</w:t>
      </w:r>
      <w:r w:rsidR="00E2169D" w:rsidRPr="003B57CB">
        <w:rPr>
          <w:rFonts w:ascii="Arial" w:eastAsia="Calibri" w:hAnsi="Arial" w:cs="Arial"/>
          <w:szCs w:val="22"/>
        </w:rPr>
        <w:t xml:space="preserve"> [</w:t>
      </w:r>
      <w:r w:rsidR="000A2D40" w:rsidRPr="003B57CB">
        <w:rPr>
          <w:rFonts w:ascii="Arial" w:eastAsia="Calibri" w:hAnsi="Arial" w:cs="Arial"/>
          <w:szCs w:val="22"/>
        </w:rPr>
        <w:t>15</w:t>
      </w:r>
      <w:r w:rsidR="00E2169D" w:rsidRPr="003B57CB">
        <w:rPr>
          <w:rFonts w:ascii="Arial" w:eastAsia="Calibri" w:hAnsi="Arial" w:cs="Arial"/>
          <w:szCs w:val="22"/>
        </w:rPr>
        <w:t>]</w:t>
      </w:r>
    </w:p>
    <w:p w14:paraId="4ED3179A" w14:textId="020DB8E4"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Principle:</w:t>
      </w:r>
      <w:r w:rsidRPr="00957328">
        <w:rPr>
          <w:rFonts w:ascii="Arial" w:eastAsia="Calibri" w:hAnsi="Arial" w:cs="Arial"/>
          <w:szCs w:val="22"/>
        </w:rPr>
        <w:t xml:space="preserve"> Creatinine reacts with picric acid in an alkaline medium to produce yellow-red colour which is proportional to the amount in the sample.</w:t>
      </w:r>
    </w:p>
    <w:p w14:paraId="6842BF32" w14:textId="6273A82C" w:rsidR="00957328" w:rsidRPr="00957328" w:rsidRDefault="00BE699D" w:rsidP="00957328">
      <w:pPr>
        <w:pStyle w:val="Body"/>
        <w:rPr>
          <w:rFonts w:ascii="Arial" w:eastAsia="Calibri" w:hAnsi="Arial" w:cs="Arial"/>
          <w:szCs w:val="22"/>
        </w:rPr>
      </w:pPr>
      <w:r w:rsidRPr="00BE699D">
        <w:rPr>
          <w:rFonts w:ascii="Arial" w:eastAsia="Calibri" w:hAnsi="Arial" w:cs="Arial"/>
          <w:b/>
          <w:bCs/>
          <w:szCs w:val="22"/>
        </w:rPr>
        <w:t>2</w:t>
      </w:r>
      <w:r w:rsidR="00957328" w:rsidRPr="00BE699D">
        <w:rPr>
          <w:rFonts w:ascii="Arial" w:eastAsia="Calibri" w:hAnsi="Arial" w:cs="Arial"/>
          <w:b/>
          <w:bCs/>
          <w:szCs w:val="22"/>
        </w:rPr>
        <w:t>.</w:t>
      </w:r>
      <w:r w:rsidRPr="00BE699D">
        <w:rPr>
          <w:rFonts w:ascii="Arial" w:eastAsia="Calibri" w:hAnsi="Arial" w:cs="Arial"/>
          <w:b/>
          <w:bCs/>
          <w:szCs w:val="22"/>
        </w:rPr>
        <w:t>5</w:t>
      </w:r>
      <w:r w:rsidR="00957328" w:rsidRPr="00BE699D">
        <w:rPr>
          <w:rFonts w:ascii="Arial" w:eastAsia="Calibri" w:hAnsi="Arial" w:cs="Arial"/>
          <w:b/>
          <w:bCs/>
          <w:szCs w:val="22"/>
        </w:rPr>
        <w:t>.3 Determination of Potassium</w:t>
      </w:r>
      <w:r w:rsidR="00957328" w:rsidRPr="00957328">
        <w:rPr>
          <w:rFonts w:ascii="Arial" w:eastAsia="Calibri" w:hAnsi="Arial" w:cs="Arial"/>
          <w:szCs w:val="22"/>
        </w:rPr>
        <w:t xml:space="preserve"> </w:t>
      </w:r>
    </w:p>
    <w:p w14:paraId="20020C74" w14:textId="79E2571F"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Method</w:t>
      </w:r>
      <w:r w:rsidR="00BE699D" w:rsidRPr="00BE699D">
        <w:rPr>
          <w:rFonts w:ascii="Arial" w:eastAsia="Calibri" w:hAnsi="Arial" w:cs="Arial"/>
          <w:b/>
          <w:bCs/>
          <w:szCs w:val="22"/>
        </w:rPr>
        <w:t>:</w:t>
      </w:r>
      <w:r w:rsidRPr="00957328">
        <w:rPr>
          <w:rFonts w:ascii="Arial" w:eastAsia="Calibri" w:hAnsi="Arial" w:cs="Arial"/>
          <w:szCs w:val="22"/>
        </w:rPr>
        <w:t xml:space="preserve"> Enymatic Method</w:t>
      </w:r>
      <w:r w:rsidR="00BE699D">
        <w:rPr>
          <w:rFonts w:ascii="Arial" w:eastAsia="Calibri" w:hAnsi="Arial" w:cs="Arial"/>
          <w:szCs w:val="22"/>
        </w:rPr>
        <w:t xml:space="preserve"> </w:t>
      </w:r>
      <w:r w:rsidR="00E2169D">
        <w:rPr>
          <w:rFonts w:ascii="Arial" w:eastAsia="Calibri" w:hAnsi="Arial" w:cs="Arial"/>
          <w:szCs w:val="22"/>
        </w:rPr>
        <w:t>[</w:t>
      </w:r>
      <w:r w:rsidR="00347EA1">
        <w:rPr>
          <w:rFonts w:ascii="Arial" w:eastAsia="Calibri" w:hAnsi="Arial" w:cs="Arial"/>
          <w:szCs w:val="22"/>
        </w:rPr>
        <w:t>16</w:t>
      </w:r>
      <w:r w:rsidR="00E2169D">
        <w:rPr>
          <w:rFonts w:ascii="Arial" w:eastAsia="Calibri" w:hAnsi="Arial" w:cs="Arial"/>
          <w:szCs w:val="22"/>
        </w:rPr>
        <w:t>]</w:t>
      </w:r>
    </w:p>
    <w:p w14:paraId="0687967A" w14:textId="25664A2D"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 xml:space="preserve">The enzymatic reaction for K+ assay is based on conversion of phosphoenolpyruvate into pyruvate by K+ dependent pyruvate kinase. In presence of reduced nicotinamide adenine dinucleotide (NADH), the pyruvate generated is converted to lactate in a reaction catalyzed by lactate dehydrogenase. The K+ concentration present in the sample is proportional to reduction of the optical density at 630 nm as a function of NADH oxidation to nicotinamide adenine oxidized dinucleotide. </w:t>
      </w:r>
    </w:p>
    <w:p w14:paraId="4EF82150" w14:textId="0C77BB70" w:rsidR="00957328" w:rsidRPr="0066307A" w:rsidRDefault="00BE699D" w:rsidP="00957328">
      <w:pPr>
        <w:pStyle w:val="Body"/>
        <w:rPr>
          <w:rFonts w:ascii="Arial" w:eastAsia="Calibri" w:hAnsi="Arial" w:cs="Arial"/>
          <w:b/>
          <w:bCs/>
          <w:szCs w:val="22"/>
        </w:rPr>
      </w:pPr>
      <w:r w:rsidRPr="0066307A">
        <w:rPr>
          <w:rFonts w:ascii="Arial" w:eastAsia="Calibri" w:hAnsi="Arial" w:cs="Arial"/>
          <w:b/>
          <w:bCs/>
          <w:szCs w:val="22"/>
        </w:rPr>
        <w:t>2</w:t>
      </w:r>
      <w:r w:rsidR="00957328" w:rsidRPr="0066307A">
        <w:rPr>
          <w:rFonts w:ascii="Arial" w:eastAsia="Calibri" w:hAnsi="Arial" w:cs="Arial"/>
          <w:b/>
          <w:bCs/>
          <w:szCs w:val="22"/>
        </w:rPr>
        <w:t>.</w:t>
      </w:r>
      <w:r w:rsidRPr="0066307A">
        <w:rPr>
          <w:rFonts w:ascii="Arial" w:eastAsia="Calibri" w:hAnsi="Arial" w:cs="Arial"/>
          <w:b/>
          <w:bCs/>
          <w:szCs w:val="22"/>
        </w:rPr>
        <w:t>5</w:t>
      </w:r>
      <w:r w:rsidR="00957328" w:rsidRPr="0066307A">
        <w:rPr>
          <w:rFonts w:ascii="Arial" w:eastAsia="Calibri" w:hAnsi="Arial" w:cs="Arial"/>
          <w:b/>
          <w:bCs/>
          <w:szCs w:val="22"/>
        </w:rPr>
        <w:t>.4</w:t>
      </w:r>
      <w:r w:rsidRPr="0066307A">
        <w:rPr>
          <w:rFonts w:ascii="Arial" w:eastAsia="Calibri" w:hAnsi="Arial" w:cs="Arial"/>
          <w:b/>
          <w:bCs/>
          <w:szCs w:val="22"/>
        </w:rPr>
        <w:t xml:space="preserve"> </w:t>
      </w:r>
      <w:r w:rsidR="00957328" w:rsidRPr="0066307A">
        <w:rPr>
          <w:rFonts w:ascii="Arial" w:eastAsia="Calibri" w:hAnsi="Arial" w:cs="Arial"/>
          <w:b/>
          <w:bCs/>
          <w:szCs w:val="22"/>
        </w:rPr>
        <w:t xml:space="preserve">Determination of Sodium </w:t>
      </w:r>
    </w:p>
    <w:p w14:paraId="72D1DA78" w14:textId="7D100B4B" w:rsidR="00957328" w:rsidRPr="00957328" w:rsidRDefault="00957328" w:rsidP="00957328">
      <w:pPr>
        <w:pStyle w:val="Body"/>
        <w:rPr>
          <w:rFonts w:ascii="Arial" w:eastAsia="Calibri" w:hAnsi="Arial" w:cs="Arial"/>
          <w:szCs w:val="22"/>
        </w:rPr>
      </w:pPr>
      <w:r w:rsidRPr="00957328">
        <w:rPr>
          <w:rFonts w:ascii="Arial" w:eastAsia="Calibri" w:hAnsi="Arial" w:cs="Arial"/>
          <w:szCs w:val="22"/>
        </w:rPr>
        <w:t>Method</w:t>
      </w:r>
      <w:r w:rsidR="00BE699D">
        <w:rPr>
          <w:rFonts w:ascii="Arial" w:eastAsia="Calibri" w:hAnsi="Arial" w:cs="Arial"/>
          <w:szCs w:val="22"/>
        </w:rPr>
        <w:t xml:space="preserve">: </w:t>
      </w:r>
      <w:r w:rsidRPr="00957328">
        <w:rPr>
          <w:rFonts w:ascii="Arial" w:eastAsia="Calibri" w:hAnsi="Arial" w:cs="Arial"/>
          <w:szCs w:val="22"/>
        </w:rPr>
        <w:t>Enzymatic Method</w:t>
      </w:r>
      <w:r w:rsidR="00E2169D">
        <w:rPr>
          <w:rFonts w:ascii="Arial" w:eastAsia="Calibri" w:hAnsi="Arial" w:cs="Arial"/>
          <w:szCs w:val="22"/>
        </w:rPr>
        <w:t xml:space="preserve"> [</w:t>
      </w:r>
      <w:r w:rsidR="00347EA1">
        <w:rPr>
          <w:rFonts w:ascii="Arial" w:eastAsia="Calibri" w:hAnsi="Arial" w:cs="Arial"/>
          <w:szCs w:val="22"/>
        </w:rPr>
        <w:t>16</w:t>
      </w:r>
      <w:r w:rsidR="00E2169D">
        <w:rPr>
          <w:rFonts w:ascii="Arial" w:eastAsia="Calibri" w:hAnsi="Arial" w:cs="Arial"/>
          <w:szCs w:val="22"/>
        </w:rPr>
        <w:t>]</w:t>
      </w:r>
    </w:p>
    <w:p w14:paraId="44DB711B" w14:textId="74066C53"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The method relies on the activation of a reaction between sodium-dependent β-D-galactosidase and its substrate, O-</w:t>
      </w:r>
      <w:r w:rsidR="00E2169D" w:rsidRPr="00957328">
        <w:rPr>
          <w:rFonts w:ascii="Arial" w:eastAsia="Calibri" w:hAnsi="Arial" w:cs="Arial"/>
          <w:szCs w:val="22"/>
        </w:rPr>
        <w:t>nitrophenyl-D</w:t>
      </w:r>
      <w:r w:rsidRPr="00957328">
        <w:rPr>
          <w:rFonts w:ascii="Arial" w:eastAsia="Calibri" w:hAnsi="Arial" w:cs="Arial"/>
          <w:szCs w:val="22"/>
        </w:rPr>
        <w:t>-galactopyranose (ONPG), which is converted into O-nitrophenyl and galactose in the presence of Na+ in the sample. The rate of product formation, measured at 578 nm, is directly proportional to the amount of sodium present in the sample.</w:t>
      </w:r>
    </w:p>
    <w:p w14:paraId="1F301D0B" w14:textId="36887D6C" w:rsidR="00957328" w:rsidRPr="00957328" w:rsidRDefault="00BE699D" w:rsidP="00957328">
      <w:pPr>
        <w:pStyle w:val="Body"/>
        <w:rPr>
          <w:rFonts w:ascii="Arial" w:eastAsia="Calibri" w:hAnsi="Arial" w:cs="Arial"/>
          <w:szCs w:val="22"/>
        </w:rPr>
      </w:pPr>
      <w:r w:rsidRPr="00BE699D">
        <w:rPr>
          <w:rFonts w:ascii="Arial" w:eastAsia="Calibri" w:hAnsi="Arial" w:cs="Arial"/>
          <w:b/>
          <w:bCs/>
          <w:szCs w:val="22"/>
        </w:rPr>
        <w:lastRenderedPageBreak/>
        <w:t>2</w:t>
      </w:r>
      <w:r w:rsidR="00957328" w:rsidRPr="00BE699D">
        <w:rPr>
          <w:rFonts w:ascii="Arial" w:eastAsia="Calibri" w:hAnsi="Arial" w:cs="Arial"/>
          <w:b/>
          <w:bCs/>
          <w:szCs w:val="22"/>
        </w:rPr>
        <w:t>.</w:t>
      </w:r>
      <w:r w:rsidRPr="00BE699D">
        <w:rPr>
          <w:rFonts w:ascii="Arial" w:eastAsia="Calibri" w:hAnsi="Arial" w:cs="Arial"/>
          <w:b/>
          <w:bCs/>
          <w:szCs w:val="22"/>
        </w:rPr>
        <w:t>5</w:t>
      </w:r>
      <w:r w:rsidR="00957328" w:rsidRPr="00BE699D">
        <w:rPr>
          <w:rFonts w:ascii="Arial" w:eastAsia="Calibri" w:hAnsi="Arial" w:cs="Arial"/>
          <w:b/>
          <w:bCs/>
          <w:szCs w:val="22"/>
        </w:rPr>
        <w:t>.5 Determination of Chloride</w:t>
      </w:r>
      <w:r w:rsidR="00957328" w:rsidRPr="00957328">
        <w:rPr>
          <w:rFonts w:ascii="Arial" w:eastAsia="Calibri" w:hAnsi="Arial" w:cs="Arial"/>
          <w:szCs w:val="22"/>
        </w:rPr>
        <w:t xml:space="preserve"> </w:t>
      </w:r>
    </w:p>
    <w:p w14:paraId="13D70158" w14:textId="716FDC47"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Method</w:t>
      </w:r>
      <w:r w:rsidR="00BE699D" w:rsidRPr="00BE699D">
        <w:rPr>
          <w:rFonts w:ascii="Arial" w:eastAsia="Calibri" w:hAnsi="Arial" w:cs="Arial"/>
          <w:b/>
          <w:bCs/>
          <w:szCs w:val="22"/>
        </w:rPr>
        <w:t>:</w:t>
      </w:r>
      <w:r w:rsidR="00BE699D">
        <w:rPr>
          <w:rFonts w:ascii="Arial" w:eastAsia="Calibri" w:hAnsi="Arial" w:cs="Arial"/>
          <w:szCs w:val="22"/>
        </w:rPr>
        <w:t xml:space="preserve"> </w:t>
      </w:r>
      <w:r w:rsidR="00BE699D" w:rsidRPr="00957328">
        <w:rPr>
          <w:rFonts w:ascii="Arial" w:eastAsia="Calibri" w:hAnsi="Arial" w:cs="Arial"/>
          <w:szCs w:val="22"/>
        </w:rPr>
        <w:t>Enzymatic Method</w:t>
      </w:r>
      <w:r w:rsidR="00BE699D">
        <w:rPr>
          <w:rFonts w:ascii="Arial" w:eastAsia="Calibri" w:hAnsi="Arial" w:cs="Arial"/>
          <w:szCs w:val="22"/>
        </w:rPr>
        <w:t xml:space="preserve"> </w:t>
      </w:r>
      <w:r w:rsidR="00E2169D">
        <w:rPr>
          <w:rFonts w:ascii="Arial" w:eastAsia="Calibri" w:hAnsi="Arial" w:cs="Arial"/>
          <w:szCs w:val="22"/>
        </w:rPr>
        <w:t>[</w:t>
      </w:r>
      <w:r w:rsidR="00BF67EA">
        <w:rPr>
          <w:rFonts w:ascii="Arial" w:eastAsia="Calibri" w:hAnsi="Arial" w:cs="Arial"/>
          <w:szCs w:val="22"/>
        </w:rPr>
        <w:t>16</w:t>
      </w:r>
      <w:r w:rsidR="00E2169D">
        <w:rPr>
          <w:rFonts w:ascii="Arial" w:eastAsia="Calibri" w:hAnsi="Arial" w:cs="Arial"/>
          <w:szCs w:val="22"/>
        </w:rPr>
        <w:t>]</w:t>
      </w:r>
    </w:p>
    <w:p w14:paraId="3EDA4381" w14:textId="549E8328"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The chloride ion displaces thiocyanate from non-ionized mercuric thiocyanate to form mercuric chlorite and thiocyanate ions. The released thiocynates ions reacts with ferric ions to form a colour complex that absorbs light at 480nm. The intensity of the colour produced is directly proportional to the chloride concentration.</w:t>
      </w:r>
    </w:p>
    <w:p w14:paraId="5E13B5B2" w14:textId="1E876DEB" w:rsidR="00957328" w:rsidRPr="00C80F40" w:rsidRDefault="00C80F40" w:rsidP="00957328">
      <w:pPr>
        <w:pStyle w:val="Body"/>
        <w:rPr>
          <w:rFonts w:ascii="Arial" w:eastAsia="Calibri" w:hAnsi="Arial" w:cs="Arial"/>
          <w:b/>
          <w:bCs/>
          <w:szCs w:val="22"/>
        </w:rPr>
      </w:pPr>
      <w:r w:rsidRPr="00C80F40">
        <w:rPr>
          <w:rFonts w:ascii="Arial" w:eastAsia="Calibri" w:hAnsi="Arial" w:cs="Arial"/>
          <w:b/>
          <w:bCs/>
          <w:szCs w:val="22"/>
        </w:rPr>
        <w:t>2</w:t>
      </w:r>
      <w:r w:rsidR="00957328" w:rsidRPr="00C80F40">
        <w:rPr>
          <w:rFonts w:ascii="Arial" w:eastAsia="Calibri" w:hAnsi="Arial" w:cs="Arial"/>
          <w:b/>
          <w:bCs/>
          <w:szCs w:val="22"/>
        </w:rPr>
        <w:t>.</w:t>
      </w:r>
      <w:r w:rsidRPr="00C80F40">
        <w:rPr>
          <w:rFonts w:ascii="Arial" w:eastAsia="Calibri" w:hAnsi="Arial" w:cs="Arial"/>
          <w:b/>
          <w:bCs/>
          <w:szCs w:val="22"/>
        </w:rPr>
        <w:t>6</w:t>
      </w:r>
      <w:r w:rsidR="00957328" w:rsidRPr="00C80F40">
        <w:rPr>
          <w:rFonts w:ascii="Arial" w:eastAsia="Calibri" w:hAnsi="Arial" w:cs="Arial"/>
          <w:b/>
          <w:bCs/>
          <w:szCs w:val="22"/>
        </w:rPr>
        <w:t xml:space="preserve">.6 Determination of Bicarbonate </w:t>
      </w:r>
    </w:p>
    <w:p w14:paraId="4FD81F3A" w14:textId="11D2E6CA" w:rsidR="00957328" w:rsidRPr="00957328" w:rsidRDefault="00957328" w:rsidP="00957328">
      <w:pPr>
        <w:pStyle w:val="Body"/>
        <w:rPr>
          <w:rFonts w:ascii="Arial" w:eastAsia="Calibri" w:hAnsi="Arial" w:cs="Arial"/>
          <w:szCs w:val="22"/>
        </w:rPr>
      </w:pPr>
      <w:r w:rsidRPr="00957328">
        <w:rPr>
          <w:rFonts w:ascii="Arial" w:eastAsia="Calibri" w:hAnsi="Arial" w:cs="Arial"/>
          <w:szCs w:val="22"/>
        </w:rPr>
        <w:t>Method</w:t>
      </w:r>
      <w:r w:rsidR="00C80F40">
        <w:rPr>
          <w:rFonts w:ascii="Arial" w:eastAsia="Calibri" w:hAnsi="Arial" w:cs="Arial"/>
          <w:szCs w:val="22"/>
        </w:rPr>
        <w:t xml:space="preserve">: </w:t>
      </w:r>
      <w:r w:rsidRPr="00957328">
        <w:rPr>
          <w:rFonts w:ascii="Arial" w:eastAsia="Calibri" w:hAnsi="Arial" w:cs="Arial"/>
          <w:szCs w:val="22"/>
        </w:rPr>
        <w:t>Enzymatic Method</w:t>
      </w:r>
      <w:r w:rsidR="00C80F40">
        <w:rPr>
          <w:rFonts w:ascii="Arial" w:eastAsia="Calibri" w:hAnsi="Arial" w:cs="Arial"/>
          <w:szCs w:val="22"/>
        </w:rPr>
        <w:t xml:space="preserve"> </w:t>
      </w:r>
      <w:r w:rsidR="00E2169D">
        <w:rPr>
          <w:rFonts w:ascii="Arial" w:eastAsia="Calibri" w:hAnsi="Arial" w:cs="Arial"/>
          <w:szCs w:val="22"/>
        </w:rPr>
        <w:t>[</w:t>
      </w:r>
      <w:r w:rsidR="00BF67EA">
        <w:rPr>
          <w:rFonts w:ascii="Arial" w:eastAsia="Calibri" w:hAnsi="Arial" w:cs="Arial"/>
          <w:szCs w:val="22"/>
        </w:rPr>
        <w:t>16</w:t>
      </w:r>
      <w:r w:rsidR="00E2169D">
        <w:rPr>
          <w:rFonts w:ascii="Arial" w:eastAsia="Calibri" w:hAnsi="Arial" w:cs="Arial"/>
          <w:szCs w:val="22"/>
        </w:rPr>
        <w:t>]</w:t>
      </w:r>
    </w:p>
    <w:p w14:paraId="063A4800" w14:textId="2D1ED9A7" w:rsidR="00957328" w:rsidRPr="00957328" w:rsidRDefault="00957328" w:rsidP="00957328">
      <w:pPr>
        <w:pStyle w:val="Body"/>
        <w:rPr>
          <w:rFonts w:ascii="Arial" w:eastAsia="Calibri" w:hAnsi="Arial" w:cs="Arial"/>
          <w:szCs w:val="22"/>
        </w:rPr>
      </w:pPr>
      <w:r w:rsidRPr="00C80F40">
        <w:rPr>
          <w:rFonts w:ascii="Arial" w:eastAsia="Calibri" w:hAnsi="Arial" w:cs="Arial"/>
          <w:b/>
          <w:bCs/>
          <w:szCs w:val="22"/>
        </w:rPr>
        <w:t>Principle</w:t>
      </w:r>
      <w:r w:rsidR="00C80F40" w:rsidRPr="00C80F40">
        <w:rPr>
          <w:rFonts w:ascii="Arial" w:eastAsia="Calibri" w:hAnsi="Arial" w:cs="Arial"/>
          <w:b/>
          <w:bCs/>
          <w:szCs w:val="22"/>
        </w:rPr>
        <w:t>:</w:t>
      </w:r>
      <w:r w:rsidR="00C80F40">
        <w:rPr>
          <w:rFonts w:ascii="Arial" w:eastAsia="Calibri" w:hAnsi="Arial" w:cs="Arial"/>
          <w:szCs w:val="22"/>
        </w:rPr>
        <w:t xml:space="preserve"> </w:t>
      </w:r>
      <w:r w:rsidRPr="00957328">
        <w:rPr>
          <w:rFonts w:ascii="Arial" w:eastAsia="Calibri" w:hAnsi="Arial" w:cs="Arial"/>
          <w:szCs w:val="22"/>
        </w:rPr>
        <w:t xml:space="preserve">Bicarbonate reacts with Phosphoenolpyruvate (PEP) in the presence of Phosphoenolpyruvate Carboxylase, forming Oxaloacetate. This Oxaloacetate is then reduced to </w:t>
      </w:r>
      <w:r w:rsidR="00C80F40" w:rsidRPr="00957328">
        <w:rPr>
          <w:rFonts w:ascii="Arial" w:eastAsia="Calibri" w:hAnsi="Arial" w:cs="Arial"/>
          <w:szCs w:val="22"/>
        </w:rPr>
        <w:t>Malate-by-Malate</w:t>
      </w:r>
      <w:r w:rsidRPr="00957328">
        <w:rPr>
          <w:rFonts w:ascii="Arial" w:eastAsia="Calibri" w:hAnsi="Arial" w:cs="Arial"/>
          <w:szCs w:val="22"/>
        </w:rPr>
        <w:t xml:space="preserve"> Dehydrogenase, utilizing NADH, which is oxidized to NAD+. The decrease in absorbance at 340nm correlates with bicarbonate concentration. </w:t>
      </w:r>
    </w:p>
    <w:p w14:paraId="7524E12D" w14:textId="51DC06B1" w:rsidR="00A310DF" w:rsidRPr="006F0033" w:rsidRDefault="00A310DF" w:rsidP="00A310DF">
      <w:pPr>
        <w:pStyle w:val="Body"/>
        <w:spacing w:after="0"/>
        <w:rPr>
          <w:rFonts w:ascii="Arial" w:eastAsia="Calibri" w:hAnsi="Arial" w:cs="Arial"/>
          <w:b/>
          <w:bCs/>
          <w:sz w:val="22"/>
          <w:szCs w:val="24"/>
        </w:rPr>
      </w:pPr>
      <w:r w:rsidRPr="006F0033">
        <w:rPr>
          <w:rFonts w:ascii="Arial" w:eastAsia="Calibri" w:hAnsi="Arial" w:cs="Arial"/>
          <w:b/>
          <w:bCs/>
          <w:sz w:val="22"/>
          <w:szCs w:val="24"/>
        </w:rPr>
        <w:t>2.6 Statistical Analysis</w:t>
      </w:r>
    </w:p>
    <w:p w14:paraId="22DF67FF" w14:textId="56C1540C" w:rsidR="00A310DF" w:rsidRDefault="00A310DF" w:rsidP="00A310DF">
      <w:pPr>
        <w:pStyle w:val="Body"/>
        <w:spacing w:after="0"/>
        <w:rPr>
          <w:rFonts w:ascii="Arial" w:eastAsia="Calibri" w:hAnsi="Arial" w:cs="Arial"/>
          <w:szCs w:val="22"/>
        </w:rPr>
      </w:pPr>
      <w:r w:rsidRPr="005653A8">
        <w:rPr>
          <w:rFonts w:ascii="Arial" w:eastAsia="Calibri" w:hAnsi="Arial" w:cs="Arial"/>
          <w:szCs w:val="22"/>
        </w:rPr>
        <w:t xml:space="preserve">The data generated from the analysis was expressed as Mean ± standard deviation and </w:t>
      </w:r>
      <w:r w:rsidR="00A47605" w:rsidRPr="005653A8">
        <w:rPr>
          <w:rFonts w:ascii="Arial" w:eastAsia="Calibri" w:hAnsi="Arial" w:cs="Arial"/>
          <w:szCs w:val="22"/>
        </w:rPr>
        <w:t>analyzed</w:t>
      </w:r>
      <w:r w:rsidRPr="005653A8">
        <w:rPr>
          <w:rFonts w:ascii="Arial" w:eastAsia="Calibri" w:hAnsi="Arial" w:cs="Arial"/>
          <w:szCs w:val="22"/>
        </w:rPr>
        <w:t xml:space="preserve"> using the </w:t>
      </w:r>
      <w:r w:rsidR="00A47605" w:rsidRPr="005653A8">
        <w:rPr>
          <w:rFonts w:ascii="Arial" w:eastAsia="Calibri" w:hAnsi="Arial" w:cs="Arial"/>
          <w:szCs w:val="22"/>
        </w:rPr>
        <w:t>GraphPad</w:t>
      </w:r>
      <w:r w:rsidRPr="005653A8">
        <w:rPr>
          <w:rFonts w:ascii="Arial" w:eastAsia="Calibri" w:hAnsi="Arial" w:cs="Arial"/>
          <w:szCs w:val="22"/>
        </w:rPr>
        <w:t xml:space="preserve"> prism version 10.0. Comparison of the mean and standard deviation values were made for the various parameters for the various groups using the one-way ANOVA and Tukey’s tests. Results were considered statistically significant at 95% confidence interval (p&lt;0.05).</w:t>
      </w:r>
    </w:p>
    <w:p w14:paraId="60F0C62A" w14:textId="77777777" w:rsidR="00A47605" w:rsidRDefault="00A47605" w:rsidP="00A310DF">
      <w:pPr>
        <w:pStyle w:val="Body"/>
        <w:spacing w:after="0"/>
        <w:rPr>
          <w:rFonts w:ascii="Arial" w:eastAsia="Calibri" w:hAnsi="Arial" w:cs="Arial"/>
          <w:szCs w:val="22"/>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F04303" w14:textId="77777777" w:rsidR="00A47605" w:rsidRDefault="00A47605" w:rsidP="00A47605">
      <w:pPr>
        <w:rPr>
          <w:rFonts w:ascii="Arial" w:hAnsi="Arial" w:cs="Arial"/>
          <w:b/>
          <w:bCs/>
        </w:rPr>
      </w:pPr>
    </w:p>
    <w:p w14:paraId="68FEDE07" w14:textId="7A016575" w:rsidR="00A47605" w:rsidRPr="003F364A" w:rsidRDefault="00A47605" w:rsidP="00A47605">
      <w:pPr>
        <w:rPr>
          <w:rFonts w:ascii="Arial" w:hAnsi="Arial" w:cs="Arial"/>
          <w:b/>
          <w:bCs/>
        </w:rPr>
      </w:pPr>
      <w:r w:rsidRPr="003F364A">
        <w:rPr>
          <w:rFonts w:ascii="Arial" w:hAnsi="Arial" w:cs="Arial"/>
          <w:b/>
          <w:bCs/>
        </w:rPr>
        <w:t>Table 1: Descriptive and Inferential Results for Control and Treatment Groups (Urea and Creatinine)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731"/>
        <w:gridCol w:w="2756"/>
      </w:tblGrid>
      <w:tr w:rsidR="00A47605" w:rsidRPr="003F364A" w14:paraId="08777D72" w14:textId="77777777" w:rsidTr="0061276B">
        <w:trPr>
          <w:trHeight w:val="332"/>
        </w:trPr>
        <w:tc>
          <w:tcPr>
            <w:tcW w:w="3119" w:type="dxa"/>
            <w:tcBorders>
              <w:top w:val="single" w:sz="4" w:space="0" w:color="auto"/>
              <w:bottom w:val="single" w:sz="4" w:space="0" w:color="auto"/>
            </w:tcBorders>
          </w:tcPr>
          <w:p w14:paraId="1498A57C" w14:textId="77777777" w:rsidR="00A47605" w:rsidRPr="003F364A" w:rsidRDefault="00A47605" w:rsidP="0061276B">
            <w:pPr>
              <w:rPr>
                <w:rFonts w:ascii="Arial" w:hAnsi="Arial" w:cs="Arial"/>
                <w:b/>
                <w:sz w:val="20"/>
                <w:szCs w:val="20"/>
              </w:rPr>
            </w:pPr>
          </w:p>
        </w:tc>
        <w:tc>
          <w:tcPr>
            <w:tcW w:w="3121" w:type="dxa"/>
            <w:tcBorders>
              <w:top w:val="single" w:sz="4" w:space="0" w:color="auto"/>
              <w:bottom w:val="single" w:sz="4" w:space="0" w:color="auto"/>
            </w:tcBorders>
          </w:tcPr>
          <w:p w14:paraId="3F1151F3"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Urea</w:t>
            </w:r>
            <w:r>
              <w:rPr>
                <w:rFonts w:ascii="Arial" w:hAnsi="Arial" w:cs="Arial"/>
                <w:b/>
                <w:bCs/>
                <w:sz w:val="20"/>
                <w:szCs w:val="20"/>
              </w:rPr>
              <w:t xml:space="preserve"> </w:t>
            </w:r>
            <w:r w:rsidRPr="003F364A">
              <w:rPr>
                <w:rFonts w:ascii="Arial" w:hAnsi="Arial" w:cs="Arial"/>
                <w:b/>
                <w:bCs/>
                <w:sz w:val="20"/>
                <w:szCs w:val="20"/>
              </w:rPr>
              <w:t>(mmol/L)</w:t>
            </w:r>
          </w:p>
        </w:tc>
        <w:tc>
          <w:tcPr>
            <w:tcW w:w="3120" w:type="dxa"/>
            <w:tcBorders>
              <w:top w:val="single" w:sz="4" w:space="0" w:color="auto"/>
              <w:bottom w:val="single" w:sz="4" w:space="0" w:color="auto"/>
            </w:tcBorders>
          </w:tcPr>
          <w:p w14:paraId="1681B132"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Creatinine</w:t>
            </w:r>
            <w:r>
              <w:rPr>
                <w:rFonts w:ascii="Arial" w:hAnsi="Arial" w:cs="Arial"/>
                <w:b/>
                <w:bCs/>
                <w:sz w:val="20"/>
                <w:szCs w:val="20"/>
              </w:rPr>
              <w:t xml:space="preserve"> </w:t>
            </w:r>
            <w:r w:rsidRPr="003F364A">
              <w:rPr>
                <w:rFonts w:ascii="Arial" w:hAnsi="Arial" w:cs="Arial"/>
                <w:b/>
                <w:bCs/>
                <w:sz w:val="20"/>
                <w:szCs w:val="20"/>
              </w:rPr>
              <w:t>(umol/L)</w:t>
            </w:r>
          </w:p>
        </w:tc>
      </w:tr>
      <w:tr w:rsidR="00A47605" w:rsidRPr="003F364A" w14:paraId="3A4C188F" w14:textId="77777777" w:rsidTr="0061276B">
        <w:trPr>
          <w:trHeight w:val="265"/>
        </w:trPr>
        <w:tc>
          <w:tcPr>
            <w:tcW w:w="3119" w:type="dxa"/>
            <w:tcBorders>
              <w:top w:val="single" w:sz="4" w:space="0" w:color="auto"/>
            </w:tcBorders>
          </w:tcPr>
          <w:p w14:paraId="6B142D51"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 (NC)</w:t>
            </w:r>
          </w:p>
        </w:tc>
        <w:tc>
          <w:tcPr>
            <w:tcW w:w="3121" w:type="dxa"/>
            <w:tcBorders>
              <w:top w:val="single" w:sz="4" w:space="0" w:color="auto"/>
            </w:tcBorders>
          </w:tcPr>
          <w:p w14:paraId="001B7165" w14:textId="77777777" w:rsidR="00A47605" w:rsidRPr="003F364A" w:rsidRDefault="00A47605" w:rsidP="0061276B">
            <w:pPr>
              <w:rPr>
                <w:rFonts w:ascii="Arial" w:hAnsi="Arial" w:cs="Arial"/>
                <w:sz w:val="20"/>
                <w:szCs w:val="20"/>
                <w:vertAlign w:val="superscript"/>
              </w:rPr>
            </w:pPr>
            <w:r w:rsidRPr="003F364A">
              <w:rPr>
                <w:rFonts w:ascii="Arial" w:hAnsi="Arial" w:cs="Arial"/>
                <w:sz w:val="20"/>
                <w:szCs w:val="20"/>
              </w:rPr>
              <w:t>4.02 ± 0.64</w:t>
            </w:r>
          </w:p>
        </w:tc>
        <w:tc>
          <w:tcPr>
            <w:tcW w:w="3120" w:type="dxa"/>
            <w:tcBorders>
              <w:top w:val="single" w:sz="4" w:space="0" w:color="auto"/>
            </w:tcBorders>
          </w:tcPr>
          <w:p w14:paraId="37D9D1A2" w14:textId="77777777" w:rsidR="00A47605" w:rsidRPr="003F364A" w:rsidRDefault="00A47605" w:rsidP="0061276B">
            <w:pPr>
              <w:rPr>
                <w:rFonts w:ascii="Arial" w:hAnsi="Arial" w:cs="Arial"/>
                <w:sz w:val="20"/>
                <w:szCs w:val="20"/>
              </w:rPr>
            </w:pPr>
            <w:r w:rsidRPr="003F364A">
              <w:rPr>
                <w:rFonts w:ascii="Arial" w:hAnsi="Arial" w:cs="Arial"/>
                <w:sz w:val="20"/>
                <w:szCs w:val="20"/>
              </w:rPr>
              <w:t>51.00 ± 9.05</w:t>
            </w:r>
          </w:p>
        </w:tc>
      </w:tr>
      <w:tr w:rsidR="00A47605" w:rsidRPr="003F364A" w14:paraId="32E3D6A3" w14:textId="77777777" w:rsidTr="0061276B">
        <w:trPr>
          <w:trHeight w:val="151"/>
        </w:trPr>
        <w:tc>
          <w:tcPr>
            <w:tcW w:w="3119" w:type="dxa"/>
          </w:tcPr>
          <w:p w14:paraId="1456EC9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 (PC)</w:t>
            </w:r>
          </w:p>
        </w:tc>
        <w:tc>
          <w:tcPr>
            <w:tcW w:w="3121" w:type="dxa"/>
          </w:tcPr>
          <w:p w14:paraId="65BFDB29" w14:textId="77777777" w:rsidR="00A47605" w:rsidRPr="003F364A" w:rsidRDefault="00A47605" w:rsidP="0061276B">
            <w:pPr>
              <w:rPr>
                <w:rFonts w:ascii="Arial" w:hAnsi="Arial" w:cs="Arial"/>
                <w:sz w:val="20"/>
                <w:szCs w:val="20"/>
              </w:rPr>
            </w:pPr>
            <w:r w:rsidRPr="003F364A">
              <w:rPr>
                <w:rFonts w:ascii="Arial" w:hAnsi="Arial" w:cs="Arial"/>
                <w:sz w:val="20"/>
                <w:szCs w:val="20"/>
              </w:rPr>
              <w:t>6.94 ± 0.41</w:t>
            </w:r>
          </w:p>
        </w:tc>
        <w:tc>
          <w:tcPr>
            <w:tcW w:w="3120" w:type="dxa"/>
          </w:tcPr>
          <w:p w14:paraId="0C47A078" w14:textId="77777777" w:rsidR="00A47605" w:rsidRPr="003F364A" w:rsidRDefault="00A47605" w:rsidP="0061276B">
            <w:pPr>
              <w:rPr>
                <w:rFonts w:ascii="Arial" w:hAnsi="Arial" w:cs="Arial"/>
                <w:sz w:val="20"/>
                <w:szCs w:val="20"/>
              </w:rPr>
            </w:pPr>
            <w:r w:rsidRPr="003F364A">
              <w:rPr>
                <w:rFonts w:ascii="Arial" w:hAnsi="Arial" w:cs="Arial"/>
                <w:sz w:val="20"/>
                <w:szCs w:val="20"/>
              </w:rPr>
              <w:t>106.60 ± 27.82</w:t>
            </w:r>
          </w:p>
        </w:tc>
      </w:tr>
      <w:tr w:rsidR="00A47605" w:rsidRPr="003F364A" w14:paraId="0D5592AA" w14:textId="77777777" w:rsidTr="0061276B">
        <w:trPr>
          <w:trHeight w:val="463"/>
        </w:trPr>
        <w:tc>
          <w:tcPr>
            <w:tcW w:w="3119" w:type="dxa"/>
          </w:tcPr>
          <w:p w14:paraId="69AE0A26"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iii (Atrazine and low dose green tea)</w:t>
            </w:r>
          </w:p>
        </w:tc>
        <w:tc>
          <w:tcPr>
            <w:tcW w:w="3121" w:type="dxa"/>
          </w:tcPr>
          <w:p w14:paraId="54C832F6" w14:textId="77777777" w:rsidR="00A47605" w:rsidRPr="003F364A" w:rsidRDefault="00A47605" w:rsidP="0061276B">
            <w:pPr>
              <w:rPr>
                <w:rFonts w:ascii="Arial" w:hAnsi="Arial" w:cs="Arial"/>
                <w:sz w:val="20"/>
                <w:szCs w:val="20"/>
              </w:rPr>
            </w:pPr>
            <w:r w:rsidRPr="003F364A">
              <w:rPr>
                <w:rFonts w:ascii="Arial" w:hAnsi="Arial" w:cs="Arial"/>
                <w:sz w:val="20"/>
                <w:szCs w:val="20"/>
              </w:rPr>
              <w:t>6.08 ± 0.33</w:t>
            </w:r>
          </w:p>
        </w:tc>
        <w:tc>
          <w:tcPr>
            <w:tcW w:w="3120" w:type="dxa"/>
          </w:tcPr>
          <w:p w14:paraId="1F57FB6F" w14:textId="77777777" w:rsidR="00A47605" w:rsidRPr="003F364A" w:rsidRDefault="00A47605" w:rsidP="0061276B">
            <w:pPr>
              <w:rPr>
                <w:rFonts w:ascii="Arial" w:hAnsi="Arial" w:cs="Arial"/>
                <w:sz w:val="20"/>
                <w:szCs w:val="20"/>
              </w:rPr>
            </w:pPr>
            <w:r w:rsidRPr="003F364A">
              <w:rPr>
                <w:rFonts w:ascii="Arial" w:hAnsi="Arial" w:cs="Arial"/>
                <w:sz w:val="20"/>
                <w:szCs w:val="20"/>
              </w:rPr>
              <w:t>108.40 ± 17.47</w:t>
            </w:r>
          </w:p>
        </w:tc>
      </w:tr>
      <w:tr w:rsidR="00A47605" w:rsidRPr="003F364A" w14:paraId="6DEFD853" w14:textId="77777777" w:rsidTr="0061276B">
        <w:trPr>
          <w:trHeight w:val="463"/>
        </w:trPr>
        <w:tc>
          <w:tcPr>
            <w:tcW w:w="3119" w:type="dxa"/>
          </w:tcPr>
          <w:p w14:paraId="26E84639"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iv (Atrazine and high dose green tea)</w:t>
            </w:r>
          </w:p>
        </w:tc>
        <w:tc>
          <w:tcPr>
            <w:tcW w:w="3121" w:type="dxa"/>
          </w:tcPr>
          <w:p w14:paraId="37DAB09B" w14:textId="77777777" w:rsidR="00A47605" w:rsidRPr="003F364A" w:rsidRDefault="00A47605" w:rsidP="0061276B">
            <w:pPr>
              <w:rPr>
                <w:rFonts w:ascii="Arial" w:hAnsi="Arial" w:cs="Arial"/>
                <w:sz w:val="20"/>
                <w:szCs w:val="20"/>
              </w:rPr>
            </w:pPr>
            <w:r w:rsidRPr="003F364A">
              <w:rPr>
                <w:rFonts w:ascii="Arial" w:hAnsi="Arial" w:cs="Arial"/>
                <w:sz w:val="20"/>
                <w:szCs w:val="20"/>
              </w:rPr>
              <w:t>5.66 ± 0.35</w:t>
            </w:r>
          </w:p>
        </w:tc>
        <w:tc>
          <w:tcPr>
            <w:tcW w:w="3120" w:type="dxa"/>
          </w:tcPr>
          <w:p w14:paraId="5BB5F11D" w14:textId="77777777" w:rsidR="00A47605" w:rsidRPr="003F364A" w:rsidRDefault="00A47605" w:rsidP="0061276B">
            <w:pPr>
              <w:rPr>
                <w:rFonts w:ascii="Arial" w:hAnsi="Arial" w:cs="Arial"/>
                <w:sz w:val="20"/>
                <w:szCs w:val="20"/>
              </w:rPr>
            </w:pPr>
            <w:r w:rsidRPr="003F364A">
              <w:rPr>
                <w:rFonts w:ascii="Arial" w:hAnsi="Arial" w:cs="Arial"/>
                <w:sz w:val="20"/>
                <w:szCs w:val="20"/>
              </w:rPr>
              <w:t>95.20 ± 13.81</w:t>
            </w:r>
          </w:p>
        </w:tc>
      </w:tr>
      <w:tr w:rsidR="00A47605" w:rsidRPr="003F364A" w14:paraId="008DBBD8" w14:textId="77777777" w:rsidTr="0061276B">
        <w:trPr>
          <w:trHeight w:val="463"/>
        </w:trPr>
        <w:tc>
          <w:tcPr>
            <w:tcW w:w="3119" w:type="dxa"/>
          </w:tcPr>
          <w:p w14:paraId="254ACC7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 (Atrazine and Green Tea and high dose Honey)</w:t>
            </w:r>
          </w:p>
        </w:tc>
        <w:tc>
          <w:tcPr>
            <w:tcW w:w="3121" w:type="dxa"/>
          </w:tcPr>
          <w:p w14:paraId="41936CEA" w14:textId="77777777" w:rsidR="00A47605" w:rsidRPr="003F364A" w:rsidRDefault="00A47605" w:rsidP="0061276B">
            <w:pPr>
              <w:rPr>
                <w:rFonts w:ascii="Arial" w:hAnsi="Arial" w:cs="Arial"/>
                <w:sz w:val="20"/>
                <w:szCs w:val="20"/>
              </w:rPr>
            </w:pPr>
            <w:r w:rsidRPr="003F364A">
              <w:rPr>
                <w:rFonts w:ascii="Arial" w:hAnsi="Arial" w:cs="Arial"/>
                <w:sz w:val="20"/>
                <w:szCs w:val="20"/>
              </w:rPr>
              <w:t>4.96 ± 0.35</w:t>
            </w:r>
          </w:p>
        </w:tc>
        <w:tc>
          <w:tcPr>
            <w:tcW w:w="3120" w:type="dxa"/>
          </w:tcPr>
          <w:p w14:paraId="4FC62BDE" w14:textId="77777777" w:rsidR="00A47605" w:rsidRPr="003F364A" w:rsidRDefault="00A47605" w:rsidP="0061276B">
            <w:pPr>
              <w:rPr>
                <w:rFonts w:ascii="Arial" w:hAnsi="Arial" w:cs="Arial"/>
                <w:sz w:val="20"/>
                <w:szCs w:val="20"/>
              </w:rPr>
            </w:pPr>
            <w:r w:rsidRPr="003F364A">
              <w:rPr>
                <w:rFonts w:ascii="Arial" w:hAnsi="Arial" w:cs="Arial"/>
                <w:sz w:val="20"/>
                <w:szCs w:val="20"/>
              </w:rPr>
              <w:t>85.40 ± 8.32</w:t>
            </w:r>
          </w:p>
        </w:tc>
      </w:tr>
      <w:tr w:rsidR="00A47605" w:rsidRPr="003F364A" w14:paraId="314E96D8" w14:textId="77777777" w:rsidTr="0061276B">
        <w:trPr>
          <w:trHeight w:val="479"/>
        </w:trPr>
        <w:tc>
          <w:tcPr>
            <w:tcW w:w="3119" w:type="dxa"/>
          </w:tcPr>
          <w:p w14:paraId="586BF8ED"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vi (Atrazine after 15 days of high dose honey)</w:t>
            </w:r>
          </w:p>
        </w:tc>
        <w:tc>
          <w:tcPr>
            <w:tcW w:w="3121" w:type="dxa"/>
          </w:tcPr>
          <w:p w14:paraId="4139836D" w14:textId="77777777" w:rsidR="00A47605" w:rsidRPr="003F364A" w:rsidRDefault="00A47605" w:rsidP="0061276B">
            <w:pPr>
              <w:rPr>
                <w:rFonts w:ascii="Arial" w:hAnsi="Arial" w:cs="Arial"/>
                <w:sz w:val="20"/>
                <w:szCs w:val="20"/>
              </w:rPr>
            </w:pPr>
            <w:r w:rsidRPr="003F364A">
              <w:rPr>
                <w:rFonts w:ascii="Arial" w:hAnsi="Arial" w:cs="Arial"/>
                <w:sz w:val="20"/>
                <w:szCs w:val="20"/>
              </w:rPr>
              <w:t>4.90 ± 0.31</w:t>
            </w:r>
          </w:p>
        </w:tc>
        <w:tc>
          <w:tcPr>
            <w:tcW w:w="3120" w:type="dxa"/>
          </w:tcPr>
          <w:p w14:paraId="5673BE0B" w14:textId="77777777" w:rsidR="00A47605" w:rsidRPr="003F364A" w:rsidRDefault="00A47605" w:rsidP="0061276B">
            <w:pPr>
              <w:rPr>
                <w:rFonts w:ascii="Arial" w:hAnsi="Arial" w:cs="Arial"/>
                <w:sz w:val="20"/>
                <w:szCs w:val="20"/>
              </w:rPr>
            </w:pPr>
            <w:r w:rsidRPr="003F364A">
              <w:rPr>
                <w:rFonts w:ascii="Arial" w:hAnsi="Arial" w:cs="Arial"/>
                <w:sz w:val="20"/>
                <w:szCs w:val="20"/>
              </w:rPr>
              <w:t>98.20 ± 6.83</w:t>
            </w:r>
          </w:p>
        </w:tc>
      </w:tr>
      <w:tr w:rsidR="00A47605" w:rsidRPr="003F364A" w14:paraId="0FA7A52D" w14:textId="77777777" w:rsidTr="0061276B">
        <w:trPr>
          <w:trHeight w:val="278"/>
        </w:trPr>
        <w:tc>
          <w:tcPr>
            <w:tcW w:w="3119" w:type="dxa"/>
          </w:tcPr>
          <w:p w14:paraId="2EFDB70F"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F-value</w:t>
            </w:r>
          </w:p>
        </w:tc>
        <w:tc>
          <w:tcPr>
            <w:tcW w:w="3121" w:type="dxa"/>
          </w:tcPr>
          <w:p w14:paraId="56648514" w14:textId="77777777" w:rsidR="00A47605" w:rsidRPr="003F364A" w:rsidRDefault="00A47605" w:rsidP="0061276B">
            <w:pPr>
              <w:rPr>
                <w:rFonts w:ascii="Arial" w:hAnsi="Arial" w:cs="Arial"/>
                <w:sz w:val="20"/>
                <w:szCs w:val="20"/>
              </w:rPr>
            </w:pPr>
            <w:r w:rsidRPr="003F364A">
              <w:rPr>
                <w:rFonts w:ascii="Arial" w:hAnsi="Arial" w:cs="Arial"/>
                <w:sz w:val="20"/>
                <w:szCs w:val="20"/>
              </w:rPr>
              <w:t>30.03</w:t>
            </w:r>
          </w:p>
        </w:tc>
        <w:tc>
          <w:tcPr>
            <w:tcW w:w="3120" w:type="dxa"/>
          </w:tcPr>
          <w:p w14:paraId="695226CE" w14:textId="77777777" w:rsidR="00A47605" w:rsidRPr="003F364A" w:rsidRDefault="00A47605" w:rsidP="0061276B">
            <w:pPr>
              <w:rPr>
                <w:rFonts w:ascii="Arial" w:hAnsi="Arial" w:cs="Arial"/>
                <w:sz w:val="20"/>
                <w:szCs w:val="20"/>
              </w:rPr>
            </w:pPr>
            <w:r w:rsidRPr="003F364A">
              <w:rPr>
                <w:rFonts w:ascii="Arial" w:hAnsi="Arial" w:cs="Arial"/>
                <w:sz w:val="20"/>
                <w:szCs w:val="20"/>
              </w:rPr>
              <w:t>9.184</w:t>
            </w:r>
          </w:p>
        </w:tc>
      </w:tr>
      <w:tr w:rsidR="00A47605" w:rsidRPr="003F364A" w14:paraId="3D1F4431" w14:textId="77777777" w:rsidTr="0061276B">
        <w:trPr>
          <w:trHeight w:val="185"/>
        </w:trPr>
        <w:tc>
          <w:tcPr>
            <w:tcW w:w="3119" w:type="dxa"/>
          </w:tcPr>
          <w:p w14:paraId="2D7857E3" w14:textId="77777777" w:rsidR="00A47605" w:rsidRPr="003F364A" w:rsidRDefault="00A47605" w:rsidP="0061276B">
            <w:pPr>
              <w:rPr>
                <w:rFonts w:ascii="Arial" w:hAnsi="Arial" w:cs="Arial"/>
                <w:bCs/>
                <w:sz w:val="20"/>
                <w:szCs w:val="20"/>
              </w:rPr>
            </w:pPr>
            <w:r w:rsidRPr="003F364A">
              <w:rPr>
                <w:rFonts w:ascii="Arial" w:hAnsi="Arial" w:cs="Arial"/>
                <w:bCs/>
                <w:i/>
                <w:iCs/>
                <w:sz w:val="20"/>
                <w:szCs w:val="20"/>
              </w:rPr>
              <w:t>P</w:t>
            </w:r>
            <w:r w:rsidRPr="003F364A">
              <w:rPr>
                <w:rFonts w:ascii="Arial" w:hAnsi="Arial" w:cs="Arial"/>
                <w:bCs/>
                <w:sz w:val="20"/>
                <w:szCs w:val="20"/>
              </w:rPr>
              <w:t>-value</w:t>
            </w:r>
          </w:p>
        </w:tc>
        <w:tc>
          <w:tcPr>
            <w:tcW w:w="3121" w:type="dxa"/>
          </w:tcPr>
          <w:p w14:paraId="7CD05D34"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3120" w:type="dxa"/>
          </w:tcPr>
          <w:p w14:paraId="60948781"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r>
      <w:tr w:rsidR="00A47605" w:rsidRPr="003F364A" w14:paraId="27827E2F" w14:textId="77777777" w:rsidTr="0061276B">
        <w:trPr>
          <w:trHeight w:val="278"/>
        </w:trPr>
        <w:tc>
          <w:tcPr>
            <w:tcW w:w="3119" w:type="dxa"/>
          </w:tcPr>
          <w:p w14:paraId="7387EDF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Remark</w:t>
            </w:r>
          </w:p>
        </w:tc>
        <w:tc>
          <w:tcPr>
            <w:tcW w:w="3121" w:type="dxa"/>
          </w:tcPr>
          <w:p w14:paraId="40C0A7E5"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c>
          <w:tcPr>
            <w:tcW w:w="3120" w:type="dxa"/>
          </w:tcPr>
          <w:p w14:paraId="39F5D89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r>
    </w:tbl>
    <w:p w14:paraId="542F9170" w14:textId="77777777" w:rsidR="00A47605" w:rsidRPr="003F364A" w:rsidRDefault="00A47605" w:rsidP="00A47605">
      <w:pPr>
        <w:rPr>
          <w:rFonts w:ascii="Arial" w:hAnsi="Arial" w:cs="Arial"/>
          <w:b/>
        </w:rPr>
      </w:pPr>
      <w:r w:rsidRPr="00C56ED7">
        <w:rPr>
          <w:rFonts w:ascii="Arial" w:hAnsi="Arial" w:cs="Arial"/>
          <w:b/>
          <w:i/>
          <w:iCs/>
          <w:sz w:val="18"/>
          <w:szCs w:val="18"/>
        </w:rPr>
        <w:t>Key</w:t>
      </w:r>
      <w:r w:rsidRPr="003F364A">
        <w:rPr>
          <w:rFonts w:ascii="Arial" w:hAnsi="Arial" w:cs="Arial"/>
          <w:b/>
          <w:i/>
          <w:iCs/>
        </w:rPr>
        <w:t>:</w:t>
      </w:r>
      <w:r>
        <w:rPr>
          <w:rFonts w:ascii="Arial" w:hAnsi="Arial" w:cs="Arial"/>
          <w:b/>
          <w:i/>
          <w:iCs/>
        </w:rPr>
        <w:t xml:space="preserve"> </w:t>
      </w:r>
      <w:r w:rsidRPr="00FE2DDD">
        <w:rPr>
          <w:rFonts w:ascii="Arial" w:hAnsi="Arial" w:cs="Arial"/>
          <w:bCs/>
          <w:i/>
          <w:iCs/>
          <w:sz w:val="18"/>
          <w:szCs w:val="18"/>
        </w:rPr>
        <w:t>S = significant. Values with different superscripts are significantly different (p&lt;0.05), NC= Negative Control, PC= Positive Control.</w:t>
      </w:r>
    </w:p>
    <w:p w14:paraId="3FEB50A7" w14:textId="77777777" w:rsidR="00A47605" w:rsidRPr="003F364A" w:rsidRDefault="00A47605" w:rsidP="00A47605">
      <w:pPr>
        <w:spacing w:line="480" w:lineRule="auto"/>
        <w:rPr>
          <w:rFonts w:ascii="Arial" w:hAnsi="Arial" w:cs="Arial"/>
          <w:b/>
        </w:rPr>
      </w:pPr>
    </w:p>
    <w:p w14:paraId="4181DDC6" w14:textId="78FBDB2C" w:rsidR="00A47605" w:rsidRPr="003F364A" w:rsidRDefault="00A47605" w:rsidP="00A47605">
      <w:pPr>
        <w:rPr>
          <w:rFonts w:ascii="Arial" w:hAnsi="Arial" w:cs="Arial"/>
          <w:b/>
          <w:bCs/>
        </w:rPr>
      </w:pPr>
      <w:r w:rsidRPr="003F364A">
        <w:rPr>
          <w:rFonts w:ascii="Arial" w:hAnsi="Arial" w:cs="Arial"/>
          <w:b/>
          <w:bCs/>
        </w:rPr>
        <w:t>Table 2: Descriptive and Inferential Results for Control and Treatment Groups (Serum Electrolytes)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471"/>
        <w:gridCol w:w="1558"/>
        <w:gridCol w:w="1472"/>
        <w:gridCol w:w="1634"/>
      </w:tblGrid>
      <w:tr w:rsidR="00A47605" w:rsidRPr="003F364A" w14:paraId="1F208771" w14:textId="77777777" w:rsidTr="0061276B">
        <w:tc>
          <w:tcPr>
            <w:tcW w:w="1915" w:type="dxa"/>
            <w:tcBorders>
              <w:top w:val="single" w:sz="4" w:space="0" w:color="auto"/>
              <w:bottom w:val="single" w:sz="4" w:space="0" w:color="auto"/>
            </w:tcBorders>
          </w:tcPr>
          <w:p w14:paraId="2E25DD3B" w14:textId="77777777" w:rsidR="00A47605" w:rsidRPr="003F364A" w:rsidRDefault="00A47605" w:rsidP="0061276B">
            <w:pPr>
              <w:rPr>
                <w:rFonts w:ascii="Arial" w:hAnsi="Arial" w:cs="Arial"/>
                <w:b/>
                <w:sz w:val="20"/>
                <w:szCs w:val="20"/>
              </w:rPr>
            </w:pPr>
            <w:r>
              <w:rPr>
                <w:rFonts w:ascii="Arial" w:hAnsi="Arial" w:cs="Arial"/>
                <w:b/>
                <w:sz w:val="20"/>
                <w:szCs w:val="20"/>
              </w:rPr>
              <w:t>Groups/Parameters</w:t>
            </w:r>
          </w:p>
        </w:tc>
        <w:tc>
          <w:tcPr>
            <w:tcW w:w="1915" w:type="dxa"/>
            <w:tcBorders>
              <w:top w:val="single" w:sz="4" w:space="0" w:color="auto"/>
              <w:bottom w:val="single" w:sz="4" w:space="0" w:color="auto"/>
            </w:tcBorders>
          </w:tcPr>
          <w:p w14:paraId="7DA4F446"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Sodium</w:t>
            </w:r>
          </w:p>
          <w:p w14:paraId="3C3C2B73"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(mmol/L)</w:t>
            </w:r>
          </w:p>
        </w:tc>
        <w:tc>
          <w:tcPr>
            <w:tcW w:w="1915" w:type="dxa"/>
            <w:tcBorders>
              <w:top w:val="single" w:sz="4" w:space="0" w:color="auto"/>
              <w:bottom w:val="single" w:sz="4" w:space="0" w:color="auto"/>
            </w:tcBorders>
          </w:tcPr>
          <w:p w14:paraId="6B5BA4BB"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Potassium (mmol/L)</w:t>
            </w:r>
          </w:p>
        </w:tc>
        <w:tc>
          <w:tcPr>
            <w:tcW w:w="1915" w:type="dxa"/>
            <w:tcBorders>
              <w:top w:val="single" w:sz="4" w:space="0" w:color="auto"/>
              <w:bottom w:val="single" w:sz="4" w:space="0" w:color="auto"/>
            </w:tcBorders>
          </w:tcPr>
          <w:p w14:paraId="35CB7E7D"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Chloride (mmol/L)</w:t>
            </w:r>
          </w:p>
        </w:tc>
        <w:tc>
          <w:tcPr>
            <w:tcW w:w="1916" w:type="dxa"/>
            <w:tcBorders>
              <w:top w:val="single" w:sz="4" w:space="0" w:color="auto"/>
              <w:bottom w:val="single" w:sz="4" w:space="0" w:color="auto"/>
            </w:tcBorders>
          </w:tcPr>
          <w:p w14:paraId="5AC05242"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Bicarbonate (mmol/L)</w:t>
            </w:r>
          </w:p>
        </w:tc>
      </w:tr>
      <w:tr w:rsidR="00A47605" w:rsidRPr="003F364A" w14:paraId="58875AF5" w14:textId="77777777" w:rsidTr="0061276B">
        <w:tc>
          <w:tcPr>
            <w:tcW w:w="1915" w:type="dxa"/>
            <w:tcBorders>
              <w:top w:val="single" w:sz="4" w:space="0" w:color="auto"/>
            </w:tcBorders>
          </w:tcPr>
          <w:p w14:paraId="3DF8CF3F" w14:textId="77777777" w:rsidR="00A47605" w:rsidRPr="003F364A" w:rsidRDefault="00A47605" w:rsidP="0061276B">
            <w:pPr>
              <w:rPr>
                <w:rFonts w:ascii="Arial" w:hAnsi="Arial" w:cs="Arial"/>
                <w:bCs/>
                <w:sz w:val="20"/>
                <w:szCs w:val="20"/>
              </w:rPr>
            </w:pPr>
            <w:r w:rsidRPr="003F364A">
              <w:rPr>
                <w:rFonts w:ascii="Arial" w:hAnsi="Arial" w:cs="Arial"/>
                <w:bCs/>
                <w:sz w:val="20"/>
                <w:szCs w:val="20"/>
              </w:rPr>
              <w:lastRenderedPageBreak/>
              <w:t>Group I (NC)</w:t>
            </w:r>
          </w:p>
        </w:tc>
        <w:tc>
          <w:tcPr>
            <w:tcW w:w="1915" w:type="dxa"/>
            <w:tcBorders>
              <w:top w:val="single" w:sz="4" w:space="0" w:color="auto"/>
            </w:tcBorders>
          </w:tcPr>
          <w:p w14:paraId="0D336B86" w14:textId="77777777" w:rsidR="00A47605" w:rsidRPr="003F364A" w:rsidRDefault="00A47605" w:rsidP="0061276B">
            <w:pPr>
              <w:rPr>
                <w:rFonts w:ascii="Arial" w:hAnsi="Arial" w:cs="Arial"/>
                <w:sz w:val="20"/>
                <w:szCs w:val="20"/>
              </w:rPr>
            </w:pPr>
            <w:r w:rsidRPr="003F364A">
              <w:rPr>
                <w:rFonts w:ascii="Arial" w:hAnsi="Arial" w:cs="Arial"/>
                <w:sz w:val="20"/>
                <w:szCs w:val="20"/>
              </w:rPr>
              <w:t>140.8 ± 3.89</w:t>
            </w:r>
          </w:p>
        </w:tc>
        <w:tc>
          <w:tcPr>
            <w:tcW w:w="1915" w:type="dxa"/>
            <w:tcBorders>
              <w:top w:val="single" w:sz="4" w:space="0" w:color="auto"/>
            </w:tcBorders>
          </w:tcPr>
          <w:p w14:paraId="08B099AC" w14:textId="77777777" w:rsidR="00A47605" w:rsidRPr="003F364A" w:rsidRDefault="00A47605" w:rsidP="0061276B">
            <w:pPr>
              <w:rPr>
                <w:rFonts w:ascii="Arial" w:hAnsi="Arial" w:cs="Arial"/>
                <w:sz w:val="20"/>
                <w:szCs w:val="20"/>
              </w:rPr>
            </w:pPr>
            <w:r w:rsidRPr="003F364A">
              <w:rPr>
                <w:rFonts w:ascii="Arial" w:hAnsi="Arial" w:cs="Arial"/>
                <w:sz w:val="20"/>
                <w:szCs w:val="20"/>
              </w:rPr>
              <w:t>4.30 ± 0.31</w:t>
            </w:r>
          </w:p>
        </w:tc>
        <w:tc>
          <w:tcPr>
            <w:tcW w:w="1915" w:type="dxa"/>
            <w:tcBorders>
              <w:top w:val="single" w:sz="4" w:space="0" w:color="auto"/>
            </w:tcBorders>
          </w:tcPr>
          <w:p w14:paraId="7A04127B" w14:textId="77777777" w:rsidR="00A47605" w:rsidRPr="003F364A" w:rsidRDefault="00A47605" w:rsidP="0061276B">
            <w:pPr>
              <w:rPr>
                <w:rFonts w:ascii="Arial" w:hAnsi="Arial" w:cs="Arial"/>
                <w:sz w:val="20"/>
                <w:szCs w:val="20"/>
              </w:rPr>
            </w:pPr>
            <w:r w:rsidRPr="003F364A">
              <w:rPr>
                <w:rFonts w:ascii="Arial" w:hAnsi="Arial" w:cs="Arial"/>
                <w:sz w:val="20"/>
                <w:szCs w:val="20"/>
              </w:rPr>
              <w:t>86.00 ± 12.33</w:t>
            </w:r>
          </w:p>
        </w:tc>
        <w:tc>
          <w:tcPr>
            <w:tcW w:w="1916" w:type="dxa"/>
            <w:tcBorders>
              <w:top w:val="single" w:sz="4" w:space="0" w:color="auto"/>
            </w:tcBorders>
          </w:tcPr>
          <w:p w14:paraId="0945DEF7" w14:textId="77777777" w:rsidR="00A47605" w:rsidRPr="003F364A" w:rsidRDefault="00A47605" w:rsidP="0061276B">
            <w:pPr>
              <w:rPr>
                <w:rFonts w:ascii="Arial" w:hAnsi="Arial" w:cs="Arial"/>
                <w:sz w:val="20"/>
                <w:szCs w:val="20"/>
              </w:rPr>
            </w:pPr>
            <w:r w:rsidRPr="003F364A">
              <w:rPr>
                <w:rFonts w:ascii="Arial" w:hAnsi="Arial" w:cs="Arial"/>
                <w:sz w:val="20"/>
                <w:szCs w:val="20"/>
              </w:rPr>
              <w:t>23.40 ± 1.81</w:t>
            </w:r>
          </w:p>
        </w:tc>
      </w:tr>
      <w:tr w:rsidR="00A47605" w:rsidRPr="003F364A" w14:paraId="656D8191" w14:textId="77777777" w:rsidTr="0061276B">
        <w:tc>
          <w:tcPr>
            <w:tcW w:w="1915" w:type="dxa"/>
          </w:tcPr>
          <w:p w14:paraId="5BB94FCE"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 (PC)</w:t>
            </w:r>
          </w:p>
        </w:tc>
        <w:tc>
          <w:tcPr>
            <w:tcW w:w="1915" w:type="dxa"/>
          </w:tcPr>
          <w:p w14:paraId="6F3773C4" w14:textId="77777777" w:rsidR="00A47605" w:rsidRPr="003F364A" w:rsidRDefault="00A47605" w:rsidP="0061276B">
            <w:pPr>
              <w:rPr>
                <w:rFonts w:ascii="Arial" w:hAnsi="Arial" w:cs="Arial"/>
                <w:sz w:val="20"/>
                <w:szCs w:val="20"/>
              </w:rPr>
            </w:pPr>
            <w:r w:rsidRPr="003F364A">
              <w:rPr>
                <w:rFonts w:ascii="Arial" w:hAnsi="Arial" w:cs="Arial"/>
                <w:sz w:val="20"/>
                <w:szCs w:val="20"/>
              </w:rPr>
              <w:t>163.0 ± 3.39</w:t>
            </w:r>
          </w:p>
        </w:tc>
        <w:tc>
          <w:tcPr>
            <w:tcW w:w="1915" w:type="dxa"/>
          </w:tcPr>
          <w:p w14:paraId="3D610F8E" w14:textId="77777777" w:rsidR="00A47605" w:rsidRPr="003F364A" w:rsidRDefault="00A47605" w:rsidP="0061276B">
            <w:pPr>
              <w:rPr>
                <w:rFonts w:ascii="Arial" w:hAnsi="Arial" w:cs="Arial"/>
                <w:sz w:val="20"/>
                <w:szCs w:val="20"/>
              </w:rPr>
            </w:pPr>
            <w:r w:rsidRPr="003F364A">
              <w:rPr>
                <w:rFonts w:ascii="Arial" w:hAnsi="Arial" w:cs="Arial"/>
                <w:sz w:val="20"/>
                <w:szCs w:val="20"/>
              </w:rPr>
              <w:t>6.16 ± 0.39</w:t>
            </w:r>
          </w:p>
        </w:tc>
        <w:tc>
          <w:tcPr>
            <w:tcW w:w="1915" w:type="dxa"/>
          </w:tcPr>
          <w:p w14:paraId="4F9E7D0C" w14:textId="77777777" w:rsidR="00A47605" w:rsidRPr="003F364A" w:rsidRDefault="00A47605" w:rsidP="0061276B">
            <w:pPr>
              <w:rPr>
                <w:rFonts w:ascii="Arial" w:hAnsi="Arial" w:cs="Arial"/>
                <w:sz w:val="20"/>
                <w:szCs w:val="20"/>
              </w:rPr>
            </w:pPr>
            <w:r w:rsidRPr="003F364A">
              <w:rPr>
                <w:rFonts w:ascii="Arial" w:hAnsi="Arial" w:cs="Arial"/>
                <w:sz w:val="20"/>
                <w:szCs w:val="20"/>
              </w:rPr>
              <w:t>92.00 ± 4.12</w:t>
            </w:r>
          </w:p>
        </w:tc>
        <w:tc>
          <w:tcPr>
            <w:tcW w:w="1916" w:type="dxa"/>
          </w:tcPr>
          <w:p w14:paraId="0E30139F" w14:textId="77777777" w:rsidR="00A47605" w:rsidRPr="003F364A" w:rsidRDefault="00A47605" w:rsidP="0061276B">
            <w:pPr>
              <w:rPr>
                <w:rFonts w:ascii="Arial" w:hAnsi="Arial" w:cs="Arial"/>
                <w:sz w:val="20"/>
                <w:szCs w:val="20"/>
              </w:rPr>
            </w:pPr>
            <w:r w:rsidRPr="003F364A">
              <w:rPr>
                <w:rFonts w:ascii="Arial" w:hAnsi="Arial" w:cs="Arial"/>
                <w:sz w:val="20"/>
                <w:szCs w:val="20"/>
              </w:rPr>
              <w:t>27.60 ± 1.14</w:t>
            </w:r>
          </w:p>
        </w:tc>
      </w:tr>
      <w:tr w:rsidR="00A47605" w:rsidRPr="003F364A" w14:paraId="69AF040D" w14:textId="77777777" w:rsidTr="0061276B">
        <w:tc>
          <w:tcPr>
            <w:tcW w:w="1915" w:type="dxa"/>
          </w:tcPr>
          <w:p w14:paraId="35108A78" w14:textId="77777777" w:rsidR="00A47605" w:rsidRPr="003F364A" w:rsidRDefault="00A47605" w:rsidP="0061276B">
            <w:pPr>
              <w:spacing w:before="240"/>
              <w:rPr>
                <w:rFonts w:ascii="Arial" w:hAnsi="Arial" w:cs="Arial"/>
                <w:bCs/>
                <w:sz w:val="20"/>
                <w:szCs w:val="20"/>
              </w:rPr>
            </w:pPr>
            <w:r w:rsidRPr="003F364A">
              <w:rPr>
                <w:rFonts w:ascii="Arial" w:hAnsi="Arial" w:cs="Arial"/>
                <w:bCs/>
                <w:sz w:val="20"/>
                <w:szCs w:val="20"/>
              </w:rPr>
              <w:t>Group III (Atrazine and low dose Green Tea)</w:t>
            </w:r>
          </w:p>
        </w:tc>
        <w:tc>
          <w:tcPr>
            <w:tcW w:w="1915" w:type="dxa"/>
          </w:tcPr>
          <w:p w14:paraId="569CDB8F" w14:textId="77777777" w:rsidR="00A47605" w:rsidRPr="003F364A" w:rsidRDefault="00A47605" w:rsidP="0061276B">
            <w:pPr>
              <w:rPr>
                <w:rFonts w:ascii="Arial" w:hAnsi="Arial" w:cs="Arial"/>
                <w:sz w:val="20"/>
                <w:szCs w:val="20"/>
              </w:rPr>
            </w:pPr>
            <w:r w:rsidRPr="003F364A">
              <w:rPr>
                <w:rFonts w:ascii="Arial" w:hAnsi="Arial" w:cs="Arial"/>
                <w:sz w:val="20"/>
                <w:szCs w:val="20"/>
              </w:rPr>
              <w:t>153.8 ± 2.38</w:t>
            </w:r>
          </w:p>
        </w:tc>
        <w:tc>
          <w:tcPr>
            <w:tcW w:w="1915" w:type="dxa"/>
          </w:tcPr>
          <w:p w14:paraId="5A9FDF1B" w14:textId="77777777" w:rsidR="00A47605" w:rsidRPr="003F364A" w:rsidRDefault="00A47605" w:rsidP="0061276B">
            <w:pPr>
              <w:rPr>
                <w:rFonts w:ascii="Arial" w:hAnsi="Arial" w:cs="Arial"/>
                <w:sz w:val="20"/>
                <w:szCs w:val="20"/>
              </w:rPr>
            </w:pPr>
            <w:r w:rsidRPr="003F364A">
              <w:rPr>
                <w:rFonts w:ascii="Arial" w:hAnsi="Arial" w:cs="Arial"/>
                <w:sz w:val="20"/>
                <w:szCs w:val="20"/>
              </w:rPr>
              <w:t>5.96 ± 0.19</w:t>
            </w:r>
          </w:p>
        </w:tc>
        <w:tc>
          <w:tcPr>
            <w:tcW w:w="1915" w:type="dxa"/>
          </w:tcPr>
          <w:p w14:paraId="423EE6B3" w14:textId="77777777" w:rsidR="00A47605" w:rsidRPr="003F364A" w:rsidRDefault="00A47605" w:rsidP="0061276B">
            <w:pPr>
              <w:rPr>
                <w:rFonts w:ascii="Arial" w:hAnsi="Arial" w:cs="Arial"/>
                <w:sz w:val="20"/>
                <w:szCs w:val="20"/>
              </w:rPr>
            </w:pPr>
            <w:r w:rsidRPr="003F364A">
              <w:rPr>
                <w:rFonts w:ascii="Arial" w:hAnsi="Arial" w:cs="Arial"/>
                <w:sz w:val="20"/>
                <w:szCs w:val="20"/>
              </w:rPr>
              <w:t>85.20 ± 3.96</w:t>
            </w:r>
          </w:p>
        </w:tc>
        <w:tc>
          <w:tcPr>
            <w:tcW w:w="1916" w:type="dxa"/>
          </w:tcPr>
          <w:p w14:paraId="02253D58" w14:textId="77777777" w:rsidR="00A47605" w:rsidRPr="003F364A" w:rsidRDefault="00A47605" w:rsidP="0061276B">
            <w:pPr>
              <w:rPr>
                <w:rFonts w:ascii="Arial" w:hAnsi="Arial" w:cs="Arial"/>
                <w:sz w:val="20"/>
                <w:szCs w:val="20"/>
              </w:rPr>
            </w:pPr>
            <w:r w:rsidRPr="003F364A">
              <w:rPr>
                <w:rFonts w:ascii="Arial" w:hAnsi="Arial" w:cs="Arial"/>
                <w:sz w:val="20"/>
                <w:szCs w:val="20"/>
              </w:rPr>
              <w:t>25.20 ± 1.48</w:t>
            </w:r>
          </w:p>
        </w:tc>
      </w:tr>
      <w:tr w:rsidR="00A47605" w:rsidRPr="003F364A" w14:paraId="2110145D" w14:textId="77777777" w:rsidTr="0061276B">
        <w:tc>
          <w:tcPr>
            <w:tcW w:w="1915" w:type="dxa"/>
          </w:tcPr>
          <w:p w14:paraId="7A3B5192"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iv (Atrazine and high dose Green Tea)</w:t>
            </w:r>
          </w:p>
        </w:tc>
        <w:tc>
          <w:tcPr>
            <w:tcW w:w="1915" w:type="dxa"/>
          </w:tcPr>
          <w:p w14:paraId="50B53FA1" w14:textId="77777777" w:rsidR="00A47605" w:rsidRPr="003F364A" w:rsidRDefault="00A47605" w:rsidP="0061276B">
            <w:pPr>
              <w:rPr>
                <w:rFonts w:ascii="Arial" w:hAnsi="Arial" w:cs="Arial"/>
                <w:sz w:val="20"/>
                <w:szCs w:val="20"/>
              </w:rPr>
            </w:pPr>
            <w:r w:rsidRPr="003F364A">
              <w:rPr>
                <w:rFonts w:ascii="Arial" w:hAnsi="Arial" w:cs="Arial"/>
                <w:sz w:val="20"/>
                <w:szCs w:val="20"/>
              </w:rPr>
              <w:t>143.0 ± 6.78</w:t>
            </w:r>
          </w:p>
        </w:tc>
        <w:tc>
          <w:tcPr>
            <w:tcW w:w="1915" w:type="dxa"/>
          </w:tcPr>
          <w:p w14:paraId="5456EB6A" w14:textId="77777777" w:rsidR="00A47605" w:rsidRPr="003F364A" w:rsidRDefault="00A47605" w:rsidP="0061276B">
            <w:pPr>
              <w:rPr>
                <w:rFonts w:ascii="Arial" w:hAnsi="Arial" w:cs="Arial"/>
                <w:sz w:val="20"/>
                <w:szCs w:val="20"/>
              </w:rPr>
            </w:pPr>
            <w:r w:rsidRPr="003F364A">
              <w:rPr>
                <w:rFonts w:ascii="Arial" w:hAnsi="Arial" w:cs="Arial"/>
                <w:sz w:val="20"/>
                <w:szCs w:val="20"/>
              </w:rPr>
              <w:t>4.68 ± 0.30</w:t>
            </w:r>
          </w:p>
        </w:tc>
        <w:tc>
          <w:tcPr>
            <w:tcW w:w="1915" w:type="dxa"/>
          </w:tcPr>
          <w:p w14:paraId="259218E0" w14:textId="77777777" w:rsidR="00A47605" w:rsidRPr="003F364A" w:rsidRDefault="00A47605" w:rsidP="0061276B">
            <w:pPr>
              <w:rPr>
                <w:rFonts w:ascii="Arial" w:hAnsi="Arial" w:cs="Arial"/>
                <w:sz w:val="20"/>
                <w:szCs w:val="20"/>
              </w:rPr>
            </w:pPr>
            <w:r w:rsidRPr="003F364A">
              <w:rPr>
                <w:rFonts w:ascii="Arial" w:hAnsi="Arial" w:cs="Arial"/>
                <w:sz w:val="20"/>
                <w:szCs w:val="20"/>
              </w:rPr>
              <w:t>80.60 ± 4.03</w:t>
            </w:r>
          </w:p>
        </w:tc>
        <w:tc>
          <w:tcPr>
            <w:tcW w:w="1916" w:type="dxa"/>
          </w:tcPr>
          <w:p w14:paraId="70D11B45" w14:textId="77777777" w:rsidR="00A47605" w:rsidRPr="003F364A" w:rsidRDefault="00A47605" w:rsidP="0061276B">
            <w:pPr>
              <w:rPr>
                <w:rFonts w:ascii="Arial" w:hAnsi="Arial" w:cs="Arial"/>
                <w:sz w:val="20"/>
                <w:szCs w:val="20"/>
              </w:rPr>
            </w:pPr>
            <w:r w:rsidRPr="003F364A">
              <w:rPr>
                <w:rFonts w:ascii="Arial" w:hAnsi="Arial" w:cs="Arial"/>
                <w:sz w:val="20"/>
                <w:szCs w:val="20"/>
              </w:rPr>
              <w:t>24.00 ± 1.58</w:t>
            </w:r>
          </w:p>
        </w:tc>
      </w:tr>
      <w:tr w:rsidR="00A47605" w:rsidRPr="003F364A" w14:paraId="1A2F7E5A" w14:textId="77777777" w:rsidTr="0061276B">
        <w:tc>
          <w:tcPr>
            <w:tcW w:w="1915" w:type="dxa"/>
          </w:tcPr>
          <w:p w14:paraId="00E9F5A7"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 (Atrazine and Green Tea and high dose Honey)</w:t>
            </w:r>
          </w:p>
        </w:tc>
        <w:tc>
          <w:tcPr>
            <w:tcW w:w="1915" w:type="dxa"/>
          </w:tcPr>
          <w:p w14:paraId="2A81AE2F" w14:textId="77777777" w:rsidR="00A47605" w:rsidRPr="003F364A" w:rsidRDefault="00A47605" w:rsidP="0061276B">
            <w:pPr>
              <w:rPr>
                <w:rFonts w:ascii="Arial" w:hAnsi="Arial" w:cs="Arial"/>
                <w:sz w:val="20"/>
                <w:szCs w:val="20"/>
              </w:rPr>
            </w:pPr>
            <w:r w:rsidRPr="003F364A">
              <w:rPr>
                <w:rFonts w:ascii="Arial" w:hAnsi="Arial" w:cs="Arial"/>
                <w:sz w:val="20"/>
                <w:szCs w:val="20"/>
              </w:rPr>
              <w:t>142.2 ± 5.31</w:t>
            </w:r>
          </w:p>
        </w:tc>
        <w:tc>
          <w:tcPr>
            <w:tcW w:w="1915" w:type="dxa"/>
          </w:tcPr>
          <w:p w14:paraId="4C04027D" w14:textId="77777777" w:rsidR="00A47605" w:rsidRPr="003F364A" w:rsidRDefault="00A47605" w:rsidP="0061276B">
            <w:pPr>
              <w:rPr>
                <w:rFonts w:ascii="Arial" w:hAnsi="Arial" w:cs="Arial"/>
                <w:sz w:val="20"/>
                <w:szCs w:val="20"/>
              </w:rPr>
            </w:pPr>
            <w:r w:rsidRPr="003F364A">
              <w:rPr>
                <w:rFonts w:ascii="Arial" w:hAnsi="Arial" w:cs="Arial"/>
                <w:sz w:val="20"/>
                <w:szCs w:val="20"/>
              </w:rPr>
              <w:t>4.70 ± 0.33</w:t>
            </w:r>
          </w:p>
        </w:tc>
        <w:tc>
          <w:tcPr>
            <w:tcW w:w="1915" w:type="dxa"/>
          </w:tcPr>
          <w:p w14:paraId="50E04A57" w14:textId="77777777" w:rsidR="00A47605" w:rsidRPr="003F364A" w:rsidRDefault="00A47605" w:rsidP="0061276B">
            <w:pPr>
              <w:rPr>
                <w:rFonts w:ascii="Arial" w:hAnsi="Arial" w:cs="Arial"/>
                <w:sz w:val="20"/>
                <w:szCs w:val="20"/>
              </w:rPr>
            </w:pPr>
            <w:r w:rsidRPr="003F364A">
              <w:rPr>
                <w:rFonts w:ascii="Arial" w:hAnsi="Arial" w:cs="Arial"/>
                <w:sz w:val="20"/>
                <w:szCs w:val="20"/>
              </w:rPr>
              <w:t>83.80 ± 3.96</w:t>
            </w:r>
          </w:p>
        </w:tc>
        <w:tc>
          <w:tcPr>
            <w:tcW w:w="1916" w:type="dxa"/>
          </w:tcPr>
          <w:p w14:paraId="4790D45B" w14:textId="77777777" w:rsidR="00A47605" w:rsidRPr="003F364A" w:rsidRDefault="00A47605" w:rsidP="0061276B">
            <w:pPr>
              <w:rPr>
                <w:rFonts w:ascii="Arial" w:hAnsi="Arial" w:cs="Arial"/>
                <w:sz w:val="20"/>
                <w:szCs w:val="20"/>
              </w:rPr>
            </w:pPr>
            <w:r w:rsidRPr="003F364A">
              <w:rPr>
                <w:rFonts w:ascii="Arial" w:hAnsi="Arial" w:cs="Arial"/>
                <w:sz w:val="20"/>
                <w:szCs w:val="20"/>
              </w:rPr>
              <w:t>22.40 ± 1.14</w:t>
            </w:r>
          </w:p>
        </w:tc>
      </w:tr>
      <w:tr w:rsidR="00A47605" w:rsidRPr="003F364A" w14:paraId="167ACD3D" w14:textId="77777777" w:rsidTr="0061276B">
        <w:tc>
          <w:tcPr>
            <w:tcW w:w="1915" w:type="dxa"/>
          </w:tcPr>
          <w:p w14:paraId="2B0F0DA0"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vi (Atrazine after 15 days of high dose Honey)</w:t>
            </w:r>
          </w:p>
        </w:tc>
        <w:tc>
          <w:tcPr>
            <w:tcW w:w="1915" w:type="dxa"/>
          </w:tcPr>
          <w:p w14:paraId="7B8A7F2D" w14:textId="77777777" w:rsidR="00A47605" w:rsidRPr="003F364A" w:rsidRDefault="00A47605" w:rsidP="0061276B">
            <w:pPr>
              <w:rPr>
                <w:rFonts w:ascii="Arial" w:hAnsi="Arial" w:cs="Arial"/>
                <w:sz w:val="20"/>
                <w:szCs w:val="20"/>
              </w:rPr>
            </w:pPr>
            <w:r w:rsidRPr="003F364A">
              <w:rPr>
                <w:rFonts w:ascii="Arial" w:hAnsi="Arial" w:cs="Arial"/>
                <w:sz w:val="20"/>
                <w:szCs w:val="20"/>
              </w:rPr>
              <w:t>137.6 ± 5.32</w:t>
            </w:r>
          </w:p>
        </w:tc>
        <w:tc>
          <w:tcPr>
            <w:tcW w:w="1915" w:type="dxa"/>
          </w:tcPr>
          <w:p w14:paraId="0B3DC934" w14:textId="77777777" w:rsidR="00A47605" w:rsidRPr="003F364A" w:rsidRDefault="00A47605" w:rsidP="0061276B">
            <w:pPr>
              <w:rPr>
                <w:rFonts w:ascii="Arial" w:hAnsi="Arial" w:cs="Arial"/>
                <w:sz w:val="20"/>
                <w:szCs w:val="20"/>
              </w:rPr>
            </w:pPr>
            <w:r w:rsidRPr="003F364A">
              <w:rPr>
                <w:rFonts w:ascii="Arial" w:hAnsi="Arial" w:cs="Arial"/>
                <w:sz w:val="20"/>
                <w:szCs w:val="20"/>
              </w:rPr>
              <w:t>4.32 ± 0.38</w:t>
            </w:r>
          </w:p>
        </w:tc>
        <w:tc>
          <w:tcPr>
            <w:tcW w:w="1915" w:type="dxa"/>
          </w:tcPr>
          <w:p w14:paraId="5C5C7A13" w14:textId="77777777" w:rsidR="00A47605" w:rsidRPr="003F364A" w:rsidRDefault="00A47605" w:rsidP="0061276B">
            <w:pPr>
              <w:rPr>
                <w:rFonts w:ascii="Arial" w:hAnsi="Arial" w:cs="Arial"/>
                <w:sz w:val="20"/>
                <w:szCs w:val="20"/>
              </w:rPr>
            </w:pPr>
            <w:r w:rsidRPr="003F364A">
              <w:rPr>
                <w:rFonts w:ascii="Arial" w:hAnsi="Arial" w:cs="Arial"/>
                <w:sz w:val="20"/>
                <w:szCs w:val="20"/>
              </w:rPr>
              <w:t>76.40 ± 3.57</w:t>
            </w:r>
          </w:p>
        </w:tc>
        <w:tc>
          <w:tcPr>
            <w:tcW w:w="1916" w:type="dxa"/>
          </w:tcPr>
          <w:p w14:paraId="62C40EDB" w14:textId="77777777" w:rsidR="00A47605" w:rsidRPr="003F364A" w:rsidRDefault="00A47605" w:rsidP="0061276B">
            <w:pPr>
              <w:rPr>
                <w:rFonts w:ascii="Arial" w:hAnsi="Arial" w:cs="Arial"/>
                <w:sz w:val="20"/>
                <w:szCs w:val="20"/>
              </w:rPr>
            </w:pPr>
            <w:r w:rsidRPr="003F364A">
              <w:rPr>
                <w:rFonts w:ascii="Arial" w:hAnsi="Arial" w:cs="Arial"/>
                <w:sz w:val="20"/>
                <w:szCs w:val="20"/>
              </w:rPr>
              <w:t>23.80 ± 1.78</w:t>
            </w:r>
          </w:p>
        </w:tc>
      </w:tr>
      <w:tr w:rsidR="00A47605" w:rsidRPr="003F364A" w14:paraId="088ECE9F" w14:textId="77777777" w:rsidTr="0061276B">
        <w:tc>
          <w:tcPr>
            <w:tcW w:w="1915" w:type="dxa"/>
          </w:tcPr>
          <w:p w14:paraId="0020634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F-value</w:t>
            </w:r>
          </w:p>
        </w:tc>
        <w:tc>
          <w:tcPr>
            <w:tcW w:w="1915" w:type="dxa"/>
          </w:tcPr>
          <w:p w14:paraId="758E0EAE" w14:textId="77777777" w:rsidR="00A47605" w:rsidRPr="003F364A" w:rsidRDefault="00A47605" w:rsidP="0061276B">
            <w:pPr>
              <w:rPr>
                <w:rFonts w:ascii="Arial" w:hAnsi="Arial" w:cs="Arial"/>
                <w:sz w:val="20"/>
                <w:szCs w:val="20"/>
              </w:rPr>
            </w:pPr>
            <w:r w:rsidRPr="003F364A">
              <w:rPr>
                <w:rFonts w:ascii="Arial" w:hAnsi="Arial" w:cs="Arial"/>
                <w:sz w:val="20"/>
                <w:szCs w:val="20"/>
              </w:rPr>
              <w:t>20.80</w:t>
            </w:r>
          </w:p>
        </w:tc>
        <w:tc>
          <w:tcPr>
            <w:tcW w:w="1915" w:type="dxa"/>
          </w:tcPr>
          <w:p w14:paraId="65D632A1" w14:textId="77777777" w:rsidR="00A47605" w:rsidRPr="003F364A" w:rsidRDefault="00A47605" w:rsidP="0061276B">
            <w:pPr>
              <w:rPr>
                <w:rFonts w:ascii="Arial" w:hAnsi="Arial" w:cs="Arial"/>
                <w:sz w:val="20"/>
                <w:szCs w:val="20"/>
              </w:rPr>
            </w:pPr>
            <w:r w:rsidRPr="003F364A">
              <w:rPr>
                <w:rFonts w:ascii="Arial" w:hAnsi="Arial" w:cs="Arial"/>
                <w:sz w:val="20"/>
                <w:szCs w:val="20"/>
              </w:rPr>
              <w:t>22.34</w:t>
            </w:r>
          </w:p>
        </w:tc>
        <w:tc>
          <w:tcPr>
            <w:tcW w:w="1915" w:type="dxa"/>
          </w:tcPr>
          <w:p w14:paraId="656137A8" w14:textId="77777777" w:rsidR="00A47605" w:rsidRPr="003F364A" w:rsidRDefault="00A47605" w:rsidP="0061276B">
            <w:pPr>
              <w:rPr>
                <w:rFonts w:ascii="Arial" w:hAnsi="Arial" w:cs="Arial"/>
                <w:sz w:val="20"/>
                <w:szCs w:val="20"/>
              </w:rPr>
            </w:pPr>
            <w:r w:rsidRPr="003F364A">
              <w:rPr>
                <w:rFonts w:ascii="Arial" w:hAnsi="Arial" w:cs="Arial"/>
                <w:sz w:val="20"/>
                <w:szCs w:val="20"/>
              </w:rPr>
              <w:t>3.629</w:t>
            </w:r>
          </w:p>
        </w:tc>
        <w:tc>
          <w:tcPr>
            <w:tcW w:w="1916" w:type="dxa"/>
          </w:tcPr>
          <w:p w14:paraId="5DA11AD2" w14:textId="77777777" w:rsidR="00A47605" w:rsidRPr="003F364A" w:rsidRDefault="00A47605" w:rsidP="0061276B">
            <w:pPr>
              <w:rPr>
                <w:rFonts w:ascii="Arial" w:hAnsi="Arial" w:cs="Arial"/>
                <w:sz w:val="20"/>
                <w:szCs w:val="20"/>
              </w:rPr>
            </w:pPr>
            <w:r w:rsidRPr="003F364A">
              <w:rPr>
                <w:rFonts w:ascii="Arial" w:hAnsi="Arial" w:cs="Arial"/>
                <w:sz w:val="20"/>
                <w:szCs w:val="20"/>
              </w:rPr>
              <w:t>7.130</w:t>
            </w:r>
          </w:p>
        </w:tc>
      </w:tr>
      <w:tr w:rsidR="00A47605" w:rsidRPr="003F364A" w14:paraId="019D1519" w14:textId="77777777" w:rsidTr="0061276B">
        <w:tc>
          <w:tcPr>
            <w:tcW w:w="1915" w:type="dxa"/>
          </w:tcPr>
          <w:p w14:paraId="6999658D"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P-value</w:t>
            </w:r>
          </w:p>
        </w:tc>
        <w:tc>
          <w:tcPr>
            <w:tcW w:w="1915" w:type="dxa"/>
          </w:tcPr>
          <w:p w14:paraId="3CD9D07A"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1915" w:type="dxa"/>
          </w:tcPr>
          <w:p w14:paraId="0B1FB4A3"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1915" w:type="dxa"/>
          </w:tcPr>
          <w:p w14:paraId="5A617C4C" w14:textId="77777777" w:rsidR="00A47605" w:rsidRPr="003F364A" w:rsidRDefault="00A47605" w:rsidP="0061276B">
            <w:pPr>
              <w:rPr>
                <w:rFonts w:ascii="Arial" w:hAnsi="Arial" w:cs="Arial"/>
                <w:sz w:val="20"/>
                <w:szCs w:val="20"/>
              </w:rPr>
            </w:pPr>
            <w:r w:rsidRPr="003F364A">
              <w:rPr>
                <w:rFonts w:ascii="Arial" w:hAnsi="Arial" w:cs="Arial"/>
                <w:sz w:val="20"/>
                <w:szCs w:val="20"/>
              </w:rPr>
              <w:t>0.0138</w:t>
            </w:r>
          </w:p>
        </w:tc>
        <w:tc>
          <w:tcPr>
            <w:tcW w:w="1916" w:type="dxa"/>
          </w:tcPr>
          <w:p w14:paraId="68EA5A74" w14:textId="77777777" w:rsidR="00A47605" w:rsidRPr="003F364A" w:rsidRDefault="00A47605" w:rsidP="0061276B">
            <w:pPr>
              <w:rPr>
                <w:rFonts w:ascii="Arial" w:hAnsi="Arial" w:cs="Arial"/>
                <w:sz w:val="20"/>
                <w:szCs w:val="20"/>
              </w:rPr>
            </w:pPr>
            <w:r w:rsidRPr="003F364A">
              <w:rPr>
                <w:rFonts w:ascii="Arial" w:hAnsi="Arial" w:cs="Arial"/>
                <w:sz w:val="20"/>
                <w:szCs w:val="20"/>
              </w:rPr>
              <w:t>0.0003</w:t>
            </w:r>
          </w:p>
        </w:tc>
      </w:tr>
      <w:tr w:rsidR="00A47605" w:rsidRPr="003F364A" w14:paraId="282D5606" w14:textId="77777777" w:rsidTr="0061276B">
        <w:tc>
          <w:tcPr>
            <w:tcW w:w="1915" w:type="dxa"/>
          </w:tcPr>
          <w:p w14:paraId="023F045A"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Remark</w:t>
            </w:r>
          </w:p>
        </w:tc>
        <w:tc>
          <w:tcPr>
            <w:tcW w:w="1915" w:type="dxa"/>
          </w:tcPr>
          <w:p w14:paraId="4696A0E0" w14:textId="77777777" w:rsidR="00A47605" w:rsidRPr="003F364A" w:rsidRDefault="00A47605" w:rsidP="0061276B">
            <w:pPr>
              <w:rPr>
                <w:rFonts w:ascii="Arial" w:hAnsi="Arial" w:cs="Arial"/>
                <w:sz w:val="20"/>
                <w:szCs w:val="20"/>
              </w:rPr>
            </w:pPr>
            <w:r w:rsidRPr="003F364A">
              <w:rPr>
                <w:rFonts w:ascii="Arial" w:hAnsi="Arial" w:cs="Arial"/>
                <w:sz w:val="20"/>
                <w:szCs w:val="20"/>
              </w:rPr>
              <w:t>S</w:t>
            </w:r>
          </w:p>
        </w:tc>
        <w:tc>
          <w:tcPr>
            <w:tcW w:w="1915" w:type="dxa"/>
          </w:tcPr>
          <w:p w14:paraId="1BA68ED9" w14:textId="77777777" w:rsidR="00A47605" w:rsidRPr="003F364A" w:rsidRDefault="00A47605" w:rsidP="0061276B">
            <w:pPr>
              <w:rPr>
                <w:rFonts w:ascii="Arial" w:hAnsi="Arial" w:cs="Arial"/>
                <w:sz w:val="20"/>
                <w:szCs w:val="20"/>
              </w:rPr>
            </w:pPr>
            <w:r w:rsidRPr="003F364A">
              <w:rPr>
                <w:rFonts w:ascii="Arial" w:hAnsi="Arial" w:cs="Arial"/>
                <w:sz w:val="20"/>
                <w:szCs w:val="20"/>
              </w:rPr>
              <w:t>S</w:t>
            </w:r>
          </w:p>
        </w:tc>
        <w:tc>
          <w:tcPr>
            <w:tcW w:w="1915" w:type="dxa"/>
          </w:tcPr>
          <w:p w14:paraId="5FC2E16A"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c>
          <w:tcPr>
            <w:tcW w:w="1916" w:type="dxa"/>
          </w:tcPr>
          <w:p w14:paraId="524E7D6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r>
    </w:tbl>
    <w:p w14:paraId="6E49DED9" w14:textId="77777777" w:rsidR="00A47605" w:rsidRPr="00C56ED7" w:rsidRDefault="00A47605" w:rsidP="00A47605">
      <w:pPr>
        <w:spacing w:line="360" w:lineRule="auto"/>
        <w:rPr>
          <w:rFonts w:ascii="Arial" w:hAnsi="Arial" w:cs="Arial"/>
          <w:bCs/>
          <w:sz w:val="18"/>
          <w:szCs w:val="18"/>
        </w:rPr>
      </w:pPr>
      <w:r w:rsidRPr="00C56ED7">
        <w:rPr>
          <w:rFonts w:ascii="Arial" w:hAnsi="Arial" w:cs="Arial"/>
          <w:b/>
          <w:i/>
          <w:iCs/>
          <w:sz w:val="18"/>
          <w:szCs w:val="18"/>
        </w:rPr>
        <w:t xml:space="preserve">Key: </w:t>
      </w:r>
      <w:r w:rsidRPr="00C56ED7">
        <w:rPr>
          <w:rFonts w:ascii="Arial" w:hAnsi="Arial" w:cs="Arial"/>
          <w:bCs/>
          <w:i/>
          <w:iCs/>
          <w:sz w:val="18"/>
          <w:szCs w:val="18"/>
        </w:rPr>
        <w:t>NS = not significant, S = significant. Values with different superscripts are significantly different (p&lt;0.05), NC= Negative Control, PC= Positive Control.</w:t>
      </w:r>
    </w:p>
    <w:p w14:paraId="08CFE1ED" w14:textId="77777777" w:rsidR="00A47605" w:rsidRDefault="00A47605" w:rsidP="00A47605">
      <w:pPr>
        <w:spacing w:line="480" w:lineRule="auto"/>
        <w:rPr>
          <w:rFonts w:ascii="Arial" w:hAnsi="Arial" w:cs="Arial"/>
          <w:b/>
          <w:bCs/>
        </w:rPr>
      </w:pPr>
    </w:p>
    <w:p w14:paraId="22F70D4A" w14:textId="562CFCB2" w:rsidR="00A47605" w:rsidRPr="003F364A" w:rsidRDefault="00A47605" w:rsidP="00A47605">
      <w:pPr>
        <w:spacing w:line="480" w:lineRule="auto"/>
        <w:rPr>
          <w:rFonts w:ascii="Arial" w:hAnsi="Arial" w:cs="Arial"/>
          <w:b/>
          <w:bCs/>
          <w:lang w:val="en-GB"/>
        </w:rPr>
      </w:pPr>
      <w:r w:rsidRPr="003F364A">
        <w:rPr>
          <w:rFonts w:ascii="Arial" w:hAnsi="Arial" w:cs="Arial"/>
          <w:b/>
          <w:bCs/>
        </w:rPr>
        <w:t>Table 3</w:t>
      </w:r>
      <w:r w:rsidR="0066307A">
        <w:rPr>
          <w:rFonts w:ascii="Arial" w:hAnsi="Arial" w:cs="Arial"/>
          <w:b/>
          <w:bCs/>
        </w:rPr>
        <w:t>:</w:t>
      </w:r>
      <w:r w:rsidRPr="003F364A">
        <w:rPr>
          <w:rFonts w:ascii="Arial" w:hAnsi="Arial" w:cs="Arial"/>
          <w:b/>
          <w:bCs/>
        </w:rPr>
        <w:t xml:space="preserve"> Tukey's Multiple Comparison of Urea and Creatinine Between Groups</w:t>
      </w:r>
    </w:p>
    <w:tbl>
      <w:tblPr>
        <w:tblStyle w:val="ListTable6Colorful1"/>
        <w:tblW w:w="6996" w:type="dxa"/>
        <w:tblLayout w:type="fixed"/>
        <w:tblLook w:val="04A0" w:firstRow="1" w:lastRow="0" w:firstColumn="1" w:lastColumn="0" w:noHBand="0" w:noVBand="1"/>
      </w:tblPr>
      <w:tblGrid>
        <w:gridCol w:w="2142"/>
        <w:gridCol w:w="2178"/>
        <w:gridCol w:w="2676"/>
      </w:tblGrid>
      <w:tr w:rsidR="00A47605" w:rsidRPr="003F364A" w14:paraId="1B3F72B4" w14:textId="77777777" w:rsidTr="0061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7AC59D6E" w14:textId="77777777" w:rsidR="00A47605" w:rsidRPr="003F364A" w:rsidRDefault="00A47605" w:rsidP="0061276B">
            <w:pPr>
              <w:rPr>
                <w:rFonts w:ascii="Arial" w:hAnsi="Arial" w:cs="Arial"/>
                <w:color w:val="auto"/>
                <w:sz w:val="20"/>
                <w:szCs w:val="20"/>
              </w:rPr>
            </w:pPr>
            <w:r w:rsidRPr="003F364A">
              <w:rPr>
                <w:rFonts w:ascii="Arial" w:hAnsi="Arial" w:cs="Arial"/>
                <w:color w:val="auto"/>
                <w:sz w:val="20"/>
                <w:szCs w:val="20"/>
              </w:rPr>
              <w:t>Groups</w:t>
            </w:r>
          </w:p>
        </w:tc>
        <w:tc>
          <w:tcPr>
            <w:tcW w:w="2178" w:type="dxa"/>
            <w:shd w:val="clear" w:color="auto" w:fill="auto"/>
          </w:tcPr>
          <w:p w14:paraId="0A358518"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Urea(mmol/L)</w:t>
            </w:r>
          </w:p>
        </w:tc>
        <w:tc>
          <w:tcPr>
            <w:tcW w:w="2676" w:type="dxa"/>
            <w:shd w:val="clear" w:color="auto" w:fill="auto"/>
          </w:tcPr>
          <w:p w14:paraId="423F8E36"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Creatinine(umol/L)</w:t>
            </w:r>
          </w:p>
        </w:tc>
      </w:tr>
      <w:tr w:rsidR="00A47605" w:rsidRPr="003F364A" w14:paraId="63C8EF01"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C2028F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2</w:t>
            </w:r>
          </w:p>
        </w:tc>
        <w:tc>
          <w:tcPr>
            <w:tcW w:w="2178" w:type="dxa"/>
            <w:shd w:val="clear" w:color="auto" w:fill="auto"/>
          </w:tcPr>
          <w:p w14:paraId="28D1B50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-2.920</w:t>
            </w:r>
          </w:p>
        </w:tc>
        <w:tc>
          <w:tcPr>
            <w:tcW w:w="2676" w:type="dxa"/>
            <w:shd w:val="clear" w:color="auto" w:fill="auto"/>
          </w:tcPr>
          <w:p w14:paraId="101A80B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-55.60</w:t>
            </w:r>
          </w:p>
        </w:tc>
      </w:tr>
      <w:tr w:rsidR="00A47605" w:rsidRPr="003F364A" w14:paraId="11720703"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E85E33D"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3</w:t>
            </w:r>
          </w:p>
        </w:tc>
        <w:tc>
          <w:tcPr>
            <w:tcW w:w="2178" w:type="dxa"/>
            <w:shd w:val="clear" w:color="auto" w:fill="auto"/>
          </w:tcPr>
          <w:p w14:paraId="616B67E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-2.060</w:t>
            </w:r>
          </w:p>
        </w:tc>
        <w:tc>
          <w:tcPr>
            <w:tcW w:w="2676" w:type="dxa"/>
            <w:shd w:val="clear" w:color="auto" w:fill="auto"/>
          </w:tcPr>
          <w:p w14:paraId="707D494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-57.40</w:t>
            </w:r>
          </w:p>
        </w:tc>
      </w:tr>
      <w:tr w:rsidR="00A47605" w:rsidRPr="003F364A" w14:paraId="2ACABAB3"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E83B144"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4</w:t>
            </w:r>
          </w:p>
        </w:tc>
        <w:tc>
          <w:tcPr>
            <w:tcW w:w="2178" w:type="dxa"/>
            <w:shd w:val="clear" w:color="auto" w:fill="auto"/>
          </w:tcPr>
          <w:p w14:paraId="7D3459D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-1.640</w:t>
            </w:r>
          </w:p>
        </w:tc>
        <w:tc>
          <w:tcPr>
            <w:tcW w:w="2676" w:type="dxa"/>
            <w:shd w:val="clear" w:color="auto" w:fill="auto"/>
          </w:tcPr>
          <w:p w14:paraId="5C685D28"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-44.20</w:t>
            </w:r>
          </w:p>
        </w:tc>
      </w:tr>
      <w:tr w:rsidR="00A47605" w:rsidRPr="003F364A" w14:paraId="1A6BA0FB"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3E691F7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Grp1 vs 5</w:t>
            </w:r>
          </w:p>
        </w:tc>
        <w:tc>
          <w:tcPr>
            <w:tcW w:w="2178" w:type="dxa"/>
            <w:shd w:val="clear" w:color="auto" w:fill="auto"/>
          </w:tcPr>
          <w:p w14:paraId="61E9328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-0.9400</w:t>
            </w:r>
          </w:p>
        </w:tc>
        <w:tc>
          <w:tcPr>
            <w:tcW w:w="2676" w:type="dxa"/>
            <w:shd w:val="clear" w:color="auto" w:fill="auto"/>
          </w:tcPr>
          <w:p w14:paraId="4A437EF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-34.40</w:t>
            </w:r>
          </w:p>
        </w:tc>
      </w:tr>
      <w:tr w:rsidR="00A47605" w:rsidRPr="003F364A" w14:paraId="1550D0D7"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E0B745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6</w:t>
            </w:r>
          </w:p>
        </w:tc>
        <w:tc>
          <w:tcPr>
            <w:tcW w:w="2178" w:type="dxa"/>
            <w:shd w:val="clear" w:color="auto" w:fill="auto"/>
          </w:tcPr>
          <w:p w14:paraId="087AAEB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-0.8800</w:t>
            </w:r>
          </w:p>
        </w:tc>
        <w:tc>
          <w:tcPr>
            <w:tcW w:w="2676" w:type="dxa"/>
            <w:shd w:val="clear" w:color="auto" w:fill="auto"/>
          </w:tcPr>
          <w:p w14:paraId="658E0B35"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-47.20</w:t>
            </w:r>
          </w:p>
        </w:tc>
      </w:tr>
      <w:tr w:rsidR="00A47605" w:rsidRPr="003F364A" w14:paraId="6C24AB80"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86880C0"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3</w:t>
            </w:r>
          </w:p>
        </w:tc>
        <w:tc>
          <w:tcPr>
            <w:tcW w:w="2178" w:type="dxa"/>
            <w:shd w:val="clear" w:color="auto" w:fill="auto"/>
          </w:tcPr>
          <w:p w14:paraId="3C202BE1"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0.8600</w:t>
            </w:r>
          </w:p>
        </w:tc>
        <w:tc>
          <w:tcPr>
            <w:tcW w:w="2676" w:type="dxa"/>
            <w:shd w:val="clear" w:color="auto" w:fill="auto"/>
          </w:tcPr>
          <w:p w14:paraId="3940205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-1.800</w:t>
            </w:r>
          </w:p>
        </w:tc>
      </w:tr>
      <w:tr w:rsidR="00A47605" w:rsidRPr="003F364A" w14:paraId="3B5EE753"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5D432CD"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4 </w:t>
            </w:r>
          </w:p>
        </w:tc>
        <w:tc>
          <w:tcPr>
            <w:tcW w:w="2178" w:type="dxa"/>
            <w:shd w:val="clear" w:color="auto" w:fill="auto"/>
          </w:tcPr>
          <w:p w14:paraId="48ADD27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1.280</w:t>
            </w:r>
          </w:p>
        </w:tc>
        <w:tc>
          <w:tcPr>
            <w:tcW w:w="2676" w:type="dxa"/>
            <w:shd w:val="clear" w:color="auto" w:fill="auto"/>
          </w:tcPr>
          <w:p w14:paraId="4F70F47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11.40</w:t>
            </w:r>
          </w:p>
        </w:tc>
      </w:tr>
      <w:tr w:rsidR="00A47605" w:rsidRPr="003F364A" w14:paraId="535999C7"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42DD252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5 </w:t>
            </w:r>
          </w:p>
        </w:tc>
        <w:tc>
          <w:tcPr>
            <w:tcW w:w="2178" w:type="dxa"/>
            <w:shd w:val="clear" w:color="auto" w:fill="auto"/>
          </w:tcPr>
          <w:p w14:paraId="38E8413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1.980</w:t>
            </w:r>
          </w:p>
        </w:tc>
        <w:tc>
          <w:tcPr>
            <w:tcW w:w="2676" w:type="dxa"/>
            <w:shd w:val="clear" w:color="auto" w:fill="auto"/>
          </w:tcPr>
          <w:p w14:paraId="411B6760"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21.20</w:t>
            </w:r>
          </w:p>
        </w:tc>
      </w:tr>
      <w:tr w:rsidR="00A47605" w:rsidRPr="003F364A" w14:paraId="68846177"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F6D413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6</w:t>
            </w:r>
          </w:p>
        </w:tc>
        <w:tc>
          <w:tcPr>
            <w:tcW w:w="2178" w:type="dxa"/>
            <w:shd w:val="clear" w:color="auto" w:fill="auto"/>
          </w:tcPr>
          <w:p w14:paraId="0D6B66E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2.040</w:t>
            </w:r>
          </w:p>
        </w:tc>
        <w:tc>
          <w:tcPr>
            <w:tcW w:w="2676" w:type="dxa"/>
            <w:shd w:val="clear" w:color="auto" w:fill="auto"/>
          </w:tcPr>
          <w:p w14:paraId="6C573475"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8.400</w:t>
            </w:r>
          </w:p>
        </w:tc>
      </w:tr>
      <w:tr w:rsidR="00A47605" w:rsidRPr="003F364A" w14:paraId="465C0052"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399C00E6"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4</w:t>
            </w:r>
          </w:p>
        </w:tc>
        <w:tc>
          <w:tcPr>
            <w:tcW w:w="2178" w:type="dxa"/>
            <w:shd w:val="clear" w:color="auto" w:fill="auto"/>
          </w:tcPr>
          <w:p w14:paraId="30DB5C4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0.4200</w:t>
            </w:r>
          </w:p>
        </w:tc>
        <w:tc>
          <w:tcPr>
            <w:tcW w:w="2676" w:type="dxa"/>
            <w:shd w:val="clear" w:color="auto" w:fill="auto"/>
          </w:tcPr>
          <w:p w14:paraId="6A6F2E9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13.20</w:t>
            </w:r>
          </w:p>
        </w:tc>
      </w:tr>
      <w:tr w:rsidR="00A47605" w:rsidRPr="003F364A" w14:paraId="1F99E182"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28527F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5</w:t>
            </w:r>
          </w:p>
        </w:tc>
        <w:tc>
          <w:tcPr>
            <w:tcW w:w="2178" w:type="dxa"/>
            <w:shd w:val="clear" w:color="auto" w:fill="auto"/>
          </w:tcPr>
          <w:p w14:paraId="595B61A8"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1.120</w:t>
            </w:r>
          </w:p>
        </w:tc>
        <w:tc>
          <w:tcPr>
            <w:tcW w:w="2676" w:type="dxa"/>
            <w:shd w:val="clear" w:color="auto" w:fill="auto"/>
          </w:tcPr>
          <w:p w14:paraId="21BE60F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23.00</w:t>
            </w:r>
          </w:p>
        </w:tc>
      </w:tr>
      <w:tr w:rsidR="00A47605" w:rsidRPr="003F364A" w14:paraId="4FE7F627"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D6CF78A"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6</w:t>
            </w:r>
          </w:p>
        </w:tc>
        <w:tc>
          <w:tcPr>
            <w:tcW w:w="2178" w:type="dxa"/>
            <w:shd w:val="clear" w:color="auto" w:fill="auto"/>
          </w:tcPr>
          <w:p w14:paraId="086155A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1.180</w:t>
            </w:r>
          </w:p>
        </w:tc>
        <w:tc>
          <w:tcPr>
            <w:tcW w:w="2676" w:type="dxa"/>
            <w:shd w:val="clear" w:color="auto" w:fill="auto"/>
          </w:tcPr>
          <w:p w14:paraId="191EDBE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10.20</w:t>
            </w:r>
          </w:p>
        </w:tc>
      </w:tr>
      <w:tr w:rsidR="00A47605" w:rsidRPr="003F364A" w14:paraId="7248C90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10DB14F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5</w:t>
            </w:r>
          </w:p>
        </w:tc>
        <w:tc>
          <w:tcPr>
            <w:tcW w:w="2178" w:type="dxa"/>
            <w:shd w:val="clear" w:color="auto" w:fill="auto"/>
          </w:tcPr>
          <w:p w14:paraId="3FBFA5D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0.7000</w:t>
            </w:r>
          </w:p>
        </w:tc>
        <w:tc>
          <w:tcPr>
            <w:tcW w:w="2676" w:type="dxa"/>
            <w:shd w:val="clear" w:color="auto" w:fill="auto"/>
          </w:tcPr>
          <w:p w14:paraId="364AE53B"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9.800</w:t>
            </w:r>
          </w:p>
        </w:tc>
      </w:tr>
      <w:tr w:rsidR="00A47605" w:rsidRPr="003F364A" w14:paraId="712CFA41"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D54B4A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6</w:t>
            </w:r>
          </w:p>
        </w:tc>
        <w:tc>
          <w:tcPr>
            <w:tcW w:w="2178" w:type="dxa"/>
            <w:shd w:val="clear" w:color="auto" w:fill="auto"/>
          </w:tcPr>
          <w:p w14:paraId="65A47EC1"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0.7600</w:t>
            </w:r>
          </w:p>
        </w:tc>
        <w:tc>
          <w:tcPr>
            <w:tcW w:w="2676" w:type="dxa"/>
            <w:shd w:val="clear" w:color="auto" w:fill="auto"/>
          </w:tcPr>
          <w:p w14:paraId="729FA29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-3.000</w:t>
            </w:r>
          </w:p>
        </w:tc>
      </w:tr>
      <w:tr w:rsidR="00A47605" w:rsidRPr="003F364A" w14:paraId="10990D89"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5897E6E"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5 vs 6</w:t>
            </w:r>
          </w:p>
        </w:tc>
        <w:tc>
          <w:tcPr>
            <w:tcW w:w="2178" w:type="dxa"/>
            <w:shd w:val="clear" w:color="auto" w:fill="auto"/>
          </w:tcPr>
          <w:p w14:paraId="66C434A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GB"/>
              </w:rPr>
            </w:pPr>
            <w:r w:rsidRPr="003F364A">
              <w:rPr>
                <w:rFonts w:ascii="Arial" w:hAnsi="Arial" w:cs="Arial"/>
                <w:color w:val="auto"/>
                <w:sz w:val="20"/>
                <w:szCs w:val="20"/>
                <w:lang w:val="en-GB"/>
              </w:rPr>
              <w:t>0.06000</w:t>
            </w:r>
          </w:p>
        </w:tc>
        <w:tc>
          <w:tcPr>
            <w:tcW w:w="2676" w:type="dxa"/>
            <w:shd w:val="clear" w:color="auto" w:fill="auto"/>
          </w:tcPr>
          <w:p w14:paraId="1025AE3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GB"/>
              </w:rPr>
            </w:pPr>
            <w:r w:rsidRPr="003F364A">
              <w:rPr>
                <w:rFonts w:ascii="Arial" w:hAnsi="Arial" w:cs="Arial"/>
                <w:color w:val="auto"/>
                <w:sz w:val="20"/>
                <w:szCs w:val="20"/>
                <w:lang w:val="en-GB"/>
              </w:rPr>
              <w:t>-12.80</w:t>
            </w:r>
          </w:p>
        </w:tc>
      </w:tr>
    </w:tbl>
    <w:p w14:paraId="5AA8F1EC" w14:textId="77777777" w:rsidR="00A47605" w:rsidRPr="003F364A" w:rsidRDefault="00A47605" w:rsidP="00A47605">
      <w:pPr>
        <w:spacing w:line="480" w:lineRule="auto"/>
        <w:jc w:val="center"/>
        <w:rPr>
          <w:rFonts w:ascii="Arial" w:hAnsi="Arial" w:cs="Arial"/>
          <w:b/>
        </w:rPr>
      </w:pPr>
    </w:p>
    <w:p w14:paraId="5C4902BA" w14:textId="5E83A178" w:rsidR="00A47605" w:rsidRPr="003F364A" w:rsidRDefault="00A47605" w:rsidP="00A47605">
      <w:pPr>
        <w:tabs>
          <w:tab w:val="left" w:pos="822"/>
        </w:tabs>
        <w:spacing w:line="480" w:lineRule="auto"/>
        <w:rPr>
          <w:rFonts w:ascii="Arial" w:hAnsi="Arial" w:cs="Arial"/>
          <w:b/>
          <w:bCs/>
          <w:lang w:val="en-GB"/>
        </w:rPr>
      </w:pPr>
      <w:r w:rsidRPr="003F364A">
        <w:rPr>
          <w:rFonts w:ascii="Arial" w:hAnsi="Arial" w:cs="Arial"/>
          <w:b/>
          <w:bCs/>
        </w:rPr>
        <w:t>Table 4</w:t>
      </w:r>
      <w:r w:rsidR="0066307A">
        <w:rPr>
          <w:rFonts w:ascii="Arial" w:hAnsi="Arial" w:cs="Arial"/>
          <w:b/>
          <w:bCs/>
        </w:rPr>
        <w:t>:</w:t>
      </w:r>
      <w:r w:rsidRPr="003F364A">
        <w:rPr>
          <w:rFonts w:ascii="Arial" w:hAnsi="Arial" w:cs="Arial"/>
          <w:b/>
          <w:bCs/>
        </w:rPr>
        <w:t xml:space="preserve"> Tukey's Multiple Comparison of Serum Electrolytes Between Groups</w:t>
      </w:r>
    </w:p>
    <w:tbl>
      <w:tblPr>
        <w:tblStyle w:val="ListTable6Colorful1"/>
        <w:tblW w:w="7758" w:type="dxa"/>
        <w:tblLayout w:type="fixed"/>
        <w:tblLook w:val="04A0" w:firstRow="1" w:lastRow="0" w:firstColumn="1" w:lastColumn="0" w:noHBand="0" w:noVBand="1"/>
      </w:tblPr>
      <w:tblGrid>
        <w:gridCol w:w="1548"/>
        <w:gridCol w:w="1800"/>
        <w:gridCol w:w="1440"/>
        <w:gridCol w:w="1350"/>
        <w:gridCol w:w="1620"/>
      </w:tblGrid>
      <w:tr w:rsidR="00A47605" w:rsidRPr="003F364A" w14:paraId="470894D3" w14:textId="77777777" w:rsidTr="0061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7FA828B" w14:textId="77777777" w:rsidR="00A47605" w:rsidRPr="003F364A" w:rsidRDefault="00A47605" w:rsidP="0061276B">
            <w:pPr>
              <w:rPr>
                <w:rFonts w:ascii="Arial" w:hAnsi="Arial" w:cs="Arial"/>
                <w:color w:val="auto"/>
                <w:sz w:val="20"/>
                <w:szCs w:val="20"/>
              </w:rPr>
            </w:pPr>
            <w:r w:rsidRPr="003F364A">
              <w:rPr>
                <w:rFonts w:ascii="Arial" w:hAnsi="Arial" w:cs="Arial"/>
                <w:color w:val="auto"/>
                <w:sz w:val="20"/>
                <w:szCs w:val="20"/>
              </w:rPr>
              <w:t>Groups</w:t>
            </w:r>
          </w:p>
        </w:tc>
        <w:tc>
          <w:tcPr>
            <w:tcW w:w="1800" w:type="dxa"/>
            <w:shd w:val="clear" w:color="auto" w:fill="auto"/>
          </w:tcPr>
          <w:p w14:paraId="606EFAB1"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Sodiu(mmol/L)</w:t>
            </w:r>
          </w:p>
        </w:tc>
        <w:tc>
          <w:tcPr>
            <w:tcW w:w="1440" w:type="dxa"/>
            <w:shd w:val="clear" w:color="auto" w:fill="auto"/>
          </w:tcPr>
          <w:p w14:paraId="1C943D3B"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Potassium</w:t>
            </w:r>
          </w:p>
          <w:p w14:paraId="7DFDCD9B"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c>
          <w:tcPr>
            <w:tcW w:w="1350" w:type="dxa"/>
            <w:shd w:val="clear" w:color="auto" w:fill="auto"/>
          </w:tcPr>
          <w:p w14:paraId="0CC5B6F6"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Chloride</w:t>
            </w:r>
          </w:p>
          <w:p w14:paraId="1808B464"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c>
          <w:tcPr>
            <w:tcW w:w="1620" w:type="dxa"/>
            <w:shd w:val="clear" w:color="auto" w:fill="auto"/>
          </w:tcPr>
          <w:p w14:paraId="20FD1C93"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Bicarbonate</w:t>
            </w:r>
          </w:p>
          <w:p w14:paraId="293DE861"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r>
      <w:tr w:rsidR="00A47605" w:rsidRPr="003F364A" w14:paraId="2CFD0F54"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2F42365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2</w:t>
            </w:r>
          </w:p>
        </w:tc>
        <w:tc>
          <w:tcPr>
            <w:tcW w:w="1800" w:type="dxa"/>
            <w:shd w:val="clear" w:color="auto" w:fill="auto"/>
          </w:tcPr>
          <w:p w14:paraId="1A2BCA0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22.20</w:t>
            </w:r>
          </w:p>
        </w:tc>
        <w:tc>
          <w:tcPr>
            <w:tcW w:w="1440" w:type="dxa"/>
            <w:shd w:val="clear" w:color="auto" w:fill="auto"/>
          </w:tcPr>
          <w:p w14:paraId="1CF326C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1.860</w:t>
            </w:r>
          </w:p>
        </w:tc>
        <w:tc>
          <w:tcPr>
            <w:tcW w:w="1350" w:type="dxa"/>
            <w:shd w:val="clear" w:color="auto" w:fill="auto"/>
          </w:tcPr>
          <w:p w14:paraId="3723296F"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6.000</w:t>
            </w:r>
          </w:p>
        </w:tc>
        <w:tc>
          <w:tcPr>
            <w:tcW w:w="1620" w:type="dxa"/>
            <w:shd w:val="clear" w:color="auto" w:fill="auto"/>
          </w:tcPr>
          <w:p w14:paraId="5AF9674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4.200</w:t>
            </w:r>
          </w:p>
        </w:tc>
      </w:tr>
      <w:tr w:rsidR="00A47605" w:rsidRPr="003F364A" w14:paraId="500EAEC0"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0341C3E4"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3</w:t>
            </w:r>
          </w:p>
        </w:tc>
        <w:tc>
          <w:tcPr>
            <w:tcW w:w="1800" w:type="dxa"/>
            <w:shd w:val="clear" w:color="auto" w:fill="auto"/>
          </w:tcPr>
          <w:p w14:paraId="0D04A20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13.00</w:t>
            </w:r>
          </w:p>
        </w:tc>
        <w:tc>
          <w:tcPr>
            <w:tcW w:w="1440" w:type="dxa"/>
            <w:shd w:val="clear" w:color="auto" w:fill="auto"/>
          </w:tcPr>
          <w:p w14:paraId="05C98440"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0.8600</w:t>
            </w:r>
          </w:p>
        </w:tc>
        <w:tc>
          <w:tcPr>
            <w:tcW w:w="1350" w:type="dxa"/>
            <w:shd w:val="clear" w:color="auto" w:fill="auto"/>
          </w:tcPr>
          <w:p w14:paraId="1EE34636"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0.8000</w:t>
            </w:r>
          </w:p>
        </w:tc>
        <w:tc>
          <w:tcPr>
            <w:tcW w:w="1620" w:type="dxa"/>
            <w:shd w:val="clear" w:color="auto" w:fill="auto"/>
          </w:tcPr>
          <w:p w14:paraId="10094E5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1.800</w:t>
            </w:r>
          </w:p>
        </w:tc>
      </w:tr>
      <w:tr w:rsidR="00A47605" w:rsidRPr="003F364A" w14:paraId="1D2CE67B"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E52EB77"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4</w:t>
            </w:r>
          </w:p>
        </w:tc>
        <w:tc>
          <w:tcPr>
            <w:tcW w:w="1800" w:type="dxa"/>
            <w:shd w:val="clear" w:color="auto" w:fill="auto"/>
          </w:tcPr>
          <w:p w14:paraId="2E202DC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2.200</w:t>
            </w:r>
          </w:p>
        </w:tc>
        <w:tc>
          <w:tcPr>
            <w:tcW w:w="1440" w:type="dxa"/>
            <w:shd w:val="clear" w:color="auto" w:fill="auto"/>
          </w:tcPr>
          <w:p w14:paraId="2388838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0.3800</w:t>
            </w:r>
          </w:p>
        </w:tc>
        <w:tc>
          <w:tcPr>
            <w:tcW w:w="1350" w:type="dxa"/>
            <w:shd w:val="clear" w:color="auto" w:fill="auto"/>
          </w:tcPr>
          <w:p w14:paraId="4729DAC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5.400</w:t>
            </w:r>
          </w:p>
        </w:tc>
        <w:tc>
          <w:tcPr>
            <w:tcW w:w="1620" w:type="dxa"/>
            <w:shd w:val="clear" w:color="auto" w:fill="auto"/>
          </w:tcPr>
          <w:p w14:paraId="2BBA17B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0.6000</w:t>
            </w:r>
          </w:p>
        </w:tc>
      </w:tr>
      <w:tr w:rsidR="00A47605" w:rsidRPr="003F364A" w14:paraId="33B1F78F"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E92C117"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Grp1 vs 5</w:t>
            </w:r>
          </w:p>
        </w:tc>
        <w:tc>
          <w:tcPr>
            <w:tcW w:w="1800" w:type="dxa"/>
            <w:shd w:val="clear" w:color="auto" w:fill="auto"/>
          </w:tcPr>
          <w:p w14:paraId="3F06895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c>
          <w:tcPr>
            <w:tcW w:w="1440" w:type="dxa"/>
            <w:shd w:val="clear" w:color="auto" w:fill="auto"/>
          </w:tcPr>
          <w:p w14:paraId="78CF9D5A"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0.4000</w:t>
            </w:r>
          </w:p>
        </w:tc>
        <w:tc>
          <w:tcPr>
            <w:tcW w:w="1350" w:type="dxa"/>
            <w:shd w:val="clear" w:color="auto" w:fill="auto"/>
          </w:tcPr>
          <w:p w14:paraId="4FD4823A"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2.200</w:t>
            </w:r>
          </w:p>
        </w:tc>
        <w:tc>
          <w:tcPr>
            <w:tcW w:w="1620" w:type="dxa"/>
            <w:shd w:val="clear" w:color="auto" w:fill="auto"/>
          </w:tcPr>
          <w:p w14:paraId="2694C0B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1.000</w:t>
            </w:r>
          </w:p>
        </w:tc>
      </w:tr>
      <w:tr w:rsidR="00A47605" w:rsidRPr="003F364A" w14:paraId="470027A4"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4D7302F0"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6</w:t>
            </w:r>
          </w:p>
        </w:tc>
        <w:tc>
          <w:tcPr>
            <w:tcW w:w="1800" w:type="dxa"/>
            <w:shd w:val="clear" w:color="auto" w:fill="auto"/>
          </w:tcPr>
          <w:p w14:paraId="504490C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3.200</w:t>
            </w:r>
          </w:p>
        </w:tc>
        <w:tc>
          <w:tcPr>
            <w:tcW w:w="1440" w:type="dxa"/>
            <w:shd w:val="clear" w:color="auto" w:fill="auto"/>
          </w:tcPr>
          <w:p w14:paraId="7173B34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0.02000</w:t>
            </w:r>
          </w:p>
        </w:tc>
        <w:tc>
          <w:tcPr>
            <w:tcW w:w="1350" w:type="dxa"/>
            <w:shd w:val="clear" w:color="auto" w:fill="auto"/>
          </w:tcPr>
          <w:p w14:paraId="7EB0B9F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9.600</w:t>
            </w:r>
          </w:p>
        </w:tc>
        <w:tc>
          <w:tcPr>
            <w:tcW w:w="1620" w:type="dxa"/>
            <w:shd w:val="clear" w:color="auto" w:fill="auto"/>
          </w:tcPr>
          <w:p w14:paraId="5CDA8A8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0.4000</w:t>
            </w:r>
          </w:p>
        </w:tc>
      </w:tr>
      <w:tr w:rsidR="00A47605" w:rsidRPr="003F364A" w14:paraId="33188F47"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6BFDA1EE"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3</w:t>
            </w:r>
          </w:p>
        </w:tc>
        <w:tc>
          <w:tcPr>
            <w:tcW w:w="1800" w:type="dxa"/>
            <w:shd w:val="clear" w:color="auto" w:fill="auto"/>
          </w:tcPr>
          <w:p w14:paraId="7C3A221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9.200</w:t>
            </w:r>
          </w:p>
        </w:tc>
        <w:tc>
          <w:tcPr>
            <w:tcW w:w="1440" w:type="dxa"/>
            <w:shd w:val="clear" w:color="auto" w:fill="auto"/>
          </w:tcPr>
          <w:p w14:paraId="5D3BC01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1.000</w:t>
            </w:r>
          </w:p>
        </w:tc>
        <w:tc>
          <w:tcPr>
            <w:tcW w:w="1350" w:type="dxa"/>
            <w:shd w:val="clear" w:color="auto" w:fill="auto"/>
          </w:tcPr>
          <w:p w14:paraId="5844776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6.800</w:t>
            </w:r>
          </w:p>
        </w:tc>
        <w:tc>
          <w:tcPr>
            <w:tcW w:w="1620" w:type="dxa"/>
            <w:shd w:val="clear" w:color="auto" w:fill="auto"/>
          </w:tcPr>
          <w:p w14:paraId="55A4ECA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2.400</w:t>
            </w:r>
          </w:p>
        </w:tc>
      </w:tr>
      <w:tr w:rsidR="00A47605" w:rsidRPr="003F364A" w14:paraId="7E74E561"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03D55E2"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lastRenderedPageBreak/>
              <w:t xml:space="preserve">Grp 2 vs 4 </w:t>
            </w:r>
          </w:p>
        </w:tc>
        <w:tc>
          <w:tcPr>
            <w:tcW w:w="1800" w:type="dxa"/>
            <w:shd w:val="clear" w:color="auto" w:fill="auto"/>
          </w:tcPr>
          <w:p w14:paraId="5C1496B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20.00</w:t>
            </w:r>
          </w:p>
        </w:tc>
        <w:tc>
          <w:tcPr>
            <w:tcW w:w="1440" w:type="dxa"/>
            <w:shd w:val="clear" w:color="auto" w:fill="auto"/>
          </w:tcPr>
          <w:p w14:paraId="1CE5EB1B"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1.480</w:t>
            </w:r>
          </w:p>
        </w:tc>
        <w:tc>
          <w:tcPr>
            <w:tcW w:w="1350" w:type="dxa"/>
            <w:shd w:val="clear" w:color="auto" w:fill="auto"/>
          </w:tcPr>
          <w:p w14:paraId="3B79266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11.40</w:t>
            </w:r>
          </w:p>
        </w:tc>
        <w:tc>
          <w:tcPr>
            <w:tcW w:w="1620" w:type="dxa"/>
            <w:shd w:val="clear" w:color="auto" w:fill="auto"/>
          </w:tcPr>
          <w:p w14:paraId="31C21A3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3.600</w:t>
            </w:r>
          </w:p>
        </w:tc>
      </w:tr>
      <w:tr w:rsidR="00A47605" w:rsidRPr="003F364A" w14:paraId="08E32E49"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6590B0EC"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5 </w:t>
            </w:r>
          </w:p>
        </w:tc>
        <w:tc>
          <w:tcPr>
            <w:tcW w:w="1800" w:type="dxa"/>
            <w:shd w:val="clear" w:color="auto" w:fill="auto"/>
          </w:tcPr>
          <w:p w14:paraId="7AE0432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20.80</w:t>
            </w:r>
          </w:p>
        </w:tc>
        <w:tc>
          <w:tcPr>
            <w:tcW w:w="1440" w:type="dxa"/>
            <w:shd w:val="clear" w:color="auto" w:fill="auto"/>
          </w:tcPr>
          <w:p w14:paraId="087CD47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1.460</w:t>
            </w:r>
          </w:p>
        </w:tc>
        <w:tc>
          <w:tcPr>
            <w:tcW w:w="1350" w:type="dxa"/>
            <w:shd w:val="clear" w:color="auto" w:fill="auto"/>
          </w:tcPr>
          <w:p w14:paraId="37F05E3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8.200</w:t>
            </w:r>
          </w:p>
        </w:tc>
        <w:tc>
          <w:tcPr>
            <w:tcW w:w="1620" w:type="dxa"/>
            <w:shd w:val="clear" w:color="auto" w:fill="auto"/>
          </w:tcPr>
          <w:p w14:paraId="1B5AE3D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5.200</w:t>
            </w:r>
          </w:p>
        </w:tc>
      </w:tr>
      <w:tr w:rsidR="00A47605" w:rsidRPr="003F364A" w14:paraId="0382A0C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0E735A13"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6</w:t>
            </w:r>
          </w:p>
        </w:tc>
        <w:tc>
          <w:tcPr>
            <w:tcW w:w="1800" w:type="dxa"/>
            <w:shd w:val="clear" w:color="auto" w:fill="auto"/>
          </w:tcPr>
          <w:p w14:paraId="7A533D2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25.40</w:t>
            </w:r>
          </w:p>
        </w:tc>
        <w:tc>
          <w:tcPr>
            <w:tcW w:w="1440" w:type="dxa"/>
            <w:shd w:val="clear" w:color="auto" w:fill="auto"/>
          </w:tcPr>
          <w:p w14:paraId="665EE2F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1.840</w:t>
            </w:r>
          </w:p>
        </w:tc>
        <w:tc>
          <w:tcPr>
            <w:tcW w:w="1350" w:type="dxa"/>
            <w:shd w:val="clear" w:color="auto" w:fill="auto"/>
          </w:tcPr>
          <w:p w14:paraId="613685E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15.60</w:t>
            </w:r>
          </w:p>
        </w:tc>
        <w:tc>
          <w:tcPr>
            <w:tcW w:w="1620" w:type="dxa"/>
            <w:shd w:val="clear" w:color="auto" w:fill="auto"/>
          </w:tcPr>
          <w:p w14:paraId="03BCF7FF"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3.800</w:t>
            </w:r>
          </w:p>
        </w:tc>
      </w:tr>
      <w:tr w:rsidR="00A47605" w:rsidRPr="003F364A" w14:paraId="2B1A2F1F"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455E62B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4</w:t>
            </w:r>
          </w:p>
        </w:tc>
        <w:tc>
          <w:tcPr>
            <w:tcW w:w="1800" w:type="dxa"/>
            <w:shd w:val="clear" w:color="auto" w:fill="auto"/>
          </w:tcPr>
          <w:p w14:paraId="50FD9BF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10.80</w:t>
            </w:r>
          </w:p>
        </w:tc>
        <w:tc>
          <w:tcPr>
            <w:tcW w:w="1440" w:type="dxa"/>
            <w:shd w:val="clear" w:color="auto" w:fill="auto"/>
          </w:tcPr>
          <w:p w14:paraId="2C55F168"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0.4800</w:t>
            </w:r>
          </w:p>
        </w:tc>
        <w:tc>
          <w:tcPr>
            <w:tcW w:w="1350" w:type="dxa"/>
            <w:shd w:val="clear" w:color="auto" w:fill="auto"/>
          </w:tcPr>
          <w:p w14:paraId="781AFAF8"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4.600</w:t>
            </w:r>
          </w:p>
        </w:tc>
        <w:tc>
          <w:tcPr>
            <w:tcW w:w="1620" w:type="dxa"/>
            <w:shd w:val="clear" w:color="auto" w:fill="auto"/>
          </w:tcPr>
          <w:p w14:paraId="3E1AF44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1.200</w:t>
            </w:r>
          </w:p>
        </w:tc>
      </w:tr>
      <w:tr w:rsidR="00A47605" w:rsidRPr="003F364A" w14:paraId="38750CDE"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268E7E3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5</w:t>
            </w:r>
          </w:p>
        </w:tc>
        <w:tc>
          <w:tcPr>
            <w:tcW w:w="1800" w:type="dxa"/>
            <w:shd w:val="clear" w:color="auto" w:fill="auto"/>
          </w:tcPr>
          <w:p w14:paraId="438E036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11.60</w:t>
            </w:r>
          </w:p>
        </w:tc>
        <w:tc>
          <w:tcPr>
            <w:tcW w:w="1440" w:type="dxa"/>
            <w:shd w:val="clear" w:color="auto" w:fill="auto"/>
          </w:tcPr>
          <w:p w14:paraId="3A24D84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0.4600</w:t>
            </w:r>
          </w:p>
        </w:tc>
        <w:tc>
          <w:tcPr>
            <w:tcW w:w="1350" w:type="dxa"/>
            <w:shd w:val="clear" w:color="auto" w:fill="auto"/>
          </w:tcPr>
          <w:p w14:paraId="3289606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c>
          <w:tcPr>
            <w:tcW w:w="1620" w:type="dxa"/>
            <w:shd w:val="clear" w:color="auto" w:fill="auto"/>
          </w:tcPr>
          <w:p w14:paraId="5B431B2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2.800</w:t>
            </w:r>
          </w:p>
        </w:tc>
      </w:tr>
      <w:tr w:rsidR="00A47605" w:rsidRPr="003F364A" w14:paraId="11D1223D"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D7B83DA"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6</w:t>
            </w:r>
          </w:p>
        </w:tc>
        <w:tc>
          <w:tcPr>
            <w:tcW w:w="1800" w:type="dxa"/>
            <w:shd w:val="clear" w:color="auto" w:fill="auto"/>
          </w:tcPr>
          <w:p w14:paraId="067E2EE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16.20</w:t>
            </w:r>
          </w:p>
        </w:tc>
        <w:tc>
          <w:tcPr>
            <w:tcW w:w="1440" w:type="dxa"/>
            <w:shd w:val="clear" w:color="auto" w:fill="auto"/>
          </w:tcPr>
          <w:p w14:paraId="31DAB66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0.8400</w:t>
            </w:r>
          </w:p>
        </w:tc>
        <w:tc>
          <w:tcPr>
            <w:tcW w:w="1350" w:type="dxa"/>
            <w:shd w:val="clear" w:color="auto" w:fill="auto"/>
          </w:tcPr>
          <w:p w14:paraId="2E95514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8.800</w:t>
            </w:r>
          </w:p>
        </w:tc>
        <w:tc>
          <w:tcPr>
            <w:tcW w:w="1620" w:type="dxa"/>
            <w:shd w:val="clear" w:color="auto" w:fill="auto"/>
          </w:tcPr>
          <w:p w14:paraId="315B2CC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r>
      <w:tr w:rsidR="00A47605" w:rsidRPr="003F364A" w14:paraId="77FF2970"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1F1B3922"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5</w:t>
            </w:r>
          </w:p>
        </w:tc>
        <w:tc>
          <w:tcPr>
            <w:tcW w:w="1800" w:type="dxa"/>
            <w:shd w:val="clear" w:color="auto" w:fill="auto"/>
          </w:tcPr>
          <w:p w14:paraId="726B7EF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0.8000</w:t>
            </w:r>
          </w:p>
        </w:tc>
        <w:tc>
          <w:tcPr>
            <w:tcW w:w="1440" w:type="dxa"/>
            <w:shd w:val="clear" w:color="auto" w:fill="auto"/>
          </w:tcPr>
          <w:p w14:paraId="20F239E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0.02000</w:t>
            </w:r>
          </w:p>
        </w:tc>
        <w:tc>
          <w:tcPr>
            <w:tcW w:w="1350" w:type="dxa"/>
            <w:shd w:val="clear" w:color="auto" w:fill="auto"/>
          </w:tcPr>
          <w:p w14:paraId="07A4E02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3.200</w:t>
            </w:r>
          </w:p>
        </w:tc>
        <w:tc>
          <w:tcPr>
            <w:tcW w:w="1620" w:type="dxa"/>
            <w:shd w:val="clear" w:color="auto" w:fill="auto"/>
          </w:tcPr>
          <w:p w14:paraId="5B376A8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1.600</w:t>
            </w:r>
          </w:p>
        </w:tc>
      </w:tr>
      <w:tr w:rsidR="00A47605" w:rsidRPr="003F364A" w14:paraId="317F412C"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12E5B0D1"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6</w:t>
            </w:r>
          </w:p>
        </w:tc>
        <w:tc>
          <w:tcPr>
            <w:tcW w:w="1800" w:type="dxa"/>
            <w:shd w:val="clear" w:color="auto" w:fill="auto"/>
          </w:tcPr>
          <w:p w14:paraId="10BCF09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5.400</w:t>
            </w:r>
          </w:p>
        </w:tc>
        <w:tc>
          <w:tcPr>
            <w:tcW w:w="1440" w:type="dxa"/>
            <w:shd w:val="clear" w:color="auto" w:fill="auto"/>
          </w:tcPr>
          <w:p w14:paraId="3B674A5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0.3600</w:t>
            </w:r>
          </w:p>
        </w:tc>
        <w:tc>
          <w:tcPr>
            <w:tcW w:w="1350" w:type="dxa"/>
            <w:shd w:val="clear" w:color="auto" w:fill="auto"/>
          </w:tcPr>
          <w:p w14:paraId="049CCCBF"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4.200</w:t>
            </w:r>
          </w:p>
        </w:tc>
        <w:tc>
          <w:tcPr>
            <w:tcW w:w="1620" w:type="dxa"/>
            <w:shd w:val="clear" w:color="auto" w:fill="auto"/>
          </w:tcPr>
          <w:p w14:paraId="0E6771A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0.2000</w:t>
            </w:r>
          </w:p>
        </w:tc>
      </w:tr>
      <w:tr w:rsidR="00A47605" w:rsidRPr="003F364A" w14:paraId="23B2C6E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9F40F58"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5 vs 6</w:t>
            </w:r>
          </w:p>
        </w:tc>
        <w:tc>
          <w:tcPr>
            <w:tcW w:w="1800" w:type="dxa"/>
            <w:shd w:val="clear" w:color="auto" w:fill="auto"/>
          </w:tcPr>
          <w:p w14:paraId="22FDA56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4.600</w:t>
            </w:r>
          </w:p>
        </w:tc>
        <w:tc>
          <w:tcPr>
            <w:tcW w:w="1440" w:type="dxa"/>
            <w:shd w:val="clear" w:color="auto" w:fill="auto"/>
          </w:tcPr>
          <w:p w14:paraId="77BFDCD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0.3800</w:t>
            </w:r>
          </w:p>
        </w:tc>
        <w:tc>
          <w:tcPr>
            <w:tcW w:w="1350" w:type="dxa"/>
            <w:shd w:val="clear" w:color="auto" w:fill="auto"/>
          </w:tcPr>
          <w:p w14:paraId="16886F0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7.400</w:t>
            </w:r>
          </w:p>
        </w:tc>
        <w:tc>
          <w:tcPr>
            <w:tcW w:w="1620" w:type="dxa"/>
            <w:shd w:val="clear" w:color="auto" w:fill="auto"/>
          </w:tcPr>
          <w:p w14:paraId="0B179B7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r>
    </w:tbl>
    <w:p w14:paraId="1C85034E" w14:textId="77777777" w:rsidR="00A47605" w:rsidRPr="003F364A" w:rsidRDefault="00A47605" w:rsidP="00A47605">
      <w:pPr>
        <w:spacing w:line="480" w:lineRule="auto"/>
        <w:jc w:val="center"/>
        <w:rPr>
          <w:rFonts w:ascii="Arial" w:hAnsi="Arial" w:cs="Arial"/>
          <w:b/>
        </w:rPr>
      </w:pPr>
    </w:p>
    <w:p w14:paraId="026A2E89" w14:textId="3B825897" w:rsidR="00445B19" w:rsidRPr="00445B19" w:rsidRDefault="00445B19" w:rsidP="00445B19">
      <w:pPr>
        <w:tabs>
          <w:tab w:val="left" w:pos="406"/>
        </w:tabs>
        <w:jc w:val="both"/>
        <w:rPr>
          <w:rFonts w:ascii="Arial" w:hAnsi="Arial" w:cs="Arial"/>
          <w:bCs/>
        </w:rPr>
      </w:pPr>
      <w:r w:rsidRPr="00445B19">
        <w:rPr>
          <w:rFonts w:ascii="Arial" w:hAnsi="Arial" w:cs="Arial"/>
          <w:bCs/>
        </w:rPr>
        <w:t xml:space="preserve">Atrazine is known to induce nephrotoxicity through oxidative stress and inflammatory pathways, which can lead to cellular damage and kidney </w:t>
      </w:r>
      <w:r w:rsidR="0066307A" w:rsidRPr="00445B19">
        <w:rPr>
          <w:rFonts w:ascii="Arial" w:hAnsi="Arial" w:cs="Arial"/>
          <w:bCs/>
        </w:rPr>
        <w:t>dysfunction according</w:t>
      </w:r>
      <w:r w:rsidRPr="00445B19">
        <w:rPr>
          <w:rFonts w:ascii="Arial" w:hAnsi="Arial" w:cs="Arial"/>
          <w:bCs/>
        </w:rPr>
        <w:t xml:space="preserve"> to</w:t>
      </w:r>
      <w:r w:rsidR="00A52D17">
        <w:rPr>
          <w:rFonts w:ascii="Arial" w:hAnsi="Arial" w:cs="Arial"/>
          <w:bCs/>
        </w:rPr>
        <w:t xml:space="preserve"> </w:t>
      </w:r>
      <w:r w:rsidR="00A52D17" w:rsidRPr="00A52D17">
        <w:rPr>
          <w:rFonts w:ascii="Arial" w:hAnsi="Arial" w:cs="Arial"/>
          <w:bCs/>
        </w:rPr>
        <w:t>Abarikwu</w:t>
      </w:r>
      <w:r w:rsidR="000040E2">
        <w:rPr>
          <w:rFonts w:ascii="Arial" w:hAnsi="Arial" w:cs="Arial"/>
          <w:bCs/>
        </w:rPr>
        <w:t xml:space="preserve"> et al</w:t>
      </w:r>
      <w:r w:rsidR="000040E2" w:rsidRPr="000040E2">
        <w:rPr>
          <w:rFonts w:ascii="Arial" w:hAnsi="Arial" w:cs="Arial"/>
          <w:bCs/>
        </w:rPr>
        <w:t>.</w:t>
      </w:r>
      <w:r w:rsidRPr="000040E2">
        <w:rPr>
          <w:rFonts w:ascii="Arial" w:hAnsi="Arial" w:cs="Arial"/>
          <w:bCs/>
        </w:rPr>
        <w:t xml:space="preserve"> </w:t>
      </w:r>
      <w:r w:rsidR="00327415" w:rsidRPr="000040E2">
        <w:rPr>
          <w:rFonts w:ascii="Arial" w:eastAsia="Calibri" w:hAnsi="Arial" w:cs="Arial"/>
          <w:szCs w:val="22"/>
        </w:rPr>
        <w:t>[</w:t>
      </w:r>
      <w:r w:rsidR="006462FE" w:rsidRPr="000040E2">
        <w:rPr>
          <w:rFonts w:ascii="Arial" w:eastAsia="Calibri" w:hAnsi="Arial" w:cs="Arial"/>
          <w:szCs w:val="22"/>
        </w:rPr>
        <w:t>17</w:t>
      </w:r>
      <w:r w:rsidR="00327415" w:rsidRPr="000040E2">
        <w:rPr>
          <w:rFonts w:ascii="Arial" w:eastAsia="Calibri" w:hAnsi="Arial" w:cs="Arial"/>
          <w:szCs w:val="22"/>
        </w:rPr>
        <w:t>]</w:t>
      </w:r>
      <w:r w:rsidR="00DF5F5E">
        <w:rPr>
          <w:rFonts w:ascii="Arial" w:eastAsia="Calibri" w:hAnsi="Arial" w:cs="Arial"/>
          <w:szCs w:val="22"/>
        </w:rPr>
        <w:t xml:space="preserve">; </w:t>
      </w:r>
      <w:r w:rsidR="00DF5F5E" w:rsidRPr="00DF5F5E">
        <w:rPr>
          <w:rFonts w:ascii="Arial" w:hAnsi="Arial" w:cs="Arial"/>
          <w:bCs/>
        </w:rPr>
        <w:t>Kassim</w:t>
      </w:r>
      <w:r w:rsidR="00DF5F5E">
        <w:rPr>
          <w:rFonts w:ascii="Arial" w:hAnsi="Arial" w:cs="Arial"/>
          <w:bCs/>
        </w:rPr>
        <w:t xml:space="preserve"> et al. </w:t>
      </w:r>
      <w:r w:rsidR="00D81FF9" w:rsidRPr="000040E2">
        <w:rPr>
          <w:rFonts w:ascii="Arial" w:eastAsia="Calibri" w:hAnsi="Arial" w:cs="Arial"/>
          <w:szCs w:val="22"/>
        </w:rPr>
        <w:t>[1</w:t>
      </w:r>
      <w:r w:rsidR="00AD1324">
        <w:rPr>
          <w:rFonts w:ascii="Arial" w:eastAsia="Calibri" w:hAnsi="Arial" w:cs="Arial"/>
          <w:szCs w:val="22"/>
        </w:rPr>
        <w:t>8</w:t>
      </w:r>
      <w:r w:rsidR="00D81FF9" w:rsidRPr="000040E2">
        <w:rPr>
          <w:rFonts w:ascii="Arial" w:eastAsia="Calibri" w:hAnsi="Arial" w:cs="Arial"/>
          <w:szCs w:val="22"/>
        </w:rPr>
        <w:t>]</w:t>
      </w:r>
      <w:r w:rsidR="00A52D17" w:rsidRPr="000040E2">
        <w:rPr>
          <w:rFonts w:ascii="Arial" w:eastAsia="Calibri" w:hAnsi="Arial" w:cs="Arial"/>
          <w:szCs w:val="22"/>
        </w:rPr>
        <w:t>.</w:t>
      </w:r>
      <w:r w:rsidRPr="000040E2">
        <w:rPr>
          <w:rFonts w:ascii="Arial" w:hAnsi="Arial" w:cs="Arial"/>
          <w:bCs/>
        </w:rPr>
        <w:t xml:space="preserve"> </w:t>
      </w:r>
      <w:r w:rsidRPr="00445B19">
        <w:rPr>
          <w:rFonts w:ascii="Arial" w:hAnsi="Arial" w:cs="Arial"/>
          <w:bCs/>
        </w:rPr>
        <w:t xml:space="preserve">Both green tea and honey have been identified as natural substances with </w:t>
      </w:r>
      <w:r w:rsidR="000C1971" w:rsidRPr="00445B19">
        <w:rPr>
          <w:rFonts w:ascii="Arial" w:hAnsi="Arial" w:cs="Arial"/>
          <w:bCs/>
        </w:rPr>
        <w:t>antioxidants</w:t>
      </w:r>
      <w:r w:rsidRPr="00445B19">
        <w:rPr>
          <w:rFonts w:ascii="Arial" w:hAnsi="Arial" w:cs="Arial"/>
          <w:bCs/>
        </w:rPr>
        <w:t xml:space="preserve"> and anti-inflammatory properties, which may counteract the harmful effects of atrazine on the </w:t>
      </w:r>
      <w:r w:rsidR="00E512AD" w:rsidRPr="00445B19">
        <w:rPr>
          <w:rFonts w:ascii="Arial" w:hAnsi="Arial" w:cs="Arial"/>
          <w:bCs/>
        </w:rPr>
        <w:t xml:space="preserve">kidneys </w:t>
      </w:r>
      <w:r w:rsidR="00327415">
        <w:rPr>
          <w:rFonts w:ascii="Arial" w:eastAsia="Calibri" w:hAnsi="Arial" w:cs="Arial"/>
          <w:szCs w:val="22"/>
        </w:rPr>
        <w:t>[</w:t>
      </w:r>
      <w:r w:rsidR="00B81DFA">
        <w:rPr>
          <w:rFonts w:ascii="Arial" w:eastAsia="Calibri" w:hAnsi="Arial" w:cs="Arial"/>
          <w:szCs w:val="22"/>
        </w:rPr>
        <w:t>1</w:t>
      </w:r>
      <w:r w:rsidR="00327415">
        <w:rPr>
          <w:rFonts w:ascii="Arial" w:eastAsia="Calibri" w:hAnsi="Arial" w:cs="Arial"/>
          <w:szCs w:val="22"/>
        </w:rPr>
        <w:t>]</w:t>
      </w:r>
      <w:r w:rsidRPr="00445B19">
        <w:rPr>
          <w:rFonts w:ascii="Arial" w:hAnsi="Arial" w:cs="Arial"/>
          <w:bCs/>
        </w:rPr>
        <w:t xml:space="preserve">. This study was aimed at investigating the potential protective effects of green tea and honey in mitigating kidney damage induced by atrazine exposure </w:t>
      </w:r>
      <w:r w:rsidR="0066307A" w:rsidRPr="00445B19">
        <w:rPr>
          <w:rFonts w:ascii="Arial" w:hAnsi="Arial" w:cs="Arial"/>
          <w:bCs/>
        </w:rPr>
        <w:t>to</w:t>
      </w:r>
      <w:r w:rsidRPr="00445B19">
        <w:rPr>
          <w:rFonts w:ascii="Arial" w:hAnsi="Arial" w:cs="Arial"/>
          <w:bCs/>
        </w:rPr>
        <w:t xml:space="preserve"> albino </w:t>
      </w:r>
      <w:r w:rsidR="0066307A" w:rsidRPr="00445B19">
        <w:rPr>
          <w:rFonts w:ascii="Arial" w:hAnsi="Arial" w:cs="Arial"/>
          <w:bCs/>
        </w:rPr>
        <w:t>Wistar</w:t>
      </w:r>
      <w:r w:rsidRPr="00445B19">
        <w:rPr>
          <w:rFonts w:ascii="Arial" w:hAnsi="Arial" w:cs="Arial"/>
          <w:bCs/>
        </w:rPr>
        <w:t xml:space="preserve"> rats. </w:t>
      </w:r>
    </w:p>
    <w:p w14:paraId="5F729E2A" w14:textId="2C07BA01" w:rsidR="00445B19" w:rsidRPr="00445B19" w:rsidRDefault="00445B19" w:rsidP="00445B19">
      <w:pPr>
        <w:tabs>
          <w:tab w:val="left" w:pos="406"/>
        </w:tabs>
        <w:jc w:val="both"/>
        <w:rPr>
          <w:rFonts w:ascii="Arial" w:hAnsi="Arial" w:cs="Arial"/>
          <w:bCs/>
        </w:rPr>
      </w:pPr>
      <w:r w:rsidRPr="00445B19">
        <w:rPr>
          <w:rFonts w:ascii="Arial" w:hAnsi="Arial" w:cs="Arial"/>
          <w:bCs/>
        </w:rPr>
        <w:t>The findings</w:t>
      </w:r>
      <w:r w:rsidR="00E20F71">
        <w:rPr>
          <w:rFonts w:ascii="Arial" w:hAnsi="Arial" w:cs="Arial"/>
          <w:bCs/>
        </w:rPr>
        <w:t xml:space="preserve"> of this sudy</w:t>
      </w:r>
      <w:r w:rsidRPr="00445B19">
        <w:rPr>
          <w:rFonts w:ascii="Arial" w:hAnsi="Arial" w:cs="Arial"/>
          <w:bCs/>
        </w:rPr>
        <w:t xml:space="preserve"> are consistent with previous studies, which have shown that atrazine can cause kidney damage and alter the levels of kidney function parameters including urea and creatinine </w:t>
      </w:r>
      <w:r w:rsidR="00327415">
        <w:rPr>
          <w:rFonts w:ascii="Arial" w:eastAsia="Calibri" w:hAnsi="Arial" w:cs="Arial"/>
          <w:szCs w:val="22"/>
        </w:rPr>
        <w:t>[</w:t>
      </w:r>
      <w:r w:rsidR="00E20F71">
        <w:rPr>
          <w:rFonts w:ascii="Arial" w:eastAsia="Calibri" w:hAnsi="Arial" w:cs="Arial"/>
          <w:szCs w:val="22"/>
        </w:rPr>
        <w:t>1</w:t>
      </w:r>
      <w:r w:rsidR="00327415">
        <w:rPr>
          <w:rFonts w:ascii="Arial" w:eastAsia="Calibri" w:hAnsi="Arial" w:cs="Arial"/>
          <w:szCs w:val="22"/>
        </w:rPr>
        <w:t>]</w:t>
      </w:r>
      <w:r w:rsidRPr="00445B19">
        <w:rPr>
          <w:rFonts w:ascii="Arial" w:hAnsi="Arial" w:cs="Arial"/>
          <w:bCs/>
        </w:rPr>
        <w:t>.</w:t>
      </w:r>
    </w:p>
    <w:p w14:paraId="4B2A9E21" w14:textId="05F542A6" w:rsidR="00445B19" w:rsidRPr="00445B19" w:rsidRDefault="00445B19" w:rsidP="00445B19">
      <w:pPr>
        <w:tabs>
          <w:tab w:val="left" w:pos="406"/>
        </w:tabs>
        <w:jc w:val="both"/>
        <w:rPr>
          <w:rFonts w:ascii="Arial" w:hAnsi="Arial" w:cs="Arial"/>
          <w:bCs/>
        </w:rPr>
      </w:pPr>
      <w:r w:rsidRPr="00445B19">
        <w:rPr>
          <w:rFonts w:ascii="Arial" w:hAnsi="Arial" w:cs="Arial"/>
          <w:bCs/>
        </w:rPr>
        <w:t>The results also show that the administration of green tea had a protective effect against atrazine-induced nephrotoxicity. The rats in Group III, which received atrazine and low-dose green tea, had significantly lower mean levels of urea and creatinine, likewise serum electrolytes including Na, K, Cl, and HCO</w:t>
      </w:r>
      <w:r w:rsidRPr="00327415">
        <w:rPr>
          <w:rFonts w:ascii="Arial" w:hAnsi="Arial" w:cs="Arial"/>
          <w:bCs/>
          <w:vertAlign w:val="subscript"/>
        </w:rPr>
        <w:t>3</w:t>
      </w:r>
      <w:r w:rsidRPr="00445B19">
        <w:rPr>
          <w:rFonts w:ascii="Arial" w:hAnsi="Arial" w:cs="Arial"/>
          <w:bCs/>
        </w:rPr>
        <w:t xml:space="preserve"> compared to Group II. Similarly, the rats in Group IV, which received atrazine and high-dose green tea, had even lower mean levels of these enzymes. These findings are consistent with previous studies, which </w:t>
      </w:r>
      <w:r w:rsidR="00702CB2" w:rsidRPr="00445B19">
        <w:rPr>
          <w:rFonts w:ascii="Arial" w:hAnsi="Arial" w:cs="Arial"/>
          <w:bCs/>
        </w:rPr>
        <w:t>suggest</w:t>
      </w:r>
      <w:r w:rsidRPr="00445B19">
        <w:rPr>
          <w:rFonts w:ascii="Arial" w:hAnsi="Arial" w:cs="Arial"/>
          <w:bCs/>
        </w:rPr>
        <w:t xml:space="preserve"> that green tea has </w:t>
      </w:r>
      <w:r w:rsidR="00FA00C3" w:rsidRPr="00445B19">
        <w:rPr>
          <w:rFonts w:ascii="Arial" w:hAnsi="Arial" w:cs="Arial"/>
          <w:bCs/>
        </w:rPr>
        <w:t>antioxidants</w:t>
      </w:r>
      <w:r w:rsidRPr="00445B19">
        <w:rPr>
          <w:rFonts w:ascii="Arial" w:hAnsi="Arial" w:cs="Arial"/>
          <w:bCs/>
        </w:rPr>
        <w:t xml:space="preserve"> and anti-inflammatory properties that can act against kidney </w:t>
      </w:r>
      <w:r w:rsidRPr="00F51D23">
        <w:rPr>
          <w:rFonts w:ascii="Arial" w:hAnsi="Arial" w:cs="Arial"/>
          <w:bCs/>
        </w:rPr>
        <w:t xml:space="preserve">damage </w:t>
      </w:r>
      <w:r w:rsidR="00327415" w:rsidRPr="00F51D23">
        <w:rPr>
          <w:rFonts w:ascii="Arial" w:eastAsia="Calibri" w:hAnsi="Arial" w:cs="Arial"/>
          <w:szCs w:val="22"/>
        </w:rPr>
        <w:t>[</w:t>
      </w:r>
      <w:r w:rsidR="008571FC" w:rsidRPr="00F51D23">
        <w:rPr>
          <w:rFonts w:ascii="Arial" w:eastAsia="Calibri" w:hAnsi="Arial" w:cs="Arial"/>
          <w:szCs w:val="22"/>
        </w:rPr>
        <w:t>19</w:t>
      </w:r>
      <w:r w:rsidR="00327415" w:rsidRPr="00F51D23">
        <w:rPr>
          <w:rFonts w:ascii="Arial" w:eastAsia="Calibri" w:hAnsi="Arial" w:cs="Arial"/>
          <w:szCs w:val="22"/>
        </w:rPr>
        <w:t>]</w:t>
      </w:r>
      <w:r w:rsidRPr="00F51D23">
        <w:rPr>
          <w:rFonts w:ascii="Arial" w:hAnsi="Arial" w:cs="Arial"/>
          <w:bCs/>
        </w:rPr>
        <w:t>.</w:t>
      </w:r>
    </w:p>
    <w:p w14:paraId="3D012EE8" w14:textId="28CBF470" w:rsidR="00445B19" w:rsidRPr="00445B19" w:rsidRDefault="00445B19" w:rsidP="00445B19">
      <w:pPr>
        <w:tabs>
          <w:tab w:val="left" w:pos="406"/>
        </w:tabs>
        <w:jc w:val="both"/>
        <w:rPr>
          <w:rFonts w:ascii="Arial" w:hAnsi="Arial" w:cs="Arial"/>
          <w:bCs/>
        </w:rPr>
      </w:pPr>
      <w:r w:rsidRPr="00445B19">
        <w:rPr>
          <w:rFonts w:ascii="Arial" w:hAnsi="Arial" w:cs="Arial"/>
          <w:bCs/>
        </w:rPr>
        <w:t>The administration of honey also had an effect against atrazine-induced nephrotoxicity. The rats in Group V, which received atrazine, green tea, and high-dose honey, had significantly lower mean levels of urea and creatinine, likewise that of serum electrolytes including Na, K, Cl, and HCO</w:t>
      </w:r>
      <w:r w:rsidRPr="00BC5516">
        <w:rPr>
          <w:rFonts w:ascii="Arial" w:hAnsi="Arial" w:cs="Arial"/>
          <w:bCs/>
          <w:vertAlign w:val="subscript"/>
        </w:rPr>
        <w:t>3</w:t>
      </w:r>
      <w:r w:rsidRPr="00445B19">
        <w:rPr>
          <w:rFonts w:ascii="Arial" w:hAnsi="Arial" w:cs="Arial"/>
          <w:bCs/>
        </w:rPr>
        <w:t xml:space="preserve"> compared to Group II. These findings are consistent with previous studies, which reported that honey possesses </w:t>
      </w:r>
      <w:r w:rsidR="0066307A" w:rsidRPr="00445B19">
        <w:rPr>
          <w:rFonts w:ascii="Arial" w:hAnsi="Arial" w:cs="Arial"/>
          <w:bCs/>
        </w:rPr>
        <w:t>antioxidants</w:t>
      </w:r>
      <w:r w:rsidRPr="00445B19">
        <w:rPr>
          <w:rFonts w:ascii="Arial" w:hAnsi="Arial" w:cs="Arial"/>
          <w:bCs/>
        </w:rPr>
        <w:t xml:space="preserve"> and anti-inflammatory properties that can act against kidney damage or dysfunction, according to </w:t>
      </w:r>
      <w:r w:rsidRPr="009B6D8C">
        <w:rPr>
          <w:rFonts w:ascii="Arial" w:hAnsi="Arial" w:cs="Arial"/>
          <w:bCs/>
        </w:rPr>
        <w:t xml:space="preserve">Kassim et al. </w:t>
      </w:r>
      <w:r w:rsidR="00327415" w:rsidRPr="009B6D8C">
        <w:rPr>
          <w:rFonts w:ascii="Arial" w:eastAsia="Calibri" w:hAnsi="Arial" w:cs="Arial"/>
          <w:szCs w:val="22"/>
        </w:rPr>
        <w:t>[</w:t>
      </w:r>
      <w:r w:rsidR="007361E8" w:rsidRPr="009B6D8C">
        <w:rPr>
          <w:rFonts w:ascii="Arial" w:eastAsia="Calibri" w:hAnsi="Arial" w:cs="Arial"/>
          <w:szCs w:val="22"/>
        </w:rPr>
        <w:t>18</w:t>
      </w:r>
      <w:r w:rsidR="00327415" w:rsidRPr="009B6D8C">
        <w:rPr>
          <w:rFonts w:ascii="Arial" w:eastAsia="Calibri" w:hAnsi="Arial" w:cs="Arial"/>
          <w:szCs w:val="22"/>
        </w:rPr>
        <w:t>]</w:t>
      </w:r>
      <w:r w:rsidR="0066307A" w:rsidRPr="009B6D8C">
        <w:rPr>
          <w:rFonts w:ascii="Arial" w:hAnsi="Arial" w:cs="Arial"/>
          <w:bCs/>
        </w:rPr>
        <w:t>.</w:t>
      </w:r>
      <w:r w:rsidR="0066307A" w:rsidRPr="00445B19">
        <w:rPr>
          <w:rFonts w:ascii="Arial" w:hAnsi="Arial" w:cs="Arial"/>
          <w:bCs/>
        </w:rPr>
        <w:t xml:space="preserve"> The</w:t>
      </w:r>
      <w:r w:rsidRPr="00445B19">
        <w:rPr>
          <w:rFonts w:ascii="Arial" w:hAnsi="Arial" w:cs="Arial"/>
          <w:bCs/>
        </w:rPr>
        <w:t xml:space="preserve"> results also show that the administration of honey before atrazine exposure had a protective effect against nephrotoxicity. The rats in Group VI, which received high-dose honey before atrazine exposure, had significantly lower mean levels of urea and creatinine, likewise that of serum electrolytes including Na, K, Cl, and HCO3 compared to Group II. These findings suggest that honey may have a prophylactic effect against atrazine-induced nephrotoxicity.</w:t>
      </w:r>
    </w:p>
    <w:p w14:paraId="717148BA" w14:textId="50D3700C" w:rsidR="00445B19" w:rsidRPr="00445B19" w:rsidRDefault="00445B19" w:rsidP="00445B19">
      <w:pPr>
        <w:tabs>
          <w:tab w:val="left" w:pos="406"/>
        </w:tabs>
        <w:jc w:val="both"/>
        <w:rPr>
          <w:rFonts w:ascii="Arial" w:hAnsi="Arial" w:cs="Arial"/>
          <w:bCs/>
        </w:rPr>
      </w:pPr>
      <w:r w:rsidRPr="00445B19">
        <w:rPr>
          <w:rFonts w:ascii="Arial" w:hAnsi="Arial" w:cs="Arial"/>
          <w:bCs/>
        </w:rPr>
        <w:t xml:space="preserve">The possible reasons for the increase in urea and creatinine levels across the groups may be due to the toxic effects of atrazine on the kidney. Atrazine has been shown to induce oxidative stress and inflammation in the kidney, leading to increased levels of urea and creatinine in subjects </w:t>
      </w:r>
      <w:r w:rsidR="00877BD5">
        <w:rPr>
          <w:rFonts w:ascii="Arial" w:eastAsia="Calibri" w:hAnsi="Arial" w:cs="Arial"/>
          <w:szCs w:val="22"/>
        </w:rPr>
        <w:t>[</w:t>
      </w:r>
      <w:r w:rsidR="007361E8">
        <w:rPr>
          <w:rFonts w:ascii="Arial" w:eastAsia="Calibri" w:hAnsi="Arial" w:cs="Arial"/>
          <w:szCs w:val="22"/>
        </w:rPr>
        <w:t>1</w:t>
      </w:r>
      <w:r w:rsidR="00877BD5">
        <w:rPr>
          <w:rFonts w:ascii="Arial" w:eastAsia="Calibri" w:hAnsi="Arial" w:cs="Arial"/>
          <w:szCs w:val="22"/>
        </w:rPr>
        <w:t>]</w:t>
      </w:r>
      <w:r w:rsidRPr="00445B19">
        <w:rPr>
          <w:rFonts w:ascii="Arial" w:hAnsi="Arial" w:cs="Arial"/>
          <w:bCs/>
        </w:rPr>
        <w:t>. The decrease in urea and creatinine levels in groups that received green tea and honey both separately and in collaboration may be due to the antioxidant and anti-inflammatory properties of these compounds, which can protect against kidney damage leading to kidney dysfunction.</w:t>
      </w:r>
    </w:p>
    <w:p w14:paraId="35DC7F15" w14:textId="2866B583" w:rsidR="00A47605" w:rsidRPr="00445B19" w:rsidRDefault="00445B19" w:rsidP="00445B19">
      <w:pPr>
        <w:tabs>
          <w:tab w:val="left" w:pos="406"/>
        </w:tabs>
        <w:jc w:val="both"/>
        <w:rPr>
          <w:rFonts w:ascii="Arial" w:hAnsi="Arial" w:cs="Arial"/>
          <w:bCs/>
        </w:rPr>
      </w:pPr>
      <w:r w:rsidRPr="00445B19">
        <w:rPr>
          <w:rFonts w:ascii="Arial" w:hAnsi="Arial" w:cs="Arial"/>
          <w:bCs/>
        </w:rPr>
        <w:t>The possible reasons for the increase in serum electrolyte</w:t>
      </w:r>
      <w:r w:rsidR="00E512AD">
        <w:rPr>
          <w:rFonts w:ascii="Arial" w:hAnsi="Arial" w:cs="Arial"/>
          <w:bCs/>
        </w:rPr>
        <w:t xml:space="preserve"> </w:t>
      </w:r>
      <w:r w:rsidRPr="00445B19">
        <w:rPr>
          <w:rFonts w:ascii="Arial" w:hAnsi="Arial" w:cs="Arial"/>
          <w:bCs/>
        </w:rPr>
        <w:t xml:space="preserve">levels across the groups may be due to the toxic effects of atrazine on the kidney. Atrazine has been shown to induce oxidative stress and inflammation in the kidney, leading to an increased levels of serum electrolytes </w:t>
      </w:r>
      <w:r w:rsidR="00877BD5">
        <w:rPr>
          <w:rFonts w:ascii="Arial" w:eastAsia="Calibri" w:hAnsi="Arial" w:cs="Arial"/>
          <w:szCs w:val="22"/>
        </w:rPr>
        <w:t>[</w:t>
      </w:r>
      <w:r w:rsidR="007361E8">
        <w:rPr>
          <w:rFonts w:ascii="Arial" w:eastAsia="Calibri" w:hAnsi="Arial" w:cs="Arial"/>
          <w:szCs w:val="22"/>
        </w:rPr>
        <w:t>1</w:t>
      </w:r>
      <w:r w:rsidR="00877BD5">
        <w:rPr>
          <w:rFonts w:ascii="Arial" w:eastAsia="Calibri" w:hAnsi="Arial" w:cs="Arial"/>
          <w:szCs w:val="22"/>
        </w:rPr>
        <w:t>]</w:t>
      </w:r>
      <w:r w:rsidRPr="00445B19">
        <w:rPr>
          <w:rFonts w:ascii="Arial" w:hAnsi="Arial" w:cs="Arial"/>
          <w:bCs/>
        </w:rPr>
        <w:t>. The decrease in serum electrolyte levels across groups that received green tea and honey both separately and in collaboration may be due to the antioxidant and anti-inflammatory properties of these compounds, which can protect against kidney damage.</w:t>
      </w:r>
    </w:p>
    <w:p w14:paraId="4F5BB486" w14:textId="77777777" w:rsidR="00790ADA" w:rsidRPr="00FB3A86" w:rsidRDefault="00790ADA" w:rsidP="00441B6F">
      <w:pPr>
        <w:pStyle w:val="Body"/>
        <w:spacing w:after="0"/>
        <w:rPr>
          <w:rFonts w:ascii="Arial" w:hAnsi="Arial" w:cs="Arial"/>
        </w:rPr>
      </w:pPr>
    </w:p>
    <w:p w14:paraId="0C294C1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2C5F5B5" w14:textId="7EBB59F4" w:rsidR="00B01FCD" w:rsidRDefault="00702CB2" w:rsidP="00441B6F">
      <w:pPr>
        <w:pStyle w:val="Body"/>
        <w:spacing w:after="0"/>
        <w:rPr>
          <w:rFonts w:ascii="Arial" w:hAnsi="Arial" w:cs="Arial"/>
        </w:rPr>
      </w:pPr>
      <w:r w:rsidRPr="00702CB2">
        <w:rPr>
          <w:rFonts w:ascii="Arial" w:hAnsi="Arial" w:cs="Arial"/>
        </w:rPr>
        <w:t xml:space="preserve">In conclusion, the results of this study showed that atrazine induces nephrotoxicity in albino </w:t>
      </w:r>
      <w:r w:rsidR="00C549D8" w:rsidRPr="00702CB2">
        <w:rPr>
          <w:rFonts w:ascii="Arial" w:hAnsi="Arial" w:cs="Arial"/>
        </w:rPr>
        <w:t>Wistar</w:t>
      </w:r>
      <w:r w:rsidRPr="00702CB2">
        <w:rPr>
          <w:rFonts w:ascii="Arial" w:hAnsi="Arial" w:cs="Arial"/>
        </w:rPr>
        <w:t xml:space="preserve"> rats, as evidenced by increased levels of kidney function parameters such as urea and creatinine and serum electrolytes such as Na, K, Cl and HCO</w:t>
      </w:r>
      <w:r w:rsidRPr="00C549D8">
        <w:rPr>
          <w:rFonts w:ascii="Arial" w:hAnsi="Arial" w:cs="Arial"/>
          <w:vertAlign w:val="subscript"/>
        </w:rPr>
        <w:t>3</w:t>
      </w:r>
      <w:r w:rsidRPr="00702CB2">
        <w:rPr>
          <w:rFonts w:ascii="Arial" w:hAnsi="Arial" w:cs="Arial"/>
        </w:rPr>
        <w:t>. The administration of green tea and honey both separately and in collaboration had a protective effect against atrazine-induced nephrotoxicity, as evidenced by decreased levels of kidney function parameters such urea and creatinine and serum electrolytes such as Na, K, Cl, and HCO3. These findings suggest that green tea and honey may be useful in preventing or treating kidney damage induced by atrazine exposure.</w:t>
      </w:r>
    </w:p>
    <w:p w14:paraId="7F6FCEC2" w14:textId="77777777" w:rsidR="00790ADA" w:rsidRPr="00FB3A86" w:rsidRDefault="00790ADA" w:rsidP="00441B6F">
      <w:pPr>
        <w:pStyle w:val="Body"/>
        <w:spacing w:after="0"/>
        <w:rPr>
          <w:rFonts w:ascii="Arial" w:hAnsi="Arial" w:cs="Arial"/>
        </w:rPr>
      </w:pPr>
    </w:p>
    <w:p w14:paraId="11BDF35F" w14:textId="3F2E4CA4" w:rsidR="00647E18" w:rsidRDefault="00647E18" w:rsidP="00702CB2">
      <w:pPr>
        <w:pStyle w:val="ReferHead"/>
        <w:spacing w:after="0"/>
        <w:jc w:val="both"/>
        <w:rPr>
          <w:rFonts w:ascii="Arial" w:hAnsi="Arial" w:cs="Arial"/>
          <w:b w:val="0"/>
          <w:caps w:val="0"/>
          <w:sz w:val="20"/>
        </w:rPr>
      </w:pPr>
    </w:p>
    <w:p w14:paraId="7C2E9BEF" w14:textId="77777777" w:rsidR="00647E18" w:rsidRPr="00647E18" w:rsidRDefault="00647E18" w:rsidP="00647E18">
      <w:pPr>
        <w:spacing w:after="200" w:line="276" w:lineRule="auto"/>
        <w:rPr>
          <w:rFonts w:ascii="Calibri" w:eastAsia="Calibri" w:hAnsi="Calibri"/>
          <w:kern w:val="2"/>
          <w:sz w:val="22"/>
          <w:szCs w:val="22"/>
          <w:highlight w:val="yellow"/>
        </w:rPr>
      </w:pPr>
      <w:bookmarkStart w:id="1" w:name="_Hlk180402183"/>
      <w:bookmarkStart w:id="2" w:name="_Hlk183680988"/>
      <w:r w:rsidRPr="00647E18">
        <w:rPr>
          <w:rFonts w:ascii="Calibri" w:eastAsia="Calibri" w:hAnsi="Calibri"/>
          <w:kern w:val="2"/>
          <w:sz w:val="22"/>
          <w:szCs w:val="22"/>
          <w:highlight w:val="yellow"/>
        </w:rPr>
        <w:t>Disclaimer (Artificial intelligence)</w:t>
      </w:r>
    </w:p>
    <w:p w14:paraId="232117C9"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 xml:space="preserve">Option 1: </w:t>
      </w:r>
    </w:p>
    <w:p w14:paraId="479A4C84"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5763D46"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 xml:space="preserve">Option 2: </w:t>
      </w:r>
    </w:p>
    <w:p w14:paraId="24194753"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D20B06"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Details of the AI usage are given below:</w:t>
      </w:r>
    </w:p>
    <w:p w14:paraId="2CFDD726"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1.</w:t>
      </w:r>
    </w:p>
    <w:p w14:paraId="21338AEC"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2.</w:t>
      </w:r>
    </w:p>
    <w:p w14:paraId="51654977" w14:textId="77777777" w:rsidR="00647E18" w:rsidRPr="00647E18" w:rsidRDefault="00647E18" w:rsidP="00647E18">
      <w:pPr>
        <w:spacing w:after="200" w:line="276" w:lineRule="auto"/>
        <w:rPr>
          <w:rFonts w:ascii="Calibri" w:eastAsia="Calibri" w:hAnsi="Calibri"/>
          <w:kern w:val="2"/>
          <w:sz w:val="22"/>
          <w:szCs w:val="22"/>
        </w:rPr>
      </w:pPr>
      <w:r w:rsidRPr="00647E18">
        <w:rPr>
          <w:rFonts w:ascii="Calibri" w:eastAsia="Calibri" w:hAnsi="Calibri"/>
          <w:kern w:val="2"/>
          <w:sz w:val="22"/>
          <w:szCs w:val="22"/>
          <w:highlight w:val="yellow"/>
        </w:rPr>
        <w:t>3.</w:t>
      </w:r>
    </w:p>
    <w:bookmarkEnd w:id="1"/>
    <w:bookmarkEnd w:id="2"/>
    <w:p w14:paraId="6E3F1434" w14:textId="77777777" w:rsidR="00647E18" w:rsidRPr="00395507" w:rsidRDefault="00647E18" w:rsidP="00702CB2">
      <w:pPr>
        <w:pStyle w:val="ReferHead"/>
        <w:spacing w:after="0"/>
        <w:jc w:val="both"/>
        <w:rPr>
          <w:rFonts w:ascii="Arial" w:hAnsi="Arial" w:cs="Arial"/>
          <w:b w:val="0"/>
          <w:caps w:val="0"/>
          <w:sz w:val="20"/>
        </w:rPr>
      </w:pPr>
    </w:p>
    <w:p w14:paraId="0D9CE406" w14:textId="77777777" w:rsidR="00860000" w:rsidRDefault="00860000" w:rsidP="00441B6F">
      <w:pPr>
        <w:pStyle w:val="ReferHead"/>
        <w:spacing w:after="0"/>
        <w:jc w:val="both"/>
        <w:rPr>
          <w:rFonts w:ascii="Arial" w:hAnsi="Arial" w:cs="Arial"/>
        </w:rPr>
      </w:pPr>
    </w:p>
    <w:p w14:paraId="56E46676" w14:textId="77777777" w:rsidR="00B01FCD" w:rsidRPr="00DB40B7" w:rsidRDefault="00B01FCD" w:rsidP="00441B6F">
      <w:pPr>
        <w:pStyle w:val="ReferHead"/>
        <w:spacing w:after="0"/>
        <w:jc w:val="both"/>
        <w:rPr>
          <w:rFonts w:ascii="Arial" w:hAnsi="Arial" w:cs="Arial"/>
          <w:sz w:val="20"/>
        </w:rPr>
      </w:pPr>
      <w:r w:rsidRPr="00DB40B7">
        <w:rPr>
          <w:rFonts w:ascii="Arial" w:hAnsi="Arial" w:cs="Arial"/>
          <w:sz w:val="20"/>
        </w:rPr>
        <w:t>References</w:t>
      </w:r>
    </w:p>
    <w:p w14:paraId="512B5BEF" w14:textId="1BC10D45" w:rsidR="00A448BF" w:rsidRPr="00DB40B7" w:rsidRDefault="00A448BF" w:rsidP="00A448BF">
      <w:pPr>
        <w:pStyle w:val="ListParagraph"/>
        <w:numPr>
          <w:ilvl w:val="0"/>
          <w:numId w:val="31"/>
        </w:numPr>
        <w:jc w:val="both"/>
        <w:rPr>
          <w:rFonts w:ascii="Arial" w:hAnsi="Arial" w:cs="Arial"/>
          <w:sz w:val="20"/>
          <w:szCs w:val="20"/>
          <w:shd w:val="clear" w:color="auto" w:fill="FFFFFF"/>
        </w:rPr>
      </w:pPr>
      <w:r w:rsidRPr="00DB40B7">
        <w:rPr>
          <w:rFonts w:ascii="Arial" w:hAnsi="Arial" w:cs="Arial"/>
          <w:sz w:val="20"/>
          <w:szCs w:val="20"/>
          <w:shd w:val="clear" w:color="auto" w:fill="FFFFFF"/>
        </w:rPr>
        <w:t>Stradtman, S. C., &amp; Freeman, J. L. Mechanisms of Neurotoxicity Associated with Exposure to the Herbicide Atrazine. </w:t>
      </w:r>
      <w:r w:rsidRPr="00DB40B7">
        <w:rPr>
          <w:rFonts w:ascii="Arial" w:hAnsi="Arial" w:cs="Arial"/>
          <w:i/>
          <w:iCs/>
          <w:sz w:val="20"/>
          <w:szCs w:val="20"/>
          <w:shd w:val="clear" w:color="auto" w:fill="FFFFFF"/>
        </w:rPr>
        <w:t>Toxics</w:t>
      </w:r>
      <w:r w:rsidRPr="00DB40B7">
        <w:rPr>
          <w:rFonts w:ascii="Arial" w:hAnsi="Arial" w:cs="Arial"/>
          <w:sz w:val="20"/>
          <w:szCs w:val="20"/>
          <w:shd w:val="clear" w:color="auto" w:fill="FFFFFF"/>
        </w:rPr>
        <w:t>,</w:t>
      </w:r>
      <w:r w:rsidR="00DB40B7">
        <w:rPr>
          <w:rFonts w:ascii="Arial" w:hAnsi="Arial" w:cs="Arial"/>
          <w:sz w:val="20"/>
          <w:szCs w:val="20"/>
          <w:shd w:val="clear" w:color="auto" w:fill="FFFFFF"/>
        </w:rPr>
        <w:t xml:space="preserve"> </w:t>
      </w:r>
      <w:r w:rsidR="00DB40B7" w:rsidRPr="00DB40B7">
        <w:rPr>
          <w:rFonts w:ascii="Arial" w:hAnsi="Arial" w:cs="Arial"/>
          <w:sz w:val="20"/>
          <w:szCs w:val="20"/>
          <w:shd w:val="clear" w:color="auto" w:fill="FFFFFF"/>
        </w:rPr>
        <w:t>2021</w:t>
      </w:r>
      <w:r w:rsidR="00DB40B7">
        <w:rPr>
          <w:rFonts w:ascii="Arial" w:hAnsi="Arial" w:cs="Arial"/>
          <w:sz w:val="20"/>
          <w:szCs w:val="20"/>
          <w:shd w:val="clear" w:color="auto" w:fill="FFFFFF"/>
        </w:rPr>
        <w:t>;</w:t>
      </w:r>
      <w:r w:rsidRPr="00DB40B7">
        <w:rPr>
          <w:rFonts w:ascii="Arial" w:hAnsi="Arial" w:cs="Arial"/>
          <w:sz w:val="20"/>
          <w:szCs w:val="20"/>
          <w:shd w:val="clear" w:color="auto" w:fill="FFFFFF"/>
        </w:rPr>
        <w:t> </w:t>
      </w:r>
      <w:r w:rsidRPr="00DB40B7">
        <w:rPr>
          <w:rFonts w:ascii="Arial" w:hAnsi="Arial" w:cs="Arial"/>
          <w:iCs/>
          <w:sz w:val="20"/>
          <w:szCs w:val="20"/>
          <w:shd w:val="clear" w:color="auto" w:fill="FFFFFF"/>
        </w:rPr>
        <w:t>9</w:t>
      </w:r>
      <w:r w:rsidRPr="00DB40B7">
        <w:rPr>
          <w:rFonts w:ascii="Arial" w:hAnsi="Arial" w:cs="Arial"/>
          <w:sz w:val="20"/>
          <w:szCs w:val="20"/>
          <w:shd w:val="clear" w:color="auto" w:fill="FFFFFF"/>
        </w:rPr>
        <w:t>(9)</w:t>
      </w:r>
      <w:r w:rsidR="00DB40B7">
        <w:rPr>
          <w:rFonts w:ascii="Arial" w:hAnsi="Arial" w:cs="Arial"/>
          <w:sz w:val="20"/>
          <w:szCs w:val="20"/>
          <w:shd w:val="clear" w:color="auto" w:fill="FFFFFF"/>
        </w:rPr>
        <w:t xml:space="preserve">: </w:t>
      </w:r>
      <w:r w:rsidRPr="00DB40B7">
        <w:rPr>
          <w:rStyle w:val="CommentReference"/>
          <w:rFonts w:ascii="Arial" w:hAnsi="Arial" w:cs="Arial"/>
          <w:sz w:val="20"/>
          <w:szCs w:val="20"/>
        </w:rPr>
        <w:t>207</w:t>
      </w:r>
      <w:r w:rsidRPr="00DB40B7">
        <w:rPr>
          <w:rFonts w:ascii="Arial" w:hAnsi="Arial" w:cs="Arial"/>
          <w:sz w:val="20"/>
          <w:szCs w:val="20"/>
          <w:shd w:val="clear" w:color="auto" w:fill="FFFFFF"/>
        </w:rPr>
        <w:t>-</w:t>
      </w:r>
      <w:r w:rsidR="00381F5F">
        <w:rPr>
          <w:rFonts w:ascii="Arial" w:hAnsi="Arial" w:cs="Arial"/>
          <w:sz w:val="20"/>
          <w:szCs w:val="20"/>
          <w:shd w:val="clear" w:color="auto" w:fill="FFFFFF"/>
        </w:rPr>
        <w:t>12</w:t>
      </w:r>
      <w:r w:rsidRPr="00DB40B7">
        <w:rPr>
          <w:rFonts w:ascii="Arial" w:hAnsi="Arial" w:cs="Arial"/>
          <w:sz w:val="20"/>
          <w:szCs w:val="20"/>
          <w:shd w:val="clear" w:color="auto" w:fill="FFFFFF"/>
        </w:rPr>
        <w:t>.</w:t>
      </w:r>
    </w:p>
    <w:p w14:paraId="0772BBEA" w14:textId="4DF2BFDE"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Mahipal, P. &amp; Pawar, R. S. Nephroprotective effect of </w:t>
      </w:r>
      <w:r w:rsidRPr="00DB40B7">
        <w:rPr>
          <w:rStyle w:val="Emphasis"/>
          <w:rFonts w:ascii="Arial" w:hAnsi="Arial" w:cs="Arial"/>
          <w:sz w:val="20"/>
          <w:szCs w:val="20"/>
        </w:rPr>
        <w:t>Murraya koenigii</w:t>
      </w:r>
      <w:r w:rsidRPr="00DB40B7">
        <w:rPr>
          <w:rFonts w:ascii="Arial" w:hAnsi="Arial" w:cs="Arial"/>
          <w:sz w:val="20"/>
          <w:szCs w:val="20"/>
        </w:rPr>
        <w:t xml:space="preserve"> on cyclophosphamide-induced nephrotoxicity in rats. </w:t>
      </w:r>
      <w:r w:rsidRPr="00DB40B7">
        <w:rPr>
          <w:rStyle w:val="Emphasis"/>
          <w:rFonts w:ascii="Arial" w:hAnsi="Arial" w:cs="Arial"/>
          <w:sz w:val="20"/>
          <w:szCs w:val="20"/>
        </w:rPr>
        <w:t>Asian Pacific Journal of Tropical Medicine,</w:t>
      </w:r>
      <w:r w:rsidR="00381F5F">
        <w:rPr>
          <w:rStyle w:val="Emphasis"/>
          <w:rFonts w:ascii="Arial" w:hAnsi="Arial" w:cs="Arial"/>
          <w:sz w:val="20"/>
          <w:szCs w:val="20"/>
        </w:rPr>
        <w:t xml:space="preserve"> </w:t>
      </w:r>
      <w:r w:rsidR="00381F5F" w:rsidRPr="00DB40B7">
        <w:rPr>
          <w:rFonts w:ascii="Arial" w:hAnsi="Arial" w:cs="Arial"/>
          <w:sz w:val="20"/>
          <w:szCs w:val="20"/>
        </w:rPr>
        <w:t>2017</w:t>
      </w:r>
      <w:r w:rsidR="00381F5F">
        <w:rPr>
          <w:rFonts w:ascii="Arial" w:hAnsi="Arial" w:cs="Arial"/>
          <w:sz w:val="20"/>
          <w:szCs w:val="20"/>
        </w:rPr>
        <w:t>;</w:t>
      </w:r>
      <w:r w:rsidRPr="00DB40B7">
        <w:rPr>
          <w:rStyle w:val="Emphasis"/>
          <w:rFonts w:ascii="Arial" w:hAnsi="Arial" w:cs="Arial"/>
          <w:sz w:val="20"/>
          <w:szCs w:val="20"/>
        </w:rPr>
        <w:t xml:space="preserve"> </w:t>
      </w:r>
      <w:r w:rsidRPr="00381F5F">
        <w:rPr>
          <w:rStyle w:val="Emphasis"/>
          <w:rFonts w:ascii="Arial" w:hAnsi="Arial" w:cs="Arial"/>
          <w:i w:val="0"/>
          <w:iCs w:val="0"/>
          <w:sz w:val="20"/>
          <w:szCs w:val="20"/>
        </w:rPr>
        <w:t>10</w:t>
      </w:r>
      <w:r w:rsidR="00381F5F">
        <w:rPr>
          <w:rStyle w:val="Emphasis"/>
          <w:rFonts w:ascii="Arial" w:hAnsi="Arial" w:cs="Arial"/>
          <w:i w:val="0"/>
          <w:iCs w:val="0"/>
          <w:sz w:val="20"/>
          <w:szCs w:val="20"/>
        </w:rPr>
        <w:t>:</w:t>
      </w:r>
      <w:r w:rsidRPr="00DB40B7">
        <w:rPr>
          <w:rFonts w:ascii="Arial" w:hAnsi="Arial" w:cs="Arial"/>
          <w:sz w:val="20"/>
          <w:szCs w:val="20"/>
        </w:rPr>
        <w:t xml:space="preserve"> 808-12. </w:t>
      </w:r>
      <w:hyperlink r:id="rId14" w:tgtFrame="_new" w:history="1">
        <w:r w:rsidRPr="00DB40B7">
          <w:rPr>
            <w:rStyle w:val="Hyperlink"/>
            <w:rFonts w:ascii="Arial" w:hAnsi="Arial" w:cs="Arial"/>
            <w:sz w:val="20"/>
            <w:szCs w:val="20"/>
          </w:rPr>
          <w:t>https://doi.org/10.1016/j.apjtm.2017.08.005</w:t>
        </w:r>
      </w:hyperlink>
    </w:p>
    <w:p w14:paraId="579FBC8C" w14:textId="4A3F924D"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Calabrese, V., Cornelius, C., Dinkov-Kostova, A. T., Calabrese, E. J. &amp; Mattson, M. P. Cellular stress responses, the hormesis paradigm, and vitagenes: Novel targets for therapeutic intervention in neurodegenerative disorders. </w:t>
      </w:r>
      <w:r w:rsidRPr="00DB40B7">
        <w:rPr>
          <w:rStyle w:val="Emphasis"/>
          <w:rFonts w:ascii="Arial" w:hAnsi="Arial" w:cs="Arial"/>
          <w:sz w:val="20"/>
          <w:szCs w:val="20"/>
        </w:rPr>
        <w:t>Comprehensive Invited Review,</w:t>
      </w:r>
      <w:r w:rsidR="003769DD">
        <w:rPr>
          <w:rStyle w:val="Emphasis"/>
          <w:rFonts w:ascii="Arial" w:hAnsi="Arial" w:cs="Arial"/>
          <w:sz w:val="20"/>
          <w:szCs w:val="20"/>
        </w:rPr>
        <w:t xml:space="preserve"> </w:t>
      </w:r>
      <w:r w:rsidR="003769DD" w:rsidRPr="00DB40B7">
        <w:rPr>
          <w:rFonts w:ascii="Arial" w:hAnsi="Arial" w:cs="Arial"/>
          <w:sz w:val="20"/>
          <w:szCs w:val="20"/>
        </w:rPr>
        <w:t>2010</w:t>
      </w:r>
      <w:r w:rsidR="003769DD">
        <w:rPr>
          <w:rFonts w:ascii="Arial" w:hAnsi="Arial" w:cs="Arial"/>
          <w:sz w:val="20"/>
          <w:szCs w:val="20"/>
        </w:rPr>
        <w:t>;</w:t>
      </w:r>
      <w:r w:rsidRPr="00DB40B7">
        <w:rPr>
          <w:rStyle w:val="Emphasis"/>
          <w:rFonts w:ascii="Arial" w:hAnsi="Arial" w:cs="Arial"/>
          <w:sz w:val="20"/>
          <w:szCs w:val="20"/>
        </w:rPr>
        <w:t xml:space="preserve"> </w:t>
      </w:r>
      <w:r w:rsidRPr="003769DD">
        <w:rPr>
          <w:rStyle w:val="Emphasis"/>
          <w:rFonts w:ascii="Arial" w:hAnsi="Arial" w:cs="Arial"/>
          <w:i w:val="0"/>
          <w:iCs w:val="0"/>
          <w:sz w:val="20"/>
          <w:szCs w:val="20"/>
        </w:rPr>
        <w:t>13</w:t>
      </w:r>
      <w:r w:rsidRPr="00DB40B7">
        <w:rPr>
          <w:rFonts w:ascii="Arial" w:hAnsi="Arial" w:cs="Arial"/>
          <w:sz w:val="20"/>
          <w:szCs w:val="20"/>
        </w:rPr>
        <w:t>(11)</w:t>
      </w:r>
      <w:r w:rsidR="003769DD">
        <w:rPr>
          <w:rFonts w:ascii="Arial" w:hAnsi="Arial" w:cs="Arial"/>
          <w:sz w:val="20"/>
          <w:szCs w:val="20"/>
        </w:rPr>
        <w:t>:</w:t>
      </w:r>
      <w:r w:rsidRPr="00DB40B7">
        <w:rPr>
          <w:rFonts w:ascii="Arial" w:hAnsi="Arial" w:cs="Arial"/>
          <w:sz w:val="20"/>
          <w:szCs w:val="20"/>
        </w:rPr>
        <w:t xml:space="preserve"> 1763–811.</w:t>
      </w:r>
    </w:p>
    <w:p w14:paraId="26113E12" w14:textId="4C17CA5E" w:rsidR="00A448BF" w:rsidRPr="00DB40B7" w:rsidRDefault="00A448BF" w:rsidP="00A448BF">
      <w:pPr>
        <w:pStyle w:val="ListParagraph"/>
        <w:numPr>
          <w:ilvl w:val="0"/>
          <w:numId w:val="31"/>
        </w:numPr>
        <w:spacing w:before="100" w:beforeAutospacing="1" w:after="100" w:afterAutospacing="1" w:line="240" w:lineRule="auto"/>
        <w:rPr>
          <w:rFonts w:ascii="Arial" w:eastAsia="Times New Roman" w:hAnsi="Arial" w:cs="Arial"/>
          <w:sz w:val="20"/>
          <w:szCs w:val="20"/>
        </w:rPr>
      </w:pPr>
      <w:r w:rsidRPr="00DB40B7">
        <w:rPr>
          <w:rFonts w:ascii="Arial" w:hAnsi="Arial" w:cs="Arial"/>
          <w:sz w:val="20"/>
          <w:szCs w:val="20"/>
          <w:shd w:val="clear" w:color="auto" w:fill="FFFFFF"/>
        </w:rPr>
        <w:lastRenderedPageBreak/>
        <w:t>Ray, N. &amp; Reddy, P. H. Structural and physiological changes of the kidney with age and its impact on chronic conditions and COVID-19. </w:t>
      </w:r>
      <w:r w:rsidRPr="00DB40B7">
        <w:rPr>
          <w:rFonts w:ascii="Arial" w:hAnsi="Arial" w:cs="Arial"/>
          <w:i/>
          <w:iCs/>
          <w:sz w:val="20"/>
          <w:szCs w:val="20"/>
          <w:shd w:val="clear" w:color="auto" w:fill="FFFFFF"/>
        </w:rPr>
        <w:t>Ageing research reviews,</w:t>
      </w:r>
      <w:r w:rsidR="003769DD">
        <w:rPr>
          <w:rFonts w:ascii="Arial" w:hAnsi="Arial" w:cs="Arial"/>
          <w:i/>
          <w:iCs/>
          <w:sz w:val="20"/>
          <w:szCs w:val="20"/>
          <w:shd w:val="clear" w:color="auto" w:fill="FFFFFF"/>
        </w:rPr>
        <w:t xml:space="preserve"> </w:t>
      </w:r>
      <w:r w:rsidR="003769DD" w:rsidRPr="00DB40B7">
        <w:rPr>
          <w:rFonts w:ascii="Arial" w:hAnsi="Arial" w:cs="Arial"/>
          <w:sz w:val="20"/>
          <w:szCs w:val="20"/>
          <w:shd w:val="clear" w:color="auto" w:fill="FFFFFF"/>
        </w:rPr>
        <w:t>2023</w:t>
      </w:r>
      <w:r w:rsidR="009D61AF">
        <w:rPr>
          <w:rFonts w:ascii="Arial" w:hAnsi="Arial" w:cs="Arial"/>
          <w:sz w:val="20"/>
          <w:szCs w:val="20"/>
          <w:shd w:val="clear" w:color="auto" w:fill="FFFFFF"/>
        </w:rPr>
        <w:t xml:space="preserve">; </w:t>
      </w:r>
      <w:r w:rsidRPr="009D61AF">
        <w:rPr>
          <w:rFonts w:ascii="Arial" w:hAnsi="Arial" w:cs="Arial"/>
          <w:sz w:val="20"/>
          <w:szCs w:val="20"/>
          <w:shd w:val="clear" w:color="auto" w:fill="FFFFFF"/>
        </w:rPr>
        <w:t>88</w:t>
      </w:r>
      <w:r w:rsidR="009D61AF">
        <w:rPr>
          <w:rFonts w:ascii="Arial" w:hAnsi="Arial" w:cs="Arial"/>
          <w:sz w:val="20"/>
          <w:szCs w:val="20"/>
          <w:shd w:val="clear" w:color="auto" w:fill="FFFFFF"/>
        </w:rPr>
        <w:t>:44-9.</w:t>
      </w:r>
      <w:r w:rsidRPr="00DB40B7">
        <w:rPr>
          <w:rFonts w:ascii="Arial" w:hAnsi="Arial" w:cs="Arial"/>
          <w:sz w:val="20"/>
          <w:szCs w:val="20"/>
          <w:shd w:val="clear" w:color="auto" w:fill="FFFFFF"/>
        </w:rPr>
        <w:t xml:space="preserve"> https://doi.org/10.1016/j.arr.2023.101932</w:t>
      </w:r>
    </w:p>
    <w:p w14:paraId="7E871200" w14:textId="416486E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Cyril, D. G., Landry, K. S., Francois, K. Y. K., Abou, B., Felix, Y. H. &amp; Timothee, O. A.  Evaluation of nephroprotective activity of aqueous and hydroethanolic extracts of </w:t>
      </w:r>
      <w:r w:rsidRPr="00DB40B7">
        <w:rPr>
          <w:rStyle w:val="Emphasis"/>
          <w:rFonts w:ascii="Arial" w:hAnsi="Arial" w:cs="Arial"/>
          <w:sz w:val="20"/>
          <w:szCs w:val="20"/>
        </w:rPr>
        <w:t>Trema guineensis</w:t>
      </w:r>
      <w:r w:rsidRPr="00DB40B7">
        <w:rPr>
          <w:rFonts w:ascii="Arial" w:hAnsi="Arial" w:cs="Arial"/>
          <w:sz w:val="20"/>
          <w:szCs w:val="20"/>
        </w:rPr>
        <w:t xml:space="preserve"> leaves (Ulmaceae) against gentamicin-induced nephrotoxicity in rats. </w:t>
      </w:r>
      <w:r w:rsidRPr="00DB40B7">
        <w:rPr>
          <w:rStyle w:val="Emphasis"/>
          <w:rFonts w:ascii="Arial" w:hAnsi="Arial" w:cs="Arial"/>
          <w:sz w:val="20"/>
          <w:szCs w:val="20"/>
        </w:rPr>
        <w:t>International Journal of Biochemistry Research &amp; Review,</w:t>
      </w:r>
      <w:r w:rsidR="009D61AF">
        <w:rPr>
          <w:rStyle w:val="Emphasis"/>
          <w:rFonts w:ascii="Arial" w:hAnsi="Arial" w:cs="Arial"/>
          <w:sz w:val="20"/>
          <w:szCs w:val="20"/>
        </w:rPr>
        <w:t xml:space="preserve"> </w:t>
      </w:r>
      <w:r w:rsidR="009D61AF" w:rsidRPr="00DB40B7">
        <w:rPr>
          <w:rFonts w:ascii="Arial" w:hAnsi="Arial" w:cs="Arial"/>
          <w:sz w:val="20"/>
          <w:szCs w:val="20"/>
        </w:rPr>
        <w:t>2016</w:t>
      </w:r>
      <w:r w:rsidR="009D61AF">
        <w:rPr>
          <w:rFonts w:ascii="Arial" w:hAnsi="Arial" w:cs="Arial"/>
          <w:sz w:val="20"/>
          <w:szCs w:val="20"/>
        </w:rPr>
        <w:t>;</w:t>
      </w:r>
      <w:r w:rsidRPr="00DB40B7">
        <w:rPr>
          <w:rStyle w:val="Emphasis"/>
          <w:rFonts w:ascii="Arial" w:hAnsi="Arial" w:cs="Arial"/>
          <w:sz w:val="20"/>
          <w:szCs w:val="20"/>
        </w:rPr>
        <w:t xml:space="preserve"> </w:t>
      </w:r>
      <w:r w:rsidRPr="009D61AF">
        <w:rPr>
          <w:rStyle w:val="Emphasis"/>
          <w:rFonts w:ascii="Arial" w:hAnsi="Arial" w:cs="Arial"/>
          <w:i w:val="0"/>
          <w:iCs w:val="0"/>
          <w:sz w:val="20"/>
          <w:szCs w:val="20"/>
        </w:rPr>
        <w:t>15(1)</w:t>
      </w:r>
      <w:r w:rsidR="009D61AF">
        <w:rPr>
          <w:rStyle w:val="Emphasis"/>
          <w:rFonts w:ascii="Arial" w:hAnsi="Arial" w:cs="Arial"/>
          <w:i w:val="0"/>
          <w:iCs w:val="0"/>
          <w:sz w:val="20"/>
          <w:szCs w:val="20"/>
        </w:rPr>
        <w:t>:</w:t>
      </w:r>
      <w:r w:rsidRPr="00DB40B7">
        <w:rPr>
          <w:rFonts w:ascii="Arial" w:hAnsi="Arial" w:cs="Arial"/>
          <w:sz w:val="20"/>
          <w:szCs w:val="20"/>
        </w:rPr>
        <w:t xml:space="preserve"> 1-10. </w:t>
      </w:r>
    </w:p>
    <w:p w14:paraId="1ECA858F" w14:textId="334B1F0B"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Hoenig, M. P. &amp; Zeidel, M. L. Homeostasis, the milieu interieur, and the wisdom of the nephron. </w:t>
      </w:r>
      <w:r w:rsidRPr="00DB40B7">
        <w:rPr>
          <w:rStyle w:val="Emphasis"/>
          <w:rFonts w:ascii="Arial" w:hAnsi="Arial" w:cs="Arial"/>
          <w:sz w:val="20"/>
          <w:szCs w:val="20"/>
        </w:rPr>
        <w:t>Clinical Journal of the American Society of Nephrology,</w:t>
      </w:r>
      <w:r w:rsidR="00056032">
        <w:rPr>
          <w:rStyle w:val="Emphasis"/>
          <w:rFonts w:ascii="Arial" w:hAnsi="Arial" w:cs="Arial"/>
          <w:sz w:val="20"/>
          <w:szCs w:val="20"/>
        </w:rPr>
        <w:t xml:space="preserve"> </w:t>
      </w:r>
      <w:r w:rsidR="00056032" w:rsidRPr="00DB40B7">
        <w:rPr>
          <w:rFonts w:ascii="Arial" w:hAnsi="Arial" w:cs="Arial"/>
          <w:sz w:val="20"/>
          <w:szCs w:val="20"/>
        </w:rPr>
        <w:t>2014</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9</w:t>
      </w:r>
      <w:r w:rsidRPr="00DB40B7">
        <w:rPr>
          <w:rFonts w:ascii="Arial" w:hAnsi="Arial" w:cs="Arial"/>
          <w:sz w:val="20"/>
          <w:szCs w:val="20"/>
        </w:rPr>
        <w:t>(1)</w:t>
      </w:r>
      <w:r w:rsidR="00056032">
        <w:rPr>
          <w:rFonts w:ascii="Arial" w:hAnsi="Arial" w:cs="Arial"/>
          <w:sz w:val="20"/>
          <w:szCs w:val="20"/>
        </w:rPr>
        <w:t>:</w:t>
      </w:r>
      <w:r w:rsidRPr="00DB40B7">
        <w:rPr>
          <w:rFonts w:ascii="Arial" w:hAnsi="Arial" w:cs="Arial"/>
          <w:sz w:val="20"/>
          <w:szCs w:val="20"/>
        </w:rPr>
        <w:t xml:space="preserve"> 12-72. </w:t>
      </w:r>
      <w:hyperlink r:id="rId15" w:tgtFrame="_new" w:history="1">
        <w:r w:rsidRPr="00DB40B7">
          <w:rPr>
            <w:rStyle w:val="Hyperlink"/>
            <w:rFonts w:ascii="Arial" w:hAnsi="Arial" w:cs="Arial"/>
            <w:sz w:val="20"/>
            <w:szCs w:val="20"/>
          </w:rPr>
          <w:t>https://doi.org/10.2215/CJN.08860813</w:t>
        </w:r>
      </w:hyperlink>
    </w:p>
    <w:p w14:paraId="5A7286A8" w14:textId="578DCB08"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Kim, S. Y., &amp; Moon, A. Drug-induced nephrotoxicity and its biomarkers. </w:t>
      </w:r>
      <w:r w:rsidRPr="00DB40B7">
        <w:rPr>
          <w:rStyle w:val="Emphasis"/>
          <w:rFonts w:ascii="Arial" w:hAnsi="Arial" w:cs="Arial"/>
          <w:sz w:val="20"/>
          <w:szCs w:val="20"/>
        </w:rPr>
        <w:t>Biomolecules &amp; Therapeutics,</w:t>
      </w:r>
      <w:r w:rsidR="00056032">
        <w:rPr>
          <w:rStyle w:val="Emphasis"/>
          <w:rFonts w:ascii="Arial" w:hAnsi="Arial" w:cs="Arial"/>
          <w:sz w:val="20"/>
          <w:szCs w:val="20"/>
        </w:rPr>
        <w:t xml:space="preserve"> </w:t>
      </w:r>
      <w:r w:rsidR="00056032" w:rsidRPr="00DB40B7">
        <w:rPr>
          <w:rFonts w:ascii="Arial" w:hAnsi="Arial" w:cs="Arial"/>
          <w:sz w:val="20"/>
          <w:szCs w:val="20"/>
        </w:rPr>
        <w:t>2012</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20</w:t>
      </w:r>
      <w:r w:rsidRPr="00DB40B7">
        <w:rPr>
          <w:rFonts w:ascii="Arial" w:hAnsi="Arial" w:cs="Arial"/>
          <w:sz w:val="20"/>
          <w:szCs w:val="20"/>
        </w:rPr>
        <w:t>(3)</w:t>
      </w:r>
      <w:r w:rsidR="00056032">
        <w:rPr>
          <w:rFonts w:ascii="Arial" w:hAnsi="Arial" w:cs="Arial"/>
          <w:sz w:val="20"/>
          <w:szCs w:val="20"/>
        </w:rPr>
        <w:t>:</w:t>
      </w:r>
      <w:r w:rsidRPr="00DB40B7">
        <w:rPr>
          <w:rFonts w:ascii="Arial" w:hAnsi="Arial" w:cs="Arial"/>
          <w:sz w:val="20"/>
          <w:szCs w:val="20"/>
        </w:rPr>
        <w:t xml:space="preserve"> 268–72</w:t>
      </w:r>
      <w:r w:rsidR="00056032">
        <w:rPr>
          <w:rFonts w:ascii="Arial" w:hAnsi="Arial" w:cs="Arial"/>
          <w:sz w:val="20"/>
          <w:szCs w:val="20"/>
        </w:rPr>
        <w:t>.</w:t>
      </w:r>
    </w:p>
    <w:p w14:paraId="76A4AE59" w14:textId="1C3ED1B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Mahipal, P. &amp; Pawar, R. S. Nephroprotective effect of </w:t>
      </w:r>
      <w:r w:rsidRPr="00DB40B7">
        <w:rPr>
          <w:rStyle w:val="Emphasis"/>
          <w:rFonts w:ascii="Arial" w:hAnsi="Arial" w:cs="Arial"/>
          <w:sz w:val="20"/>
          <w:szCs w:val="20"/>
        </w:rPr>
        <w:t>Murraya koenigii</w:t>
      </w:r>
      <w:r w:rsidRPr="00DB40B7">
        <w:rPr>
          <w:rFonts w:ascii="Arial" w:hAnsi="Arial" w:cs="Arial"/>
          <w:sz w:val="20"/>
          <w:szCs w:val="20"/>
        </w:rPr>
        <w:t xml:space="preserve"> on cyclophosphamide-induced nephrotoxicity in rats. </w:t>
      </w:r>
      <w:r w:rsidRPr="00DB40B7">
        <w:rPr>
          <w:rStyle w:val="Emphasis"/>
          <w:rFonts w:ascii="Arial" w:hAnsi="Arial" w:cs="Arial"/>
          <w:sz w:val="20"/>
          <w:szCs w:val="20"/>
        </w:rPr>
        <w:t>Asian Pacific Journal of Tropical Medicine,</w:t>
      </w:r>
      <w:r w:rsidR="00056032">
        <w:rPr>
          <w:rStyle w:val="Emphasis"/>
          <w:rFonts w:ascii="Arial" w:hAnsi="Arial" w:cs="Arial"/>
          <w:sz w:val="20"/>
          <w:szCs w:val="20"/>
        </w:rPr>
        <w:t xml:space="preserve"> </w:t>
      </w:r>
      <w:r w:rsidR="00056032" w:rsidRPr="00DB40B7">
        <w:rPr>
          <w:rFonts w:ascii="Arial" w:hAnsi="Arial" w:cs="Arial"/>
          <w:sz w:val="20"/>
          <w:szCs w:val="20"/>
        </w:rPr>
        <w:t>2017</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10</w:t>
      </w:r>
      <w:r w:rsidR="00056032">
        <w:rPr>
          <w:rStyle w:val="Emphasis"/>
          <w:rFonts w:ascii="Arial" w:hAnsi="Arial" w:cs="Arial"/>
          <w:i w:val="0"/>
          <w:iCs w:val="0"/>
          <w:sz w:val="20"/>
          <w:szCs w:val="20"/>
        </w:rPr>
        <w:t>:</w:t>
      </w:r>
      <w:r w:rsidRPr="00DB40B7">
        <w:rPr>
          <w:rFonts w:ascii="Arial" w:hAnsi="Arial" w:cs="Arial"/>
          <w:sz w:val="20"/>
          <w:szCs w:val="20"/>
        </w:rPr>
        <w:t xml:space="preserve"> 808-12. </w:t>
      </w:r>
      <w:hyperlink r:id="rId16" w:tgtFrame="_new" w:history="1">
        <w:r w:rsidRPr="00DB40B7">
          <w:rPr>
            <w:rStyle w:val="Hyperlink"/>
            <w:rFonts w:ascii="Arial" w:hAnsi="Arial" w:cs="Arial"/>
            <w:sz w:val="20"/>
            <w:szCs w:val="20"/>
          </w:rPr>
          <w:t>https://doi.org/10.1016/j.apjtm.2017.08.005</w:t>
        </w:r>
      </w:hyperlink>
    </w:p>
    <w:p w14:paraId="26C18BF0" w14:textId="301D450B" w:rsidR="00A448BF" w:rsidRPr="00DB40B7" w:rsidRDefault="00A448BF" w:rsidP="00A448BF">
      <w:pPr>
        <w:pStyle w:val="NormalWeb"/>
        <w:numPr>
          <w:ilvl w:val="0"/>
          <w:numId w:val="31"/>
        </w:numPr>
        <w:spacing w:line="276" w:lineRule="auto"/>
        <w:ind w:left="709" w:hanging="283"/>
        <w:jc w:val="both"/>
        <w:rPr>
          <w:rFonts w:ascii="Arial" w:hAnsi="Arial" w:cs="Arial"/>
          <w:sz w:val="20"/>
          <w:szCs w:val="20"/>
        </w:rPr>
      </w:pPr>
      <w:r w:rsidRPr="00DB40B7">
        <w:rPr>
          <w:rFonts w:ascii="Arial" w:hAnsi="Arial" w:cs="Arial"/>
          <w:sz w:val="20"/>
          <w:szCs w:val="20"/>
        </w:rPr>
        <w:t xml:space="preserve">Azab, A. E., Fetouh, F. A. &amp; Albasha, M. O.Nephroprotective effects of curcumin, rosemary, and propolis against gentamicin-induced toxicity in guinea pigs: Morphological and biochemical study. </w:t>
      </w:r>
      <w:r w:rsidRPr="00DB40B7">
        <w:rPr>
          <w:rStyle w:val="Emphasis"/>
          <w:rFonts w:ascii="Arial" w:hAnsi="Arial" w:cs="Arial"/>
          <w:sz w:val="20"/>
          <w:szCs w:val="20"/>
        </w:rPr>
        <w:t>American Journal of Clinical and Experimental Medicine,</w:t>
      </w:r>
      <w:r w:rsidR="00056032">
        <w:rPr>
          <w:rStyle w:val="Emphasis"/>
          <w:rFonts w:ascii="Arial" w:hAnsi="Arial" w:cs="Arial"/>
          <w:sz w:val="20"/>
          <w:szCs w:val="20"/>
        </w:rPr>
        <w:t xml:space="preserve"> </w:t>
      </w:r>
      <w:r w:rsidR="00056032" w:rsidRPr="00DB40B7">
        <w:rPr>
          <w:rFonts w:ascii="Arial" w:hAnsi="Arial" w:cs="Arial"/>
          <w:sz w:val="20"/>
          <w:szCs w:val="20"/>
        </w:rPr>
        <w:t>2014</w:t>
      </w:r>
      <w:r w:rsidR="000E4959">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2</w:t>
      </w:r>
      <w:r w:rsidR="000E4959">
        <w:rPr>
          <w:rStyle w:val="Emphasis"/>
          <w:rFonts w:ascii="Arial" w:hAnsi="Arial" w:cs="Arial"/>
          <w:i w:val="0"/>
          <w:iCs w:val="0"/>
          <w:sz w:val="20"/>
          <w:szCs w:val="20"/>
        </w:rPr>
        <w:t>:</w:t>
      </w:r>
      <w:r w:rsidRPr="00DB40B7">
        <w:rPr>
          <w:rFonts w:ascii="Arial" w:hAnsi="Arial" w:cs="Arial"/>
          <w:sz w:val="20"/>
          <w:szCs w:val="20"/>
        </w:rPr>
        <w:t xml:space="preserve"> 28-35. </w:t>
      </w:r>
      <w:hyperlink r:id="rId17" w:tgtFrame="_new" w:history="1">
        <w:r w:rsidRPr="00DB40B7">
          <w:rPr>
            <w:rStyle w:val="Hyperlink"/>
            <w:rFonts w:ascii="Arial" w:hAnsi="Arial" w:cs="Arial"/>
            <w:color w:val="auto"/>
            <w:sz w:val="20"/>
            <w:szCs w:val="20"/>
          </w:rPr>
          <w:t>https://doi.org/10.1016/j.apjtm.2017.08.005</w:t>
        </w:r>
      </w:hyperlink>
    </w:p>
    <w:p w14:paraId="6A22368C" w14:textId="52D18539" w:rsidR="00A448BF" w:rsidRPr="00DB40B7" w:rsidRDefault="00A448BF" w:rsidP="00A448BF">
      <w:pPr>
        <w:pStyle w:val="NormalWeb"/>
        <w:numPr>
          <w:ilvl w:val="0"/>
          <w:numId w:val="31"/>
        </w:numPr>
        <w:spacing w:line="276" w:lineRule="auto"/>
        <w:jc w:val="both"/>
        <w:rPr>
          <w:rFonts w:ascii="Arial" w:hAnsi="Arial" w:cs="Arial"/>
          <w:sz w:val="20"/>
          <w:szCs w:val="20"/>
          <w:shd w:val="clear" w:color="auto" w:fill="FFFFFF"/>
        </w:rPr>
      </w:pPr>
      <w:r w:rsidRPr="00DB40B7">
        <w:rPr>
          <w:rFonts w:ascii="Arial" w:hAnsi="Arial" w:cs="Arial"/>
          <w:sz w:val="20"/>
          <w:szCs w:val="20"/>
          <w:shd w:val="clear" w:color="auto" w:fill="FFFFFF"/>
        </w:rPr>
        <w:t xml:space="preserve"> </w:t>
      </w:r>
      <w:r w:rsidRPr="00DB40B7">
        <w:rPr>
          <w:rFonts w:ascii="Arial" w:hAnsi="Arial" w:cs="Arial"/>
          <w:sz w:val="20"/>
          <w:szCs w:val="20"/>
        </w:rPr>
        <w:t xml:space="preserve">Sundararajan, R., Bharampuram, A., &amp; Koduru, R. A review on phyto-constituents for nephroprotective activity. </w:t>
      </w:r>
      <w:r w:rsidRPr="00DB40B7">
        <w:rPr>
          <w:rStyle w:val="Emphasis"/>
          <w:rFonts w:ascii="Arial" w:hAnsi="Arial" w:cs="Arial"/>
          <w:sz w:val="20"/>
          <w:szCs w:val="20"/>
        </w:rPr>
        <w:t>Pharmacy</w:t>
      </w:r>
      <w:r w:rsidR="000E4959">
        <w:rPr>
          <w:rStyle w:val="Emphasis"/>
          <w:rFonts w:ascii="Arial" w:hAnsi="Arial" w:cs="Arial"/>
          <w:sz w:val="20"/>
          <w:szCs w:val="20"/>
        </w:rPr>
        <w:t xml:space="preserve">, </w:t>
      </w:r>
      <w:r w:rsidR="000E4959" w:rsidRPr="00DB40B7">
        <w:rPr>
          <w:rFonts w:ascii="Arial" w:hAnsi="Arial" w:cs="Arial"/>
          <w:sz w:val="20"/>
          <w:szCs w:val="20"/>
        </w:rPr>
        <w:t>2014</w:t>
      </w:r>
      <w:r w:rsidR="000E4959">
        <w:rPr>
          <w:rFonts w:ascii="Arial" w:hAnsi="Arial" w:cs="Arial"/>
          <w:sz w:val="20"/>
          <w:szCs w:val="20"/>
        </w:rPr>
        <w:t>;</w:t>
      </w:r>
      <w:r w:rsidRPr="00DB40B7">
        <w:rPr>
          <w:rStyle w:val="Emphasis"/>
          <w:rFonts w:ascii="Arial" w:hAnsi="Arial" w:cs="Arial"/>
          <w:sz w:val="20"/>
          <w:szCs w:val="20"/>
        </w:rPr>
        <w:t xml:space="preserve"> </w:t>
      </w:r>
      <w:r w:rsidRPr="000E4959">
        <w:rPr>
          <w:rStyle w:val="Emphasis"/>
          <w:rFonts w:ascii="Arial" w:hAnsi="Arial" w:cs="Arial"/>
          <w:i w:val="0"/>
          <w:iCs w:val="0"/>
          <w:sz w:val="20"/>
          <w:szCs w:val="20"/>
        </w:rPr>
        <w:t>5</w:t>
      </w:r>
      <w:r w:rsidRPr="00DB40B7">
        <w:rPr>
          <w:rFonts w:ascii="Arial" w:hAnsi="Arial" w:cs="Arial"/>
          <w:sz w:val="20"/>
          <w:szCs w:val="20"/>
        </w:rPr>
        <w:t>(1)</w:t>
      </w:r>
      <w:r w:rsidR="000E4959">
        <w:rPr>
          <w:rFonts w:ascii="Arial" w:hAnsi="Arial" w:cs="Arial"/>
          <w:sz w:val="20"/>
          <w:szCs w:val="20"/>
        </w:rPr>
        <w:t>:</w:t>
      </w:r>
      <w:r w:rsidRPr="00DB40B7">
        <w:rPr>
          <w:rFonts w:ascii="Arial" w:hAnsi="Arial" w:cs="Arial"/>
          <w:sz w:val="20"/>
          <w:szCs w:val="20"/>
        </w:rPr>
        <w:t xml:space="preserve"> 160-82.</w:t>
      </w:r>
    </w:p>
    <w:p w14:paraId="3D939A30" w14:textId="7161398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Srivastava, A. K., Kaushik, D., Shrivastava, A. K., &amp; Lal, V. K. Nephroprotective ethno-medicinal action of selected Indian medicinal plants. </w:t>
      </w:r>
      <w:r w:rsidRPr="00DB40B7">
        <w:rPr>
          <w:rStyle w:val="Emphasis"/>
          <w:rFonts w:ascii="Arial" w:hAnsi="Arial" w:cs="Arial"/>
          <w:sz w:val="20"/>
          <w:szCs w:val="20"/>
        </w:rPr>
        <w:t>Der Pharmacia Sinica,</w:t>
      </w:r>
      <w:r w:rsidR="000E4959">
        <w:rPr>
          <w:rStyle w:val="Emphasis"/>
          <w:rFonts w:ascii="Arial" w:hAnsi="Arial" w:cs="Arial"/>
          <w:sz w:val="20"/>
          <w:szCs w:val="20"/>
        </w:rPr>
        <w:t xml:space="preserve"> </w:t>
      </w:r>
      <w:r w:rsidR="000E4959" w:rsidRPr="00DB40B7">
        <w:rPr>
          <w:rFonts w:ascii="Arial" w:hAnsi="Arial" w:cs="Arial"/>
          <w:sz w:val="20"/>
          <w:szCs w:val="20"/>
        </w:rPr>
        <w:t>2017</w:t>
      </w:r>
      <w:r w:rsidR="000E4959">
        <w:rPr>
          <w:rFonts w:ascii="Arial" w:hAnsi="Arial" w:cs="Arial"/>
          <w:sz w:val="20"/>
          <w:szCs w:val="20"/>
        </w:rPr>
        <w:t>;</w:t>
      </w:r>
      <w:r w:rsidRPr="00DB40B7">
        <w:rPr>
          <w:rStyle w:val="Emphasis"/>
          <w:rFonts w:ascii="Arial" w:hAnsi="Arial" w:cs="Arial"/>
          <w:sz w:val="20"/>
          <w:szCs w:val="20"/>
        </w:rPr>
        <w:t xml:space="preserve"> </w:t>
      </w:r>
      <w:r w:rsidRPr="000E4959">
        <w:rPr>
          <w:rStyle w:val="Emphasis"/>
          <w:rFonts w:ascii="Arial" w:hAnsi="Arial" w:cs="Arial"/>
          <w:i w:val="0"/>
          <w:iCs w:val="0"/>
          <w:sz w:val="20"/>
          <w:szCs w:val="20"/>
        </w:rPr>
        <w:t>8</w:t>
      </w:r>
      <w:r w:rsidR="00276569">
        <w:rPr>
          <w:rStyle w:val="Emphasis"/>
          <w:rFonts w:ascii="Arial" w:hAnsi="Arial" w:cs="Arial"/>
          <w:i w:val="0"/>
          <w:iCs w:val="0"/>
          <w:sz w:val="20"/>
          <w:szCs w:val="20"/>
        </w:rPr>
        <w:t>:</w:t>
      </w:r>
      <w:r w:rsidRPr="00DB40B7">
        <w:rPr>
          <w:rFonts w:ascii="Arial" w:hAnsi="Arial" w:cs="Arial"/>
          <w:sz w:val="20"/>
          <w:szCs w:val="20"/>
        </w:rPr>
        <w:t xml:space="preserve"> 11-24.</w:t>
      </w:r>
    </w:p>
    <w:p w14:paraId="628EEA8B" w14:textId="761B948B" w:rsidR="00A448BF" w:rsidRPr="00DB40B7" w:rsidRDefault="00A448BF" w:rsidP="00A448BF">
      <w:pPr>
        <w:pStyle w:val="NormalWeb"/>
        <w:numPr>
          <w:ilvl w:val="0"/>
          <w:numId w:val="31"/>
        </w:numPr>
        <w:spacing w:line="276" w:lineRule="auto"/>
        <w:jc w:val="both"/>
        <w:rPr>
          <w:rFonts w:ascii="Arial" w:hAnsi="Arial" w:cs="Arial"/>
          <w:sz w:val="20"/>
          <w:szCs w:val="20"/>
          <w:shd w:val="clear" w:color="auto" w:fill="FFFFFF"/>
        </w:rPr>
      </w:pPr>
      <w:r w:rsidRPr="00DB40B7">
        <w:rPr>
          <w:rFonts w:ascii="Arial" w:hAnsi="Arial" w:cs="Arial"/>
          <w:sz w:val="20"/>
          <w:szCs w:val="20"/>
          <w:shd w:val="clear" w:color="auto" w:fill="FFFFFF"/>
        </w:rPr>
        <w:t>Bitu Pinto, N., da Silva Alexandre, B., Neves, K. R., Silva, A. H., Leal, L. K. &amp; Viana, G. S. Neuroprotective Properties of the Standardized Extract from Camellia sinensis (Green Tea) and Its Main Bioactive Components, Epicatechin and Epigallocatechin Gallate, in the 6-OHDA Model of Parkinson's Disease. </w:t>
      </w:r>
      <w:r w:rsidRPr="00DB40B7">
        <w:rPr>
          <w:rFonts w:ascii="Arial" w:hAnsi="Arial" w:cs="Arial"/>
          <w:i/>
          <w:iCs/>
          <w:sz w:val="20"/>
          <w:szCs w:val="20"/>
          <w:shd w:val="clear" w:color="auto" w:fill="FFFFFF"/>
        </w:rPr>
        <w:t>Evidence-Based Complementary and Alternative Medicine</w:t>
      </w:r>
      <w:r w:rsidR="00276569">
        <w:rPr>
          <w:rFonts w:ascii="Arial" w:hAnsi="Arial" w:cs="Arial"/>
          <w:i/>
          <w:iCs/>
          <w:sz w:val="20"/>
          <w:szCs w:val="20"/>
          <w:shd w:val="clear" w:color="auto" w:fill="FFFFFF"/>
        </w:rPr>
        <w:t xml:space="preserve">, </w:t>
      </w:r>
      <w:r w:rsidRPr="00DB40B7">
        <w:rPr>
          <w:rFonts w:ascii="Arial" w:hAnsi="Arial" w:cs="Arial"/>
          <w:i/>
          <w:iCs/>
          <w:sz w:val="20"/>
          <w:szCs w:val="20"/>
          <w:shd w:val="clear" w:color="auto" w:fill="FFFFFF"/>
        </w:rPr>
        <w:t>eCAM</w:t>
      </w:r>
      <w:r w:rsidRPr="00DB40B7">
        <w:rPr>
          <w:rFonts w:ascii="Arial" w:hAnsi="Arial" w:cs="Arial"/>
          <w:sz w:val="20"/>
          <w:szCs w:val="20"/>
          <w:shd w:val="clear" w:color="auto" w:fill="FFFFFF"/>
        </w:rPr>
        <w:t>, </w:t>
      </w:r>
      <w:r w:rsidRPr="00DB40B7">
        <w:rPr>
          <w:rFonts w:ascii="Arial" w:hAnsi="Arial" w:cs="Arial"/>
          <w:i/>
          <w:iCs/>
          <w:sz w:val="20"/>
          <w:szCs w:val="20"/>
          <w:shd w:val="clear" w:color="auto" w:fill="FFFFFF"/>
        </w:rPr>
        <w:t>2015</w:t>
      </w:r>
      <w:r w:rsidRPr="00DB40B7">
        <w:rPr>
          <w:rFonts w:ascii="Arial" w:hAnsi="Arial" w:cs="Arial"/>
          <w:sz w:val="20"/>
          <w:szCs w:val="20"/>
          <w:shd w:val="clear" w:color="auto" w:fill="FFFFFF"/>
        </w:rPr>
        <w:t xml:space="preserve">, 161092 </w:t>
      </w:r>
      <w:hyperlink r:id="rId18" w:history="1">
        <w:r w:rsidRPr="00DB40B7">
          <w:rPr>
            <w:rStyle w:val="Hyperlink"/>
            <w:rFonts w:ascii="Arial" w:hAnsi="Arial" w:cs="Arial"/>
            <w:sz w:val="20"/>
            <w:szCs w:val="20"/>
            <w:shd w:val="clear" w:color="auto" w:fill="FFFFFF"/>
          </w:rPr>
          <w:t>https://doi.org/10.1155/2015/161092</w:t>
        </w:r>
      </w:hyperlink>
      <w:r w:rsidRPr="00DB40B7">
        <w:rPr>
          <w:rStyle w:val="Hyperlink"/>
          <w:rFonts w:ascii="Arial" w:hAnsi="Arial" w:cs="Arial"/>
          <w:sz w:val="20"/>
          <w:szCs w:val="20"/>
          <w:shd w:val="clear" w:color="auto" w:fill="FFFFFF"/>
        </w:rPr>
        <w:t>.</w:t>
      </w:r>
    </w:p>
    <w:p w14:paraId="1FC8BECC" w14:textId="67AA6BE9"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Forester, S. C. &amp; Lambert, J. D. Cancer preventive effects of green tea polyphenols. In Watson, R. R., Preedy, V. R., &amp; Zibadi, S. (Eds.), </w:t>
      </w:r>
      <w:r w:rsidRPr="00DB40B7">
        <w:rPr>
          <w:rStyle w:val="Emphasis"/>
          <w:rFonts w:ascii="Arial" w:hAnsi="Arial" w:cs="Arial"/>
          <w:sz w:val="20"/>
          <w:szCs w:val="20"/>
        </w:rPr>
        <w:t>Polyphenols in human health and disease</w:t>
      </w:r>
      <w:r w:rsidR="00692C4A">
        <w:rPr>
          <w:rStyle w:val="Emphasis"/>
          <w:rFonts w:ascii="Arial" w:hAnsi="Arial" w:cs="Arial"/>
          <w:sz w:val="20"/>
          <w:szCs w:val="20"/>
        </w:rPr>
        <w:t xml:space="preserve">, </w:t>
      </w:r>
      <w:r w:rsidR="00692C4A" w:rsidRPr="00DB40B7">
        <w:rPr>
          <w:rFonts w:ascii="Arial" w:hAnsi="Arial" w:cs="Arial"/>
          <w:sz w:val="20"/>
          <w:szCs w:val="20"/>
        </w:rPr>
        <w:t>2014</w:t>
      </w:r>
      <w:r w:rsidR="00692C4A">
        <w:rPr>
          <w:rFonts w:ascii="Arial" w:hAnsi="Arial" w:cs="Arial"/>
          <w:sz w:val="20"/>
          <w:szCs w:val="20"/>
        </w:rPr>
        <w:t>;</w:t>
      </w:r>
      <w:r w:rsidRPr="00DB40B7">
        <w:rPr>
          <w:rFonts w:ascii="Arial" w:hAnsi="Arial" w:cs="Arial"/>
          <w:sz w:val="20"/>
          <w:szCs w:val="20"/>
        </w:rPr>
        <w:t xml:space="preserve"> </w:t>
      </w:r>
      <w:r w:rsidR="00771454">
        <w:rPr>
          <w:rFonts w:ascii="Arial" w:hAnsi="Arial" w:cs="Arial"/>
          <w:sz w:val="20"/>
          <w:szCs w:val="20"/>
        </w:rPr>
        <w:t>34:</w:t>
      </w:r>
      <w:r w:rsidRPr="00DB40B7">
        <w:rPr>
          <w:rFonts w:ascii="Arial" w:hAnsi="Arial" w:cs="Arial"/>
          <w:sz w:val="20"/>
          <w:szCs w:val="20"/>
        </w:rPr>
        <w:t xml:space="preserve"> 1309–22). </w:t>
      </w:r>
    </w:p>
    <w:p w14:paraId="734C6BF4" w14:textId="47F05B9C" w:rsidR="00A448BF" w:rsidRPr="00DB40B7" w:rsidRDefault="001A57C4" w:rsidP="00A448BF">
      <w:pPr>
        <w:pStyle w:val="NormalWeb"/>
        <w:numPr>
          <w:ilvl w:val="0"/>
          <w:numId w:val="31"/>
        </w:numPr>
        <w:spacing w:line="276" w:lineRule="auto"/>
        <w:jc w:val="both"/>
        <w:rPr>
          <w:rFonts w:ascii="Arial" w:hAnsi="Arial" w:cs="Arial"/>
          <w:sz w:val="20"/>
          <w:szCs w:val="20"/>
        </w:rPr>
      </w:pPr>
      <w:r w:rsidRPr="001A57C4">
        <w:rPr>
          <w:rFonts w:ascii="Arial" w:eastAsia="Calibri" w:hAnsi="Arial" w:cs="Arial"/>
          <w:sz w:val="20"/>
          <w:szCs w:val="20"/>
        </w:rPr>
        <w:t>Macado, M. and Horizonte, B. Simple rapid method for the determination of urea b urease. Rev. Assoc. Med. Bras., 1958; 4:364-67.</w:t>
      </w:r>
    </w:p>
    <w:p w14:paraId="05760FC0" w14:textId="5F864A2D" w:rsidR="003B57CB" w:rsidRPr="003B57CB" w:rsidRDefault="007B7325" w:rsidP="00A448BF">
      <w:pPr>
        <w:pStyle w:val="ListParagraph"/>
        <w:numPr>
          <w:ilvl w:val="0"/>
          <w:numId w:val="31"/>
        </w:numPr>
        <w:spacing w:after="240"/>
        <w:jc w:val="both"/>
        <w:rPr>
          <w:rFonts w:ascii="Arial" w:hAnsi="Arial" w:cs="Arial"/>
          <w:sz w:val="20"/>
          <w:szCs w:val="20"/>
        </w:rPr>
      </w:pPr>
      <w:r w:rsidRPr="007B7325">
        <w:rPr>
          <w:rFonts w:ascii="Arial" w:eastAsia="Calibri" w:hAnsi="Arial" w:cs="Arial"/>
          <w:kern w:val="0"/>
          <w:sz w:val="20"/>
          <w:szCs w:val="20"/>
          <w14:ligatures w14:val="none"/>
        </w:rPr>
        <w:t xml:space="preserve">Vratislav, Chromý, V., Rozkosná, K. and Sedlák, P. Determination of serum creatinine by Jaffe method and how to calibrate to eliminate matrix interference problems. </w:t>
      </w:r>
      <w:r w:rsidRPr="00F75951">
        <w:rPr>
          <w:rFonts w:ascii="Arial" w:eastAsia="Calibri" w:hAnsi="Arial" w:cs="Arial"/>
          <w:kern w:val="0"/>
          <w:sz w:val="20"/>
          <w:szCs w:val="20"/>
          <w:highlight w:val="yellow"/>
          <w14:ligatures w14:val="none"/>
        </w:rPr>
        <w:t>Clin Chem</w:t>
      </w:r>
      <w:r w:rsidR="00F75951" w:rsidRPr="00F75951">
        <w:rPr>
          <w:rFonts w:ascii="Arial" w:eastAsia="Calibri" w:hAnsi="Arial" w:cs="Arial"/>
          <w:kern w:val="0"/>
          <w:sz w:val="20"/>
          <w:szCs w:val="20"/>
          <w:highlight w:val="yellow"/>
          <w14:ligatures w14:val="none"/>
        </w:rPr>
        <w:t xml:space="preserve"> </w:t>
      </w:r>
      <w:r w:rsidRPr="00F75951">
        <w:rPr>
          <w:rFonts w:ascii="Arial" w:eastAsia="Calibri" w:hAnsi="Arial" w:cs="Arial"/>
          <w:kern w:val="0"/>
          <w:sz w:val="20"/>
          <w:szCs w:val="20"/>
          <w:highlight w:val="yellow"/>
          <w14:ligatures w14:val="none"/>
        </w:rPr>
        <w:t>Lab Med,</w:t>
      </w:r>
      <w:r w:rsidRPr="007B7325">
        <w:rPr>
          <w:rFonts w:ascii="Arial" w:eastAsia="Calibri" w:hAnsi="Arial" w:cs="Arial"/>
          <w:kern w:val="0"/>
          <w:sz w:val="20"/>
          <w:szCs w:val="20"/>
          <w14:ligatures w14:val="none"/>
        </w:rPr>
        <w:t xml:space="preserve"> 2008; 46(8):1127-33</w:t>
      </w:r>
    </w:p>
    <w:p w14:paraId="1A465491" w14:textId="1A132B02" w:rsidR="00A448BF" w:rsidRPr="00DB40B7" w:rsidRDefault="00A448BF" w:rsidP="00A448BF">
      <w:pPr>
        <w:pStyle w:val="ListParagraph"/>
        <w:numPr>
          <w:ilvl w:val="0"/>
          <w:numId w:val="31"/>
        </w:numPr>
        <w:spacing w:after="240"/>
        <w:jc w:val="both"/>
        <w:rPr>
          <w:rFonts w:ascii="Arial" w:hAnsi="Arial" w:cs="Arial"/>
          <w:sz w:val="20"/>
          <w:szCs w:val="20"/>
        </w:rPr>
      </w:pPr>
      <w:r w:rsidRPr="00DB40B7">
        <w:rPr>
          <w:rFonts w:ascii="Arial" w:hAnsi="Arial" w:cs="Arial"/>
          <w:sz w:val="20"/>
          <w:szCs w:val="20"/>
        </w:rPr>
        <w:t xml:space="preserve">Garcia, R. A., Vanelli, C. P., Pereira Junior, O. D. S. &amp; Corrêa, J. O. D. A. Comparative analysis for strength serum sodium and potassium in three different methods: Flame photometry, ion-selective electrode (ISE), and colorimetric enzymatic. </w:t>
      </w:r>
      <w:r w:rsidRPr="00F75951">
        <w:rPr>
          <w:rFonts w:ascii="Arial" w:hAnsi="Arial" w:cs="Arial"/>
          <w:i/>
          <w:sz w:val="20"/>
          <w:szCs w:val="20"/>
          <w:highlight w:val="yellow"/>
        </w:rPr>
        <w:t>J Clin Lab Anal</w:t>
      </w:r>
      <w:r w:rsidRPr="00F75951">
        <w:rPr>
          <w:rFonts w:ascii="Arial" w:hAnsi="Arial" w:cs="Arial"/>
          <w:sz w:val="20"/>
          <w:szCs w:val="20"/>
          <w:highlight w:val="yellow"/>
        </w:rPr>
        <w:t>,</w:t>
      </w:r>
      <w:r w:rsidR="00771454">
        <w:rPr>
          <w:rFonts w:ascii="Arial" w:hAnsi="Arial" w:cs="Arial"/>
          <w:sz w:val="20"/>
          <w:szCs w:val="20"/>
        </w:rPr>
        <w:t xml:space="preserve"> </w:t>
      </w:r>
      <w:r w:rsidR="00771454" w:rsidRPr="00DB40B7">
        <w:rPr>
          <w:rFonts w:ascii="Arial" w:hAnsi="Arial" w:cs="Arial"/>
          <w:sz w:val="20"/>
          <w:szCs w:val="20"/>
        </w:rPr>
        <w:t>2018</w:t>
      </w:r>
      <w:r w:rsidR="00771454">
        <w:rPr>
          <w:rFonts w:ascii="Arial" w:hAnsi="Arial" w:cs="Arial"/>
          <w:sz w:val="20"/>
          <w:szCs w:val="20"/>
        </w:rPr>
        <w:t>;</w:t>
      </w:r>
      <w:r w:rsidRPr="00DB40B7">
        <w:rPr>
          <w:rFonts w:ascii="Arial" w:hAnsi="Arial" w:cs="Arial"/>
          <w:sz w:val="20"/>
          <w:szCs w:val="20"/>
        </w:rPr>
        <w:t xml:space="preserve"> 32(9)</w:t>
      </w:r>
      <w:r w:rsidR="00771454">
        <w:rPr>
          <w:rFonts w:ascii="Arial" w:hAnsi="Arial" w:cs="Arial"/>
          <w:sz w:val="20"/>
          <w:szCs w:val="20"/>
        </w:rPr>
        <w:t>:</w:t>
      </w:r>
      <w:r w:rsidRPr="00DB40B7">
        <w:rPr>
          <w:rFonts w:ascii="Arial" w:hAnsi="Arial" w:cs="Arial"/>
          <w:sz w:val="20"/>
          <w:szCs w:val="20"/>
        </w:rPr>
        <w:t xml:space="preserve"> 225-94.</w:t>
      </w:r>
    </w:p>
    <w:p w14:paraId="075D9D37" w14:textId="20C76652" w:rsidR="00A52D17" w:rsidRPr="00A52D17" w:rsidRDefault="00A52D17" w:rsidP="00A448BF">
      <w:pPr>
        <w:pStyle w:val="ListParagraph"/>
        <w:numPr>
          <w:ilvl w:val="0"/>
          <w:numId w:val="31"/>
        </w:numPr>
        <w:jc w:val="both"/>
        <w:rPr>
          <w:rFonts w:ascii="Arial" w:hAnsi="Arial" w:cs="Arial"/>
          <w:sz w:val="20"/>
          <w:szCs w:val="20"/>
          <w:shd w:val="clear" w:color="auto" w:fill="FFFFFF"/>
        </w:rPr>
      </w:pPr>
      <w:r w:rsidRPr="00A52D17">
        <w:rPr>
          <w:rFonts w:ascii="Arial" w:hAnsi="Arial" w:cs="Arial"/>
          <w:bCs/>
          <w:sz w:val="20"/>
          <w:szCs w:val="20"/>
        </w:rPr>
        <w:t xml:space="preserve">Abarikwu, S., Ezim, O.E., Ikeji, C. and Farombi, O. Atrazine: cytotoxicity, oxidative stress, apoptosis, testicular effects and chemopreventive Interventions. </w:t>
      </w:r>
      <w:r w:rsidRPr="00F75951">
        <w:rPr>
          <w:rFonts w:ascii="Arial" w:hAnsi="Arial" w:cs="Arial"/>
          <w:bCs/>
          <w:sz w:val="20"/>
          <w:szCs w:val="20"/>
          <w:highlight w:val="yellow"/>
        </w:rPr>
        <w:t>Fron Tox,</w:t>
      </w:r>
      <w:r w:rsidRPr="00A52D17">
        <w:rPr>
          <w:rFonts w:ascii="Arial" w:hAnsi="Arial" w:cs="Arial"/>
          <w:bCs/>
          <w:sz w:val="20"/>
          <w:szCs w:val="20"/>
        </w:rPr>
        <w:t xml:space="preserve"> 2023; 5:1246708</w:t>
      </w:r>
    </w:p>
    <w:p w14:paraId="4609824C" w14:textId="5B5AA137" w:rsidR="00DF5F5E" w:rsidRPr="00DF5F5E" w:rsidRDefault="00DF5F5E" w:rsidP="00A448BF">
      <w:pPr>
        <w:pStyle w:val="ListParagraph"/>
        <w:numPr>
          <w:ilvl w:val="0"/>
          <w:numId w:val="31"/>
        </w:numPr>
        <w:jc w:val="both"/>
        <w:rPr>
          <w:rFonts w:ascii="Arial" w:hAnsi="Arial" w:cs="Arial"/>
          <w:sz w:val="20"/>
          <w:szCs w:val="20"/>
          <w:shd w:val="clear" w:color="auto" w:fill="FFFFFF"/>
        </w:rPr>
      </w:pPr>
      <w:r w:rsidRPr="00DF5F5E">
        <w:rPr>
          <w:rFonts w:ascii="Arial" w:hAnsi="Arial" w:cs="Arial"/>
          <w:bCs/>
          <w:sz w:val="20"/>
          <w:szCs w:val="20"/>
        </w:rPr>
        <w:lastRenderedPageBreak/>
        <w:t xml:space="preserve">Kassim, M., Achoui, M., Mustafa, M. R., Mohd, M. A., &amp; Yusoff, K. M. Ellagic acid, phenolic acids, and flavonoids in Malaysian honey extracts demonstrate in vitro anti-inflammatory activity. </w:t>
      </w:r>
      <w:proofErr w:type="spellStart"/>
      <w:r w:rsidRPr="00F75951">
        <w:rPr>
          <w:rFonts w:ascii="Arial" w:hAnsi="Arial" w:cs="Arial"/>
          <w:bCs/>
          <w:sz w:val="20"/>
          <w:szCs w:val="20"/>
          <w:highlight w:val="yellow"/>
        </w:rPr>
        <w:t>Nutr</w:t>
      </w:r>
      <w:proofErr w:type="spellEnd"/>
      <w:r w:rsidRPr="00F75951">
        <w:rPr>
          <w:rFonts w:ascii="Arial" w:hAnsi="Arial" w:cs="Arial"/>
          <w:bCs/>
          <w:sz w:val="20"/>
          <w:szCs w:val="20"/>
          <w:highlight w:val="yellow"/>
        </w:rPr>
        <w:t xml:space="preserve"> Res,</w:t>
      </w:r>
      <w:r w:rsidR="009B6D8C">
        <w:rPr>
          <w:rFonts w:ascii="Arial" w:hAnsi="Arial" w:cs="Arial"/>
          <w:bCs/>
          <w:sz w:val="20"/>
          <w:szCs w:val="20"/>
        </w:rPr>
        <w:t xml:space="preserve"> </w:t>
      </w:r>
      <w:r w:rsidR="009B6D8C" w:rsidRPr="00DF5F5E">
        <w:rPr>
          <w:rFonts w:ascii="Arial" w:hAnsi="Arial" w:cs="Arial"/>
          <w:bCs/>
          <w:sz w:val="20"/>
          <w:szCs w:val="20"/>
        </w:rPr>
        <w:t>2010</w:t>
      </w:r>
      <w:r w:rsidR="009B6D8C">
        <w:rPr>
          <w:rFonts w:ascii="Arial" w:hAnsi="Arial" w:cs="Arial"/>
          <w:bCs/>
          <w:sz w:val="20"/>
          <w:szCs w:val="20"/>
        </w:rPr>
        <w:t>;</w:t>
      </w:r>
      <w:r w:rsidRPr="00DF5F5E">
        <w:rPr>
          <w:rFonts w:ascii="Arial" w:hAnsi="Arial" w:cs="Arial"/>
          <w:bCs/>
          <w:sz w:val="20"/>
          <w:szCs w:val="20"/>
        </w:rPr>
        <w:t xml:space="preserve"> 30(9), 650-9.</w:t>
      </w:r>
    </w:p>
    <w:p w14:paraId="78E43B5B" w14:textId="2434E306" w:rsidR="00A448BF" w:rsidRPr="00F51D23" w:rsidRDefault="00F51D23" w:rsidP="005D0425">
      <w:pPr>
        <w:pStyle w:val="ListParagraph"/>
        <w:numPr>
          <w:ilvl w:val="0"/>
          <w:numId w:val="31"/>
        </w:numPr>
        <w:jc w:val="both"/>
        <w:rPr>
          <w:rFonts w:ascii="Arial" w:hAnsi="Arial" w:cs="Arial"/>
        </w:rPr>
      </w:pPr>
      <w:r w:rsidRPr="00F51D23">
        <w:rPr>
          <w:rFonts w:ascii="Arial" w:hAnsi="Arial" w:cs="Arial"/>
          <w:bCs/>
          <w:sz w:val="20"/>
          <w:szCs w:val="20"/>
        </w:rPr>
        <w:t xml:space="preserve">Lambert, J. D., &amp; Elias, R. J. The antioxidant and pro-oxidant activities of green tea polyphenols: A role in cancer prevention. </w:t>
      </w:r>
      <w:r w:rsidRPr="00F75951">
        <w:rPr>
          <w:rFonts w:ascii="Arial" w:hAnsi="Arial" w:cs="Arial"/>
          <w:bCs/>
          <w:sz w:val="20"/>
          <w:szCs w:val="20"/>
          <w:highlight w:val="yellow"/>
        </w:rPr>
        <w:t xml:space="preserve">Arc Bioch </w:t>
      </w:r>
      <w:proofErr w:type="spellStart"/>
      <w:r w:rsidRPr="00F75951">
        <w:rPr>
          <w:rFonts w:ascii="Arial" w:hAnsi="Arial" w:cs="Arial"/>
          <w:bCs/>
          <w:sz w:val="20"/>
          <w:szCs w:val="20"/>
          <w:highlight w:val="yellow"/>
        </w:rPr>
        <w:t>Bioph</w:t>
      </w:r>
      <w:proofErr w:type="spellEnd"/>
      <w:r w:rsidRPr="00F75951">
        <w:rPr>
          <w:rFonts w:ascii="Arial" w:hAnsi="Arial" w:cs="Arial"/>
          <w:bCs/>
          <w:sz w:val="20"/>
          <w:szCs w:val="20"/>
          <w:highlight w:val="yellow"/>
        </w:rPr>
        <w:t>,</w:t>
      </w:r>
      <w:r>
        <w:rPr>
          <w:rFonts w:ascii="Arial" w:hAnsi="Arial" w:cs="Arial"/>
          <w:bCs/>
          <w:sz w:val="20"/>
          <w:szCs w:val="20"/>
        </w:rPr>
        <w:t xml:space="preserve"> </w:t>
      </w:r>
      <w:r w:rsidRPr="00F51D23">
        <w:rPr>
          <w:rFonts w:ascii="Arial" w:hAnsi="Arial" w:cs="Arial"/>
          <w:bCs/>
          <w:sz w:val="20"/>
          <w:szCs w:val="20"/>
        </w:rPr>
        <w:t>2010</w:t>
      </w:r>
      <w:r>
        <w:rPr>
          <w:rFonts w:ascii="Arial" w:hAnsi="Arial" w:cs="Arial"/>
          <w:bCs/>
          <w:sz w:val="20"/>
          <w:szCs w:val="20"/>
        </w:rPr>
        <w:t>;</w:t>
      </w:r>
      <w:r w:rsidRPr="00F51D23">
        <w:rPr>
          <w:rFonts w:ascii="Arial" w:hAnsi="Arial" w:cs="Arial"/>
          <w:bCs/>
          <w:sz w:val="20"/>
          <w:szCs w:val="20"/>
        </w:rPr>
        <w:t xml:space="preserve"> 501, 65–72. </w:t>
      </w:r>
    </w:p>
    <w:p w14:paraId="6F14A7D8" w14:textId="29420A08" w:rsidR="00A448BF" w:rsidRPr="00DB40B7" w:rsidRDefault="00A448BF" w:rsidP="00441B6F">
      <w:pPr>
        <w:pStyle w:val="Appendix"/>
        <w:spacing w:after="0"/>
        <w:jc w:val="both"/>
        <w:rPr>
          <w:rFonts w:ascii="Arial" w:hAnsi="Arial" w:cs="Arial"/>
          <w:b w:val="0"/>
          <w:sz w:val="20"/>
        </w:rPr>
        <w:sectPr w:rsidR="00A448BF" w:rsidRPr="00DB40B7" w:rsidSect="00281EEA">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677FFDC" w14:textId="77777777" w:rsidR="00B01FCD" w:rsidRPr="00DB40B7" w:rsidRDefault="00B01FCD" w:rsidP="00441B6F">
      <w:pPr>
        <w:pStyle w:val="Appendix"/>
        <w:spacing w:after="0"/>
        <w:jc w:val="both"/>
        <w:rPr>
          <w:rFonts w:ascii="Arial" w:hAnsi="Arial" w:cs="Arial"/>
          <w:b w:val="0"/>
          <w:sz w:val="20"/>
        </w:rPr>
      </w:pPr>
    </w:p>
    <w:sectPr w:rsidR="00B01FCD" w:rsidRPr="00DB40B7" w:rsidSect="00281EE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3962" w14:textId="77777777" w:rsidR="00627A1A" w:rsidRDefault="00627A1A" w:rsidP="00C37E61">
      <w:r>
        <w:separator/>
      </w:r>
    </w:p>
  </w:endnote>
  <w:endnote w:type="continuationSeparator" w:id="0">
    <w:p w14:paraId="41B9796B" w14:textId="77777777" w:rsidR="00627A1A" w:rsidRDefault="00627A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39DE" w14:textId="77777777" w:rsidR="0000328A" w:rsidRDefault="0000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9DB9" w14:textId="77777777" w:rsidR="0000328A" w:rsidRDefault="0000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5694EC92" w:rsidR="00754C9A" w:rsidRPr="00281EEA" w:rsidRDefault="00754C9A" w:rsidP="00281E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7732C" w14:textId="77777777" w:rsidR="00627A1A" w:rsidRDefault="00627A1A" w:rsidP="00C37E61">
      <w:r>
        <w:separator/>
      </w:r>
    </w:p>
  </w:footnote>
  <w:footnote w:type="continuationSeparator" w:id="0">
    <w:p w14:paraId="39006AFC" w14:textId="77777777" w:rsidR="00627A1A" w:rsidRDefault="00627A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AD8B" w14:textId="19B0E714" w:rsidR="0000328A" w:rsidRDefault="00000000">
    <w:pPr>
      <w:pStyle w:val="Header"/>
    </w:pPr>
    <w:r>
      <w:rPr>
        <w:noProof/>
      </w:rPr>
      <w:pict w14:anchorId="528D8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A3ED" w14:textId="2A78580D" w:rsidR="0000328A" w:rsidRDefault="00000000">
    <w:pPr>
      <w:pStyle w:val="Header"/>
    </w:pPr>
    <w:r>
      <w:rPr>
        <w:noProof/>
      </w:rPr>
      <w:pict w14:anchorId="3A09F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5B33F7EC" w:rsidR="00296529" w:rsidRPr="00296529" w:rsidRDefault="00000000" w:rsidP="00296529">
    <w:pPr>
      <w:ind w:left="2160"/>
      <w:jc w:val="center"/>
      <w:rPr>
        <w:rFonts w:ascii="Times New Roman" w:eastAsia="Calibri" w:hAnsi="Times New Roman"/>
        <w:i/>
        <w:sz w:val="18"/>
        <w:szCs w:val="22"/>
      </w:rPr>
    </w:pPr>
    <w:r>
      <w:rPr>
        <w:noProof/>
      </w:rPr>
      <w:pict w14:anchorId="0C921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DDBC" w14:textId="2162D8E5" w:rsidR="0000328A" w:rsidRDefault="00000000">
    <w:pPr>
      <w:pStyle w:val="Header"/>
    </w:pPr>
    <w:r>
      <w:rPr>
        <w:noProof/>
      </w:rPr>
      <w:pict w14:anchorId="043C8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EED9" w14:textId="6397B35B" w:rsidR="0000328A" w:rsidRDefault="00000000">
    <w:pPr>
      <w:pStyle w:val="Header"/>
    </w:pPr>
    <w:r>
      <w:rPr>
        <w:noProof/>
      </w:rPr>
      <w:pict w14:anchorId="0B15E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6A38" w14:textId="0603AA6E" w:rsidR="0000328A" w:rsidRDefault="00000000">
    <w:pPr>
      <w:pStyle w:val="Header"/>
    </w:pPr>
    <w:r>
      <w:rPr>
        <w:noProof/>
      </w:rPr>
      <w:pict w14:anchorId="1BA0E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EBE2BEA"/>
    <w:multiLevelType w:val="hybridMultilevel"/>
    <w:tmpl w:val="F6E452E2"/>
    <w:lvl w:ilvl="0" w:tplc="B7ACB5C6">
      <w:start w:val="1"/>
      <w:numFmt w:val="decimal"/>
      <w:lvlText w:val="%1."/>
      <w:lvlJc w:val="left"/>
      <w:pPr>
        <w:ind w:left="928"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248063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7198261">
    <w:abstractNumId w:val="15"/>
  </w:num>
  <w:num w:numId="3" w16cid:durableId="1598905221">
    <w:abstractNumId w:val="24"/>
  </w:num>
  <w:num w:numId="4" w16cid:durableId="1798538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28615502">
    <w:abstractNumId w:val="7"/>
  </w:num>
  <w:num w:numId="6" w16cid:durableId="164787208">
    <w:abstractNumId w:val="6"/>
  </w:num>
  <w:num w:numId="7" w16cid:durableId="362748730">
    <w:abstractNumId w:val="1"/>
  </w:num>
  <w:num w:numId="8" w16cid:durableId="2008822810">
    <w:abstractNumId w:val="12"/>
  </w:num>
  <w:num w:numId="9" w16cid:durableId="2083986259">
    <w:abstractNumId w:val="26"/>
  </w:num>
  <w:num w:numId="10" w16cid:durableId="359429069">
    <w:abstractNumId w:val="2"/>
  </w:num>
  <w:num w:numId="11" w16cid:durableId="1946688868">
    <w:abstractNumId w:val="18"/>
  </w:num>
  <w:num w:numId="12" w16cid:durableId="1934584929">
    <w:abstractNumId w:val="3"/>
  </w:num>
  <w:num w:numId="13" w16cid:durableId="2136830321">
    <w:abstractNumId w:val="17"/>
  </w:num>
  <w:num w:numId="14" w16cid:durableId="1682390555">
    <w:abstractNumId w:val="8"/>
  </w:num>
  <w:num w:numId="15" w16cid:durableId="1249384517">
    <w:abstractNumId w:val="22"/>
  </w:num>
  <w:num w:numId="16" w16cid:durableId="1352606426">
    <w:abstractNumId w:val="5"/>
  </w:num>
  <w:num w:numId="17" w16cid:durableId="28992443">
    <w:abstractNumId w:val="23"/>
  </w:num>
  <w:num w:numId="18" w16cid:durableId="2039162622">
    <w:abstractNumId w:val="14"/>
  </w:num>
  <w:num w:numId="19" w16cid:durableId="1898977354">
    <w:abstractNumId w:val="29"/>
  </w:num>
  <w:num w:numId="20" w16cid:durableId="1173298851">
    <w:abstractNumId w:val="11"/>
  </w:num>
  <w:num w:numId="21" w16cid:durableId="1666277785">
    <w:abstractNumId w:val="9"/>
  </w:num>
  <w:num w:numId="22" w16cid:durableId="170343545">
    <w:abstractNumId w:val="13"/>
  </w:num>
  <w:num w:numId="23" w16cid:durableId="1424760565">
    <w:abstractNumId w:val="20"/>
  </w:num>
  <w:num w:numId="24" w16cid:durableId="1964843222">
    <w:abstractNumId w:val="27"/>
  </w:num>
  <w:num w:numId="25" w16cid:durableId="277225277">
    <w:abstractNumId w:val="4"/>
  </w:num>
  <w:num w:numId="26" w16cid:durableId="399670924">
    <w:abstractNumId w:val="16"/>
  </w:num>
  <w:num w:numId="27" w16cid:durableId="48966528">
    <w:abstractNumId w:val="21"/>
  </w:num>
  <w:num w:numId="28" w16cid:durableId="1691909178">
    <w:abstractNumId w:val="28"/>
  </w:num>
  <w:num w:numId="29" w16cid:durableId="251158809">
    <w:abstractNumId w:val="25"/>
  </w:num>
  <w:num w:numId="30" w16cid:durableId="855923868">
    <w:abstractNumId w:val="10"/>
  </w:num>
  <w:num w:numId="31" w16cid:durableId="2771066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8A"/>
    <w:rsid w:val="000040E2"/>
    <w:rsid w:val="00030174"/>
    <w:rsid w:val="0004579C"/>
    <w:rsid w:val="00051779"/>
    <w:rsid w:val="0005203A"/>
    <w:rsid w:val="00053110"/>
    <w:rsid w:val="00056032"/>
    <w:rsid w:val="00096F64"/>
    <w:rsid w:val="000A2D40"/>
    <w:rsid w:val="000A47FA"/>
    <w:rsid w:val="000A65D3"/>
    <w:rsid w:val="000B1E33"/>
    <w:rsid w:val="000C0F35"/>
    <w:rsid w:val="000C1095"/>
    <w:rsid w:val="000C1971"/>
    <w:rsid w:val="000D689F"/>
    <w:rsid w:val="000E4959"/>
    <w:rsid w:val="000E7B7B"/>
    <w:rsid w:val="000E7D62"/>
    <w:rsid w:val="0010226A"/>
    <w:rsid w:val="00103357"/>
    <w:rsid w:val="00123C9F"/>
    <w:rsid w:val="00126190"/>
    <w:rsid w:val="00130F17"/>
    <w:rsid w:val="001320BF"/>
    <w:rsid w:val="00152D25"/>
    <w:rsid w:val="001544BB"/>
    <w:rsid w:val="0016305A"/>
    <w:rsid w:val="00163BC4"/>
    <w:rsid w:val="00175078"/>
    <w:rsid w:val="00181283"/>
    <w:rsid w:val="00191062"/>
    <w:rsid w:val="00192B72"/>
    <w:rsid w:val="001A29D8"/>
    <w:rsid w:val="001A57C4"/>
    <w:rsid w:val="001A5CAA"/>
    <w:rsid w:val="001B0427"/>
    <w:rsid w:val="001B6B05"/>
    <w:rsid w:val="001C0AD5"/>
    <w:rsid w:val="001C2AB5"/>
    <w:rsid w:val="001D3A51"/>
    <w:rsid w:val="001D7C54"/>
    <w:rsid w:val="001E10D2"/>
    <w:rsid w:val="001E1F73"/>
    <w:rsid w:val="001E25B4"/>
    <w:rsid w:val="001E44FE"/>
    <w:rsid w:val="00200595"/>
    <w:rsid w:val="00204835"/>
    <w:rsid w:val="00211E41"/>
    <w:rsid w:val="00231920"/>
    <w:rsid w:val="0023195C"/>
    <w:rsid w:val="0024282C"/>
    <w:rsid w:val="002460DC"/>
    <w:rsid w:val="00250985"/>
    <w:rsid w:val="002556F6"/>
    <w:rsid w:val="0027173D"/>
    <w:rsid w:val="00274C22"/>
    <w:rsid w:val="00276569"/>
    <w:rsid w:val="002817A9"/>
    <w:rsid w:val="00281EEA"/>
    <w:rsid w:val="00283105"/>
    <w:rsid w:val="00284C4C"/>
    <w:rsid w:val="00296529"/>
    <w:rsid w:val="00297F6D"/>
    <w:rsid w:val="002B27FB"/>
    <w:rsid w:val="002B685A"/>
    <w:rsid w:val="002C57D2"/>
    <w:rsid w:val="002D2997"/>
    <w:rsid w:val="002E0D56"/>
    <w:rsid w:val="002F25CE"/>
    <w:rsid w:val="002F3671"/>
    <w:rsid w:val="00315186"/>
    <w:rsid w:val="00323258"/>
    <w:rsid w:val="00327415"/>
    <w:rsid w:val="003274E4"/>
    <w:rsid w:val="0033343E"/>
    <w:rsid w:val="00344EE6"/>
    <w:rsid w:val="00347EA1"/>
    <w:rsid w:val="003512C2"/>
    <w:rsid w:val="00352FB6"/>
    <w:rsid w:val="00371FB6"/>
    <w:rsid w:val="003763C1"/>
    <w:rsid w:val="003769DD"/>
    <w:rsid w:val="00376BBE"/>
    <w:rsid w:val="00381F5F"/>
    <w:rsid w:val="0039224F"/>
    <w:rsid w:val="00395507"/>
    <w:rsid w:val="003A43A4"/>
    <w:rsid w:val="003A7E18"/>
    <w:rsid w:val="003B57CB"/>
    <w:rsid w:val="003C4C86"/>
    <w:rsid w:val="003C6258"/>
    <w:rsid w:val="003E2904"/>
    <w:rsid w:val="00401927"/>
    <w:rsid w:val="00401964"/>
    <w:rsid w:val="0041027F"/>
    <w:rsid w:val="00412475"/>
    <w:rsid w:val="00423789"/>
    <w:rsid w:val="00440F43"/>
    <w:rsid w:val="00441B6F"/>
    <w:rsid w:val="00445B19"/>
    <w:rsid w:val="00446221"/>
    <w:rsid w:val="00450E62"/>
    <w:rsid w:val="004539DB"/>
    <w:rsid w:val="00471A80"/>
    <w:rsid w:val="00476805"/>
    <w:rsid w:val="00483372"/>
    <w:rsid w:val="004A68DB"/>
    <w:rsid w:val="004B7E2A"/>
    <w:rsid w:val="004D305E"/>
    <w:rsid w:val="004D4277"/>
    <w:rsid w:val="00501FA8"/>
    <w:rsid w:val="00502516"/>
    <w:rsid w:val="005037D9"/>
    <w:rsid w:val="00505F06"/>
    <w:rsid w:val="00506828"/>
    <w:rsid w:val="0051711E"/>
    <w:rsid w:val="0052004E"/>
    <w:rsid w:val="00525F8C"/>
    <w:rsid w:val="0053056E"/>
    <w:rsid w:val="0054078B"/>
    <w:rsid w:val="005416E8"/>
    <w:rsid w:val="00554FDA"/>
    <w:rsid w:val="005711DB"/>
    <w:rsid w:val="00597704"/>
    <w:rsid w:val="005B59A3"/>
    <w:rsid w:val="005C3575"/>
    <w:rsid w:val="005C784C"/>
    <w:rsid w:val="005D17F6"/>
    <w:rsid w:val="005D42E5"/>
    <w:rsid w:val="005D6759"/>
    <w:rsid w:val="005E5539"/>
    <w:rsid w:val="00602BF5"/>
    <w:rsid w:val="00617FDD"/>
    <w:rsid w:val="006223C2"/>
    <w:rsid w:val="00627A1A"/>
    <w:rsid w:val="00633614"/>
    <w:rsid w:val="00633F68"/>
    <w:rsid w:val="00636EB2"/>
    <w:rsid w:val="006375B8"/>
    <w:rsid w:val="00640C0F"/>
    <w:rsid w:val="00643524"/>
    <w:rsid w:val="006462FE"/>
    <w:rsid w:val="00647E18"/>
    <w:rsid w:val="00655270"/>
    <w:rsid w:val="0066307A"/>
    <w:rsid w:val="006636D3"/>
    <w:rsid w:val="0066510A"/>
    <w:rsid w:val="00673F9F"/>
    <w:rsid w:val="00682095"/>
    <w:rsid w:val="00686953"/>
    <w:rsid w:val="00687DEA"/>
    <w:rsid w:val="00687E67"/>
    <w:rsid w:val="00692C4A"/>
    <w:rsid w:val="006967F7"/>
    <w:rsid w:val="006A250C"/>
    <w:rsid w:val="006B21D3"/>
    <w:rsid w:val="006B31AF"/>
    <w:rsid w:val="006B57D0"/>
    <w:rsid w:val="006B6DEE"/>
    <w:rsid w:val="006D30FF"/>
    <w:rsid w:val="006D6940"/>
    <w:rsid w:val="006E0CB2"/>
    <w:rsid w:val="006F0033"/>
    <w:rsid w:val="006F11EC"/>
    <w:rsid w:val="0070082C"/>
    <w:rsid w:val="00702CB2"/>
    <w:rsid w:val="007128B5"/>
    <w:rsid w:val="0073113B"/>
    <w:rsid w:val="007361E8"/>
    <w:rsid w:val="007369E6"/>
    <w:rsid w:val="00746E59"/>
    <w:rsid w:val="00754C9A"/>
    <w:rsid w:val="0075599A"/>
    <w:rsid w:val="00761D52"/>
    <w:rsid w:val="00771454"/>
    <w:rsid w:val="0077749E"/>
    <w:rsid w:val="00790ADA"/>
    <w:rsid w:val="007A06B8"/>
    <w:rsid w:val="007B7325"/>
    <w:rsid w:val="007D2288"/>
    <w:rsid w:val="007E088F"/>
    <w:rsid w:val="007F085D"/>
    <w:rsid w:val="007F7B32"/>
    <w:rsid w:val="007F7D48"/>
    <w:rsid w:val="00804BC2"/>
    <w:rsid w:val="0081431A"/>
    <w:rsid w:val="008178FF"/>
    <w:rsid w:val="0083216F"/>
    <w:rsid w:val="0084067C"/>
    <w:rsid w:val="0085019F"/>
    <w:rsid w:val="00852895"/>
    <w:rsid w:val="008571FC"/>
    <w:rsid w:val="00860000"/>
    <w:rsid w:val="00863BD3"/>
    <w:rsid w:val="00866D66"/>
    <w:rsid w:val="008671C6"/>
    <w:rsid w:val="008743C9"/>
    <w:rsid w:val="00875803"/>
    <w:rsid w:val="00877BD5"/>
    <w:rsid w:val="00882F8B"/>
    <w:rsid w:val="008B459E"/>
    <w:rsid w:val="008D1E92"/>
    <w:rsid w:val="008E13AE"/>
    <w:rsid w:val="008E1506"/>
    <w:rsid w:val="008E710C"/>
    <w:rsid w:val="008F69D6"/>
    <w:rsid w:val="00902823"/>
    <w:rsid w:val="00915CA6"/>
    <w:rsid w:val="00921BFE"/>
    <w:rsid w:val="009242BC"/>
    <w:rsid w:val="00927834"/>
    <w:rsid w:val="009500A6"/>
    <w:rsid w:val="00952367"/>
    <w:rsid w:val="00957328"/>
    <w:rsid w:val="00957C18"/>
    <w:rsid w:val="009659BA"/>
    <w:rsid w:val="00983040"/>
    <w:rsid w:val="009A4CCD"/>
    <w:rsid w:val="009B3FB9"/>
    <w:rsid w:val="009B6D8C"/>
    <w:rsid w:val="009C0F84"/>
    <w:rsid w:val="009C2465"/>
    <w:rsid w:val="009D35A0"/>
    <w:rsid w:val="009D61AF"/>
    <w:rsid w:val="009D7EB7"/>
    <w:rsid w:val="009E048A"/>
    <w:rsid w:val="009E08E9"/>
    <w:rsid w:val="009E3DB9"/>
    <w:rsid w:val="009E6E35"/>
    <w:rsid w:val="009F0EDA"/>
    <w:rsid w:val="00A03B96"/>
    <w:rsid w:val="00A05B19"/>
    <w:rsid w:val="00A1134E"/>
    <w:rsid w:val="00A16370"/>
    <w:rsid w:val="00A24E7E"/>
    <w:rsid w:val="00A258C3"/>
    <w:rsid w:val="00A258DC"/>
    <w:rsid w:val="00A310DF"/>
    <w:rsid w:val="00A347C0"/>
    <w:rsid w:val="00A448BF"/>
    <w:rsid w:val="00A47605"/>
    <w:rsid w:val="00A51431"/>
    <w:rsid w:val="00A52D17"/>
    <w:rsid w:val="00A539AD"/>
    <w:rsid w:val="00A53E3E"/>
    <w:rsid w:val="00A86D0E"/>
    <w:rsid w:val="00A94063"/>
    <w:rsid w:val="00AA6219"/>
    <w:rsid w:val="00AA74E0"/>
    <w:rsid w:val="00AB703F"/>
    <w:rsid w:val="00AC6BB8"/>
    <w:rsid w:val="00AD1324"/>
    <w:rsid w:val="00AD3135"/>
    <w:rsid w:val="00AD5033"/>
    <w:rsid w:val="00AE008F"/>
    <w:rsid w:val="00AF4282"/>
    <w:rsid w:val="00B01FCD"/>
    <w:rsid w:val="00B06C93"/>
    <w:rsid w:val="00B1776C"/>
    <w:rsid w:val="00B32CDE"/>
    <w:rsid w:val="00B46060"/>
    <w:rsid w:val="00B52896"/>
    <w:rsid w:val="00B6323F"/>
    <w:rsid w:val="00B81DFA"/>
    <w:rsid w:val="00B911A2"/>
    <w:rsid w:val="00B95236"/>
    <w:rsid w:val="00B96BD9"/>
    <w:rsid w:val="00BA1B01"/>
    <w:rsid w:val="00BA2641"/>
    <w:rsid w:val="00BA5D6E"/>
    <w:rsid w:val="00BA69EC"/>
    <w:rsid w:val="00BB37AA"/>
    <w:rsid w:val="00BC3150"/>
    <w:rsid w:val="00BC341C"/>
    <w:rsid w:val="00BC53A0"/>
    <w:rsid w:val="00BC5516"/>
    <w:rsid w:val="00BE62AD"/>
    <w:rsid w:val="00BE699D"/>
    <w:rsid w:val="00BE7DB4"/>
    <w:rsid w:val="00BF121F"/>
    <w:rsid w:val="00BF1F80"/>
    <w:rsid w:val="00BF50F0"/>
    <w:rsid w:val="00BF67EA"/>
    <w:rsid w:val="00BF77A6"/>
    <w:rsid w:val="00C166EF"/>
    <w:rsid w:val="00C17EB0"/>
    <w:rsid w:val="00C27F5F"/>
    <w:rsid w:val="00C30A0F"/>
    <w:rsid w:val="00C330A4"/>
    <w:rsid w:val="00C37E61"/>
    <w:rsid w:val="00C549D8"/>
    <w:rsid w:val="00C63EE8"/>
    <w:rsid w:val="00C70A79"/>
    <w:rsid w:val="00C70F1B"/>
    <w:rsid w:val="00C71A47"/>
    <w:rsid w:val="00C7464C"/>
    <w:rsid w:val="00C80F40"/>
    <w:rsid w:val="00C85588"/>
    <w:rsid w:val="00C85E94"/>
    <w:rsid w:val="00CA3D5D"/>
    <w:rsid w:val="00CB4242"/>
    <w:rsid w:val="00CD6755"/>
    <w:rsid w:val="00CD6856"/>
    <w:rsid w:val="00CE0089"/>
    <w:rsid w:val="00CE3CE8"/>
    <w:rsid w:val="00CE74CD"/>
    <w:rsid w:val="00CE793C"/>
    <w:rsid w:val="00D173F1"/>
    <w:rsid w:val="00D30E25"/>
    <w:rsid w:val="00D56D16"/>
    <w:rsid w:val="00D81FF9"/>
    <w:rsid w:val="00D8295D"/>
    <w:rsid w:val="00DB40B7"/>
    <w:rsid w:val="00DC0C7F"/>
    <w:rsid w:val="00DC2A65"/>
    <w:rsid w:val="00DC5446"/>
    <w:rsid w:val="00DD32CC"/>
    <w:rsid w:val="00DD4407"/>
    <w:rsid w:val="00DE15F0"/>
    <w:rsid w:val="00DE5663"/>
    <w:rsid w:val="00DE78AA"/>
    <w:rsid w:val="00DF5F5E"/>
    <w:rsid w:val="00E053D0"/>
    <w:rsid w:val="00E15994"/>
    <w:rsid w:val="00E20F71"/>
    <w:rsid w:val="00E2169D"/>
    <w:rsid w:val="00E22FE8"/>
    <w:rsid w:val="00E3114E"/>
    <w:rsid w:val="00E31A70"/>
    <w:rsid w:val="00E35B02"/>
    <w:rsid w:val="00E512AD"/>
    <w:rsid w:val="00E63107"/>
    <w:rsid w:val="00E66496"/>
    <w:rsid w:val="00E66B35"/>
    <w:rsid w:val="00E66E10"/>
    <w:rsid w:val="00E769F6"/>
    <w:rsid w:val="00E774D1"/>
    <w:rsid w:val="00E8407C"/>
    <w:rsid w:val="00E84F3C"/>
    <w:rsid w:val="00EA012C"/>
    <w:rsid w:val="00EC0462"/>
    <w:rsid w:val="00ED0288"/>
    <w:rsid w:val="00ED08A9"/>
    <w:rsid w:val="00EE52CB"/>
    <w:rsid w:val="00EF105E"/>
    <w:rsid w:val="00EF581D"/>
    <w:rsid w:val="00EF7FD8"/>
    <w:rsid w:val="00F00183"/>
    <w:rsid w:val="00F06F59"/>
    <w:rsid w:val="00F13669"/>
    <w:rsid w:val="00F17988"/>
    <w:rsid w:val="00F26056"/>
    <w:rsid w:val="00F4518A"/>
    <w:rsid w:val="00F469F0"/>
    <w:rsid w:val="00F51D23"/>
    <w:rsid w:val="00F53273"/>
    <w:rsid w:val="00F755E4"/>
    <w:rsid w:val="00F75951"/>
    <w:rsid w:val="00F77D02"/>
    <w:rsid w:val="00FA00C3"/>
    <w:rsid w:val="00FA7B01"/>
    <w:rsid w:val="00FB3A86"/>
    <w:rsid w:val="00FD142A"/>
    <w:rsid w:val="00FD36C8"/>
    <w:rsid w:val="00FD49A3"/>
    <w:rsid w:val="00FE1EB3"/>
    <w:rsid w:val="00FE291C"/>
    <w:rsid w:val="00FE2F31"/>
    <w:rsid w:val="00FF3B18"/>
    <w:rsid w:val="00FF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customStyle="1" w:styleId="ListTable6Colorful1">
    <w:name w:val="List Table 6 Colorful1"/>
    <w:basedOn w:val="TableNormal"/>
    <w:uiPriority w:val="51"/>
    <w:rsid w:val="00A47605"/>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448B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448BF"/>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4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5/2015/16109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apjtm.2017.08.005" TargetMode="External"/><Relationship Id="rId2" Type="http://schemas.openxmlformats.org/officeDocument/2006/relationships/numbering" Target="numbering.xml"/><Relationship Id="rId16" Type="http://schemas.openxmlformats.org/officeDocument/2006/relationships/hyperlink" Target="https://doi.org/10.1016/j.apjtm.2017.08.00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15/CJN.0886081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pjtm.2017.08.005"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13AA-2FC2-4FAC-AA6F-A6ABAA2E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10</Pages>
  <Words>3882</Words>
  <Characters>22129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25960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10</cp:revision>
  <cp:lastPrinted>1999-07-06T11:00:00Z</cp:lastPrinted>
  <dcterms:created xsi:type="dcterms:W3CDTF">2025-03-07T09:23:00Z</dcterms:created>
  <dcterms:modified xsi:type="dcterms:W3CDTF">2025-03-15T08:07:00Z</dcterms:modified>
</cp:coreProperties>
</file>