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7594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 IN STAGE 5 CKD PATIENTS ON HEMODIALYSIS</w:t>
      </w:r>
    </w:p>
    <w:p w14:paraId="497CBB30" w14:textId="77777777" w:rsidR="00736713" w:rsidRDefault="00736713">
      <w:pPr>
        <w:spacing w:line="480" w:lineRule="auto"/>
        <w:jc w:val="both"/>
        <w:rPr>
          <w:rFonts w:ascii="Times New Roman" w:hAnsi="Times New Roman" w:cs="Times New Roman"/>
          <w:b/>
          <w:bCs/>
          <w:sz w:val="24"/>
          <w:szCs w:val="24"/>
        </w:rPr>
      </w:pPr>
    </w:p>
    <w:p w14:paraId="20784F4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ABSTRACT</w:t>
      </w:r>
    </w:p>
    <w:p w14:paraId="4286653B" w14:textId="64DD4240"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Background</w:t>
      </w:r>
      <w:r>
        <w:rPr>
          <w:rFonts w:ascii="Times New Roman" w:hAnsi="Times New Roman" w:cs="Times New Roman"/>
          <w:sz w:val="24"/>
          <w:szCs w:val="24"/>
        </w:rPr>
        <w:t xml:space="preserve">: Vascular calcification is prevalent in patients with chronic kidney disease (CKD) and significantly contributes to cardiovascular morbidity and mortality. Abdominal aortic calcification (AAC) detected by X-ray is less documented in anatomical distribution and severity </w:t>
      </w:r>
      <w:r w:rsidR="00A20540">
        <w:rPr>
          <w:rFonts w:ascii="Times New Roman" w:hAnsi="Times New Roman" w:cs="Times New Roman"/>
          <w:sz w:val="24"/>
          <w:szCs w:val="24"/>
        </w:rPr>
        <w:t>than</w:t>
      </w:r>
      <w:r>
        <w:rPr>
          <w:rFonts w:ascii="Times New Roman" w:hAnsi="Times New Roman" w:cs="Times New Roman"/>
          <w:sz w:val="24"/>
          <w:szCs w:val="24"/>
        </w:rPr>
        <w:t xml:space="preserve"> coronary calcification. This study aimed to assess the location, severity, and progression of radiopaque lumbar aortic calcifications in CKD stage 5 patients on maintenance hemodialysis.</w:t>
      </w:r>
    </w:p>
    <w:p w14:paraId="38E66DBD" w14:textId="60324F20"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Methods</w:t>
      </w:r>
      <w:r>
        <w:rPr>
          <w:rFonts w:ascii="Times New Roman" w:hAnsi="Times New Roman" w:cs="Times New Roman"/>
          <w:sz w:val="24"/>
          <w:szCs w:val="24"/>
        </w:rPr>
        <w:t xml:space="preserve">: A cross-sectional study </w:t>
      </w:r>
      <w:r w:rsidR="00A20540">
        <w:rPr>
          <w:rFonts w:ascii="Times New Roman" w:hAnsi="Times New Roman" w:cs="Times New Roman"/>
          <w:sz w:val="24"/>
          <w:szCs w:val="24"/>
        </w:rPr>
        <w:t>involved</w:t>
      </w:r>
      <w:r>
        <w:rPr>
          <w:rFonts w:ascii="Times New Roman" w:hAnsi="Times New Roman" w:cs="Times New Roman"/>
          <w:sz w:val="24"/>
          <w:szCs w:val="24"/>
        </w:rPr>
        <w:t xml:space="preserve"> 100 maintenance hemodialysis patients aged 18–50</w:t>
      </w:r>
      <w:r w:rsidR="00A20540">
        <w:rPr>
          <w:rFonts w:ascii="Times New Roman" w:hAnsi="Times New Roman" w:cs="Times New Roman"/>
          <w:sz w:val="24"/>
          <w:szCs w:val="24"/>
        </w:rPr>
        <w:t xml:space="preserve"> </w:t>
      </w:r>
      <w:r>
        <w:rPr>
          <w:rFonts w:ascii="Times New Roman" w:hAnsi="Times New Roman" w:cs="Times New Roman"/>
          <w:sz w:val="24"/>
          <w:szCs w:val="24"/>
        </w:rPr>
        <w:t>at Sawai Man Singh dialysis centers. Lateral lumbar X-rays focusing on lumbar vertebral segments L1 to L4 were used to determine AAC. Two radiologists independently assessed AAC scores using a validated 24-point scale developed by Kauppila et al. Patient demographics, duration of hemodialysis, comorbidities, laboratory parameters, and medications were recorded. Regression analysis determined associations between AAC and patient characteristics.</w:t>
      </w:r>
    </w:p>
    <w:p w14:paraId="7B0CB55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Results</w:t>
      </w:r>
      <w:r>
        <w:rPr>
          <w:rFonts w:ascii="Times New Roman" w:hAnsi="Times New Roman" w:cs="Times New Roman"/>
          <w:sz w:val="24"/>
          <w:szCs w:val="24"/>
        </w:rPr>
        <w:t>: AAC was present in 80% of patients, with a mean AAC score of 12 ± 6. Higher AAC scores were significantly associated with increased age (p &lt; 0.01), longer duration of hemodialysis (p &lt; 0.05), presence of diabetes mellitus (p &lt; 0.05), and hypertension (p &lt; 0.05). Multivariate regression analysis identified age and duration of hemodialysis as independent predictors of AAC severity. Elevated intact parathyroid hormone (iPTH) levels were also associated with higher AAC scores.</w:t>
      </w:r>
    </w:p>
    <w:p w14:paraId="73458ABB" w14:textId="248A5CA4" w:rsidR="006734D0"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Conclusion</w:t>
      </w:r>
      <w:r>
        <w:rPr>
          <w:rFonts w:ascii="Times New Roman" w:hAnsi="Times New Roman" w:cs="Times New Roman"/>
          <w:sz w:val="24"/>
          <w:szCs w:val="24"/>
        </w:rPr>
        <w:t xml:space="preserve">: </w:t>
      </w:r>
      <w:r w:rsidR="006734D0" w:rsidRPr="006734D0">
        <w:rPr>
          <w:rFonts w:ascii="Times New Roman" w:hAnsi="Times New Roman" w:cs="Times New Roman"/>
          <w:color w:val="000000" w:themeColor="text1"/>
          <w:sz w:val="24"/>
          <w:szCs w:val="24"/>
        </w:rPr>
        <w:t>Lateral lumbar X-ray–detected AAC is highly prevalent in young CKD stage 5 patients on hemodialysis and correlates with traditional cardiovascular risk factors and markers of mineral metabolism. This simple and cost-effective method may assist in cardiovascular risk stratification and management in this high-risk group.</w:t>
      </w:r>
    </w:p>
    <w:p w14:paraId="2FC1C62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Abdominal aortic calcification; Chronic kidney disease; Hemodialysis; Vascular calcification; Lumbar X-ray; Cardiovascular risk.</w:t>
      </w:r>
    </w:p>
    <w:p w14:paraId="37DB2B0B" w14:textId="77777777" w:rsidR="001271F2" w:rsidRDefault="001271F2">
      <w:pPr>
        <w:spacing w:line="480" w:lineRule="auto"/>
        <w:jc w:val="both"/>
        <w:rPr>
          <w:rFonts w:ascii="Times New Roman" w:hAnsi="Times New Roman" w:cs="Times New Roman"/>
          <w:sz w:val="24"/>
          <w:szCs w:val="24"/>
        </w:rPr>
      </w:pPr>
    </w:p>
    <w:p w14:paraId="6E0F284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5688F91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5FC9DF1F" w14:textId="1363962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Vascular calcification is a common and serious complication in patients with chronic kidney disease (CKD),</w:t>
      </w:r>
      <w:r w:rsidR="006734D0">
        <w:rPr>
          <w:rFonts w:ascii="Times New Roman" w:hAnsi="Times New Roman" w:cs="Times New Roman"/>
          <w:sz w:val="24"/>
          <w:szCs w:val="24"/>
        </w:rPr>
        <w:t xml:space="preserve"> [1]</w:t>
      </w:r>
      <w:r>
        <w:rPr>
          <w:rFonts w:ascii="Times New Roman" w:hAnsi="Times New Roman" w:cs="Times New Roman"/>
          <w:sz w:val="24"/>
          <w:szCs w:val="24"/>
        </w:rPr>
        <w:t xml:space="preserve"> contributing significantly to the high cardiovascular morbidity and mortality observed in this population. </w:t>
      </w:r>
      <w:r w:rsidR="006734D0">
        <w:rPr>
          <w:rFonts w:ascii="Times New Roman" w:hAnsi="Times New Roman" w:cs="Times New Roman"/>
          <w:sz w:val="24"/>
          <w:szCs w:val="24"/>
        </w:rPr>
        <w:t xml:space="preserve"> </w:t>
      </w:r>
      <w:r>
        <w:rPr>
          <w:rFonts w:ascii="Times New Roman" w:hAnsi="Times New Roman" w:cs="Times New Roman"/>
          <w:sz w:val="24"/>
          <w:szCs w:val="24"/>
        </w:rPr>
        <w:t xml:space="preserve">Abdominal aortic calcification (AAC) can be detected using simple radiographic techniques such as lateral lumbar X-rays; however, AAC is less documented in anatomical distribution and severity </w:t>
      </w:r>
      <w:r w:rsidR="00A20540">
        <w:rPr>
          <w:rFonts w:ascii="Times New Roman" w:hAnsi="Times New Roman" w:cs="Times New Roman"/>
          <w:sz w:val="24"/>
          <w:szCs w:val="24"/>
        </w:rPr>
        <w:t>than</w:t>
      </w:r>
      <w:r>
        <w:rPr>
          <w:rFonts w:ascii="Times New Roman" w:hAnsi="Times New Roman" w:cs="Times New Roman"/>
          <w:sz w:val="24"/>
          <w:szCs w:val="24"/>
        </w:rPr>
        <w:t xml:space="preserve"> coronary calcification[2</w:t>
      </w:r>
      <w:r w:rsidR="00911936">
        <w:rPr>
          <w:rFonts w:ascii="Times New Roman" w:hAnsi="Times New Roman" w:cs="Times New Roman"/>
          <w:sz w:val="24"/>
          <w:szCs w:val="24"/>
        </w:rPr>
        <w:t>,11,12</w:t>
      </w:r>
      <w:r>
        <w:rPr>
          <w:rFonts w:ascii="Times New Roman" w:hAnsi="Times New Roman" w:cs="Times New Roman"/>
          <w:sz w:val="24"/>
          <w:szCs w:val="24"/>
        </w:rPr>
        <w:t>]. The detection and quantification of AAC provide valuable insights into subclinical vascular disease and may serve as a predictive marker for cardiovascular events [3</w:t>
      </w:r>
      <w:r w:rsidR="00911936">
        <w:rPr>
          <w:rFonts w:ascii="Times New Roman" w:hAnsi="Times New Roman" w:cs="Times New Roman"/>
          <w:sz w:val="24"/>
          <w:szCs w:val="24"/>
        </w:rPr>
        <w:t>,13</w:t>
      </w:r>
      <w:r>
        <w:rPr>
          <w:rFonts w:ascii="Times New Roman" w:hAnsi="Times New Roman" w:cs="Times New Roman"/>
          <w:sz w:val="24"/>
          <w:szCs w:val="24"/>
        </w:rPr>
        <w:t>].</w:t>
      </w:r>
    </w:p>
    <w:p w14:paraId="79370CC6" w14:textId="22C9C427" w:rsidR="006734D0" w:rsidRPr="006734D0" w:rsidRDefault="006734D0" w:rsidP="006734D0">
      <w:pPr>
        <w:spacing w:line="48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The use of lateral lumbar films to assess AAC was first demonstrated in the Framingham Heart Study, where calcification along the abdominal aortic wall adjacent to lumbar vertebrae L1 through L4 was evaluated [2]. This technique offers a straightforward, low-cost assessment of subclinical vascular disease and has been validated in diverse populations [2]. The AAC scoring system developed by Kauppila et al. is a semi-quantitative method that grades calcific deposits along the anterior and posterior aortic walls adjacent to each lumbar vertebral segment, yielding a total score ranging from 0 to 24 [4]. Previous studies have shown that this scoring system independently predicts all-cause mortality and nonfatal cardiovascular events in hemodialysis patients [5,6</w:t>
      </w:r>
      <w:r w:rsidR="00911936">
        <w:rPr>
          <w:rFonts w:ascii="Times New Roman" w:hAnsi="Times New Roman" w:cs="Times New Roman"/>
          <w:color w:val="000000" w:themeColor="text1"/>
          <w:sz w:val="24"/>
          <w:szCs w:val="24"/>
        </w:rPr>
        <w:t>,14</w:t>
      </w:r>
      <w:r w:rsidRPr="006734D0">
        <w:rPr>
          <w:rFonts w:ascii="Times New Roman" w:hAnsi="Times New Roman" w:cs="Times New Roman"/>
          <w:color w:val="000000" w:themeColor="text1"/>
          <w:sz w:val="24"/>
          <w:szCs w:val="24"/>
        </w:rPr>
        <w:t>].</w:t>
      </w:r>
    </w:p>
    <w:p w14:paraId="28FE95E7" w14:textId="7945ABA5"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In the CKD population, arterial calcification is characterized by lesions occurring in the medial layer of the vascular wall, leading to increased arterial stiffness, a condition termed arteriosclerosis [7]. The presence of AAC assessed by X-ray is recommended for evaluating vascular calcification in dialysis patients, as it is associated with adverse cardiovascular outcomes [3]. Previous studies have identified several risk factors for AAC in CKD patients, including advanced age, longer duration of dialysis, elevated intact parathyroid hormone (iPTH) levels, diabetes mellitus, and hypertension [</w:t>
      </w:r>
      <w:r>
        <w:rPr>
          <w:rFonts w:ascii="Times New Roman" w:hAnsi="Times New Roman" w:cs="Times New Roman"/>
          <w:sz w:val="24"/>
          <w:szCs w:val="24"/>
          <w:lang w:val="en-GB"/>
        </w:rPr>
        <w:t>8</w:t>
      </w:r>
      <w:r w:rsidR="00911936">
        <w:rPr>
          <w:rFonts w:ascii="Times New Roman" w:hAnsi="Times New Roman" w:cs="Times New Roman"/>
          <w:sz w:val="24"/>
          <w:szCs w:val="24"/>
          <w:lang w:val="en-GB"/>
        </w:rPr>
        <w:t>,912</w:t>
      </w:r>
      <w:r>
        <w:rPr>
          <w:rFonts w:ascii="Times New Roman" w:hAnsi="Times New Roman" w:cs="Times New Roman"/>
          <w:sz w:val="24"/>
          <w:szCs w:val="24"/>
        </w:rPr>
        <w:t>].</w:t>
      </w:r>
    </w:p>
    <w:p w14:paraId="49C99755" w14:textId="6F89CECE"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Given the high prevalence of vascular calcification in CKD patients and its impact on cardiovascular health, it is crucial to assess AAC in this population. The p</w:t>
      </w:r>
      <w:r w:rsidR="00A20540">
        <w:rPr>
          <w:rFonts w:ascii="Times New Roman" w:hAnsi="Times New Roman" w:cs="Times New Roman"/>
          <w:sz w:val="24"/>
          <w:szCs w:val="24"/>
        </w:rPr>
        <w:t>resent study aimed</w:t>
      </w:r>
      <w:r>
        <w:rPr>
          <w:rFonts w:ascii="Times New Roman" w:hAnsi="Times New Roman" w:cs="Times New Roman"/>
          <w:sz w:val="24"/>
          <w:szCs w:val="24"/>
        </w:rPr>
        <w:t xml:space="preserve"> to assess the location, severity, and progression of radiopaque lumbar aortic calcifications in CKD stage 5 patients on maintenance hemodialysis. </w:t>
      </w:r>
      <w:r w:rsidR="00A20540">
        <w:rPr>
          <w:rFonts w:ascii="Times New Roman" w:hAnsi="Times New Roman" w:cs="Times New Roman"/>
          <w:sz w:val="24"/>
          <w:szCs w:val="24"/>
        </w:rPr>
        <w:t>Utilizing</w:t>
      </w:r>
      <w:r>
        <w:rPr>
          <w:rFonts w:ascii="Times New Roman" w:hAnsi="Times New Roman" w:cs="Times New Roman"/>
          <w:sz w:val="24"/>
          <w:szCs w:val="24"/>
        </w:rPr>
        <w:t xml:space="preserve"> the validated AAC scoring system on lateral lumbar X-rays, we aim to identify the associations between AAC and patient characteristics</w:t>
      </w:r>
      <w:r w:rsidR="00A20540">
        <w:rPr>
          <w:rFonts w:ascii="Times New Roman" w:hAnsi="Times New Roman" w:cs="Times New Roman"/>
          <w:sz w:val="24"/>
          <w:szCs w:val="24"/>
        </w:rPr>
        <w:t>. This</w:t>
      </w:r>
      <w:r>
        <w:rPr>
          <w:rFonts w:ascii="Times New Roman" w:hAnsi="Times New Roman" w:cs="Times New Roman"/>
          <w:sz w:val="24"/>
          <w:szCs w:val="24"/>
        </w:rPr>
        <w:t xml:space="preserve"> may assist in risk stratification and management strategies to reduce cardiovascular morbidity and mortality in this high-risk group.</w:t>
      </w:r>
    </w:p>
    <w:p w14:paraId="55BF7E9B" w14:textId="4147C7B4" w:rsidR="001271F2" w:rsidRDefault="001271F2">
      <w:pPr>
        <w:rPr>
          <w:rFonts w:ascii="Times New Roman" w:hAnsi="Times New Roman" w:cs="Times New Roman"/>
          <w:b/>
          <w:bCs/>
          <w:sz w:val="24"/>
          <w:szCs w:val="24"/>
        </w:rPr>
      </w:pPr>
    </w:p>
    <w:p w14:paraId="2E68DB46"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07B0D38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 Design and Population</w:t>
      </w:r>
    </w:p>
    <w:p w14:paraId="25B01712" w14:textId="2C9EC3E6"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conducted at the Sawai Man Singh dialysis centers between January 2022 and December 2022. </w:t>
      </w:r>
      <w:r w:rsidR="00A20540">
        <w:rPr>
          <w:rFonts w:ascii="Times New Roman" w:hAnsi="Times New Roman" w:cs="Times New Roman"/>
          <w:sz w:val="24"/>
          <w:szCs w:val="24"/>
        </w:rPr>
        <w:t xml:space="preserve">It included 100 maintenance hemodialysis (HD) patients aged between 18 and 50 </w:t>
      </w:r>
      <w:r>
        <w:rPr>
          <w:rFonts w:ascii="Times New Roman" w:hAnsi="Times New Roman" w:cs="Times New Roman"/>
          <w:sz w:val="24"/>
          <w:szCs w:val="24"/>
        </w:rPr>
        <w:t>with stage 5 CKD.</w:t>
      </w:r>
    </w:p>
    <w:p w14:paraId="6F71E162"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Inclusion Criteria</w:t>
      </w:r>
    </w:p>
    <w:p w14:paraId="7EE05041"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Maintenance Hemodialysis Patients</w:t>
      </w:r>
      <w:r>
        <w:rPr>
          <w:rFonts w:ascii="Times New Roman" w:hAnsi="Times New Roman" w:cs="Times New Roman"/>
          <w:sz w:val="24"/>
          <w:szCs w:val="24"/>
        </w:rPr>
        <w:t>: Individuals receiving regular hemodialysis treatment.</w:t>
      </w:r>
    </w:p>
    <w:p w14:paraId="7E73BDED" w14:textId="77777777" w:rsidR="001271F2" w:rsidRDefault="00A00ADC">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 Group</w:t>
      </w:r>
      <w:r>
        <w:rPr>
          <w:rFonts w:ascii="Times New Roman" w:hAnsi="Times New Roman" w:cs="Times New Roman"/>
          <w:sz w:val="24"/>
          <w:szCs w:val="24"/>
        </w:rPr>
        <w:t>: Patients aged 18–50 years.</w:t>
      </w:r>
    </w:p>
    <w:p w14:paraId="394A381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Exclusion Criteria</w:t>
      </w:r>
    </w:p>
    <w:p w14:paraId="6F56A21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Peritoneal Dialysis Patients</w:t>
      </w:r>
      <w:r>
        <w:rPr>
          <w:rFonts w:ascii="Times New Roman" w:hAnsi="Times New Roman" w:cs="Times New Roman"/>
          <w:sz w:val="24"/>
          <w:szCs w:val="24"/>
        </w:rPr>
        <w:t>: Patients undergoing peritoneal dialysis.</w:t>
      </w:r>
    </w:p>
    <w:p w14:paraId="69956774"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Active Infections, Malignancy, or Pregnancy</w:t>
      </w:r>
      <w:r>
        <w:rPr>
          <w:rFonts w:ascii="Times New Roman" w:hAnsi="Times New Roman" w:cs="Times New Roman"/>
          <w:sz w:val="24"/>
          <w:szCs w:val="24"/>
        </w:rPr>
        <w:t>: Patients with these conditions at the time of recruitment.</w:t>
      </w:r>
    </w:p>
    <w:p w14:paraId="23AECD58"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Hybrid Dialysis</w:t>
      </w:r>
      <w:r>
        <w:rPr>
          <w:rFonts w:ascii="Times New Roman" w:hAnsi="Times New Roman" w:cs="Times New Roman"/>
          <w:sz w:val="24"/>
          <w:szCs w:val="24"/>
        </w:rPr>
        <w:t>: Patients on both hemodialysis and peritoneal dialysis.</w:t>
      </w:r>
    </w:p>
    <w:p w14:paraId="04087AA5" w14:textId="77777777" w:rsidR="001271F2" w:rsidRDefault="00A00ADC">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Refusal to Provide Consent</w:t>
      </w:r>
      <w:r>
        <w:rPr>
          <w:rFonts w:ascii="Times New Roman" w:hAnsi="Times New Roman" w:cs="Times New Roman"/>
          <w:sz w:val="24"/>
          <w:szCs w:val="24"/>
        </w:rPr>
        <w:t>: Patients who declined to participate.</w:t>
      </w:r>
    </w:p>
    <w:p w14:paraId="2DA85B8B"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Data Collection</w:t>
      </w:r>
    </w:p>
    <w:p w14:paraId="2ECCAF8D" w14:textId="7F10D201" w:rsidR="001271F2" w:rsidRDefault="00A20540">
      <w:pPr>
        <w:spacing w:line="480" w:lineRule="auto"/>
        <w:jc w:val="both"/>
        <w:rPr>
          <w:rFonts w:ascii="Times New Roman" w:hAnsi="Times New Roman" w:cs="Times New Roman"/>
          <w:sz w:val="24"/>
          <w:szCs w:val="24"/>
        </w:rPr>
      </w:pPr>
      <w:r>
        <w:rPr>
          <w:rFonts w:ascii="Times New Roman" w:hAnsi="Times New Roman" w:cs="Times New Roman"/>
          <w:sz w:val="24"/>
          <w:szCs w:val="24"/>
        </w:rPr>
        <w:t>At enrollment, participants recorded their demographic characteristics, underlying cause of end-stage renal disease (ESRD), duration of hemodialysis, comorbidities, laboratory parameters, and concomitant medications</w:t>
      </w:r>
      <w:r w:rsidR="00A00ADC">
        <w:rPr>
          <w:rFonts w:ascii="Times New Roman" w:hAnsi="Times New Roman" w:cs="Times New Roman"/>
          <w:sz w:val="24"/>
          <w:szCs w:val="24"/>
        </w:rPr>
        <w:t>.</w:t>
      </w:r>
    </w:p>
    <w:p w14:paraId="7D7775B5"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Definitions</w:t>
      </w:r>
    </w:p>
    <w:p w14:paraId="6AEB9783"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Defined as a comorbid condition or the etiology of ESRD, according to the American Diabetes Association criteria.</w:t>
      </w:r>
    </w:p>
    <w:p w14:paraId="6B20790B"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Blood pressure consistently higher than 140/90 mmHg or patients on antihypertensive medication.</w:t>
      </w:r>
    </w:p>
    <w:p w14:paraId="57D08FF5" w14:textId="77777777" w:rsidR="001271F2" w:rsidRDefault="00A00ADC">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History of acute coronary syndrome, heart failure, stroke, or coronary artery atherosclerosis confirmed by percutaneous coronary intervention (PCI) or coronary artery bypass grafting (CABG).</w:t>
      </w:r>
    </w:p>
    <w:p w14:paraId="772F98AC"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Laboratory Measurements</w:t>
      </w:r>
    </w:p>
    <w:p w14:paraId="7800E32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Blood samples were collected to evaluate:</w:t>
      </w:r>
    </w:p>
    <w:p w14:paraId="55188712"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Hemoglobin</w:t>
      </w:r>
    </w:p>
    <w:p w14:paraId="2902A744"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Serum Albumin</w:t>
      </w:r>
    </w:p>
    <w:p w14:paraId="65D79A7E"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Lipid Profiles</w:t>
      </w:r>
    </w:p>
    <w:p w14:paraId="1B4EB5D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Serum Calcium and Phosphate</w:t>
      </w:r>
    </w:p>
    <w:p w14:paraId="35A3637B"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Intact Parathyroid Hormone (iPTH)</w:t>
      </w:r>
    </w:p>
    <w:p w14:paraId="582C461D" w14:textId="77777777" w:rsidR="001271F2" w:rsidRDefault="00A00ADC">
      <w:pPr>
        <w:numPr>
          <w:ilvl w:val="0"/>
          <w:numId w:val="4"/>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Alkaline Phosphatase (ALP)</w:t>
      </w:r>
    </w:p>
    <w:p w14:paraId="358ABDF9"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Standard laboratory methods were used for all measurements.</w:t>
      </w:r>
    </w:p>
    <w:p w14:paraId="26A6C177"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Assessment of Abdominal Aortic Calcification</w:t>
      </w:r>
    </w:p>
    <w:p w14:paraId="6658BB0F"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Lateral lumbar X-rays of the abdominal aorta were performed, focusing on lumbar vertebral segments L1 to L4. Two experienced radiologists, blinded to clinical data, independently assessed the images.</w:t>
      </w:r>
    </w:p>
    <w:p w14:paraId="750D1D91" w14:textId="77777777" w:rsidR="001271F2" w:rsidRPr="006734D0" w:rsidRDefault="00A00ADC">
      <w:pPr>
        <w:spacing w:line="480" w:lineRule="auto"/>
        <w:jc w:val="both"/>
        <w:rPr>
          <w:rFonts w:ascii="Times New Roman" w:hAnsi="Times New Roman" w:cs="Times New Roman"/>
          <w:b/>
          <w:bCs/>
          <w:color w:val="000000" w:themeColor="text1"/>
          <w:sz w:val="24"/>
          <w:szCs w:val="24"/>
        </w:rPr>
      </w:pPr>
      <w:r w:rsidRPr="006734D0">
        <w:rPr>
          <w:rFonts w:ascii="Times New Roman" w:hAnsi="Times New Roman" w:cs="Times New Roman"/>
          <w:b/>
          <w:bCs/>
          <w:color w:val="000000" w:themeColor="text1"/>
          <w:sz w:val="24"/>
          <w:szCs w:val="24"/>
        </w:rPr>
        <w:t>AAC Scoring</w:t>
      </w:r>
    </w:p>
    <w:p w14:paraId="11B5B243" w14:textId="5692618C" w:rsidR="006734D0" w:rsidRPr="006734D0" w:rsidRDefault="006734D0">
      <w:pPr>
        <w:spacing w:line="48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Lateral lumbar X-rays focusing on vertebral segments L1–L4 were obtained. Two experienced radiologists, blinded to clinical data, independently assessed the images using the validated 24-point AAC scoring system by Kauppila et al. [4].</w:t>
      </w:r>
    </w:p>
    <w:p w14:paraId="53822A13"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4394EE5F" w14:textId="4B81417F"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were analyzed using SPSS version 25.0 (IBM Corp., Armonk, NY). Continuous variables were expressed as mean ± standard deviation (SD) or median (interquartile range). Categorical variables were presented as frequencies and percentages. Inter-observer agreement was assessed using the intraclass correlation coefficient (ICC). Associations between AAC scores and patient characteristics were evaluated using univariate and multivariate regression analyses. A p-value of </w:t>
      </w:r>
      <w:r w:rsidR="00A20540">
        <w:rPr>
          <w:rFonts w:ascii="Times New Roman" w:hAnsi="Times New Roman" w:cs="Times New Roman"/>
          <w:sz w:val="24"/>
          <w:szCs w:val="24"/>
        </w:rPr>
        <w:t>&lt;</w:t>
      </w:r>
      <w:r>
        <w:rPr>
          <w:rFonts w:ascii="Times New Roman" w:hAnsi="Times New Roman" w:cs="Times New Roman"/>
          <w:sz w:val="24"/>
          <w:szCs w:val="24"/>
        </w:rPr>
        <w:t xml:space="preserve"> 0.05 was considered statistically significant.</w:t>
      </w:r>
    </w:p>
    <w:p w14:paraId="438999B0"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D9D35A"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0F8DD214"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Patient Characteristics</w:t>
      </w:r>
    </w:p>
    <w:p w14:paraId="241B4C2C" w14:textId="05B8AFCC" w:rsidR="006734D0" w:rsidRPr="006734D0" w:rsidRDefault="006734D0">
      <w:pPr>
        <w:spacing w:line="48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One hundred patients were included, with a mean age of 40 ± 8 years and a male predominance (60%). The median duration of hemodialysis was 6 months. The most common cause of ESRD was chronic glomerulonephritis, while diabetic nephropathy accounted for 30% of cases. Hypertension was present in 70% and diabetes mellitus in 35% of patients, and 20% had pre-existing cardiovascular disease.</w:t>
      </w:r>
    </w:p>
    <w:p w14:paraId="5F2DD9DB" w14:textId="4BBB878F"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1: DEMOGRAPHIC AND CLINICAL CHARACTERISTICS</w:t>
      </w:r>
    </w:p>
    <w:tbl>
      <w:tblPr>
        <w:tblStyle w:val="TableGrid"/>
        <w:tblW w:w="0" w:type="auto"/>
        <w:tblLook w:val="04A0" w:firstRow="1" w:lastRow="0" w:firstColumn="1" w:lastColumn="0" w:noHBand="0" w:noVBand="1"/>
      </w:tblPr>
      <w:tblGrid>
        <w:gridCol w:w="4736"/>
        <w:gridCol w:w="1283"/>
      </w:tblGrid>
      <w:tr w:rsidR="006734D0" w:rsidRPr="006734D0" w14:paraId="1D9763E8" w14:textId="77777777" w:rsidTr="002B2405">
        <w:tc>
          <w:tcPr>
            <w:tcW w:w="0" w:type="auto"/>
            <w:hideMark/>
          </w:tcPr>
          <w:p w14:paraId="3086903E" w14:textId="77777777" w:rsidR="006734D0" w:rsidRPr="006734D0" w:rsidRDefault="006734D0" w:rsidP="002B2405">
            <w:pPr>
              <w:spacing w:line="360" w:lineRule="auto"/>
              <w:jc w:val="both"/>
              <w:rPr>
                <w:rFonts w:ascii="Times New Roman" w:hAnsi="Times New Roman" w:cs="Times New Roman"/>
                <w:b/>
                <w:bCs/>
                <w:color w:val="000000" w:themeColor="text1"/>
                <w:sz w:val="24"/>
                <w:szCs w:val="24"/>
              </w:rPr>
            </w:pPr>
            <w:r w:rsidRPr="006734D0">
              <w:rPr>
                <w:rFonts w:ascii="Times New Roman" w:hAnsi="Times New Roman" w:cs="Times New Roman"/>
                <w:b/>
                <w:bCs/>
                <w:color w:val="000000" w:themeColor="text1"/>
                <w:sz w:val="24"/>
                <w:szCs w:val="24"/>
              </w:rPr>
              <w:t>Characteristic</w:t>
            </w:r>
          </w:p>
        </w:tc>
        <w:tc>
          <w:tcPr>
            <w:tcW w:w="0" w:type="auto"/>
            <w:hideMark/>
          </w:tcPr>
          <w:p w14:paraId="35587543" w14:textId="77777777" w:rsidR="006734D0" w:rsidRPr="006734D0" w:rsidRDefault="006734D0" w:rsidP="002B2405">
            <w:pPr>
              <w:spacing w:line="360" w:lineRule="auto"/>
              <w:jc w:val="both"/>
              <w:rPr>
                <w:rFonts w:ascii="Times New Roman" w:hAnsi="Times New Roman" w:cs="Times New Roman"/>
                <w:b/>
                <w:bCs/>
                <w:color w:val="000000" w:themeColor="text1"/>
                <w:sz w:val="24"/>
                <w:szCs w:val="24"/>
              </w:rPr>
            </w:pPr>
            <w:r w:rsidRPr="006734D0">
              <w:rPr>
                <w:rFonts w:ascii="Times New Roman" w:hAnsi="Times New Roman" w:cs="Times New Roman"/>
                <w:b/>
                <w:bCs/>
                <w:color w:val="000000" w:themeColor="text1"/>
                <w:sz w:val="24"/>
                <w:szCs w:val="24"/>
              </w:rPr>
              <w:t>Value</w:t>
            </w:r>
          </w:p>
        </w:tc>
      </w:tr>
      <w:tr w:rsidR="006734D0" w:rsidRPr="006734D0" w14:paraId="0606D20E" w14:textId="77777777" w:rsidTr="002B2405">
        <w:tc>
          <w:tcPr>
            <w:tcW w:w="0" w:type="auto"/>
            <w:hideMark/>
          </w:tcPr>
          <w:p w14:paraId="53E08995"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Age (years)</w:t>
            </w:r>
          </w:p>
        </w:tc>
        <w:tc>
          <w:tcPr>
            <w:tcW w:w="0" w:type="auto"/>
            <w:hideMark/>
          </w:tcPr>
          <w:p w14:paraId="680AEBD9"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40 ± 8</w:t>
            </w:r>
          </w:p>
        </w:tc>
      </w:tr>
      <w:tr w:rsidR="006734D0" w:rsidRPr="006734D0" w14:paraId="1E56871D" w14:textId="77777777" w:rsidTr="002B2405">
        <w:tc>
          <w:tcPr>
            <w:tcW w:w="0" w:type="auto"/>
            <w:hideMark/>
          </w:tcPr>
          <w:p w14:paraId="4EB51DFB"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Gender (Male/Female)</w:t>
            </w:r>
          </w:p>
        </w:tc>
        <w:tc>
          <w:tcPr>
            <w:tcW w:w="0" w:type="auto"/>
            <w:hideMark/>
          </w:tcPr>
          <w:p w14:paraId="154BF72F"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60% / 40%</w:t>
            </w:r>
          </w:p>
        </w:tc>
      </w:tr>
      <w:tr w:rsidR="006734D0" w:rsidRPr="006734D0" w14:paraId="1CFF7835" w14:textId="77777777" w:rsidTr="002B2405">
        <w:tc>
          <w:tcPr>
            <w:tcW w:w="0" w:type="auto"/>
            <w:hideMark/>
          </w:tcPr>
          <w:p w14:paraId="788A307C"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Duration of Hemodialysis</w:t>
            </w:r>
          </w:p>
        </w:tc>
        <w:tc>
          <w:tcPr>
            <w:tcW w:w="0" w:type="auto"/>
            <w:hideMark/>
          </w:tcPr>
          <w:p w14:paraId="6872F3CA"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6 months</w:t>
            </w:r>
          </w:p>
        </w:tc>
      </w:tr>
      <w:tr w:rsidR="006734D0" w:rsidRPr="006734D0" w14:paraId="738CF360" w14:textId="77777777" w:rsidTr="002B2405">
        <w:tc>
          <w:tcPr>
            <w:tcW w:w="0" w:type="auto"/>
            <w:hideMark/>
          </w:tcPr>
          <w:p w14:paraId="0FB34B58"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Diabetes Mellitus</w:t>
            </w:r>
          </w:p>
        </w:tc>
        <w:tc>
          <w:tcPr>
            <w:tcW w:w="0" w:type="auto"/>
            <w:hideMark/>
          </w:tcPr>
          <w:p w14:paraId="6C5E2A62"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35%</w:t>
            </w:r>
          </w:p>
        </w:tc>
      </w:tr>
      <w:tr w:rsidR="006734D0" w:rsidRPr="006734D0" w14:paraId="6EE658C0" w14:textId="77777777" w:rsidTr="002B2405">
        <w:tc>
          <w:tcPr>
            <w:tcW w:w="0" w:type="auto"/>
            <w:hideMark/>
          </w:tcPr>
          <w:p w14:paraId="01619ACC"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Hypertension</w:t>
            </w:r>
          </w:p>
        </w:tc>
        <w:tc>
          <w:tcPr>
            <w:tcW w:w="0" w:type="auto"/>
            <w:hideMark/>
          </w:tcPr>
          <w:p w14:paraId="187C2D66"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70%</w:t>
            </w:r>
          </w:p>
        </w:tc>
      </w:tr>
      <w:tr w:rsidR="006734D0" w:rsidRPr="006734D0" w14:paraId="7FA56DFF" w14:textId="77777777" w:rsidTr="002B2405">
        <w:tc>
          <w:tcPr>
            <w:tcW w:w="0" w:type="auto"/>
            <w:hideMark/>
          </w:tcPr>
          <w:p w14:paraId="15E7BA05"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Pre-existing Cardiovascular Disease</w:t>
            </w:r>
          </w:p>
        </w:tc>
        <w:tc>
          <w:tcPr>
            <w:tcW w:w="0" w:type="auto"/>
            <w:hideMark/>
          </w:tcPr>
          <w:p w14:paraId="75D82236"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20%</w:t>
            </w:r>
          </w:p>
        </w:tc>
      </w:tr>
      <w:tr w:rsidR="006734D0" w:rsidRPr="006734D0" w14:paraId="15396A3C" w14:textId="77777777" w:rsidTr="002B2405">
        <w:tc>
          <w:tcPr>
            <w:tcW w:w="0" w:type="auto"/>
            <w:hideMark/>
          </w:tcPr>
          <w:p w14:paraId="0879BD8F"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b/>
                <w:bCs/>
                <w:color w:val="000000" w:themeColor="text1"/>
                <w:sz w:val="24"/>
                <w:szCs w:val="24"/>
              </w:rPr>
              <w:t>Cause of ESRD:</w:t>
            </w:r>
          </w:p>
        </w:tc>
        <w:tc>
          <w:tcPr>
            <w:tcW w:w="0" w:type="auto"/>
            <w:hideMark/>
          </w:tcPr>
          <w:p w14:paraId="4169DC68"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p>
        </w:tc>
      </w:tr>
      <w:tr w:rsidR="006734D0" w:rsidRPr="006734D0" w14:paraId="0B0E5540" w14:textId="77777777" w:rsidTr="002B2405">
        <w:tc>
          <w:tcPr>
            <w:tcW w:w="0" w:type="auto"/>
            <w:hideMark/>
          </w:tcPr>
          <w:p w14:paraId="56AD3B37"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 Chronic Glomerulonephritis (Most Common)</w:t>
            </w:r>
          </w:p>
        </w:tc>
        <w:tc>
          <w:tcPr>
            <w:tcW w:w="0" w:type="auto"/>
            <w:hideMark/>
          </w:tcPr>
          <w:p w14:paraId="4EC58864"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w:t>
            </w:r>
          </w:p>
        </w:tc>
      </w:tr>
      <w:tr w:rsidR="006734D0" w:rsidRPr="006734D0" w14:paraId="674788E4" w14:textId="77777777" w:rsidTr="002B2405">
        <w:tc>
          <w:tcPr>
            <w:tcW w:w="0" w:type="auto"/>
            <w:hideMark/>
          </w:tcPr>
          <w:p w14:paraId="3FE92176"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 Diabetic Nephropathy</w:t>
            </w:r>
          </w:p>
        </w:tc>
        <w:tc>
          <w:tcPr>
            <w:tcW w:w="0" w:type="auto"/>
            <w:hideMark/>
          </w:tcPr>
          <w:p w14:paraId="6DB581F5" w14:textId="77777777" w:rsidR="006734D0" w:rsidRPr="006734D0" w:rsidRDefault="006734D0" w:rsidP="002B2405">
            <w:pPr>
              <w:spacing w:line="36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30%</w:t>
            </w:r>
          </w:p>
        </w:tc>
      </w:tr>
    </w:tbl>
    <w:p w14:paraId="6ADA1744" w14:textId="77777777" w:rsidR="006734D0" w:rsidRDefault="006734D0">
      <w:pPr>
        <w:spacing w:line="480" w:lineRule="auto"/>
        <w:jc w:val="both"/>
        <w:rPr>
          <w:rFonts w:ascii="Times New Roman" w:hAnsi="Times New Roman" w:cs="Times New Roman"/>
          <w:b/>
          <w:bCs/>
          <w:sz w:val="24"/>
          <w:szCs w:val="24"/>
        </w:rPr>
      </w:pPr>
    </w:p>
    <w:p w14:paraId="6D18ED0E" w14:textId="367CBFE2"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Laboratory Findings</w:t>
      </w:r>
    </w:p>
    <w:p w14:paraId="704B1810"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Laboratory parameters are summarized in Table 2.</w:t>
      </w:r>
    </w:p>
    <w:p w14:paraId="0BE6FFE6"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37F3C531"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TABLE 2: LABORATORY PARAMETERS</w:t>
      </w:r>
    </w:p>
    <w:tbl>
      <w:tblPr>
        <w:tblStyle w:val="TableGrid"/>
        <w:tblW w:w="5000" w:type="pct"/>
        <w:tblLook w:val="04A0" w:firstRow="1" w:lastRow="0" w:firstColumn="1" w:lastColumn="0" w:noHBand="0" w:noVBand="1"/>
      </w:tblPr>
      <w:tblGrid>
        <w:gridCol w:w="5653"/>
        <w:gridCol w:w="3363"/>
      </w:tblGrid>
      <w:tr w:rsidR="001271F2" w14:paraId="125189D5" w14:textId="77777777">
        <w:tc>
          <w:tcPr>
            <w:tcW w:w="3135" w:type="pct"/>
            <w:vAlign w:val="center"/>
          </w:tcPr>
          <w:p w14:paraId="1DE0A9D7" w14:textId="77777777" w:rsidR="001271F2" w:rsidRDefault="00A00ADC" w:rsidP="00A20540">
            <w:pPr>
              <w:spacing w:line="240" w:lineRule="auto"/>
              <w:rPr>
                <w:rFonts w:ascii="Times New Roman" w:hAnsi="Times New Roman" w:cs="Times New Roman"/>
                <w:b/>
                <w:bCs/>
                <w:sz w:val="24"/>
                <w:szCs w:val="24"/>
              </w:rPr>
            </w:pPr>
            <w:r>
              <w:rPr>
                <w:rFonts w:ascii="Times New Roman" w:hAnsi="Times New Roman" w:cs="Times New Roman"/>
                <w:b/>
                <w:bCs/>
                <w:sz w:val="24"/>
                <w:szCs w:val="24"/>
              </w:rPr>
              <w:t>Parameter</w:t>
            </w:r>
          </w:p>
        </w:tc>
        <w:tc>
          <w:tcPr>
            <w:tcW w:w="1865" w:type="pct"/>
            <w:vAlign w:val="center"/>
          </w:tcPr>
          <w:p w14:paraId="4EE06A0E"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Value</w:t>
            </w:r>
          </w:p>
        </w:tc>
      </w:tr>
      <w:tr w:rsidR="001271F2" w14:paraId="68A014CC" w14:textId="77777777">
        <w:tc>
          <w:tcPr>
            <w:tcW w:w="3135" w:type="pct"/>
            <w:vAlign w:val="center"/>
          </w:tcPr>
          <w:p w14:paraId="5D2175B0"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Hemoglobin (g/dL)</w:t>
            </w:r>
          </w:p>
        </w:tc>
        <w:tc>
          <w:tcPr>
            <w:tcW w:w="1865" w:type="pct"/>
            <w:vAlign w:val="center"/>
          </w:tcPr>
          <w:p w14:paraId="67ACBB7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9.5 ± 1.2</w:t>
            </w:r>
          </w:p>
        </w:tc>
      </w:tr>
      <w:tr w:rsidR="001271F2" w14:paraId="63866E7B" w14:textId="77777777">
        <w:tc>
          <w:tcPr>
            <w:tcW w:w="3135" w:type="pct"/>
            <w:vAlign w:val="center"/>
          </w:tcPr>
          <w:p w14:paraId="604AD722"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Albumin (g/dL)</w:t>
            </w:r>
          </w:p>
        </w:tc>
        <w:tc>
          <w:tcPr>
            <w:tcW w:w="1865" w:type="pct"/>
            <w:vAlign w:val="center"/>
          </w:tcPr>
          <w:p w14:paraId="322C2B5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3.5 ± 0.5</w:t>
            </w:r>
          </w:p>
        </w:tc>
      </w:tr>
      <w:tr w:rsidR="001271F2" w14:paraId="0ECBFD0B" w14:textId="77777777">
        <w:tc>
          <w:tcPr>
            <w:tcW w:w="3135" w:type="pct"/>
            <w:vAlign w:val="center"/>
          </w:tcPr>
          <w:p w14:paraId="37495D65"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Total Cholesterol (mg/dL)</w:t>
            </w:r>
          </w:p>
        </w:tc>
        <w:tc>
          <w:tcPr>
            <w:tcW w:w="1865" w:type="pct"/>
            <w:vAlign w:val="center"/>
          </w:tcPr>
          <w:p w14:paraId="1490B71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180 ± 35</w:t>
            </w:r>
          </w:p>
        </w:tc>
      </w:tr>
      <w:tr w:rsidR="001271F2" w14:paraId="5FBCEC83" w14:textId="77777777">
        <w:tc>
          <w:tcPr>
            <w:tcW w:w="3135" w:type="pct"/>
            <w:vAlign w:val="center"/>
          </w:tcPr>
          <w:p w14:paraId="42B737C2"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Calcium (mg/dL)</w:t>
            </w:r>
          </w:p>
        </w:tc>
        <w:tc>
          <w:tcPr>
            <w:tcW w:w="1865" w:type="pct"/>
            <w:vAlign w:val="center"/>
          </w:tcPr>
          <w:p w14:paraId="09E2E020"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8.5 ± 0.8</w:t>
            </w:r>
          </w:p>
        </w:tc>
      </w:tr>
      <w:tr w:rsidR="001271F2" w14:paraId="2BF3FB68" w14:textId="77777777">
        <w:tc>
          <w:tcPr>
            <w:tcW w:w="3135" w:type="pct"/>
            <w:vAlign w:val="center"/>
          </w:tcPr>
          <w:p w14:paraId="6DCA42F7"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Serum Phosphate (mg/dL)</w:t>
            </w:r>
          </w:p>
        </w:tc>
        <w:tc>
          <w:tcPr>
            <w:tcW w:w="1865" w:type="pct"/>
            <w:vAlign w:val="center"/>
          </w:tcPr>
          <w:p w14:paraId="0377F4B8"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5.5 ± 1.2</w:t>
            </w:r>
          </w:p>
        </w:tc>
      </w:tr>
      <w:tr w:rsidR="001271F2" w14:paraId="2A8E4D6F" w14:textId="77777777">
        <w:tc>
          <w:tcPr>
            <w:tcW w:w="3135" w:type="pct"/>
            <w:vAlign w:val="center"/>
          </w:tcPr>
          <w:p w14:paraId="4A007FF9"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iPTH (pg/mL)</w:t>
            </w:r>
          </w:p>
        </w:tc>
        <w:tc>
          <w:tcPr>
            <w:tcW w:w="1865" w:type="pct"/>
            <w:vAlign w:val="center"/>
          </w:tcPr>
          <w:p w14:paraId="103A605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450 (300–600)</w:t>
            </w:r>
          </w:p>
        </w:tc>
      </w:tr>
    </w:tbl>
    <w:p w14:paraId="303D69C7"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Abdominal Aortic Calcification Scores</w:t>
      </w:r>
    </w:p>
    <w:p w14:paraId="3F0FB19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AAC was detected in 80% of patients (AAC score ≥ 1). The mean AAC score was 12 ± 6 (range 0–24). The distribution of AAC scores is illustrated in Figure 1. The inter-observer agreement between radiologists was excellent (ICC = 0.95, p &lt; 0.001).</w:t>
      </w:r>
    </w:p>
    <w:p w14:paraId="78208B1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Associations Between AAC and Patient Characteristics</w:t>
      </w:r>
    </w:p>
    <w:p w14:paraId="13858206"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Univariate analysis revealed:</w:t>
      </w:r>
    </w:p>
    <w:p w14:paraId="03D9D35C"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Positive correlation with AAC scores (r = 0.65, p &lt; 0.001).</w:t>
      </w:r>
    </w:p>
    <w:p w14:paraId="568E26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Duration of Hemodialysis:</w:t>
      </w:r>
      <w:r>
        <w:rPr>
          <w:rFonts w:ascii="Times New Roman" w:hAnsi="Times New Roman" w:cs="Times New Roman"/>
          <w:sz w:val="24"/>
          <w:szCs w:val="24"/>
        </w:rPr>
        <w:t xml:space="preserve"> Positive correlation with AAC scores (r = 0.50, p = 0.04).</w:t>
      </w:r>
    </w:p>
    <w:p w14:paraId="265D1C38"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xml:space="preserve"> Higher AAC scores in diabetic patients (p = 0.03).</w:t>
      </w:r>
    </w:p>
    <w:p w14:paraId="5D105D12"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Hypertension:</w:t>
      </w:r>
      <w:r>
        <w:rPr>
          <w:rFonts w:ascii="Times New Roman" w:hAnsi="Times New Roman" w:cs="Times New Roman"/>
          <w:sz w:val="24"/>
          <w:szCs w:val="24"/>
        </w:rPr>
        <w:t xml:space="preserve"> Association with higher AAC scores (p = 0.05).</w:t>
      </w:r>
    </w:p>
    <w:p w14:paraId="57CF5561" w14:textId="282E514E"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Pre-existing Cardiovascular Disease:</w:t>
      </w:r>
      <w:r>
        <w:rPr>
          <w:rFonts w:ascii="Times New Roman" w:hAnsi="Times New Roman" w:cs="Times New Roman"/>
          <w:sz w:val="24"/>
          <w:szCs w:val="24"/>
        </w:rPr>
        <w:t xml:space="preserve"> Higher AAC scores </w:t>
      </w:r>
      <w:r w:rsidR="00A20540">
        <w:rPr>
          <w:rFonts w:ascii="Times New Roman" w:hAnsi="Times New Roman" w:cs="Times New Roman"/>
          <w:sz w:val="24"/>
          <w:szCs w:val="24"/>
        </w:rPr>
        <w:t>than</w:t>
      </w:r>
      <w:r>
        <w:rPr>
          <w:rFonts w:ascii="Times New Roman" w:hAnsi="Times New Roman" w:cs="Times New Roman"/>
          <w:sz w:val="24"/>
          <w:szCs w:val="24"/>
        </w:rPr>
        <w:t xml:space="preserve"> those without (18 ± 4 vs. 10 ± 5, p = 0.03).</w:t>
      </w:r>
    </w:p>
    <w:p w14:paraId="480B3BE9" w14:textId="77777777" w:rsidR="001271F2" w:rsidRDefault="00A00ADC">
      <w:pPr>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Elevated iPTH levels:</w:t>
      </w:r>
      <w:r>
        <w:rPr>
          <w:rFonts w:ascii="Times New Roman" w:hAnsi="Times New Roman" w:cs="Times New Roman"/>
          <w:sz w:val="24"/>
          <w:szCs w:val="24"/>
        </w:rPr>
        <w:t xml:space="preserve"> Correlated with higher AAC scores (r = 0.45, p = 0.03). No significant association was found between AAC scores and serum calcium or phosphate levels individually, but the calcium-phosphate product showed a moderate correlation (r = 0.40, p = 0.01).</w:t>
      </w:r>
    </w:p>
    <w:p w14:paraId="72063308"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Multivariate Regression Analysis</w:t>
      </w:r>
    </w:p>
    <w:p w14:paraId="72E0AE7E"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Identified independent predictors of higher AAC scores:</w:t>
      </w:r>
    </w:p>
    <w:p w14:paraId="309309E4"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Age:</w:t>
      </w:r>
      <w:r>
        <w:rPr>
          <w:rFonts w:ascii="Times New Roman" w:hAnsi="Times New Roman" w:cs="Times New Roman"/>
          <w:sz w:val="24"/>
          <w:szCs w:val="24"/>
        </w:rPr>
        <w:t xml:space="preserve"> β = 0.55, p &lt; 0.001</w:t>
      </w:r>
    </w:p>
    <w:p w14:paraId="13EF3BE2"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Duration of Hemodialysis:</w:t>
      </w:r>
      <w:r>
        <w:rPr>
          <w:rFonts w:ascii="Times New Roman" w:hAnsi="Times New Roman" w:cs="Times New Roman"/>
          <w:sz w:val="24"/>
          <w:szCs w:val="24"/>
        </w:rPr>
        <w:t xml:space="preserve"> β = 0.30, p = 0.04</w:t>
      </w:r>
    </w:p>
    <w:p w14:paraId="5BD90E96"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Diabetes Mellitus:</w:t>
      </w:r>
      <w:r>
        <w:rPr>
          <w:rFonts w:ascii="Times New Roman" w:hAnsi="Times New Roman" w:cs="Times New Roman"/>
          <w:sz w:val="24"/>
          <w:szCs w:val="24"/>
        </w:rPr>
        <w:t xml:space="preserve"> β = 0.25, p = 0.03</w:t>
      </w:r>
    </w:p>
    <w:p w14:paraId="31118741" w14:textId="77777777" w:rsidR="001271F2" w:rsidRDefault="00A00ADC">
      <w:pPr>
        <w:numPr>
          <w:ilvl w:val="0"/>
          <w:numId w:val="6"/>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Elevated iPTH Levels:</w:t>
      </w:r>
      <w:r>
        <w:rPr>
          <w:rFonts w:ascii="Times New Roman" w:hAnsi="Times New Roman" w:cs="Times New Roman"/>
          <w:sz w:val="24"/>
          <w:szCs w:val="24"/>
        </w:rPr>
        <w:t xml:space="preserve"> β = 0.20, p = 0.03</w:t>
      </w:r>
    </w:p>
    <w:p w14:paraId="087E9EA2"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TABLE 3: MULTIVARIATE REGRESSION ANALYSIS</w:t>
      </w:r>
    </w:p>
    <w:tbl>
      <w:tblPr>
        <w:tblStyle w:val="TableGrid"/>
        <w:tblW w:w="5000" w:type="pct"/>
        <w:tblLook w:val="04A0" w:firstRow="1" w:lastRow="0" w:firstColumn="1" w:lastColumn="0" w:noHBand="0" w:noVBand="1"/>
      </w:tblPr>
      <w:tblGrid>
        <w:gridCol w:w="4661"/>
        <w:gridCol w:w="2620"/>
        <w:gridCol w:w="1735"/>
      </w:tblGrid>
      <w:tr w:rsidR="001271F2" w14:paraId="198E7367" w14:textId="77777777">
        <w:tc>
          <w:tcPr>
            <w:tcW w:w="2585" w:type="pct"/>
            <w:vAlign w:val="center"/>
          </w:tcPr>
          <w:p w14:paraId="7C987468"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Variable</w:t>
            </w:r>
          </w:p>
        </w:tc>
        <w:tc>
          <w:tcPr>
            <w:tcW w:w="1453" w:type="pct"/>
            <w:vAlign w:val="center"/>
          </w:tcPr>
          <w:p w14:paraId="7FB6A586"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β Coefficient</w:t>
            </w:r>
          </w:p>
        </w:tc>
        <w:tc>
          <w:tcPr>
            <w:tcW w:w="962" w:type="pct"/>
            <w:vAlign w:val="center"/>
          </w:tcPr>
          <w:p w14:paraId="1CF90DAD" w14:textId="77777777" w:rsidR="001271F2" w:rsidRDefault="00A00AD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p-Value</w:t>
            </w:r>
          </w:p>
        </w:tc>
      </w:tr>
      <w:tr w:rsidR="001271F2" w14:paraId="620064DE" w14:textId="77777777">
        <w:tc>
          <w:tcPr>
            <w:tcW w:w="2585" w:type="pct"/>
            <w:vAlign w:val="center"/>
          </w:tcPr>
          <w:p w14:paraId="08EDE9D3"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Age</w:t>
            </w:r>
          </w:p>
        </w:tc>
        <w:tc>
          <w:tcPr>
            <w:tcW w:w="1453" w:type="pct"/>
            <w:vAlign w:val="center"/>
          </w:tcPr>
          <w:p w14:paraId="2A2FE7FF"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0.55</w:t>
            </w:r>
          </w:p>
        </w:tc>
        <w:tc>
          <w:tcPr>
            <w:tcW w:w="962" w:type="pct"/>
            <w:vAlign w:val="center"/>
          </w:tcPr>
          <w:p w14:paraId="0AE3D8C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&lt;0.001</w:t>
            </w:r>
          </w:p>
        </w:tc>
      </w:tr>
      <w:tr w:rsidR="001271F2" w14:paraId="55125B44" w14:textId="77777777">
        <w:tc>
          <w:tcPr>
            <w:tcW w:w="2585" w:type="pct"/>
            <w:vAlign w:val="center"/>
          </w:tcPr>
          <w:p w14:paraId="442A8E49"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Duration of Hemodialysis</w:t>
            </w:r>
          </w:p>
        </w:tc>
        <w:tc>
          <w:tcPr>
            <w:tcW w:w="1453" w:type="pct"/>
            <w:vAlign w:val="center"/>
          </w:tcPr>
          <w:p w14:paraId="2FA1671A"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962" w:type="pct"/>
            <w:vAlign w:val="center"/>
          </w:tcPr>
          <w:p w14:paraId="5DFD2F74"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1271F2" w14:paraId="15F7BF22" w14:textId="77777777">
        <w:tc>
          <w:tcPr>
            <w:tcW w:w="2585" w:type="pct"/>
            <w:vAlign w:val="center"/>
          </w:tcPr>
          <w:p w14:paraId="3C442FA6"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Diabetes Mellitus</w:t>
            </w:r>
          </w:p>
        </w:tc>
        <w:tc>
          <w:tcPr>
            <w:tcW w:w="1453" w:type="pct"/>
            <w:vAlign w:val="center"/>
          </w:tcPr>
          <w:p w14:paraId="1EE4B505"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962" w:type="pct"/>
            <w:vAlign w:val="center"/>
          </w:tcPr>
          <w:p w14:paraId="47013FC2"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1271F2" w14:paraId="56F86F1F" w14:textId="77777777">
        <w:tc>
          <w:tcPr>
            <w:tcW w:w="2585" w:type="pct"/>
            <w:vAlign w:val="center"/>
          </w:tcPr>
          <w:p w14:paraId="5C6C4408" w14:textId="77777777" w:rsidR="001271F2" w:rsidRDefault="00A00ADC" w:rsidP="00A20540">
            <w:pPr>
              <w:spacing w:line="240" w:lineRule="auto"/>
              <w:rPr>
                <w:rFonts w:ascii="Times New Roman" w:hAnsi="Times New Roman" w:cs="Times New Roman"/>
                <w:sz w:val="24"/>
                <w:szCs w:val="24"/>
              </w:rPr>
            </w:pPr>
            <w:r>
              <w:rPr>
                <w:rFonts w:ascii="Times New Roman" w:hAnsi="Times New Roman" w:cs="Times New Roman"/>
                <w:sz w:val="24"/>
                <w:szCs w:val="24"/>
              </w:rPr>
              <w:t>Elevated iPTH Levels</w:t>
            </w:r>
          </w:p>
        </w:tc>
        <w:tc>
          <w:tcPr>
            <w:tcW w:w="1453" w:type="pct"/>
            <w:vAlign w:val="center"/>
          </w:tcPr>
          <w:p w14:paraId="407AC817"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962" w:type="pct"/>
            <w:vAlign w:val="center"/>
          </w:tcPr>
          <w:p w14:paraId="415AE463" w14:textId="77777777" w:rsidR="001271F2" w:rsidRDefault="00A00ADC">
            <w:pPr>
              <w:spacing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bl>
    <w:p w14:paraId="13CBEB34"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Progression of AAC</w:t>
      </w:r>
    </w:p>
    <w:p w14:paraId="110AF5CC" w14:textId="7B06A1F9"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6734D0">
        <w:rPr>
          <w:rFonts w:ascii="Times New Roman" w:hAnsi="Times New Roman" w:cs="Times New Roman"/>
          <w:sz w:val="24"/>
          <w:szCs w:val="24"/>
        </w:rPr>
        <w:t>1</w:t>
      </w:r>
      <w:r>
        <w:rPr>
          <w:rFonts w:ascii="Times New Roman" w:hAnsi="Times New Roman" w:cs="Times New Roman"/>
          <w:sz w:val="24"/>
          <w:szCs w:val="24"/>
        </w:rPr>
        <w:t xml:space="preserve"> shows the relationship between the duration of hemodialysis and AAC scores, indicating progressive AAC severity with longer dialysis duration.</w:t>
      </w:r>
    </w:p>
    <w:p w14:paraId="2AD92540" w14:textId="77777777" w:rsidR="006734D0" w:rsidRDefault="006734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6C8446A8" w14:textId="64CCFEAD"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FIGURE </w:t>
      </w:r>
      <w:r w:rsidR="00EC0D46">
        <w:rPr>
          <w:rFonts w:ascii="Times New Roman" w:hAnsi="Times New Roman" w:cs="Times New Roman"/>
          <w:b/>
          <w:bCs/>
          <w:sz w:val="24"/>
          <w:szCs w:val="24"/>
        </w:rPr>
        <w:t>1</w:t>
      </w:r>
      <w:r>
        <w:rPr>
          <w:rFonts w:ascii="Times New Roman" w:hAnsi="Times New Roman" w:cs="Times New Roman"/>
          <w:b/>
          <w:bCs/>
          <w:sz w:val="24"/>
          <w:szCs w:val="24"/>
        </w:rPr>
        <w:t>: AAC SCORES VS. DURATION OF HEMODIALYSIS</w:t>
      </w:r>
    </w:p>
    <w:p w14:paraId="29979A09" w14:textId="77777777" w:rsidR="001271F2" w:rsidRDefault="00A00ADC">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1EDB05" wp14:editId="710245A6">
            <wp:extent cx="5731510" cy="3461878"/>
            <wp:effectExtent l="0" t="0" r="2540" b="5715"/>
            <wp:docPr id="1843611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11191" name="Picture 2"/>
                    <pic:cNvPicPr>
                      <a:picLocks noChangeAspect="1"/>
                    </pic:cNvPicPr>
                  </pic:nvPicPr>
                  <pic:blipFill rotWithShape="1">
                    <a:blip r:embed="rId7" cstate="print">
                      <a:extLst>
                        <a:ext uri="{28A0092B-C50C-407E-A947-70E740481C1C}">
                          <a14:useLocalDpi xmlns:a14="http://schemas.microsoft.com/office/drawing/2010/main" val="0"/>
                        </a:ext>
                      </a:extLst>
                    </a:blip>
                    <a:srcRect t="5760"/>
                    <a:stretch/>
                  </pic:blipFill>
                  <pic:spPr bwMode="auto">
                    <a:xfrm>
                      <a:off x="0" y="0"/>
                      <a:ext cx="5731510" cy="3461878"/>
                    </a:xfrm>
                    <a:prstGeom prst="rect">
                      <a:avLst/>
                    </a:prstGeom>
                    <a:ln>
                      <a:noFill/>
                    </a:ln>
                    <a:extLst>
                      <a:ext uri="{53640926-AAD7-44D8-BBD7-CCE9431645EC}">
                        <a14:shadowObscured xmlns:a14="http://schemas.microsoft.com/office/drawing/2010/main"/>
                      </a:ext>
                    </a:extLst>
                  </pic:spPr>
                </pic:pic>
              </a:graphicData>
            </a:graphic>
          </wp:inline>
        </w:drawing>
      </w:r>
    </w:p>
    <w:p w14:paraId="37FD209D"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This line graph depicts the progressive increase in AAC scores as the duration of hemodialysis increases, indicating a correlation between longer dialysis duration and higher AAC severity.</w:t>
      </w:r>
    </w:p>
    <w:p w14:paraId="04D8FC9B" w14:textId="77777777" w:rsidR="001271F2" w:rsidRDefault="00A00AD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Subgroup Analysis</w:t>
      </w:r>
    </w:p>
    <w:p w14:paraId="135F8A6C"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Patients Over 40 Years:</w:t>
      </w:r>
      <w:r>
        <w:rPr>
          <w:rFonts w:ascii="Times New Roman" w:hAnsi="Times New Roman" w:cs="Times New Roman"/>
          <w:sz w:val="24"/>
          <w:szCs w:val="24"/>
        </w:rPr>
        <w:t xml:space="preserve"> Higher AAC scores than those under 40 (16 ± 5 vs. 8 ± 4, p &lt; 0.001).</w:t>
      </w:r>
    </w:p>
    <w:p w14:paraId="534E08FB" w14:textId="77777777" w:rsidR="001271F2" w:rsidRDefault="00A00ADC">
      <w:pPr>
        <w:numPr>
          <w:ilvl w:val="0"/>
          <w:numId w:val="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Diabetic vs. Non-Diabetic Patients:</w:t>
      </w:r>
      <w:r>
        <w:rPr>
          <w:rFonts w:ascii="Times New Roman" w:hAnsi="Times New Roman" w:cs="Times New Roman"/>
          <w:sz w:val="24"/>
          <w:szCs w:val="24"/>
        </w:rPr>
        <w:t xml:space="preserve"> Higher AAC scores in diabetic patients (15 ± 6 vs. 10 ± 5, p = 0.01).</w:t>
      </w:r>
    </w:p>
    <w:p w14:paraId="73BB646A" w14:textId="77777777" w:rsidR="001271F2" w:rsidRDefault="001271F2">
      <w:pPr>
        <w:spacing w:line="480" w:lineRule="auto"/>
        <w:jc w:val="both"/>
        <w:rPr>
          <w:rFonts w:ascii="Times New Roman" w:hAnsi="Times New Roman" w:cs="Times New Roman"/>
          <w:sz w:val="24"/>
          <w:szCs w:val="24"/>
        </w:rPr>
      </w:pPr>
    </w:p>
    <w:p w14:paraId="77083189" w14:textId="77777777" w:rsidR="001271F2" w:rsidRDefault="00A00ADC">
      <w:pPr>
        <w:rPr>
          <w:rFonts w:ascii="Times New Roman" w:hAnsi="Times New Roman" w:cs="Times New Roman"/>
          <w:b/>
          <w:bCs/>
          <w:sz w:val="24"/>
          <w:szCs w:val="24"/>
        </w:rPr>
      </w:pPr>
      <w:r>
        <w:rPr>
          <w:rFonts w:ascii="Times New Roman" w:hAnsi="Times New Roman" w:cs="Times New Roman"/>
          <w:b/>
          <w:bCs/>
          <w:sz w:val="24"/>
          <w:szCs w:val="24"/>
        </w:rPr>
        <w:br w:type="page"/>
      </w:r>
    </w:p>
    <w:p w14:paraId="10615EDE" w14:textId="7777777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02811523" w14:textId="05C91388"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underscores the significant prevalence of abdominal aortic calcification (AAC) in a relatively young cohort of patients with CKD stage 5 who are undergoing maintenance hemodialysis. An alarmingly high percentage of these patients, 80%, demonstrated signs of AAC, with a mean AAC score of 12 ± 6. This score typically indicates a moderate to severe level of calcification, underscoring the serious cardiovascular risks faced by this population. Such findings are consistent with existing literature that highlights the prevalence of vascular calcifications as a critical concern among patients with CKD, which considerably contributes to their heightened cardiovascular risk [1,5</w:t>
      </w:r>
      <w:r w:rsidR="00911936">
        <w:rPr>
          <w:rFonts w:ascii="Times New Roman" w:hAnsi="Times New Roman" w:cs="Times New Roman"/>
          <w:sz w:val="24"/>
          <w:szCs w:val="24"/>
        </w:rPr>
        <w:t>,14</w:t>
      </w:r>
      <w:r>
        <w:rPr>
          <w:rFonts w:ascii="Times New Roman" w:hAnsi="Times New Roman" w:cs="Times New Roman"/>
          <w:sz w:val="24"/>
          <w:szCs w:val="24"/>
        </w:rPr>
        <w:t>].</w:t>
      </w:r>
    </w:p>
    <w:p w14:paraId="006C5C4A" w14:textId="0E6CAEDD" w:rsidR="006734D0" w:rsidRPr="006734D0" w:rsidRDefault="006734D0" w:rsidP="006734D0">
      <w:pPr>
        <w:spacing w:line="48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Age emerged as a powerful independent predictor of AAC severity, consistent with the concept that vascular calcification progresses with advancing age—a process that is accelerated in CKD due to disturbances in mineral metabolism [7]. The positive correlation between the duration of hemodialysis and AAC scores further supports the notion that chronic exposure to uremic toxins and the hemodialysis process exacerbate vascular calcification [2,</w:t>
      </w:r>
      <w:r w:rsidR="00911936">
        <w:rPr>
          <w:rFonts w:ascii="Times New Roman" w:hAnsi="Times New Roman" w:cs="Times New Roman"/>
          <w:color w:val="000000" w:themeColor="text1"/>
          <w:sz w:val="24"/>
          <w:szCs w:val="24"/>
        </w:rPr>
        <w:t>12</w:t>
      </w:r>
      <w:r w:rsidRPr="006734D0">
        <w:rPr>
          <w:rFonts w:ascii="Times New Roman" w:hAnsi="Times New Roman" w:cs="Times New Roman"/>
          <w:color w:val="000000" w:themeColor="text1"/>
          <w:sz w:val="24"/>
          <w:szCs w:val="24"/>
        </w:rPr>
        <w:t>].</w:t>
      </w:r>
    </w:p>
    <w:p w14:paraId="0F318175" w14:textId="77777777" w:rsidR="006734D0" w:rsidRDefault="006734D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E912006" w14:textId="724FA0CF" w:rsidR="006734D0" w:rsidRPr="00647AEF" w:rsidRDefault="00A00ADC" w:rsidP="006734D0">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Additionally, our findings elucidate the strong associations between common comorbidities such as diabetes mellitus and hypertension with increased AAC scores. These conditions are well-recognized risk factors for vascular calcification across the general population and individuals with CKD [3,8</w:t>
      </w:r>
      <w:r w:rsidR="00911936">
        <w:rPr>
          <w:rFonts w:ascii="Times New Roman" w:hAnsi="Times New Roman" w:cs="Times New Roman"/>
          <w:sz w:val="24"/>
          <w:szCs w:val="24"/>
        </w:rPr>
        <w:t>,11</w:t>
      </w:r>
      <w:r>
        <w:rPr>
          <w:rFonts w:ascii="Times New Roman" w:hAnsi="Times New Roman" w:cs="Times New Roman"/>
          <w:sz w:val="24"/>
          <w:szCs w:val="24"/>
        </w:rPr>
        <w:t xml:space="preserve">]. </w:t>
      </w:r>
      <w:r w:rsidR="006734D0" w:rsidRPr="006734D0">
        <w:rPr>
          <w:rFonts w:ascii="Times New Roman" w:hAnsi="Times New Roman" w:cs="Times New Roman"/>
          <w:color w:val="000000" w:themeColor="text1"/>
          <w:sz w:val="24"/>
          <w:szCs w:val="24"/>
        </w:rPr>
        <w:t>Furthermore, the strong associations observed between AAC and common comorbidities such as diabetes mellitus and hypertension reinforce the established risk factors for vascular calcification. Elevated iPTH levels were also significantly correlated with increased AAC severity, underlining the impact of secondary hyperparathyroidism and mineral metabolism disruption in the pathogenesis of vascular calcification [9].</w:t>
      </w:r>
    </w:p>
    <w:p w14:paraId="500F2695" w14:textId="16A1679C" w:rsidR="006734D0" w:rsidRPr="00F70545" w:rsidRDefault="006734D0" w:rsidP="006734D0">
      <w:pPr>
        <w:spacing w:line="480" w:lineRule="auto"/>
        <w:jc w:val="both"/>
        <w:rPr>
          <w:rFonts w:ascii="Times New Roman" w:hAnsi="Times New Roman" w:cs="Times New Roman"/>
          <w:color w:val="000000" w:themeColor="text1"/>
          <w:sz w:val="24"/>
          <w:szCs w:val="24"/>
        </w:rPr>
      </w:pPr>
      <w:r w:rsidRPr="00F70545">
        <w:rPr>
          <w:rFonts w:ascii="Times New Roman" w:hAnsi="Times New Roman" w:cs="Times New Roman"/>
          <w:color w:val="000000" w:themeColor="text1"/>
          <w:sz w:val="24"/>
          <w:szCs w:val="24"/>
        </w:rPr>
        <w:t>The use of lateral lumbar X-rays combined with the 24-point AAC scoring system by Kauppila et al. [4] proved to be a reliable and cost-effective method for assessing vascular calcification, as evidenced by excellent inter-observer agreement. Early detection of AAC through this technique may enable clinicians to implement timely interventions aimed at optimizing mineral metabolism, blood pressure control, and glycemic management—potentially reducing cardiovascular morbidity and mortality [10</w:t>
      </w:r>
      <w:r w:rsidR="00911936">
        <w:rPr>
          <w:rFonts w:ascii="Times New Roman" w:hAnsi="Times New Roman" w:cs="Times New Roman"/>
          <w:color w:val="000000" w:themeColor="text1"/>
          <w:sz w:val="24"/>
          <w:szCs w:val="24"/>
        </w:rPr>
        <w:t>,13</w:t>
      </w:r>
      <w:r w:rsidRPr="00F70545">
        <w:rPr>
          <w:rFonts w:ascii="Times New Roman" w:hAnsi="Times New Roman" w:cs="Times New Roman"/>
          <w:color w:val="000000" w:themeColor="text1"/>
          <w:sz w:val="24"/>
          <w:szCs w:val="24"/>
        </w:rPr>
        <w:t>].</w:t>
      </w:r>
    </w:p>
    <w:p w14:paraId="6945F84A" w14:textId="59E5F255" w:rsidR="001271F2" w:rsidRDefault="00A00A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A20540">
        <w:rPr>
          <w:rFonts w:ascii="Times New Roman" w:hAnsi="Times New Roman" w:cs="Times New Roman"/>
          <w:sz w:val="24"/>
          <w:szCs w:val="24"/>
        </w:rPr>
        <w:t>our study has limitations</w:t>
      </w:r>
      <w:r>
        <w:rPr>
          <w:rFonts w:ascii="Times New Roman" w:hAnsi="Times New Roman" w:cs="Times New Roman"/>
          <w:sz w:val="24"/>
          <w:szCs w:val="24"/>
        </w:rPr>
        <w:t xml:space="preserve"> that should be noted. The cross-sectional design restricts our ability to infer causality or t</w:t>
      </w:r>
      <w:r w:rsidR="00A20540">
        <w:rPr>
          <w:rFonts w:ascii="Times New Roman" w:hAnsi="Times New Roman" w:cs="Times New Roman"/>
          <w:sz w:val="24"/>
          <w:szCs w:val="24"/>
        </w:rPr>
        <w:t>rack AAC progression</w:t>
      </w:r>
      <w:r>
        <w:rPr>
          <w:rFonts w:ascii="Times New Roman" w:hAnsi="Times New Roman" w:cs="Times New Roman"/>
          <w:sz w:val="24"/>
          <w:szCs w:val="24"/>
        </w:rPr>
        <w:t xml:space="preserve"> over time. Moreover, being a single-center study may limit the generalizability of our results. Future research should aim to conduct longitudinal studies involving larger and more diverse multicenter cohorts. These studies should focus on confirming our findings and exploring the efficacy of various interventions in slowing AAC progression and improving cardiovascular outcomes in CKD patients.</w:t>
      </w:r>
    </w:p>
    <w:p w14:paraId="3C531516" w14:textId="77777777" w:rsidR="001271F2" w:rsidRDefault="00A00ADC">
      <w:pPr>
        <w:spacing w:line="480" w:lineRule="auto"/>
        <w:jc w:val="both"/>
        <w:rPr>
          <w:rFonts w:ascii="Times New Roman" w:hAnsi="Times New Roman" w:cs="Times New Roman"/>
          <w:vanish/>
          <w:sz w:val="24"/>
          <w:szCs w:val="24"/>
        </w:rPr>
      </w:pPr>
      <w:r>
        <w:rPr>
          <w:rFonts w:ascii="Times New Roman" w:hAnsi="Times New Roman" w:cs="Times New Roman"/>
          <w:vanish/>
          <w:sz w:val="24"/>
          <w:szCs w:val="24"/>
        </w:rPr>
        <w:t>Bottom of Form</w:t>
      </w:r>
    </w:p>
    <w:p w14:paraId="5A5CBD8A" w14:textId="77777777" w:rsidR="001271F2" w:rsidRDefault="001271F2">
      <w:pPr>
        <w:spacing w:line="480" w:lineRule="auto"/>
        <w:jc w:val="both"/>
        <w:rPr>
          <w:rFonts w:ascii="Times New Roman" w:hAnsi="Times New Roman" w:cs="Times New Roman"/>
          <w:sz w:val="24"/>
          <w:szCs w:val="24"/>
        </w:rPr>
      </w:pPr>
    </w:p>
    <w:p w14:paraId="1F1EE246" w14:textId="77777777" w:rsidR="006734D0" w:rsidRDefault="006734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2E03B17" w14:textId="12CB5F97" w:rsidR="001271F2" w:rsidRDefault="00A00AD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7C6A4CEC" w14:textId="77777777" w:rsidR="006734D0" w:rsidRDefault="006734D0" w:rsidP="006734D0">
      <w:pPr>
        <w:spacing w:line="480" w:lineRule="auto"/>
        <w:jc w:val="both"/>
        <w:rPr>
          <w:rFonts w:ascii="Times New Roman" w:hAnsi="Times New Roman" w:cs="Times New Roman"/>
          <w:color w:val="000000" w:themeColor="text1"/>
          <w:sz w:val="24"/>
          <w:szCs w:val="24"/>
        </w:rPr>
      </w:pPr>
      <w:r w:rsidRPr="006734D0">
        <w:rPr>
          <w:rFonts w:ascii="Times New Roman" w:hAnsi="Times New Roman" w:cs="Times New Roman"/>
          <w:color w:val="000000" w:themeColor="text1"/>
          <w:sz w:val="24"/>
          <w:szCs w:val="24"/>
        </w:rPr>
        <w:t>Abdominal aortic calcification is highly prevalent among young CKD stage 5 patients on maintenance hemodialysis. The severity of AAC is significantly associated with age, duration of hemodialysis, diabetes mellitus, hypertension, and elevated iPTH levels. Lateral lumbar X-ray imaging combined with the validated AAC scoring system offers a simple, cost-effective method for vascular calcification assessment, aiding in the identification of patients at increased cardiovascular risk. Early detection and management of modifiable risk factors are crucial for reducing cardiovascular morbidity and mortality in this high-risk population.</w:t>
      </w:r>
    </w:p>
    <w:p w14:paraId="19601E88" w14:textId="72DBB02B" w:rsidR="00EC0D46" w:rsidRDefault="00EC0D46" w:rsidP="00EC0D4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r>
        <w:rPr>
          <w:rFonts w:ascii="Times New Roman" w:hAnsi="Times New Roman" w:cs="Times New Roman"/>
          <w:b/>
          <w:bCs/>
          <w:sz w:val="24"/>
          <w:szCs w:val="24"/>
        </w:rPr>
        <w:t xml:space="preserve"> and consent</w:t>
      </w:r>
    </w:p>
    <w:p w14:paraId="177FFE55" w14:textId="77777777" w:rsidR="00EC0D46" w:rsidRDefault="00EC0D46" w:rsidP="00EC0D46">
      <w:pPr>
        <w:spacing w:line="480" w:lineRule="auto"/>
        <w:jc w:val="both"/>
        <w:rPr>
          <w:rFonts w:ascii="Times New Roman" w:hAnsi="Times New Roman" w:cs="Times New Roman"/>
          <w:sz w:val="24"/>
          <w:szCs w:val="24"/>
        </w:rPr>
      </w:pPr>
      <w:r>
        <w:rPr>
          <w:rFonts w:ascii="Times New Roman" w:hAnsi="Times New Roman" w:cs="Times New Roman"/>
          <w:sz w:val="24"/>
          <w:szCs w:val="24"/>
        </w:rPr>
        <w:t>The Institutional Ethics Committee of Sawai Man Singh Medical College approved the study. Before enrollment, all participants provided written informed consent.</w:t>
      </w:r>
    </w:p>
    <w:p w14:paraId="43658B93" w14:textId="77777777" w:rsidR="00EC0D46" w:rsidRPr="006734D0" w:rsidRDefault="00EC0D46" w:rsidP="006734D0">
      <w:pPr>
        <w:spacing w:line="480" w:lineRule="auto"/>
        <w:jc w:val="both"/>
        <w:rPr>
          <w:rFonts w:ascii="Times New Roman" w:hAnsi="Times New Roman" w:cs="Times New Roman"/>
          <w:color w:val="000000" w:themeColor="text1"/>
          <w:sz w:val="24"/>
          <w:szCs w:val="24"/>
        </w:rPr>
      </w:pPr>
    </w:p>
    <w:p w14:paraId="460301D6" w14:textId="77777777" w:rsidR="006734D0" w:rsidRDefault="006734D0">
      <w:pPr>
        <w:spacing w:line="480" w:lineRule="auto"/>
        <w:jc w:val="both"/>
        <w:rPr>
          <w:rFonts w:ascii="Times New Roman" w:hAnsi="Times New Roman" w:cs="Times New Roman"/>
          <w:sz w:val="24"/>
          <w:szCs w:val="24"/>
        </w:rPr>
      </w:pPr>
    </w:p>
    <w:p w14:paraId="496771C0" w14:textId="77777777" w:rsidR="00F65281" w:rsidRPr="007A4135" w:rsidRDefault="00A00ADC" w:rsidP="00F65281">
      <w:pPr>
        <w:rPr>
          <w:highlight w:val="yellow"/>
        </w:rPr>
      </w:pPr>
      <w:r>
        <w:rPr>
          <w:rFonts w:ascii="Times New Roman" w:hAnsi="Times New Roman" w:cs="Times New Roman"/>
          <w:b/>
          <w:bCs/>
          <w:sz w:val="24"/>
          <w:szCs w:val="24"/>
        </w:rPr>
        <w:br w:type="page"/>
      </w:r>
      <w:r w:rsidR="00F65281" w:rsidRPr="007A4135">
        <w:rPr>
          <w:highlight w:val="yellow"/>
        </w:rPr>
        <w:lastRenderedPageBreak/>
        <w:t>Disclaimer (Artificial intelligence)</w:t>
      </w:r>
    </w:p>
    <w:p w14:paraId="2083BD86" w14:textId="77777777" w:rsidR="00F65281" w:rsidRPr="007A4135" w:rsidRDefault="00F65281" w:rsidP="00F65281">
      <w:pPr>
        <w:rPr>
          <w:highlight w:val="yellow"/>
        </w:rPr>
      </w:pPr>
      <w:r w:rsidRPr="007A4135">
        <w:rPr>
          <w:highlight w:val="yellow"/>
        </w:rPr>
        <w:t xml:space="preserve">Option 1: </w:t>
      </w:r>
    </w:p>
    <w:p w14:paraId="790A914C" w14:textId="77777777" w:rsidR="00F65281" w:rsidRPr="007A4135" w:rsidRDefault="00F65281" w:rsidP="00F65281">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257505B9" w14:textId="77777777" w:rsidR="00F65281" w:rsidRPr="007A4135" w:rsidRDefault="00F65281" w:rsidP="00F65281">
      <w:pPr>
        <w:rPr>
          <w:highlight w:val="yellow"/>
        </w:rPr>
      </w:pPr>
      <w:r w:rsidRPr="007A4135">
        <w:rPr>
          <w:highlight w:val="yellow"/>
        </w:rPr>
        <w:t xml:space="preserve">Option 2: </w:t>
      </w:r>
    </w:p>
    <w:p w14:paraId="15696074" w14:textId="77777777" w:rsidR="00F65281" w:rsidRPr="007A4135" w:rsidRDefault="00F65281" w:rsidP="00F6528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A5F83E" w14:textId="77777777" w:rsidR="00F65281" w:rsidRPr="007A4135" w:rsidRDefault="00F65281" w:rsidP="00F65281">
      <w:pPr>
        <w:rPr>
          <w:highlight w:val="yellow"/>
        </w:rPr>
      </w:pPr>
      <w:r w:rsidRPr="007A4135">
        <w:rPr>
          <w:highlight w:val="yellow"/>
        </w:rPr>
        <w:t>Details of the AI usage are given below:</w:t>
      </w:r>
    </w:p>
    <w:p w14:paraId="28311B8C" w14:textId="77777777" w:rsidR="00F65281" w:rsidRPr="007A4135" w:rsidRDefault="00F65281" w:rsidP="00F65281">
      <w:pPr>
        <w:rPr>
          <w:highlight w:val="yellow"/>
        </w:rPr>
      </w:pPr>
      <w:r w:rsidRPr="007A4135">
        <w:rPr>
          <w:highlight w:val="yellow"/>
        </w:rPr>
        <w:t>1.</w:t>
      </w:r>
    </w:p>
    <w:p w14:paraId="7EFA8619" w14:textId="77777777" w:rsidR="00F65281" w:rsidRPr="007A4135" w:rsidRDefault="00F65281" w:rsidP="00F65281">
      <w:pPr>
        <w:rPr>
          <w:highlight w:val="yellow"/>
        </w:rPr>
      </w:pPr>
      <w:r w:rsidRPr="007A4135">
        <w:rPr>
          <w:highlight w:val="yellow"/>
        </w:rPr>
        <w:t>2.</w:t>
      </w:r>
    </w:p>
    <w:p w14:paraId="6BF76EC8" w14:textId="77777777" w:rsidR="00F65281" w:rsidRPr="00D047BB" w:rsidRDefault="00F65281" w:rsidP="00F65281">
      <w:r w:rsidRPr="007A4135">
        <w:rPr>
          <w:highlight w:val="yellow"/>
        </w:rPr>
        <w:t>3.</w:t>
      </w:r>
    </w:p>
    <w:p w14:paraId="59EBAC9E" w14:textId="77777777" w:rsidR="001271F2" w:rsidRDefault="001271F2">
      <w:pPr>
        <w:rPr>
          <w:rFonts w:ascii="Times New Roman" w:hAnsi="Times New Roman" w:cs="Times New Roman"/>
          <w:b/>
          <w:bCs/>
          <w:sz w:val="24"/>
          <w:szCs w:val="24"/>
        </w:rPr>
      </w:pPr>
    </w:p>
    <w:p w14:paraId="414A03D6" w14:textId="77777777" w:rsidR="001271F2" w:rsidRDefault="00A00ADC">
      <w:pPr>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t>REFERENCES</w:t>
      </w:r>
    </w:p>
    <w:p w14:paraId="4F820BCC" w14:textId="77777777" w:rsidR="001271F2" w:rsidRDefault="00A00ADC">
      <w:pPr>
        <w:pStyle w:val="NormalWeb"/>
        <w:numPr>
          <w:ilvl w:val="0"/>
          <w:numId w:val="8"/>
        </w:numPr>
        <w:spacing w:beforeAutospacing="1"/>
        <w:ind w:left="360"/>
      </w:pPr>
      <w:r>
        <w:t>Toussaint ND, Lau KK, Polkinghorne KR, Kerr PG. Measurement of vascular calcification using CT scans in hemodialysis patients. Nephrol Dial Transplant. 2008;23(8):2592-2598. doi:10.1093/ndt/gfn071.</w:t>
      </w:r>
    </w:p>
    <w:p w14:paraId="4B0B6FE5" w14:textId="77777777" w:rsidR="001271F2" w:rsidRDefault="00A00ADC">
      <w:pPr>
        <w:pStyle w:val="NormalWeb"/>
        <w:numPr>
          <w:ilvl w:val="0"/>
          <w:numId w:val="8"/>
        </w:numPr>
        <w:spacing w:beforeAutospacing="1"/>
        <w:ind w:left="360"/>
      </w:pPr>
      <w:r>
        <w:t>Kauppila LI, Polak JF, Cupples LA, Hannan MT, Kiel DP, Wilson PW. New indices to classify location, severity, and progression of calcific lesions in the abdominal aorta: A 25-year follow-up study. Atherosclerosis. 1997;132(2):245-250. doi:10.1016/s0021-9150(97)00106-8.</w:t>
      </w:r>
    </w:p>
    <w:p w14:paraId="10D0756B" w14:textId="77777777" w:rsidR="001271F2" w:rsidRDefault="00A00ADC">
      <w:pPr>
        <w:pStyle w:val="NormalWeb"/>
        <w:numPr>
          <w:ilvl w:val="0"/>
          <w:numId w:val="8"/>
        </w:numPr>
        <w:spacing w:beforeAutospacing="1"/>
        <w:ind w:left="360"/>
      </w:pPr>
      <w:r>
        <w:t>Cao Q, Yang F, Lian X, Li X, Li Z. Analysis of risk factors for abdominal aortic calcification in dialysis patients and its influence on long-term recovery. J Investig Med. 2023;71(8):845-853. doi:10.1177/10815589231190565.</w:t>
      </w:r>
    </w:p>
    <w:p w14:paraId="28353974" w14:textId="77777777" w:rsidR="001271F2" w:rsidRDefault="00A00ADC">
      <w:pPr>
        <w:pStyle w:val="NormalWeb"/>
        <w:numPr>
          <w:ilvl w:val="0"/>
          <w:numId w:val="8"/>
        </w:numPr>
        <w:spacing w:beforeAutospacing="1"/>
        <w:ind w:left="360"/>
      </w:pPr>
      <w:r>
        <w:rPr>
          <w:lang w:val="en-GB"/>
        </w:rPr>
        <w:t>Ku</w:t>
      </w:r>
      <w:r>
        <w:t>ppila LI, Polak JF, Cupples LA, Hannan MT, Kiel DP, Wilson PW. Abdominal aortic calcification in men and women: Associations with mortality and morbidity. Circulation. 1997;96(6):1740-1747. doi:10.1161/01.cir.96.6.1740.</w:t>
      </w:r>
    </w:p>
    <w:p w14:paraId="1CE9D7BB" w14:textId="77777777" w:rsidR="001271F2" w:rsidRDefault="00A00ADC">
      <w:pPr>
        <w:pStyle w:val="NormalWeb"/>
        <w:numPr>
          <w:ilvl w:val="0"/>
          <w:numId w:val="8"/>
        </w:numPr>
        <w:spacing w:beforeAutospacing="1"/>
        <w:ind w:left="360"/>
      </w:pPr>
      <w:r>
        <w:t>Toussaint ND, Pedagogos E, Lau KK, Heinze S, Becker GJ, Beavis J, Polkinghorne KR, Damasiewicz MJ, Kerr PG. Lateral lumbar X-ray assessment of abdominal aortic calcification in Australian haemodialysis patients. Nephrology. 2010;15(8):634-639. doi:10.1111/j.1440-1797.2010.01420.x.</w:t>
      </w:r>
    </w:p>
    <w:p w14:paraId="5205EA70" w14:textId="77777777" w:rsidR="001271F2" w:rsidRDefault="00A00ADC">
      <w:pPr>
        <w:pStyle w:val="NormalWeb"/>
        <w:spacing w:beforeAutospacing="1"/>
        <w:ind w:left="360"/>
      </w:pPr>
      <w:r>
        <w:rPr>
          <w:lang w:val="en-GB"/>
        </w:rPr>
        <w:t xml:space="preserve">6. </w:t>
      </w:r>
      <w:r>
        <w:t>London GM, Guérin AP, Marchais SJ, Métivier F, Pannier B, Adda H. Arterial media calcification in end-stage renal disease: Impact on all-cause and cardiovascular mortality. Nephrol Dial Transplant. 2003;18(9):1731-1740. doi:10.1093/ndt/gfg414.</w:t>
      </w:r>
    </w:p>
    <w:p w14:paraId="47FFABCB" w14:textId="77777777" w:rsidR="001271F2" w:rsidRDefault="00A00ADC">
      <w:pPr>
        <w:pStyle w:val="NormalWeb"/>
        <w:spacing w:beforeAutospacing="1"/>
        <w:ind w:left="360"/>
      </w:pPr>
      <w:r>
        <w:rPr>
          <w:lang w:val="en-GB"/>
        </w:rPr>
        <w:lastRenderedPageBreak/>
        <w:t xml:space="preserve">7. </w:t>
      </w:r>
      <w:r>
        <w:t>Sigrist MK, Taal MW, Bungay P, McIntyre CW. Progressive vascular calcification over 2 years is associated with arterial stiffening and increased mortality in patients with stages 4 and 5 chronic kidney disease. Clin J Am Soc Nephrol. 2007;2(6):1241-1248. doi:10.2215/cjn.02150307.</w:t>
      </w:r>
    </w:p>
    <w:p w14:paraId="366E742C" w14:textId="77777777" w:rsidR="001271F2" w:rsidRDefault="00A00ADC">
      <w:pPr>
        <w:pStyle w:val="NormalWeb"/>
        <w:spacing w:beforeAutospacing="1"/>
        <w:ind w:left="360"/>
      </w:pPr>
      <w:r>
        <w:rPr>
          <w:lang w:val="en-GB"/>
        </w:rPr>
        <w:t xml:space="preserve">8. </w:t>
      </w:r>
      <w:r>
        <w:t>Schlieper G, Aretz A, Verberckmoes SC, Krüger T, Behets GJ, Ghadimi R, Weirich TE, Rohrmann D, Langer S, Tordoir JHM, Amann K, Westenfeld R, Brandenburg VM, D'Haese PC, Floege J. Ultrastructural analysis of vascular calcifications in uremia. J Am Soc Nephrol. 2010;21(4):689-696. doi:10.1681/asn.2009080854.</w:t>
      </w:r>
    </w:p>
    <w:p w14:paraId="466B8544" w14:textId="77777777" w:rsidR="001271F2" w:rsidRDefault="00A00ADC">
      <w:pPr>
        <w:pStyle w:val="NormalWeb"/>
        <w:spacing w:beforeAutospacing="1"/>
        <w:ind w:left="360"/>
      </w:pPr>
      <w:r>
        <w:rPr>
          <w:lang w:val="en-GB"/>
        </w:rPr>
        <w:t xml:space="preserve">9. </w:t>
      </w:r>
      <w:r>
        <w:t>Goodman WG, Goldin J, Kuizon BD, Yoon C, Gales B, Sider D, Wang Y, Chung J, Emerick A, Greaser L, Elashoff RM, Salusky IB. Coronary-artery calcification in young adults with end-stage renal disease who are undergoing dialysis. N Engl J Med. 2000;342(20):1478-1483. doi:10.1056/nejm200005183422003.</w:t>
      </w:r>
    </w:p>
    <w:p w14:paraId="25E44DE8" w14:textId="77777777" w:rsidR="001271F2" w:rsidRDefault="00A00ADC">
      <w:pPr>
        <w:pStyle w:val="NormalWeb"/>
        <w:spacing w:beforeAutospacing="1"/>
        <w:ind w:left="360"/>
      </w:pPr>
      <w:r>
        <w:rPr>
          <w:lang w:val="en-GB"/>
        </w:rPr>
        <w:t xml:space="preserve">10. </w:t>
      </w:r>
      <w:r>
        <w:t>Chen NX, Moe SM. Vascular calcification: Pathophysiology and risk factors. Curr Hypertens Rep. 2003;5(6):523-527. doi:10.1007/s11906-003-0073-5.</w:t>
      </w:r>
    </w:p>
    <w:p w14:paraId="52FDC219" w14:textId="64CEC9F9" w:rsidR="00F70545" w:rsidRDefault="00F70545">
      <w:pPr>
        <w:pStyle w:val="NormalWeb"/>
        <w:spacing w:beforeAutospacing="1"/>
        <w:ind w:left="360"/>
      </w:pPr>
      <w:r>
        <w:t xml:space="preserve">11. </w:t>
      </w:r>
      <w:r w:rsidRPr="00F70545">
        <w:t>Nitta, K., Akiba, T., Suzuki, K., Uchida, K., Ogawa, T., Majima, K., ... &amp; Nihei, H. (2004). Assessment of coronary artery calcification in hemodialysis patients using multi-detector spiral CT scan. </w:t>
      </w:r>
      <w:r w:rsidRPr="00F70545">
        <w:rPr>
          <w:i/>
          <w:iCs/>
        </w:rPr>
        <w:t>Hypertension Research</w:t>
      </w:r>
      <w:r w:rsidRPr="00F70545">
        <w:t>, </w:t>
      </w:r>
      <w:r w:rsidRPr="00F70545">
        <w:rPr>
          <w:i/>
          <w:iCs/>
        </w:rPr>
        <w:t>27</w:t>
      </w:r>
      <w:r w:rsidRPr="00F70545">
        <w:t>(8), 527-533.</w:t>
      </w:r>
    </w:p>
    <w:p w14:paraId="60F250B7" w14:textId="4D13120F" w:rsidR="00F70545" w:rsidRDefault="00F70545">
      <w:pPr>
        <w:pStyle w:val="NormalWeb"/>
        <w:spacing w:beforeAutospacing="1"/>
        <w:ind w:left="360"/>
      </w:pPr>
      <w:r>
        <w:t xml:space="preserve">12. </w:t>
      </w:r>
      <w:r w:rsidRPr="00F70545">
        <w:t>Cao, Q., Yang, F., Lian, X., Li, X., &amp; Li, Z. (2023). Analysis of risk factors for abdominal aortic calcification in dialysis patients and its influence on long-term recovery. </w:t>
      </w:r>
      <w:r w:rsidRPr="00F70545">
        <w:rPr>
          <w:i/>
          <w:iCs/>
        </w:rPr>
        <w:t>Journal of Investigative Medicine</w:t>
      </w:r>
      <w:r w:rsidRPr="00F70545">
        <w:t>, </w:t>
      </w:r>
      <w:r w:rsidRPr="00F70545">
        <w:rPr>
          <w:i/>
          <w:iCs/>
        </w:rPr>
        <w:t>71</w:t>
      </w:r>
      <w:r w:rsidRPr="00F70545">
        <w:t>(8), 845-853.</w:t>
      </w:r>
    </w:p>
    <w:p w14:paraId="3F099FB9" w14:textId="2ED6BDD0" w:rsidR="00F70545" w:rsidRDefault="00F70545">
      <w:pPr>
        <w:pStyle w:val="NormalWeb"/>
        <w:spacing w:beforeAutospacing="1"/>
        <w:ind w:left="360"/>
      </w:pPr>
      <w:r>
        <w:t xml:space="preserve">13. </w:t>
      </w:r>
      <w:r w:rsidRPr="00F70545">
        <w:t>Wilson, P. W., Kauppila, L. I., O’donnell, C. J., Kiel, D. P., Hannan, M., Polak, J. M., &amp; Cupples, L. A. (2001). Abdominal aortic calcific deposits are an important predictor of vascular morbidity and mortality. </w:t>
      </w:r>
      <w:r w:rsidRPr="00F70545">
        <w:rPr>
          <w:i/>
          <w:iCs/>
        </w:rPr>
        <w:t>Circulation</w:t>
      </w:r>
      <w:r w:rsidRPr="00F70545">
        <w:t>, </w:t>
      </w:r>
      <w:r w:rsidRPr="00F70545">
        <w:rPr>
          <w:i/>
          <w:iCs/>
        </w:rPr>
        <w:t>103</w:t>
      </w:r>
      <w:r w:rsidRPr="00F70545">
        <w:t>(11), 1529-1534.</w:t>
      </w:r>
    </w:p>
    <w:p w14:paraId="46DF8726" w14:textId="7C87F162" w:rsidR="00F70545" w:rsidRDefault="00F70545">
      <w:pPr>
        <w:pStyle w:val="NormalWeb"/>
        <w:spacing w:beforeAutospacing="1"/>
        <w:ind w:left="360"/>
      </w:pPr>
      <w:r>
        <w:t xml:space="preserve">14. </w:t>
      </w:r>
      <w:r w:rsidRPr="00F70545">
        <w:t>London, G. M., Guerin, A. P., Marchais, S. J., Metivier, F., Pannier, B., &amp; Adda, H. (2003). Arterial media calcification in end-stage renal disease: impact on all-cause and cardiovascular mortality. </w:t>
      </w:r>
      <w:r w:rsidRPr="00F70545">
        <w:rPr>
          <w:i/>
          <w:iCs/>
        </w:rPr>
        <w:t>Nephrology dialysis transplantation</w:t>
      </w:r>
      <w:r w:rsidRPr="00F70545">
        <w:t>, </w:t>
      </w:r>
      <w:r w:rsidRPr="00F70545">
        <w:rPr>
          <w:i/>
          <w:iCs/>
        </w:rPr>
        <w:t>18</w:t>
      </w:r>
      <w:r w:rsidRPr="00F70545">
        <w:t>(9), 1731-1740.</w:t>
      </w:r>
    </w:p>
    <w:p w14:paraId="3644C042" w14:textId="77777777" w:rsidR="00F70545" w:rsidRDefault="00F70545">
      <w:pPr>
        <w:pStyle w:val="NormalWeb"/>
        <w:spacing w:beforeAutospacing="1"/>
        <w:ind w:left="360"/>
      </w:pPr>
    </w:p>
    <w:p w14:paraId="3A9E169F" w14:textId="77777777" w:rsidR="00F70545" w:rsidRDefault="00F70545">
      <w:pPr>
        <w:pStyle w:val="NormalWeb"/>
        <w:spacing w:beforeAutospacing="1"/>
        <w:ind w:left="360"/>
      </w:pPr>
    </w:p>
    <w:p w14:paraId="428D8CB5" w14:textId="77777777" w:rsidR="001271F2" w:rsidRDefault="001271F2">
      <w:pPr>
        <w:spacing w:line="480" w:lineRule="auto"/>
        <w:jc w:val="both"/>
        <w:rPr>
          <w:rFonts w:ascii="Times New Roman" w:hAnsi="Times New Roman" w:cs="Times New Roman"/>
          <w:sz w:val="24"/>
          <w:szCs w:val="24"/>
        </w:rPr>
      </w:pPr>
    </w:p>
    <w:sectPr w:rsidR="001271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D2D60" w14:textId="77777777" w:rsidR="008079A2" w:rsidRDefault="008079A2">
      <w:pPr>
        <w:spacing w:line="240" w:lineRule="auto"/>
      </w:pPr>
      <w:r>
        <w:separator/>
      </w:r>
    </w:p>
  </w:endnote>
  <w:endnote w:type="continuationSeparator" w:id="0">
    <w:p w14:paraId="439E4052" w14:textId="77777777" w:rsidR="008079A2" w:rsidRDefault="00807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3875D" w14:textId="77777777" w:rsidR="007366F4" w:rsidRDefault="00736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9CEF" w14:textId="77777777" w:rsidR="007366F4" w:rsidRDefault="007366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F6A7" w14:textId="77777777" w:rsidR="007366F4" w:rsidRDefault="00736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495CC" w14:textId="77777777" w:rsidR="008079A2" w:rsidRDefault="008079A2">
      <w:pPr>
        <w:spacing w:after="0"/>
      </w:pPr>
      <w:r>
        <w:separator/>
      </w:r>
    </w:p>
  </w:footnote>
  <w:footnote w:type="continuationSeparator" w:id="0">
    <w:p w14:paraId="71D8AE14" w14:textId="77777777" w:rsidR="008079A2" w:rsidRDefault="008079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650C4" w14:textId="0030299C" w:rsidR="007366F4" w:rsidRDefault="00000000">
    <w:pPr>
      <w:pStyle w:val="Header"/>
    </w:pPr>
    <w:r>
      <w:rPr>
        <w:noProof/>
      </w:rPr>
      <w:pict w14:anchorId="24E1A9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C8B9C" w14:textId="39A6A4F0" w:rsidR="007366F4" w:rsidRDefault="00000000">
    <w:pPr>
      <w:pStyle w:val="Header"/>
    </w:pPr>
    <w:r>
      <w:rPr>
        <w:noProof/>
      </w:rPr>
      <w:pict w14:anchorId="536DE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0BF6" w14:textId="03C12014" w:rsidR="007366F4" w:rsidRDefault="00000000">
    <w:pPr>
      <w:pStyle w:val="Header"/>
    </w:pPr>
    <w:r>
      <w:rPr>
        <w:noProof/>
      </w:rPr>
      <w:pict w14:anchorId="5145F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932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61A43"/>
    <w:multiLevelType w:val="multilevel"/>
    <w:tmpl w:val="25A61A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2CCBF9ED"/>
    <w:multiLevelType w:val="singleLevel"/>
    <w:tmpl w:val="2CCBF9ED"/>
    <w:lvl w:ilvl="0">
      <w:start w:val="1"/>
      <w:numFmt w:val="decimal"/>
      <w:suff w:val="space"/>
      <w:lvlText w:val="%1."/>
      <w:lvlJc w:val="left"/>
    </w:lvl>
  </w:abstractNum>
  <w:abstractNum w:abstractNumId="2" w15:restartNumberingAfterBreak="0">
    <w:nsid w:val="2E2206B4"/>
    <w:multiLevelType w:val="multilevel"/>
    <w:tmpl w:val="2E2206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48407718"/>
    <w:multiLevelType w:val="multilevel"/>
    <w:tmpl w:val="484077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B10587D"/>
    <w:multiLevelType w:val="multilevel"/>
    <w:tmpl w:val="4B1058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4991556"/>
    <w:multiLevelType w:val="multilevel"/>
    <w:tmpl w:val="649915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96F14B8"/>
    <w:multiLevelType w:val="multilevel"/>
    <w:tmpl w:val="696F14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76126FAA"/>
    <w:multiLevelType w:val="multilevel"/>
    <w:tmpl w:val="76126F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858807661">
    <w:abstractNumId w:val="6"/>
  </w:num>
  <w:num w:numId="2" w16cid:durableId="1233462913">
    <w:abstractNumId w:val="7"/>
  </w:num>
  <w:num w:numId="3" w16cid:durableId="359858318">
    <w:abstractNumId w:val="5"/>
  </w:num>
  <w:num w:numId="4" w16cid:durableId="895119598">
    <w:abstractNumId w:val="2"/>
  </w:num>
  <w:num w:numId="5" w16cid:durableId="1356350384">
    <w:abstractNumId w:val="4"/>
  </w:num>
  <w:num w:numId="6" w16cid:durableId="428743295">
    <w:abstractNumId w:val="3"/>
  </w:num>
  <w:num w:numId="7" w16cid:durableId="102920129">
    <w:abstractNumId w:val="0"/>
  </w:num>
  <w:num w:numId="8" w16cid:durableId="99637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MzMwtzAxN7cE0ko6SsGpxcWZ+XkgBYa1AGYj0f4sAAAA"/>
  </w:docVars>
  <w:rsids>
    <w:rsidRoot w:val="003F5757"/>
    <w:rsid w:val="00077841"/>
    <w:rsid w:val="000823EA"/>
    <w:rsid w:val="00095461"/>
    <w:rsid w:val="00124CAE"/>
    <w:rsid w:val="001271F2"/>
    <w:rsid w:val="00141AC4"/>
    <w:rsid w:val="001B5E09"/>
    <w:rsid w:val="0021556D"/>
    <w:rsid w:val="002B3C95"/>
    <w:rsid w:val="00361F5D"/>
    <w:rsid w:val="003F4122"/>
    <w:rsid w:val="003F5757"/>
    <w:rsid w:val="00432944"/>
    <w:rsid w:val="0043376C"/>
    <w:rsid w:val="004362AC"/>
    <w:rsid w:val="00512EDE"/>
    <w:rsid w:val="005239CD"/>
    <w:rsid w:val="005551FF"/>
    <w:rsid w:val="00623646"/>
    <w:rsid w:val="006734D0"/>
    <w:rsid w:val="00675098"/>
    <w:rsid w:val="006F51AA"/>
    <w:rsid w:val="007366F4"/>
    <w:rsid w:val="00736713"/>
    <w:rsid w:val="007F00C4"/>
    <w:rsid w:val="008079A2"/>
    <w:rsid w:val="008A6F56"/>
    <w:rsid w:val="00911936"/>
    <w:rsid w:val="00960B4C"/>
    <w:rsid w:val="00985DB0"/>
    <w:rsid w:val="00A00ADC"/>
    <w:rsid w:val="00A20540"/>
    <w:rsid w:val="00B27812"/>
    <w:rsid w:val="00BE5F47"/>
    <w:rsid w:val="00C6344E"/>
    <w:rsid w:val="00C73CC6"/>
    <w:rsid w:val="00C97FBF"/>
    <w:rsid w:val="00CC41AD"/>
    <w:rsid w:val="00D0424A"/>
    <w:rsid w:val="00D442F4"/>
    <w:rsid w:val="00D76C1E"/>
    <w:rsid w:val="00E53560"/>
    <w:rsid w:val="00EC0D46"/>
    <w:rsid w:val="00F65281"/>
    <w:rsid w:val="00F70545"/>
    <w:rsid w:val="10F26659"/>
    <w:rsid w:val="4C0679E2"/>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C9C7E"/>
  <w15:docId w15:val="{72783528-18C3-4792-B9E9-64EE1166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5098"/>
    <w:rPr>
      <w:color w:val="605E5C"/>
      <w:shd w:val="clear" w:color="auto" w:fill="E1DFDD"/>
    </w:rPr>
  </w:style>
  <w:style w:type="paragraph" w:styleId="Header">
    <w:name w:val="header"/>
    <w:basedOn w:val="Normal"/>
    <w:link w:val="HeaderChar"/>
    <w:uiPriority w:val="99"/>
    <w:unhideWhenUsed/>
    <w:rsid w:val="00736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6F4"/>
    <w:rPr>
      <w:rFonts w:asciiTheme="minorHAnsi" w:eastAsiaTheme="minorHAnsi" w:hAnsiTheme="minorHAnsi" w:cstheme="minorBidi"/>
      <w:kern w:val="2"/>
      <w:sz w:val="22"/>
      <w:szCs w:val="22"/>
      <w:lang w:val="en-IN" w:eastAsia="en-US"/>
      <w14:ligatures w14:val="standardContextual"/>
    </w:rPr>
  </w:style>
  <w:style w:type="paragraph" w:styleId="Footer">
    <w:name w:val="footer"/>
    <w:basedOn w:val="Normal"/>
    <w:link w:val="FooterChar"/>
    <w:uiPriority w:val="99"/>
    <w:unhideWhenUsed/>
    <w:rsid w:val="00736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6F4"/>
    <w:rPr>
      <w:rFonts w:asciiTheme="minorHAnsi" w:eastAsiaTheme="minorHAnsi" w:hAnsiTheme="minorHAnsi" w:cstheme="minorBidi"/>
      <w:kern w:val="2"/>
      <w:sz w:val="22"/>
      <w:szCs w:val="22"/>
      <w:lang w:val="en-IN" w:eastAsia="en-US"/>
      <w14:ligatures w14:val="standardContextual"/>
    </w:rPr>
  </w:style>
  <w:style w:type="character" w:styleId="CommentReference">
    <w:name w:val="annotation reference"/>
    <w:basedOn w:val="DefaultParagraphFont"/>
    <w:uiPriority w:val="99"/>
    <w:semiHidden/>
    <w:unhideWhenUsed/>
    <w:rsid w:val="00A20540"/>
    <w:rPr>
      <w:sz w:val="16"/>
      <w:szCs w:val="16"/>
    </w:rPr>
  </w:style>
  <w:style w:type="paragraph" w:styleId="CommentText">
    <w:name w:val="annotation text"/>
    <w:basedOn w:val="Normal"/>
    <w:link w:val="CommentTextChar"/>
    <w:uiPriority w:val="99"/>
    <w:semiHidden/>
    <w:unhideWhenUsed/>
    <w:rsid w:val="00A20540"/>
    <w:pPr>
      <w:spacing w:line="240" w:lineRule="auto"/>
    </w:pPr>
    <w:rPr>
      <w:sz w:val="20"/>
      <w:szCs w:val="20"/>
    </w:rPr>
  </w:style>
  <w:style w:type="character" w:customStyle="1" w:styleId="CommentTextChar">
    <w:name w:val="Comment Text Char"/>
    <w:basedOn w:val="DefaultParagraphFont"/>
    <w:link w:val="CommentText"/>
    <w:uiPriority w:val="99"/>
    <w:semiHidden/>
    <w:rsid w:val="00A20540"/>
    <w:rPr>
      <w:rFonts w:asciiTheme="minorHAnsi" w:eastAsiaTheme="minorHAnsi" w:hAnsiTheme="minorHAnsi" w:cstheme="minorBidi"/>
      <w:kern w:val="2"/>
      <w:lang w:val="en-IN" w:eastAsia="en-US"/>
      <w14:ligatures w14:val="standardContextual"/>
    </w:rPr>
  </w:style>
  <w:style w:type="paragraph" w:styleId="CommentSubject">
    <w:name w:val="annotation subject"/>
    <w:basedOn w:val="CommentText"/>
    <w:next w:val="CommentText"/>
    <w:link w:val="CommentSubjectChar"/>
    <w:uiPriority w:val="99"/>
    <w:semiHidden/>
    <w:unhideWhenUsed/>
    <w:rsid w:val="00A20540"/>
    <w:rPr>
      <w:b/>
      <w:bCs/>
    </w:rPr>
  </w:style>
  <w:style w:type="character" w:customStyle="1" w:styleId="CommentSubjectChar">
    <w:name w:val="Comment Subject Char"/>
    <w:basedOn w:val="CommentTextChar"/>
    <w:link w:val="CommentSubject"/>
    <w:uiPriority w:val="99"/>
    <w:semiHidden/>
    <w:rsid w:val="00A20540"/>
    <w:rPr>
      <w:rFonts w:asciiTheme="minorHAnsi" w:eastAsiaTheme="minorHAnsi" w:hAnsiTheme="minorHAnsi" w:cstheme="minorBidi"/>
      <w:b/>
      <w:bCs/>
      <w:kern w:val="2"/>
      <w:lang w:val="en-IN" w:eastAsia="en-US"/>
      <w14:ligatures w14:val="standardContextual"/>
    </w:rPr>
  </w:style>
  <w:style w:type="paragraph" w:styleId="BalloonText">
    <w:name w:val="Balloon Text"/>
    <w:basedOn w:val="Normal"/>
    <w:link w:val="BalloonTextChar"/>
    <w:uiPriority w:val="99"/>
    <w:semiHidden/>
    <w:unhideWhenUsed/>
    <w:rsid w:val="0014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C4"/>
    <w:rPr>
      <w:rFonts w:ascii="Segoe UI" w:eastAsiaTheme="minorHAnsi" w:hAnsi="Segoe UI" w:cs="Segoe UI"/>
      <w:kern w:val="2"/>
      <w:sz w:val="18"/>
      <w:szCs w:val="18"/>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726580">
      <w:bodyDiv w:val="1"/>
      <w:marLeft w:val="0"/>
      <w:marRight w:val="0"/>
      <w:marTop w:val="0"/>
      <w:marBottom w:val="0"/>
      <w:divBdr>
        <w:top w:val="none" w:sz="0" w:space="0" w:color="auto"/>
        <w:left w:val="none" w:sz="0" w:space="0" w:color="auto"/>
        <w:bottom w:val="none" w:sz="0" w:space="0" w:color="auto"/>
        <w:right w:val="none" w:sz="0" w:space="0" w:color="auto"/>
      </w:divBdr>
    </w:div>
    <w:div w:id="1579628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15</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 goyal</dc:creator>
  <cp:lastModifiedBy>Editor GP 005</cp:lastModifiedBy>
  <cp:revision>18</cp:revision>
  <dcterms:created xsi:type="dcterms:W3CDTF">2024-12-30T13:24:00Z</dcterms:created>
  <dcterms:modified xsi:type="dcterms:W3CDTF">2025-03-10T05:13:00Z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E40154DB250144B1BB3890DDFD31B1C5_12</vt:lpwstr>
  </property>
  <property fmtid="{D5CDD505-2E9C-101B-9397-08002B2CF9AE}" pid="4" name="GrammarlyDocumentId">
    <vt:lpwstr>0e9e2d773a1df63ad9829610c99a69c8975e81795ca51268dcd35d7cb52cfdc8</vt:lpwstr>
  </property>
</Properties>
</file>