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802" w:rsidRDefault="00762192">
      <w:pPr>
        <w:spacing w:line="360" w:lineRule="auto"/>
        <w:jc w:val="both"/>
        <w:rPr>
          <w:rFonts w:cs="Times New Roman"/>
          <w:b/>
          <w:bCs/>
          <w:szCs w:val="24"/>
          <w:lang w:val="en-US"/>
        </w:rPr>
      </w:pPr>
      <w:r>
        <w:rPr>
          <w:rFonts w:cs="Times New Roman"/>
          <w:b/>
          <w:szCs w:val="24"/>
          <w:lang w:val="en-US"/>
        </w:rPr>
        <w:t xml:space="preserve">Correlation between the food consumption of children aged 6 to 59 months and the socio-demographic characteristics of mothers-guardian and households: </w:t>
      </w:r>
      <w:r>
        <w:rPr>
          <w:rFonts w:cs="Times New Roman"/>
          <w:b/>
          <w:bCs/>
          <w:szCs w:val="24"/>
          <w:lang w:val="en-US"/>
        </w:rPr>
        <w:t>A comparative study of two areas with different horticultural characteristics in Niger.</w:t>
      </w:r>
    </w:p>
    <w:p w:rsidR="00CC7802" w:rsidRDefault="00CC7802">
      <w:pPr>
        <w:spacing w:line="240" w:lineRule="auto"/>
        <w:jc w:val="both"/>
        <w:rPr>
          <w:rFonts w:cs="Times New Roman"/>
          <w:szCs w:val="24"/>
          <w:lang w:val="en-US"/>
        </w:rPr>
      </w:pPr>
    </w:p>
    <w:p w:rsidR="00CC7802" w:rsidRDefault="00CC7802">
      <w:pPr>
        <w:spacing w:line="240" w:lineRule="auto"/>
        <w:jc w:val="both"/>
        <w:rPr>
          <w:rFonts w:cs="Times New Roman"/>
          <w:b/>
          <w:szCs w:val="24"/>
          <w:lang w:val="en-US"/>
        </w:rPr>
      </w:pPr>
    </w:p>
    <w:p w:rsidR="00CC7802" w:rsidRDefault="00762192">
      <w:pPr>
        <w:spacing w:line="240" w:lineRule="auto"/>
        <w:jc w:val="both"/>
        <w:rPr>
          <w:rFonts w:cs="Times New Roman"/>
          <w:b/>
          <w:szCs w:val="24"/>
          <w:lang w:val="en-US"/>
        </w:rPr>
      </w:pPr>
      <w:r>
        <w:rPr>
          <w:rFonts w:cs="Times New Roman"/>
          <w:b/>
          <w:szCs w:val="24"/>
          <w:lang w:val="en-US"/>
        </w:rPr>
        <w:t xml:space="preserve">Abstract </w:t>
      </w:r>
    </w:p>
    <w:p w:rsidR="00CC7802" w:rsidRDefault="00762192">
      <w:pPr>
        <w:spacing w:line="360" w:lineRule="auto"/>
        <w:jc w:val="both"/>
        <w:rPr>
          <w:lang w:val="en-US"/>
        </w:rPr>
      </w:pPr>
      <w:r>
        <w:rPr>
          <w:highlight w:val="yellow"/>
          <w:lang w:val="en-US"/>
        </w:rPr>
        <w:t>Poor eating habits have a negative impact on the health of infants and young children.</w:t>
      </w:r>
      <w:r>
        <w:rPr>
          <w:rFonts w:cs="Times New Roman"/>
          <w:b/>
          <w:szCs w:val="24"/>
          <w:highlight w:val="yellow"/>
        </w:rPr>
        <w:t>Objective</w:t>
      </w:r>
      <w:r>
        <w:rPr>
          <w:rFonts w:cs="Times New Roman"/>
          <w:b/>
          <w:szCs w:val="24"/>
          <w:highlight w:val="yellow"/>
          <w:lang w:val="en-US"/>
        </w:rPr>
        <w:t xml:space="preserve">: </w:t>
      </w:r>
      <w:r>
        <w:rPr>
          <w:bCs/>
          <w:szCs w:val="24"/>
          <w:highlight w:val="yellow"/>
          <w:lang w:val="en-US"/>
        </w:rPr>
        <w:t>The objective of this study is to evaluate the dietary consumption patterns of children aged 6 to 59 months associated with the sociodemographic characteristics of mothers, guardians and households in two horticultural zones with different specificities</w:t>
      </w:r>
      <w:r>
        <w:rPr>
          <w:highlight w:val="yellow"/>
        </w:rPr>
        <w:t xml:space="preserve">. </w:t>
      </w:r>
      <w:r>
        <w:rPr>
          <w:rFonts w:cs="Times New Roman"/>
          <w:b/>
          <w:szCs w:val="24"/>
          <w:lang w:val="en-US"/>
        </w:rPr>
        <w:t xml:space="preserve">Methodology: </w:t>
      </w:r>
      <w:r>
        <w:rPr>
          <w:rStyle w:val="lev"/>
          <w:b w:val="0"/>
          <w:bCs w:val="0"/>
          <w:lang w:val="en-US"/>
        </w:rPr>
        <w:t xml:space="preserve">This cross-sectional study </w:t>
      </w:r>
      <w:proofErr w:type="gramStart"/>
      <w:r>
        <w:rPr>
          <w:rStyle w:val="lev"/>
          <w:b w:val="0"/>
          <w:bCs w:val="0"/>
          <w:lang w:val="en-US"/>
        </w:rPr>
        <w:t>was conducted</w:t>
      </w:r>
      <w:proofErr w:type="gramEnd"/>
      <w:r>
        <w:rPr>
          <w:b/>
          <w:bCs/>
          <w:lang w:val="en-US"/>
        </w:rPr>
        <w:t xml:space="preserve"> </w:t>
      </w:r>
      <w:r>
        <w:rPr>
          <w:lang w:val="en-US"/>
        </w:rPr>
        <w:t xml:space="preserve">across three municipalities, </w:t>
      </w:r>
      <w:r>
        <w:rPr>
          <w:rStyle w:val="lev"/>
          <w:b w:val="0"/>
          <w:bCs w:val="0"/>
          <w:lang w:val="en-US"/>
        </w:rPr>
        <w:t>involving</w:t>
      </w:r>
      <w:r>
        <w:rPr>
          <w:lang w:val="en-US"/>
        </w:rPr>
        <w:t xml:space="preserve"> 214 households to </w:t>
      </w:r>
      <w:r>
        <w:rPr>
          <w:rStyle w:val="lev"/>
          <w:b w:val="0"/>
          <w:bCs w:val="0"/>
          <w:lang w:val="en-US"/>
        </w:rPr>
        <w:t>characterize</w:t>
      </w:r>
      <w:r>
        <w:rPr>
          <w:lang w:val="en-US"/>
        </w:rPr>
        <w:t xml:space="preserve"> the socio-demographic profile and food consumption of children. </w:t>
      </w:r>
      <w:r>
        <w:rPr>
          <w:rStyle w:val="lev"/>
          <w:b w:val="0"/>
          <w:bCs w:val="0"/>
          <w:lang w:val="en-US"/>
        </w:rPr>
        <w:t>Data were</w:t>
      </w:r>
      <w:r>
        <w:rPr>
          <w:rStyle w:val="lev"/>
          <w:lang w:val="en-US"/>
        </w:rPr>
        <w:t xml:space="preserve"> </w:t>
      </w:r>
      <w:r>
        <w:rPr>
          <w:rStyle w:val="lev"/>
          <w:b w:val="0"/>
          <w:bCs w:val="0"/>
          <w:lang w:val="en-US"/>
        </w:rPr>
        <w:t>analyzed</w:t>
      </w:r>
      <w:r>
        <w:rPr>
          <w:lang w:val="en-US"/>
        </w:rPr>
        <w:t xml:space="preserve"> using Stata MP 16 and SPSS 25 </w:t>
      </w:r>
      <w:r>
        <w:rPr>
          <w:rStyle w:val="lev"/>
          <w:b w:val="0"/>
          <w:bCs w:val="0"/>
          <w:lang w:val="en-US"/>
        </w:rPr>
        <w:t>software.</w:t>
      </w:r>
      <w:r>
        <w:rPr>
          <w:rFonts w:cs="Times New Roman"/>
          <w:szCs w:val="24"/>
          <w:lang w:val="en-US"/>
        </w:rPr>
        <w:t xml:space="preserve"> </w:t>
      </w:r>
      <w:proofErr w:type="spellStart"/>
      <w:r>
        <w:rPr>
          <w:rFonts w:cs="Times New Roman"/>
          <w:b/>
          <w:szCs w:val="24"/>
          <w:lang w:val="en-US"/>
        </w:rPr>
        <w:t>Résultats</w:t>
      </w:r>
      <w:proofErr w:type="spellEnd"/>
      <w:r>
        <w:rPr>
          <w:rFonts w:cs="Times New Roman"/>
          <w:b/>
          <w:szCs w:val="24"/>
          <w:lang w:val="en-US"/>
        </w:rPr>
        <w:t xml:space="preserve">: </w:t>
      </w:r>
      <w:r>
        <w:rPr>
          <w:lang w:val="en-US"/>
        </w:rPr>
        <w:t xml:space="preserve">The findings </w:t>
      </w:r>
      <w:r>
        <w:rPr>
          <w:rStyle w:val="lev"/>
          <w:b w:val="0"/>
          <w:bCs w:val="0"/>
          <w:lang w:val="en-US"/>
        </w:rPr>
        <w:t>revealed</w:t>
      </w:r>
      <w:r>
        <w:rPr>
          <w:lang w:val="en-US"/>
        </w:rPr>
        <w:t xml:space="preserve"> that the consumption of animal-based products </w:t>
      </w:r>
      <w:r>
        <w:rPr>
          <w:rStyle w:val="lev"/>
          <w:b w:val="0"/>
          <w:bCs w:val="0"/>
          <w:lang w:val="en-US"/>
        </w:rPr>
        <w:t>was generally low</w:t>
      </w:r>
      <w:r>
        <w:rPr>
          <w:lang w:val="en-US"/>
        </w:rPr>
        <w:t xml:space="preserve">, except </w:t>
      </w:r>
      <w:r>
        <w:rPr>
          <w:rStyle w:val="lev"/>
          <w:b w:val="0"/>
          <w:bCs w:val="0"/>
          <w:lang w:val="en-US"/>
        </w:rPr>
        <w:t>in</w:t>
      </w:r>
      <w:r>
        <w:rPr>
          <w:lang w:val="en-US"/>
        </w:rPr>
        <w:t xml:space="preserve"> non-horticultural areas (</w:t>
      </w:r>
      <w:proofErr w:type="spellStart"/>
      <w:r>
        <w:rPr>
          <w:lang w:val="en-US"/>
        </w:rPr>
        <w:t>Dosso</w:t>
      </w:r>
      <w:proofErr w:type="spellEnd"/>
      <w:r>
        <w:rPr>
          <w:lang w:val="en-US"/>
        </w:rPr>
        <w:t xml:space="preserve"> </w:t>
      </w:r>
      <w:r>
        <w:rPr>
          <w:rStyle w:val="lev"/>
          <w:b w:val="0"/>
          <w:bCs w:val="0"/>
          <w:lang w:val="en-US"/>
        </w:rPr>
        <w:t>urban commune</w:t>
      </w:r>
      <w:r>
        <w:rPr>
          <w:lang w:val="en-US"/>
        </w:rPr>
        <w:t xml:space="preserve">), where a significant difference </w:t>
      </w:r>
      <w:r>
        <w:rPr>
          <w:rStyle w:val="lev"/>
          <w:b w:val="0"/>
          <w:bCs w:val="0"/>
          <w:lang w:val="en-US"/>
        </w:rPr>
        <w:t>was observed</w:t>
      </w:r>
      <w:r>
        <w:rPr>
          <w:lang w:val="en-US"/>
        </w:rPr>
        <w:t xml:space="preserve"> (P = 0.05). </w:t>
      </w:r>
      <w:r>
        <w:rPr>
          <w:rStyle w:val="lev"/>
          <w:b w:val="0"/>
          <w:bCs w:val="0"/>
          <w:lang w:val="en-US"/>
        </w:rPr>
        <w:t>Furthermore,</w:t>
      </w:r>
      <w:r>
        <w:rPr>
          <w:b/>
          <w:bCs/>
          <w:lang w:val="en-US"/>
        </w:rPr>
        <w:t xml:space="preserve"> </w:t>
      </w:r>
      <w:r>
        <w:rPr>
          <w:lang w:val="en-US"/>
        </w:rPr>
        <w:t>66.8% of children</w:t>
      </w:r>
      <w:r>
        <w:rPr>
          <w:b/>
          <w:bCs/>
          <w:lang w:val="en-US"/>
        </w:rPr>
        <w:t xml:space="preserve"> </w:t>
      </w:r>
      <w:r>
        <w:rPr>
          <w:rStyle w:val="lev"/>
          <w:b w:val="0"/>
          <w:bCs w:val="0"/>
          <w:lang w:val="en-US"/>
        </w:rPr>
        <w:t>achieved an Acceptable Food Consumption Score (AFCS).</w:t>
      </w:r>
      <w:r>
        <w:rPr>
          <w:lang w:val="en-US"/>
        </w:rPr>
        <w:t xml:space="preserve"> Multivariate analysis </w:t>
      </w:r>
      <w:r>
        <w:rPr>
          <w:rStyle w:val="lev"/>
          <w:b w:val="0"/>
          <w:bCs w:val="0"/>
          <w:lang w:val="en-US"/>
        </w:rPr>
        <w:t>indicated</w:t>
      </w:r>
      <w:r>
        <w:rPr>
          <w:lang w:val="en-US"/>
        </w:rPr>
        <w:t xml:space="preserve"> that children in the </w:t>
      </w:r>
      <w:proofErr w:type="spellStart"/>
      <w:r>
        <w:rPr>
          <w:lang w:val="en-US"/>
        </w:rPr>
        <w:t>Tillabéri</w:t>
      </w:r>
      <w:proofErr w:type="spellEnd"/>
      <w:r>
        <w:rPr>
          <w:lang w:val="en-US"/>
        </w:rPr>
        <w:t xml:space="preserve"> </w:t>
      </w:r>
      <w:r>
        <w:rPr>
          <w:rStyle w:val="lev"/>
          <w:b w:val="0"/>
          <w:bCs w:val="0"/>
          <w:lang w:val="en-US"/>
        </w:rPr>
        <w:t>horticultural</w:t>
      </w:r>
      <w:r>
        <w:rPr>
          <w:rStyle w:val="lev"/>
          <w:lang w:val="en-US"/>
        </w:rPr>
        <w:t xml:space="preserve"> </w:t>
      </w:r>
      <w:r>
        <w:rPr>
          <w:rStyle w:val="lev"/>
          <w:b w:val="0"/>
          <w:bCs w:val="0"/>
          <w:lang w:val="en-US"/>
        </w:rPr>
        <w:t>area</w:t>
      </w:r>
      <w:r>
        <w:rPr>
          <w:lang w:val="en-US"/>
        </w:rPr>
        <w:t xml:space="preserve"> and the </w:t>
      </w:r>
      <w:proofErr w:type="spellStart"/>
      <w:r>
        <w:rPr>
          <w:lang w:val="en-US"/>
        </w:rPr>
        <w:t>Dosso</w:t>
      </w:r>
      <w:proofErr w:type="spellEnd"/>
      <w:r>
        <w:rPr>
          <w:lang w:val="en-US"/>
        </w:rPr>
        <w:t xml:space="preserve"> </w:t>
      </w:r>
      <w:r>
        <w:rPr>
          <w:rStyle w:val="lev"/>
          <w:b w:val="0"/>
          <w:bCs w:val="0"/>
          <w:lang w:val="en-US"/>
        </w:rPr>
        <w:t>non</w:t>
      </w:r>
      <w:r>
        <w:rPr>
          <w:rStyle w:val="lev"/>
          <w:lang w:val="en-US"/>
        </w:rPr>
        <w:t>-</w:t>
      </w:r>
      <w:r>
        <w:rPr>
          <w:rStyle w:val="lev"/>
          <w:b w:val="0"/>
          <w:bCs w:val="0"/>
          <w:lang w:val="en-US"/>
        </w:rPr>
        <w:t>horticultural area</w:t>
      </w:r>
      <w:r>
        <w:rPr>
          <w:b/>
          <w:bCs/>
          <w:lang w:val="en-US"/>
        </w:rPr>
        <w:t xml:space="preserve"> </w:t>
      </w:r>
      <w:r>
        <w:rPr>
          <w:b/>
          <w:bCs/>
        </w:rPr>
        <w:t>s</w:t>
      </w:r>
      <w:r>
        <w:rPr>
          <w:rStyle w:val="lev"/>
          <w:b w:val="0"/>
          <w:bCs w:val="0"/>
          <w:lang w:val="en-US"/>
        </w:rPr>
        <w:t>were</w:t>
      </w:r>
      <w:r>
        <w:rPr>
          <w:lang w:val="en-US"/>
        </w:rPr>
        <w:t xml:space="preserve"> 5.33 and 4.34 times </w:t>
      </w:r>
      <w:r>
        <w:rPr>
          <w:rStyle w:val="lev"/>
          <w:b w:val="0"/>
          <w:bCs w:val="0"/>
          <w:lang w:val="en-US"/>
        </w:rPr>
        <w:t>more likely to have an acceptable food consumption score</w:t>
      </w:r>
      <w:r>
        <w:rPr>
          <w:b/>
          <w:bCs/>
          <w:lang w:val="en-US"/>
        </w:rPr>
        <w:t xml:space="preserve"> </w:t>
      </w:r>
      <w:r>
        <w:rPr>
          <w:lang w:val="en-US"/>
        </w:rPr>
        <w:t xml:space="preserve">compared to their counterparts in the </w:t>
      </w:r>
      <w:proofErr w:type="spellStart"/>
      <w:r>
        <w:rPr>
          <w:lang w:val="en-US"/>
        </w:rPr>
        <w:t>Dosso</w:t>
      </w:r>
      <w:proofErr w:type="spellEnd"/>
      <w:r>
        <w:rPr>
          <w:lang w:val="en-US"/>
        </w:rPr>
        <w:t xml:space="preserve"> </w:t>
      </w:r>
      <w:r>
        <w:rPr>
          <w:rStyle w:val="lev"/>
          <w:b w:val="0"/>
          <w:bCs w:val="0"/>
          <w:lang w:val="en-US"/>
        </w:rPr>
        <w:t>horticultural</w:t>
      </w:r>
      <w:r>
        <w:rPr>
          <w:lang w:val="en-US"/>
        </w:rPr>
        <w:t xml:space="preserve"> area (adjusted OR = 5.33; P = 0.004), (adjusted OR = 4.34; P = 0.022). However, a </w:t>
      </w:r>
      <w:r>
        <w:rPr>
          <w:rStyle w:val="lev"/>
          <w:b w:val="0"/>
          <w:bCs w:val="0"/>
          <w:lang w:val="en-US"/>
        </w:rPr>
        <w:t>low level of maternal education was found to positively influence children's feeding practices</w:t>
      </w:r>
      <w:r>
        <w:rPr>
          <w:lang w:val="en-US"/>
        </w:rPr>
        <w:t xml:space="preserve"> (adjusted OR = 4.61; P = 0.005).</w:t>
      </w:r>
      <w:r>
        <w:rPr>
          <w:rFonts w:cs="Times New Roman"/>
          <w:szCs w:val="24"/>
          <w:lang w:val="en-US"/>
        </w:rPr>
        <w:t xml:space="preserve"> Conclusion: </w:t>
      </w:r>
      <w:r>
        <w:rPr>
          <w:rStyle w:val="lev"/>
          <w:b w:val="0"/>
          <w:bCs w:val="0"/>
          <w:lang w:val="en-US"/>
        </w:rPr>
        <w:t>While</w:t>
      </w:r>
      <w:r>
        <w:rPr>
          <w:lang w:val="en-US"/>
        </w:rPr>
        <w:t xml:space="preserve"> the majority of children </w:t>
      </w:r>
      <w:r>
        <w:rPr>
          <w:rStyle w:val="lev"/>
          <w:b w:val="0"/>
          <w:bCs w:val="0"/>
          <w:lang w:val="en-US"/>
        </w:rPr>
        <w:t>have an acceptable food consumption score</w:t>
      </w:r>
      <w:r>
        <w:rPr>
          <w:lang w:val="en-US"/>
        </w:rPr>
        <w:t xml:space="preserve">, there is a need to </w:t>
      </w:r>
      <w:r>
        <w:rPr>
          <w:rStyle w:val="lev"/>
          <w:b w:val="0"/>
          <w:bCs w:val="0"/>
          <w:lang w:val="en-US"/>
        </w:rPr>
        <w:t>enhance</w:t>
      </w:r>
      <w:r>
        <w:rPr>
          <w:lang w:val="en-US"/>
        </w:rPr>
        <w:t xml:space="preserve"> awareness among mothers </w:t>
      </w:r>
      <w:r>
        <w:rPr>
          <w:rStyle w:val="lev"/>
          <w:b w:val="0"/>
          <w:bCs w:val="0"/>
          <w:lang w:val="en-US"/>
        </w:rPr>
        <w:t>to promote</w:t>
      </w:r>
      <w:r>
        <w:rPr>
          <w:lang w:val="en-US"/>
        </w:rPr>
        <w:t xml:space="preserve"> better feeding practices.</w:t>
      </w:r>
    </w:p>
    <w:p w:rsidR="00CC7802" w:rsidRDefault="00762192">
      <w:pPr>
        <w:spacing w:line="360" w:lineRule="auto"/>
        <w:jc w:val="both"/>
        <w:rPr>
          <w:rFonts w:cs="Times New Roman"/>
          <w:szCs w:val="24"/>
          <w:lang w:val="en-US"/>
        </w:rPr>
      </w:pPr>
      <w:r>
        <w:rPr>
          <w:rFonts w:cs="Times New Roman"/>
          <w:b/>
          <w:szCs w:val="24"/>
          <w:u w:val="single"/>
          <w:lang w:val="en-US"/>
        </w:rPr>
        <w:t>Keywords</w:t>
      </w:r>
      <w:r>
        <w:rPr>
          <w:rFonts w:cs="Times New Roman"/>
          <w:b/>
          <w:szCs w:val="24"/>
          <w:lang w:val="en-US"/>
        </w:rPr>
        <w:t xml:space="preserve">: </w:t>
      </w:r>
      <w:r>
        <w:rPr>
          <w:rFonts w:cs="Times New Roman"/>
          <w:szCs w:val="24"/>
          <w:lang w:val="en-US"/>
        </w:rPr>
        <w:t>food consumption score, sociodemographic characteristics, household, child, zone, market gardening, Niger</w:t>
      </w:r>
    </w:p>
    <w:p w:rsidR="00CC7802" w:rsidRDefault="00CC7802">
      <w:pPr>
        <w:spacing w:line="360" w:lineRule="auto"/>
        <w:jc w:val="both"/>
        <w:rPr>
          <w:rFonts w:cs="Times New Roman"/>
          <w:szCs w:val="24"/>
          <w:lang w:val="en-US"/>
        </w:rPr>
      </w:pPr>
    </w:p>
    <w:p w:rsidR="00CC7802" w:rsidRDefault="00CC7802">
      <w:pPr>
        <w:spacing w:line="360" w:lineRule="auto"/>
        <w:jc w:val="both"/>
        <w:rPr>
          <w:rFonts w:cs="Times New Roman"/>
          <w:szCs w:val="24"/>
          <w:lang w:val="en-US"/>
        </w:rPr>
      </w:pPr>
    </w:p>
    <w:p w:rsidR="00CC7802" w:rsidRDefault="00CC7802">
      <w:pPr>
        <w:spacing w:line="360" w:lineRule="auto"/>
        <w:jc w:val="both"/>
        <w:rPr>
          <w:rFonts w:cs="Times New Roman"/>
          <w:szCs w:val="24"/>
          <w:lang w:val="en-US"/>
        </w:rPr>
      </w:pPr>
    </w:p>
    <w:p w:rsidR="00CC7802" w:rsidRDefault="00CC7802">
      <w:pPr>
        <w:spacing w:line="360" w:lineRule="auto"/>
        <w:jc w:val="both"/>
        <w:rPr>
          <w:rFonts w:cs="Times New Roman"/>
          <w:szCs w:val="24"/>
          <w:lang w:val="en-US"/>
        </w:rPr>
      </w:pPr>
    </w:p>
    <w:p w:rsidR="00CC7802" w:rsidRDefault="00CC7802">
      <w:pPr>
        <w:spacing w:line="360" w:lineRule="auto"/>
        <w:jc w:val="both"/>
        <w:rPr>
          <w:rFonts w:cs="Times New Roman"/>
          <w:szCs w:val="24"/>
          <w:lang w:val="en-US"/>
        </w:rPr>
      </w:pPr>
    </w:p>
    <w:p w:rsidR="00CC7802" w:rsidRDefault="00762192">
      <w:pPr>
        <w:pStyle w:val="Paragraphedeliste"/>
        <w:numPr>
          <w:ilvl w:val="0"/>
          <w:numId w:val="1"/>
        </w:numPr>
        <w:tabs>
          <w:tab w:val="left" w:pos="2595"/>
        </w:tabs>
        <w:spacing w:line="276" w:lineRule="auto"/>
        <w:jc w:val="both"/>
        <w:rPr>
          <w:rFonts w:cs="Times New Roman"/>
          <w:b/>
          <w:szCs w:val="24"/>
        </w:rPr>
      </w:pPr>
      <w:r>
        <w:rPr>
          <w:rFonts w:cs="Times New Roman"/>
          <w:b/>
          <w:szCs w:val="24"/>
        </w:rPr>
        <w:lastRenderedPageBreak/>
        <w:t>INTRODUCTON</w:t>
      </w:r>
      <w:r>
        <w:rPr>
          <w:rFonts w:cs="Times New Roman"/>
          <w:b/>
          <w:szCs w:val="24"/>
        </w:rPr>
        <w:tab/>
      </w:r>
    </w:p>
    <w:p w:rsidR="00CC7802" w:rsidRDefault="00762192">
      <w:pPr>
        <w:pStyle w:val="NormalWeb"/>
        <w:spacing w:line="360" w:lineRule="auto"/>
        <w:jc w:val="both"/>
        <w:rPr>
          <w:lang w:val="en-US"/>
        </w:rPr>
      </w:pPr>
      <w:r>
        <w:rPr>
          <w:lang w:val="en-US"/>
        </w:rPr>
        <w:t xml:space="preserve">According to the World Health Organization (WHO), malnutrition </w:t>
      </w:r>
      <w:proofErr w:type="gramStart"/>
      <w:r>
        <w:rPr>
          <w:lang w:val="en-US"/>
        </w:rPr>
        <w:t>is defined</w:t>
      </w:r>
      <w:proofErr w:type="gramEnd"/>
      <w:r>
        <w:rPr>
          <w:lang w:val="en-US"/>
        </w:rPr>
        <w:t xml:space="preserve"> as deficiencies, </w:t>
      </w:r>
      <w:proofErr w:type="spellStart"/>
      <w:r>
        <w:t>excesses</w:t>
      </w:r>
      <w:proofErr w:type="spellEnd"/>
      <w:r>
        <w:t>,</w:t>
      </w:r>
      <w:r>
        <w:rPr>
          <w:lang w:val="en-US"/>
        </w:rPr>
        <w:t xml:space="preserve"> or imbalances in a person’s energy and/or nutritional intake [1]. Malnutrition primarily affects children under five years of age, particularly during the complementary feeding period, </w:t>
      </w:r>
      <w:r>
        <w:rPr>
          <w:rStyle w:val="lev"/>
          <w:b w:val="0"/>
          <w:bCs w:val="0"/>
          <w:lang w:val="en-US"/>
        </w:rPr>
        <w:t>worldwide and especially in developing countries</w:t>
      </w:r>
      <w:r>
        <w:rPr>
          <w:rStyle w:val="lev"/>
          <w:lang w:val="en-US"/>
        </w:rPr>
        <w:t>,</w:t>
      </w:r>
      <w:r>
        <w:rPr>
          <w:lang w:val="en-US"/>
        </w:rPr>
        <w:t xml:space="preserve"> and it is responsible for at least half of all child deaths [2</w:t>
      </w:r>
      <w:proofErr w:type="gramStart"/>
      <w:r>
        <w:rPr>
          <w:lang w:val="en-US"/>
        </w:rPr>
        <w:t>,3</w:t>
      </w:r>
      <w:proofErr w:type="gramEnd"/>
      <w:r>
        <w:rPr>
          <w:lang w:val="en-US"/>
        </w:rPr>
        <w:t xml:space="preserve">]. </w:t>
      </w:r>
      <w:r>
        <w:rPr>
          <w:rStyle w:val="lev"/>
          <w:b w:val="0"/>
          <w:bCs w:val="0"/>
          <w:lang w:val="en-US"/>
        </w:rPr>
        <w:t>Globally</w:t>
      </w:r>
      <w:r>
        <w:rPr>
          <w:rStyle w:val="lev"/>
          <w:lang w:val="en-US"/>
        </w:rPr>
        <w:t>,</w:t>
      </w:r>
      <w:r>
        <w:rPr>
          <w:lang w:val="en-US"/>
        </w:rPr>
        <w:t xml:space="preserve"> nearly 149.2 million children under the age of five are stunted, 45.4 million </w:t>
      </w:r>
      <w:r>
        <w:rPr>
          <w:rStyle w:val="lev"/>
          <w:b w:val="0"/>
          <w:bCs w:val="0"/>
          <w:lang w:val="en-US"/>
        </w:rPr>
        <w:t>suffer from wasting</w:t>
      </w:r>
      <w:r>
        <w:rPr>
          <w:rStyle w:val="lev"/>
          <w:lang w:val="en-US"/>
        </w:rPr>
        <w:t>,</w:t>
      </w:r>
      <w:r>
        <w:rPr>
          <w:lang w:val="en-US"/>
        </w:rPr>
        <w:t xml:space="preserve"> and 38.9 million are overweight [</w:t>
      </w:r>
      <w:proofErr w:type="gramStart"/>
      <w:r>
        <w:rPr>
          <w:lang w:val="en-US"/>
        </w:rPr>
        <w:t>1</w:t>
      </w:r>
      <w:proofErr w:type="gramEnd"/>
      <w:r>
        <w:rPr>
          <w:lang w:val="en-US"/>
        </w:rPr>
        <w:t xml:space="preserve">, 4]. The consequences of malnutrition during the first 1,000 days of life are severe, </w:t>
      </w:r>
      <w:r>
        <w:rPr>
          <w:rStyle w:val="lev"/>
          <w:lang w:val="en-US"/>
        </w:rPr>
        <w:t>leading to</w:t>
      </w:r>
      <w:r>
        <w:rPr>
          <w:lang w:val="en-US"/>
        </w:rPr>
        <w:t xml:space="preserve"> high mortality and morbidity rates, as well as immune deficiencies among children in developing countries [4, 5]. </w:t>
      </w:r>
      <w:r>
        <w:rPr>
          <w:rStyle w:val="lev"/>
          <w:b w:val="0"/>
          <w:bCs w:val="0"/>
          <w:lang w:val="en-US"/>
        </w:rPr>
        <w:t>In Niger, according to the SMART 2022 survey, the prevalence of Global Acute Malnutrition (GAM) among children aged 6 to 59 months exceeds the WHO high threshold of 10.0%.</w:t>
      </w:r>
      <w:r>
        <w:rPr>
          <w:lang w:val="en-US"/>
        </w:rPr>
        <w:t xml:space="preserve"> Children aged 6 to 23 months (17.6%) </w:t>
      </w:r>
      <w:r>
        <w:rPr>
          <w:rStyle w:val="lev"/>
          <w:b w:val="0"/>
          <w:bCs w:val="0"/>
          <w:lang w:val="en-US"/>
        </w:rPr>
        <w:t>are more affected</w:t>
      </w:r>
      <w:r>
        <w:rPr>
          <w:lang w:val="en-US"/>
        </w:rPr>
        <w:t xml:space="preserve"> compared to their counterparts aged 24 to 59 months (9.4%). This significant difference </w:t>
      </w:r>
      <w:proofErr w:type="gramStart"/>
      <w:r>
        <w:rPr>
          <w:lang w:val="en-US"/>
        </w:rPr>
        <w:t>was observed</w:t>
      </w:r>
      <w:proofErr w:type="gramEnd"/>
      <w:r>
        <w:rPr>
          <w:lang w:val="en-US"/>
        </w:rPr>
        <w:t xml:space="preserve"> in four out of eight regions: </w:t>
      </w:r>
      <w:proofErr w:type="spellStart"/>
      <w:r>
        <w:rPr>
          <w:lang w:val="en-US"/>
        </w:rPr>
        <w:t>Dosso</w:t>
      </w:r>
      <w:proofErr w:type="spellEnd"/>
      <w:r>
        <w:rPr>
          <w:lang w:val="en-US"/>
        </w:rPr>
        <w:t xml:space="preserve">, </w:t>
      </w:r>
      <w:proofErr w:type="spellStart"/>
      <w:r>
        <w:rPr>
          <w:lang w:val="en-US"/>
        </w:rPr>
        <w:t>Maradi</w:t>
      </w:r>
      <w:proofErr w:type="spellEnd"/>
      <w:r>
        <w:rPr>
          <w:lang w:val="en-US"/>
        </w:rPr>
        <w:t xml:space="preserve">, and </w:t>
      </w:r>
      <w:proofErr w:type="spellStart"/>
      <w:r>
        <w:rPr>
          <w:lang w:val="en-US"/>
        </w:rPr>
        <w:t>Tahoua</w:t>
      </w:r>
      <w:proofErr w:type="spellEnd"/>
      <w:r>
        <w:rPr>
          <w:lang w:val="en-US"/>
        </w:rPr>
        <w:t xml:space="preserve">. </w:t>
      </w:r>
      <w:r>
        <w:rPr>
          <w:rStyle w:val="lev"/>
          <w:b w:val="0"/>
          <w:bCs w:val="0"/>
          <w:lang w:val="en-US"/>
        </w:rPr>
        <w:t>Chronic malnutrition, or stunting</w:t>
      </w:r>
      <w:r>
        <w:rPr>
          <w:rStyle w:val="lev"/>
          <w:lang w:val="en-US"/>
        </w:rPr>
        <w:t>,</w:t>
      </w:r>
      <w:r>
        <w:rPr>
          <w:lang w:val="en-US"/>
        </w:rPr>
        <w:t xml:space="preserve"> is estimated at 47.0% among children aged </w:t>
      </w:r>
      <w:proofErr w:type="gramStart"/>
      <w:r>
        <w:rPr>
          <w:lang w:val="en-US"/>
        </w:rPr>
        <w:t>0</w:t>
      </w:r>
      <w:proofErr w:type="gramEnd"/>
      <w:r>
        <w:rPr>
          <w:lang w:val="en-US"/>
        </w:rPr>
        <w:t xml:space="preserve"> to 59 months, which is well above the WHO's very high threshold of 30%. This prevalence is higher than the 43.5% recorded in 2021. </w:t>
      </w:r>
      <w:r>
        <w:rPr>
          <w:rStyle w:val="lev"/>
          <w:b w:val="0"/>
          <w:bCs w:val="0"/>
          <w:lang w:val="en-US"/>
        </w:rPr>
        <w:t>The severe form of malnutrition</w:t>
      </w:r>
      <w:r>
        <w:rPr>
          <w:lang w:val="en-US"/>
        </w:rPr>
        <w:t xml:space="preserve"> </w:t>
      </w:r>
      <w:proofErr w:type="gramStart"/>
      <w:r>
        <w:rPr>
          <w:lang w:val="en-US"/>
        </w:rPr>
        <w:t>is estimated</w:t>
      </w:r>
      <w:proofErr w:type="gramEnd"/>
      <w:r>
        <w:rPr>
          <w:lang w:val="en-US"/>
        </w:rPr>
        <w:t xml:space="preserve"> at 20.2% nationwide [6]. The </w:t>
      </w:r>
      <w:r>
        <w:rPr>
          <w:rStyle w:val="lev"/>
          <w:b w:val="0"/>
          <w:bCs w:val="0"/>
          <w:lang w:val="en-US"/>
        </w:rPr>
        <w:t>minimum acceptable diet</w:t>
      </w:r>
      <w:r>
        <w:rPr>
          <w:lang w:val="en-US"/>
        </w:rPr>
        <w:t xml:space="preserve"> rate for children aged 6 to 23 months stands at 6.7% at the national level. This rate was 12.3% in 2020 and 19.5% in 2021, </w:t>
      </w:r>
      <w:r>
        <w:rPr>
          <w:rStyle w:val="lev"/>
          <w:b w:val="0"/>
          <w:bCs w:val="0"/>
          <w:lang w:val="en-US"/>
        </w:rPr>
        <w:t>indicating a significant decline compared to</w:t>
      </w:r>
      <w:r>
        <w:rPr>
          <w:lang w:val="en-US"/>
        </w:rPr>
        <w:t xml:space="preserve"> 2021. The highest proportion </w:t>
      </w:r>
      <w:proofErr w:type="gramStart"/>
      <w:r>
        <w:rPr>
          <w:lang w:val="en-US"/>
        </w:rPr>
        <w:t>is observed</w:t>
      </w:r>
      <w:proofErr w:type="gramEnd"/>
      <w:r>
        <w:rPr>
          <w:lang w:val="en-US"/>
        </w:rPr>
        <w:t xml:space="preserve"> in Niamey (25.1%), while the lowest is in </w:t>
      </w:r>
      <w:proofErr w:type="spellStart"/>
      <w:r>
        <w:rPr>
          <w:lang w:val="en-US"/>
        </w:rPr>
        <w:t>Diffa</w:t>
      </w:r>
      <w:proofErr w:type="spellEnd"/>
      <w:r>
        <w:rPr>
          <w:lang w:val="en-US"/>
        </w:rPr>
        <w:t>, at 1.9%.</w:t>
      </w:r>
    </w:p>
    <w:p w:rsidR="00CC7802" w:rsidRDefault="00762192">
      <w:pPr>
        <w:spacing w:line="360" w:lineRule="auto"/>
        <w:jc w:val="both"/>
        <w:rPr>
          <w:rFonts w:cs="Times New Roman"/>
          <w:szCs w:val="24"/>
          <w:lang w:val="en-US"/>
        </w:rPr>
      </w:pPr>
      <w:r>
        <w:rPr>
          <w:rFonts w:cs="Times New Roman"/>
          <w:szCs w:val="24"/>
          <w:lang w:val="en-US"/>
        </w:rPr>
        <w:t xml:space="preserve">In the </w:t>
      </w:r>
      <w:proofErr w:type="spellStart"/>
      <w:r>
        <w:rPr>
          <w:rFonts w:cs="Times New Roman"/>
          <w:szCs w:val="24"/>
          <w:lang w:val="en-US"/>
        </w:rPr>
        <w:t>Dosso</w:t>
      </w:r>
      <w:proofErr w:type="spellEnd"/>
      <w:r>
        <w:rPr>
          <w:rFonts w:cs="Times New Roman"/>
          <w:szCs w:val="24"/>
          <w:lang w:val="en-US"/>
        </w:rPr>
        <w:t xml:space="preserve"> region, </w:t>
      </w:r>
      <w:proofErr w:type="spellStart"/>
      <w:r>
        <w:rPr>
          <w:lang w:val="en-US"/>
        </w:rPr>
        <w:t>Falmey</w:t>
      </w:r>
      <w:proofErr w:type="spellEnd"/>
      <w:r>
        <w:rPr>
          <w:lang w:val="en-US"/>
        </w:rPr>
        <w:t xml:space="preserve"> has the lowest share (3.6%) of malnourished children, while Gaya has the highest (38.3%) [6].</w:t>
      </w:r>
      <w:r>
        <w:rPr>
          <w:rFonts w:cs="Times New Roman"/>
          <w:szCs w:val="24"/>
          <w:lang w:val="en-US"/>
        </w:rPr>
        <w:t xml:space="preserve">. </w:t>
      </w:r>
      <w:r>
        <w:rPr>
          <w:lang w:val="en-US"/>
        </w:rPr>
        <w:t xml:space="preserve">The underlying causes of this </w:t>
      </w:r>
      <w:r>
        <w:rPr>
          <w:rStyle w:val="lev"/>
          <w:b w:val="0"/>
          <w:bCs w:val="0"/>
          <w:lang w:val="en-US"/>
        </w:rPr>
        <w:t>nutritional</w:t>
      </w:r>
      <w:r>
        <w:rPr>
          <w:rStyle w:val="lev"/>
          <w:lang w:val="en-US"/>
        </w:rPr>
        <w:t xml:space="preserve"> crisis</w:t>
      </w:r>
      <w:r>
        <w:rPr>
          <w:lang w:val="en-US"/>
        </w:rPr>
        <w:t xml:space="preserve"> in developing countries, and particularly in Niger, include food insecurity, </w:t>
      </w:r>
      <w:r>
        <w:rPr>
          <w:rStyle w:val="lev"/>
          <w:b w:val="0"/>
          <w:bCs w:val="0"/>
          <w:lang w:val="en-US"/>
        </w:rPr>
        <w:t>socio-demographic</w:t>
      </w:r>
      <w:r>
        <w:rPr>
          <w:lang w:val="en-US"/>
        </w:rPr>
        <w:t xml:space="preserve">, and </w:t>
      </w:r>
      <w:r>
        <w:rPr>
          <w:rStyle w:val="lev"/>
          <w:b w:val="0"/>
          <w:bCs w:val="0"/>
          <w:lang w:val="en-US"/>
        </w:rPr>
        <w:t>sociocultural</w:t>
      </w:r>
      <w:r>
        <w:rPr>
          <w:lang w:val="en-US"/>
        </w:rPr>
        <w:t xml:space="preserve"> </w:t>
      </w:r>
      <w:proofErr w:type="spellStart"/>
      <w:r>
        <w:t>factors</w:t>
      </w:r>
      <w:proofErr w:type="spellEnd"/>
      <w:r>
        <w:t xml:space="preserve"> </w:t>
      </w:r>
      <w:r>
        <w:rPr>
          <w:rFonts w:cs="Times New Roman"/>
          <w:szCs w:val="24"/>
          <w:lang w:val="en-US"/>
        </w:rPr>
        <w:t>[</w:t>
      </w:r>
      <w:r>
        <w:rPr>
          <w:rFonts w:cs="Times New Roman"/>
          <w:szCs w:val="24"/>
        </w:rPr>
        <w:fldChar w:fldCharType="begin"/>
      </w:r>
      <w:r>
        <w:rPr>
          <w:rFonts w:cs="Times New Roman"/>
          <w:szCs w:val="24"/>
          <w:lang w:val="en-US"/>
        </w:rPr>
        <w:instrText xml:space="preserve"> ADDIN ZOTERO_ITEM CSL_CITATION {"citationID":"olZvTMPT","properties":{"unsorted":true,"formattedCitation":"(7,8)","plainCitation":"(7,8)","noteIndex":0},"citationItems":[{"id":394,"uris":["http://zotero.org/users/local/JMNVudIT/items/87GKRXKM"],"itemData":{"id":394,"type":"article-journal","source":"Google Scholar","title":"Profils Sociodemographique, Economique Et Alimentaire Chez Des Enfants Malnutris Aigus, Ages De 06 A 59 Mois, Reçus Au Centre Hospitalier Universitaire De Treichville (Abidjan-Cote D’ivoire)","URL":"https://www.academia.edu/download/54139434/24.pdf","author":[{"family":"Kouamé","given":"K. J."},{"family":"Amoikon","given":"K. E."},{"family":"KG","given":"Kouamé"},{"family":"Kati-Coulibaly","given":"S."}],"accessed":{"date-parts":[["2024",6,24]]},"issued":{"date-parts":[["2017"]]}},"label":"page"},{"id":611,"uris":["http://zotero.org/users/local/JMNVudIT/items/8GBGEERR"],"itemData":{"id":611,"type":"document","title":"140919_FA5_Causalite_F.pdf","URL":"https://www.inter-reseaux.org/wp-content/uploads/140919_FA5_Causalite_F.pdf","accessed":{"date-parts":[["2024",9,6]]}},"label":"page"}],"schema":"https://github.com/citation-style-language/schema/raw/master/csl-citation.json"} </w:instrText>
      </w:r>
      <w:r>
        <w:rPr>
          <w:rFonts w:cs="Times New Roman"/>
          <w:szCs w:val="24"/>
        </w:rPr>
        <w:fldChar w:fldCharType="separate"/>
      </w:r>
      <w:r>
        <w:rPr>
          <w:rFonts w:cs="Times New Roman"/>
          <w:lang w:val="en-US"/>
        </w:rPr>
        <w:t>7,8</w:t>
      </w:r>
      <w:r>
        <w:rPr>
          <w:rFonts w:cs="Times New Roman"/>
          <w:szCs w:val="24"/>
        </w:rPr>
        <w:fldChar w:fldCharType="end"/>
      </w:r>
      <w:r>
        <w:rPr>
          <w:rFonts w:cs="Times New Roman"/>
          <w:szCs w:val="24"/>
          <w:lang w:val="en-US"/>
        </w:rPr>
        <w:t xml:space="preserve">]. Several studies have shown that inadequate infant and young child feeding methods </w:t>
      </w:r>
      <w:proofErr w:type="gramStart"/>
      <w:r>
        <w:rPr>
          <w:rFonts w:cs="Times New Roman"/>
          <w:szCs w:val="24"/>
          <w:lang w:val="en-US"/>
        </w:rPr>
        <w:t>are linked</w:t>
      </w:r>
      <w:proofErr w:type="gramEnd"/>
      <w:r>
        <w:rPr>
          <w:rFonts w:cs="Times New Roman"/>
          <w:szCs w:val="24"/>
          <w:lang w:val="en-US"/>
        </w:rPr>
        <w:t xml:space="preserve"> to the socio-demographic characteristics of mothers. The food consumption of children cannot therefore be </w:t>
      </w:r>
      <w:proofErr w:type="spellStart"/>
      <w:r>
        <w:rPr>
          <w:rFonts w:cs="Times New Roman"/>
          <w:szCs w:val="24"/>
          <w:lang w:val="en-US"/>
        </w:rPr>
        <w:t>analysed</w:t>
      </w:r>
      <w:proofErr w:type="spellEnd"/>
      <w:r>
        <w:rPr>
          <w:rFonts w:cs="Times New Roman"/>
          <w:szCs w:val="24"/>
          <w:lang w:val="en-US"/>
        </w:rPr>
        <w:t xml:space="preserve"> independently of all socio-demographic characteristics such as sex, age, marital status, wealth quintile and geographical location. A study on the feeding environment of young children </w:t>
      </w:r>
      <w:proofErr w:type="gramStart"/>
      <w:r>
        <w:rPr>
          <w:rFonts w:cs="Times New Roman"/>
          <w:szCs w:val="24"/>
          <w:lang w:val="en-US"/>
        </w:rPr>
        <w:t>is needed</w:t>
      </w:r>
      <w:proofErr w:type="gramEnd"/>
      <w:r>
        <w:rPr>
          <w:rFonts w:cs="Times New Roman"/>
          <w:szCs w:val="24"/>
          <w:lang w:val="en-US"/>
        </w:rPr>
        <w:t xml:space="preserve"> to better understand the problem of feeding practices. </w:t>
      </w:r>
      <w:r>
        <w:rPr>
          <w:rStyle w:val="lev"/>
          <w:b w:val="0"/>
          <w:bCs w:val="0"/>
          <w:lang w:val="en-US"/>
        </w:rPr>
        <w:t>Based on these considerations</w:t>
      </w:r>
      <w:r>
        <w:rPr>
          <w:rStyle w:val="lev"/>
          <w:lang w:val="en-US"/>
        </w:rPr>
        <w:t>,</w:t>
      </w:r>
      <w:r>
        <w:rPr>
          <w:lang w:val="en-US"/>
        </w:rPr>
        <w:t xml:space="preserve"> the present study </w:t>
      </w:r>
      <w:proofErr w:type="gramStart"/>
      <w:r>
        <w:rPr>
          <w:lang w:val="en-US"/>
        </w:rPr>
        <w:t>was designed</w:t>
      </w:r>
      <w:proofErr w:type="gramEnd"/>
      <w:r>
        <w:rPr>
          <w:lang w:val="en-US"/>
        </w:rPr>
        <w:t xml:space="preserve"> to assess the food consumption of children aged 6 to 59 months in relation to the socio-demographic characteristics of mothers, guardian</w:t>
      </w:r>
      <w:r>
        <w:rPr>
          <w:rStyle w:val="lev"/>
          <w:lang w:val="en-US"/>
        </w:rPr>
        <w:t>,</w:t>
      </w:r>
      <w:r>
        <w:rPr>
          <w:lang w:val="en-US"/>
        </w:rPr>
        <w:t xml:space="preserve"> and households in both market garden and non-market garden areas in Niger. </w:t>
      </w:r>
      <w:r>
        <w:rPr>
          <w:rFonts w:cs="Times New Roman"/>
          <w:szCs w:val="24"/>
          <w:lang w:val="en-US"/>
        </w:rPr>
        <w:t>.</w:t>
      </w:r>
    </w:p>
    <w:p w:rsidR="00CC7802" w:rsidRDefault="00762192">
      <w:pPr>
        <w:pStyle w:val="Paragraphedeliste"/>
        <w:numPr>
          <w:ilvl w:val="0"/>
          <w:numId w:val="1"/>
        </w:numPr>
        <w:spacing w:line="276" w:lineRule="auto"/>
        <w:jc w:val="both"/>
        <w:rPr>
          <w:rFonts w:cs="Times New Roman"/>
          <w:szCs w:val="24"/>
        </w:rPr>
      </w:pPr>
      <w:r>
        <w:rPr>
          <w:rFonts w:cs="Times New Roman"/>
          <w:b/>
          <w:bCs/>
          <w:szCs w:val="24"/>
        </w:rPr>
        <w:lastRenderedPageBreak/>
        <w:t>MATERIAL AND METHODS</w:t>
      </w:r>
    </w:p>
    <w:p w:rsidR="00CC7802" w:rsidRDefault="00762192">
      <w:pPr>
        <w:pStyle w:val="Paragraphedeliste"/>
        <w:numPr>
          <w:ilvl w:val="1"/>
          <w:numId w:val="2"/>
        </w:numPr>
        <w:tabs>
          <w:tab w:val="left" w:pos="2805"/>
        </w:tabs>
        <w:spacing w:line="276" w:lineRule="auto"/>
        <w:jc w:val="both"/>
        <w:rPr>
          <w:rFonts w:cs="Times New Roman"/>
          <w:b/>
          <w:szCs w:val="24"/>
        </w:rPr>
      </w:pPr>
      <w:r>
        <w:rPr>
          <w:rFonts w:cs="Times New Roman"/>
          <w:b/>
          <w:szCs w:val="24"/>
        </w:rPr>
        <w:t xml:space="preserve"> </w:t>
      </w:r>
      <w:proofErr w:type="spellStart"/>
      <w:r>
        <w:rPr>
          <w:rFonts w:cs="Times New Roman"/>
          <w:b/>
          <w:szCs w:val="24"/>
        </w:rPr>
        <w:t>Study</w:t>
      </w:r>
      <w:proofErr w:type="spellEnd"/>
      <w:r>
        <w:rPr>
          <w:rFonts w:cs="Times New Roman"/>
          <w:b/>
          <w:szCs w:val="24"/>
        </w:rPr>
        <w:t xml:space="preserve"> area</w:t>
      </w:r>
    </w:p>
    <w:p w:rsidR="00CC7802" w:rsidRDefault="00762192">
      <w:pPr>
        <w:spacing w:line="360" w:lineRule="auto"/>
        <w:jc w:val="both"/>
        <w:rPr>
          <w:rFonts w:cs="Times New Roman"/>
          <w:szCs w:val="24"/>
        </w:rPr>
      </w:pPr>
      <w:r>
        <w:rPr>
          <w:rFonts w:cs="Times New Roman"/>
          <w:szCs w:val="24"/>
          <w:lang w:val="en-US"/>
        </w:rPr>
        <w:t xml:space="preserve">Three municipalities participated in this study. </w:t>
      </w:r>
      <w:r>
        <w:rPr>
          <w:lang w:val="en-US"/>
        </w:rPr>
        <w:t xml:space="preserve">These include the commune of </w:t>
      </w:r>
      <w:proofErr w:type="spellStart"/>
      <w:r>
        <w:rPr>
          <w:lang w:val="en-US"/>
        </w:rPr>
        <w:t>Liboré</w:t>
      </w:r>
      <w:proofErr w:type="spellEnd"/>
      <w:r>
        <w:rPr>
          <w:lang w:val="en-US"/>
        </w:rPr>
        <w:t xml:space="preserve">, located in the department of </w:t>
      </w:r>
      <w:proofErr w:type="spellStart"/>
      <w:r>
        <w:rPr>
          <w:lang w:val="en-US"/>
        </w:rPr>
        <w:t>Kollo</w:t>
      </w:r>
      <w:proofErr w:type="spellEnd"/>
      <w:r>
        <w:rPr>
          <w:lang w:val="en-US"/>
        </w:rPr>
        <w:t xml:space="preserve"> in the </w:t>
      </w:r>
      <w:proofErr w:type="spellStart"/>
      <w:r>
        <w:rPr>
          <w:lang w:val="en-US"/>
        </w:rPr>
        <w:t>Tillabéri</w:t>
      </w:r>
      <w:proofErr w:type="spellEnd"/>
      <w:r>
        <w:rPr>
          <w:lang w:val="en-US"/>
        </w:rPr>
        <w:t xml:space="preserve"> region, at Latitude 13.4047 and Longitude 2.19139. </w:t>
      </w:r>
      <w:proofErr w:type="gramStart"/>
      <w:r>
        <w:rPr>
          <w:rFonts w:cs="Times New Roman"/>
          <w:szCs w:val="24"/>
          <w:lang w:val="en-US"/>
        </w:rPr>
        <w:t>13° 24 17 North, 2° 11 29 East, with an area of 110 km</w:t>
      </w:r>
      <w:r>
        <w:rPr>
          <w:rFonts w:cs="Times New Roman"/>
          <w:szCs w:val="24"/>
          <w:vertAlign w:val="superscript"/>
          <w:lang w:val="en-US"/>
        </w:rPr>
        <w:t>2</w:t>
      </w:r>
      <w:r>
        <w:rPr>
          <w:rFonts w:cs="Times New Roman"/>
          <w:szCs w:val="24"/>
          <w:lang w:val="en-US"/>
        </w:rPr>
        <w:t xml:space="preserve">; The municipality of </w:t>
      </w:r>
      <w:proofErr w:type="spellStart"/>
      <w:r>
        <w:rPr>
          <w:rFonts w:cs="Times New Roman"/>
          <w:szCs w:val="24"/>
          <w:lang w:val="en-US"/>
        </w:rPr>
        <w:t>N'Gonga</w:t>
      </w:r>
      <w:proofErr w:type="spellEnd"/>
      <w:r>
        <w:rPr>
          <w:rFonts w:cs="Times New Roman"/>
          <w:szCs w:val="24"/>
          <w:lang w:val="en-US"/>
        </w:rPr>
        <w:t xml:space="preserve">, located 30 km south of the departmental capital of </w:t>
      </w:r>
      <w:proofErr w:type="spellStart"/>
      <w:r>
        <w:rPr>
          <w:rFonts w:cs="Times New Roman"/>
          <w:szCs w:val="24"/>
          <w:lang w:val="en-US"/>
        </w:rPr>
        <w:t>Birni</w:t>
      </w:r>
      <w:proofErr w:type="spellEnd"/>
      <w:r>
        <w:rPr>
          <w:rFonts w:cs="Times New Roman"/>
          <w:szCs w:val="24"/>
          <w:lang w:val="en-US"/>
        </w:rPr>
        <w:t xml:space="preserve"> </w:t>
      </w:r>
      <w:proofErr w:type="spellStart"/>
      <w:r>
        <w:rPr>
          <w:rFonts w:cs="Times New Roman"/>
          <w:szCs w:val="24"/>
          <w:lang w:val="en-US"/>
        </w:rPr>
        <w:t>N'Gaouré</w:t>
      </w:r>
      <w:proofErr w:type="spellEnd"/>
      <w:r>
        <w:rPr>
          <w:rFonts w:cs="Times New Roman"/>
          <w:szCs w:val="24"/>
          <w:lang w:val="en-US"/>
        </w:rPr>
        <w:t xml:space="preserve">, and the urban municipality of </w:t>
      </w:r>
      <w:proofErr w:type="spellStart"/>
      <w:r>
        <w:rPr>
          <w:rFonts w:cs="Times New Roman"/>
          <w:szCs w:val="24"/>
          <w:lang w:val="en-US"/>
        </w:rPr>
        <w:t>Dosso</w:t>
      </w:r>
      <w:proofErr w:type="spellEnd"/>
      <w:r>
        <w:rPr>
          <w:rFonts w:cs="Times New Roman"/>
          <w:szCs w:val="24"/>
          <w:lang w:val="en-US"/>
        </w:rPr>
        <w:t>, occupies the central part between latitude 13°05 north and longitude 1'30' and 30'20' east on the national road 1 (axis Niamey-</w:t>
      </w:r>
      <w:proofErr w:type="spellStart"/>
      <w:r>
        <w:rPr>
          <w:rFonts w:cs="Times New Roman"/>
          <w:szCs w:val="24"/>
          <w:lang w:val="en-US"/>
        </w:rPr>
        <w:t>N'Guigmi</w:t>
      </w:r>
      <w:proofErr w:type="spellEnd"/>
      <w:r>
        <w:rPr>
          <w:rFonts w:cs="Times New Roman"/>
          <w:szCs w:val="24"/>
          <w:lang w:val="en-US"/>
        </w:rPr>
        <w:t>), 139 km east of Niamey, with an area of 592.6 km2.</w:t>
      </w:r>
      <w:proofErr w:type="gramEnd"/>
      <w:r>
        <w:rPr>
          <w:rFonts w:cs="Times New Roman"/>
          <w:szCs w:val="24"/>
          <w:lang w:val="en-US"/>
        </w:rPr>
        <w:t xml:space="preserve"> </w:t>
      </w:r>
      <w:proofErr w:type="gramStart"/>
      <w:r>
        <w:rPr>
          <w:rFonts w:cs="Times New Roman"/>
          <w:szCs w:val="24"/>
          <w:lang w:val="en-US"/>
        </w:rPr>
        <w:t xml:space="preserve">Figure 1 shows the map of Niger and the location of the different </w:t>
      </w:r>
      <w:proofErr w:type="spellStart"/>
      <w:r>
        <w:rPr>
          <w:rFonts w:cs="Times New Roman"/>
          <w:szCs w:val="24"/>
          <w:lang w:val="en-US"/>
        </w:rPr>
        <w:t>municipalities.</w:t>
      </w:r>
      <w:r>
        <w:rPr>
          <w:szCs w:val="24"/>
          <w:highlight w:val="yellow"/>
          <w:lang w:val="en-US"/>
        </w:rPr>
        <w:t>The</w:t>
      </w:r>
      <w:proofErr w:type="spellEnd"/>
      <w:r>
        <w:rPr>
          <w:szCs w:val="24"/>
          <w:highlight w:val="yellow"/>
          <w:lang w:val="en-US"/>
        </w:rPr>
        <w:t xml:space="preserve"> selection of regions was made on the basis of the high rate of children suffering from malnutrition observed, the presence of a water point, since the populations of the riparian villages consume more fish and produce vegetables almost in season, For other communities, market gardening is an off-season activity.</w:t>
      </w:r>
      <w:r>
        <w:rPr>
          <w:szCs w:val="24"/>
          <w:highlight w:val="yellow"/>
        </w:rPr>
        <w:t>T</w:t>
      </w:r>
      <w:r>
        <w:rPr>
          <w:szCs w:val="24"/>
          <w:highlight w:val="yellow"/>
          <w:lang w:val="en-US"/>
        </w:rPr>
        <w:t xml:space="preserve">he rural municipality of </w:t>
      </w:r>
      <w:proofErr w:type="spellStart"/>
      <w:r>
        <w:rPr>
          <w:szCs w:val="24"/>
          <w:highlight w:val="yellow"/>
          <w:lang w:val="en-US"/>
        </w:rPr>
        <w:t>Liboré</w:t>
      </w:r>
      <w:proofErr w:type="spellEnd"/>
      <w:r>
        <w:rPr>
          <w:szCs w:val="24"/>
          <w:highlight w:val="yellow"/>
          <w:lang w:val="en-US"/>
        </w:rPr>
        <w:t xml:space="preserve"> as a market gardening commune, </w:t>
      </w:r>
      <w:proofErr w:type="spellStart"/>
      <w:r>
        <w:rPr>
          <w:szCs w:val="24"/>
          <w:highlight w:val="yellow"/>
          <w:lang w:val="en-US"/>
        </w:rPr>
        <w:t>N'Gonga</w:t>
      </w:r>
      <w:proofErr w:type="spellEnd"/>
      <w:r>
        <w:rPr>
          <w:szCs w:val="24"/>
          <w:highlight w:val="yellow"/>
          <w:lang w:val="en-US"/>
        </w:rPr>
        <w:t xml:space="preserve"> as a market gardening commune and </w:t>
      </w:r>
      <w:proofErr w:type="spellStart"/>
      <w:r>
        <w:rPr>
          <w:szCs w:val="24"/>
          <w:highlight w:val="yellow"/>
          <w:lang w:val="en-US"/>
        </w:rPr>
        <w:t>Dosso</w:t>
      </w:r>
      <w:proofErr w:type="spellEnd"/>
      <w:r>
        <w:rPr>
          <w:szCs w:val="24"/>
          <w:highlight w:val="yellow"/>
          <w:lang w:val="en-US"/>
        </w:rPr>
        <w:t xml:space="preserve"> as a non-market gardening urban commune</w:t>
      </w:r>
      <w:r>
        <w:rPr>
          <w:szCs w:val="24"/>
          <w:highlight w:val="yellow"/>
        </w:rPr>
        <w:t>.</w:t>
      </w:r>
      <w:proofErr w:type="gramEnd"/>
    </w:p>
    <w:p w:rsidR="00CC7802" w:rsidRDefault="00762192">
      <w:pPr>
        <w:tabs>
          <w:tab w:val="left" w:pos="2805"/>
        </w:tabs>
        <w:spacing w:line="276" w:lineRule="auto"/>
        <w:jc w:val="both"/>
        <w:rPr>
          <w:rFonts w:cs="Times New Roman"/>
          <w:b/>
          <w:szCs w:val="24"/>
        </w:rPr>
      </w:pPr>
      <w:r>
        <w:rPr>
          <w:rFonts w:cs="Times New Roman"/>
          <w:b/>
          <w:bCs/>
          <w:noProof/>
          <w:szCs w:val="24"/>
          <w:lang w:eastAsia="fr-FR"/>
        </w:rPr>
        <w:drawing>
          <wp:inline distT="0" distB="0" distL="0" distR="0">
            <wp:extent cx="5438775" cy="3328670"/>
            <wp:effectExtent l="0" t="0" r="9525" b="5080"/>
            <wp:docPr id="1" name="Image 1" descr="C:\Users\TOCHIBA\Desktop\consomt ait\33c6590f-0714-444a-8df0-ca9201350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TOCHIBA\Desktop\consomt ait\33c6590f-0714-444a-8df0-ca92013502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453822" cy="3337879"/>
                    </a:xfrm>
                    <a:prstGeom prst="rect">
                      <a:avLst/>
                    </a:prstGeom>
                    <a:noFill/>
                    <a:ln>
                      <a:noFill/>
                    </a:ln>
                  </pic:spPr>
                </pic:pic>
              </a:graphicData>
            </a:graphic>
          </wp:inline>
        </w:drawing>
      </w:r>
    </w:p>
    <w:p w:rsidR="00CC7802" w:rsidRDefault="00762192">
      <w:pPr>
        <w:spacing w:line="360" w:lineRule="auto"/>
        <w:jc w:val="both"/>
        <w:rPr>
          <w:rFonts w:cs="Times New Roman"/>
          <w:b/>
          <w:bCs/>
          <w:color w:val="000000"/>
          <w:szCs w:val="24"/>
          <w:lang w:val="en-US"/>
        </w:rPr>
      </w:pPr>
      <w:r>
        <w:rPr>
          <w:rFonts w:cs="Times New Roman"/>
          <w:b/>
          <w:bCs/>
          <w:color w:val="000000"/>
          <w:szCs w:val="24"/>
          <w:lang w:val="en-US"/>
        </w:rPr>
        <w:t xml:space="preserve">Figure 1: </w:t>
      </w:r>
      <w:r>
        <w:rPr>
          <w:rFonts w:cs="Times New Roman"/>
          <w:bCs/>
          <w:color w:val="000000"/>
          <w:szCs w:val="24"/>
          <w:lang w:val="en-US"/>
        </w:rPr>
        <w:t>Map of locations of study sites (source our study).</w:t>
      </w:r>
    </w:p>
    <w:p w:rsidR="00CC7802" w:rsidRDefault="00762192">
      <w:pPr>
        <w:tabs>
          <w:tab w:val="left" w:pos="2805"/>
        </w:tabs>
        <w:spacing w:line="276" w:lineRule="auto"/>
        <w:jc w:val="both"/>
        <w:rPr>
          <w:rFonts w:cs="Times New Roman"/>
          <w:b/>
          <w:szCs w:val="24"/>
          <w:lang w:val="en-US"/>
        </w:rPr>
      </w:pPr>
      <w:r>
        <w:rPr>
          <w:rFonts w:cs="Times New Roman"/>
          <w:b/>
          <w:szCs w:val="24"/>
          <w:lang w:val="en-US"/>
        </w:rPr>
        <w:t>1.2. Description of the study</w:t>
      </w:r>
    </w:p>
    <w:p w:rsidR="00CC7802" w:rsidRDefault="00762192">
      <w:pPr>
        <w:tabs>
          <w:tab w:val="left" w:pos="2805"/>
        </w:tabs>
        <w:spacing w:line="276" w:lineRule="auto"/>
        <w:jc w:val="both"/>
        <w:rPr>
          <w:rFonts w:cs="Times New Roman"/>
          <w:b/>
          <w:szCs w:val="24"/>
          <w:highlight w:val="yellow"/>
          <w:lang w:val="en-US"/>
        </w:rPr>
      </w:pPr>
      <w:r>
        <w:rPr>
          <w:szCs w:val="24"/>
          <w:highlight w:val="yellow"/>
          <w:lang w:val="en-US"/>
        </w:rPr>
        <w:t xml:space="preserve">The study </w:t>
      </w:r>
      <w:proofErr w:type="gramStart"/>
      <w:r>
        <w:rPr>
          <w:szCs w:val="24"/>
          <w:highlight w:val="yellow"/>
          <w:lang w:val="en-US"/>
        </w:rPr>
        <w:t>was conducted</w:t>
      </w:r>
      <w:proofErr w:type="gramEnd"/>
      <w:r>
        <w:rPr>
          <w:szCs w:val="24"/>
          <w:highlight w:val="yellow"/>
          <w:lang w:val="en-US"/>
        </w:rPr>
        <w:t xml:space="preserve"> from February 20 to August 5, 2022 with mothers/caregivers of children aged 6-59 months. It is imperative that the children are healthy and have been living in the study area for at least 6 months, with an age of between 6 and 59 months prior to inclusion. </w:t>
      </w:r>
      <w:r>
        <w:rPr>
          <w:szCs w:val="24"/>
          <w:highlight w:val="yellow"/>
          <w:lang w:val="en-US"/>
        </w:rPr>
        <w:lastRenderedPageBreak/>
        <w:t>Prior to inclusion of the mother/guardian and child in the study, parental consent is also required.</w:t>
      </w:r>
    </w:p>
    <w:p w:rsidR="00CC7802" w:rsidRDefault="00762192">
      <w:pPr>
        <w:tabs>
          <w:tab w:val="left" w:pos="2805"/>
        </w:tabs>
        <w:spacing w:line="276" w:lineRule="auto"/>
        <w:jc w:val="both"/>
        <w:rPr>
          <w:rFonts w:cs="Times New Roman"/>
          <w:b/>
          <w:szCs w:val="24"/>
          <w:lang w:val="en-US"/>
        </w:rPr>
      </w:pPr>
      <w:r>
        <w:rPr>
          <w:rFonts w:cs="Times New Roman"/>
          <w:b/>
          <w:szCs w:val="24"/>
          <w:lang w:val="en-US"/>
        </w:rPr>
        <w:t xml:space="preserve">1.3 Sampling </w:t>
      </w:r>
    </w:p>
    <w:p w:rsidR="00CC7802" w:rsidRDefault="00762192">
      <w:pPr>
        <w:spacing w:line="360" w:lineRule="auto"/>
        <w:jc w:val="both"/>
        <w:rPr>
          <w:rFonts w:cs="Times New Roman"/>
          <w:szCs w:val="24"/>
        </w:rPr>
      </w:pPr>
      <w:r>
        <w:rPr>
          <w:rFonts w:cs="Times New Roman"/>
          <w:szCs w:val="24"/>
          <w:lang w:val="en-US"/>
        </w:rPr>
        <w:t xml:space="preserve">The ASN SMART 2020 software, which </w:t>
      </w:r>
      <w:proofErr w:type="gramStart"/>
      <w:r>
        <w:rPr>
          <w:rFonts w:cs="Times New Roman"/>
          <w:szCs w:val="24"/>
          <w:lang w:val="en-US"/>
        </w:rPr>
        <w:t>is used</w:t>
      </w:r>
      <w:proofErr w:type="gramEnd"/>
      <w:r>
        <w:rPr>
          <w:rFonts w:cs="Times New Roman"/>
          <w:szCs w:val="24"/>
          <w:lang w:val="en-US"/>
        </w:rPr>
        <w:t xml:space="preserve"> in the national nutrition survey, was employed to determine the sample size by calculating the total number of mother-child pairs in the study. A cluster effect of 1.2 and a non-response rate of </w:t>
      </w:r>
      <w:proofErr w:type="gramStart"/>
      <w:r>
        <w:rPr>
          <w:rFonts w:cs="Times New Roman"/>
          <w:szCs w:val="24"/>
          <w:lang w:val="en-US"/>
        </w:rPr>
        <w:t>0</w:t>
      </w:r>
      <w:proofErr w:type="gramEnd"/>
      <w:r>
        <w:rPr>
          <w:rFonts w:cs="Times New Roman"/>
          <w:szCs w:val="24"/>
          <w:lang w:val="en-US"/>
        </w:rPr>
        <w:t xml:space="preserve"> were applied. </w:t>
      </w:r>
      <w:r>
        <w:rPr>
          <w:rFonts w:cs="Times New Roman"/>
          <w:szCs w:val="24"/>
        </w:rPr>
        <w:t xml:space="preserve">The formula </w:t>
      </w:r>
      <w:proofErr w:type="spellStart"/>
      <w:r>
        <w:rPr>
          <w:rFonts w:cs="Times New Roman"/>
          <w:szCs w:val="24"/>
        </w:rPr>
        <w:t>used</w:t>
      </w:r>
      <w:proofErr w:type="spellEnd"/>
      <w:r>
        <w:rPr>
          <w:rFonts w:cs="Times New Roman"/>
          <w:szCs w:val="24"/>
        </w:rPr>
        <w:t xml:space="preserve"> </w:t>
      </w:r>
      <w:proofErr w:type="spellStart"/>
      <w:r>
        <w:rPr>
          <w:rFonts w:cs="Times New Roman"/>
          <w:szCs w:val="24"/>
        </w:rPr>
        <w:t>is</w:t>
      </w:r>
      <w:proofErr w:type="spellEnd"/>
      <w:r>
        <w:rPr>
          <w:rFonts w:cs="Times New Roman"/>
          <w:szCs w:val="24"/>
        </w:rPr>
        <w:t xml:space="preserve"> as </w:t>
      </w:r>
      <w:proofErr w:type="spellStart"/>
      <w:r>
        <w:rPr>
          <w:rFonts w:cs="Times New Roman"/>
          <w:szCs w:val="24"/>
        </w:rPr>
        <w:t>follows</w:t>
      </w:r>
      <w:proofErr w:type="spellEnd"/>
      <w:r>
        <w:rPr>
          <w:rFonts w:cs="Times New Roman"/>
          <w:szCs w:val="24"/>
        </w:rPr>
        <w:t xml:space="preserve">: </w:t>
      </w:r>
    </w:p>
    <w:p w:rsidR="00CC7802" w:rsidRDefault="00762192">
      <w:pPr>
        <w:spacing w:line="360" w:lineRule="auto"/>
        <w:jc w:val="both"/>
        <w:rPr>
          <w:rFonts w:cs="Times New Roman"/>
          <w:szCs w:val="24"/>
        </w:rPr>
      </w:pPr>
      <m:oMath>
        <m:r>
          <w:rPr>
            <w:rFonts w:ascii="Cambria Math" w:hAnsi="Cambria Math" w:cs="Times New Roman"/>
            <w:szCs w:val="24"/>
          </w:rPr>
          <m:t>N=</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1+NR</m:t>
                </m:r>
              </m:e>
            </m:d>
            <m:d>
              <m:dPr>
                <m:begChr m:val="⌊"/>
                <m:endChr m:val="⌋"/>
                <m:ctrlPr>
                  <w:rPr>
                    <w:rFonts w:ascii="Cambria Math" w:hAnsi="Cambria Math" w:cs="Times New Roman"/>
                    <w:i/>
                    <w:szCs w:val="24"/>
                  </w:rPr>
                </m:ctrlPr>
              </m:dPr>
              <m:e>
                <m:r>
                  <w:rPr>
                    <w:rFonts w:ascii="Cambria Math" w:hAnsi="Cambria Math" w:cs="Times New Roman"/>
                    <w:szCs w:val="24"/>
                  </w:rPr>
                  <m:t>D×</m:t>
                </m:r>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2</m:t>
                    </m:r>
                  </m:sup>
                </m:sSup>
                <m:r>
                  <w:rPr>
                    <w:rFonts w:ascii="Cambria Math" w:hAnsi="Cambria Math" w:cs="Times New Roman"/>
                    <w:szCs w:val="24"/>
                  </w:rPr>
                  <m:t>p(1-p)</m:t>
                </m:r>
              </m:e>
            </m:d>
          </m:num>
          <m:den>
            <m:sSup>
              <m:sSupPr>
                <m:ctrlPr>
                  <w:rPr>
                    <w:rFonts w:ascii="Cambria Math" w:hAnsi="Cambria Math" w:cs="Times New Roman"/>
                    <w:i/>
                    <w:szCs w:val="24"/>
                  </w:rPr>
                </m:ctrlPr>
              </m:sSupPr>
              <m:e>
                <m:r>
                  <w:rPr>
                    <w:rFonts w:ascii="Cambria Math" w:hAnsi="Cambria Math" w:cs="Times New Roman"/>
                    <w:szCs w:val="24"/>
                  </w:rPr>
                  <m:t>m</m:t>
                </m:r>
              </m:e>
              <m:sup>
                <m:r>
                  <w:rPr>
                    <w:rFonts w:ascii="Cambria Math" w:hAnsi="Cambria Math" w:cs="Times New Roman"/>
                    <w:szCs w:val="24"/>
                  </w:rPr>
                  <m:t>2</m:t>
                </m:r>
              </m:sup>
            </m:sSup>
          </m:den>
        </m:f>
      </m:oMath>
      <w:r>
        <w:rPr>
          <w:rFonts w:eastAsiaTheme="minorEastAsia" w:cs="Times New Roman"/>
          <w:szCs w:val="24"/>
        </w:rPr>
        <w:t xml:space="preserve">  (1)</w:t>
      </w:r>
    </w:p>
    <w:p w:rsidR="00CC7802" w:rsidRDefault="00762192">
      <w:pPr>
        <w:spacing w:line="360" w:lineRule="auto"/>
        <w:jc w:val="both"/>
        <w:rPr>
          <w:rFonts w:cs="Times New Roman"/>
          <w:szCs w:val="24"/>
          <w:lang w:val="en-US"/>
        </w:rPr>
      </w:pPr>
      <w:r>
        <w:rPr>
          <w:rFonts w:cs="Times New Roman"/>
          <w:szCs w:val="24"/>
        </w:rPr>
        <w:t xml:space="preserve">N = (1+NR) (D*Z2*p (1- P)) / m2. </w:t>
      </w:r>
      <w:r>
        <w:rPr>
          <w:rFonts w:cs="Times New Roman"/>
          <w:szCs w:val="24"/>
          <w:lang w:val="en-US"/>
        </w:rPr>
        <w:t>The formula parameters are: N is the sample size</w:t>
      </w:r>
    </w:p>
    <w:p w:rsidR="00CC7802" w:rsidRDefault="00762192">
      <w:pPr>
        <w:pStyle w:val="Paragraphedeliste"/>
        <w:numPr>
          <w:ilvl w:val="0"/>
          <w:numId w:val="3"/>
        </w:numPr>
        <w:spacing w:line="360" w:lineRule="auto"/>
        <w:jc w:val="both"/>
        <w:rPr>
          <w:rFonts w:cs="Times New Roman"/>
          <w:szCs w:val="24"/>
          <w:lang w:val="en-US"/>
        </w:rPr>
      </w:pPr>
      <w:r>
        <w:rPr>
          <w:rFonts w:cs="Times New Roman"/>
          <w:szCs w:val="24"/>
          <w:lang w:val="en-US"/>
        </w:rPr>
        <w:t>The cluster effect is equal to D=1.2;</w:t>
      </w:r>
    </w:p>
    <w:p w:rsidR="00CC7802" w:rsidRDefault="00762192">
      <w:pPr>
        <w:pStyle w:val="Paragraphedeliste"/>
        <w:numPr>
          <w:ilvl w:val="0"/>
          <w:numId w:val="3"/>
        </w:numPr>
        <w:spacing w:line="360" w:lineRule="auto"/>
        <w:jc w:val="both"/>
        <w:rPr>
          <w:rFonts w:eastAsiaTheme="minorEastAsia" w:cs="Times New Roman"/>
          <w:b/>
          <w:szCs w:val="24"/>
          <w:vertAlign w:val="subscript"/>
          <w:lang w:val="en-US"/>
        </w:rPr>
      </w:pPr>
      <w:r>
        <w:rPr>
          <w:rFonts w:cs="Times New Roman"/>
          <w:szCs w:val="24"/>
          <w:lang w:val="en-US"/>
        </w:rPr>
        <w:t xml:space="preserve">The No Answer is equal to NR=0 ; </w:t>
      </w:r>
    </w:p>
    <w:p w:rsidR="00CC7802" w:rsidRDefault="00762192">
      <w:pPr>
        <w:pStyle w:val="Paragraphedeliste"/>
        <w:numPr>
          <w:ilvl w:val="0"/>
          <w:numId w:val="3"/>
        </w:numPr>
        <w:spacing w:line="360" w:lineRule="auto"/>
        <w:jc w:val="both"/>
        <w:rPr>
          <w:rFonts w:eastAsiaTheme="minorEastAsia" w:cs="Times New Roman"/>
          <w:b/>
          <w:szCs w:val="24"/>
          <w:vertAlign w:val="subscript"/>
          <w:lang w:val="en-US"/>
        </w:rPr>
      </w:pPr>
      <w:r>
        <w:rPr>
          <w:rFonts w:cs="Times New Roman"/>
          <w:szCs w:val="24"/>
          <w:lang w:val="en-US"/>
        </w:rPr>
        <w:t xml:space="preserve">The normal-law quantile is equal to Z=1.96; </w:t>
      </w:r>
    </w:p>
    <w:p w:rsidR="00CC7802" w:rsidRDefault="00762192">
      <w:pPr>
        <w:pStyle w:val="Paragraphedeliste"/>
        <w:numPr>
          <w:ilvl w:val="0"/>
          <w:numId w:val="3"/>
        </w:numPr>
        <w:spacing w:line="360" w:lineRule="auto"/>
        <w:jc w:val="both"/>
        <w:rPr>
          <w:rFonts w:eastAsiaTheme="minorEastAsia" w:cs="Times New Roman"/>
          <w:b/>
          <w:szCs w:val="24"/>
          <w:vertAlign w:val="subscript"/>
          <w:lang w:val="en-US"/>
        </w:rPr>
      </w:pPr>
      <w:r>
        <w:rPr>
          <w:rFonts w:cs="Times New Roman"/>
          <w:szCs w:val="24"/>
          <w:lang w:val="en-US"/>
        </w:rPr>
        <w:t xml:space="preserve">P=0.664 is the prevalence of vitamin A supplementation (% of children aged 6-59 months), SMART 2020; </w:t>
      </w:r>
    </w:p>
    <w:p w:rsidR="00CC7802" w:rsidRDefault="00762192">
      <w:pPr>
        <w:pStyle w:val="Paragraphedeliste"/>
        <w:numPr>
          <w:ilvl w:val="0"/>
          <w:numId w:val="3"/>
        </w:numPr>
        <w:spacing w:line="360" w:lineRule="auto"/>
        <w:jc w:val="both"/>
        <w:rPr>
          <w:rFonts w:eastAsiaTheme="minorEastAsia" w:cs="Times New Roman"/>
          <w:b/>
          <w:szCs w:val="24"/>
          <w:vertAlign w:val="subscript"/>
          <w:lang w:val="en-US"/>
        </w:rPr>
      </w:pPr>
      <w:r>
        <w:rPr>
          <w:rFonts w:cs="Times New Roman"/>
          <w:szCs w:val="24"/>
          <w:lang w:val="en-US"/>
        </w:rPr>
        <w:t xml:space="preserve">Chronic food insecurity situation is equal to 0.325 ; </w:t>
      </w:r>
    </w:p>
    <w:p w:rsidR="00CC7802" w:rsidRDefault="00762192">
      <w:pPr>
        <w:pStyle w:val="Paragraphedeliste"/>
        <w:numPr>
          <w:ilvl w:val="0"/>
          <w:numId w:val="3"/>
        </w:numPr>
        <w:spacing w:line="360" w:lineRule="auto"/>
        <w:jc w:val="both"/>
        <w:rPr>
          <w:rFonts w:eastAsiaTheme="minorEastAsia" w:cs="Times New Roman"/>
          <w:b/>
          <w:szCs w:val="24"/>
          <w:vertAlign w:val="subscript"/>
          <w:lang w:val="en-US"/>
        </w:rPr>
      </w:pPr>
      <w:proofErr w:type="gramStart"/>
      <w:r>
        <w:rPr>
          <w:rFonts w:cs="Times New Roman"/>
          <w:szCs w:val="24"/>
          <w:lang w:val="en-US"/>
        </w:rPr>
        <w:t>m</w:t>
      </w:r>
      <w:proofErr w:type="gramEnd"/>
      <w:r>
        <w:rPr>
          <w:rFonts w:cs="Times New Roman"/>
          <w:szCs w:val="24"/>
          <w:lang w:val="en-US"/>
        </w:rPr>
        <w:t>: Sampling error selected is equal to 0.12.</w:t>
      </w:r>
    </w:p>
    <w:p w:rsidR="00CC7802" w:rsidRDefault="00762192">
      <w:pPr>
        <w:tabs>
          <w:tab w:val="left" w:pos="2805"/>
        </w:tabs>
        <w:spacing w:line="360" w:lineRule="auto"/>
        <w:jc w:val="both"/>
        <w:rPr>
          <w:rFonts w:cs="Times New Roman"/>
          <w:szCs w:val="24"/>
          <w:lang w:val="en-US"/>
        </w:rPr>
      </w:pPr>
      <w:r>
        <w:rPr>
          <w:rFonts w:cs="Times New Roman"/>
          <w:szCs w:val="24"/>
          <w:lang w:val="en-US"/>
        </w:rPr>
        <w:t xml:space="preserve">Mother-child couples </w:t>
      </w:r>
      <w:proofErr w:type="gramStart"/>
      <w:r>
        <w:rPr>
          <w:rFonts w:cs="Times New Roman"/>
          <w:szCs w:val="24"/>
          <w:lang w:val="en-US"/>
        </w:rPr>
        <w:t>were selected</w:t>
      </w:r>
      <w:proofErr w:type="gramEnd"/>
      <w:r>
        <w:rPr>
          <w:rFonts w:cs="Times New Roman"/>
          <w:szCs w:val="24"/>
          <w:lang w:val="en-US"/>
        </w:rPr>
        <w:t xml:space="preserve"> randomly in the three municipalities, namely the municipality of </w:t>
      </w:r>
      <w:proofErr w:type="spellStart"/>
      <w:r>
        <w:rPr>
          <w:rFonts w:cs="Times New Roman"/>
          <w:szCs w:val="24"/>
          <w:lang w:val="en-US"/>
        </w:rPr>
        <w:t>Liboré</w:t>
      </w:r>
      <w:proofErr w:type="spellEnd"/>
      <w:r>
        <w:rPr>
          <w:rFonts w:cs="Times New Roman"/>
          <w:szCs w:val="24"/>
          <w:lang w:val="en-US"/>
        </w:rPr>
        <w:t xml:space="preserve">, </w:t>
      </w:r>
      <w:proofErr w:type="spellStart"/>
      <w:r>
        <w:rPr>
          <w:rFonts w:cs="Times New Roman"/>
          <w:szCs w:val="24"/>
          <w:lang w:val="en-US"/>
        </w:rPr>
        <w:t>N'Gonga</w:t>
      </w:r>
      <w:proofErr w:type="spellEnd"/>
      <w:r>
        <w:rPr>
          <w:rFonts w:cs="Times New Roman"/>
          <w:szCs w:val="24"/>
          <w:lang w:val="en-US"/>
        </w:rPr>
        <w:t xml:space="preserve"> and the urban municipality of </w:t>
      </w:r>
      <w:proofErr w:type="spellStart"/>
      <w:r>
        <w:rPr>
          <w:rFonts w:cs="Times New Roman"/>
          <w:szCs w:val="24"/>
          <w:lang w:val="en-US"/>
        </w:rPr>
        <w:t>Dosso</w:t>
      </w:r>
      <w:proofErr w:type="spellEnd"/>
      <w:r>
        <w:rPr>
          <w:rFonts w:cs="Times New Roman"/>
          <w:szCs w:val="24"/>
          <w:lang w:val="en-US"/>
        </w:rPr>
        <w:t xml:space="preserve">. The study covered </w:t>
      </w:r>
      <w:proofErr w:type="gramStart"/>
      <w:r>
        <w:rPr>
          <w:rFonts w:cs="Times New Roman"/>
          <w:szCs w:val="24"/>
          <w:lang w:val="en-US"/>
        </w:rPr>
        <w:t>a total of 214</w:t>
      </w:r>
      <w:proofErr w:type="gramEnd"/>
      <w:r>
        <w:rPr>
          <w:rFonts w:cs="Times New Roman"/>
          <w:szCs w:val="24"/>
          <w:lang w:val="en-US"/>
        </w:rPr>
        <w:t xml:space="preserve"> mother-child couples.</w:t>
      </w:r>
    </w:p>
    <w:p w:rsidR="00CC7802" w:rsidRDefault="00762192">
      <w:pPr>
        <w:tabs>
          <w:tab w:val="left" w:pos="2805"/>
        </w:tabs>
        <w:spacing w:line="276" w:lineRule="auto"/>
        <w:jc w:val="both"/>
        <w:rPr>
          <w:rFonts w:cs="Times New Roman"/>
          <w:b/>
          <w:szCs w:val="24"/>
          <w:lang w:val="en-US"/>
        </w:rPr>
      </w:pPr>
      <w:r>
        <w:rPr>
          <w:rFonts w:cs="Times New Roman"/>
          <w:b/>
          <w:szCs w:val="24"/>
          <w:lang w:val="en-US"/>
        </w:rPr>
        <w:t>1.4. Tools for collecting data</w:t>
      </w:r>
    </w:p>
    <w:p w:rsidR="00CC7802" w:rsidRDefault="00762192">
      <w:pPr>
        <w:tabs>
          <w:tab w:val="left" w:pos="2805"/>
        </w:tabs>
        <w:spacing w:line="360" w:lineRule="auto"/>
        <w:jc w:val="both"/>
        <w:rPr>
          <w:rFonts w:cs="Times New Roman"/>
          <w:szCs w:val="24"/>
          <w:lang w:val="en-US"/>
        </w:rPr>
      </w:pPr>
      <w:r>
        <w:rPr>
          <w:rFonts w:cs="Times New Roman"/>
          <w:szCs w:val="24"/>
          <w:lang w:val="en-US"/>
        </w:rPr>
        <w:t xml:space="preserve">Data collection from mothers </w:t>
      </w:r>
      <w:proofErr w:type="gramStart"/>
      <w:r>
        <w:rPr>
          <w:rFonts w:cs="Times New Roman"/>
          <w:szCs w:val="24"/>
          <w:lang w:val="en-US"/>
        </w:rPr>
        <w:t>was performed</w:t>
      </w:r>
      <w:proofErr w:type="gramEnd"/>
      <w:r>
        <w:rPr>
          <w:rFonts w:cs="Times New Roman"/>
          <w:szCs w:val="24"/>
          <w:lang w:val="en-US"/>
        </w:rPr>
        <w:t xml:space="preserve"> using oral questionnaires. The questionnaire </w:t>
      </w:r>
      <w:proofErr w:type="gramStart"/>
      <w:r>
        <w:rPr>
          <w:rFonts w:cs="Times New Roman"/>
          <w:szCs w:val="24"/>
          <w:lang w:val="en-US"/>
        </w:rPr>
        <w:t>is divided</w:t>
      </w:r>
      <w:proofErr w:type="gramEnd"/>
      <w:r>
        <w:rPr>
          <w:rFonts w:cs="Times New Roman"/>
          <w:szCs w:val="24"/>
          <w:lang w:val="en-US"/>
        </w:rPr>
        <w:t xml:space="preserve"> into three parts: socio-demographic characteristics, feeding practices and a list of all foods consumed by children on the day before the survey. </w:t>
      </w:r>
    </w:p>
    <w:p w:rsidR="00CC7802" w:rsidRDefault="00762192">
      <w:pPr>
        <w:tabs>
          <w:tab w:val="left" w:pos="2805"/>
        </w:tabs>
        <w:spacing w:line="276" w:lineRule="auto"/>
        <w:jc w:val="both"/>
        <w:rPr>
          <w:rFonts w:cs="Times New Roman"/>
          <w:b/>
          <w:szCs w:val="24"/>
          <w:lang w:val="en-US"/>
        </w:rPr>
      </w:pPr>
      <w:r>
        <w:rPr>
          <w:rFonts w:cs="Times New Roman"/>
          <w:b/>
          <w:szCs w:val="24"/>
          <w:lang w:val="en-US"/>
        </w:rPr>
        <w:t xml:space="preserve">1.5. Variable </w:t>
      </w:r>
    </w:p>
    <w:p w:rsidR="00CC7802" w:rsidRDefault="00762192">
      <w:pPr>
        <w:spacing w:before="100" w:beforeAutospacing="1" w:after="100" w:afterAutospacing="1" w:line="360" w:lineRule="auto"/>
        <w:jc w:val="both"/>
        <w:rPr>
          <w:rFonts w:eastAsia="Times New Roman" w:cs="Times New Roman"/>
          <w:szCs w:val="24"/>
          <w:lang w:val="en-US" w:eastAsia="fr-FR"/>
        </w:rPr>
      </w:pPr>
      <w:r>
        <w:rPr>
          <w:rFonts w:eastAsia="Times New Roman" w:cs="Times New Roman"/>
          <w:szCs w:val="24"/>
          <w:lang w:val="en-US" w:eastAsia="fr-FR"/>
        </w:rPr>
        <w:t xml:space="preserve">The variables for the socio-demographic characteristics of mothers include age, educational attainment, marital status, household background, and income-generating activity. For household characteristics, the variables are the practice of agriculture, livestock farming, and gardening. Regarding feeding practices, the key variable is the Food Consumption Score (FCS), which is a </w:t>
      </w:r>
      <w:proofErr w:type="gramStart"/>
      <w:r>
        <w:rPr>
          <w:rFonts w:eastAsia="Times New Roman" w:cs="Times New Roman"/>
          <w:szCs w:val="24"/>
          <w:lang w:val="en-US" w:eastAsia="fr-FR"/>
        </w:rPr>
        <w:t>method</w:t>
      </w:r>
      <w:proofErr w:type="gramEnd"/>
      <w:r>
        <w:rPr>
          <w:rFonts w:eastAsia="Times New Roman" w:cs="Times New Roman"/>
          <w:szCs w:val="24"/>
          <w:lang w:val="en-US" w:eastAsia="fr-FR"/>
        </w:rPr>
        <w:t xml:space="preserve"> used to assess children's food security. The FCS allows for the classification of children into three groups:</w:t>
      </w:r>
    </w:p>
    <w:p w:rsidR="00CC7802" w:rsidRDefault="00762192">
      <w:pPr>
        <w:numPr>
          <w:ilvl w:val="0"/>
          <w:numId w:val="4"/>
        </w:numPr>
        <w:spacing w:before="100" w:beforeAutospacing="1" w:after="100" w:afterAutospacing="1" w:line="360" w:lineRule="auto"/>
        <w:jc w:val="both"/>
        <w:rPr>
          <w:rFonts w:eastAsia="Times New Roman" w:cs="Times New Roman"/>
          <w:szCs w:val="24"/>
          <w:lang w:val="en-US" w:eastAsia="fr-FR"/>
        </w:rPr>
      </w:pPr>
      <w:r>
        <w:rPr>
          <w:rFonts w:eastAsia="Times New Roman" w:cs="Times New Roman"/>
          <w:szCs w:val="24"/>
          <w:lang w:val="en-US" w:eastAsia="fr-FR"/>
        </w:rPr>
        <w:lastRenderedPageBreak/>
        <w:t>Children with a Low Food Consumption score (LFC), where FCS ≤ 21, indicating food insecurity.</w:t>
      </w:r>
    </w:p>
    <w:p w:rsidR="00CC7802" w:rsidRDefault="00762192">
      <w:pPr>
        <w:numPr>
          <w:ilvl w:val="0"/>
          <w:numId w:val="4"/>
        </w:numPr>
        <w:spacing w:before="100" w:beforeAutospacing="1" w:after="100" w:afterAutospacing="1" w:line="360" w:lineRule="auto"/>
        <w:jc w:val="both"/>
        <w:rPr>
          <w:rFonts w:eastAsia="Times New Roman" w:cs="Times New Roman"/>
          <w:szCs w:val="24"/>
          <w:lang w:val="en-US" w:eastAsia="fr-FR"/>
        </w:rPr>
      </w:pPr>
      <w:r>
        <w:rPr>
          <w:rFonts w:eastAsia="Times New Roman" w:cs="Times New Roman"/>
          <w:szCs w:val="24"/>
          <w:lang w:val="en-US" w:eastAsia="fr-FR"/>
        </w:rPr>
        <w:t>Children with a Limited Food Consumption score (LFC), where 21.5 ≤ FCS ≤ 35, indicating children at risk of food insecurity.</w:t>
      </w:r>
    </w:p>
    <w:p w:rsidR="00CC7802" w:rsidRDefault="00762192">
      <w:pPr>
        <w:numPr>
          <w:ilvl w:val="0"/>
          <w:numId w:val="4"/>
        </w:numPr>
        <w:spacing w:before="100" w:beforeAutospacing="1" w:after="100" w:afterAutospacing="1" w:line="360" w:lineRule="auto"/>
        <w:jc w:val="both"/>
        <w:rPr>
          <w:rFonts w:eastAsia="Times New Roman" w:cs="Times New Roman"/>
          <w:szCs w:val="24"/>
          <w:lang w:val="en-US" w:eastAsia="fr-FR"/>
        </w:rPr>
      </w:pPr>
      <w:r>
        <w:rPr>
          <w:rFonts w:eastAsia="Times New Roman" w:cs="Times New Roman"/>
          <w:szCs w:val="24"/>
          <w:lang w:val="en-US" w:eastAsia="fr-FR"/>
        </w:rPr>
        <w:t>Children with an Acceptable Food Intake score (AFI), where FCS &gt; 35, indicating food security.</w:t>
      </w:r>
    </w:p>
    <w:p w:rsidR="00CC7802" w:rsidRDefault="00762192">
      <w:pPr>
        <w:tabs>
          <w:tab w:val="left" w:pos="2805"/>
        </w:tabs>
        <w:spacing w:line="276" w:lineRule="auto"/>
        <w:jc w:val="both"/>
        <w:rPr>
          <w:rFonts w:cs="Times New Roman"/>
          <w:b/>
          <w:szCs w:val="24"/>
          <w:lang w:val="en-US"/>
        </w:rPr>
      </w:pPr>
      <w:r>
        <w:rPr>
          <w:rFonts w:cs="Times New Roman"/>
          <w:b/>
          <w:szCs w:val="24"/>
          <w:lang w:val="en-US"/>
        </w:rPr>
        <w:t>1.6. Statistical analysis</w:t>
      </w:r>
    </w:p>
    <w:p w:rsidR="00CC7802" w:rsidRDefault="00762192">
      <w:pPr>
        <w:spacing w:line="360" w:lineRule="auto"/>
        <w:jc w:val="both"/>
        <w:rPr>
          <w:rFonts w:cs="Times New Roman"/>
          <w:bCs/>
          <w:szCs w:val="24"/>
        </w:rPr>
      </w:pPr>
      <w:r>
        <w:rPr>
          <w:rFonts w:cs="Times New Roman"/>
          <w:szCs w:val="24"/>
          <w:lang w:val="en-US"/>
        </w:rPr>
        <w:t xml:space="preserve">Study data </w:t>
      </w:r>
      <w:proofErr w:type="gramStart"/>
      <w:r>
        <w:rPr>
          <w:rFonts w:cs="Times New Roman"/>
          <w:szCs w:val="24"/>
          <w:lang w:val="en-US"/>
        </w:rPr>
        <w:t>were collected</w:t>
      </w:r>
      <w:proofErr w:type="gramEnd"/>
      <w:r>
        <w:rPr>
          <w:rFonts w:cs="Times New Roman"/>
          <w:szCs w:val="24"/>
          <w:lang w:val="en-US"/>
        </w:rPr>
        <w:t xml:space="preserve"> using the </w:t>
      </w:r>
      <w:proofErr w:type="spellStart"/>
      <w:r>
        <w:rPr>
          <w:rFonts w:cs="Times New Roman"/>
          <w:szCs w:val="24"/>
          <w:lang w:val="en-US"/>
        </w:rPr>
        <w:t>KoboCollect</w:t>
      </w:r>
      <w:proofErr w:type="spellEnd"/>
      <w:r>
        <w:rPr>
          <w:rFonts w:cs="Times New Roman"/>
          <w:szCs w:val="24"/>
          <w:lang w:val="en-US"/>
        </w:rPr>
        <w:t xml:space="preserve"> software and processed on STATA MP 16 and SPSS 25. </w:t>
      </w:r>
      <w:r>
        <w:rPr>
          <w:rFonts w:cs="Times New Roman"/>
          <w:bCs/>
          <w:szCs w:val="24"/>
          <w:lang w:val="en-US"/>
        </w:rPr>
        <w:t xml:space="preserve">Children’s AFI </w:t>
      </w:r>
      <w:proofErr w:type="gramStart"/>
      <w:r>
        <w:rPr>
          <w:rFonts w:cs="Times New Roman"/>
          <w:bCs/>
          <w:szCs w:val="24"/>
          <w:lang w:val="en-US"/>
        </w:rPr>
        <w:t>were cross-referenced</w:t>
      </w:r>
      <w:proofErr w:type="gramEnd"/>
      <w:r>
        <w:rPr>
          <w:rFonts w:cs="Times New Roman"/>
          <w:bCs/>
          <w:szCs w:val="24"/>
          <w:lang w:val="en-US"/>
        </w:rPr>
        <w:t xml:space="preserve"> with sociodemographic variables to determine their association. Some </w:t>
      </w:r>
      <w:r w:rsidR="00FF27BE" w:rsidRPr="00FF27BE">
        <w:rPr>
          <w:rFonts w:cs="Times New Roman"/>
          <w:bCs/>
          <w:szCs w:val="24"/>
          <w:highlight w:val="yellow"/>
          <w:lang w:val="en-US"/>
        </w:rPr>
        <w:t>variables (sociodemographic</w:t>
      </w:r>
      <w:r w:rsidR="00FF27BE" w:rsidRPr="00FF27BE">
        <w:rPr>
          <w:highlight w:val="yellow"/>
        </w:rPr>
        <w:t xml:space="preserve"> </w:t>
      </w:r>
      <w:r w:rsidR="00FF27BE" w:rsidRPr="00FF27BE">
        <w:rPr>
          <w:rFonts w:cs="Times New Roman"/>
          <w:bCs/>
          <w:szCs w:val="24"/>
          <w:highlight w:val="yellow"/>
          <w:lang w:val="en-US"/>
        </w:rPr>
        <w:t>characteristics of mothers/ guardian of children 6-59 months and households</w:t>
      </w:r>
      <w:r w:rsidR="00FF27BE">
        <w:rPr>
          <w:rFonts w:cs="Times New Roman"/>
          <w:bCs/>
          <w:szCs w:val="24"/>
          <w:lang w:val="en-US"/>
        </w:rPr>
        <w:t>)</w:t>
      </w:r>
      <w:r w:rsidR="00FF27BE" w:rsidRPr="00FF27BE">
        <w:rPr>
          <w:rFonts w:cs="Times New Roman"/>
          <w:bCs/>
          <w:szCs w:val="24"/>
          <w:lang w:val="en-US"/>
        </w:rPr>
        <w:t xml:space="preserve"> </w:t>
      </w:r>
      <w:r w:rsidR="00FF27BE">
        <w:rPr>
          <w:rFonts w:cs="Times New Roman"/>
          <w:bCs/>
          <w:szCs w:val="24"/>
          <w:lang w:val="en-US"/>
        </w:rPr>
        <w:t>were</w:t>
      </w:r>
      <w:r>
        <w:rPr>
          <w:rFonts w:cs="Times New Roman"/>
          <w:bCs/>
          <w:szCs w:val="24"/>
          <w:lang w:val="en-US"/>
        </w:rPr>
        <w:t xml:space="preserve"> expressed in terms of frequencies and percentages. The bivariate analysis </w:t>
      </w:r>
      <w:proofErr w:type="gramStart"/>
      <w:r>
        <w:rPr>
          <w:rFonts w:cs="Times New Roman"/>
          <w:bCs/>
          <w:szCs w:val="24"/>
          <w:lang w:val="en-US"/>
        </w:rPr>
        <w:t>was performed</w:t>
      </w:r>
      <w:proofErr w:type="gramEnd"/>
      <w:r>
        <w:rPr>
          <w:rFonts w:cs="Times New Roman"/>
          <w:bCs/>
          <w:szCs w:val="24"/>
          <w:lang w:val="en-US"/>
        </w:rPr>
        <w:t xml:space="preserve"> to examine the association between SCAA and dependent categorical variables to be included in the multinomial logistic regression analysis at a p-value &lt; 0.05 for more precise information on their degrees of influence. This method </w:t>
      </w:r>
      <w:proofErr w:type="gramStart"/>
      <w:r>
        <w:rPr>
          <w:rFonts w:cs="Times New Roman"/>
          <w:bCs/>
          <w:szCs w:val="24"/>
          <w:lang w:val="en-US"/>
        </w:rPr>
        <w:t>was used</w:t>
      </w:r>
      <w:proofErr w:type="gramEnd"/>
      <w:r>
        <w:rPr>
          <w:rFonts w:cs="Times New Roman"/>
          <w:bCs/>
          <w:szCs w:val="24"/>
          <w:lang w:val="en-US"/>
        </w:rPr>
        <w:t xml:space="preserve"> to model a relationship between predictive variables and dietary diversity in children aged 6-59 months. The result was presented with an odds ratio (OR) and a 95% confidence interval (CI). </w:t>
      </w:r>
      <w:r>
        <w:rPr>
          <w:rFonts w:cs="Times New Roman"/>
          <w:bCs/>
          <w:szCs w:val="24"/>
        </w:rPr>
        <w:t xml:space="preserve">A p-value &lt; 0.05 </w:t>
      </w:r>
      <w:r>
        <w:rPr>
          <w:rFonts w:cs="Times New Roman"/>
          <w:bCs/>
          <w:szCs w:val="24"/>
          <w:lang w:val="en-US"/>
        </w:rPr>
        <w:t>was considered statistically significant</w:t>
      </w:r>
      <w:r>
        <w:rPr>
          <w:rFonts w:cs="Times New Roman"/>
          <w:bCs/>
          <w:szCs w:val="24"/>
        </w:rPr>
        <w:t>.</w:t>
      </w:r>
    </w:p>
    <w:p w:rsidR="00CC7802" w:rsidRDefault="00762192">
      <w:pPr>
        <w:pStyle w:val="Paragraphedeliste"/>
        <w:numPr>
          <w:ilvl w:val="0"/>
          <w:numId w:val="1"/>
        </w:numPr>
        <w:spacing w:line="276" w:lineRule="auto"/>
        <w:jc w:val="both"/>
        <w:rPr>
          <w:rFonts w:cs="Times New Roman"/>
          <w:bCs/>
          <w:szCs w:val="24"/>
        </w:rPr>
      </w:pPr>
      <w:r>
        <w:rPr>
          <w:rFonts w:cs="Times New Roman"/>
          <w:b/>
          <w:szCs w:val="24"/>
          <w:lang w:val="en-US"/>
        </w:rPr>
        <w:t>Results</w:t>
      </w:r>
      <w:r>
        <w:rPr>
          <w:rFonts w:cs="Times New Roman"/>
          <w:b/>
          <w:szCs w:val="24"/>
        </w:rPr>
        <w:t xml:space="preserve"> </w:t>
      </w:r>
    </w:p>
    <w:p w:rsidR="00CC7802" w:rsidRDefault="00762192">
      <w:pPr>
        <w:pStyle w:val="Paragraphedeliste"/>
        <w:numPr>
          <w:ilvl w:val="1"/>
          <w:numId w:val="1"/>
        </w:numPr>
        <w:spacing w:line="276" w:lineRule="auto"/>
        <w:jc w:val="both"/>
        <w:rPr>
          <w:rFonts w:cs="Times New Roman"/>
          <w:bCs/>
          <w:szCs w:val="24"/>
        </w:rPr>
      </w:pPr>
      <w:r>
        <w:rPr>
          <w:rFonts w:cs="Times New Roman"/>
          <w:b/>
          <w:szCs w:val="24"/>
        </w:rPr>
        <w:t xml:space="preserve"> Descriptive </w:t>
      </w:r>
      <w:r>
        <w:rPr>
          <w:rFonts w:cs="Times New Roman"/>
          <w:b/>
          <w:szCs w:val="24"/>
          <w:lang w:val="en-US"/>
        </w:rPr>
        <w:t>findings</w:t>
      </w:r>
    </w:p>
    <w:p w:rsidR="00CC7802" w:rsidRDefault="00762192">
      <w:pPr>
        <w:spacing w:line="360" w:lineRule="auto"/>
        <w:jc w:val="both"/>
        <w:rPr>
          <w:rFonts w:cs="Times New Roman"/>
          <w:b/>
          <w:szCs w:val="24"/>
          <w:lang w:val="en-US"/>
        </w:rPr>
      </w:pPr>
      <w:r>
        <w:rPr>
          <w:rFonts w:cs="Times New Roman"/>
          <w:szCs w:val="24"/>
          <w:lang w:val="en-US"/>
        </w:rPr>
        <w:t xml:space="preserve">The socio-demographic characteristics of </w:t>
      </w:r>
      <w:r w:rsidRPr="00FF27BE">
        <w:rPr>
          <w:rFonts w:cs="Times New Roman"/>
          <w:szCs w:val="24"/>
          <w:highlight w:val="yellow"/>
          <w:lang w:val="en-US"/>
        </w:rPr>
        <w:t>mothers/</w:t>
      </w:r>
      <w:r w:rsidRPr="00FF27BE">
        <w:rPr>
          <w:highlight w:val="yellow"/>
        </w:rPr>
        <w:t xml:space="preserve"> </w:t>
      </w:r>
      <w:r w:rsidRPr="00FF27BE">
        <w:rPr>
          <w:rFonts w:cs="Times New Roman"/>
          <w:szCs w:val="24"/>
          <w:highlight w:val="yellow"/>
          <w:lang w:val="en-US"/>
        </w:rPr>
        <w:t>guardian</w:t>
      </w:r>
      <w:r>
        <w:rPr>
          <w:rFonts w:cs="Times New Roman"/>
          <w:szCs w:val="24"/>
          <w:lang w:val="en-US"/>
        </w:rPr>
        <w:t xml:space="preserve"> of children 6-59 months and households </w:t>
      </w:r>
      <w:proofErr w:type="gramStart"/>
      <w:r>
        <w:rPr>
          <w:rFonts w:cs="Times New Roman"/>
          <w:szCs w:val="24"/>
          <w:lang w:val="en-US"/>
        </w:rPr>
        <w:t>are summarized</w:t>
      </w:r>
      <w:proofErr w:type="gramEnd"/>
      <w:r>
        <w:rPr>
          <w:rFonts w:cs="Times New Roman"/>
          <w:szCs w:val="24"/>
          <w:lang w:val="en-US"/>
        </w:rPr>
        <w:t xml:space="preserve"> in Table 1.</w:t>
      </w:r>
    </w:p>
    <w:p w:rsidR="00CC7802" w:rsidRDefault="00762192">
      <w:pPr>
        <w:spacing w:line="360" w:lineRule="auto"/>
        <w:jc w:val="both"/>
        <w:rPr>
          <w:rFonts w:cs="Times New Roman"/>
          <w:szCs w:val="24"/>
          <w:lang w:val="en-US"/>
        </w:rPr>
      </w:pPr>
      <w:r>
        <w:rPr>
          <w:rFonts w:cs="Times New Roman"/>
          <w:b/>
          <w:szCs w:val="24"/>
          <w:lang w:val="en-US"/>
        </w:rPr>
        <w:t xml:space="preserve">Table I: Socio-demographic characteristics of mothers </w:t>
      </w:r>
      <w:r w:rsidRPr="00FF27BE">
        <w:rPr>
          <w:rFonts w:cs="Times New Roman"/>
          <w:b/>
          <w:szCs w:val="24"/>
          <w:highlight w:val="yellow"/>
          <w:lang w:val="en-US"/>
        </w:rPr>
        <w:t xml:space="preserve">or </w:t>
      </w:r>
      <w:r w:rsidR="00FF27BE" w:rsidRPr="00FF27BE">
        <w:rPr>
          <w:rFonts w:cs="Times New Roman"/>
          <w:b/>
          <w:szCs w:val="24"/>
          <w:highlight w:val="yellow"/>
          <w:lang w:val="en-US"/>
        </w:rPr>
        <w:t>guardian</w:t>
      </w:r>
      <w:r w:rsidR="00FF27BE" w:rsidRPr="00FF27BE">
        <w:rPr>
          <w:rFonts w:cs="Times New Roman"/>
          <w:b/>
          <w:szCs w:val="24"/>
          <w:lang w:val="en-US"/>
        </w:rPr>
        <w:t xml:space="preserve"> </w:t>
      </w:r>
      <w:r>
        <w:rPr>
          <w:rFonts w:cs="Times New Roman"/>
          <w:b/>
          <w:szCs w:val="24"/>
          <w:lang w:val="en-US"/>
        </w:rPr>
        <w:t>of children 6-59 months</w:t>
      </w:r>
    </w:p>
    <w:tbl>
      <w:tblPr>
        <w:tblStyle w:val="Tableausimple21"/>
        <w:tblW w:w="0" w:type="auto"/>
        <w:tblLook w:val="04A0" w:firstRow="1" w:lastRow="0" w:firstColumn="1" w:lastColumn="0" w:noHBand="0" w:noVBand="1"/>
      </w:tblPr>
      <w:tblGrid>
        <w:gridCol w:w="3261"/>
        <w:gridCol w:w="3260"/>
        <w:gridCol w:w="1276"/>
      </w:tblGrid>
      <w:tr w:rsidR="00CC7802" w:rsidTr="00CC7802">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bottom w:val="single" w:sz="12" w:space="0" w:color="auto"/>
            </w:tcBorders>
          </w:tcPr>
          <w:p w:rsidR="00CC7802" w:rsidRDefault="00762192">
            <w:pPr>
              <w:spacing w:after="0" w:line="360" w:lineRule="auto"/>
              <w:jc w:val="both"/>
              <w:rPr>
                <w:rFonts w:cs="Times New Roman"/>
                <w:b w:val="0"/>
                <w:bCs w:val="0"/>
                <w:szCs w:val="24"/>
              </w:rPr>
            </w:pPr>
            <w:r>
              <w:rPr>
                <w:rFonts w:cs="Times New Roman"/>
                <w:szCs w:val="24"/>
              </w:rPr>
              <w:t xml:space="preserve">variable </w:t>
            </w:r>
          </w:p>
        </w:tc>
        <w:tc>
          <w:tcPr>
            <w:tcW w:w="3260" w:type="dxa"/>
            <w:tcBorders>
              <w:top w:val="single" w:sz="12" w:space="0" w:color="auto"/>
              <w:bottom w:val="single" w:sz="12" w:space="0" w:color="auto"/>
            </w:tcBorders>
          </w:tcPr>
          <w:p w:rsidR="00CC7802" w:rsidRDefault="00762192">
            <w:pPr>
              <w:spacing w:after="0" w:line="360" w:lineRule="auto"/>
              <w:jc w:val="both"/>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proofErr w:type="spellStart"/>
            <w:r>
              <w:rPr>
                <w:rFonts w:cs="Times New Roman"/>
                <w:szCs w:val="24"/>
              </w:rPr>
              <w:t>Number</w:t>
            </w:r>
            <w:proofErr w:type="spellEnd"/>
          </w:p>
        </w:tc>
        <w:tc>
          <w:tcPr>
            <w:tcW w:w="1276" w:type="dxa"/>
            <w:tcBorders>
              <w:top w:val="single" w:sz="12" w:space="0" w:color="auto"/>
              <w:bottom w:val="single" w:sz="12" w:space="0" w:color="auto"/>
            </w:tcBorders>
          </w:tcPr>
          <w:p w:rsidR="00CC7802" w:rsidRDefault="00762192">
            <w:pPr>
              <w:spacing w:after="0" w:line="360" w:lineRule="auto"/>
              <w:jc w:val="both"/>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Pr>
                <w:rFonts w:cs="Times New Roman"/>
                <w:szCs w:val="24"/>
              </w:rPr>
              <w:t>%</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7797" w:type="dxa"/>
            <w:gridSpan w:val="3"/>
          </w:tcPr>
          <w:p w:rsidR="00CC7802" w:rsidRDefault="00762192">
            <w:pPr>
              <w:spacing w:after="0" w:line="360" w:lineRule="auto"/>
              <w:rPr>
                <w:rFonts w:cs="Times New Roman"/>
                <w:szCs w:val="24"/>
              </w:rPr>
            </w:pPr>
            <w:proofErr w:type="spellStart"/>
            <w:r>
              <w:rPr>
                <w:rFonts w:cs="Times New Roman"/>
                <w:szCs w:val="24"/>
              </w:rPr>
              <w:t>Mother's</w:t>
            </w:r>
            <w:proofErr w:type="spellEnd"/>
            <w:r>
              <w:rPr>
                <w:rFonts w:cs="Times New Roman"/>
                <w:szCs w:val="24"/>
              </w:rPr>
              <w:t xml:space="preserve"> </w:t>
            </w:r>
            <w:proofErr w:type="spellStart"/>
            <w:r>
              <w:rPr>
                <w:rFonts w:cs="Times New Roman"/>
                <w:szCs w:val="24"/>
              </w:rPr>
              <w:t>age</w:t>
            </w:r>
            <w:proofErr w:type="spellEnd"/>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r>
              <w:rPr>
                <w:rFonts w:cs="Times New Roman"/>
                <w:szCs w:val="24"/>
              </w:rPr>
              <w:t xml:space="preserve"> Under 20 </w:t>
            </w:r>
            <w:proofErr w:type="spellStart"/>
            <w:r>
              <w:rPr>
                <w:rFonts w:cs="Times New Roman"/>
                <w:szCs w:val="24"/>
              </w:rPr>
              <w:t>years</w:t>
            </w:r>
            <w:proofErr w:type="spellEnd"/>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11</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5,1</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r>
              <w:rPr>
                <w:rFonts w:cs="Times New Roman"/>
                <w:szCs w:val="24"/>
              </w:rPr>
              <w:t xml:space="preserve">20 - 29 </w:t>
            </w:r>
            <w:proofErr w:type="spellStart"/>
            <w:r>
              <w:rPr>
                <w:rFonts w:cs="Times New Roman"/>
                <w:szCs w:val="24"/>
              </w:rPr>
              <w:t>years</w:t>
            </w:r>
            <w:proofErr w:type="spellEnd"/>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103</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48,1</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r>
              <w:rPr>
                <w:rFonts w:cs="Times New Roman"/>
                <w:szCs w:val="24"/>
              </w:rPr>
              <w:t xml:space="preserve">30 -3 9 </w:t>
            </w:r>
            <w:proofErr w:type="spellStart"/>
            <w:r>
              <w:rPr>
                <w:rFonts w:cs="Times New Roman"/>
                <w:szCs w:val="24"/>
              </w:rPr>
              <w:t>years</w:t>
            </w:r>
            <w:proofErr w:type="spellEnd"/>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72</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33,6</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r>
              <w:rPr>
                <w:rFonts w:cs="Times New Roman"/>
                <w:szCs w:val="24"/>
              </w:rPr>
              <w:t xml:space="preserve">40 </w:t>
            </w:r>
            <w:proofErr w:type="spellStart"/>
            <w:r>
              <w:rPr>
                <w:rFonts w:cs="Times New Roman"/>
                <w:szCs w:val="24"/>
              </w:rPr>
              <w:t>years</w:t>
            </w:r>
            <w:proofErr w:type="spellEnd"/>
            <w:r>
              <w:rPr>
                <w:rFonts w:cs="Times New Roman"/>
                <w:szCs w:val="24"/>
              </w:rPr>
              <w:t xml:space="preserve"> to more</w:t>
            </w:r>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28</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13,1</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7797" w:type="dxa"/>
            <w:gridSpan w:val="3"/>
          </w:tcPr>
          <w:p w:rsidR="00CC7802" w:rsidRDefault="00762192">
            <w:pPr>
              <w:spacing w:after="0" w:line="360" w:lineRule="auto"/>
              <w:jc w:val="both"/>
              <w:rPr>
                <w:rFonts w:cs="Times New Roman"/>
                <w:b w:val="0"/>
                <w:bCs w:val="0"/>
                <w:szCs w:val="24"/>
              </w:rPr>
            </w:pPr>
            <w:r>
              <w:rPr>
                <w:rFonts w:cs="Times New Roman"/>
                <w:szCs w:val="24"/>
              </w:rPr>
              <w:t xml:space="preserve">Marital </w:t>
            </w:r>
            <w:proofErr w:type="spellStart"/>
            <w:r>
              <w:rPr>
                <w:rFonts w:cs="Times New Roman"/>
                <w:szCs w:val="24"/>
              </w:rPr>
              <w:t>status</w:t>
            </w:r>
            <w:proofErr w:type="spellEnd"/>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proofErr w:type="spellStart"/>
            <w:r>
              <w:rPr>
                <w:rFonts w:cs="Times New Roman"/>
                <w:szCs w:val="24"/>
              </w:rPr>
              <w:t>Married</w:t>
            </w:r>
            <w:proofErr w:type="spellEnd"/>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208</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97,2</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proofErr w:type="spellStart"/>
            <w:r>
              <w:rPr>
                <w:rFonts w:cs="Times New Roman"/>
                <w:szCs w:val="24"/>
              </w:rPr>
              <w:lastRenderedPageBreak/>
              <w:t>Divorced</w:t>
            </w:r>
            <w:proofErr w:type="spellEnd"/>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  0,9</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proofErr w:type="spellStart"/>
            <w:r>
              <w:rPr>
                <w:rFonts w:cs="Times New Roman"/>
                <w:szCs w:val="24"/>
              </w:rPr>
              <w:t>Widow</w:t>
            </w:r>
            <w:proofErr w:type="spellEnd"/>
            <w:r>
              <w:rPr>
                <w:rFonts w:cs="Times New Roman"/>
                <w:szCs w:val="24"/>
              </w:rPr>
              <w:t xml:space="preserve"> </w:t>
            </w:r>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  1,9</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7797" w:type="dxa"/>
            <w:gridSpan w:val="3"/>
          </w:tcPr>
          <w:p w:rsidR="00CC7802" w:rsidRDefault="00762192">
            <w:pPr>
              <w:pStyle w:val="NormalWeb"/>
              <w:rPr>
                <w:b w:val="0"/>
                <w:bCs w:val="0"/>
              </w:rPr>
            </w:pPr>
            <w:proofErr w:type="spellStart"/>
            <w:r>
              <w:t>Level</w:t>
            </w:r>
            <w:proofErr w:type="spellEnd"/>
            <w:r>
              <w:t xml:space="preserve"> of </w:t>
            </w:r>
            <w:proofErr w:type="spellStart"/>
            <w:r>
              <w:t>education</w:t>
            </w:r>
            <w:proofErr w:type="spellEnd"/>
          </w:p>
        </w:tc>
      </w:tr>
      <w:tr w:rsidR="00CC7802" w:rsidTr="00CC7802">
        <w:trPr>
          <w:trHeight w:val="48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proofErr w:type="spellStart"/>
            <w:r>
              <w:rPr>
                <w:rFonts w:cs="Times New Roman"/>
                <w:szCs w:val="24"/>
              </w:rPr>
              <w:t>Higher</w:t>
            </w:r>
            <w:proofErr w:type="spellEnd"/>
            <w:r>
              <w:rPr>
                <w:rFonts w:cs="Times New Roman"/>
                <w:szCs w:val="24"/>
              </w:rPr>
              <w:t xml:space="preserve"> </w:t>
            </w:r>
            <w:proofErr w:type="spellStart"/>
            <w:r>
              <w:rPr>
                <w:rFonts w:cs="Times New Roman"/>
                <w:szCs w:val="24"/>
              </w:rPr>
              <w:t>education</w:t>
            </w:r>
            <w:proofErr w:type="spellEnd"/>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 xml:space="preserve">  3,3</w:t>
            </w:r>
          </w:p>
        </w:tc>
      </w:tr>
      <w:tr w:rsidR="00CC7802" w:rsidTr="00CC7802">
        <w:trPr>
          <w:trHeight w:val="48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proofErr w:type="spellStart"/>
            <w:r>
              <w:rPr>
                <w:rFonts w:cs="Times New Roman"/>
                <w:szCs w:val="24"/>
              </w:rPr>
              <w:t>Secondary</w:t>
            </w:r>
            <w:proofErr w:type="spellEnd"/>
            <w:r>
              <w:rPr>
                <w:rFonts w:cs="Times New Roman"/>
                <w:szCs w:val="24"/>
              </w:rPr>
              <w:t xml:space="preserve"> </w:t>
            </w:r>
            <w:proofErr w:type="spellStart"/>
            <w:r>
              <w:rPr>
                <w:rFonts w:cs="Times New Roman"/>
                <w:szCs w:val="24"/>
              </w:rPr>
              <w:t>education</w:t>
            </w:r>
            <w:proofErr w:type="spellEnd"/>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41</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19,2</w:t>
            </w:r>
          </w:p>
        </w:tc>
      </w:tr>
      <w:tr w:rsidR="00CC7802" w:rsidTr="00CC7802">
        <w:trPr>
          <w:trHeight w:val="48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proofErr w:type="spellStart"/>
            <w:r>
              <w:rPr>
                <w:rFonts w:cs="Times New Roman"/>
                <w:szCs w:val="24"/>
              </w:rPr>
              <w:t>Primary</w:t>
            </w:r>
            <w:proofErr w:type="spellEnd"/>
            <w:r>
              <w:rPr>
                <w:rFonts w:cs="Times New Roman"/>
                <w:szCs w:val="24"/>
              </w:rPr>
              <w:t xml:space="preserve"> </w:t>
            </w:r>
            <w:proofErr w:type="spellStart"/>
            <w:r>
              <w:rPr>
                <w:rFonts w:cs="Times New Roman"/>
                <w:szCs w:val="24"/>
              </w:rPr>
              <w:t>education</w:t>
            </w:r>
            <w:proofErr w:type="spellEnd"/>
            <w:r>
              <w:rPr>
                <w:rFonts w:cs="Times New Roman"/>
                <w:szCs w:val="24"/>
              </w:rPr>
              <w:t xml:space="preserve"> </w:t>
            </w:r>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49</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22,9</w:t>
            </w:r>
          </w:p>
        </w:tc>
      </w:tr>
      <w:tr w:rsidR="00CC7802" w:rsidTr="00CC7802">
        <w:trPr>
          <w:trHeight w:val="48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proofErr w:type="spellStart"/>
            <w:r>
              <w:rPr>
                <w:rFonts w:cs="Times New Roman"/>
                <w:szCs w:val="24"/>
              </w:rPr>
              <w:t>Quranic</w:t>
            </w:r>
            <w:proofErr w:type="spellEnd"/>
            <w:r>
              <w:rPr>
                <w:rFonts w:cs="Times New Roman"/>
                <w:szCs w:val="24"/>
              </w:rPr>
              <w:t xml:space="preserve"> </w:t>
            </w:r>
            <w:proofErr w:type="spellStart"/>
            <w:r>
              <w:rPr>
                <w:rFonts w:cs="Times New Roman"/>
                <w:szCs w:val="24"/>
              </w:rPr>
              <w:t>School</w:t>
            </w:r>
            <w:proofErr w:type="spellEnd"/>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23</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10,7</w:t>
            </w:r>
          </w:p>
        </w:tc>
      </w:tr>
      <w:tr w:rsidR="00CC7802" w:rsidTr="00CC7802">
        <w:trPr>
          <w:trHeight w:val="48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r>
              <w:rPr>
                <w:rFonts w:cs="Times New Roman"/>
                <w:szCs w:val="24"/>
              </w:rPr>
              <w:t xml:space="preserve">No </w:t>
            </w:r>
            <w:proofErr w:type="spellStart"/>
            <w:r>
              <w:rPr>
                <w:rFonts w:cs="Times New Roman"/>
                <w:szCs w:val="24"/>
              </w:rPr>
              <w:t>formal</w:t>
            </w:r>
            <w:proofErr w:type="spellEnd"/>
            <w:r>
              <w:rPr>
                <w:rFonts w:cs="Times New Roman"/>
                <w:szCs w:val="24"/>
              </w:rPr>
              <w:t xml:space="preserve"> </w:t>
            </w:r>
            <w:proofErr w:type="spellStart"/>
            <w:r>
              <w:rPr>
                <w:rFonts w:cs="Times New Roman"/>
                <w:szCs w:val="24"/>
              </w:rPr>
              <w:t>education</w:t>
            </w:r>
            <w:proofErr w:type="spellEnd"/>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94</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43,9</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7797" w:type="dxa"/>
            <w:gridSpan w:val="3"/>
          </w:tcPr>
          <w:p w:rsidR="00CC7802" w:rsidRDefault="00762192">
            <w:pPr>
              <w:spacing w:after="0" w:line="360" w:lineRule="auto"/>
              <w:rPr>
                <w:rFonts w:cs="Times New Roman"/>
                <w:szCs w:val="24"/>
              </w:rPr>
            </w:pPr>
            <w:r>
              <w:rPr>
                <w:rFonts w:cs="Times New Roman"/>
                <w:szCs w:val="24"/>
              </w:rPr>
              <w:t xml:space="preserve">Source of </w:t>
            </w:r>
            <w:proofErr w:type="spellStart"/>
            <w:r>
              <w:rPr>
                <w:rFonts w:cs="Times New Roman"/>
                <w:szCs w:val="24"/>
              </w:rPr>
              <w:t>income</w:t>
            </w:r>
            <w:proofErr w:type="spellEnd"/>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proofErr w:type="spellStart"/>
            <w:r>
              <w:rPr>
                <w:rFonts w:cs="Times New Roman"/>
                <w:szCs w:val="24"/>
              </w:rPr>
              <w:t>Employee</w:t>
            </w:r>
            <w:proofErr w:type="spellEnd"/>
            <w:r>
              <w:rPr>
                <w:rFonts w:cs="Times New Roman"/>
                <w:szCs w:val="24"/>
              </w:rPr>
              <w:t xml:space="preserve"> </w:t>
            </w:r>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13</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6,1</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proofErr w:type="spellStart"/>
            <w:r>
              <w:rPr>
                <w:rFonts w:cs="Times New Roman"/>
                <w:szCs w:val="24"/>
              </w:rPr>
              <w:t>Farming</w:t>
            </w:r>
            <w:proofErr w:type="spellEnd"/>
            <w:r>
              <w:rPr>
                <w:rFonts w:cs="Times New Roman"/>
                <w:szCs w:val="24"/>
              </w:rPr>
              <w:t xml:space="preserve"> </w:t>
            </w:r>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32</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15,0</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r>
              <w:rPr>
                <w:rFonts w:cs="Times New Roman"/>
                <w:szCs w:val="24"/>
              </w:rPr>
              <w:t>Trader</w:t>
            </w:r>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65</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30,4</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r>
              <w:rPr>
                <w:rFonts w:cs="Times New Roman"/>
                <w:szCs w:val="24"/>
              </w:rPr>
              <w:t xml:space="preserve">No </w:t>
            </w:r>
            <w:proofErr w:type="spellStart"/>
            <w:r>
              <w:rPr>
                <w:rFonts w:cs="Times New Roman"/>
                <w:szCs w:val="24"/>
              </w:rPr>
              <w:t>income</w:t>
            </w:r>
            <w:proofErr w:type="spellEnd"/>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104</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48,6</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7797" w:type="dxa"/>
            <w:gridSpan w:val="3"/>
          </w:tcPr>
          <w:p w:rsidR="00CC7802" w:rsidRDefault="00762192">
            <w:pPr>
              <w:spacing w:after="0" w:line="360" w:lineRule="auto"/>
              <w:jc w:val="both"/>
              <w:rPr>
                <w:rFonts w:cs="Times New Roman"/>
                <w:b w:val="0"/>
                <w:bCs w:val="0"/>
                <w:szCs w:val="24"/>
                <w:lang w:val="en-US"/>
              </w:rPr>
            </w:pPr>
            <w:r>
              <w:rPr>
                <w:rFonts w:eastAsia="Times New Roman" w:cs="Times New Roman"/>
                <w:szCs w:val="24"/>
                <w:lang w:val="en-US" w:eastAsia="fr-FR"/>
              </w:rPr>
              <w:t>Number of persons in household</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r>
              <w:rPr>
                <w:rFonts w:cs="Times New Roman"/>
                <w:szCs w:val="24"/>
              </w:rPr>
              <w:t>1 to 4</w:t>
            </w:r>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211</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98,5</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r>
              <w:rPr>
                <w:rFonts w:cs="Times New Roman"/>
                <w:szCs w:val="24"/>
              </w:rPr>
              <w:t>5 to 7</w:t>
            </w:r>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r>
              <w:rPr>
                <w:rFonts w:cs="Times New Roman"/>
                <w:szCs w:val="24"/>
              </w:rPr>
              <w:t>8 to more</w:t>
            </w:r>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0,5</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Cs w:val="0"/>
                <w:szCs w:val="24"/>
              </w:rPr>
            </w:pPr>
            <w:r>
              <w:rPr>
                <w:rFonts w:cs="Times New Roman"/>
                <w:szCs w:val="24"/>
              </w:rPr>
              <w:t>Practice of agriculture</w:t>
            </w:r>
          </w:p>
        </w:tc>
        <w:tc>
          <w:tcPr>
            <w:tcW w:w="3260" w:type="dxa"/>
            <w:noWrap/>
          </w:tcPr>
          <w:p w:rsidR="00CC7802" w:rsidRDefault="00CC780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276" w:type="dxa"/>
            <w:noWrap/>
          </w:tcPr>
          <w:p w:rsidR="00CC7802" w:rsidRDefault="00CC780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proofErr w:type="spellStart"/>
            <w:r>
              <w:rPr>
                <w:rFonts w:cs="Times New Roman"/>
                <w:szCs w:val="24"/>
              </w:rPr>
              <w:t>Yes</w:t>
            </w:r>
            <w:proofErr w:type="spellEnd"/>
            <w:r>
              <w:rPr>
                <w:rFonts w:cs="Times New Roman"/>
                <w:szCs w:val="24"/>
              </w:rPr>
              <w:t xml:space="preserve">  </w:t>
            </w:r>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162</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75,70</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r>
              <w:rPr>
                <w:rFonts w:cs="Times New Roman"/>
                <w:szCs w:val="24"/>
              </w:rPr>
              <w:t xml:space="preserve">No </w:t>
            </w:r>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51</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24,30</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Cs w:val="0"/>
                <w:szCs w:val="24"/>
              </w:rPr>
            </w:pPr>
            <w:r>
              <w:rPr>
                <w:rFonts w:cs="Times New Roman"/>
                <w:szCs w:val="24"/>
              </w:rPr>
              <w:t xml:space="preserve">Practice of </w:t>
            </w:r>
            <w:proofErr w:type="spellStart"/>
            <w:r>
              <w:rPr>
                <w:rFonts w:cs="Times New Roman"/>
                <w:szCs w:val="24"/>
              </w:rPr>
              <w:t>gardening</w:t>
            </w:r>
            <w:proofErr w:type="spellEnd"/>
          </w:p>
        </w:tc>
        <w:tc>
          <w:tcPr>
            <w:tcW w:w="3260" w:type="dxa"/>
            <w:noWrap/>
          </w:tcPr>
          <w:p w:rsidR="00CC7802" w:rsidRDefault="00CC780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276" w:type="dxa"/>
            <w:noWrap/>
          </w:tcPr>
          <w:p w:rsidR="00CC7802" w:rsidRDefault="00CC780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proofErr w:type="spellStart"/>
            <w:r>
              <w:rPr>
                <w:rFonts w:cs="Times New Roman"/>
                <w:szCs w:val="24"/>
              </w:rPr>
              <w:t>Yes</w:t>
            </w:r>
            <w:proofErr w:type="spellEnd"/>
            <w:r>
              <w:rPr>
                <w:rFonts w:cs="Times New Roman"/>
                <w:szCs w:val="24"/>
              </w:rPr>
              <w:t xml:space="preserve"> </w:t>
            </w:r>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84</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39,25</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r>
              <w:rPr>
                <w:rFonts w:cs="Times New Roman"/>
                <w:szCs w:val="24"/>
              </w:rPr>
              <w:t xml:space="preserve">No </w:t>
            </w:r>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130</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60,75</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Cs w:val="0"/>
                <w:szCs w:val="24"/>
              </w:rPr>
            </w:pPr>
            <w:proofErr w:type="spellStart"/>
            <w:r>
              <w:rPr>
                <w:rFonts w:cs="Times New Roman"/>
                <w:szCs w:val="24"/>
              </w:rPr>
              <w:t>Pratice</w:t>
            </w:r>
            <w:proofErr w:type="spellEnd"/>
            <w:r>
              <w:rPr>
                <w:rFonts w:cs="Times New Roman"/>
                <w:szCs w:val="24"/>
              </w:rPr>
              <w:t xml:space="preserve"> of </w:t>
            </w:r>
            <w:proofErr w:type="spellStart"/>
            <w:r>
              <w:rPr>
                <w:rFonts w:cs="Times New Roman"/>
                <w:szCs w:val="24"/>
              </w:rPr>
              <w:t>husbandry</w:t>
            </w:r>
            <w:proofErr w:type="spellEnd"/>
          </w:p>
        </w:tc>
        <w:tc>
          <w:tcPr>
            <w:tcW w:w="3260" w:type="dxa"/>
            <w:noWrap/>
          </w:tcPr>
          <w:p w:rsidR="00CC7802" w:rsidRDefault="00CC780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276" w:type="dxa"/>
            <w:noWrap/>
          </w:tcPr>
          <w:p w:rsidR="00CC7802" w:rsidRDefault="00CC780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proofErr w:type="spellStart"/>
            <w:r>
              <w:rPr>
                <w:rFonts w:cs="Times New Roman"/>
                <w:szCs w:val="24"/>
              </w:rPr>
              <w:t>Yes</w:t>
            </w:r>
            <w:proofErr w:type="spellEnd"/>
            <w:r>
              <w:rPr>
                <w:rFonts w:cs="Times New Roman"/>
                <w:szCs w:val="24"/>
              </w:rPr>
              <w:t xml:space="preserve"> </w:t>
            </w:r>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123</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57,5</w:t>
            </w:r>
          </w:p>
        </w:tc>
      </w:tr>
      <w:tr w:rsidR="00CC7802" w:rsidTr="00CC7802">
        <w:trPr>
          <w:trHeight w:val="300"/>
        </w:trPr>
        <w:tc>
          <w:tcPr>
            <w:cnfStyle w:val="001000000000" w:firstRow="0" w:lastRow="0" w:firstColumn="1" w:lastColumn="0" w:oddVBand="0" w:evenVBand="0" w:oddHBand="0" w:evenHBand="0" w:firstRowFirstColumn="0" w:firstRowLastColumn="0" w:lastRowFirstColumn="0" w:lastRowLastColumn="0"/>
            <w:tcW w:w="3261" w:type="dxa"/>
          </w:tcPr>
          <w:p w:rsidR="00CC7802" w:rsidRDefault="00762192">
            <w:pPr>
              <w:spacing w:after="0" w:line="360" w:lineRule="auto"/>
              <w:jc w:val="both"/>
              <w:rPr>
                <w:rFonts w:cs="Times New Roman"/>
                <w:b w:val="0"/>
                <w:bCs w:val="0"/>
                <w:szCs w:val="24"/>
              </w:rPr>
            </w:pPr>
            <w:r>
              <w:rPr>
                <w:rFonts w:cs="Times New Roman"/>
                <w:szCs w:val="24"/>
              </w:rPr>
              <w:t xml:space="preserve">No </w:t>
            </w:r>
          </w:p>
        </w:tc>
        <w:tc>
          <w:tcPr>
            <w:tcW w:w="3260"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91</w:t>
            </w:r>
          </w:p>
        </w:tc>
        <w:tc>
          <w:tcPr>
            <w:tcW w:w="1276" w:type="dxa"/>
            <w:noWrap/>
          </w:tcPr>
          <w:p w:rsidR="00CC7802" w:rsidRDefault="00762192">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42,5</w:t>
            </w:r>
          </w:p>
        </w:tc>
      </w:tr>
    </w:tbl>
    <w:p w:rsidR="00CC7802" w:rsidRDefault="00762192">
      <w:pPr>
        <w:spacing w:line="360" w:lineRule="auto"/>
        <w:jc w:val="both"/>
        <w:rPr>
          <w:rFonts w:cs="Times New Roman"/>
          <w:szCs w:val="24"/>
        </w:rPr>
      </w:pPr>
      <w:r>
        <w:rPr>
          <w:rFonts w:cs="Times New Roman"/>
          <w:szCs w:val="24"/>
        </w:rPr>
        <w:t xml:space="preserve"> </w:t>
      </w:r>
    </w:p>
    <w:p w:rsidR="00CC7802" w:rsidRDefault="00762192">
      <w:pPr>
        <w:spacing w:line="360" w:lineRule="auto"/>
        <w:jc w:val="both"/>
        <w:rPr>
          <w:rFonts w:cs="Times New Roman"/>
          <w:szCs w:val="24"/>
          <w:lang w:val="en-US"/>
        </w:rPr>
      </w:pPr>
      <w:r>
        <w:rPr>
          <w:rFonts w:cs="Times New Roman"/>
          <w:szCs w:val="24"/>
          <w:lang w:val="en-US"/>
        </w:rPr>
        <w:t xml:space="preserve">The analysis in table 1 shows that the 20-29 age group </w:t>
      </w:r>
      <w:proofErr w:type="gramStart"/>
      <w:r>
        <w:rPr>
          <w:rFonts w:cs="Times New Roman"/>
          <w:szCs w:val="24"/>
          <w:lang w:val="en-US"/>
        </w:rPr>
        <w:t>is most represented</w:t>
      </w:r>
      <w:proofErr w:type="gramEnd"/>
      <w:r>
        <w:rPr>
          <w:rFonts w:cs="Times New Roman"/>
          <w:szCs w:val="24"/>
          <w:lang w:val="en-US"/>
        </w:rPr>
        <w:t xml:space="preserve"> with a frequency (percentage) of 48.1%, followed by the 30-39 age group with 33.6%. About 97.20% </w:t>
      </w:r>
      <w:r w:rsidRPr="00FF27BE">
        <w:rPr>
          <w:rFonts w:cs="Times New Roman"/>
          <w:szCs w:val="24"/>
          <w:highlight w:val="yellow"/>
          <w:lang w:val="en-US"/>
        </w:rPr>
        <w:t>of mothers/</w:t>
      </w:r>
      <w:r w:rsidRPr="00FF27BE">
        <w:rPr>
          <w:highlight w:val="yellow"/>
        </w:rPr>
        <w:t xml:space="preserve"> </w:t>
      </w:r>
      <w:r w:rsidRPr="00FF27BE">
        <w:rPr>
          <w:rFonts w:cs="Times New Roman"/>
          <w:szCs w:val="24"/>
          <w:highlight w:val="yellow"/>
          <w:lang w:val="en-US"/>
        </w:rPr>
        <w:t>guardian a</w:t>
      </w:r>
      <w:r>
        <w:rPr>
          <w:rFonts w:cs="Times New Roman"/>
          <w:szCs w:val="24"/>
          <w:lang w:val="en-US"/>
        </w:rPr>
        <w:t>re married and 45.33% are not in school. Mothers/</w:t>
      </w:r>
      <w:r>
        <w:t xml:space="preserve"> </w:t>
      </w:r>
      <w:r>
        <w:rPr>
          <w:rFonts w:cs="Times New Roman"/>
          <w:szCs w:val="24"/>
          <w:lang w:val="en-US"/>
        </w:rPr>
        <w:t xml:space="preserve">guardian without income and traders represent 47.7% and 30.4% respectively. The most representative household size is [1-4] persons. </w:t>
      </w:r>
      <w:proofErr w:type="gramStart"/>
      <w:r>
        <w:rPr>
          <w:rFonts w:cs="Times New Roman"/>
          <w:szCs w:val="24"/>
          <w:lang w:val="en-US"/>
        </w:rPr>
        <w:t>There is 75.70% who</w:t>
      </w:r>
      <w:proofErr w:type="gramEnd"/>
      <w:r>
        <w:rPr>
          <w:rFonts w:cs="Times New Roman"/>
          <w:szCs w:val="24"/>
          <w:lang w:val="en-US"/>
        </w:rPr>
        <w:t xml:space="preserve"> practices agriculture, 39.25% practices gardening as for livestock it is only 57.5% practical.</w:t>
      </w:r>
    </w:p>
    <w:p w:rsidR="00CC7802" w:rsidRDefault="00762192">
      <w:pPr>
        <w:pStyle w:val="Paragraphedeliste"/>
        <w:numPr>
          <w:ilvl w:val="1"/>
          <w:numId w:val="1"/>
        </w:numPr>
        <w:spacing w:line="360" w:lineRule="auto"/>
        <w:jc w:val="both"/>
        <w:rPr>
          <w:rFonts w:cs="Times New Roman"/>
          <w:b/>
          <w:szCs w:val="24"/>
        </w:rPr>
      </w:pPr>
      <w:r>
        <w:rPr>
          <w:rFonts w:cs="Times New Roman"/>
          <w:b/>
          <w:szCs w:val="24"/>
          <w:lang w:val="en-US"/>
        </w:rPr>
        <w:lastRenderedPageBreak/>
        <w:t xml:space="preserve"> </w:t>
      </w:r>
      <w:proofErr w:type="spellStart"/>
      <w:r>
        <w:rPr>
          <w:rFonts w:cs="Times New Roman"/>
          <w:b/>
          <w:szCs w:val="24"/>
        </w:rPr>
        <w:t>Analytical</w:t>
      </w:r>
      <w:proofErr w:type="spellEnd"/>
      <w:r>
        <w:rPr>
          <w:rFonts w:cs="Times New Roman"/>
          <w:b/>
          <w:szCs w:val="24"/>
        </w:rPr>
        <w:t xml:space="preserve"> </w:t>
      </w:r>
      <w:proofErr w:type="spellStart"/>
      <w:r>
        <w:rPr>
          <w:rFonts w:cs="Times New Roman"/>
          <w:b/>
          <w:szCs w:val="24"/>
        </w:rPr>
        <w:t>results</w:t>
      </w:r>
      <w:proofErr w:type="spellEnd"/>
      <w:r>
        <w:rPr>
          <w:rFonts w:cs="Times New Roman"/>
          <w:b/>
          <w:szCs w:val="24"/>
        </w:rPr>
        <w:t xml:space="preserve"> </w:t>
      </w:r>
    </w:p>
    <w:p w:rsidR="00CC7802" w:rsidRDefault="00762192">
      <w:pPr>
        <w:pStyle w:val="Paragraphedeliste"/>
        <w:numPr>
          <w:ilvl w:val="2"/>
          <w:numId w:val="1"/>
        </w:numPr>
        <w:spacing w:line="360" w:lineRule="auto"/>
        <w:jc w:val="both"/>
        <w:rPr>
          <w:rFonts w:cs="Times New Roman"/>
          <w:b/>
          <w:szCs w:val="24"/>
          <w:lang w:val="en-US"/>
        </w:rPr>
      </w:pPr>
      <w:r>
        <w:rPr>
          <w:rFonts w:cs="Times New Roman"/>
          <w:b/>
          <w:szCs w:val="24"/>
          <w:lang w:val="en-US"/>
        </w:rPr>
        <w:t>Dietary profile of children aged 6-59 months according to the Food Intake Score (FIS)</w:t>
      </w:r>
    </w:p>
    <w:p w:rsidR="00CC7802" w:rsidRDefault="00762192">
      <w:pPr>
        <w:spacing w:line="480" w:lineRule="auto"/>
        <w:jc w:val="both"/>
        <w:rPr>
          <w:rFonts w:cs="Times New Roman"/>
          <w:szCs w:val="24"/>
          <w:lang w:val="en-US"/>
        </w:rPr>
      </w:pPr>
      <w:r>
        <w:rPr>
          <w:rFonts w:cs="Times New Roman"/>
          <w:szCs w:val="24"/>
          <w:lang w:val="en-US"/>
        </w:rPr>
        <w:t xml:space="preserve">Figure 1 shows the rate of consumption of food groups by area for children aged 6-59 months. In all areas, starches (cereals, root, and </w:t>
      </w:r>
      <w:proofErr w:type="gramStart"/>
      <w:r>
        <w:rPr>
          <w:rFonts w:cs="Times New Roman"/>
          <w:szCs w:val="24"/>
          <w:lang w:val="en-US"/>
        </w:rPr>
        <w:t>tuber) and fruits</w:t>
      </w:r>
      <w:proofErr w:type="gramEnd"/>
      <w:r>
        <w:rPr>
          <w:rFonts w:cs="Times New Roman"/>
          <w:szCs w:val="24"/>
          <w:lang w:val="en-US"/>
        </w:rPr>
        <w:t xml:space="preserve"> and vegetables rich in vitamin A are the most consumed. Legumes and nuts, dairy products (milk, yogurt, and cheese), meat products (meat, fish, poultry, and liver/offal) and eggs are the least consumed. At the level of areas, consumption varies according to potential and availability of food. The children of the market gardener </w:t>
      </w:r>
      <w:proofErr w:type="gramStart"/>
      <w:r>
        <w:rPr>
          <w:rFonts w:cs="Times New Roman"/>
          <w:szCs w:val="24"/>
          <w:lang w:val="en-US"/>
        </w:rPr>
        <w:t xml:space="preserve">of  </w:t>
      </w:r>
      <w:proofErr w:type="spellStart"/>
      <w:r>
        <w:rPr>
          <w:rFonts w:cs="Times New Roman"/>
          <w:szCs w:val="24"/>
          <w:lang w:val="en-US"/>
        </w:rPr>
        <w:t>Dosso</w:t>
      </w:r>
      <w:proofErr w:type="spellEnd"/>
      <w:proofErr w:type="gramEnd"/>
      <w:r>
        <w:rPr>
          <w:rFonts w:cs="Times New Roman"/>
          <w:szCs w:val="24"/>
          <w:lang w:val="en-US"/>
        </w:rPr>
        <w:t xml:space="preserve"> (</w:t>
      </w:r>
      <w:proofErr w:type="spellStart"/>
      <w:r>
        <w:rPr>
          <w:rFonts w:cs="Times New Roman"/>
          <w:szCs w:val="24"/>
          <w:lang w:val="en-US"/>
        </w:rPr>
        <w:t>N'Gonga</w:t>
      </w:r>
      <w:proofErr w:type="spellEnd"/>
      <w:r>
        <w:rPr>
          <w:rFonts w:cs="Times New Roman"/>
          <w:szCs w:val="24"/>
          <w:lang w:val="en-US"/>
        </w:rPr>
        <w:t>) and the non-market gardener (</w:t>
      </w:r>
      <w:proofErr w:type="spellStart"/>
      <w:r>
        <w:rPr>
          <w:rFonts w:cs="Times New Roman"/>
          <w:szCs w:val="24"/>
          <w:lang w:val="en-US"/>
        </w:rPr>
        <w:t>Dosso</w:t>
      </w:r>
      <w:proofErr w:type="spellEnd"/>
      <w:r>
        <w:rPr>
          <w:rFonts w:cs="Times New Roman"/>
          <w:szCs w:val="24"/>
          <w:lang w:val="en-US"/>
        </w:rPr>
        <w:t xml:space="preserve">, urban commune), consume not only 100% of starches but also fruits and vegetables rich in vitamin A. The difference is not significant between zones. Other fruits and vegetables were more consumed (94.4%) in the market gardening area of the municipality of </w:t>
      </w:r>
      <w:proofErr w:type="spellStart"/>
      <w:r>
        <w:rPr>
          <w:rFonts w:cs="Times New Roman"/>
          <w:szCs w:val="24"/>
          <w:lang w:val="en-US"/>
        </w:rPr>
        <w:t>Liboré</w:t>
      </w:r>
      <w:proofErr w:type="spellEnd"/>
      <w:r>
        <w:rPr>
          <w:rFonts w:cs="Times New Roman"/>
          <w:szCs w:val="24"/>
          <w:lang w:val="en-US"/>
        </w:rPr>
        <w:t xml:space="preserve"> (region of </w:t>
      </w:r>
      <w:proofErr w:type="spellStart"/>
      <w:r>
        <w:rPr>
          <w:rFonts w:cs="Times New Roman"/>
          <w:szCs w:val="24"/>
          <w:lang w:val="en-US"/>
        </w:rPr>
        <w:t>Tillabéri</w:t>
      </w:r>
      <w:proofErr w:type="spellEnd"/>
      <w:r>
        <w:rPr>
          <w:rFonts w:cs="Times New Roman"/>
          <w:szCs w:val="24"/>
          <w:lang w:val="en-US"/>
        </w:rPr>
        <w:t>)</w:t>
      </w:r>
      <w:proofErr w:type="gramStart"/>
      <w:r>
        <w:rPr>
          <w:rFonts w:cs="Times New Roman"/>
          <w:szCs w:val="24"/>
          <w:lang w:val="en-US"/>
        </w:rPr>
        <w:t>,</w:t>
      </w:r>
      <w:proofErr w:type="gramEnd"/>
      <w:r>
        <w:rPr>
          <w:rFonts w:cs="Times New Roman"/>
          <w:szCs w:val="24"/>
          <w:lang w:val="en-US"/>
        </w:rPr>
        <w:t xml:space="preserve"> a significant difference was observed between the zones (p </w:t>
      </w:r>
      <w:r>
        <w:rPr>
          <w:rFonts w:cs="Times New Roman"/>
          <w:b/>
          <w:szCs w:val="24"/>
          <w:lang w:val="en-US"/>
        </w:rPr>
        <w:t xml:space="preserve">˂ </w:t>
      </w:r>
      <w:r>
        <w:rPr>
          <w:rFonts w:cs="Times New Roman"/>
          <w:szCs w:val="24"/>
          <w:lang w:val="en-US"/>
        </w:rPr>
        <w:t xml:space="preserve">0.001). In addition, pulses and nuts, dairy products (milk, yoghurt, cheese) and meat products (meat, fish, poultry, </w:t>
      </w:r>
      <w:proofErr w:type="gramStart"/>
      <w:r>
        <w:rPr>
          <w:rFonts w:cs="Times New Roman"/>
          <w:szCs w:val="24"/>
          <w:lang w:val="en-US"/>
        </w:rPr>
        <w:t>liver</w:t>
      </w:r>
      <w:proofErr w:type="gramEnd"/>
      <w:r>
        <w:rPr>
          <w:rFonts w:cs="Times New Roman"/>
          <w:szCs w:val="24"/>
          <w:lang w:val="en-US"/>
        </w:rPr>
        <w:t xml:space="preserve">/offal) are more consumed in the non-market area of the urban commune of </w:t>
      </w:r>
      <w:proofErr w:type="spellStart"/>
      <w:r>
        <w:rPr>
          <w:rFonts w:cs="Times New Roman"/>
          <w:szCs w:val="24"/>
          <w:lang w:val="en-US"/>
        </w:rPr>
        <w:t>Dosso</w:t>
      </w:r>
      <w:proofErr w:type="spellEnd"/>
      <w:r>
        <w:rPr>
          <w:rFonts w:cs="Times New Roman"/>
          <w:szCs w:val="24"/>
          <w:lang w:val="en-US"/>
        </w:rPr>
        <w:t xml:space="preserve">, respectively 50.0%; 100.0% and 50.0%. The proportions were statistically significant for this area (p </w:t>
      </w:r>
      <w:r>
        <w:rPr>
          <w:rFonts w:cs="Times New Roman"/>
          <w:b/>
          <w:szCs w:val="24"/>
          <w:lang w:val="en-US"/>
        </w:rPr>
        <w:t xml:space="preserve">˂ </w:t>
      </w:r>
      <w:r>
        <w:rPr>
          <w:rFonts w:cs="Times New Roman"/>
          <w:szCs w:val="24"/>
          <w:lang w:val="en-US"/>
        </w:rPr>
        <w:t xml:space="preserve">0.001). However, no difference </w:t>
      </w:r>
      <w:proofErr w:type="gramStart"/>
      <w:r>
        <w:rPr>
          <w:rFonts w:cs="Times New Roman"/>
          <w:szCs w:val="24"/>
          <w:lang w:val="en-US"/>
        </w:rPr>
        <w:t>was observed</w:t>
      </w:r>
      <w:proofErr w:type="gramEnd"/>
      <w:r>
        <w:rPr>
          <w:rFonts w:cs="Times New Roman"/>
          <w:szCs w:val="24"/>
          <w:lang w:val="en-US"/>
        </w:rPr>
        <w:t xml:space="preserve"> between the areas for legume and nut consumption (HASSANE S.Z et al., 2024).</w:t>
      </w:r>
    </w:p>
    <w:p w:rsidR="00CC7802" w:rsidRDefault="00762192">
      <w:pPr>
        <w:spacing w:line="240" w:lineRule="auto"/>
        <w:jc w:val="both"/>
        <w:rPr>
          <w:rFonts w:cs="Times New Roman"/>
          <w:b/>
          <w:i/>
          <w:szCs w:val="24"/>
        </w:rPr>
      </w:pPr>
      <w:r>
        <w:rPr>
          <w:noProof/>
          <w:lang w:eastAsia="fr-FR"/>
        </w:rPr>
        <w:lastRenderedPageBreak/>
        <w:drawing>
          <wp:inline distT="0" distB="0" distL="0" distR="0">
            <wp:extent cx="5760720" cy="3230880"/>
            <wp:effectExtent l="0" t="0" r="11430" b="762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7802" w:rsidRDefault="00762192">
      <w:pPr>
        <w:spacing w:line="240" w:lineRule="auto"/>
        <w:jc w:val="both"/>
        <w:rPr>
          <w:rFonts w:cs="Times New Roman"/>
          <w:szCs w:val="24"/>
          <w:lang w:val="en-US"/>
        </w:rPr>
      </w:pPr>
      <w:r>
        <w:rPr>
          <w:rFonts w:cs="Times New Roman"/>
          <w:b/>
          <w:i/>
          <w:szCs w:val="24"/>
          <w:lang w:val="en-US"/>
        </w:rPr>
        <w:t>Figure 2: The proportions of food groups consumed by area. Dairy products (milk, yogurt, cheese): P&lt; 0.001; meat products (meat, fish, poultry, liver/offal):</w:t>
      </w:r>
      <w:r>
        <w:rPr>
          <w:rFonts w:cs="Times New Roman"/>
          <w:szCs w:val="24"/>
          <w:lang w:val="en-US"/>
        </w:rPr>
        <w:t xml:space="preserve"> P&lt; </w:t>
      </w:r>
      <w:proofErr w:type="gramStart"/>
      <w:r>
        <w:rPr>
          <w:rFonts w:cs="Times New Roman"/>
          <w:szCs w:val="24"/>
          <w:lang w:val="en-US"/>
        </w:rPr>
        <w:t>0,001 ;</w:t>
      </w:r>
      <w:proofErr w:type="gramEnd"/>
      <w:r>
        <w:rPr>
          <w:rFonts w:cs="Times New Roman"/>
          <w:szCs w:val="24"/>
          <w:lang w:val="en-US"/>
        </w:rPr>
        <w:t xml:space="preserve"> other fruit and vegetables: P&lt; 0,001</w:t>
      </w:r>
      <w:r>
        <w:rPr>
          <w:rFonts w:cs="Times New Roman"/>
          <w:b/>
          <w:szCs w:val="24"/>
          <w:lang w:val="en-US"/>
        </w:rPr>
        <w:t>.</w:t>
      </w:r>
    </w:p>
    <w:p w:rsidR="00CC7802" w:rsidRDefault="00762192">
      <w:pPr>
        <w:pStyle w:val="Paragraphedeliste"/>
        <w:numPr>
          <w:ilvl w:val="1"/>
          <w:numId w:val="5"/>
        </w:numPr>
        <w:spacing w:line="240" w:lineRule="auto"/>
        <w:jc w:val="both"/>
        <w:rPr>
          <w:rFonts w:cs="Times New Roman"/>
          <w:b/>
          <w:szCs w:val="24"/>
        </w:rPr>
      </w:pPr>
      <w:r>
        <w:rPr>
          <w:rFonts w:cs="Times New Roman"/>
          <w:b/>
          <w:szCs w:val="24"/>
          <w:lang w:val="en-US"/>
        </w:rPr>
        <w:t xml:space="preserve"> </w:t>
      </w:r>
      <w:r>
        <w:rPr>
          <w:rFonts w:cs="Times New Roman"/>
          <w:b/>
          <w:szCs w:val="24"/>
        </w:rPr>
        <w:t xml:space="preserve">Food </w:t>
      </w:r>
      <w:proofErr w:type="spellStart"/>
      <w:r>
        <w:rPr>
          <w:rFonts w:cs="Times New Roman"/>
          <w:b/>
          <w:szCs w:val="24"/>
        </w:rPr>
        <w:t>consumption</w:t>
      </w:r>
      <w:proofErr w:type="spellEnd"/>
      <w:r>
        <w:rPr>
          <w:rFonts w:cs="Times New Roman"/>
          <w:b/>
          <w:szCs w:val="24"/>
        </w:rPr>
        <w:t xml:space="preserve"> score by areas </w:t>
      </w:r>
    </w:p>
    <w:p w:rsidR="00CC7802" w:rsidRDefault="00762192">
      <w:pPr>
        <w:spacing w:line="240" w:lineRule="auto"/>
        <w:jc w:val="both"/>
        <w:rPr>
          <w:rFonts w:cs="Times New Roman"/>
          <w:szCs w:val="24"/>
          <w:lang w:val="en-US"/>
        </w:rPr>
      </w:pPr>
      <w:r>
        <w:rPr>
          <w:rFonts w:cs="Times New Roman"/>
          <w:b/>
          <w:szCs w:val="24"/>
          <w:lang w:val="en-US"/>
        </w:rPr>
        <w:t>Table 2 summarizes the food consumption scores by area of children aged 6-59 months.</w:t>
      </w:r>
    </w:p>
    <w:p w:rsidR="00CC7802" w:rsidRDefault="00762192">
      <w:pPr>
        <w:spacing w:line="360" w:lineRule="auto"/>
        <w:rPr>
          <w:rFonts w:cs="Times New Roman"/>
          <w:b/>
          <w:szCs w:val="24"/>
          <w:lang w:val="en-US"/>
        </w:rPr>
      </w:pPr>
      <w:r>
        <w:rPr>
          <w:rFonts w:cs="Times New Roman"/>
          <w:b/>
          <w:szCs w:val="24"/>
          <w:lang w:val="en-US"/>
        </w:rPr>
        <w:t>Table II: Food consumption score by area</w:t>
      </w:r>
    </w:p>
    <w:tbl>
      <w:tblPr>
        <w:tblStyle w:val="Grilledutableau"/>
        <w:tblW w:w="9054" w:type="dxa"/>
        <w:tblLayout w:type="fixed"/>
        <w:tblLook w:val="04A0" w:firstRow="1" w:lastRow="0" w:firstColumn="1" w:lastColumn="0" w:noHBand="0" w:noVBand="1"/>
      </w:tblPr>
      <w:tblGrid>
        <w:gridCol w:w="1838"/>
        <w:gridCol w:w="1559"/>
        <w:gridCol w:w="1518"/>
        <w:gridCol w:w="1518"/>
        <w:gridCol w:w="1628"/>
        <w:gridCol w:w="993"/>
      </w:tblGrid>
      <w:tr w:rsidR="00CC7802">
        <w:trPr>
          <w:trHeight w:val="300"/>
        </w:trPr>
        <w:tc>
          <w:tcPr>
            <w:tcW w:w="1838" w:type="dxa"/>
            <w:noWrap/>
          </w:tcPr>
          <w:p w:rsidR="00CC7802" w:rsidRDefault="00762192">
            <w:pPr>
              <w:spacing w:after="0" w:line="240" w:lineRule="auto"/>
              <w:rPr>
                <w:rFonts w:eastAsia="Times New Roman" w:cs="Times New Roman"/>
                <w:lang w:val="en-US" w:eastAsia="fr-FR"/>
              </w:rPr>
            </w:pPr>
            <w:r>
              <w:rPr>
                <w:rFonts w:eastAsia="Times New Roman" w:cs="Times New Roman"/>
                <w:lang w:val="en-US" w:eastAsia="fr-FR"/>
              </w:rPr>
              <w:t> </w:t>
            </w:r>
          </w:p>
        </w:tc>
        <w:tc>
          <w:tcPr>
            <w:tcW w:w="1559" w:type="dxa"/>
            <w:noWrap/>
          </w:tcPr>
          <w:p w:rsidR="00CC7802" w:rsidRDefault="00762192">
            <w:pPr>
              <w:spacing w:after="0" w:line="240" w:lineRule="auto"/>
              <w:jc w:val="center"/>
              <w:rPr>
                <w:rFonts w:eastAsia="Times New Roman" w:cs="Times New Roman"/>
                <w:b/>
                <w:bCs/>
                <w:lang w:eastAsia="fr-FR"/>
              </w:rPr>
            </w:pPr>
            <w:proofErr w:type="spellStart"/>
            <w:r>
              <w:rPr>
                <w:rFonts w:cs="Times New Roman"/>
                <w:b/>
              </w:rPr>
              <w:t>Market</w:t>
            </w:r>
            <w:proofErr w:type="spellEnd"/>
            <w:r>
              <w:rPr>
                <w:rFonts w:cs="Times New Roman"/>
                <w:b/>
              </w:rPr>
              <w:t xml:space="preserve"> </w:t>
            </w:r>
            <w:proofErr w:type="spellStart"/>
            <w:r>
              <w:rPr>
                <w:rFonts w:cs="Times New Roman"/>
                <w:b/>
              </w:rPr>
              <w:t>gardener</w:t>
            </w:r>
            <w:proofErr w:type="spellEnd"/>
            <w:r>
              <w:rPr>
                <w:rFonts w:cs="Times New Roman"/>
                <w:b/>
              </w:rPr>
              <w:t xml:space="preserve"> truck </w:t>
            </w:r>
            <w:proofErr w:type="spellStart"/>
            <w:r>
              <w:rPr>
                <w:rFonts w:cs="Times New Roman"/>
                <w:b/>
              </w:rPr>
              <w:t>farmer</w:t>
            </w:r>
            <w:proofErr w:type="spellEnd"/>
            <w:r>
              <w:rPr>
                <w:rFonts w:cs="Times New Roman"/>
                <w:b/>
              </w:rPr>
              <w:t xml:space="preserve"> Dosso</w:t>
            </w:r>
          </w:p>
        </w:tc>
        <w:tc>
          <w:tcPr>
            <w:tcW w:w="1518" w:type="dxa"/>
            <w:noWrap/>
          </w:tcPr>
          <w:p w:rsidR="00CC7802" w:rsidRDefault="00762192">
            <w:pPr>
              <w:spacing w:after="0" w:line="240" w:lineRule="auto"/>
              <w:jc w:val="center"/>
              <w:rPr>
                <w:rFonts w:eastAsia="Times New Roman" w:cs="Times New Roman"/>
                <w:b/>
                <w:bCs/>
                <w:lang w:eastAsia="fr-FR"/>
              </w:rPr>
            </w:pPr>
            <w:proofErr w:type="spellStart"/>
            <w:r>
              <w:rPr>
                <w:rFonts w:cs="Times New Roman"/>
                <w:b/>
              </w:rPr>
              <w:t>Market</w:t>
            </w:r>
            <w:proofErr w:type="spellEnd"/>
            <w:r>
              <w:rPr>
                <w:rFonts w:cs="Times New Roman"/>
                <w:b/>
              </w:rPr>
              <w:t xml:space="preserve"> </w:t>
            </w:r>
            <w:proofErr w:type="spellStart"/>
            <w:r>
              <w:rPr>
                <w:rFonts w:cs="Times New Roman"/>
                <w:b/>
              </w:rPr>
              <w:t>gardener</w:t>
            </w:r>
            <w:proofErr w:type="spellEnd"/>
            <w:r>
              <w:rPr>
                <w:rFonts w:cs="Times New Roman"/>
                <w:b/>
              </w:rPr>
              <w:t xml:space="preserve"> </w:t>
            </w:r>
            <w:proofErr w:type="spellStart"/>
            <w:r>
              <w:rPr>
                <w:rFonts w:cs="Times New Roman"/>
                <w:b/>
              </w:rPr>
              <w:t>Tillabéri</w:t>
            </w:r>
            <w:proofErr w:type="spellEnd"/>
            <w:r>
              <w:rPr>
                <w:rFonts w:eastAsia="Times New Roman" w:cs="Times New Roman"/>
                <w:b/>
                <w:bCs/>
                <w:lang w:eastAsia="fr-FR"/>
              </w:rPr>
              <w:t xml:space="preserve"> </w:t>
            </w:r>
          </w:p>
        </w:tc>
        <w:tc>
          <w:tcPr>
            <w:tcW w:w="1518" w:type="dxa"/>
            <w:noWrap/>
          </w:tcPr>
          <w:p w:rsidR="00CC7802" w:rsidRDefault="00762192">
            <w:pPr>
              <w:spacing w:after="0" w:line="240" w:lineRule="auto"/>
              <w:jc w:val="center"/>
              <w:rPr>
                <w:rFonts w:eastAsia="Times New Roman" w:cs="Times New Roman"/>
                <w:b/>
                <w:bCs/>
                <w:lang w:eastAsia="fr-FR"/>
              </w:rPr>
            </w:pPr>
            <w:r>
              <w:rPr>
                <w:rFonts w:cs="Times New Roman"/>
                <w:b/>
              </w:rPr>
              <w:t xml:space="preserve">non- </w:t>
            </w:r>
            <w:proofErr w:type="spellStart"/>
            <w:r>
              <w:rPr>
                <w:rFonts w:cs="Times New Roman"/>
                <w:b/>
              </w:rPr>
              <w:t>market</w:t>
            </w:r>
            <w:proofErr w:type="spellEnd"/>
            <w:r>
              <w:rPr>
                <w:rFonts w:cs="Times New Roman"/>
                <w:b/>
              </w:rPr>
              <w:t xml:space="preserve"> </w:t>
            </w:r>
            <w:proofErr w:type="spellStart"/>
            <w:r>
              <w:rPr>
                <w:rFonts w:cs="Times New Roman"/>
                <w:b/>
              </w:rPr>
              <w:t>gardening</w:t>
            </w:r>
            <w:proofErr w:type="spellEnd"/>
            <w:r>
              <w:rPr>
                <w:rFonts w:cs="Times New Roman"/>
                <w:b/>
              </w:rPr>
              <w:t xml:space="preserve"> Dosso</w:t>
            </w:r>
          </w:p>
        </w:tc>
        <w:tc>
          <w:tcPr>
            <w:tcW w:w="1628" w:type="dxa"/>
            <w:noWrap/>
          </w:tcPr>
          <w:p w:rsidR="00CC7802" w:rsidRDefault="00762192">
            <w:pPr>
              <w:spacing w:after="0" w:line="240" w:lineRule="auto"/>
              <w:jc w:val="center"/>
              <w:rPr>
                <w:rFonts w:eastAsia="Times New Roman" w:cs="Times New Roman"/>
                <w:b/>
                <w:bCs/>
                <w:lang w:eastAsia="fr-FR"/>
              </w:rPr>
            </w:pPr>
            <w:r>
              <w:rPr>
                <w:rFonts w:eastAsia="Times New Roman" w:cs="Times New Roman"/>
                <w:b/>
                <w:bCs/>
                <w:lang w:eastAsia="fr-FR"/>
              </w:rPr>
              <w:t>Ensemble</w:t>
            </w:r>
          </w:p>
        </w:tc>
        <w:tc>
          <w:tcPr>
            <w:tcW w:w="993" w:type="dxa"/>
            <w:vMerge w:val="restart"/>
          </w:tcPr>
          <w:p w:rsidR="00CC7802" w:rsidRDefault="00762192">
            <w:pPr>
              <w:spacing w:after="0" w:line="240" w:lineRule="auto"/>
              <w:jc w:val="center"/>
              <w:rPr>
                <w:rFonts w:eastAsia="Times New Roman" w:cs="Times New Roman"/>
                <w:b/>
                <w:bCs/>
                <w:i/>
                <w:lang w:eastAsia="fr-FR"/>
              </w:rPr>
            </w:pPr>
            <w:r>
              <w:rPr>
                <w:rFonts w:eastAsia="Times New Roman" w:cs="Times New Roman"/>
                <w:i/>
                <w:lang w:eastAsia="fr-FR"/>
              </w:rPr>
              <w:t>p</w:t>
            </w:r>
          </w:p>
        </w:tc>
      </w:tr>
      <w:tr w:rsidR="00CC7802">
        <w:trPr>
          <w:trHeight w:val="300"/>
        </w:trPr>
        <w:tc>
          <w:tcPr>
            <w:tcW w:w="1838" w:type="dxa"/>
            <w:noWrap/>
          </w:tcPr>
          <w:p w:rsidR="00CC7802" w:rsidRDefault="00762192">
            <w:pPr>
              <w:spacing w:after="0" w:line="240" w:lineRule="auto"/>
              <w:jc w:val="center"/>
              <w:rPr>
                <w:rFonts w:eastAsia="Times New Roman" w:cs="Times New Roman"/>
                <w:lang w:eastAsia="fr-FR"/>
              </w:rPr>
            </w:pPr>
            <w:r>
              <w:rPr>
                <w:rFonts w:eastAsia="Times New Roman" w:cs="Times New Roman"/>
                <w:lang w:eastAsia="fr-FR"/>
              </w:rPr>
              <w:t> </w:t>
            </w:r>
          </w:p>
        </w:tc>
        <w:tc>
          <w:tcPr>
            <w:tcW w:w="1559" w:type="dxa"/>
            <w:noWrap/>
          </w:tcPr>
          <w:p w:rsidR="00CC7802" w:rsidRDefault="00762192">
            <w:pPr>
              <w:spacing w:after="0" w:line="240" w:lineRule="auto"/>
              <w:jc w:val="center"/>
              <w:rPr>
                <w:rFonts w:eastAsia="Times New Roman" w:cs="Times New Roman"/>
                <w:lang w:eastAsia="fr-FR"/>
              </w:rPr>
            </w:pPr>
            <w:r>
              <w:rPr>
                <w:rFonts w:eastAsia="Times New Roman" w:cs="Times New Roman"/>
                <w:lang w:eastAsia="fr-FR"/>
              </w:rPr>
              <w:t>n%</w:t>
            </w:r>
          </w:p>
        </w:tc>
        <w:tc>
          <w:tcPr>
            <w:tcW w:w="1518" w:type="dxa"/>
            <w:noWrap/>
          </w:tcPr>
          <w:p w:rsidR="00CC7802" w:rsidRDefault="00762192">
            <w:pPr>
              <w:spacing w:after="0" w:line="240" w:lineRule="auto"/>
              <w:jc w:val="center"/>
              <w:rPr>
                <w:rFonts w:eastAsia="Times New Roman" w:cs="Times New Roman"/>
                <w:lang w:eastAsia="fr-FR"/>
              </w:rPr>
            </w:pPr>
            <w:r>
              <w:rPr>
                <w:rFonts w:eastAsia="Times New Roman" w:cs="Times New Roman"/>
                <w:lang w:eastAsia="fr-FR"/>
              </w:rPr>
              <w:t>n%</w:t>
            </w:r>
          </w:p>
        </w:tc>
        <w:tc>
          <w:tcPr>
            <w:tcW w:w="1518" w:type="dxa"/>
            <w:noWrap/>
          </w:tcPr>
          <w:p w:rsidR="00CC7802" w:rsidRDefault="00762192">
            <w:pPr>
              <w:spacing w:after="0" w:line="240" w:lineRule="auto"/>
              <w:jc w:val="center"/>
              <w:rPr>
                <w:rFonts w:eastAsia="Times New Roman" w:cs="Times New Roman"/>
                <w:lang w:eastAsia="fr-FR"/>
              </w:rPr>
            </w:pPr>
            <w:r>
              <w:rPr>
                <w:rFonts w:eastAsia="Times New Roman" w:cs="Times New Roman"/>
                <w:lang w:eastAsia="fr-FR"/>
              </w:rPr>
              <w:t>n%</w:t>
            </w:r>
          </w:p>
        </w:tc>
        <w:tc>
          <w:tcPr>
            <w:tcW w:w="1628" w:type="dxa"/>
            <w:noWrap/>
          </w:tcPr>
          <w:p w:rsidR="00CC7802" w:rsidRDefault="00762192">
            <w:pPr>
              <w:spacing w:after="0" w:line="240" w:lineRule="auto"/>
              <w:jc w:val="center"/>
              <w:rPr>
                <w:rFonts w:eastAsia="Times New Roman" w:cs="Times New Roman"/>
                <w:lang w:eastAsia="fr-FR"/>
              </w:rPr>
            </w:pPr>
            <w:r>
              <w:rPr>
                <w:rFonts w:eastAsia="Times New Roman" w:cs="Times New Roman"/>
                <w:lang w:eastAsia="fr-FR"/>
              </w:rPr>
              <w:t>n%</w:t>
            </w:r>
          </w:p>
        </w:tc>
        <w:tc>
          <w:tcPr>
            <w:tcW w:w="993" w:type="dxa"/>
            <w:vMerge/>
          </w:tcPr>
          <w:p w:rsidR="00CC7802" w:rsidRDefault="00CC7802">
            <w:pPr>
              <w:spacing w:after="0" w:line="240" w:lineRule="auto"/>
              <w:jc w:val="center"/>
              <w:rPr>
                <w:rFonts w:eastAsia="Times New Roman" w:cs="Times New Roman"/>
                <w:lang w:eastAsia="fr-FR"/>
              </w:rPr>
            </w:pPr>
          </w:p>
        </w:tc>
      </w:tr>
      <w:tr w:rsidR="00CC7802">
        <w:trPr>
          <w:trHeight w:val="300"/>
        </w:trPr>
        <w:tc>
          <w:tcPr>
            <w:tcW w:w="9054" w:type="dxa"/>
            <w:gridSpan w:val="6"/>
            <w:noWrap/>
          </w:tcPr>
          <w:p w:rsidR="00CC7802" w:rsidRDefault="00762192">
            <w:pPr>
              <w:spacing w:after="0" w:line="240" w:lineRule="auto"/>
              <w:rPr>
                <w:rFonts w:eastAsia="Times New Roman" w:cs="Times New Roman"/>
                <w:b/>
                <w:bCs/>
                <w:lang w:eastAsia="fr-FR"/>
              </w:rPr>
            </w:pPr>
            <w:r>
              <w:rPr>
                <w:rFonts w:eastAsia="Times New Roman" w:cs="Times New Roman"/>
                <w:b/>
                <w:bCs/>
                <w:lang w:eastAsia="fr-FR"/>
              </w:rPr>
              <w:t xml:space="preserve">Food </w:t>
            </w:r>
            <w:proofErr w:type="spellStart"/>
            <w:r>
              <w:rPr>
                <w:rFonts w:eastAsia="Times New Roman" w:cs="Times New Roman"/>
                <w:b/>
                <w:bCs/>
                <w:lang w:eastAsia="fr-FR"/>
              </w:rPr>
              <w:t>consumption</w:t>
            </w:r>
            <w:proofErr w:type="spellEnd"/>
            <w:r>
              <w:rPr>
                <w:rFonts w:eastAsia="Times New Roman" w:cs="Times New Roman"/>
                <w:b/>
                <w:bCs/>
                <w:lang w:eastAsia="fr-FR"/>
              </w:rPr>
              <w:t xml:space="preserve"> groups - </w:t>
            </w:r>
            <w:proofErr w:type="spellStart"/>
            <w:r>
              <w:rPr>
                <w:rFonts w:eastAsia="Times New Roman" w:cs="Times New Roman"/>
                <w:b/>
                <w:bCs/>
                <w:lang w:eastAsia="fr-FR"/>
              </w:rPr>
              <w:t>thresholds</w:t>
            </w:r>
            <w:proofErr w:type="spellEnd"/>
            <w:r>
              <w:rPr>
                <w:rFonts w:eastAsia="Times New Roman" w:cs="Times New Roman"/>
                <w:b/>
                <w:bCs/>
                <w:lang w:eastAsia="fr-FR"/>
              </w:rPr>
              <w:t xml:space="preserve"> 28/42</w:t>
            </w:r>
          </w:p>
          <w:p w:rsidR="00CC7802" w:rsidRDefault="00CC7802">
            <w:pPr>
              <w:spacing w:after="0" w:line="240" w:lineRule="auto"/>
              <w:ind w:firstLineChars="200" w:firstLine="480"/>
              <w:jc w:val="right"/>
              <w:rPr>
                <w:rFonts w:eastAsia="Times New Roman" w:cs="Times New Roman"/>
                <w:lang w:eastAsia="fr-FR"/>
              </w:rPr>
            </w:pPr>
          </w:p>
        </w:tc>
      </w:tr>
      <w:tr w:rsidR="00CC7802">
        <w:trPr>
          <w:trHeight w:val="300"/>
        </w:trPr>
        <w:tc>
          <w:tcPr>
            <w:tcW w:w="1838" w:type="dxa"/>
            <w:noWrap/>
          </w:tcPr>
          <w:p w:rsidR="00CC7802" w:rsidRDefault="00762192">
            <w:pPr>
              <w:spacing w:after="0" w:line="240" w:lineRule="auto"/>
              <w:rPr>
                <w:rFonts w:eastAsia="Times New Roman" w:cs="Times New Roman"/>
                <w:lang w:eastAsia="fr-FR"/>
              </w:rPr>
            </w:pPr>
            <w:r>
              <w:rPr>
                <w:rFonts w:eastAsia="Times New Roman" w:cs="Times New Roman"/>
                <w:lang w:eastAsia="fr-FR"/>
              </w:rPr>
              <w:t xml:space="preserve">Poor </w:t>
            </w:r>
          </w:p>
        </w:tc>
        <w:tc>
          <w:tcPr>
            <w:tcW w:w="1559"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6(8,1)</w:t>
            </w:r>
          </w:p>
        </w:tc>
        <w:tc>
          <w:tcPr>
            <w:tcW w:w="151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3(4,3)</w:t>
            </w:r>
          </w:p>
        </w:tc>
        <w:tc>
          <w:tcPr>
            <w:tcW w:w="151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6(8,6)</w:t>
            </w:r>
          </w:p>
        </w:tc>
        <w:tc>
          <w:tcPr>
            <w:tcW w:w="162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15(7,0)</w:t>
            </w:r>
          </w:p>
        </w:tc>
        <w:tc>
          <w:tcPr>
            <w:tcW w:w="993" w:type="dxa"/>
            <w:vMerge w:val="restart"/>
          </w:tcPr>
          <w:p w:rsidR="00CC7802" w:rsidRDefault="00762192">
            <w:pPr>
              <w:spacing w:after="0" w:line="240" w:lineRule="auto"/>
              <w:jc w:val="center"/>
              <w:rPr>
                <w:rFonts w:eastAsia="Times New Roman" w:cs="Times New Roman"/>
                <w:b/>
                <w:lang w:val="en-US"/>
              </w:rPr>
            </w:pPr>
            <w:r>
              <w:rPr>
                <w:rFonts w:eastAsia="Times New Roman" w:cs="Times New Roman"/>
                <w:b/>
                <w:lang w:val="en-US"/>
              </w:rPr>
              <w:t>˂ 10</w:t>
            </w:r>
            <w:r>
              <w:rPr>
                <w:rFonts w:eastAsia="Times New Roman" w:cs="Times New Roman"/>
                <w:b/>
                <w:vertAlign w:val="superscript"/>
                <w:lang w:val="en-US"/>
              </w:rPr>
              <w:t>-3</w:t>
            </w:r>
          </w:p>
          <w:p w:rsidR="00CC7802" w:rsidRDefault="00CC7802">
            <w:pPr>
              <w:spacing w:after="0" w:line="240" w:lineRule="auto"/>
              <w:ind w:firstLineChars="200" w:firstLine="480"/>
              <w:jc w:val="right"/>
              <w:rPr>
                <w:rFonts w:eastAsia="Times New Roman" w:cs="Times New Roman"/>
                <w:lang w:eastAsia="fr-FR"/>
              </w:rPr>
            </w:pPr>
          </w:p>
        </w:tc>
      </w:tr>
      <w:tr w:rsidR="00CC7802">
        <w:trPr>
          <w:trHeight w:val="300"/>
        </w:trPr>
        <w:tc>
          <w:tcPr>
            <w:tcW w:w="1838" w:type="dxa"/>
            <w:noWrap/>
          </w:tcPr>
          <w:p w:rsidR="00CC7802" w:rsidRDefault="00762192">
            <w:pPr>
              <w:spacing w:after="0" w:line="240" w:lineRule="auto"/>
              <w:rPr>
                <w:rFonts w:eastAsia="Times New Roman" w:cs="Times New Roman"/>
                <w:lang w:eastAsia="fr-FR"/>
              </w:rPr>
            </w:pPr>
            <w:r>
              <w:rPr>
                <w:rFonts w:eastAsia="Times New Roman" w:cs="Times New Roman"/>
                <w:lang w:eastAsia="fr-FR"/>
              </w:rPr>
              <w:t>Limite</w:t>
            </w:r>
          </w:p>
        </w:tc>
        <w:tc>
          <w:tcPr>
            <w:tcW w:w="1559"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42(56,8)</w:t>
            </w:r>
          </w:p>
        </w:tc>
        <w:tc>
          <w:tcPr>
            <w:tcW w:w="151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8(11,4)</w:t>
            </w:r>
          </w:p>
        </w:tc>
        <w:tc>
          <w:tcPr>
            <w:tcW w:w="151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6(8,6)</w:t>
            </w:r>
          </w:p>
        </w:tc>
        <w:tc>
          <w:tcPr>
            <w:tcW w:w="162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56(26,2)</w:t>
            </w:r>
          </w:p>
        </w:tc>
        <w:tc>
          <w:tcPr>
            <w:tcW w:w="993" w:type="dxa"/>
            <w:vMerge/>
          </w:tcPr>
          <w:p w:rsidR="00CC7802" w:rsidRDefault="00CC7802">
            <w:pPr>
              <w:spacing w:after="0" w:line="240" w:lineRule="auto"/>
              <w:ind w:firstLineChars="200" w:firstLine="480"/>
              <w:jc w:val="right"/>
              <w:rPr>
                <w:rFonts w:eastAsia="Times New Roman" w:cs="Times New Roman"/>
                <w:lang w:eastAsia="fr-FR"/>
              </w:rPr>
            </w:pPr>
          </w:p>
        </w:tc>
      </w:tr>
      <w:tr w:rsidR="00CC7802">
        <w:trPr>
          <w:trHeight w:val="300"/>
        </w:trPr>
        <w:tc>
          <w:tcPr>
            <w:tcW w:w="1838" w:type="dxa"/>
            <w:noWrap/>
          </w:tcPr>
          <w:p w:rsidR="00CC7802" w:rsidRDefault="00762192">
            <w:pPr>
              <w:spacing w:after="0" w:line="240" w:lineRule="auto"/>
              <w:rPr>
                <w:rFonts w:eastAsia="Times New Roman" w:cs="Times New Roman"/>
                <w:lang w:eastAsia="fr-FR"/>
              </w:rPr>
            </w:pPr>
            <w:r>
              <w:rPr>
                <w:rFonts w:eastAsia="Times New Roman" w:cs="Times New Roman"/>
                <w:lang w:eastAsia="fr-FR"/>
              </w:rPr>
              <w:t>Acceptable</w:t>
            </w:r>
          </w:p>
        </w:tc>
        <w:tc>
          <w:tcPr>
            <w:tcW w:w="1559"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26(35,1)</w:t>
            </w:r>
          </w:p>
        </w:tc>
        <w:tc>
          <w:tcPr>
            <w:tcW w:w="151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59(84,3)</w:t>
            </w:r>
          </w:p>
        </w:tc>
        <w:tc>
          <w:tcPr>
            <w:tcW w:w="151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58(82,9)</w:t>
            </w:r>
          </w:p>
        </w:tc>
        <w:tc>
          <w:tcPr>
            <w:tcW w:w="162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143(66,8)</w:t>
            </w:r>
          </w:p>
        </w:tc>
        <w:tc>
          <w:tcPr>
            <w:tcW w:w="993" w:type="dxa"/>
            <w:vMerge/>
          </w:tcPr>
          <w:p w:rsidR="00CC7802" w:rsidRDefault="00CC7802">
            <w:pPr>
              <w:spacing w:after="0" w:line="240" w:lineRule="auto"/>
              <w:ind w:firstLineChars="200" w:firstLine="480"/>
              <w:jc w:val="right"/>
              <w:rPr>
                <w:rFonts w:eastAsia="Times New Roman" w:cs="Times New Roman"/>
                <w:lang w:eastAsia="fr-FR"/>
              </w:rPr>
            </w:pPr>
          </w:p>
        </w:tc>
      </w:tr>
      <w:tr w:rsidR="00CC7802">
        <w:trPr>
          <w:trHeight w:val="300"/>
        </w:trPr>
        <w:tc>
          <w:tcPr>
            <w:tcW w:w="1838" w:type="dxa"/>
            <w:noWrap/>
          </w:tcPr>
          <w:p w:rsidR="00CC7802" w:rsidRDefault="00762192">
            <w:pPr>
              <w:spacing w:after="0" w:line="240" w:lineRule="auto"/>
              <w:rPr>
                <w:rFonts w:eastAsia="Times New Roman" w:cs="Times New Roman"/>
                <w:lang w:eastAsia="fr-FR"/>
              </w:rPr>
            </w:pPr>
            <w:r>
              <w:rPr>
                <w:rFonts w:eastAsia="Times New Roman" w:cs="Times New Roman"/>
                <w:lang w:eastAsia="fr-FR"/>
              </w:rPr>
              <w:t>Total</w:t>
            </w:r>
          </w:p>
        </w:tc>
        <w:tc>
          <w:tcPr>
            <w:tcW w:w="1559"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74(100,0)</w:t>
            </w:r>
          </w:p>
        </w:tc>
        <w:tc>
          <w:tcPr>
            <w:tcW w:w="151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70(100,0)</w:t>
            </w:r>
          </w:p>
        </w:tc>
        <w:tc>
          <w:tcPr>
            <w:tcW w:w="151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70(100,0)</w:t>
            </w:r>
          </w:p>
        </w:tc>
        <w:tc>
          <w:tcPr>
            <w:tcW w:w="162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214(100,0)</w:t>
            </w:r>
          </w:p>
        </w:tc>
        <w:tc>
          <w:tcPr>
            <w:tcW w:w="993" w:type="dxa"/>
            <w:vMerge/>
          </w:tcPr>
          <w:p w:rsidR="00CC7802" w:rsidRDefault="00CC7802">
            <w:pPr>
              <w:spacing w:after="0" w:line="240" w:lineRule="auto"/>
              <w:ind w:firstLineChars="200" w:firstLine="480"/>
              <w:jc w:val="right"/>
              <w:rPr>
                <w:rFonts w:eastAsia="Times New Roman" w:cs="Times New Roman"/>
                <w:lang w:eastAsia="fr-FR"/>
              </w:rPr>
            </w:pPr>
          </w:p>
        </w:tc>
      </w:tr>
      <w:tr w:rsidR="00CC7802">
        <w:trPr>
          <w:trHeight w:val="300"/>
        </w:trPr>
        <w:tc>
          <w:tcPr>
            <w:tcW w:w="9054" w:type="dxa"/>
            <w:gridSpan w:val="6"/>
            <w:noWrap/>
          </w:tcPr>
          <w:p w:rsidR="00CC7802" w:rsidRDefault="00762192">
            <w:pPr>
              <w:spacing w:after="0" w:line="240" w:lineRule="auto"/>
              <w:ind w:firstLineChars="200" w:firstLine="480"/>
              <w:jc w:val="both"/>
              <w:rPr>
                <w:rFonts w:eastAsia="Times New Roman" w:cs="Times New Roman"/>
                <w:lang w:eastAsia="fr-FR"/>
              </w:rPr>
            </w:pPr>
            <w:r>
              <w:rPr>
                <w:rFonts w:eastAsia="Times New Roman" w:cs="Times New Roman"/>
                <w:b/>
                <w:lang w:eastAsia="fr-FR"/>
              </w:rPr>
              <w:t xml:space="preserve">Food </w:t>
            </w:r>
            <w:proofErr w:type="spellStart"/>
            <w:r>
              <w:rPr>
                <w:rFonts w:eastAsia="Times New Roman" w:cs="Times New Roman"/>
                <w:b/>
                <w:lang w:eastAsia="fr-FR"/>
              </w:rPr>
              <w:t>consumption</w:t>
            </w:r>
            <w:proofErr w:type="spellEnd"/>
            <w:r>
              <w:rPr>
                <w:rFonts w:eastAsia="Times New Roman" w:cs="Times New Roman"/>
                <w:b/>
                <w:lang w:eastAsia="fr-FR"/>
              </w:rPr>
              <w:t xml:space="preserve"> score class</w:t>
            </w:r>
          </w:p>
        </w:tc>
      </w:tr>
      <w:tr w:rsidR="00CC7802">
        <w:trPr>
          <w:trHeight w:val="300"/>
        </w:trPr>
        <w:tc>
          <w:tcPr>
            <w:tcW w:w="1838" w:type="dxa"/>
            <w:noWrap/>
          </w:tcPr>
          <w:p w:rsidR="00CC7802" w:rsidRDefault="00762192">
            <w:pPr>
              <w:spacing w:after="0" w:line="240" w:lineRule="auto"/>
              <w:rPr>
                <w:rFonts w:eastAsia="Times New Roman" w:cs="Times New Roman"/>
                <w:lang w:eastAsia="fr-FR"/>
              </w:rPr>
            </w:pPr>
            <w:r>
              <w:rPr>
                <w:rFonts w:eastAsia="Times New Roman" w:cs="Times New Roman"/>
                <w:lang w:eastAsia="fr-FR"/>
              </w:rPr>
              <w:t xml:space="preserve">Poor + </w:t>
            </w:r>
            <w:proofErr w:type="spellStart"/>
            <w:r>
              <w:rPr>
                <w:rFonts w:eastAsia="Times New Roman" w:cs="Times New Roman"/>
                <w:lang w:eastAsia="fr-FR"/>
              </w:rPr>
              <w:t>Limit</w:t>
            </w:r>
            <w:proofErr w:type="spellEnd"/>
          </w:p>
        </w:tc>
        <w:tc>
          <w:tcPr>
            <w:tcW w:w="1559"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48(64,9)</w:t>
            </w:r>
          </w:p>
        </w:tc>
        <w:tc>
          <w:tcPr>
            <w:tcW w:w="151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11(15,7)</w:t>
            </w:r>
          </w:p>
        </w:tc>
        <w:tc>
          <w:tcPr>
            <w:tcW w:w="151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12(17,1)</w:t>
            </w:r>
          </w:p>
        </w:tc>
        <w:tc>
          <w:tcPr>
            <w:tcW w:w="162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71(33,2)</w:t>
            </w:r>
          </w:p>
        </w:tc>
        <w:tc>
          <w:tcPr>
            <w:tcW w:w="993" w:type="dxa"/>
            <w:vMerge w:val="restart"/>
          </w:tcPr>
          <w:p w:rsidR="00CC7802" w:rsidRDefault="00762192">
            <w:pPr>
              <w:spacing w:after="0" w:line="240" w:lineRule="auto"/>
              <w:jc w:val="center"/>
              <w:rPr>
                <w:rFonts w:eastAsia="Times New Roman" w:cs="Times New Roman"/>
                <w:b/>
                <w:lang w:val="en-US"/>
              </w:rPr>
            </w:pPr>
            <w:r>
              <w:rPr>
                <w:rFonts w:eastAsia="Times New Roman" w:cs="Times New Roman"/>
                <w:b/>
                <w:lang w:val="en-US"/>
              </w:rPr>
              <w:t>˂ 10</w:t>
            </w:r>
            <w:r>
              <w:rPr>
                <w:rFonts w:eastAsia="Times New Roman" w:cs="Times New Roman"/>
                <w:b/>
                <w:vertAlign w:val="superscript"/>
                <w:lang w:val="en-US"/>
              </w:rPr>
              <w:t>-3</w:t>
            </w:r>
          </w:p>
          <w:p w:rsidR="00CC7802" w:rsidRDefault="00CC7802">
            <w:pPr>
              <w:spacing w:after="0" w:line="240" w:lineRule="auto"/>
              <w:ind w:firstLineChars="200" w:firstLine="480"/>
              <w:jc w:val="right"/>
              <w:rPr>
                <w:rFonts w:eastAsia="Times New Roman" w:cs="Times New Roman"/>
                <w:lang w:eastAsia="fr-FR"/>
              </w:rPr>
            </w:pPr>
          </w:p>
        </w:tc>
      </w:tr>
      <w:tr w:rsidR="00CC7802">
        <w:trPr>
          <w:trHeight w:val="300"/>
        </w:trPr>
        <w:tc>
          <w:tcPr>
            <w:tcW w:w="1838" w:type="dxa"/>
            <w:noWrap/>
          </w:tcPr>
          <w:p w:rsidR="00CC7802" w:rsidRDefault="00762192">
            <w:pPr>
              <w:spacing w:after="0" w:line="240" w:lineRule="auto"/>
              <w:rPr>
                <w:rFonts w:eastAsia="Times New Roman" w:cs="Times New Roman"/>
                <w:lang w:eastAsia="fr-FR"/>
              </w:rPr>
            </w:pPr>
            <w:r>
              <w:rPr>
                <w:rFonts w:eastAsia="Times New Roman" w:cs="Times New Roman"/>
                <w:lang w:eastAsia="fr-FR"/>
              </w:rPr>
              <w:t>Acceptable</w:t>
            </w:r>
          </w:p>
        </w:tc>
        <w:tc>
          <w:tcPr>
            <w:tcW w:w="1559"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26(35,1)</w:t>
            </w:r>
          </w:p>
        </w:tc>
        <w:tc>
          <w:tcPr>
            <w:tcW w:w="151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59(84,3)</w:t>
            </w:r>
          </w:p>
        </w:tc>
        <w:tc>
          <w:tcPr>
            <w:tcW w:w="151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58(82,9)</w:t>
            </w:r>
          </w:p>
        </w:tc>
        <w:tc>
          <w:tcPr>
            <w:tcW w:w="162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143(66,8)</w:t>
            </w:r>
          </w:p>
        </w:tc>
        <w:tc>
          <w:tcPr>
            <w:tcW w:w="993" w:type="dxa"/>
            <w:vMerge/>
          </w:tcPr>
          <w:p w:rsidR="00CC7802" w:rsidRDefault="00CC7802">
            <w:pPr>
              <w:spacing w:after="0" w:line="240" w:lineRule="auto"/>
              <w:ind w:firstLineChars="200" w:firstLine="480"/>
              <w:jc w:val="right"/>
              <w:rPr>
                <w:rFonts w:eastAsia="Times New Roman" w:cs="Times New Roman"/>
                <w:lang w:eastAsia="fr-FR"/>
              </w:rPr>
            </w:pPr>
          </w:p>
        </w:tc>
      </w:tr>
      <w:tr w:rsidR="00CC7802">
        <w:trPr>
          <w:trHeight w:val="300"/>
        </w:trPr>
        <w:tc>
          <w:tcPr>
            <w:tcW w:w="1838" w:type="dxa"/>
            <w:noWrap/>
          </w:tcPr>
          <w:p w:rsidR="00CC7802" w:rsidRDefault="00762192">
            <w:pPr>
              <w:spacing w:after="0" w:line="240" w:lineRule="auto"/>
              <w:rPr>
                <w:rFonts w:eastAsia="Times New Roman" w:cs="Times New Roman"/>
                <w:lang w:eastAsia="fr-FR"/>
              </w:rPr>
            </w:pPr>
            <w:r>
              <w:rPr>
                <w:rFonts w:eastAsia="Times New Roman" w:cs="Times New Roman"/>
                <w:lang w:eastAsia="fr-FR"/>
              </w:rPr>
              <w:t>Total</w:t>
            </w:r>
          </w:p>
        </w:tc>
        <w:tc>
          <w:tcPr>
            <w:tcW w:w="1559"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74(100,0)</w:t>
            </w:r>
          </w:p>
        </w:tc>
        <w:tc>
          <w:tcPr>
            <w:tcW w:w="151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70(100,0)</w:t>
            </w:r>
          </w:p>
        </w:tc>
        <w:tc>
          <w:tcPr>
            <w:tcW w:w="151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70(100,0)</w:t>
            </w:r>
          </w:p>
        </w:tc>
        <w:tc>
          <w:tcPr>
            <w:tcW w:w="1628" w:type="dxa"/>
            <w:noWrap/>
          </w:tcPr>
          <w:p w:rsidR="00CC7802" w:rsidRDefault="00762192">
            <w:pPr>
              <w:spacing w:after="0" w:line="240" w:lineRule="auto"/>
              <w:ind w:firstLineChars="200" w:firstLine="480"/>
              <w:jc w:val="right"/>
              <w:rPr>
                <w:rFonts w:eastAsia="Times New Roman" w:cs="Times New Roman"/>
                <w:lang w:eastAsia="fr-FR"/>
              </w:rPr>
            </w:pPr>
            <w:r>
              <w:rPr>
                <w:rFonts w:eastAsia="Times New Roman" w:cs="Times New Roman"/>
                <w:lang w:eastAsia="fr-FR"/>
              </w:rPr>
              <w:t>214(100,0)</w:t>
            </w:r>
          </w:p>
        </w:tc>
        <w:tc>
          <w:tcPr>
            <w:tcW w:w="993" w:type="dxa"/>
            <w:vMerge/>
          </w:tcPr>
          <w:p w:rsidR="00CC7802" w:rsidRDefault="00CC7802">
            <w:pPr>
              <w:spacing w:after="0" w:line="240" w:lineRule="auto"/>
              <w:ind w:firstLineChars="200" w:firstLine="480"/>
              <w:jc w:val="right"/>
              <w:rPr>
                <w:rFonts w:eastAsia="Times New Roman" w:cs="Times New Roman"/>
                <w:lang w:eastAsia="fr-FR"/>
              </w:rPr>
            </w:pPr>
          </w:p>
        </w:tc>
      </w:tr>
    </w:tbl>
    <w:p w:rsidR="00CC7802" w:rsidRDefault="00CC7802">
      <w:pPr>
        <w:spacing w:line="240" w:lineRule="auto"/>
        <w:jc w:val="both"/>
        <w:rPr>
          <w:rFonts w:cs="Times New Roman"/>
          <w:szCs w:val="24"/>
        </w:rPr>
      </w:pPr>
    </w:p>
    <w:p w:rsidR="00CC7802" w:rsidRDefault="00762192">
      <w:pPr>
        <w:spacing w:line="240" w:lineRule="auto"/>
        <w:jc w:val="both"/>
        <w:rPr>
          <w:rFonts w:cs="Times New Roman"/>
          <w:szCs w:val="24"/>
          <w:lang w:val="en-US"/>
        </w:rPr>
      </w:pPr>
      <w:r>
        <w:rPr>
          <w:rFonts w:cs="Times New Roman"/>
          <w:szCs w:val="24"/>
          <w:lang w:val="en-US"/>
        </w:rPr>
        <w:lastRenderedPageBreak/>
        <w:t>This analysis shows that food consumption is acceptable for 66.8% and this was statistically significant (P= 0.000).</w:t>
      </w:r>
    </w:p>
    <w:p w:rsidR="00CC7802" w:rsidRDefault="00762192">
      <w:pPr>
        <w:pStyle w:val="Paragraphedeliste"/>
        <w:numPr>
          <w:ilvl w:val="1"/>
          <w:numId w:val="6"/>
        </w:numPr>
        <w:spacing w:line="360" w:lineRule="auto"/>
        <w:jc w:val="both"/>
        <w:rPr>
          <w:rFonts w:cs="Times New Roman"/>
          <w:b/>
          <w:bCs/>
          <w:szCs w:val="24"/>
          <w:lang w:val="en-US"/>
        </w:rPr>
      </w:pPr>
      <w:r>
        <w:rPr>
          <w:rFonts w:cs="Times New Roman"/>
          <w:b/>
          <w:szCs w:val="24"/>
          <w:lang w:val="en-US"/>
        </w:rPr>
        <w:t>Correlation between the food consumption score of children aged 6 to 59 months and the socio-demographic characteristics of mothers and households according to the multivariate analysis</w:t>
      </w:r>
    </w:p>
    <w:p w:rsidR="00CC7802" w:rsidRDefault="00762192">
      <w:pPr>
        <w:spacing w:line="360" w:lineRule="auto"/>
        <w:jc w:val="both"/>
        <w:rPr>
          <w:rFonts w:cs="Times New Roman"/>
          <w:szCs w:val="24"/>
          <w:lang w:val="en-US"/>
        </w:rPr>
      </w:pPr>
      <w:r>
        <w:rPr>
          <w:rFonts w:cs="Times New Roman"/>
          <w:szCs w:val="24"/>
          <w:lang w:val="en-US"/>
        </w:rPr>
        <w:t xml:space="preserve">To study the characteristics influencing children’s food consumption, the explanatory variables </w:t>
      </w:r>
      <w:proofErr w:type="gramStart"/>
      <w:r>
        <w:rPr>
          <w:rFonts w:cs="Times New Roman"/>
          <w:szCs w:val="24"/>
          <w:lang w:val="en-US"/>
        </w:rPr>
        <w:t>were introduced</w:t>
      </w:r>
      <w:proofErr w:type="gramEnd"/>
      <w:r>
        <w:rPr>
          <w:rFonts w:cs="Times New Roman"/>
          <w:szCs w:val="24"/>
          <w:lang w:val="en-US"/>
        </w:rPr>
        <w:t xml:space="preserve"> in a logistic model to obtain more refined information on the degree of influence they have on food consumption (Table 3). The multinomial logistic regression analysis led to conclusive models for predicting the probability of having an acceptable </w:t>
      </w:r>
      <w:proofErr w:type="gramStart"/>
      <w:r>
        <w:rPr>
          <w:rFonts w:cs="Times New Roman"/>
          <w:szCs w:val="24"/>
          <w:lang w:val="en-US"/>
        </w:rPr>
        <w:t xml:space="preserve">food consumption </w:t>
      </w:r>
      <w:proofErr w:type="spellStart"/>
      <w:r>
        <w:rPr>
          <w:rFonts w:cs="Times New Roman"/>
          <w:szCs w:val="24"/>
          <w:lang w:val="en-US"/>
        </w:rPr>
        <w:t>level.The</w:t>
      </w:r>
      <w:proofErr w:type="spellEnd"/>
      <w:r>
        <w:rPr>
          <w:rFonts w:cs="Times New Roman"/>
          <w:szCs w:val="24"/>
          <w:lang w:val="en-US"/>
        </w:rPr>
        <w:t xml:space="preserve"> analysis</w:t>
      </w:r>
      <w:proofErr w:type="gramEnd"/>
      <w:r>
        <w:rPr>
          <w:rFonts w:cs="Times New Roman"/>
          <w:szCs w:val="24"/>
          <w:lang w:val="en-US"/>
        </w:rPr>
        <w:t xml:space="preserve"> of the logistic model shows the p-values of the different explanatory variables identified. The estimated model identifies three (3) relevant variables explaining food consumption in children aged 6 to 59 months: This is </w:t>
      </w:r>
      <w:r w:rsidRPr="00FF27BE">
        <w:rPr>
          <w:rFonts w:cs="Times New Roman"/>
          <w:szCs w:val="24"/>
          <w:highlight w:val="yellow"/>
          <w:lang w:val="en-US"/>
        </w:rPr>
        <w:t>the non-</w:t>
      </w:r>
      <w:proofErr w:type="spellStart"/>
      <w:r w:rsidRPr="00FF27BE">
        <w:rPr>
          <w:rFonts w:cs="Times New Roman"/>
          <w:szCs w:val="24"/>
          <w:highlight w:val="yellow"/>
          <w:lang w:val="en-US"/>
        </w:rPr>
        <w:t>horticulturee</w:t>
      </w:r>
      <w:proofErr w:type="spellEnd"/>
      <w:r w:rsidRPr="00FF27BE">
        <w:rPr>
          <w:rFonts w:cs="Times New Roman"/>
          <w:szCs w:val="24"/>
          <w:highlight w:val="yellow"/>
          <w:lang w:val="en-US"/>
        </w:rPr>
        <w:t xml:space="preserve"> area</w:t>
      </w:r>
      <w:r>
        <w:rPr>
          <w:rFonts w:cs="Times New Roman"/>
          <w:szCs w:val="24"/>
          <w:lang w:val="en-US"/>
        </w:rPr>
        <w:t xml:space="preserve"> "Urban </w:t>
      </w:r>
      <w:proofErr w:type="spellStart"/>
      <w:r>
        <w:rPr>
          <w:rFonts w:cs="Times New Roman"/>
          <w:szCs w:val="24"/>
          <w:lang w:val="en-US"/>
        </w:rPr>
        <w:t>Dosso</w:t>
      </w:r>
      <w:proofErr w:type="spellEnd"/>
      <w:r>
        <w:rPr>
          <w:rFonts w:cs="Times New Roman"/>
          <w:szCs w:val="24"/>
          <w:lang w:val="en-US"/>
        </w:rPr>
        <w:t xml:space="preserve"> ˮ (P=0.022), the </w:t>
      </w:r>
      <w:proofErr w:type="spellStart"/>
      <w:r>
        <w:rPr>
          <w:rFonts w:cs="Times New Roman"/>
          <w:szCs w:val="24"/>
          <w:lang w:val="en-US"/>
        </w:rPr>
        <w:t>Tillabéri</w:t>
      </w:r>
      <w:proofErr w:type="spellEnd"/>
      <w:r>
        <w:rPr>
          <w:rFonts w:cs="Times New Roman"/>
          <w:szCs w:val="24"/>
          <w:lang w:val="en-US"/>
        </w:rPr>
        <w:t xml:space="preserve"> market gardening commune of </w:t>
      </w:r>
      <w:proofErr w:type="spellStart"/>
      <w:r>
        <w:rPr>
          <w:rFonts w:cs="Times New Roman"/>
          <w:szCs w:val="24"/>
          <w:lang w:val="en-US"/>
        </w:rPr>
        <w:t>Liboré</w:t>
      </w:r>
      <w:proofErr w:type="spellEnd"/>
      <w:r>
        <w:rPr>
          <w:rFonts w:cs="Times New Roman"/>
          <w:szCs w:val="24"/>
          <w:lang w:val="en-US"/>
        </w:rPr>
        <w:t xml:space="preserve"> ˮ (P=0.004) and primary schooling level (P=0.005) (Table 3).</w:t>
      </w:r>
    </w:p>
    <w:p w:rsidR="00CC7802" w:rsidRDefault="00762192">
      <w:pPr>
        <w:spacing w:line="240" w:lineRule="auto"/>
        <w:jc w:val="both"/>
        <w:rPr>
          <w:rFonts w:cs="Times New Roman"/>
          <w:b/>
          <w:bCs/>
          <w:iCs/>
          <w:szCs w:val="24"/>
          <w:lang w:val="en-US"/>
        </w:rPr>
      </w:pPr>
      <w:r>
        <w:rPr>
          <w:rFonts w:cs="Times New Roman"/>
          <w:b/>
          <w:bCs/>
          <w:iCs/>
          <w:szCs w:val="24"/>
          <w:lang w:val="en-US"/>
        </w:rPr>
        <w:t xml:space="preserve">Table III: Bi-variate and multivariate analysis of the variables associated with food consumption of children from </w:t>
      </w:r>
      <w:proofErr w:type="gramStart"/>
      <w:r>
        <w:rPr>
          <w:rFonts w:cs="Times New Roman"/>
          <w:b/>
          <w:bCs/>
          <w:iCs/>
          <w:szCs w:val="24"/>
          <w:lang w:val="en-US"/>
        </w:rPr>
        <w:t>6</w:t>
      </w:r>
      <w:proofErr w:type="gramEnd"/>
      <w:r>
        <w:rPr>
          <w:rFonts w:cs="Times New Roman"/>
          <w:b/>
          <w:bCs/>
          <w:iCs/>
          <w:szCs w:val="24"/>
          <w:lang w:val="en-US"/>
        </w:rPr>
        <w:t xml:space="preserve"> to 59</w:t>
      </w:r>
    </w:p>
    <w:p w:rsidR="00CC7802" w:rsidRDefault="00CC7802">
      <w:pPr>
        <w:spacing w:line="240" w:lineRule="auto"/>
        <w:jc w:val="both"/>
        <w:rPr>
          <w:rFonts w:cs="Times New Roman"/>
          <w:b/>
          <w:bCs/>
          <w:i/>
          <w:iCs/>
          <w:szCs w:val="24"/>
          <w:lang w:val="en-US"/>
        </w:rPr>
      </w:pPr>
    </w:p>
    <w:tbl>
      <w:tblPr>
        <w:tblW w:w="9639" w:type="dxa"/>
        <w:tblLayout w:type="fixed"/>
        <w:tblLook w:val="04A0" w:firstRow="1" w:lastRow="0" w:firstColumn="1" w:lastColumn="0" w:noHBand="0" w:noVBand="1"/>
      </w:tblPr>
      <w:tblGrid>
        <w:gridCol w:w="3686"/>
        <w:gridCol w:w="1984"/>
        <w:gridCol w:w="1276"/>
        <w:gridCol w:w="1843"/>
        <w:gridCol w:w="142"/>
        <w:gridCol w:w="708"/>
      </w:tblGrid>
      <w:tr w:rsidR="00CC7802">
        <w:tc>
          <w:tcPr>
            <w:tcW w:w="3686" w:type="dxa"/>
            <w:tcBorders>
              <w:top w:val="single" w:sz="4" w:space="0" w:color="auto"/>
              <w:left w:val="nil"/>
              <w:bottom w:val="single" w:sz="8" w:space="0" w:color="auto"/>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 xml:space="preserve">Variable </w:t>
            </w:r>
          </w:p>
        </w:tc>
        <w:tc>
          <w:tcPr>
            <w:tcW w:w="1984" w:type="dxa"/>
            <w:tcBorders>
              <w:top w:val="single" w:sz="4" w:space="0" w:color="auto"/>
              <w:left w:val="nil"/>
              <w:bottom w:val="single" w:sz="8" w:space="0" w:color="auto"/>
              <w:right w:val="nil"/>
            </w:tcBorders>
          </w:tcPr>
          <w:p w:rsidR="00CC7802" w:rsidRDefault="00762192">
            <w:pPr>
              <w:widowControl w:val="0"/>
              <w:autoSpaceDE w:val="0"/>
              <w:autoSpaceDN w:val="0"/>
              <w:adjustRightInd w:val="0"/>
              <w:spacing w:after="0" w:line="240" w:lineRule="auto"/>
              <w:jc w:val="center"/>
              <w:rPr>
                <w:rFonts w:cs="Times New Roman"/>
                <w:lang w:val="en-US"/>
              </w:rPr>
            </w:pPr>
            <w:r>
              <w:rPr>
                <w:rFonts w:cs="Times New Roman"/>
                <w:lang w:val="en-US"/>
              </w:rPr>
              <w:t xml:space="preserve">OR brute </w:t>
            </w:r>
            <w:r>
              <w:rPr>
                <w:rFonts w:cs="Times New Roman"/>
                <w:b/>
                <w:szCs w:val="24"/>
                <w:lang w:val="en-US"/>
              </w:rPr>
              <w:t>[</w:t>
            </w:r>
            <w:r>
              <w:rPr>
                <w:rFonts w:cs="Times New Roman"/>
                <w:lang w:val="en-US"/>
              </w:rPr>
              <w:t xml:space="preserve">IC95% </w:t>
            </w:r>
            <w:r>
              <w:rPr>
                <w:rFonts w:cs="Times New Roman"/>
                <w:b/>
                <w:szCs w:val="24"/>
                <w:lang w:val="en-US"/>
              </w:rPr>
              <w:t>]</w:t>
            </w:r>
          </w:p>
        </w:tc>
        <w:tc>
          <w:tcPr>
            <w:tcW w:w="1276" w:type="dxa"/>
            <w:tcBorders>
              <w:top w:val="single" w:sz="4" w:space="0" w:color="auto"/>
              <w:left w:val="nil"/>
              <w:bottom w:val="single" w:sz="8" w:space="0" w:color="auto"/>
              <w:right w:val="nil"/>
            </w:tcBorders>
          </w:tcPr>
          <w:p w:rsidR="00CC7802" w:rsidRDefault="00762192">
            <w:pPr>
              <w:widowControl w:val="0"/>
              <w:autoSpaceDE w:val="0"/>
              <w:autoSpaceDN w:val="0"/>
              <w:adjustRightInd w:val="0"/>
              <w:spacing w:after="0" w:line="240" w:lineRule="auto"/>
              <w:jc w:val="center"/>
              <w:rPr>
                <w:rFonts w:cs="Times New Roman"/>
                <w:lang w:val="en-US"/>
              </w:rPr>
            </w:pPr>
            <w:r>
              <w:rPr>
                <w:rFonts w:cs="Times New Roman"/>
                <w:lang w:val="en-US"/>
              </w:rPr>
              <w:t>P</w:t>
            </w:r>
          </w:p>
        </w:tc>
        <w:tc>
          <w:tcPr>
            <w:tcW w:w="1985" w:type="dxa"/>
            <w:gridSpan w:val="2"/>
            <w:tcBorders>
              <w:top w:val="single" w:sz="4" w:space="0" w:color="auto"/>
              <w:left w:val="nil"/>
              <w:bottom w:val="single" w:sz="8" w:space="0" w:color="auto"/>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cs="Times New Roman"/>
                <w:lang w:val="en-US"/>
              </w:rPr>
              <w:t xml:space="preserve">OR adjusted </w:t>
            </w:r>
            <w:r>
              <w:rPr>
                <w:rFonts w:cs="Times New Roman"/>
                <w:b/>
                <w:szCs w:val="24"/>
                <w:lang w:val="en-US"/>
              </w:rPr>
              <w:t>[</w:t>
            </w:r>
            <w:r>
              <w:rPr>
                <w:rFonts w:cs="Times New Roman"/>
                <w:lang w:val="en-US"/>
              </w:rPr>
              <w:t xml:space="preserve">IC95% </w:t>
            </w:r>
            <w:r>
              <w:rPr>
                <w:rFonts w:cs="Times New Roman"/>
                <w:b/>
                <w:szCs w:val="24"/>
                <w:lang w:val="en-US"/>
              </w:rPr>
              <w:t>]</w:t>
            </w:r>
          </w:p>
        </w:tc>
        <w:tc>
          <w:tcPr>
            <w:tcW w:w="708" w:type="dxa"/>
            <w:tcBorders>
              <w:top w:val="single" w:sz="4" w:space="0" w:color="auto"/>
              <w:left w:val="nil"/>
              <w:bottom w:val="single" w:sz="8" w:space="0" w:color="auto"/>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p</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eastAsia="fr-FR"/>
              </w:rPr>
            </w:pPr>
            <w:r>
              <w:rPr>
                <w:rFonts w:eastAsia="Times New Roman" w:cs="Times New Roman"/>
                <w:szCs w:val="24"/>
                <w:lang w:eastAsia="fr-FR"/>
              </w:rPr>
              <w:t xml:space="preserve">Area </w:t>
            </w:r>
          </w:p>
        </w:tc>
        <w:tc>
          <w:tcPr>
            <w:tcW w:w="1984"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850" w:type="dxa"/>
            <w:gridSpan w:val="2"/>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eastAsia="fr-FR"/>
              </w:rPr>
            </w:pPr>
            <w:r>
              <w:rPr>
                <w:rFonts w:eastAsia="Times New Roman" w:cs="Times New Roman"/>
                <w:szCs w:val="24"/>
                <w:lang w:val="en-US" w:eastAsia="fr-FR"/>
              </w:rPr>
              <w:t xml:space="preserve">Market gardener </w:t>
            </w:r>
            <w:proofErr w:type="spellStart"/>
            <w:r>
              <w:rPr>
                <w:rFonts w:eastAsia="Times New Roman" w:cs="Times New Roman"/>
                <w:szCs w:val="24"/>
                <w:lang w:val="en-US" w:eastAsia="fr-FR"/>
              </w:rPr>
              <w:t>Dosso</w:t>
            </w:r>
            <w:proofErr w:type="spellEnd"/>
          </w:p>
        </w:tc>
        <w:tc>
          <w:tcPr>
            <w:tcW w:w="1984"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1276"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eastAsia="fr-FR"/>
              </w:rPr>
            </w:pPr>
            <w:proofErr w:type="spellStart"/>
            <w:r>
              <w:rPr>
                <w:rFonts w:eastAsia="Times New Roman" w:cs="Times New Roman"/>
                <w:szCs w:val="24"/>
                <w:lang w:eastAsia="fr-FR"/>
              </w:rPr>
              <w:t>Market</w:t>
            </w:r>
            <w:proofErr w:type="spellEnd"/>
            <w:r>
              <w:rPr>
                <w:rFonts w:eastAsia="Times New Roman" w:cs="Times New Roman"/>
                <w:szCs w:val="24"/>
                <w:lang w:eastAsia="fr-FR"/>
              </w:rPr>
              <w:t xml:space="preserve"> </w:t>
            </w:r>
            <w:proofErr w:type="spellStart"/>
            <w:r>
              <w:rPr>
                <w:rFonts w:eastAsia="Times New Roman" w:cs="Times New Roman"/>
                <w:szCs w:val="24"/>
                <w:lang w:eastAsia="fr-FR"/>
              </w:rPr>
              <w:t>gardener</w:t>
            </w:r>
            <w:proofErr w:type="spellEnd"/>
            <w:r>
              <w:rPr>
                <w:rFonts w:eastAsia="Times New Roman" w:cs="Times New Roman"/>
                <w:szCs w:val="24"/>
                <w:lang w:eastAsia="fr-FR"/>
              </w:rPr>
              <w:t xml:space="preserve"> </w:t>
            </w:r>
            <w:proofErr w:type="spellStart"/>
            <w:r>
              <w:rPr>
                <w:rFonts w:eastAsia="Times New Roman" w:cs="Times New Roman"/>
                <w:szCs w:val="24"/>
                <w:lang w:eastAsia="fr-FR"/>
              </w:rPr>
              <w:t>Tillabéri</w:t>
            </w:r>
            <w:proofErr w:type="spellEnd"/>
          </w:p>
        </w:tc>
        <w:tc>
          <w:tcPr>
            <w:tcW w:w="1984"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35,68[3,91-25,05]</w:t>
            </w:r>
          </w:p>
        </w:tc>
        <w:tc>
          <w:tcPr>
            <w:tcW w:w="1276"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0.0000</w:t>
            </w: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5.33[1.69-16.83]</w:t>
            </w: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b/>
                <w:szCs w:val="24"/>
                <w:lang w:val="en-US" w:eastAsia="fr-FR"/>
              </w:rPr>
            </w:pPr>
            <w:r>
              <w:rPr>
                <w:rFonts w:eastAsia="Times New Roman" w:cs="Times New Roman"/>
                <w:b/>
                <w:szCs w:val="24"/>
                <w:lang w:val="en-US" w:eastAsia="fr-FR"/>
              </w:rPr>
              <w:t>0.004</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No</w:t>
            </w:r>
            <w:r>
              <w:t xml:space="preserve"> </w:t>
            </w:r>
            <w:r>
              <w:rPr>
                <w:rFonts w:eastAsia="Times New Roman" w:cs="Times New Roman"/>
                <w:szCs w:val="24"/>
                <w:lang w:val="en-US" w:eastAsia="fr-FR"/>
              </w:rPr>
              <w:t xml:space="preserve">Market gardening </w:t>
            </w:r>
            <w:proofErr w:type="spellStart"/>
            <w:r>
              <w:rPr>
                <w:rFonts w:eastAsia="Times New Roman" w:cs="Times New Roman"/>
                <w:szCs w:val="24"/>
                <w:lang w:val="en-US" w:eastAsia="fr-FR"/>
              </w:rPr>
              <w:t>Dosso</w:t>
            </w:r>
            <w:proofErr w:type="spellEnd"/>
          </w:p>
        </w:tc>
        <w:tc>
          <w:tcPr>
            <w:tcW w:w="1984"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33,47[3,63-21,92]</w:t>
            </w:r>
          </w:p>
        </w:tc>
        <w:tc>
          <w:tcPr>
            <w:tcW w:w="1276"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0.0000</w:t>
            </w: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4.34[1.24-15.18]</w:t>
            </w: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b/>
                <w:szCs w:val="24"/>
                <w:lang w:val="en-US" w:eastAsia="fr-FR"/>
              </w:rPr>
            </w:pPr>
            <w:r>
              <w:rPr>
                <w:rFonts w:eastAsia="Times New Roman" w:cs="Times New Roman"/>
                <w:b/>
                <w:szCs w:val="24"/>
                <w:lang w:val="en-US" w:eastAsia="fr-FR"/>
              </w:rPr>
              <w:t>0.022</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Level of education</w:t>
            </w:r>
          </w:p>
        </w:tc>
        <w:tc>
          <w:tcPr>
            <w:tcW w:w="1984"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Not any</w:t>
            </w:r>
          </w:p>
        </w:tc>
        <w:tc>
          <w:tcPr>
            <w:tcW w:w="1984"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1276"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Koranic</w:t>
            </w:r>
          </w:p>
        </w:tc>
        <w:tc>
          <w:tcPr>
            <w:tcW w:w="1984"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5.93[2.98-11.78]</w:t>
            </w:r>
          </w:p>
        </w:tc>
        <w:tc>
          <w:tcPr>
            <w:tcW w:w="1276"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0.000</w:t>
            </w: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1.26[0.40-3.93]</w:t>
            </w: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0.692</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 xml:space="preserve">Primary </w:t>
            </w:r>
          </w:p>
        </w:tc>
        <w:tc>
          <w:tcPr>
            <w:tcW w:w="1984"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4.61[1.58-13.45]</w:t>
            </w: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b/>
                <w:szCs w:val="24"/>
                <w:lang w:val="en-US" w:eastAsia="fr-FR"/>
              </w:rPr>
            </w:pPr>
            <w:r>
              <w:rPr>
                <w:rFonts w:eastAsia="Times New Roman" w:cs="Times New Roman"/>
                <w:b/>
                <w:szCs w:val="24"/>
                <w:lang w:val="en-US" w:eastAsia="fr-FR"/>
              </w:rPr>
              <w:t>0.005</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Secondary and higher</w:t>
            </w:r>
          </w:p>
        </w:tc>
        <w:tc>
          <w:tcPr>
            <w:tcW w:w="1984"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1.96[0.65-5.88]</w:t>
            </w: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0.232</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Main source of income</w:t>
            </w:r>
          </w:p>
        </w:tc>
        <w:tc>
          <w:tcPr>
            <w:tcW w:w="1984"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850" w:type="dxa"/>
            <w:gridSpan w:val="2"/>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 xml:space="preserve">Employee </w:t>
            </w:r>
          </w:p>
        </w:tc>
        <w:tc>
          <w:tcPr>
            <w:tcW w:w="1984"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.60[0.32-1.13]</w:t>
            </w:r>
          </w:p>
        </w:tc>
        <w:tc>
          <w:tcPr>
            <w:tcW w:w="1276"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Farmer</w:t>
            </w:r>
          </w:p>
        </w:tc>
        <w:tc>
          <w:tcPr>
            <w:tcW w:w="1984"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.46[0.20-1.07]</w:t>
            </w:r>
          </w:p>
        </w:tc>
        <w:tc>
          <w:tcPr>
            <w:tcW w:w="1276"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0.03</w:t>
            </w: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1.76[0.619-5.01]</w:t>
            </w: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0.289</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 xml:space="preserve">Trader </w:t>
            </w:r>
          </w:p>
        </w:tc>
        <w:tc>
          <w:tcPr>
            <w:tcW w:w="1984"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 .63[0.28-1.43]</w:t>
            </w: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0.272</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proofErr w:type="spellStart"/>
            <w:r>
              <w:rPr>
                <w:rFonts w:eastAsia="Times New Roman" w:cs="Times New Roman"/>
                <w:szCs w:val="24"/>
                <w:lang w:val="en-US" w:eastAsia="fr-FR"/>
              </w:rPr>
              <w:t>Revenus</w:t>
            </w:r>
            <w:proofErr w:type="spellEnd"/>
            <w:r>
              <w:t xml:space="preserve"> </w:t>
            </w:r>
            <w:r>
              <w:rPr>
                <w:rFonts w:eastAsia="Times New Roman" w:cs="Times New Roman"/>
                <w:szCs w:val="24"/>
                <w:lang w:val="en-US" w:eastAsia="fr-FR"/>
              </w:rPr>
              <w:t>without income</w:t>
            </w:r>
          </w:p>
        </w:tc>
        <w:tc>
          <w:tcPr>
            <w:tcW w:w="1984"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1276"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eastAsia="fr-FR"/>
              </w:rPr>
            </w:pPr>
            <w:proofErr w:type="spellStart"/>
            <w:r>
              <w:rPr>
                <w:rFonts w:eastAsia="Times New Roman" w:cs="Times New Roman"/>
                <w:szCs w:val="24"/>
                <w:lang w:eastAsia="fr-FR"/>
              </w:rPr>
              <w:t>Agricultura</w:t>
            </w:r>
            <w:proofErr w:type="spellEnd"/>
            <w:r>
              <w:rPr>
                <w:rFonts w:eastAsia="Times New Roman" w:cs="Times New Roman"/>
                <w:szCs w:val="24"/>
                <w:lang w:eastAsia="fr-FR"/>
              </w:rPr>
              <w:t xml:space="preserve"> practice</w:t>
            </w:r>
          </w:p>
        </w:tc>
        <w:tc>
          <w:tcPr>
            <w:tcW w:w="1984"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850" w:type="dxa"/>
            <w:gridSpan w:val="2"/>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eastAsia="fr-FR"/>
              </w:rPr>
            </w:pPr>
            <w:r>
              <w:rPr>
                <w:rFonts w:eastAsia="Times New Roman" w:cs="Times New Roman"/>
                <w:szCs w:val="24"/>
                <w:lang w:eastAsia="fr-FR"/>
              </w:rPr>
              <w:t xml:space="preserve">No </w:t>
            </w:r>
          </w:p>
        </w:tc>
        <w:tc>
          <w:tcPr>
            <w:tcW w:w="1984"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1276"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 xml:space="preserve">Yes </w:t>
            </w:r>
          </w:p>
        </w:tc>
        <w:tc>
          <w:tcPr>
            <w:tcW w:w="1984"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034[0.15-0.75]</w:t>
            </w:r>
          </w:p>
        </w:tc>
        <w:tc>
          <w:tcPr>
            <w:tcW w:w="1276"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0.053</w:t>
            </w: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1.22[0.46-3.26]</w:t>
            </w: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0.694</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eastAsia="fr-FR"/>
              </w:rPr>
            </w:pPr>
            <w:r>
              <w:rPr>
                <w:rFonts w:eastAsia="Times New Roman" w:cs="Times New Roman"/>
                <w:szCs w:val="24"/>
                <w:lang w:eastAsia="fr-FR"/>
              </w:rPr>
              <w:t xml:space="preserve">Practice of </w:t>
            </w:r>
            <w:proofErr w:type="spellStart"/>
            <w:r>
              <w:rPr>
                <w:rFonts w:eastAsia="Times New Roman" w:cs="Times New Roman"/>
                <w:szCs w:val="24"/>
                <w:lang w:eastAsia="fr-FR"/>
              </w:rPr>
              <w:t>gardening</w:t>
            </w:r>
            <w:proofErr w:type="spellEnd"/>
          </w:p>
        </w:tc>
        <w:tc>
          <w:tcPr>
            <w:tcW w:w="1984"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850" w:type="dxa"/>
            <w:gridSpan w:val="2"/>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eastAsia="fr-FR"/>
              </w:rPr>
            </w:pPr>
            <w:r>
              <w:rPr>
                <w:rFonts w:eastAsia="Times New Roman" w:cs="Times New Roman"/>
                <w:szCs w:val="24"/>
                <w:lang w:eastAsia="fr-FR"/>
              </w:rPr>
              <w:t>No</w:t>
            </w:r>
          </w:p>
        </w:tc>
        <w:tc>
          <w:tcPr>
            <w:tcW w:w="1984"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1276"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 xml:space="preserve">Yes </w:t>
            </w:r>
          </w:p>
        </w:tc>
        <w:tc>
          <w:tcPr>
            <w:tcW w:w="1984"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.22[0.11-0.41]</w:t>
            </w:r>
          </w:p>
        </w:tc>
        <w:tc>
          <w:tcPr>
            <w:tcW w:w="1276"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0.000</w:t>
            </w: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0.91[0.307-2.70]</w:t>
            </w: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0.865</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Practice of raising</w:t>
            </w:r>
          </w:p>
        </w:tc>
        <w:tc>
          <w:tcPr>
            <w:tcW w:w="1984"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276"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850" w:type="dxa"/>
            <w:gridSpan w:val="2"/>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r>
      <w:tr w:rsidR="00CC7802">
        <w:tc>
          <w:tcPr>
            <w:tcW w:w="3686" w:type="dxa"/>
            <w:tcBorders>
              <w:top w:val="nil"/>
              <w:left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 xml:space="preserve">No </w:t>
            </w:r>
          </w:p>
        </w:tc>
        <w:tc>
          <w:tcPr>
            <w:tcW w:w="1984" w:type="dxa"/>
            <w:tcBorders>
              <w:top w:val="nil"/>
              <w:left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1276" w:type="dxa"/>
            <w:tcBorders>
              <w:top w:val="nil"/>
              <w:left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c>
          <w:tcPr>
            <w:tcW w:w="1843" w:type="dxa"/>
            <w:tcBorders>
              <w:top w:val="nil"/>
              <w:left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lastRenderedPageBreak/>
              <w:t xml:space="preserve">Yes </w:t>
            </w:r>
          </w:p>
        </w:tc>
        <w:tc>
          <w:tcPr>
            <w:tcW w:w="1984"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.24[0.12-0.47]</w:t>
            </w:r>
          </w:p>
        </w:tc>
        <w:tc>
          <w:tcPr>
            <w:tcW w:w="1276"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0.0000</w:t>
            </w: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0.56[0.23-1.35]</w:t>
            </w: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0.196</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eastAsia="fr-FR"/>
              </w:rPr>
            </w:pPr>
            <w:proofErr w:type="spellStart"/>
            <w:r>
              <w:rPr>
                <w:rFonts w:eastAsia="Times New Roman" w:cs="Times New Roman"/>
                <w:szCs w:val="24"/>
                <w:lang w:eastAsia="fr-FR"/>
              </w:rPr>
              <w:t>Number</w:t>
            </w:r>
            <w:proofErr w:type="spellEnd"/>
            <w:r>
              <w:rPr>
                <w:rFonts w:eastAsia="Times New Roman" w:cs="Times New Roman"/>
                <w:szCs w:val="24"/>
                <w:lang w:eastAsia="fr-FR"/>
              </w:rPr>
              <w:t xml:space="preserve"> of </w:t>
            </w:r>
            <w:proofErr w:type="spellStart"/>
            <w:r>
              <w:rPr>
                <w:rFonts w:eastAsia="Times New Roman" w:cs="Times New Roman"/>
                <w:szCs w:val="24"/>
                <w:lang w:eastAsia="fr-FR"/>
              </w:rPr>
              <w:t>children</w:t>
            </w:r>
            <w:proofErr w:type="spellEnd"/>
            <w:r>
              <w:rPr>
                <w:rFonts w:eastAsia="Times New Roman" w:cs="Times New Roman"/>
                <w:szCs w:val="24"/>
                <w:lang w:eastAsia="fr-FR"/>
              </w:rPr>
              <w:t xml:space="preserve"> </w:t>
            </w:r>
            <w:proofErr w:type="spellStart"/>
            <w:r>
              <w:rPr>
                <w:rFonts w:eastAsia="Times New Roman" w:cs="Times New Roman"/>
                <w:szCs w:val="24"/>
                <w:lang w:eastAsia="fr-FR"/>
              </w:rPr>
              <w:t>under</w:t>
            </w:r>
            <w:proofErr w:type="spellEnd"/>
            <w:r>
              <w:rPr>
                <w:rFonts w:eastAsia="Times New Roman" w:cs="Times New Roman"/>
                <w:szCs w:val="24"/>
                <w:lang w:eastAsia="fr-FR"/>
              </w:rPr>
              <w:t xml:space="preserve"> 5</w:t>
            </w:r>
          </w:p>
        </w:tc>
        <w:tc>
          <w:tcPr>
            <w:tcW w:w="1984"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eastAsia="fr-FR"/>
              </w:rPr>
            </w:pPr>
          </w:p>
        </w:tc>
        <w:tc>
          <w:tcPr>
            <w:tcW w:w="1276"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eastAsia="fr-FR"/>
              </w:rPr>
            </w:pPr>
          </w:p>
        </w:tc>
        <w:tc>
          <w:tcPr>
            <w:tcW w:w="1843" w:type="dxa"/>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eastAsia="fr-FR"/>
              </w:rPr>
            </w:pPr>
          </w:p>
        </w:tc>
        <w:tc>
          <w:tcPr>
            <w:tcW w:w="850" w:type="dxa"/>
            <w:gridSpan w:val="2"/>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r>
      <w:tr w:rsidR="00CC7802">
        <w:tc>
          <w:tcPr>
            <w:tcW w:w="3686" w:type="dxa"/>
            <w:tcBorders>
              <w:top w:val="nil"/>
              <w:left w:val="nil"/>
              <w:bottom w:val="nil"/>
              <w:right w:val="nil"/>
            </w:tcBorders>
          </w:tcPr>
          <w:p w:rsidR="00CC7802" w:rsidRDefault="00762192">
            <w:pPr>
              <w:widowControl w:val="0"/>
              <w:autoSpaceDE w:val="0"/>
              <w:autoSpaceDN w:val="0"/>
              <w:adjustRightInd w:val="0"/>
              <w:spacing w:after="0" w:line="240" w:lineRule="auto"/>
              <w:rPr>
                <w:rFonts w:eastAsia="Times New Roman" w:cs="Times New Roman"/>
                <w:szCs w:val="24"/>
                <w:lang w:eastAsia="fr-FR"/>
              </w:rPr>
            </w:pPr>
            <w:r>
              <w:rPr>
                <w:rFonts w:eastAsia="Times New Roman" w:cs="Times New Roman"/>
                <w:szCs w:val="24"/>
                <w:lang w:eastAsia="fr-FR"/>
              </w:rPr>
              <w:t xml:space="preserve">1 </w:t>
            </w:r>
            <w:proofErr w:type="spellStart"/>
            <w:r>
              <w:rPr>
                <w:rFonts w:eastAsia="Times New Roman" w:cs="Times New Roman"/>
                <w:szCs w:val="24"/>
                <w:lang w:eastAsia="fr-FR"/>
              </w:rPr>
              <w:t>child</w:t>
            </w:r>
            <w:proofErr w:type="spellEnd"/>
            <w:r>
              <w:rPr>
                <w:rFonts w:eastAsia="Times New Roman" w:cs="Times New Roman"/>
                <w:szCs w:val="24"/>
                <w:lang w:eastAsia="fr-FR"/>
              </w:rPr>
              <w:t xml:space="preserve"> </w:t>
            </w:r>
            <w:proofErr w:type="spellStart"/>
            <w:r>
              <w:rPr>
                <w:rFonts w:eastAsia="Times New Roman" w:cs="Times New Roman"/>
                <w:szCs w:val="24"/>
                <w:lang w:eastAsia="fr-FR"/>
              </w:rPr>
              <w:t>under</w:t>
            </w:r>
            <w:proofErr w:type="spellEnd"/>
            <w:r>
              <w:rPr>
                <w:rFonts w:eastAsia="Times New Roman" w:cs="Times New Roman"/>
                <w:szCs w:val="24"/>
                <w:lang w:eastAsia="fr-FR"/>
              </w:rPr>
              <w:t xml:space="preserve"> 5 </w:t>
            </w:r>
            <w:proofErr w:type="spellStart"/>
            <w:r>
              <w:rPr>
                <w:rFonts w:eastAsia="Times New Roman" w:cs="Times New Roman"/>
                <w:szCs w:val="24"/>
                <w:lang w:eastAsia="fr-FR"/>
              </w:rPr>
              <w:t>years</w:t>
            </w:r>
            <w:proofErr w:type="spellEnd"/>
          </w:p>
        </w:tc>
        <w:tc>
          <w:tcPr>
            <w:tcW w:w="1984"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1276"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w:t>
            </w:r>
          </w:p>
        </w:tc>
        <w:tc>
          <w:tcPr>
            <w:tcW w:w="1843" w:type="dxa"/>
            <w:tcBorders>
              <w:top w:val="nil"/>
              <w:left w:val="nil"/>
              <w:bottom w:val="nil"/>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w:t>
            </w:r>
          </w:p>
        </w:tc>
        <w:tc>
          <w:tcPr>
            <w:tcW w:w="850" w:type="dxa"/>
            <w:gridSpan w:val="2"/>
            <w:tcBorders>
              <w:top w:val="nil"/>
              <w:left w:val="nil"/>
              <w:bottom w:val="nil"/>
              <w:right w:val="nil"/>
            </w:tcBorders>
          </w:tcPr>
          <w:p w:rsidR="00CC7802" w:rsidRDefault="00CC7802">
            <w:pPr>
              <w:widowControl w:val="0"/>
              <w:autoSpaceDE w:val="0"/>
              <w:autoSpaceDN w:val="0"/>
              <w:adjustRightInd w:val="0"/>
              <w:spacing w:after="0" w:line="240" w:lineRule="auto"/>
              <w:jc w:val="center"/>
              <w:rPr>
                <w:rFonts w:eastAsia="Times New Roman" w:cs="Times New Roman"/>
                <w:szCs w:val="24"/>
                <w:lang w:val="en-US" w:eastAsia="fr-FR"/>
              </w:rPr>
            </w:pPr>
          </w:p>
        </w:tc>
      </w:tr>
      <w:tr w:rsidR="00CC7802">
        <w:tc>
          <w:tcPr>
            <w:tcW w:w="3686" w:type="dxa"/>
            <w:tcBorders>
              <w:top w:val="nil"/>
              <w:left w:val="nil"/>
              <w:bottom w:val="single" w:sz="4" w:space="0" w:color="auto"/>
              <w:right w:val="nil"/>
            </w:tcBorders>
          </w:tcPr>
          <w:p w:rsidR="00CC7802" w:rsidRDefault="00762192">
            <w:pPr>
              <w:widowControl w:val="0"/>
              <w:autoSpaceDE w:val="0"/>
              <w:autoSpaceDN w:val="0"/>
              <w:adjustRightInd w:val="0"/>
              <w:spacing w:after="0" w:line="240" w:lineRule="auto"/>
              <w:rPr>
                <w:rFonts w:eastAsia="Times New Roman" w:cs="Times New Roman"/>
                <w:szCs w:val="24"/>
                <w:lang w:val="en-US" w:eastAsia="fr-FR"/>
              </w:rPr>
            </w:pPr>
            <w:r>
              <w:rPr>
                <w:rFonts w:eastAsia="Times New Roman" w:cs="Times New Roman"/>
                <w:szCs w:val="24"/>
                <w:lang w:val="en-US" w:eastAsia="fr-FR"/>
              </w:rPr>
              <w:t>At least 2 children</w:t>
            </w:r>
          </w:p>
        </w:tc>
        <w:tc>
          <w:tcPr>
            <w:tcW w:w="1984" w:type="dxa"/>
            <w:tcBorders>
              <w:top w:val="nil"/>
              <w:left w:val="nil"/>
              <w:bottom w:val="single" w:sz="4" w:space="0" w:color="auto"/>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2.19[1.038-4.63]</w:t>
            </w:r>
          </w:p>
        </w:tc>
        <w:tc>
          <w:tcPr>
            <w:tcW w:w="1276" w:type="dxa"/>
            <w:tcBorders>
              <w:top w:val="nil"/>
              <w:left w:val="nil"/>
              <w:bottom w:val="single" w:sz="4" w:space="0" w:color="auto"/>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0.03</w:t>
            </w:r>
          </w:p>
        </w:tc>
        <w:tc>
          <w:tcPr>
            <w:tcW w:w="1843" w:type="dxa"/>
            <w:tcBorders>
              <w:top w:val="nil"/>
              <w:left w:val="nil"/>
              <w:bottom w:val="single" w:sz="4" w:space="0" w:color="auto"/>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1.43[0.59-3.50]</w:t>
            </w:r>
          </w:p>
        </w:tc>
        <w:tc>
          <w:tcPr>
            <w:tcW w:w="850" w:type="dxa"/>
            <w:gridSpan w:val="2"/>
            <w:tcBorders>
              <w:top w:val="nil"/>
              <w:left w:val="nil"/>
              <w:bottom w:val="single" w:sz="4" w:space="0" w:color="auto"/>
              <w:right w:val="nil"/>
            </w:tcBorders>
          </w:tcPr>
          <w:p w:rsidR="00CC7802" w:rsidRDefault="00762192">
            <w:pPr>
              <w:widowControl w:val="0"/>
              <w:autoSpaceDE w:val="0"/>
              <w:autoSpaceDN w:val="0"/>
              <w:adjustRightInd w:val="0"/>
              <w:spacing w:after="0" w:line="240" w:lineRule="auto"/>
              <w:jc w:val="center"/>
              <w:rPr>
                <w:rFonts w:eastAsia="Times New Roman" w:cs="Times New Roman"/>
                <w:szCs w:val="24"/>
                <w:lang w:val="en-US" w:eastAsia="fr-FR"/>
              </w:rPr>
            </w:pPr>
            <w:r>
              <w:rPr>
                <w:rFonts w:eastAsia="Times New Roman" w:cs="Times New Roman"/>
                <w:szCs w:val="24"/>
                <w:lang w:val="en-US" w:eastAsia="fr-FR"/>
              </w:rPr>
              <w:t>0.43</w:t>
            </w:r>
          </w:p>
        </w:tc>
      </w:tr>
    </w:tbl>
    <w:p w:rsidR="00CC7802" w:rsidRDefault="00762192">
      <w:pPr>
        <w:spacing w:line="360" w:lineRule="auto"/>
        <w:jc w:val="both"/>
        <w:rPr>
          <w:rFonts w:cs="Times New Roman"/>
          <w:b/>
          <w:i/>
          <w:szCs w:val="24"/>
          <w:lang w:val="en-US"/>
        </w:rPr>
      </w:pPr>
      <w:r>
        <w:rPr>
          <w:rFonts w:cs="Times New Roman"/>
          <w:b/>
          <w:i/>
          <w:szCs w:val="24"/>
          <w:lang w:val="en-US"/>
        </w:rPr>
        <w:t>Significance level at P 0.05; IC = confidence interval; OR = odds ratio.</w:t>
      </w:r>
    </w:p>
    <w:p w:rsidR="00CC7802" w:rsidRDefault="00762192">
      <w:pPr>
        <w:spacing w:line="360" w:lineRule="auto"/>
        <w:jc w:val="both"/>
        <w:rPr>
          <w:rFonts w:cs="Times New Roman"/>
          <w:szCs w:val="24"/>
          <w:lang w:val="en-US"/>
        </w:rPr>
      </w:pPr>
      <w:r>
        <w:rPr>
          <w:rFonts w:cs="Times New Roman"/>
          <w:b/>
          <w:i/>
          <w:szCs w:val="24"/>
          <w:lang w:val="en-US"/>
        </w:rPr>
        <w:t>Areas</w:t>
      </w:r>
      <w:r>
        <w:rPr>
          <w:rFonts w:cs="Times New Roman"/>
          <w:i/>
          <w:szCs w:val="24"/>
          <w:lang w:val="en-US"/>
        </w:rPr>
        <w:t xml:space="preserve">: </w:t>
      </w:r>
      <w:r>
        <w:rPr>
          <w:rFonts w:cs="Times New Roman"/>
          <w:szCs w:val="24"/>
          <w:lang w:val="en-US"/>
        </w:rPr>
        <w:t>is a very important feature in the analysis of food consumption. Children aged 6 to 59 months in the non-market gardening area of "</w:t>
      </w:r>
      <w:proofErr w:type="spellStart"/>
      <w:r>
        <w:rPr>
          <w:rFonts w:cs="Times New Roman"/>
          <w:szCs w:val="24"/>
          <w:lang w:val="en-US"/>
        </w:rPr>
        <w:t>Dosso</w:t>
      </w:r>
      <w:proofErr w:type="spellEnd"/>
      <w:r>
        <w:rPr>
          <w:rFonts w:cs="Times New Roman"/>
          <w:szCs w:val="24"/>
          <w:lang w:val="en-US"/>
        </w:rPr>
        <w:t xml:space="preserve"> commune </w:t>
      </w:r>
      <w:proofErr w:type="spellStart"/>
      <w:r>
        <w:rPr>
          <w:rFonts w:cs="Times New Roman"/>
          <w:szCs w:val="24"/>
          <w:lang w:val="en-US"/>
        </w:rPr>
        <w:t>urbaine</w:t>
      </w:r>
      <w:proofErr w:type="spellEnd"/>
      <w:r>
        <w:rPr>
          <w:rFonts w:cs="Times New Roman"/>
          <w:szCs w:val="24"/>
          <w:lang w:val="en-US"/>
        </w:rPr>
        <w:t xml:space="preserve"> ˮ and the vegetable- growing </w:t>
      </w:r>
      <w:proofErr w:type="spellStart"/>
      <w:r>
        <w:rPr>
          <w:rFonts w:cs="Times New Roman"/>
          <w:szCs w:val="24"/>
          <w:lang w:val="en-US"/>
        </w:rPr>
        <w:t>Tillabéri</w:t>
      </w:r>
      <w:proofErr w:type="spellEnd"/>
      <w:r>
        <w:rPr>
          <w:rFonts w:cs="Times New Roman"/>
          <w:szCs w:val="24"/>
          <w:lang w:val="en-US"/>
        </w:rPr>
        <w:t xml:space="preserve"> “commune de </w:t>
      </w:r>
      <w:proofErr w:type="spellStart"/>
      <w:r>
        <w:rPr>
          <w:rFonts w:cs="Times New Roman"/>
          <w:szCs w:val="24"/>
          <w:lang w:val="en-US"/>
        </w:rPr>
        <w:t>Liboré</w:t>
      </w:r>
      <w:proofErr w:type="spellEnd"/>
      <w:r>
        <w:rPr>
          <w:rFonts w:cs="Times New Roman"/>
          <w:szCs w:val="24"/>
          <w:lang w:val="en-US"/>
        </w:rPr>
        <w:t xml:space="preserve"> ˮ are less likely to have poor nutrition relative to their </w:t>
      </w:r>
      <w:proofErr w:type="spellStart"/>
      <w:r>
        <w:rPr>
          <w:rFonts w:cs="Times New Roman"/>
          <w:szCs w:val="24"/>
          <w:lang w:val="en-US"/>
        </w:rPr>
        <w:t>Dosso</w:t>
      </w:r>
      <w:proofErr w:type="spellEnd"/>
      <w:r>
        <w:rPr>
          <w:rFonts w:cs="Times New Roman"/>
          <w:szCs w:val="24"/>
          <w:lang w:val="en-US"/>
        </w:rPr>
        <w:t xml:space="preserve"> Market gardening Area counterpart (adjusted OR [95%CI] = 4.34 [1.24-15.18]; P= 0.022) (adjusted OR [IC95%] =5.33[1.69-16.83]; P= 0.004)</w:t>
      </w:r>
    </w:p>
    <w:p w:rsidR="00CC7802" w:rsidRDefault="00762192">
      <w:pPr>
        <w:spacing w:line="360" w:lineRule="auto"/>
        <w:jc w:val="both"/>
        <w:rPr>
          <w:rFonts w:cs="Times New Roman"/>
          <w:szCs w:val="24"/>
          <w:lang w:val="en-US"/>
        </w:rPr>
      </w:pPr>
      <w:r w:rsidRPr="00626C53">
        <w:rPr>
          <w:rFonts w:cs="Times New Roman"/>
          <w:b/>
          <w:i/>
          <w:szCs w:val="24"/>
          <w:highlight w:val="yellow"/>
          <w:lang w:val="en-US"/>
        </w:rPr>
        <w:t xml:space="preserve">Educational attainment: plays a key role in </w:t>
      </w:r>
      <w:proofErr w:type="spellStart"/>
      <w:r w:rsidRPr="00626C53">
        <w:rPr>
          <w:rFonts w:cs="Times New Roman"/>
          <w:b/>
          <w:i/>
          <w:szCs w:val="24"/>
          <w:highlight w:val="yellow"/>
          <w:lang w:val="en-US"/>
        </w:rPr>
        <w:t>analysing</w:t>
      </w:r>
      <w:proofErr w:type="spellEnd"/>
      <w:r w:rsidRPr="00626C53">
        <w:rPr>
          <w:rFonts w:cs="Times New Roman"/>
          <w:b/>
          <w:i/>
          <w:szCs w:val="24"/>
          <w:highlight w:val="yellow"/>
          <w:lang w:val="en-US"/>
        </w:rPr>
        <w:t xml:space="preserve"> food consumption. According to the results of the logistic regression, children born from mothers who have a primary level are less likely to be food insecure</w:t>
      </w:r>
      <w:r w:rsidRPr="00626C53">
        <w:rPr>
          <w:rFonts w:cs="Times New Roman"/>
          <w:szCs w:val="24"/>
          <w:highlight w:val="yellow"/>
          <w:lang w:val="en-US"/>
        </w:rPr>
        <w:t>.</w:t>
      </w:r>
      <w:r>
        <w:rPr>
          <w:rFonts w:cs="Times New Roman"/>
          <w:szCs w:val="24"/>
          <w:lang w:val="en-US"/>
        </w:rPr>
        <w:t xml:space="preserve"> They have a higher probability of having acceptable food intake (adjusted OR [95%CI] = 4.61 [1.58-13.45]; P= 0.005) compared to mothers who are literate or have completed secondary or higher education.</w:t>
      </w:r>
    </w:p>
    <w:p w:rsidR="00CC7802" w:rsidRDefault="00762192">
      <w:pPr>
        <w:pStyle w:val="Paragraphedeliste"/>
        <w:numPr>
          <w:ilvl w:val="0"/>
          <w:numId w:val="6"/>
        </w:numPr>
        <w:spacing w:line="360" w:lineRule="auto"/>
        <w:jc w:val="both"/>
        <w:rPr>
          <w:rFonts w:cs="Times New Roman"/>
          <w:szCs w:val="24"/>
        </w:rPr>
      </w:pPr>
      <w:r>
        <w:rPr>
          <w:rFonts w:cs="Times New Roman"/>
          <w:b/>
          <w:szCs w:val="24"/>
        </w:rPr>
        <w:t>DISCUSSION</w:t>
      </w:r>
    </w:p>
    <w:p w:rsidR="00CC7802" w:rsidRDefault="00762192">
      <w:pPr>
        <w:spacing w:line="360" w:lineRule="auto"/>
        <w:jc w:val="both"/>
        <w:rPr>
          <w:rFonts w:cs="Times New Roman"/>
          <w:b/>
          <w:szCs w:val="24"/>
          <w:lang w:val="en-US"/>
        </w:rPr>
      </w:pPr>
      <w:r>
        <w:rPr>
          <w:rFonts w:cs="Times New Roman"/>
          <w:b/>
          <w:szCs w:val="24"/>
          <w:lang w:val="en-US"/>
        </w:rPr>
        <w:t xml:space="preserve">4.1. The socio-demographic characteristics of </w:t>
      </w:r>
      <w:r w:rsidRPr="00762192">
        <w:rPr>
          <w:rFonts w:cs="Times New Roman"/>
          <w:b/>
          <w:szCs w:val="24"/>
          <w:highlight w:val="yellow"/>
          <w:lang w:val="en-US"/>
        </w:rPr>
        <w:t>mothers/</w:t>
      </w:r>
      <w:r w:rsidRPr="00762192">
        <w:rPr>
          <w:highlight w:val="yellow"/>
        </w:rPr>
        <w:t xml:space="preserve"> </w:t>
      </w:r>
      <w:r w:rsidRPr="00762192">
        <w:rPr>
          <w:rFonts w:cs="Times New Roman"/>
          <w:b/>
          <w:szCs w:val="24"/>
          <w:highlight w:val="yellow"/>
          <w:lang w:val="en-US"/>
        </w:rPr>
        <w:t>guardian</w:t>
      </w:r>
      <w:r w:rsidRPr="00762192">
        <w:rPr>
          <w:rFonts w:cs="Times New Roman"/>
          <w:b/>
          <w:szCs w:val="24"/>
          <w:lang w:val="en-US"/>
        </w:rPr>
        <w:t xml:space="preserve"> </w:t>
      </w:r>
      <w:r>
        <w:rPr>
          <w:rFonts w:cs="Times New Roman"/>
          <w:b/>
          <w:szCs w:val="24"/>
          <w:lang w:val="en-US"/>
        </w:rPr>
        <w:t>of children aged 6-59 months and of the household</w:t>
      </w:r>
    </w:p>
    <w:p w:rsidR="00CC7802" w:rsidRDefault="00762192">
      <w:pPr>
        <w:spacing w:line="360" w:lineRule="auto"/>
        <w:ind w:firstLine="708"/>
        <w:jc w:val="both"/>
        <w:rPr>
          <w:rFonts w:cs="Times New Roman"/>
          <w:szCs w:val="24"/>
          <w:lang w:val="en-US"/>
        </w:rPr>
      </w:pPr>
      <w:r>
        <w:rPr>
          <w:rFonts w:cs="Times New Roman"/>
          <w:szCs w:val="24"/>
          <w:lang w:val="en-US"/>
        </w:rPr>
        <w:t xml:space="preserve">This study </w:t>
      </w:r>
      <w:proofErr w:type="gramStart"/>
      <w:r>
        <w:rPr>
          <w:rFonts w:cs="Times New Roman"/>
          <w:szCs w:val="24"/>
          <w:lang w:val="en-US"/>
        </w:rPr>
        <w:t>was conducted</w:t>
      </w:r>
      <w:proofErr w:type="gramEnd"/>
      <w:r>
        <w:rPr>
          <w:rFonts w:cs="Times New Roman"/>
          <w:szCs w:val="24"/>
          <w:lang w:val="en-US"/>
        </w:rPr>
        <w:t xml:space="preserve"> to link the food consumption of children aged 6-59 months with socio-demographic characteristics of </w:t>
      </w:r>
      <w:r w:rsidRPr="00626C53">
        <w:rPr>
          <w:rFonts w:cs="Times New Roman"/>
          <w:b/>
          <w:szCs w:val="24"/>
          <w:highlight w:val="yellow"/>
          <w:lang w:val="en-US"/>
        </w:rPr>
        <w:t>mothers/</w:t>
      </w:r>
      <w:r w:rsidRPr="00626C53">
        <w:rPr>
          <w:b/>
          <w:highlight w:val="yellow"/>
        </w:rPr>
        <w:t xml:space="preserve"> </w:t>
      </w:r>
      <w:r w:rsidRPr="00626C53">
        <w:rPr>
          <w:rFonts w:cs="Times New Roman"/>
          <w:b/>
          <w:szCs w:val="24"/>
          <w:highlight w:val="yellow"/>
          <w:lang w:val="en-US"/>
        </w:rPr>
        <w:t>guardian</w:t>
      </w:r>
      <w:r>
        <w:rPr>
          <w:rFonts w:cs="Times New Roman"/>
          <w:szCs w:val="24"/>
          <w:lang w:val="en-US"/>
        </w:rPr>
        <w:t xml:space="preserve"> and households. The results show that the age group [20-29 years] </w:t>
      </w:r>
      <w:proofErr w:type="gramStart"/>
      <w:r>
        <w:rPr>
          <w:rFonts w:cs="Times New Roman"/>
          <w:szCs w:val="24"/>
          <w:lang w:val="en-US"/>
        </w:rPr>
        <w:t>is most represented</w:t>
      </w:r>
      <w:proofErr w:type="gramEnd"/>
      <w:r>
        <w:rPr>
          <w:rFonts w:cs="Times New Roman"/>
          <w:szCs w:val="24"/>
          <w:lang w:val="en-US"/>
        </w:rPr>
        <w:t xml:space="preserve"> with 48.1%. Approximately 43.93% </w:t>
      </w:r>
      <w:r w:rsidRPr="00626C53">
        <w:rPr>
          <w:rFonts w:cs="Times New Roman"/>
          <w:szCs w:val="24"/>
          <w:highlight w:val="yellow"/>
          <w:lang w:val="en-US"/>
        </w:rPr>
        <w:t xml:space="preserve">of </w:t>
      </w:r>
      <w:r w:rsidRPr="00626C53">
        <w:rPr>
          <w:rFonts w:cs="Times New Roman"/>
          <w:b/>
          <w:szCs w:val="24"/>
          <w:highlight w:val="yellow"/>
          <w:lang w:val="en-US"/>
        </w:rPr>
        <w:t>mothers/</w:t>
      </w:r>
      <w:r w:rsidRPr="00626C53">
        <w:rPr>
          <w:b/>
          <w:highlight w:val="yellow"/>
        </w:rPr>
        <w:t xml:space="preserve"> </w:t>
      </w:r>
      <w:r w:rsidRPr="00626C53">
        <w:rPr>
          <w:rFonts w:cs="Times New Roman"/>
          <w:b/>
          <w:szCs w:val="24"/>
          <w:highlight w:val="yellow"/>
          <w:lang w:val="en-US"/>
        </w:rPr>
        <w:t>guardian</w:t>
      </w:r>
      <w:r>
        <w:rPr>
          <w:rFonts w:cs="Times New Roman"/>
          <w:szCs w:val="24"/>
          <w:lang w:val="en-US"/>
        </w:rPr>
        <w:t xml:space="preserve"> are uneducated, 47.66% have no income. This is comparable to studies in 23 sub-Saharan African countries where 43.8% have no formal education and 34.5% are without income [</w:t>
      </w:r>
      <w:r>
        <w:rPr>
          <w:rFonts w:cs="Times New Roman"/>
          <w:szCs w:val="24"/>
        </w:rPr>
        <w:fldChar w:fldCharType="begin"/>
      </w:r>
      <w:r>
        <w:rPr>
          <w:rFonts w:cs="Times New Roman"/>
          <w:szCs w:val="24"/>
          <w:lang w:val="en-US"/>
        </w:rPr>
        <w:instrText xml:space="preserve"> ADDIN ZOTERO_ITEM CSL_CITATION {"citationID":"9bgLptoj","properties":{"formattedCitation":"(9)","plainCitation":"(9)","noteIndex":0},"citationItems":[{"id":171,"uris":["http://zotero.org/users/local/JMNVudIT/items/N87QH2PS"],"itemData":{"id":171,"type":"article-journal","abstract":"ObjectifLa présente étude visait à donner une vue d'ensemble du modèle de couverture de supplémentation en vitamine A (SVA) à haute dose dans vingt-trois pays d'Afrique subsaharienne et des facteurs associés à la réception de la SVA chez les enfants âgés de 6 à 59 mois.ConceptionLes données transversales des vingt-trois enquêtes démographiques et de santé menées de 2011 à 2015 dans vingt-trois pays d'Afrique subsaharienne ont été regroupées. Un modèle de régression logistique multiniveau a été utilisé pour explorer les facteurs associés à la EVA.ParamètreVingt-trois pays d'Afrique subsaharienne.ParticipantsEnfants ( n 215 511) âgés de 6 à 59 mois.RésultatsLa couverture globale de l'EVA chez les enfants âgés de 6 à 59 mois pour les enquêtes incluses était de 59,4 %. Dans l'analyse multivariée, les enfants dont les mères avaient un niveau primaire (OR ajusté (aOR) = 1,43 ; 95 % IC 1,39, 1,47) ou secondaire ou supérieur (aOR = 1,72 ; 95 % CI 1,67, 1,77) selon leur niveau d'éducation étaient plus susceptibles de bénéficier de la VAS que les enfants dont les mères n'avaient aucune éducation formelle. D'autres facteurs associés à une probabilité significativement accrue de SAV étaient les suivants : vivre en zone urbaine ; les enfants de mères qui travaillent; les enfants dont les mères étaient plus exposées aux médias ; enfants de mères plus âgées v . les enfants de mères âgées de 15 à 19 ans ; et les enfants plus âgés v . enfants âgés de 6 à 11 mois. Au niveau national, une moindre exposition médiatique était significative et négativement associée au VAS.ConclusionsSelon nos données, une couverture VAS plus large est nécessaire. Des efforts supplémentaires sont nécessaires pour étendre la couverture, en se concentrant principalement sur les groupes risquant de ne pas recevoir de vitamine A.","container-title":"Public Health Nutrition","DOI":"10.1017/S1368980018004056","ISSN":"1368-9800, 1475-2727","issue":"10","language":"fr","note":"publisher: Cambridge University Press","page":"1770-1776","source":"Cambridge University Press","title":"Coverage and factors associated with vitamin A supplementation among children aged 6–59 months in twenty-three sub-Saharan African countries","volume":"22","author":[{"family":"Berde","given":"Anselm S."},{"family":"Bester","given":"Petra"},{"family":"Kruger","given":"Iolanthé M."}],"issued":{"date-parts":[["2019",7]]}}}],"schema":"https://github.com/citation-style-language/schema/raw/master/csl-citation.json"} </w:instrText>
      </w:r>
      <w:r>
        <w:rPr>
          <w:rFonts w:cs="Times New Roman"/>
          <w:szCs w:val="24"/>
        </w:rPr>
        <w:fldChar w:fldCharType="separate"/>
      </w:r>
      <w:r>
        <w:rPr>
          <w:rFonts w:cs="Times New Roman"/>
          <w:lang w:val="en-US"/>
        </w:rPr>
        <w:t>9</w:t>
      </w:r>
      <w:r>
        <w:rPr>
          <w:rFonts w:cs="Times New Roman"/>
          <w:szCs w:val="24"/>
        </w:rPr>
        <w:fldChar w:fldCharType="end"/>
      </w:r>
      <w:r>
        <w:rPr>
          <w:rFonts w:cs="Times New Roman"/>
          <w:szCs w:val="24"/>
          <w:lang w:val="en-US"/>
        </w:rPr>
        <w:t xml:space="preserve">]. However, they are superior to the results of the study conducted in southern Benin by </w:t>
      </w:r>
      <w:proofErr w:type="spellStart"/>
      <w:r>
        <w:rPr>
          <w:rFonts w:cs="Times New Roman"/>
          <w:szCs w:val="24"/>
          <w:lang w:val="en-US"/>
        </w:rPr>
        <w:t>Konton</w:t>
      </w:r>
      <w:proofErr w:type="spellEnd"/>
      <w:r>
        <w:rPr>
          <w:rFonts w:cs="Times New Roman"/>
          <w:szCs w:val="24"/>
          <w:lang w:val="en-US"/>
        </w:rPr>
        <w:t xml:space="preserve"> et al. (2017), which found 43.66% of mothers without income-generating activity and 30% illiterate [</w:t>
      </w:r>
      <w:r>
        <w:rPr>
          <w:rFonts w:cs="Times New Roman"/>
          <w:szCs w:val="24"/>
        </w:rPr>
        <w:fldChar w:fldCharType="begin"/>
      </w:r>
      <w:r>
        <w:rPr>
          <w:rFonts w:cs="Times New Roman"/>
          <w:szCs w:val="24"/>
          <w:lang w:val="en-US"/>
        </w:rPr>
        <w:instrText xml:space="preserve"> ADDIN ZOTERO_ITEM CSL_CITATION {"citationID":"d0d28CKm","properties":{"formattedCitation":"(2)","plainCitation":"(2)","noteIndex":0},"citationItems":[{"id":411,"uris":["http://zotero.org/users/local/JMNVudIT/items/86Z5DRJ6"],"itemData":{"id":411,"type":"article-journal","container-title":"Journal of Applied Biosciences","page":"10831–10840","source":"Google Scholar","title":"Caractérisation de l’alimentation des jeunes enfants âgés de 6 à 36 mois en milieu rural et urbain du Sud–Bénin","volume":"110","author":[{"family":"Kouton","given":"Sandrine E."},{"family":"Hounkpatin","given":"Waliou Amoussa"},{"family":"Ballogou","given":"Vénérande Y."},{"family":"Lokonon","given":"Jaurès H."},{"family":"Soumanou","given":"Mohamed M."}],"issued":{"date-parts":[["2017"]]}}}],"schema":"https://github.com/citation-style-language/schema/raw/master/csl-citation.json"} </w:instrText>
      </w:r>
      <w:r>
        <w:rPr>
          <w:rFonts w:cs="Times New Roman"/>
          <w:szCs w:val="24"/>
        </w:rPr>
        <w:fldChar w:fldCharType="separate"/>
      </w:r>
      <w:r>
        <w:rPr>
          <w:rFonts w:cs="Times New Roman"/>
          <w:lang w:val="en-US"/>
        </w:rPr>
        <w:t>2]</w:t>
      </w:r>
      <w:r>
        <w:rPr>
          <w:rFonts w:cs="Times New Roman"/>
          <w:szCs w:val="24"/>
        </w:rPr>
        <w:fldChar w:fldCharType="end"/>
      </w:r>
      <w:r>
        <w:rPr>
          <w:rFonts w:cs="Times New Roman"/>
          <w:szCs w:val="24"/>
          <w:lang w:val="en-US"/>
        </w:rPr>
        <w:t>.</w:t>
      </w:r>
      <w:r>
        <w:rPr>
          <w:lang w:val="en-US"/>
        </w:rPr>
        <w:t xml:space="preserve"> </w:t>
      </w:r>
      <w:r>
        <w:rPr>
          <w:rFonts w:cs="Times New Roman"/>
          <w:szCs w:val="24"/>
          <w:lang w:val="en-US"/>
        </w:rPr>
        <w:t xml:space="preserve">A study conducted in north-central Burkina Faso reported that 56.9% of mothers were housewives, 75.6 uneducated, with an age range between [20-29 years] </w:t>
      </w:r>
      <w:r>
        <w:rPr>
          <w:rFonts w:cs="Times New Roman"/>
          <w:szCs w:val="24"/>
        </w:rPr>
        <w:fldChar w:fldCharType="begin"/>
      </w:r>
      <w:r>
        <w:rPr>
          <w:rFonts w:cs="Times New Roman"/>
          <w:szCs w:val="24"/>
          <w:lang w:val="en-US"/>
        </w:rPr>
        <w:instrText xml:space="preserve"> ADDIN ZOTERO_ITEM CSL_CITATION {"citationID":"dhfLTS5M","properties":{"formattedCitation":"(4)","plainCitation":"(4)","noteIndex":0},"citationItems":[{"id":396,"uris":["http://zotero.org/users/local/JMNVudIT/items/9A2VECVD"],"itemData":{"id":396,"type":"article-journal","container-title":"African Journal of Food, Agriculture, Nutrition and Development","issue":"10","page":"22017–22040","source":"Google Scholar","title":"Sociodemographic characteristics of mothers and complementary feeding practices among children aged 6 to 23 months in north-central Burkina Faso","volume":"22","author":[{"family":"Bougma","given":"Sibiri"},{"family":"Hama-ba","given":"Fatoumata"},{"family":"Garanet","given":"Franck"},{"family":"Savadogo","given":"Aly"}],"issued":{"date-parts":[["2022"]]}}}],"schema":"https://github.com/citation-style-language/schema/raw/master/csl-citation.json"} </w:instrText>
      </w:r>
      <w:r>
        <w:rPr>
          <w:rFonts w:cs="Times New Roman"/>
          <w:szCs w:val="24"/>
        </w:rPr>
        <w:fldChar w:fldCharType="separate"/>
      </w:r>
      <w:r>
        <w:rPr>
          <w:rFonts w:cs="Times New Roman"/>
          <w:lang w:val="en-US"/>
        </w:rPr>
        <w:t>[4</w:t>
      </w:r>
      <w:r>
        <w:rPr>
          <w:rFonts w:cs="Times New Roman"/>
          <w:szCs w:val="24"/>
        </w:rPr>
        <w:fldChar w:fldCharType="end"/>
      </w:r>
      <w:r>
        <w:rPr>
          <w:rFonts w:cs="Times New Roman"/>
          <w:szCs w:val="24"/>
          <w:lang w:val="en-US"/>
        </w:rPr>
        <w:t xml:space="preserve">]. Another study conducted in Abidjan-Cote </w:t>
      </w:r>
      <w:proofErr w:type="spellStart"/>
      <w:r>
        <w:rPr>
          <w:rFonts w:cs="Times New Roman"/>
          <w:szCs w:val="24"/>
          <w:lang w:val="en-US"/>
        </w:rPr>
        <w:t>D'ivoire</w:t>
      </w:r>
      <w:proofErr w:type="spellEnd"/>
      <w:r>
        <w:rPr>
          <w:rFonts w:cs="Times New Roman"/>
          <w:szCs w:val="24"/>
          <w:lang w:val="en-US"/>
        </w:rPr>
        <w:t xml:space="preserve"> reported a proportion of 14.19% of mothers are housewives and 77.77% uneducated [</w:t>
      </w:r>
      <w:r>
        <w:rPr>
          <w:rFonts w:cs="Times New Roman"/>
          <w:szCs w:val="24"/>
        </w:rPr>
        <w:fldChar w:fldCharType="begin"/>
      </w:r>
      <w:r>
        <w:rPr>
          <w:rFonts w:cs="Times New Roman"/>
          <w:szCs w:val="24"/>
          <w:lang w:val="en-US"/>
        </w:rPr>
        <w:instrText xml:space="preserve"> ADDIN ZOTERO_ITEM CSL_CITATION {"citationID":"1AdfMyVb","properties":{"formattedCitation":"(10)","plainCitation":"(10)","noteIndex":0},"citationItems":[{"id":393,"uris":["http://zotero.org/users/local/JMNVudIT/items/GKI9QDQ4"],"itemData":{"id":393,"type":"article-journal","abstract":"In this descriptive and transversal work, the main objective is to establish the socio-demographic, economic and nutritional profiles of the children, aged between 06 and 59 months, acutely malnourished, consulted and / or hospitalized in pediatric emergency departments and Of the University Hospital of Treichville (UHT). This study is conducted on 290 children, aged between 06 and 59 months. A questioning anthropometric, socio-demographic, economic and food data allows the diagnosis of the nutritional status of each child and the descriptive statistical analysis of the patient. The results show that the prevalence of acute malnutrition is 55.86%, with 35.17 % cases of severe acute malnutrition and 20.68 % of cases of moderate acute malnutrition. The population of acute malnourished children in this study consisted of 84 girls and 78 boys, a sex ratio of 0.928. The children (133) victims of this type of malnutrition come, predominantly and significantly, from the precarious habitats. 126 have out-of-school mothers and 129 have consumed food of diversification or poor quality supplement. In 110 acute malnutrition, the daily family food budget is between 1500 FCFA and 3000 FCFA. At last, the index of food consumption score, also called food consumption, is referred to as a limit in 98. Finally, in this study, the risk factors having a significant impact on nutritional status are the precariousness of the habitat Place of residence), maternal education, complement food quality or diversification, food insecurity, age of complement and current diet.","container-title":"European Scientific Journal, ESJ","DOI":"10.19044/esj.2017.v13n21p338","ISSN":"18577431, 18577881","issue":"21","journalAbbreviation":"ESJ","language":"fr","page":"338","source":"DOI.org (Crossref)","title":"Profils Sociodemographique, Economique Et Alimentaire Chez Des Enfants Malnutris Aigus, Ages De 06 A 59 Mois, Reçus Au Centre Hospitalier Universitaire De Treichville (Abidjan-Cote D’ivoire)","volume":"13","author":[{"family":"K. J.","given":"Kouamé"},{"family":"K. E.","given":"Amoikon"},{"family":"K. G.","given":"Kouamé"},{"family":"S.","given":"Kati-Coulibaly"}],"issued":{"date-parts":[["2017",7,31]]}}}],"schema":"https://github.com/citation-style-language/schema/raw/master/csl-citation.json"} </w:instrText>
      </w:r>
      <w:r>
        <w:rPr>
          <w:rFonts w:cs="Times New Roman"/>
          <w:szCs w:val="24"/>
        </w:rPr>
        <w:fldChar w:fldCharType="separate"/>
      </w:r>
      <w:r>
        <w:rPr>
          <w:rFonts w:cs="Times New Roman"/>
          <w:lang w:val="en-US"/>
        </w:rPr>
        <w:t>10</w:t>
      </w:r>
      <w:r>
        <w:rPr>
          <w:rFonts w:cs="Times New Roman"/>
          <w:szCs w:val="24"/>
        </w:rPr>
        <w:fldChar w:fldCharType="end"/>
      </w:r>
      <w:r>
        <w:rPr>
          <w:rFonts w:cs="Times New Roman"/>
          <w:szCs w:val="24"/>
          <w:lang w:val="en-US"/>
        </w:rPr>
        <w:t>].</w:t>
      </w:r>
    </w:p>
    <w:p w:rsidR="00CC7802" w:rsidRDefault="00762192">
      <w:pPr>
        <w:spacing w:line="360" w:lineRule="auto"/>
        <w:jc w:val="both"/>
        <w:rPr>
          <w:rFonts w:cs="Times New Roman"/>
          <w:b/>
          <w:i/>
          <w:szCs w:val="24"/>
          <w:lang w:val="en-US"/>
        </w:rPr>
      </w:pPr>
      <w:r>
        <w:rPr>
          <w:rFonts w:cs="Times New Roman"/>
          <w:b/>
          <w:i/>
          <w:szCs w:val="24"/>
          <w:lang w:val="en-US"/>
        </w:rPr>
        <w:t>4.2. Food consumption of children 6-59 months</w:t>
      </w:r>
    </w:p>
    <w:p w:rsidR="00CC7802" w:rsidRDefault="00762192">
      <w:pPr>
        <w:spacing w:line="360" w:lineRule="auto"/>
        <w:ind w:firstLine="142"/>
        <w:jc w:val="both"/>
        <w:rPr>
          <w:rFonts w:cs="Times New Roman"/>
          <w:szCs w:val="24"/>
          <w:lang w:val="en-US"/>
        </w:rPr>
      </w:pPr>
      <w:r>
        <w:rPr>
          <w:rFonts w:cs="Times New Roman"/>
          <w:szCs w:val="24"/>
          <w:lang w:val="en-US"/>
        </w:rPr>
        <w:t>The main food groups consumed by children 6-59 months are cereals, fruits and vegetables rich in vitamin A in both areas</w:t>
      </w:r>
      <w:r>
        <w:rPr>
          <w:rFonts w:cs="Times New Roman"/>
          <w:bCs/>
          <w:szCs w:val="24"/>
          <w:lang w:val="en-US"/>
        </w:rPr>
        <w:t>.</w:t>
      </w:r>
      <w:r>
        <w:rPr>
          <w:rFonts w:cs="Times New Roman"/>
          <w:szCs w:val="24"/>
          <w:lang w:val="en-US"/>
        </w:rPr>
        <w:t xml:space="preserve"> These results are consistent with the national documentation </w:t>
      </w:r>
      <w:r>
        <w:rPr>
          <w:rFonts w:cs="Times New Roman"/>
          <w:szCs w:val="24"/>
          <w:lang w:val="en-US"/>
        </w:rPr>
        <w:lastRenderedPageBreak/>
        <w:t>[</w:t>
      </w:r>
      <w:r>
        <w:rPr>
          <w:rFonts w:cs="Times New Roman"/>
          <w:szCs w:val="24"/>
        </w:rPr>
        <w:fldChar w:fldCharType="begin"/>
      </w:r>
      <w:r>
        <w:rPr>
          <w:rFonts w:cs="Times New Roman"/>
          <w:szCs w:val="24"/>
          <w:lang w:val="en-US"/>
        </w:rPr>
        <w:instrText xml:space="preserve"> ADDIN ZOTERO_ITEM CSL_CITATION {"citationID":"hGykcKdu","properties":{"formattedCitation":"(11\\uc0\\u8211{}16)","plainCitation":"(11–16)","noteIndex":0},"citationItems":[{"id":"Ru8Bvz29/IXrgVRhZ","uris":["http://zotero.org/users/10840737/items/9N2K36DE"],"itemData":{"id":1826,"type":"report","event-place":"Niamey/Niger","genre":"rapport final","page":"118","publisher-place":"Niamey/Niger","title":"Enquête conjointe sur la vulnérabilité à l'insécurité alimentaire des ménages au Niger (décembre 2014- janvier 2015)","author":[{"family":"INS","given":""}],"issued":{"date-parts":[["2015"]]}}},{"id":"Ru8Bvz29/RlvR6AYo","uris":["http://zotero.org/users/10840737/items/XWIBX4UC"],"itemData":{"id":1827,"type":"report","event-place":"Niamey, Niger","page":"14","publisher-place":"Niamey, Niger","title":"Résultat préliminaire de l’enquête conjointe sur la vulnérabilité à l'insécurité alimentaire des ménages au Niger (décembre 2017)","author":[{"family":"INS","given":""}],"issued":{"date-parts":[["2017"]]}}},{"id":"Ru8Bvz29/wKNHb9yu","uris":["http://zotero.org/users/10840737/items/8AIUAT6R"],"itemData":{"id":1828,"type":"report","event-place":"Niamey, Niger","genre":"résultat préliminaire","page":"486","publisher-place":"Niamey, Niger","title":"Enquête Démographique et de Santé et à Indicateurs Multiples (EDSN-MICS V)","author":[{"family":"INS","given":""}],"issued":{"date-parts":[["2017"]]}}},{"id":"Ru8Bvz29/zB2lBcxT","uris":["http://zotero.org/users/10840737/items/46MF4IRM"],"itemData":{"id":1830,"type":"report","event-place":"Niamey, Niger","genre":"rapport final","page":"138","publisher-place":"Niamey, Niger","title":"Enquête Vulnérabilité à l’Insécurité Alimentaire des Ménages (janvier-février 2020)","author":[{"family":"INS","given":""}],"issued":{"date-parts":[["2020"]]}}},{"id":"Ru8Bvz29/lYcReGj3","uris":["http://zotero.org/users/10840737/items/HGBK4TW8"],"itemData":{"id":1832,"type":"report","event-place":"Niamey, Niger","number":"rapport finale","page":"101","publisher-place":"Niamey, Niger","title":"Enquête nutritionnelle et de mortalité Rétrospective au Niger","author":[{"family":"INS","given":""}],"issued":{"date-parts":[["2021"]]}}},{"id":"Ru8Bvz29/dqtAvuOD","uris":["http://zotero.org/users/10840737/items/3YNGZGUJ"],"itemData":{"id":1829,"type":"report","event-place":"Niamey Niger","page":"169","publisher-place":"Niamey Niger","title":"Rapport Final de l’Evaluation nationale de la situation nutritionnelle par la méthodologie SMART au Niger (16 août et 25 septembre2019)","author":[{"family":"INS","given":""}],"issued":{"date-parts":[["2019"]]}}}],"schema":"https://github.com/citation-style-language/schema/raw/master/csl-citation.json"} </w:instrText>
      </w:r>
      <w:r>
        <w:rPr>
          <w:rFonts w:cs="Times New Roman"/>
          <w:szCs w:val="24"/>
        </w:rPr>
        <w:fldChar w:fldCharType="separate"/>
      </w:r>
      <w:r>
        <w:rPr>
          <w:rFonts w:cs="Times New Roman"/>
          <w:szCs w:val="24"/>
          <w:lang w:val="en-US"/>
        </w:rPr>
        <w:t>11,16</w:t>
      </w:r>
      <w:r>
        <w:rPr>
          <w:rFonts w:cs="Times New Roman"/>
          <w:szCs w:val="24"/>
        </w:rPr>
        <w:fldChar w:fldCharType="end"/>
      </w:r>
      <w:r>
        <w:rPr>
          <w:rFonts w:cs="Times New Roman"/>
          <w:szCs w:val="24"/>
          <w:lang w:val="en-US"/>
        </w:rPr>
        <w:t>]. They are also comparable to the results reported by other authors in other African countries [</w:t>
      </w:r>
      <w:r>
        <w:rPr>
          <w:rFonts w:cs="Times New Roman"/>
          <w:szCs w:val="24"/>
        </w:rPr>
        <w:fldChar w:fldCharType="begin"/>
      </w:r>
      <w:r>
        <w:rPr>
          <w:rFonts w:cs="Times New Roman"/>
          <w:szCs w:val="24"/>
          <w:lang w:val="en-US"/>
        </w:rPr>
        <w:instrText xml:space="preserve"> ADDIN ZOTERO_ITEM CSL_CITATION {"citationID":"VonGf05r","properties":{"formattedCitation":"(2,4)","plainCitation":"(2,4)","noteIndex":0},"citationItems":[{"id":396,"uris":["http://zotero.org/users/local/JMNVudIT/items/9A2VECVD"],"itemData":{"id":396,"type":"article-journal","container-title":"African Journal of Food, Agriculture, Nutrition and Development","issue":"10","page":"22017–22040","source":"Google Scholar","title":"Sociodemographic characteristics of mothers and complementary feeding practices among children aged 6 to 23 months in north-central Burkina Faso","volume":"22","author":[{"family":"Bougma","given":"Sibiri"},{"family":"Hama-ba","given":"Fatoumata"},{"family":"Garanet","given":"Franck"},{"family":"Savadogo","given":"Aly"}],"issued":{"date-parts":[["2022"]]}},"label":"page"},{"id":411,"uris":["http://zotero.org/users/local/JMNVudIT/items/86Z5DRJ6"],"itemData":{"id":411,"type":"article-journal","container-title":"Journal of Applied Biosciences","page":"10831–10840","source":"Google Scholar","title":"Caractérisation de l’alimentation des jeunes enfants âgés de 6 à 36 mois en milieu rural et urbain du Sud–Bénin","volume":"110","author":[{"family":"Kouton","given":"Sandrine E."},{"family":"Hounkpatin","given":"Waliou Amoussa"},{"family":"Ballogou","given":"Vénérande Y."},{"family":"Lokonon","given":"Jaurès H."},{"family":"Soumanou","given":"Mohamed M."}],"issued":{"date-parts":[["2017"]]}},"label":"page"}],"schema":"https://github.com/citation-style-language/schema/raw/master/csl-citation.json"} </w:instrText>
      </w:r>
      <w:r>
        <w:rPr>
          <w:rFonts w:cs="Times New Roman"/>
          <w:szCs w:val="24"/>
        </w:rPr>
        <w:fldChar w:fldCharType="separate"/>
      </w:r>
      <w:r>
        <w:rPr>
          <w:rFonts w:cs="Times New Roman"/>
          <w:lang w:val="en-US"/>
        </w:rPr>
        <w:t>2,4</w:t>
      </w:r>
      <w:r>
        <w:rPr>
          <w:rFonts w:cs="Times New Roman"/>
          <w:szCs w:val="24"/>
        </w:rPr>
        <w:fldChar w:fldCharType="end"/>
      </w:r>
      <w:r>
        <w:rPr>
          <w:rFonts w:cs="Times New Roman"/>
          <w:szCs w:val="24"/>
          <w:lang w:val="en-US"/>
        </w:rPr>
        <w:t xml:space="preserve">]. Other food groups </w:t>
      </w:r>
      <w:proofErr w:type="gramStart"/>
      <w:r>
        <w:rPr>
          <w:rFonts w:cs="Times New Roman"/>
          <w:szCs w:val="24"/>
          <w:lang w:val="en-US"/>
        </w:rPr>
        <w:t>are very little consumed</w:t>
      </w:r>
      <w:proofErr w:type="gramEnd"/>
      <w:r>
        <w:rPr>
          <w:rFonts w:cs="Times New Roman"/>
          <w:szCs w:val="24"/>
          <w:lang w:val="en-US"/>
        </w:rPr>
        <w:t xml:space="preserve">, like animal products. These results are different from those of </w:t>
      </w:r>
      <w:proofErr w:type="spellStart"/>
      <w:r>
        <w:rPr>
          <w:rFonts w:cs="Times New Roman"/>
          <w:szCs w:val="24"/>
          <w:lang w:val="en-US"/>
        </w:rPr>
        <w:t>Boula</w:t>
      </w:r>
      <w:proofErr w:type="spellEnd"/>
      <w:r>
        <w:rPr>
          <w:rFonts w:cs="Times New Roman"/>
          <w:szCs w:val="24"/>
          <w:lang w:val="en-US"/>
        </w:rPr>
        <w:t xml:space="preserve"> et al., (2016) who reported a high consumption of meat products (meat, fish), followed by vegetables [7].</w:t>
      </w:r>
      <w:r>
        <w:rPr>
          <w:lang w:val="en-US"/>
        </w:rPr>
        <w:t xml:space="preserve"> </w:t>
      </w:r>
      <w:r w:rsidR="00626C53" w:rsidRPr="009774E4">
        <w:rPr>
          <w:highlight w:val="yellow"/>
          <w:lang w:val="en-US"/>
        </w:rPr>
        <w:t>Indeed, studies carried out in rural communities of southern Benin, northern central Burkina and Madagascar have reported low consumption rates of animal products and a preponderant consumption of cereals</w:t>
      </w:r>
      <w:r w:rsidRPr="009774E4">
        <w:rPr>
          <w:rFonts w:cs="Times New Roman"/>
          <w:szCs w:val="24"/>
          <w:highlight w:val="yellow"/>
          <w:lang w:val="en-US"/>
        </w:rPr>
        <w:t xml:space="preserve"> [</w:t>
      </w:r>
      <w:r w:rsidRPr="009774E4">
        <w:rPr>
          <w:rFonts w:cs="Times New Roman"/>
          <w:szCs w:val="24"/>
          <w:highlight w:val="yellow"/>
        </w:rPr>
        <w:fldChar w:fldCharType="begin"/>
      </w:r>
      <w:r w:rsidRPr="009774E4">
        <w:rPr>
          <w:rFonts w:cs="Times New Roman"/>
          <w:szCs w:val="24"/>
          <w:highlight w:val="yellow"/>
          <w:lang w:val="en-US"/>
        </w:rPr>
        <w:instrText xml:space="preserve"> ADDIN ZOTERO_ITEM CSL_CITATION {"citationID":"hwuWkikf","properties":{"formattedCitation":"(2,4,18)","plainCitation":"(2,4,18)","noteIndex":0},"citationItems":[{"id":396,"uris":["http://zotero.org/users/local/JMNVudIT/items/9A2VECVD"],"itemData":{"id":396,"type":"article-journal","container-title":"African Journal of Food, Agriculture, Nutrition and Development","issue":"10","page":"22017–22040","source":"Google Scholar","title":"Sociodemographic characteristics of mothers and complementary feeding practices among children aged 6 to 23 months in north-central Burkina Faso","volume":"22","author":[{"family":"Bougma","given":"Sibiri"},{"family":"Hama-ba","given":"Fatoumata"},{"family":"Garanet","given":"Franck"},{"family":"Savadogo","given":"Aly"}],"issued":{"date-parts":[["2022"]]}},"label":"page"},{"id":411,"uris":["http://zotero.org/users/local/JMNVudIT/items/86Z5DRJ6"],"itemData":{"id":411,"type":"article-journal","container-title":"Journal of Applied Biosciences","page":"10831–10840","source":"Google Scholar","title":"Caractérisation de l’alimentation des jeunes enfants âgés de 6 à 36 mois en milieu rural et urbain du Sud–Bénin","volume":"110","author":[{"family":"Kouton","given":"Sandrine E."},{"family":"Hounkpatin","given":"Waliou Amoussa"},{"family":"Ballogou","given":"Vénérande Y."},{"family":"Lokonon","given":"Jaurès H."},{"family":"Soumanou","given":"Mohamed M."}],"issued":{"date-parts":[["2017"]]}},"label":"page"},{"id":369,"uris":["http://zotero.org/users/local/JMNVudIT/items/K2XJ9PD3"],"itemData":{"id":369,"type":"article-journal","container-title":"PLoS One","issue":"7","note":"publisher: Public Library of Science San Francisco, CA USA","page":"e0200235","source":"Google Scholar","title":"Dietary diversity of 6-to 59-month-old children in rural areas of Moramanga and Morondava districts, Madagascar","volume":"13","author":[{"family":"Rakotonirainy","given":"Nivo Heritiana"},{"family":"Razafindratovo","given":"Valérie"},{"family":"Remonja","given":"Chitale Rabaoarisoa"},{"family":"Rasoloarijaona","given":"Randza"},{"family":"Piola","given":"Patrice"},{"family":"Raharintsoa","given":"Charlotte"},{"family":"Randremanana","given":"Rindra Vatosoa"}],"issued":{"date-parts":[["2018"]]}},"label":"page"}],"schema":"https://github.com/citation-style-language/schema/raw/master/csl-citation.json"} </w:instrText>
      </w:r>
      <w:r w:rsidRPr="009774E4">
        <w:rPr>
          <w:rFonts w:cs="Times New Roman"/>
          <w:szCs w:val="24"/>
          <w:highlight w:val="yellow"/>
        </w:rPr>
        <w:fldChar w:fldCharType="separate"/>
      </w:r>
      <w:r w:rsidRPr="009774E4">
        <w:rPr>
          <w:rFonts w:cs="Times New Roman"/>
          <w:highlight w:val="yellow"/>
          <w:lang w:val="en-US"/>
        </w:rPr>
        <w:t>2,4,18</w:t>
      </w:r>
      <w:r w:rsidRPr="009774E4">
        <w:rPr>
          <w:rFonts w:cs="Times New Roman"/>
          <w:szCs w:val="24"/>
          <w:highlight w:val="yellow"/>
        </w:rPr>
        <w:fldChar w:fldCharType="end"/>
      </w:r>
      <w:r w:rsidRPr="009774E4">
        <w:rPr>
          <w:rFonts w:cs="Times New Roman"/>
          <w:szCs w:val="24"/>
          <w:highlight w:val="yellow"/>
          <w:lang w:val="en-US"/>
        </w:rPr>
        <w:t>]</w:t>
      </w:r>
      <w:r w:rsidR="00626C53" w:rsidRPr="009774E4">
        <w:rPr>
          <w:rFonts w:cs="Times New Roman"/>
          <w:szCs w:val="24"/>
          <w:highlight w:val="yellow"/>
          <w:lang w:val="en-US"/>
        </w:rPr>
        <w:t xml:space="preserve">.  </w:t>
      </w:r>
      <w:proofErr w:type="gramStart"/>
      <w:r w:rsidR="00626C53" w:rsidRPr="009774E4">
        <w:rPr>
          <w:rFonts w:cs="Times New Roman"/>
          <w:szCs w:val="24"/>
          <w:highlight w:val="yellow"/>
          <w:lang w:val="en-US"/>
        </w:rPr>
        <w:t xml:space="preserve">Consumption of cereals, roots and tubers, meat products (meat, fish), fruits and vegetables, dairy products (milk, yoghurt, cheese), eggs and legumes-nuts are associated with the urban environment the vegetable garden </w:t>
      </w:r>
      <w:proofErr w:type="spellStart"/>
      <w:r w:rsidR="00626C53" w:rsidRPr="009774E4">
        <w:rPr>
          <w:rFonts w:cs="Times New Roman"/>
          <w:szCs w:val="24"/>
          <w:highlight w:val="yellow"/>
          <w:lang w:val="en-US"/>
        </w:rPr>
        <w:t>Dosso</w:t>
      </w:r>
      <w:proofErr w:type="spellEnd"/>
      <w:r w:rsidR="00626C53" w:rsidRPr="009774E4">
        <w:rPr>
          <w:rFonts w:cs="Times New Roman"/>
          <w:szCs w:val="24"/>
          <w:highlight w:val="yellow"/>
          <w:lang w:val="en-US"/>
        </w:rPr>
        <w:t xml:space="preserve"> commune </w:t>
      </w:r>
      <w:proofErr w:type="spellStart"/>
      <w:r w:rsidR="00626C53" w:rsidRPr="009774E4">
        <w:rPr>
          <w:rFonts w:cs="Times New Roman"/>
          <w:szCs w:val="24"/>
          <w:highlight w:val="yellow"/>
          <w:lang w:val="en-US"/>
        </w:rPr>
        <w:t>urbainˮ</w:t>
      </w:r>
      <w:proofErr w:type="spellEnd"/>
      <w:r w:rsidR="00626C53" w:rsidRPr="009774E4">
        <w:rPr>
          <w:rFonts w:cs="Times New Roman"/>
          <w:szCs w:val="24"/>
          <w:highlight w:val="yellow"/>
          <w:lang w:val="en-US"/>
        </w:rPr>
        <w:t xml:space="preserve"> and the rural environment of the vegetable garden area </w:t>
      </w:r>
      <w:proofErr w:type="spellStart"/>
      <w:r w:rsidR="00626C53" w:rsidRPr="009774E4">
        <w:rPr>
          <w:rFonts w:cs="Times New Roman"/>
          <w:szCs w:val="24"/>
          <w:highlight w:val="yellow"/>
          <w:lang w:val="en-US"/>
        </w:rPr>
        <w:t>Tillabéri</w:t>
      </w:r>
      <w:proofErr w:type="spellEnd"/>
      <w:r w:rsidR="00626C53" w:rsidRPr="009774E4">
        <w:rPr>
          <w:rFonts w:cs="Times New Roman"/>
          <w:szCs w:val="24"/>
          <w:highlight w:val="yellow"/>
          <w:lang w:val="en-US"/>
        </w:rPr>
        <w:t xml:space="preserve"> commune de </w:t>
      </w:r>
      <w:proofErr w:type="spellStart"/>
      <w:r w:rsidR="00626C53" w:rsidRPr="009774E4">
        <w:rPr>
          <w:rFonts w:cs="Times New Roman"/>
          <w:szCs w:val="24"/>
          <w:highlight w:val="yellow"/>
          <w:lang w:val="en-US"/>
        </w:rPr>
        <w:t>Liboré</w:t>
      </w:r>
      <w:proofErr w:type="spellEnd"/>
      <w:r w:rsidR="00626C53" w:rsidRPr="009774E4">
        <w:rPr>
          <w:rFonts w:cs="Times New Roman"/>
          <w:szCs w:val="24"/>
          <w:highlight w:val="yellow"/>
          <w:lang w:val="en-US"/>
        </w:rPr>
        <w:t xml:space="preserve"> ˮ as for the vegetable garden area </w:t>
      </w:r>
      <w:proofErr w:type="spellStart"/>
      <w:r w:rsidR="00626C53" w:rsidRPr="009774E4">
        <w:rPr>
          <w:rFonts w:cs="Times New Roman"/>
          <w:szCs w:val="24"/>
          <w:highlight w:val="yellow"/>
          <w:lang w:val="en-US"/>
        </w:rPr>
        <w:t>Dosso</w:t>
      </w:r>
      <w:proofErr w:type="spellEnd"/>
      <w:r w:rsidR="00626C53" w:rsidRPr="009774E4">
        <w:rPr>
          <w:rFonts w:cs="Times New Roman"/>
          <w:szCs w:val="24"/>
          <w:highlight w:val="yellow"/>
          <w:lang w:val="en-US"/>
        </w:rPr>
        <w:t>, it is associated with starches and vegetables rich in vitamin A</w:t>
      </w:r>
      <w:bookmarkStart w:id="0" w:name="_GoBack"/>
      <w:bookmarkEnd w:id="0"/>
      <w:r w:rsidR="00626C53">
        <w:rPr>
          <w:rFonts w:cs="Times New Roman"/>
          <w:szCs w:val="24"/>
          <w:lang w:val="en-US"/>
        </w:rPr>
        <w:t>.</w:t>
      </w:r>
      <w:proofErr w:type="gramEnd"/>
      <w:r w:rsidR="00626C53">
        <w:rPr>
          <w:rFonts w:cs="Times New Roman"/>
          <w:szCs w:val="24"/>
          <w:lang w:val="en-US"/>
        </w:rPr>
        <w:t xml:space="preserve"> </w:t>
      </w:r>
      <w:r>
        <w:rPr>
          <w:rFonts w:cs="Times New Roman"/>
          <w:szCs w:val="24"/>
          <w:lang w:val="en-US"/>
        </w:rPr>
        <w:t xml:space="preserve">These results are similar to those of </w:t>
      </w:r>
      <w:proofErr w:type="spellStart"/>
      <w:r>
        <w:rPr>
          <w:rFonts w:cs="Times New Roman"/>
          <w:szCs w:val="24"/>
          <w:lang w:val="en-US"/>
        </w:rPr>
        <w:t>Kouton</w:t>
      </w:r>
      <w:proofErr w:type="spellEnd"/>
      <w:r>
        <w:rPr>
          <w:rFonts w:cs="Times New Roman"/>
          <w:szCs w:val="24"/>
          <w:lang w:val="en-US"/>
        </w:rPr>
        <w:t xml:space="preserve"> et al. (2017) [</w:t>
      </w:r>
      <w:r>
        <w:rPr>
          <w:rFonts w:cs="Times New Roman"/>
          <w:szCs w:val="24"/>
        </w:rPr>
        <w:fldChar w:fldCharType="begin"/>
      </w:r>
      <w:r>
        <w:rPr>
          <w:rFonts w:cs="Times New Roman"/>
          <w:szCs w:val="24"/>
          <w:lang w:val="en-US"/>
        </w:rPr>
        <w:instrText xml:space="preserve"> ADDIN ZOTERO_ITEM CSL_CITATION {"citationID":"8X9PMBrn","properties":{"formattedCitation":"(2)","plainCitation":"(2)","noteIndex":0},"citationItems":[{"id":411,"uris":["http://zotero.org/users/local/JMNVudIT/items/86Z5DRJ6"],"itemData":{"id":411,"type":"article-journal","container-title":"Journal of Applied Biosciences","page":"10831–10840","source":"Google Scholar","title":"Caractérisation de l’alimentation des jeunes enfants âgés de 6 à 36 mois en milieu rural et urbain du Sud–Bénin","volume":"110","author":[{"family":"Kouton","given":"Sandrine E."},{"family":"Hounkpatin","given":"Waliou Amoussa"},{"family":"Ballogou","given":"Vénérande Y."},{"family":"Lokonon","given":"Jaurès H."},{"family":"Soumanou","given":"Mohamed M."}],"issued":{"date-parts":[["2017"]]}}}],"schema":"https://github.com/citation-style-language/schema/raw/master/csl-citation.json"} </w:instrText>
      </w:r>
      <w:r>
        <w:rPr>
          <w:rFonts w:cs="Times New Roman"/>
          <w:szCs w:val="24"/>
        </w:rPr>
        <w:fldChar w:fldCharType="separate"/>
      </w:r>
      <w:r>
        <w:rPr>
          <w:rFonts w:cs="Times New Roman"/>
          <w:lang w:val="en-US"/>
        </w:rPr>
        <w:t>2</w:t>
      </w:r>
      <w:r>
        <w:rPr>
          <w:rFonts w:cs="Times New Roman"/>
          <w:szCs w:val="24"/>
        </w:rPr>
        <w:fldChar w:fldCharType="end"/>
      </w:r>
      <w:r>
        <w:rPr>
          <w:rFonts w:cs="Times New Roman"/>
          <w:szCs w:val="24"/>
          <w:lang w:val="en-US"/>
        </w:rPr>
        <w:t>].</w:t>
      </w:r>
      <w:r>
        <w:rPr>
          <w:lang w:val="en-US"/>
        </w:rPr>
        <w:t xml:space="preserve"> </w:t>
      </w:r>
      <w:r>
        <w:rPr>
          <w:rFonts w:cs="Times New Roman"/>
          <w:szCs w:val="24"/>
          <w:lang w:val="en-US"/>
        </w:rPr>
        <w:t xml:space="preserve">This very precarious and inadequate practice of </w:t>
      </w:r>
      <w:r w:rsidRPr="00832767">
        <w:rPr>
          <w:rFonts w:cs="Times New Roman"/>
          <w:szCs w:val="24"/>
          <w:highlight w:val="yellow"/>
          <w:lang w:val="en-US"/>
        </w:rPr>
        <w:t>mothers/</w:t>
      </w:r>
      <w:r w:rsidRPr="00832767">
        <w:rPr>
          <w:highlight w:val="yellow"/>
        </w:rPr>
        <w:t xml:space="preserve"> </w:t>
      </w:r>
      <w:r w:rsidRPr="00832767">
        <w:rPr>
          <w:rFonts w:cs="Times New Roman"/>
          <w:szCs w:val="24"/>
          <w:highlight w:val="yellow"/>
          <w:lang w:val="en-US"/>
        </w:rPr>
        <w:t>guardian</w:t>
      </w:r>
      <w:r>
        <w:rPr>
          <w:rFonts w:cs="Times New Roman"/>
          <w:szCs w:val="24"/>
          <w:lang w:val="en-US"/>
        </w:rPr>
        <w:t xml:space="preserve"> on feeding their children could be due to ignorance, lack of information on good feeding practices and low household income. The risk of such a diet is micronutrient deficiency and, as a result, malnutrition and poor health [</w:t>
      </w:r>
      <w:r>
        <w:rPr>
          <w:rFonts w:cs="Times New Roman"/>
          <w:szCs w:val="24"/>
        </w:rPr>
        <w:fldChar w:fldCharType="begin"/>
      </w:r>
      <w:r>
        <w:rPr>
          <w:rFonts w:cs="Times New Roman"/>
          <w:szCs w:val="24"/>
          <w:lang w:val="en-US"/>
        </w:rPr>
        <w:instrText xml:space="preserve"> ADDIN ZOTERO_ITEM CSL_CITATION {"citationID":"iVUXLwzZ","properties":{"formattedCitation":"(3)","plainCitation":"(3)","noteIndex":0},"citationItems":[{"id":295,"uris":["http://zotero.org/users/local/JMNVudIT/items/4GSF47QP"],"itemData":{"id":295,"type":"article-journal","abstract":"Une alimentation diversifiée est nécessaire pour apporter à l’organisme l’essentiel des nutriments dont il a besoin pour son fonctionnement. L’objectif de ce travail a été d’évaluer la consommation alimentaire des ménages dans la partie Nord du Burkina Faso et d’identifier les déterminants de la diversité alimentaire. L’évaluation de la diversité alimentaire a été réalisée à partir du calcul du score de diversité alimentaire des ménages à l’aide de l’outil RHoMIS (Rural Household Multiple Indicator Survey). Une enquête a été conduite auprès de 300 ménages pour caractériser le profil socio-économique et la consommation alimentaire au sein de ces ménages. La valeur moyenne du score de diversité alimentaire des ménages pour une période de référence de 7 jours, a été de 7,3 (0,1) durant la période favorable et de 5,7 (0,1) durant la période de soudure. Les céréales ont constitué l’aliment énergétique de base et le niébé a représenté l’essentiel des aliments protéiques, la consommation des produits d’origine animale étant faible. Les résultats montrent que le nombre de cultures produites par le ménage e</w:instrText>
      </w:r>
      <w:r>
        <w:rPr>
          <w:rFonts w:cs="Times New Roman"/>
          <w:szCs w:val="24"/>
        </w:rPr>
        <w:instrText>t les revenus agricoles ne sont pas positivement associés à la diversité alimentaire élevée. Seul le revenu provenant de l’orpaillage est associé positivement à une diversité alimentaire élevée.© 2018 International Formulae Group. All rights reserved.Mots clés: Diversité alimentaire, déterminants, sources de revenu, système agro-pastoral, Burkina FasoEnglish Title: Household food diversity and animal-source foods consumption in Burkina Faso: case of three communes in Yatenga at North of the countryEnglish AbstractA diversified diet is necessary to provide essential nutrients which the body needs for its functioning. The objective of this study was to evaluate the dietary consumption of households in the Northern part of Burkina Faso and to identify the determinants of dietary diversity. Household dietary diversity was assessed by calculating household dietary diversity score (HDDS). Three hundred households were surveyed in six communities in Northern Region of Burkina Faso to characterize the socio-economic profile and food consumption of the surveyed households. A HDDS was constructed according to the Rural Household Multiple</w:instrText>
      </w:r>
      <w:r>
        <w:rPr>
          <w:rFonts w:cs="Times New Roman"/>
          <w:szCs w:val="24"/>
          <w:lang w:val="en-US"/>
        </w:rPr>
        <w:instrText xml:space="preserve"> Indicator Survey (RHoMIS). The HDDS was seven food groups during the normal period and about six food groups (5.7±0.1) during the difficult food period. Cereals were the staple food and cowpea provided most of the dietary protein as the consumption of animal products was generally low. The results of the regression model show that the number of food crops produced and farmers' farm cash receipts are not positively associated with high dietary diversity. Only income from gold mining contributed significantly to household dietary diversity.© 2018 International Formulae Group. All rights reserved.Keywords: Dietary diversity, food types, income sources, agro-pastoral system, Burkina Faso","container-title":"International Journal of Biological and Chemical Sciences","DOI":"10.4314/ijbcs.v12i4.21","ISSN":"1997-342X","issue":"4","language":"en","license":"Copyright (c)","note":"number: 4","page":"1784-1801","source":"www.ajol.info","title":"Household food consumption and determinants of dietary diversity: the case of four communes in the North region, Burkina Faso.","title-short":"Household food consumption and determinants of dietary diversity: the case of four communes in the North region, Burkina Faso","volume":"12","author":[{"family":"Sanou","given":"Sita"},{"family":"Ayantunde","given":"Augustine"},{"family":"Nianogo","given":"Aimé Joseph"}],"issued":{"date-parts":[["2018",12,13]]}}}],"schema":"https://github.com/citation-style-language/schema/raw/master/csl-citation.json"} </w:instrText>
      </w:r>
      <w:r>
        <w:rPr>
          <w:rFonts w:cs="Times New Roman"/>
          <w:szCs w:val="24"/>
        </w:rPr>
        <w:fldChar w:fldCharType="separate"/>
      </w:r>
      <w:r>
        <w:rPr>
          <w:rFonts w:cs="Times New Roman"/>
          <w:lang w:val="en-US"/>
        </w:rPr>
        <w:t>3</w:t>
      </w:r>
      <w:r>
        <w:rPr>
          <w:rFonts w:cs="Times New Roman"/>
          <w:szCs w:val="24"/>
        </w:rPr>
        <w:fldChar w:fldCharType="end"/>
      </w:r>
      <w:r>
        <w:rPr>
          <w:rFonts w:cs="Times New Roman"/>
          <w:szCs w:val="24"/>
          <w:lang w:val="en-US"/>
        </w:rPr>
        <w:t xml:space="preserve">]. </w:t>
      </w:r>
    </w:p>
    <w:p w:rsidR="00CC7802" w:rsidRDefault="00762192">
      <w:pPr>
        <w:spacing w:line="360" w:lineRule="auto"/>
        <w:ind w:firstLine="142"/>
        <w:jc w:val="both"/>
        <w:rPr>
          <w:rFonts w:cs="Times New Roman"/>
          <w:szCs w:val="24"/>
          <w:lang w:val="en-US"/>
        </w:rPr>
      </w:pPr>
      <w:r>
        <w:rPr>
          <w:rFonts w:cs="Times New Roman"/>
          <w:szCs w:val="24"/>
          <w:lang w:val="en-US"/>
        </w:rPr>
        <w:t xml:space="preserve">Regarding the food consumption score, the results showed an acceptable score for the majority of children (66.8%) and a significant difference between children living in </w:t>
      </w:r>
      <w:r w:rsidR="00060DA8">
        <w:rPr>
          <w:rFonts w:cs="Times New Roman"/>
          <w:szCs w:val="24"/>
          <w:lang w:val="en-US"/>
        </w:rPr>
        <w:t xml:space="preserve">market </w:t>
      </w:r>
      <w:r>
        <w:rPr>
          <w:rFonts w:cs="Times New Roman"/>
          <w:szCs w:val="24"/>
          <w:lang w:val="en-US"/>
        </w:rPr>
        <w:t>garden and non-</w:t>
      </w:r>
      <w:r w:rsidR="00060DA8">
        <w:rPr>
          <w:rFonts w:cs="Times New Roman"/>
          <w:szCs w:val="24"/>
          <w:lang w:val="en-US"/>
        </w:rPr>
        <w:t>market</w:t>
      </w:r>
      <w:r>
        <w:rPr>
          <w:rFonts w:cs="Times New Roman"/>
          <w:szCs w:val="24"/>
          <w:lang w:val="en-US"/>
        </w:rPr>
        <w:t xml:space="preserve"> areas. Only 35.1% of children living in </w:t>
      </w:r>
      <w:r w:rsidRPr="00060DA8">
        <w:rPr>
          <w:rFonts w:cs="Times New Roman"/>
          <w:szCs w:val="24"/>
          <w:highlight w:val="yellow"/>
          <w:lang w:val="en-US"/>
        </w:rPr>
        <w:t xml:space="preserve">the </w:t>
      </w:r>
      <w:proofErr w:type="spellStart"/>
      <w:r w:rsidRPr="00060DA8">
        <w:rPr>
          <w:rFonts w:cs="Times New Roman"/>
          <w:szCs w:val="24"/>
          <w:highlight w:val="yellow"/>
          <w:lang w:val="en-US"/>
        </w:rPr>
        <w:t>Dosso</w:t>
      </w:r>
      <w:proofErr w:type="spellEnd"/>
      <w:r w:rsidRPr="00060DA8">
        <w:rPr>
          <w:rFonts w:cs="Times New Roman"/>
          <w:szCs w:val="24"/>
          <w:highlight w:val="yellow"/>
          <w:lang w:val="en-US"/>
        </w:rPr>
        <w:t xml:space="preserve"> </w:t>
      </w:r>
      <w:r w:rsidR="00060DA8" w:rsidRPr="00060DA8">
        <w:rPr>
          <w:rFonts w:cs="Times New Roman"/>
          <w:szCs w:val="24"/>
          <w:highlight w:val="yellow"/>
          <w:lang w:val="en-US"/>
        </w:rPr>
        <w:t xml:space="preserve">horticulture </w:t>
      </w:r>
      <w:r w:rsidRPr="00060DA8">
        <w:rPr>
          <w:rFonts w:cs="Times New Roman"/>
          <w:szCs w:val="24"/>
          <w:highlight w:val="yellow"/>
          <w:lang w:val="en-US"/>
        </w:rPr>
        <w:t>area</w:t>
      </w:r>
      <w:r>
        <w:rPr>
          <w:rFonts w:cs="Times New Roman"/>
          <w:szCs w:val="24"/>
          <w:lang w:val="en-US"/>
        </w:rPr>
        <w:t xml:space="preserve"> have an acceptable food intake score. This could be due not only to the character of the </w:t>
      </w:r>
      <w:proofErr w:type="gramStart"/>
      <w:r>
        <w:rPr>
          <w:rFonts w:cs="Times New Roman"/>
          <w:szCs w:val="24"/>
          <w:lang w:val="en-US"/>
        </w:rPr>
        <w:t>area which</w:t>
      </w:r>
      <w:proofErr w:type="gramEnd"/>
      <w:r>
        <w:rPr>
          <w:rFonts w:cs="Times New Roman"/>
          <w:szCs w:val="24"/>
          <w:lang w:val="en-US"/>
        </w:rPr>
        <w:t xml:space="preserve"> is a very rural commune, but also to the non-presence and difficult accessibility to different food groups. The INS (2015) found the same results, where 18% of children living in rural areas are poorly nourished, 25% are on a low-limit diet and 57% have an acceptable diet [</w:t>
      </w:r>
      <w:r>
        <w:rPr>
          <w:rFonts w:cs="Times New Roman"/>
          <w:szCs w:val="24"/>
        </w:rPr>
        <w:fldChar w:fldCharType="begin"/>
      </w:r>
      <w:r>
        <w:rPr>
          <w:rFonts w:cs="Times New Roman"/>
          <w:szCs w:val="24"/>
          <w:lang w:val="en-US"/>
        </w:rPr>
        <w:instrText xml:space="preserve"> ADDIN ZOTERO_ITEM CSL_CITATION {"citationID":"XrbyrzPM","properties":{"formattedCitation":"(11)","plainCitation":"(11)","noteIndex":0},"citationItems":[{"id":"Ru8Bvz29/IXrgVRhZ","uris":["http://zotero.org/users/10840737/items/9N2K36DE"],"itemData":{"id":"wOXuJnmX/UTtPvHg6","type":"report","event-place":"Niamey/Niger","genre":"rapport final","page":"118","publisher-place":"Niamey/Niger","title":"Enquête conjointe sur la vulnérabilité à l'insécurité alimentaire des ménages au Niger (décembre 2014- janvier 2015)","author":[{"family":"INS","given":""}],"issued":{"date-parts":[["2015"]]}}}],"schema":"https://github.com/citation-style-language/schema/raw/master/csl-citation.json"} </w:instrText>
      </w:r>
      <w:r>
        <w:rPr>
          <w:rFonts w:cs="Times New Roman"/>
          <w:szCs w:val="24"/>
        </w:rPr>
        <w:fldChar w:fldCharType="separate"/>
      </w:r>
      <w:r>
        <w:rPr>
          <w:rFonts w:cs="Times New Roman"/>
          <w:lang w:val="en-US"/>
        </w:rPr>
        <w:t>11</w:t>
      </w:r>
      <w:r>
        <w:rPr>
          <w:rFonts w:cs="Times New Roman"/>
          <w:szCs w:val="24"/>
        </w:rPr>
        <w:fldChar w:fldCharType="end"/>
      </w:r>
      <w:r>
        <w:rPr>
          <w:rFonts w:cs="Times New Roman"/>
          <w:szCs w:val="24"/>
          <w:lang w:val="en-US"/>
        </w:rPr>
        <w:t>].</w:t>
      </w:r>
      <w:r>
        <w:rPr>
          <w:lang w:val="en-US"/>
        </w:rPr>
        <w:t xml:space="preserve">  </w:t>
      </w:r>
      <w:r>
        <w:rPr>
          <w:rFonts w:cs="Times New Roman"/>
          <w:szCs w:val="24"/>
          <w:lang w:val="en-US"/>
        </w:rPr>
        <w:t xml:space="preserve">However, this score is lower than that found by </w:t>
      </w:r>
      <w:proofErr w:type="spellStart"/>
      <w:r>
        <w:rPr>
          <w:rFonts w:cs="Times New Roman"/>
          <w:szCs w:val="24"/>
          <w:lang w:val="en-US"/>
        </w:rPr>
        <w:t>Dramé</w:t>
      </w:r>
      <w:proofErr w:type="spellEnd"/>
      <w:r>
        <w:rPr>
          <w:rFonts w:cs="Times New Roman"/>
          <w:szCs w:val="24"/>
          <w:lang w:val="en-US"/>
        </w:rPr>
        <w:t xml:space="preserve"> et al. (2019). who found 78.8% and 69.4% of households with acceptable consumption scores, respectively [</w:t>
      </w:r>
      <w:r>
        <w:rPr>
          <w:rFonts w:cs="Times New Roman"/>
          <w:szCs w:val="24"/>
        </w:rPr>
        <w:fldChar w:fldCharType="begin"/>
      </w:r>
      <w:r>
        <w:rPr>
          <w:rFonts w:cs="Times New Roman"/>
          <w:szCs w:val="24"/>
          <w:lang w:val="en-US"/>
        </w:rPr>
        <w:instrText xml:space="preserve"> ADDIN ZOTERO_ITEM CSL_CITATION {"citationID":"W2mn32kx","properties":{"formattedCitation":"(19)","plainCitation":"(19)","noteIndex":0},"citationItems":[{"id":508,"uris":["http://zotero.org/users/local/JMNVudIT/items/BQKIDZEX"],"itemData":{"id":508,"type":"article-journal","container-title":"Mali Santé Publique","page":"33–37","source":"Google Scholar","title":"Caractéristiques sociodémographiques associées à la consommation alimentaire des ménages de Bamako","author":[{"family":"Dramé","given":"M."},{"family":"Diarra","given":"S."},{"family":"Sangho","given":"O."},{"family":"Diawara","given":"F."},{"family":"Sangho","given":"F."},{"family":"Coulibaly","given":"D."},{"family":"Coulibaly","given":"C. A."},{"family":"Sangho","given":"A."}],"issued":{"date-parts":[["2019"]]}},"label":"page"}],"schema":"https://github.com/citation-style-language/schema/raw/master/csl-citation.json"} </w:instrText>
      </w:r>
      <w:r>
        <w:rPr>
          <w:rFonts w:cs="Times New Roman"/>
          <w:szCs w:val="24"/>
        </w:rPr>
        <w:fldChar w:fldCharType="separate"/>
      </w:r>
      <w:r>
        <w:rPr>
          <w:rFonts w:cs="Times New Roman"/>
          <w:lang w:val="en-US"/>
        </w:rPr>
        <w:t>19</w:t>
      </w:r>
      <w:r>
        <w:rPr>
          <w:rFonts w:cs="Times New Roman"/>
          <w:szCs w:val="24"/>
        </w:rPr>
        <w:fldChar w:fldCharType="end"/>
      </w:r>
      <w:r>
        <w:rPr>
          <w:rFonts w:cs="Times New Roman"/>
          <w:szCs w:val="24"/>
          <w:lang w:val="en-US"/>
        </w:rPr>
        <w:t xml:space="preserve">]. This is higher than the results of </w:t>
      </w:r>
      <w:proofErr w:type="spellStart"/>
      <w:r>
        <w:rPr>
          <w:rFonts w:cs="Times New Roman"/>
          <w:szCs w:val="24"/>
          <w:lang w:val="en-US"/>
        </w:rPr>
        <w:t>Hien</w:t>
      </w:r>
      <w:proofErr w:type="spellEnd"/>
      <w:r>
        <w:rPr>
          <w:rFonts w:cs="Times New Roman"/>
          <w:szCs w:val="24"/>
          <w:lang w:val="en-US"/>
        </w:rPr>
        <w:t xml:space="preserve"> et al. (2023) in Bobo-</w:t>
      </w:r>
      <w:proofErr w:type="spellStart"/>
      <w:r>
        <w:rPr>
          <w:rFonts w:cs="Times New Roman"/>
          <w:szCs w:val="24"/>
          <w:lang w:val="en-US"/>
        </w:rPr>
        <w:t>Dioulasso</w:t>
      </w:r>
      <w:proofErr w:type="spellEnd"/>
      <w:r>
        <w:rPr>
          <w:rFonts w:cs="Times New Roman"/>
          <w:szCs w:val="24"/>
          <w:lang w:val="en-US"/>
        </w:rPr>
        <w:t>, Burkina Faso, who showed 16.1% of children with a minimum acceptable diet [</w:t>
      </w:r>
      <w:r>
        <w:rPr>
          <w:rFonts w:cs="Times New Roman"/>
          <w:szCs w:val="24"/>
        </w:rPr>
        <w:fldChar w:fldCharType="begin"/>
      </w:r>
      <w:r>
        <w:rPr>
          <w:rFonts w:cs="Times New Roman"/>
          <w:szCs w:val="24"/>
          <w:lang w:val="en-US"/>
        </w:rPr>
        <w:instrText xml:space="preserve"> ADDIN ZOTERO_ITEM CSL_CITATION {"citationID":"QOSBnJCr","properties":{"formattedCitation":"(20)","plainCitation":"(20)","noteIndex":0},"citationItems":[{"id":413,"uris":["http://zotero.org/users/local/JMNVudIT/items/9JN5DXWF"],"itemData":{"id":413,"type":"article-journal","container-title":"African Journal of Food, Agriculture, Nutrition and Development","issue":"3","page":"22831–22852","source":"Google Scholar","title":"Factors associated with minimum dietary diversity, minimum meal frequency and minimum acceptable diet practices among children 6-23 months of age in Bobo-Dioulasso, Burkina Faso","volume":"23","author":[{"family":"Hien","given":"Alain"},{"family":"Some","given":"J. W."},{"family":"Toe","given":"L. C."},{"family":"Sombie","given":"O."},{"family":"Meda","given":"N. T. R."},{"family":"Ilboudo","given":"B."},{"family":"Kassie","given":"Daouda"},{"family":"Fournet","given":"Florence"},{"family":"Ouedraogo","given":"A. G."},{"family":"Zeba","given":"Augustin Nawidimbasba"}],"issued":{"date-parts":[["2023"]]}}}],"schema":"https://github.com/citation-style-language/schema/raw/master/csl-citation.json"} </w:instrText>
      </w:r>
      <w:r>
        <w:rPr>
          <w:rFonts w:cs="Times New Roman"/>
          <w:szCs w:val="24"/>
        </w:rPr>
        <w:fldChar w:fldCharType="separate"/>
      </w:r>
      <w:r>
        <w:rPr>
          <w:rFonts w:cs="Times New Roman"/>
          <w:lang w:val="en-US"/>
        </w:rPr>
        <w:t>20</w:t>
      </w:r>
      <w:r>
        <w:rPr>
          <w:rFonts w:cs="Times New Roman"/>
          <w:szCs w:val="24"/>
        </w:rPr>
        <w:fldChar w:fldCharType="end"/>
      </w:r>
      <w:r>
        <w:rPr>
          <w:rFonts w:cs="Times New Roman"/>
          <w:szCs w:val="24"/>
          <w:lang w:val="en-US"/>
        </w:rPr>
        <w:t>].</w:t>
      </w:r>
    </w:p>
    <w:p w:rsidR="00CC7802" w:rsidRDefault="00762192">
      <w:pPr>
        <w:pStyle w:val="Paragraphedeliste"/>
        <w:numPr>
          <w:ilvl w:val="1"/>
          <w:numId w:val="6"/>
        </w:numPr>
        <w:spacing w:line="360" w:lineRule="auto"/>
        <w:jc w:val="both"/>
        <w:rPr>
          <w:rFonts w:cs="Times New Roman"/>
          <w:b/>
          <w:szCs w:val="24"/>
        </w:rPr>
      </w:pPr>
      <w:r>
        <w:rPr>
          <w:rFonts w:cs="Times New Roman"/>
          <w:b/>
          <w:i/>
          <w:szCs w:val="24"/>
          <w:lang w:val="en-US"/>
        </w:rPr>
        <w:t xml:space="preserve"> Association between children’s food consumption and the socio-demographic characteristics of </w:t>
      </w:r>
      <w:r w:rsidRPr="00832767">
        <w:rPr>
          <w:rFonts w:cs="Times New Roman"/>
          <w:b/>
          <w:i/>
          <w:szCs w:val="24"/>
          <w:highlight w:val="yellow"/>
          <w:lang w:val="en-US"/>
        </w:rPr>
        <w:t>mothers/guardian</w:t>
      </w:r>
      <w:r>
        <w:rPr>
          <w:rFonts w:cs="Times New Roman"/>
          <w:b/>
          <w:i/>
          <w:szCs w:val="24"/>
          <w:lang w:val="en-US"/>
        </w:rPr>
        <w:t xml:space="preserve"> and the household. </w:t>
      </w:r>
      <w:proofErr w:type="spellStart"/>
      <w:r>
        <w:rPr>
          <w:rFonts w:cs="Times New Roman"/>
          <w:b/>
          <w:i/>
          <w:szCs w:val="24"/>
        </w:rPr>
        <w:t>Bivariate</w:t>
      </w:r>
      <w:proofErr w:type="spellEnd"/>
      <w:r>
        <w:rPr>
          <w:rFonts w:cs="Times New Roman"/>
          <w:b/>
          <w:i/>
          <w:szCs w:val="24"/>
        </w:rPr>
        <w:t xml:space="preserve"> and </w:t>
      </w:r>
      <w:proofErr w:type="spellStart"/>
      <w:r>
        <w:rPr>
          <w:rFonts w:cs="Times New Roman"/>
          <w:b/>
          <w:i/>
          <w:szCs w:val="24"/>
        </w:rPr>
        <w:t>multivariate</w:t>
      </w:r>
      <w:proofErr w:type="spellEnd"/>
      <w:r>
        <w:rPr>
          <w:rFonts w:cs="Times New Roman"/>
          <w:b/>
          <w:i/>
          <w:szCs w:val="24"/>
        </w:rPr>
        <w:t xml:space="preserve"> </w:t>
      </w:r>
      <w:proofErr w:type="spellStart"/>
      <w:r>
        <w:rPr>
          <w:rFonts w:cs="Times New Roman"/>
          <w:b/>
          <w:i/>
          <w:szCs w:val="24"/>
        </w:rPr>
        <w:t>analysis</w:t>
      </w:r>
      <w:proofErr w:type="spellEnd"/>
      <w:r>
        <w:rPr>
          <w:rFonts w:cs="Times New Roman"/>
          <w:b/>
          <w:i/>
          <w:szCs w:val="24"/>
        </w:rPr>
        <w:t>.</w:t>
      </w:r>
    </w:p>
    <w:p w:rsidR="00CC7802" w:rsidRDefault="00762192">
      <w:pPr>
        <w:spacing w:line="360" w:lineRule="auto"/>
        <w:ind w:firstLine="142"/>
        <w:jc w:val="both"/>
        <w:rPr>
          <w:rFonts w:eastAsia="Times New Roman" w:cs="Times New Roman"/>
          <w:szCs w:val="24"/>
          <w:lang w:val="en-US" w:eastAsia="fr-FR"/>
        </w:rPr>
      </w:pPr>
      <w:r>
        <w:rPr>
          <w:rFonts w:cs="Times New Roman"/>
          <w:szCs w:val="24"/>
          <w:lang w:val="en-US"/>
        </w:rPr>
        <w:t xml:space="preserve">The bivariate analysis shows that the food consumption was inadequate among children living in the </w:t>
      </w:r>
      <w:r w:rsidR="00060DA8">
        <w:rPr>
          <w:rFonts w:cs="Times New Roman"/>
          <w:szCs w:val="24"/>
          <w:lang w:val="en-US"/>
        </w:rPr>
        <w:t xml:space="preserve">horticulture </w:t>
      </w:r>
      <w:r>
        <w:rPr>
          <w:rFonts w:cs="Times New Roman"/>
          <w:szCs w:val="24"/>
          <w:lang w:val="en-US"/>
        </w:rPr>
        <w:t xml:space="preserve">area of </w:t>
      </w:r>
      <w:proofErr w:type="spellStart"/>
      <w:r>
        <w:rPr>
          <w:rFonts w:cs="Times New Roman"/>
          <w:szCs w:val="24"/>
          <w:lang w:val="en-US"/>
        </w:rPr>
        <w:t>Dosso</w:t>
      </w:r>
      <w:proofErr w:type="spellEnd"/>
      <w:r>
        <w:rPr>
          <w:rFonts w:cs="Times New Roman"/>
          <w:szCs w:val="24"/>
          <w:lang w:val="en-US"/>
        </w:rPr>
        <w:t xml:space="preserve"> (rural commune of </w:t>
      </w:r>
      <w:proofErr w:type="spellStart"/>
      <w:r>
        <w:rPr>
          <w:rFonts w:cs="Times New Roman"/>
          <w:szCs w:val="24"/>
          <w:lang w:val="en-US"/>
        </w:rPr>
        <w:t>N'Gonga</w:t>
      </w:r>
      <w:proofErr w:type="spellEnd"/>
      <w:r>
        <w:rPr>
          <w:rFonts w:cs="Times New Roman"/>
          <w:szCs w:val="24"/>
          <w:lang w:val="en-US"/>
        </w:rPr>
        <w:t xml:space="preserve">) compared </w:t>
      </w:r>
      <w:r w:rsidRPr="00060DA8">
        <w:rPr>
          <w:rFonts w:cs="Times New Roman"/>
          <w:szCs w:val="24"/>
          <w:highlight w:val="yellow"/>
          <w:lang w:val="en-US"/>
        </w:rPr>
        <w:t xml:space="preserve">to </w:t>
      </w:r>
      <w:r w:rsidR="00060DA8" w:rsidRPr="00060DA8">
        <w:rPr>
          <w:rFonts w:cs="Times New Roman"/>
          <w:szCs w:val="24"/>
          <w:highlight w:val="yellow"/>
          <w:lang w:val="en-US"/>
        </w:rPr>
        <w:t xml:space="preserve">horticulture </w:t>
      </w:r>
      <w:r w:rsidRPr="00060DA8">
        <w:rPr>
          <w:rFonts w:cs="Times New Roman"/>
          <w:szCs w:val="24"/>
          <w:highlight w:val="yellow"/>
          <w:lang w:val="en-US"/>
        </w:rPr>
        <w:t>areas</w:t>
      </w:r>
      <w:r>
        <w:rPr>
          <w:rFonts w:cs="Times New Roman"/>
          <w:szCs w:val="24"/>
          <w:lang w:val="en-US"/>
        </w:rPr>
        <w:t xml:space="preserve"> of </w:t>
      </w:r>
      <w:proofErr w:type="spellStart"/>
      <w:r>
        <w:rPr>
          <w:rFonts w:cs="Times New Roman"/>
          <w:szCs w:val="24"/>
          <w:lang w:val="en-US"/>
        </w:rPr>
        <w:t>Tillabéri</w:t>
      </w:r>
      <w:proofErr w:type="spellEnd"/>
      <w:r>
        <w:rPr>
          <w:rFonts w:cs="Times New Roman"/>
          <w:szCs w:val="24"/>
          <w:lang w:val="en-US"/>
        </w:rPr>
        <w:t xml:space="preserve"> "commune de </w:t>
      </w:r>
      <w:proofErr w:type="spellStart"/>
      <w:r>
        <w:rPr>
          <w:rFonts w:cs="Times New Roman"/>
          <w:szCs w:val="24"/>
          <w:lang w:val="en-US"/>
        </w:rPr>
        <w:t>Liboré</w:t>
      </w:r>
      <w:proofErr w:type="spellEnd"/>
      <w:r>
        <w:rPr>
          <w:rFonts w:cs="Times New Roman"/>
          <w:szCs w:val="24"/>
          <w:lang w:val="en-US"/>
        </w:rPr>
        <w:t xml:space="preserve">" and </w:t>
      </w:r>
      <w:r w:rsidRPr="00832767">
        <w:rPr>
          <w:rFonts w:cs="Times New Roman"/>
          <w:szCs w:val="24"/>
          <w:highlight w:val="yellow"/>
          <w:lang w:val="en-US"/>
        </w:rPr>
        <w:t>non-</w:t>
      </w:r>
      <w:r w:rsidR="00060DA8">
        <w:rPr>
          <w:rFonts w:cs="Times New Roman"/>
          <w:szCs w:val="24"/>
          <w:highlight w:val="yellow"/>
          <w:lang w:val="en-US"/>
        </w:rPr>
        <w:t>horticulture</w:t>
      </w:r>
      <w:r w:rsidRPr="00832767">
        <w:rPr>
          <w:rFonts w:cs="Times New Roman"/>
          <w:szCs w:val="24"/>
          <w:highlight w:val="yellow"/>
          <w:lang w:val="en-US"/>
        </w:rPr>
        <w:t xml:space="preserve"> area</w:t>
      </w:r>
      <w:r>
        <w:rPr>
          <w:rFonts w:cs="Times New Roman"/>
          <w:szCs w:val="24"/>
          <w:lang w:val="en-US"/>
        </w:rPr>
        <w:t xml:space="preserve"> "</w:t>
      </w:r>
      <w:proofErr w:type="spellStart"/>
      <w:r>
        <w:rPr>
          <w:rFonts w:cs="Times New Roman"/>
          <w:szCs w:val="24"/>
          <w:lang w:val="en-US"/>
        </w:rPr>
        <w:t>Dosso</w:t>
      </w:r>
      <w:proofErr w:type="spellEnd"/>
      <w:r>
        <w:rPr>
          <w:rFonts w:cs="Times New Roman"/>
          <w:szCs w:val="24"/>
          <w:lang w:val="en-US"/>
        </w:rPr>
        <w:t xml:space="preserve"> commune </w:t>
      </w:r>
      <w:proofErr w:type="spellStart"/>
      <w:r>
        <w:rPr>
          <w:rFonts w:cs="Times New Roman"/>
          <w:szCs w:val="24"/>
          <w:lang w:val="en-US"/>
        </w:rPr>
        <w:t>urbaine</w:t>
      </w:r>
      <w:proofErr w:type="spellEnd"/>
      <w:r>
        <w:rPr>
          <w:rFonts w:cs="Times New Roman"/>
          <w:szCs w:val="24"/>
          <w:lang w:val="en-US"/>
        </w:rPr>
        <w:t>" (P = 0.0000)</w:t>
      </w:r>
      <w:r>
        <w:rPr>
          <w:rFonts w:eastAsia="Times New Roman" w:cs="Times New Roman"/>
          <w:b/>
          <w:szCs w:val="24"/>
          <w:lang w:val="en-US" w:eastAsia="fr-FR"/>
        </w:rPr>
        <w:t>.</w:t>
      </w:r>
      <w:r>
        <w:rPr>
          <w:lang w:val="en-US"/>
        </w:rPr>
        <w:t xml:space="preserve"> </w:t>
      </w:r>
      <w:r>
        <w:rPr>
          <w:rFonts w:eastAsia="Times New Roman" w:cs="Times New Roman"/>
          <w:szCs w:val="24"/>
          <w:lang w:val="en-US" w:eastAsia="fr-FR"/>
        </w:rPr>
        <w:t>This may be due to the inaccessibility and non-availability of food, but also to the non-</w:t>
      </w:r>
      <w:r>
        <w:rPr>
          <w:rFonts w:eastAsia="Times New Roman" w:cs="Times New Roman"/>
          <w:szCs w:val="24"/>
          <w:lang w:val="en-US" w:eastAsia="fr-FR"/>
        </w:rPr>
        <w:lastRenderedPageBreak/>
        <w:t>consumption of household produce.</w:t>
      </w:r>
      <w:r>
        <w:rPr>
          <w:rFonts w:cs="Times New Roman"/>
          <w:szCs w:val="24"/>
          <w:lang w:val="en-US"/>
        </w:rPr>
        <w:t xml:space="preserve"> </w:t>
      </w:r>
      <w:r>
        <w:rPr>
          <w:rFonts w:eastAsia="Times New Roman" w:cs="Times New Roman"/>
          <w:szCs w:val="24"/>
          <w:lang w:val="en-US" w:eastAsia="fr-FR"/>
        </w:rPr>
        <w:t>These results are identical to those of other studies on infant and young child food consumption (</w:t>
      </w:r>
      <w:proofErr w:type="spellStart"/>
      <w:r>
        <w:rPr>
          <w:rFonts w:eastAsia="Times New Roman" w:cs="Times New Roman"/>
          <w:szCs w:val="24"/>
          <w:lang w:val="en-US" w:eastAsia="fr-FR"/>
        </w:rPr>
        <w:t>Jeannoda</w:t>
      </w:r>
      <w:proofErr w:type="spellEnd"/>
      <w:r>
        <w:rPr>
          <w:rFonts w:eastAsia="Times New Roman" w:cs="Times New Roman"/>
          <w:szCs w:val="24"/>
          <w:lang w:val="en-US" w:eastAsia="fr-FR"/>
        </w:rPr>
        <w:t xml:space="preserve"> et al., 2006; </w:t>
      </w:r>
      <w:proofErr w:type="spellStart"/>
      <w:r>
        <w:rPr>
          <w:rFonts w:eastAsia="Times New Roman" w:cs="Times New Roman"/>
          <w:szCs w:val="24"/>
          <w:lang w:val="en-US" w:eastAsia="fr-FR"/>
        </w:rPr>
        <w:t>Ouedraogo</w:t>
      </w:r>
      <w:proofErr w:type="spellEnd"/>
      <w:r>
        <w:rPr>
          <w:rFonts w:eastAsia="Times New Roman" w:cs="Times New Roman"/>
          <w:szCs w:val="24"/>
          <w:lang w:val="en-US" w:eastAsia="fr-FR"/>
        </w:rPr>
        <w:t xml:space="preserve"> et al., 2019; </w:t>
      </w:r>
      <w:proofErr w:type="spellStart"/>
      <w:r>
        <w:rPr>
          <w:rFonts w:eastAsia="Times New Roman" w:cs="Times New Roman"/>
          <w:szCs w:val="24"/>
          <w:lang w:val="en-US" w:eastAsia="fr-FR"/>
        </w:rPr>
        <w:t>Hien</w:t>
      </w:r>
      <w:proofErr w:type="spellEnd"/>
      <w:r>
        <w:rPr>
          <w:rFonts w:eastAsia="Times New Roman" w:cs="Times New Roman"/>
          <w:szCs w:val="24"/>
          <w:lang w:val="en-US" w:eastAsia="fr-FR"/>
        </w:rPr>
        <w:t xml:space="preserve"> et al., 2023) [21,22,20]. </w:t>
      </w:r>
      <w:r>
        <w:rPr>
          <w:rFonts w:cs="Times New Roman"/>
          <w:szCs w:val="24"/>
          <w:lang w:val="en-US"/>
        </w:rPr>
        <w:t>Inadequate food consumption among children living in low-income households compared to those in the wealthy class (P= 0.03)</w:t>
      </w:r>
      <w:r>
        <w:rPr>
          <w:rFonts w:eastAsia="Times New Roman" w:cs="Times New Roman"/>
          <w:b/>
          <w:szCs w:val="24"/>
          <w:lang w:val="en-US" w:eastAsia="fr-FR"/>
        </w:rPr>
        <w:t>.</w:t>
      </w:r>
      <w:r>
        <w:rPr>
          <w:rFonts w:cs="Times New Roman"/>
          <w:szCs w:val="24"/>
          <w:lang w:val="en-US"/>
        </w:rPr>
        <w:t xml:space="preserve"> This </w:t>
      </w:r>
      <w:proofErr w:type="gramStart"/>
      <w:r>
        <w:rPr>
          <w:rFonts w:cs="Times New Roman"/>
          <w:szCs w:val="24"/>
          <w:lang w:val="en-US"/>
        </w:rPr>
        <w:t>may be attributed</w:t>
      </w:r>
      <w:proofErr w:type="gramEnd"/>
      <w:r>
        <w:rPr>
          <w:rFonts w:cs="Times New Roman"/>
          <w:szCs w:val="24"/>
          <w:lang w:val="en-US"/>
        </w:rPr>
        <w:t xml:space="preserve"> to the fact that the poor are primarily concerned with the quantity of food, not its quality.</w:t>
      </w:r>
      <w:r>
        <w:rPr>
          <w:lang w:val="en-US"/>
        </w:rPr>
        <w:t xml:space="preserve"> </w:t>
      </w:r>
      <w:r>
        <w:rPr>
          <w:rFonts w:cs="Times New Roman"/>
          <w:szCs w:val="24"/>
          <w:lang w:val="en-US"/>
        </w:rPr>
        <w:t xml:space="preserve">These results are in agreement with those of </w:t>
      </w:r>
      <w:proofErr w:type="spellStart"/>
      <w:r>
        <w:rPr>
          <w:rFonts w:cs="Times New Roman"/>
          <w:szCs w:val="24"/>
          <w:lang w:val="en-US"/>
        </w:rPr>
        <w:t>Kouton</w:t>
      </w:r>
      <w:proofErr w:type="spellEnd"/>
      <w:r>
        <w:rPr>
          <w:rFonts w:cs="Times New Roman"/>
          <w:szCs w:val="24"/>
          <w:lang w:val="en-US"/>
        </w:rPr>
        <w:t xml:space="preserve"> et al. (2017), </w:t>
      </w:r>
      <w:proofErr w:type="spellStart"/>
      <w:r>
        <w:rPr>
          <w:rFonts w:cs="Times New Roman"/>
          <w:szCs w:val="24"/>
          <w:lang w:val="en-US"/>
        </w:rPr>
        <w:t>Ouologuem</w:t>
      </w:r>
      <w:proofErr w:type="spellEnd"/>
      <w:r>
        <w:rPr>
          <w:rFonts w:cs="Times New Roman"/>
          <w:szCs w:val="24"/>
          <w:lang w:val="en-US"/>
        </w:rPr>
        <w:t xml:space="preserve"> et al. (2017) and </w:t>
      </w:r>
      <w:proofErr w:type="spellStart"/>
      <w:r>
        <w:rPr>
          <w:rFonts w:cs="Times New Roman"/>
          <w:szCs w:val="24"/>
          <w:lang w:val="en-US"/>
        </w:rPr>
        <w:t>Ouedraogo</w:t>
      </w:r>
      <w:proofErr w:type="spellEnd"/>
      <w:r>
        <w:rPr>
          <w:rFonts w:cs="Times New Roman"/>
          <w:szCs w:val="24"/>
          <w:lang w:val="en-US"/>
        </w:rPr>
        <w:t xml:space="preserve"> et al. (2019)  which showed an association between food consumption and sources of income [</w:t>
      </w:r>
      <w:r>
        <w:rPr>
          <w:rFonts w:cs="Times New Roman"/>
          <w:szCs w:val="24"/>
        </w:rPr>
        <w:fldChar w:fldCharType="begin"/>
      </w:r>
      <w:r>
        <w:rPr>
          <w:rFonts w:cs="Times New Roman"/>
          <w:szCs w:val="24"/>
          <w:lang w:val="en-US"/>
        </w:rPr>
        <w:instrText xml:space="preserve"> ADDIN ZOTERO_ITEM CSL_CITATION {"citationID":"m0CLuoYT","properties":{"formattedCitation":"(2,22,23)","plainCitation":"(2,22,23)","noteIndex":0},"citationItems":[{"id":411,"uris":["http://zotero.org/users/local/JMNVudIT/items/86Z5DRJ6"],"itemData":{"id":411,"type":"article-journal","container-title":"Journal of Applied Biosciences","page":"10831–10840","source":"Google Scholar","title":"Caractérisation de l’alimentation des jeunes enfants âgés de 6 à 36 mois en milieu rural et urbain du Sud–Bénin","volume":"110","author":[{"family":"Kouton","given":"Sandrine E."},{"family":"Hounkpatin","given":"Waliou Amoussa"},{"family":"Ballogou","given":"Vénérande Y."},{"family":"Lokonon","given":"Jaurès H."},{"family":"Soumanou","given":"Mohamed M."}],"issued":{"date-parts":[["2017"]]}},"label":"page"},{"id":371,"uris":["http://zotero.org/users/local/JMNVudIT/items/UA9ET4WE"],"itemData":{"id":371,"type":"article-journal","container-title":"Journal of Nutrition and Food Security","source":"Google Scholar","title":"Determination and characterization of women, infants, and young children's dietary diversity in agricultural mitigation period of Burkina Faso","URL":"https://publish.kne-publishing.com/index.php/JNFS/article/view/774","author":[{"family":"Ouedraogo","given":"Ousmane"},{"family":"Compaore","given":"Ella WR"},{"family":"Amouzou","given":"Sabiba KE"},{"family":"Zeba","given":"Augustin N."},{"family":"Dicko","given":"Mamoudou H."}],"accessed":{"date-parts":[["2024",6,5]]},"issued":{"date-parts":[["2019"]]}},"label":"page"},{"id":25,"uris":["http://zotero.org/users/local/JMNVudIT/items/RBKS735Z"],"itemData":{"id":25,"type":"article-journal","note":"publisher: USTTB","source":"Google Scholar","title":"Profil de consommation alimentaire des ménages dans la région de Mopti en février 2016","author":[{"family":"Ouologuem","given":"TÉNIN"}],"issued":{"date-parts":[["2017"]]}},"label":"page"}],"schema":"https://github.com/citation-style-language/schema/raw/master/csl-citation.json"} </w:instrText>
      </w:r>
      <w:r>
        <w:rPr>
          <w:rFonts w:cs="Times New Roman"/>
          <w:szCs w:val="24"/>
        </w:rPr>
        <w:fldChar w:fldCharType="separate"/>
      </w:r>
      <w:r>
        <w:rPr>
          <w:rFonts w:cs="Times New Roman"/>
          <w:lang w:val="en-US"/>
        </w:rPr>
        <w:t>2,22,23</w:t>
      </w:r>
      <w:r>
        <w:rPr>
          <w:rFonts w:cs="Times New Roman"/>
          <w:szCs w:val="24"/>
        </w:rPr>
        <w:fldChar w:fldCharType="end"/>
      </w:r>
      <w:r>
        <w:rPr>
          <w:rFonts w:cs="Times New Roman"/>
          <w:szCs w:val="24"/>
          <w:lang w:val="en-US"/>
        </w:rPr>
        <w:t>].</w:t>
      </w:r>
      <w:r>
        <w:rPr>
          <w:rFonts w:eastAsia="Times New Roman" w:cs="Times New Roman"/>
          <w:szCs w:val="24"/>
          <w:lang w:val="en-US" w:eastAsia="fr-FR"/>
        </w:rPr>
        <w:t xml:space="preserve"> </w:t>
      </w:r>
      <w:r>
        <w:rPr>
          <w:rFonts w:cs="Times New Roman"/>
          <w:szCs w:val="24"/>
          <w:lang w:val="en-US"/>
        </w:rPr>
        <w:t xml:space="preserve">Children from educated mothers were more likely to have adequate food intake compared to uneducated (P = 0.03). This relationship </w:t>
      </w:r>
      <w:proofErr w:type="gramStart"/>
      <w:r>
        <w:rPr>
          <w:rFonts w:cs="Times New Roman"/>
          <w:szCs w:val="24"/>
          <w:lang w:val="en-US"/>
        </w:rPr>
        <w:t>could be attributed</w:t>
      </w:r>
      <w:proofErr w:type="gramEnd"/>
      <w:r>
        <w:rPr>
          <w:rFonts w:cs="Times New Roman"/>
          <w:szCs w:val="24"/>
          <w:lang w:val="en-US"/>
        </w:rPr>
        <w:t xml:space="preserve"> to the level of knowledge of mothers/</w:t>
      </w:r>
      <w:r w:rsidR="00832767">
        <w:t>g</w:t>
      </w:r>
      <w:proofErr w:type="spellStart"/>
      <w:r w:rsidR="00832767" w:rsidRPr="00832767">
        <w:rPr>
          <w:rFonts w:cs="Times New Roman"/>
          <w:szCs w:val="24"/>
          <w:lang w:val="en-US"/>
        </w:rPr>
        <w:t>uardian</w:t>
      </w:r>
      <w:proofErr w:type="spellEnd"/>
      <w:r w:rsidR="00832767" w:rsidRPr="00832767">
        <w:rPr>
          <w:rFonts w:cs="Times New Roman"/>
          <w:szCs w:val="24"/>
          <w:lang w:val="en-US"/>
        </w:rPr>
        <w:t xml:space="preserve"> </w:t>
      </w:r>
      <w:r>
        <w:rPr>
          <w:rFonts w:cs="Times New Roman"/>
          <w:szCs w:val="24"/>
          <w:lang w:val="en-US"/>
        </w:rPr>
        <w:t xml:space="preserve">about the importance of good nutrition on children’s health. These results are similar to those of </w:t>
      </w:r>
      <w:proofErr w:type="spellStart"/>
      <w:r>
        <w:rPr>
          <w:rFonts w:cs="Times New Roman"/>
          <w:szCs w:val="24"/>
          <w:lang w:val="en-US"/>
        </w:rPr>
        <w:t>Rhashid</w:t>
      </w:r>
      <w:proofErr w:type="spellEnd"/>
      <w:r>
        <w:rPr>
          <w:rFonts w:cs="Times New Roman"/>
          <w:szCs w:val="24"/>
          <w:lang w:val="en-US"/>
        </w:rPr>
        <w:t xml:space="preserve"> et al. </w:t>
      </w:r>
      <w:r>
        <w:rPr>
          <w:rFonts w:cs="Times New Roman"/>
          <w:szCs w:val="24"/>
        </w:rPr>
        <w:t xml:space="preserve">(2006); </w:t>
      </w:r>
      <w:proofErr w:type="spellStart"/>
      <w:r>
        <w:rPr>
          <w:rFonts w:cs="Times New Roman"/>
          <w:szCs w:val="24"/>
        </w:rPr>
        <w:t>Jeannoda</w:t>
      </w:r>
      <w:proofErr w:type="spellEnd"/>
      <w:r>
        <w:rPr>
          <w:rFonts w:cs="Times New Roman"/>
          <w:szCs w:val="24"/>
        </w:rPr>
        <w:t xml:space="preserve"> et al. (2006); Joshi et al. (2006)</w:t>
      </w:r>
      <w:proofErr w:type="gramStart"/>
      <w:r>
        <w:rPr>
          <w:rFonts w:cs="Times New Roman"/>
          <w:szCs w:val="24"/>
        </w:rPr>
        <w:t>;</w:t>
      </w:r>
      <w:proofErr w:type="gramEnd"/>
      <w:r>
        <w:rPr>
          <w:rFonts w:cs="Times New Roman"/>
          <w:szCs w:val="24"/>
        </w:rPr>
        <w:t xml:space="preserve"> </w:t>
      </w:r>
      <w:proofErr w:type="spellStart"/>
      <w:r>
        <w:rPr>
          <w:rFonts w:cs="Times New Roman"/>
          <w:szCs w:val="24"/>
        </w:rPr>
        <w:t>Kouton</w:t>
      </w:r>
      <w:proofErr w:type="spellEnd"/>
      <w:r>
        <w:rPr>
          <w:rFonts w:cs="Times New Roman"/>
          <w:szCs w:val="24"/>
        </w:rPr>
        <w:t xml:space="preserve"> et al.  (2017), </w:t>
      </w:r>
      <w:proofErr w:type="spellStart"/>
      <w:r>
        <w:rPr>
          <w:rFonts w:cs="Times New Roman"/>
          <w:szCs w:val="24"/>
        </w:rPr>
        <w:t>Ouologuem</w:t>
      </w:r>
      <w:proofErr w:type="spellEnd"/>
      <w:r>
        <w:rPr>
          <w:rFonts w:cs="Times New Roman"/>
          <w:szCs w:val="24"/>
        </w:rPr>
        <w:t xml:space="preserve"> et al. (2017) </w:t>
      </w:r>
      <w:r>
        <w:rPr>
          <w:rFonts w:eastAsia="Times New Roman" w:cs="Times New Roman"/>
          <w:szCs w:val="24"/>
          <w:lang w:eastAsia="fr-FR"/>
        </w:rPr>
        <w:t>[</w:t>
      </w:r>
      <w:r>
        <w:rPr>
          <w:rFonts w:cs="Times New Roman"/>
          <w:szCs w:val="24"/>
        </w:rPr>
        <w:fldChar w:fldCharType="begin"/>
      </w:r>
      <w:r>
        <w:rPr>
          <w:rFonts w:cs="Times New Roman"/>
          <w:szCs w:val="24"/>
        </w:rPr>
        <w:instrText xml:space="preserve"> ADDIN ZOTERO_ITEM CSL_CITATION {"citationID":"MvArRvy2","properties":{"formattedCitation":"(2,21,23\\uc0\\u8211{}25)","plainCitation":"(2,21,23–25)","noteIndex":0},"citationItems":[{"id":481,"uris":["http://zotero.org/users/local/JMNVudIT/items/PU2HVTDS"],"itemData":{"id":481,"type":"article-journal","source":"Google Scholar","title":"Elaboration et évaluation d'une stratégie d'amélioration de l'alimentation de complément des jeunes enfants à Brickaville","URL":"https://horizon.documentation.ird.fr/exl-doc/pleins_textes/divers17-11/010039371.pdf","author":[{"family":"JEANNODA","given":"Victor"},{"family":"RALISON","given":"Charlotte"},{"family":"TRECHE","given":"Docteur Serge"},{"family":"RAZANAMPARANY","given":"Louisette"},{"family":"RALAMBORANTO","given":"Laurence"},{"family":"ANDRIANARISOA","given":"Blandine"}],"accessed":{"date-parts":[["2024",7,5]]},"issued":{"date-parts":[["2006"]]}},"label":"page"},{"id":639,"uris":["http://zotero.org/users/local/JMNVudIT/items/EKQ8SXYS"],"itemData":{"id":639,"type":"article-journal","container-title":"Maternal &amp; child nutrition","note":"publisher: Wiley Online Library","page":"45–59","source":"Google Scholar","title":"Determinants of inappropriate complementary feeding practices in young children in Nepal: secondary data analysis of Demographic and Health Survey 2006","title-short":"Determinants of inappropriate complementary feeding practices in young children in Nepal","volume":"8","author":[{"family":"Joshi","given":"Nira"},{"family":"Agho","given":"Kingsley E."},{"family":"Dibley","given":"Michael J."},{"family":"Senarath","given":"Upul"},{"family":"Tiwari","given":"Kalpana"}],"issued":{"date-parts":[["2012"]]}},"label":"page"},{"id":411,"uris":["http://zotero.org/users/local/JMNVudIT/items/86Z5DRJ6"],"itemData":{"id":411,"type":"article-journal","container-title":"Journal </w:instrText>
      </w:r>
      <w:r>
        <w:rPr>
          <w:rFonts w:cs="Times New Roman"/>
          <w:szCs w:val="24"/>
          <w:lang w:val="en-US"/>
        </w:rPr>
        <w:instrText xml:space="preserve">of Applied Biosciences","page":"10831–10840","source":"Google Scholar","title":"Caractérisation de l’alimentation des jeunes enfants âgés de 6 à 36 mois en milieu rural et urbain du Sud–Bénin","volume":"110","author":[{"family":"Kouton","given":"Sandrine E."},{"family":"Hounkpatin","given":"Waliou Amoussa"},{"family":"Ballogou","given":"Vénérande Y."},{"family":"Lokonon","given":"Jaurès H."},{"family":"Soumanou","given":"Mohamed M."}],"issued":{"date-parts":[["2017"]]}},"label":"page"},{"id":25,"uris":["http://zotero.org/users/local/JMNVudIT/items/RBKS735Z"],"itemData":{"id":25,"type":"article-journal","note":"publisher: USTTB","source":"Google Scholar","title":"Profil de consommation alimentaire des ménages dans la région de Mopti en février 2016","author":[{"family":"Ouologuem","given":"TÉNIN"}],"issued":{"date-parts":[["2017"]]}},"label":"page"},{"id":498,"uris":["http://zotero.org/users/local/JMNVudIT/items/FZ897IW2"],"itemData":{"id":498,"type":"article-journal","source":"Google Scholar","title":"Determinants of Dietary Quality: Evidence from Bangladesh","title-short":"Determinants of Dietary Quality","URL":"https://www.academia.edu/download/82418906/sp06ra11.pdf","author":[{"family":"Rashid","given":"Dewan Arif"},{"family":"Smith","given":"Lisa"},{"family":"Rahman","given":"Tauhidur"}],"accessed":{"date-parts":[["2024",7,24]]},"issued":{"date-parts":[["2006"]]}},"label":"page"}],"schema":"https://github.com/citation-style-language/schema/raw/master/csl-citation.json"} </w:instrText>
      </w:r>
      <w:r>
        <w:rPr>
          <w:rFonts w:cs="Times New Roman"/>
          <w:szCs w:val="24"/>
        </w:rPr>
        <w:fldChar w:fldCharType="separate"/>
      </w:r>
      <w:r>
        <w:rPr>
          <w:rFonts w:cs="Times New Roman"/>
          <w:szCs w:val="24"/>
          <w:lang w:val="en-US"/>
        </w:rPr>
        <w:t>2,21,23,25</w:t>
      </w:r>
      <w:r>
        <w:rPr>
          <w:rFonts w:cs="Times New Roman"/>
          <w:szCs w:val="24"/>
        </w:rPr>
        <w:fldChar w:fldCharType="end"/>
      </w:r>
      <w:r>
        <w:rPr>
          <w:rFonts w:cs="Times New Roman"/>
          <w:szCs w:val="24"/>
          <w:lang w:val="en-US"/>
        </w:rPr>
        <w:t>]. Inadequate food intake was found for children living in households with large numbers of children aged 6-59 months (P = 0.03) compared to households with small numbers</w:t>
      </w:r>
      <w:r>
        <w:rPr>
          <w:rFonts w:cs="Times New Roman"/>
          <w:b/>
          <w:szCs w:val="24"/>
          <w:lang w:val="en-US"/>
        </w:rPr>
        <w:t>.</w:t>
      </w:r>
      <w:r>
        <w:rPr>
          <w:rFonts w:cs="Times New Roman"/>
          <w:lang w:val="en-US"/>
        </w:rPr>
        <w:t xml:space="preserve"> Children living in households where agriculture, livestock farming or gardening is </w:t>
      </w:r>
      <w:proofErr w:type="spellStart"/>
      <w:r>
        <w:rPr>
          <w:rFonts w:cs="Times New Roman"/>
          <w:lang w:val="en-US"/>
        </w:rPr>
        <w:t>practised</w:t>
      </w:r>
      <w:proofErr w:type="spellEnd"/>
      <w:r>
        <w:rPr>
          <w:rFonts w:cs="Times New Roman"/>
          <w:lang w:val="en-US"/>
        </w:rPr>
        <w:t xml:space="preserve"> were more likely to have adequate food intake (P 0.001). </w:t>
      </w:r>
      <w:r>
        <w:rPr>
          <w:rFonts w:cs="Times New Roman"/>
          <w:szCs w:val="24"/>
          <w:lang w:val="en-US"/>
        </w:rPr>
        <w:t xml:space="preserve">These results are corroborated by those of </w:t>
      </w:r>
      <w:proofErr w:type="spellStart"/>
      <w:r>
        <w:rPr>
          <w:rFonts w:cs="Times New Roman"/>
          <w:szCs w:val="24"/>
          <w:lang w:val="en-US"/>
        </w:rPr>
        <w:t>Bougma</w:t>
      </w:r>
      <w:proofErr w:type="spellEnd"/>
      <w:r>
        <w:rPr>
          <w:rFonts w:cs="Times New Roman"/>
          <w:szCs w:val="24"/>
          <w:lang w:val="en-US"/>
        </w:rPr>
        <w:t xml:space="preserve"> et al., (2022) concerning the number of children [</w:t>
      </w:r>
      <w:r>
        <w:rPr>
          <w:rFonts w:cs="Times New Roman"/>
          <w:szCs w:val="24"/>
        </w:rPr>
        <w:fldChar w:fldCharType="begin"/>
      </w:r>
      <w:r>
        <w:rPr>
          <w:rFonts w:cs="Times New Roman"/>
          <w:szCs w:val="24"/>
          <w:lang w:val="en-US"/>
        </w:rPr>
        <w:instrText xml:space="preserve"> ADDIN ZOTERO_ITEM CSL_CITATION {"citationID":"lhH6iynU","properties":{"formattedCitation":"(4)","plainCitation":"(4)","noteIndex":0},"citationItems":[{"id":396,"uris":["http://zotero.org/users/local/JMNVudIT/items/9A2VECVD"],"itemData":{"id":396,"type":"article-journal","container-title":"African Journal of Food, Agriculture, Nutrition and Development","issue":"10","page":"22017–22040","source":"Google Scholar","title":"Sociodemographic characteristics of mothers and complementary feeding practices among children aged 6 to 23 months in north-central Burkina Faso","volume":"22","author":[{"family":"Bougma","given":"Sibiri"},{"family":"Hama-ba","given":"Fatoumata"},{"family":"Garanet","given":"Franck"},{"family":"Savadogo","given":"Aly"}],"issued":{"date-parts":[["2022"]]}}}],"schema":"https://github.com/citation-style-language/schema/raw/master/csl-citation.json"} </w:instrText>
      </w:r>
      <w:r>
        <w:rPr>
          <w:rFonts w:cs="Times New Roman"/>
          <w:szCs w:val="24"/>
        </w:rPr>
        <w:fldChar w:fldCharType="separate"/>
      </w:r>
      <w:r>
        <w:rPr>
          <w:rFonts w:cs="Times New Roman"/>
          <w:lang w:val="en-US"/>
        </w:rPr>
        <w:t>4</w:t>
      </w:r>
      <w:r>
        <w:rPr>
          <w:rFonts w:cs="Times New Roman"/>
          <w:szCs w:val="24"/>
        </w:rPr>
        <w:fldChar w:fldCharType="end"/>
      </w:r>
      <w:r>
        <w:rPr>
          <w:rFonts w:cs="Times New Roman"/>
          <w:szCs w:val="24"/>
          <w:lang w:val="en-US"/>
        </w:rPr>
        <w:t>].</w:t>
      </w:r>
    </w:p>
    <w:p w:rsidR="00CC7802" w:rsidRDefault="00762192">
      <w:pPr>
        <w:spacing w:line="360" w:lineRule="auto"/>
        <w:ind w:firstLine="142"/>
        <w:jc w:val="both"/>
        <w:rPr>
          <w:rFonts w:eastAsia="Times New Roman" w:cs="Times New Roman"/>
          <w:szCs w:val="24"/>
          <w:highlight w:val="yellow"/>
          <w:lang w:val="en-US" w:eastAsia="fr-FR"/>
        </w:rPr>
      </w:pPr>
      <w:r>
        <w:rPr>
          <w:rFonts w:cs="Times New Roman"/>
          <w:szCs w:val="24"/>
          <w:lang w:val="en-US"/>
        </w:rPr>
        <w:t xml:space="preserve">After adjustment, the logistic regression results showed a significant association between mother/guardian and household sociodemographic characteristics and children’s food consumption. Children living in the </w:t>
      </w:r>
      <w:proofErr w:type="spellStart"/>
      <w:r>
        <w:rPr>
          <w:rFonts w:cs="Times New Roman"/>
          <w:szCs w:val="24"/>
          <w:lang w:val="en-US"/>
        </w:rPr>
        <w:t>Dosso</w:t>
      </w:r>
      <w:proofErr w:type="spellEnd"/>
      <w:r>
        <w:rPr>
          <w:rFonts w:cs="Times New Roman"/>
          <w:szCs w:val="24"/>
          <w:lang w:val="en-US"/>
        </w:rPr>
        <w:t xml:space="preserve"> vegetable area are at risk of inadequate food intake compared to children in the </w:t>
      </w:r>
      <w:proofErr w:type="spellStart"/>
      <w:r>
        <w:rPr>
          <w:rFonts w:cs="Times New Roman"/>
          <w:szCs w:val="24"/>
          <w:lang w:val="en-US"/>
        </w:rPr>
        <w:t>Tillabéri</w:t>
      </w:r>
      <w:proofErr w:type="spellEnd"/>
      <w:r>
        <w:rPr>
          <w:rFonts w:cs="Times New Roman"/>
          <w:szCs w:val="24"/>
          <w:lang w:val="en-US"/>
        </w:rPr>
        <w:t xml:space="preserve"> </w:t>
      </w:r>
      <w:r w:rsidR="00060DA8">
        <w:rPr>
          <w:rFonts w:cs="Times New Roman"/>
          <w:szCs w:val="24"/>
          <w:lang w:val="en-US"/>
        </w:rPr>
        <w:t xml:space="preserve">horticulture </w:t>
      </w:r>
      <w:r>
        <w:rPr>
          <w:rFonts w:cs="Times New Roman"/>
          <w:szCs w:val="24"/>
          <w:lang w:val="en-US"/>
        </w:rPr>
        <w:t xml:space="preserve">area, "commune de </w:t>
      </w:r>
      <w:proofErr w:type="spellStart"/>
      <w:r>
        <w:rPr>
          <w:rFonts w:cs="Times New Roman"/>
          <w:szCs w:val="24"/>
          <w:lang w:val="en-US"/>
        </w:rPr>
        <w:t>Liboré</w:t>
      </w:r>
      <w:proofErr w:type="spellEnd"/>
      <w:r>
        <w:rPr>
          <w:rFonts w:cs="Times New Roman"/>
          <w:szCs w:val="24"/>
          <w:lang w:val="en-US"/>
        </w:rPr>
        <w:t>" (adjusted OR [CI 95%] = 5.33 [1.69-16.83]; P = 0.004). This may be due to the availability and accessibility of food for children due to the proximity of the municipality with the capital, Niamey, the geographical location of the area, but also it is a riverside municipality of the Niger River.</w:t>
      </w:r>
      <w:r>
        <w:rPr>
          <w:rFonts w:eastAsia="Times New Roman" w:cs="Times New Roman"/>
          <w:szCs w:val="24"/>
          <w:lang w:val="en-US" w:eastAsia="fr-FR"/>
        </w:rPr>
        <w:t xml:space="preserve"> </w:t>
      </w:r>
      <w:r>
        <w:rPr>
          <w:rFonts w:cs="Times New Roman"/>
          <w:szCs w:val="24"/>
          <w:lang w:val="en-US"/>
        </w:rPr>
        <w:t>Food consumption was acceptable for children living in the non-</w:t>
      </w:r>
      <w:r w:rsidR="00060DA8">
        <w:rPr>
          <w:rFonts w:cs="Times New Roman"/>
          <w:szCs w:val="24"/>
          <w:lang w:val="en-US"/>
        </w:rPr>
        <w:t xml:space="preserve">market </w:t>
      </w:r>
      <w:r>
        <w:rPr>
          <w:rFonts w:cs="Times New Roman"/>
          <w:szCs w:val="24"/>
          <w:lang w:val="en-US"/>
        </w:rPr>
        <w:t>garden</w:t>
      </w:r>
      <w:r w:rsidR="00060DA8">
        <w:rPr>
          <w:rFonts w:cs="Times New Roman"/>
          <w:szCs w:val="24"/>
          <w:lang w:val="en-US"/>
        </w:rPr>
        <w:t>er</w:t>
      </w:r>
      <w:r>
        <w:rPr>
          <w:rFonts w:cs="Times New Roman"/>
          <w:szCs w:val="24"/>
          <w:lang w:val="en-US"/>
        </w:rPr>
        <w:t xml:space="preserve"> zone </w:t>
      </w:r>
      <w:proofErr w:type="gramStart"/>
      <w:r>
        <w:rPr>
          <w:rFonts w:cs="Times New Roman"/>
          <w:szCs w:val="24"/>
          <w:lang w:val="en-US"/>
        </w:rPr>
        <w:t>" Urban</w:t>
      </w:r>
      <w:proofErr w:type="gramEnd"/>
      <w:r>
        <w:rPr>
          <w:rFonts w:cs="Times New Roman"/>
          <w:szCs w:val="24"/>
          <w:lang w:val="en-US"/>
        </w:rPr>
        <w:t xml:space="preserve"> </w:t>
      </w:r>
      <w:proofErr w:type="spellStart"/>
      <w:r>
        <w:rPr>
          <w:rFonts w:cs="Times New Roman"/>
          <w:szCs w:val="24"/>
          <w:lang w:val="en-US"/>
        </w:rPr>
        <w:t>Dosso</w:t>
      </w:r>
      <w:proofErr w:type="spellEnd"/>
      <w:r>
        <w:rPr>
          <w:rFonts w:cs="Times New Roman"/>
          <w:szCs w:val="24"/>
          <w:lang w:val="en-US"/>
        </w:rPr>
        <w:t xml:space="preserve"> " (adjusted OR [95%CI] = 4.34 [1.24-15.18]; P= 0.022) compared to those in the rural </w:t>
      </w:r>
      <w:proofErr w:type="spellStart"/>
      <w:r>
        <w:rPr>
          <w:rFonts w:cs="Times New Roman"/>
          <w:szCs w:val="24"/>
          <w:lang w:val="en-US"/>
        </w:rPr>
        <w:t>Dosso</w:t>
      </w:r>
      <w:proofErr w:type="spellEnd"/>
      <w:r>
        <w:rPr>
          <w:rFonts w:cs="Times New Roman"/>
          <w:szCs w:val="24"/>
          <w:lang w:val="en-US"/>
        </w:rPr>
        <w:t xml:space="preserve"> ". This is in agreement with those of </w:t>
      </w:r>
      <w:proofErr w:type="spellStart"/>
      <w:r>
        <w:rPr>
          <w:rFonts w:cs="Times New Roman"/>
          <w:szCs w:val="24"/>
          <w:lang w:val="en-US"/>
        </w:rPr>
        <w:t>Bougma</w:t>
      </w:r>
      <w:proofErr w:type="spellEnd"/>
      <w:r>
        <w:rPr>
          <w:rFonts w:cs="Times New Roman"/>
          <w:szCs w:val="24"/>
          <w:lang w:val="en-US"/>
        </w:rPr>
        <w:t xml:space="preserve"> et al. (2022) in their study in the north </w:t>
      </w:r>
      <w:proofErr w:type="spellStart"/>
      <w:r>
        <w:rPr>
          <w:rFonts w:cs="Times New Roman"/>
          <w:szCs w:val="24"/>
          <w:lang w:val="en-US"/>
        </w:rPr>
        <w:t>centre</w:t>
      </w:r>
      <w:proofErr w:type="spellEnd"/>
      <w:r>
        <w:rPr>
          <w:rFonts w:cs="Times New Roman"/>
          <w:szCs w:val="24"/>
          <w:lang w:val="en-US"/>
        </w:rPr>
        <w:t xml:space="preserve"> of Burkina Faso (OR = 2.8 and IC = 1.28-3.85), where they found a minimum acceptable diet for children living in urban areas compared to rural areas [</w:t>
      </w:r>
      <w:r>
        <w:rPr>
          <w:rFonts w:cs="Times New Roman"/>
          <w:szCs w:val="24"/>
        </w:rPr>
        <w:fldChar w:fldCharType="begin"/>
      </w:r>
      <w:r>
        <w:rPr>
          <w:rFonts w:cs="Times New Roman"/>
          <w:szCs w:val="24"/>
          <w:lang w:val="en-US"/>
        </w:rPr>
        <w:instrText xml:space="preserve"> ADDIN ZOTERO_ITEM CSL_CITATION {"citationID":"6bqoSFEy","properties":{"formattedCitation":"(4)","plainCitation":"(4)","noteIndex":0},"citationItems":[{"id":396,"uris":["http://zotero.org/users/local/JMNVudIT/items/9A2VECVD"],"itemData":{"id":396,"type":"article-journal","container-title":"African Journal of Food, Agriculture, Nutrition and Development","issue":"10","page":"22017–22040","source":"Google Scholar","title":"Sociodemographic characteristics of mothers and complementary feeding practices among children aged 6 to 23 months in north-central Burkina Faso","volume":"22","author":[{"family":"Bougma","given":"Sibiri"},{"family":"Hama-ba","given":"Fatoumata"},{"family":"Garanet","given":"Franck"},{"family":"Savadogo","given":"Aly"}],"issued":{"date-parts":[["2022"]]}}}],"schema":"https://github.com/citation-style-language/schema/raw/master/csl-citation.json"} </w:instrText>
      </w:r>
      <w:r>
        <w:rPr>
          <w:rFonts w:cs="Times New Roman"/>
          <w:szCs w:val="24"/>
        </w:rPr>
        <w:fldChar w:fldCharType="separate"/>
      </w:r>
      <w:r>
        <w:rPr>
          <w:rFonts w:cs="Times New Roman"/>
          <w:lang w:val="en-US"/>
        </w:rPr>
        <w:t>4</w:t>
      </w:r>
      <w:r>
        <w:rPr>
          <w:rFonts w:cs="Times New Roman"/>
          <w:szCs w:val="24"/>
        </w:rPr>
        <w:fldChar w:fldCharType="end"/>
      </w:r>
      <w:r>
        <w:rPr>
          <w:rFonts w:cs="Times New Roman"/>
          <w:szCs w:val="24"/>
          <w:lang w:val="en-US"/>
        </w:rPr>
        <w:t xml:space="preserve">]. This is different from the finding of </w:t>
      </w:r>
      <w:proofErr w:type="spellStart"/>
      <w:r>
        <w:rPr>
          <w:rFonts w:cs="Times New Roman"/>
          <w:szCs w:val="24"/>
          <w:lang w:val="en-US"/>
        </w:rPr>
        <w:t>Kouton</w:t>
      </w:r>
      <w:proofErr w:type="spellEnd"/>
      <w:r>
        <w:rPr>
          <w:rFonts w:cs="Times New Roman"/>
          <w:szCs w:val="24"/>
          <w:lang w:val="en-US"/>
        </w:rPr>
        <w:t xml:space="preserve"> et al. (2017), where they found an inadequate complementary feeding practice in urban versus rural settings [</w:t>
      </w:r>
      <w:r>
        <w:rPr>
          <w:rFonts w:cs="Times New Roman"/>
          <w:szCs w:val="24"/>
        </w:rPr>
        <w:fldChar w:fldCharType="begin"/>
      </w:r>
      <w:r>
        <w:rPr>
          <w:rFonts w:cs="Times New Roman"/>
          <w:szCs w:val="24"/>
          <w:lang w:val="en-US"/>
        </w:rPr>
        <w:instrText xml:space="preserve"> ADDIN ZOTERO_ITEM CSL_CITATION {"citationID":"DCkMpXVa","properties":{"formattedCitation":"(2)","plainCitation":"(2)","noteIndex":0},"citationItems":[{"id":411,"uris":["http://zotero.org/users/local/JMNVudIT/items/86Z5DRJ6"],"itemData":{"id":411,"type":"article-journal","container-title":"Journal of Applied Biosciences","page":"10831–10840","source":"Google Scholar","title":"Caractérisation de l’alimentation des jeunes enfants âgés de 6 à 36 mois en milieu rural et urbain du Sud–Bénin","volume":"110","author":[{"family":"Kouton","given":"Sandrine E."},{"family":"Hounkpatin","given":"Waliou Amoussa"},{"family":"Ballogou","given":"Vénérande Y."},{"family":"Lokonon","given":"Jaurès H."},{"family":"Soumanou","given":"Mohamed M."}],"issued":{"date-parts":[["2017"]]}}}],"schema":"https://github.com/citation-style-language/schema/raw/master/csl-citation.json"} </w:instrText>
      </w:r>
      <w:r>
        <w:rPr>
          <w:rFonts w:cs="Times New Roman"/>
          <w:szCs w:val="24"/>
        </w:rPr>
        <w:fldChar w:fldCharType="separate"/>
      </w:r>
      <w:r>
        <w:rPr>
          <w:rFonts w:cs="Times New Roman"/>
          <w:lang w:val="en-US"/>
        </w:rPr>
        <w:t>2</w:t>
      </w:r>
      <w:r>
        <w:rPr>
          <w:rFonts w:cs="Times New Roman"/>
          <w:szCs w:val="24"/>
        </w:rPr>
        <w:fldChar w:fldCharType="end"/>
      </w:r>
      <w:r>
        <w:rPr>
          <w:rFonts w:cs="Times New Roman"/>
          <w:szCs w:val="24"/>
          <w:lang w:val="en-US"/>
        </w:rPr>
        <w:t>].</w:t>
      </w:r>
      <w:r>
        <w:rPr>
          <w:rFonts w:eastAsia="Times New Roman" w:cs="Times New Roman"/>
          <w:szCs w:val="24"/>
          <w:lang w:val="en-US" w:eastAsia="fr-FR"/>
        </w:rPr>
        <w:t xml:space="preserve"> </w:t>
      </w:r>
      <w:r>
        <w:rPr>
          <w:rFonts w:cs="Times New Roman"/>
          <w:szCs w:val="24"/>
          <w:lang w:val="en-US"/>
        </w:rPr>
        <w:t xml:space="preserve">Children from mothers with primary education are more likely to have acceptable food intake (adjusted OR [95%CI] = 4.61 [1.58-13.45]; P = 0.005). This is in agreement with that of </w:t>
      </w:r>
      <w:proofErr w:type="spellStart"/>
      <w:r>
        <w:rPr>
          <w:rFonts w:cs="Times New Roman"/>
          <w:szCs w:val="24"/>
          <w:lang w:val="en-US"/>
        </w:rPr>
        <w:t>Ouologuem</w:t>
      </w:r>
      <w:proofErr w:type="spellEnd"/>
      <w:r>
        <w:rPr>
          <w:rFonts w:cs="Times New Roman"/>
          <w:szCs w:val="24"/>
          <w:lang w:val="en-US"/>
        </w:rPr>
        <w:t xml:space="preserve"> et al. (2017) who found that educated people have adequate </w:t>
      </w:r>
      <w:r>
        <w:rPr>
          <w:rFonts w:cs="Times New Roman"/>
          <w:szCs w:val="24"/>
          <w:lang w:val="en-US"/>
        </w:rPr>
        <w:lastRenderedPageBreak/>
        <w:t>food intake compared to uneducated (OR = 0.916 and IC = 0.886-0.946) [</w:t>
      </w:r>
      <w:r>
        <w:rPr>
          <w:rFonts w:cs="Times New Roman"/>
          <w:szCs w:val="24"/>
        </w:rPr>
        <w:fldChar w:fldCharType="begin"/>
      </w:r>
      <w:r>
        <w:rPr>
          <w:rFonts w:cs="Times New Roman"/>
          <w:szCs w:val="24"/>
          <w:lang w:val="en-US"/>
        </w:rPr>
        <w:instrText xml:space="preserve"> ADDIN ZOTERO_ITEM CSL_CITATION {"citationID":"kwyJO31F","properties":{"formattedCitation":"(23)","plainCitation":"(23)","noteIndex":0},"citationItems":[{"id":25,"uris":["http://zotero.org/users/local/JMNVudIT/items/RBKS735Z"],"itemData":{"id":25,"type":"article-journal","note":"publisher: USTTB","source":"Google Scholar","title":"Profil de consommation alimentaire des ménages dans la région de Mopti en février 2016","author":[{"family":"Ouologuem","given":"TÉNIN"}],"issued":{"date-parts":[["2017"]]}}}],"schema":"https://github.com/citation-style-language/schema/raw/master/csl-citation.json"} </w:instrText>
      </w:r>
      <w:r>
        <w:rPr>
          <w:rFonts w:cs="Times New Roman"/>
          <w:szCs w:val="24"/>
        </w:rPr>
        <w:fldChar w:fldCharType="separate"/>
      </w:r>
      <w:r>
        <w:rPr>
          <w:rFonts w:cs="Times New Roman"/>
          <w:lang w:val="en-US"/>
        </w:rPr>
        <w:t>23</w:t>
      </w:r>
      <w:r>
        <w:rPr>
          <w:rFonts w:cs="Times New Roman"/>
          <w:szCs w:val="24"/>
        </w:rPr>
        <w:fldChar w:fldCharType="end"/>
      </w:r>
      <w:r>
        <w:rPr>
          <w:rFonts w:cs="Times New Roman"/>
          <w:szCs w:val="24"/>
          <w:lang w:val="en-US"/>
        </w:rPr>
        <w:t xml:space="preserve">]. This finding is in disagreement with that of </w:t>
      </w:r>
      <w:proofErr w:type="spellStart"/>
      <w:r>
        <w:rPr>
          <w:rFonts w:cs="Times New Roman"/>
          <w:szCs w:val="24"/>
          <w:lang w:val="en-US"/>
        </w:rPr>
        <w:t>Jeannoda</w:t>
      </w:r>
      <w:proofErr w:type="spellEnd"/>
      <w:r>
        <w:rPr>
          <w:rFonts w:cs="Times New Roman"/>
          <w:szCs w:val="24"/>
          <w:lang w:val="en-US"/>
        </w:rPr>
        <w:t xml:space="preserve"> et al. (2006) who found that children benefiting from better feeding practices are those born to mothers who have a secondary or higher education level</w:t>
      </w:r>
      <w:r>
        <w:rPr>
          <w:rFonts w:cs="Times New Roman"/>
          <w:szCs w:val="24"/>
          <w:highlight w:val="yellow"/>
          <w:lang w:val="en-US"/>
        </w:rPr>
        <w:t xml:space="preserve"> [</w:t>
      </w:r>
      <w:r>
        <w:rPr>
          <w:rFonts w:cs="Times New Roman"/>
          <w:szCs w:val="24"/>
          <w:highlight w:val="yellow"/>
        </w:rPr>
        <w:fldChar w:fldCharType="begin"/>
      </w:r>
      <w:r>
        <w:rPr>
          <w:rFonts w:cs="Times New Roman"/>
          <w:szCs w:val="24"/>
          <w:highlight w:val="yellow"/>
          <w:lang w:val="en-US"/>
        </w:rPr>
        <w:instrText xml:space="preserve"> ADDIN ZOTERO_ITEM CSL_CITATION {"citationID":"eHYlHPlo","properties":{"formattedCitation":"(21)","plainCitation":"(21)","noteIndex":0},"citationItems":[{"id":481,"uris":["http://zotero.org/users/local/JMNVudIT/items/PU2HVTDS"],"itemData":{"id":481,"type":"article-journal","source":"Google Scholar","title":"Elaboration et évaluation d'une stratégie d'amélioration de l'alimentation de complément des jeunes enfants à Brickaville","URL":"https://horizon.documentation.ird.fr/exl-doc/pleins_textes/divers17-11/010039371.pdf","author":[{"family":"JEANNODA","given":"Victor"},{"family":"RALISON","given":"Charlotte"},{"family":"TRECHE","given":"Docteur Serge"},{"family":"RAZANAMPARANY","given":"Louisette"},{"family":"RALAMBORANTO","given":"Laurence"},{"family":"ANDRIANARISOA","given":"Blandine"}],"accessed":{"date-parts":[["2024",7,5]]},"issued":{"date-parts":[["2006"]]}}}],"schema":"https://github.com/citation-style-language/schema/raw/master/csl-citation.json"} </w:instrText>
      </w:r>
      <w:r>
        <w:rPr>
          <w:rFonts w:cs="Times New Roman"/>
          <w:szCs w:val="24"/>
          <w:highlight w:val="yellow"/>
        </w:rPr>
        <w:fldChar w:fldCharType="separate"/>
      </w:r>
      <w:r>
        <w:rPr>
          <w:rFonts w:cs="Times New Roman"/>
          <w:highlight w:val="yellow"/>
          <w:lang w:val="en-US"/>
        </w:rPr>
        <w:t>21</w:t>
      </w:r>
      <w:r>
        <w:rPr>
          <w:rFonts w:cs="Times New Roman"/>
          <w:szCs w:val="24"/>
          <w:highlight w:val="yellow"/>
        </w:rPr>
        <w:fldChar w:fldCharType="end"/>
      </w:r>
      <w:r>
        <w:rPr>
          <w:rFonts w:cs="Times New Roman"/>
          <w:szCs w:val="24"/>
          <w:highlight w:val="yellow"/>
        </w:rPr>
        <w:t>; 26;27</w:t>
      </w:r>
      <w:r>
        <w:rPr>
          <w:rFonts w:cs="Times New Roman"/>
          <w:szCs w:val="24"/>
          <w:highlight w:val="yellow"/>
          <w:lang w:val="en-US"/>
        </w:rPr>
        <w:t>].</w:t>
      </w:r>
    </w:p>
    <w:p w:rsidR="00CC7802" w:rsidRDefault="00762192">
      <w:pPr>
        <w:pStyle w:val="Paragraphedeliste"/>
        <w:numPr>
          <w:ilvl w:val="0"/>
          <w:numId w:val="6"/>
        </w:numPr>
        <w:spacing w:line="360" w:lineRule="auto"/>
        <w:jc w:val="both"/>
        <w:rPr>
          <w:rFonts w:cs="Times New Roman"/>
          <w:b/>
          <w:szCs w:val="24"/>
        </w:rPr>
      </w:pPr>
      <w:r>
        <w:rPr>
          <w:rFonts w:cs="Times New Roman"/>
          <w:b/>
          <w:szCs w:val="24"/>
        </w:rPr>
        <w:t>CONCLUSION</w:t>
      </w:r>
    </w:p>
    <w:p w:rsidR="00CC7802" w:rsidRDefault="00762192">
      <w:pPr>
        <w:pStyle w:val="NormalWeb"/>
        <w:spacing w:line="360" w:lineRule="auto"/>
        <w:jc w:val="both"/>
        <w:rPr>
          <w:lang w:val="en-US"/>
        </w:rPr>
      </w:pPr>
      <w:r>
        <w:rPr>
          <w:lang w:val="en-US"/>
        </w:rPr>
        <w:t xml:space="preserve">The analysis shows that cereals are generally the staple food for all children. Most children have an acceptable ACS (Acceptable Consumption Score). Socio-demographic factors of the mother/guardian and household, such as geographical location, the mother's low level of education, source of income, and the practice of agriculture, livestock farming, or gardening, positively influence children's food consumption. The nature of the area and the level of education </w:t>
      </w:r>
      <w:proofErr w:type="gramStart"/>
      <w:r>
        <w:rPr>
          <w:lang w:val="en-US"/>
        </w:rPr>
        <w:t>are strongly correlated</w:t>
      </w:r>
      <w:proofErr w:type="gramEnd"/>
      <w:r>
        <w:rPr>
          <w:lang w:val="en-US"/>
        </w:rPr>
        <w:t xml:space="preserve"> with adequate food intake. There is a need to strengthen awareness activities for behavior change among </w:t>
      </w:r>
      <w:r w:rsidR="00832767">
        <w:rPr>
          <w:lang w:val="en-US"/>
        </w:rPr>
        <w:t xml:space="preserve">mothers and </w:t>
      </w:r>
      <w:r w:rsidR="00832767" w:rsidRPr="00832767">
        <w:rPr>
          <w:lang w:val="en-US"/>
        </w:rPr>
        <w:t xml:space="preserve">guardian </w:t>
      </w:r>
      <w:r>
        <w:rPr>
          <w:lang w:val="en-US"/>
        </w:rPr>
        <w:t xml:space="preserve">regarding good feeding practices to improve children's nutrition. </w:t>
      </w:r>
    </w:p>
    <w:p w:rsidR="00CC7802" w:rsidRDefault="00762192">
      <w:pPr>
        <w:spacing w:line="276" w:lineRule="auto"/>
        <w:ind w:firstLine="360"/>
        <w:jc w:val="both"/>
        <w:rPr>
          <w:rFonts w:cs="Times New Roman"/>
          <w:bCs/>
          <w:szCs w:val="24"/>
          <w:lang w:val="en-US"/>
        </w:rPr>
      </w:pPr>
      <w:r>
        <w:rPr>
          <w:rFonts w:cs="Times New Roman"/>
          <w:szCs w:val="24"/>
          <w:lang w:val="en-US"/>
        </w:rPr>
        <w:t>.</w:t>
      </w:r>
    </w:p>
    <w:p w:rsidR="00CC7802" w:rsidRDefault="00762192">
      <w:pPr>
        <w:spacing w:line="276" w:lineRule="auto"/>
        <w:jc w:val="both"/>
        <w:rPr>
          <w:rFonts w:cs="Times New Roman"/>
          <w:b/>
          <w:bCs/>
          <w:szCs w:val="24"/>
          <w:lang w:val="en-US"/>
        </w:rPr>
      </w:pPr>
      <w:r>
        <w:rPr>
          <w:rFonts w:cs="Times New Roman"/>
          <w:b/>
          <w:bCs/>
          <w:szCs w:val="24"/>
          <w:lang w:val="en-US"/>
        </w:rPr>
        <w:t>CONSENT</w:t>
      </w:r>
    </w:p>
    <w:p w:rsidR="00CC7802" w:rsidRDefault="00762192">
      <w:pPr>
        <w:spacing w:line="276" w:lineRule="auto"/>
        <w:ind w:firstLine="708"/>
        <w:jc w:val="both"/>
        <w:rPr>
          <w:rFonts w:cs="Times New Roman"/>
          <w:bCs/>
          <w:szCs w:val="24"/>
          <w:lang w:val="en-US"/>
        </w:rPr>
      </w:pPr>
      <w:r>
        <w:rPr>
          <w:rFonts w:cs="Times New Roman"/>
          <w:bCs/>
          <w:szCs w:val="24"/>
          <w:lang w:val="en-US"/>
        </w:rPr>
        <w:t xml:space="preserve">Participation was voluntary and each mother or guardian signed a declaration of informed consent. Data collection and processing </w:t>
      </w:r>
      <w:proofErr w:type="gramStart"/>
      <w:r>
        <w:rPr>
          <w:rFonts w:cs="Times New Roman"/>
          <w:bCs/>
          <w:szCs w:val="24"/>
          <w:lang w:val="en-US"/>
        </w:rPr>
        <w:t xml:space="preserve">were </w:t>
      </w:r>
      <w:r>
        <w:rPr>
          <w:lang w:val="en-US"/>
        </w:rPr>
        <w:t>conducted</w:t>
      </w:r>
      <w:proofErr w:type="gramEnd"/>
      <w:r>
        <w:rPr>
          <w:lang w:val="en-US"/>
        </w:rPr>
        <w:t xml:space="preserve"> in a confidential manner during the analysis and reporting of the data. </w:t>
      </w:r>
      <w:r>
        <w:rPr>
          <w:rFonts w:cs="Times New Roman"/>
          <w:bCs/>
          <w:szCs w:val="24"/>
          <w:lang w:val="en-US"/>
        </w:rPr>
        <w:t>.</w:t>
      </w:r>
    </w:p>
    <w:p w:rsidR="00CC7802" w:rsidRDefault="00762192">
      <w:pPr>
        <w:spacing w:line="276" w:lineRule="auto"/>
        <w:jc w:val="both"/>
        <w:rPr>
          <w:rFonts w:cs="Times New Roman"/>
          <w:b/>
          <w:bCs/>
          <w:szCs w:val="24"/>
          <w:lang w:val="en-US"/>
        </w:rPr>
      </w:pPr>
      <w:r>
        <w:rPr>
          <w:rFonts w:cs="Times New Roman"/>
          <w:b/>
          <w:bCs/>
          <w:szCs w:val="24"/>
          <w:lang w:val="en-US"/>
        </w:rPr>
        <w:t>ETHICAL APPROVAL</w:t>
      </w:r>
    </w:p>
    <w:p w:rsidR="00CC7802" w:rsidRDefault="00762192">
      <w:pPr>
        <w:pStyle w:val="NormalWeb"/>
        <w:spacing w:line="360" w:lineRule="auto"/>
        <w:jc w:val="both"/>
        <w:rPr>
          <w:lang w:val="en-US"/>
        </w:rPr>
      </w:pPr>
      <w:r>
        <w:rPr>
          <w:lang w:val="en-US"/>
        </w:rPr>
        <w:t xml:space="preserve">This study </w:t>
      </w:r>
      <w:proofErr w:type="gramStart"/>
      <w:r>
        <w:rPr>
          <w:lang w:val="en-US"/>
        </w:rPr>
        <w:t>was authorized by the health authorities of the region and approved by the National Ethics Committee for Health Research under reference number 075/2021/CNERS, dated December 09, 2021</w:t>
      </w:r>
      <w:proofErr w:type="gramEnd"/>
      <w:r>
        <w:rPr>
          <w:lang w:val="en-US"/>
        </w:rPr>
        <w:t xml:space="preserve">. The content of the survey </w:t>
      </w:r>
      <w:proofErr w:type="gramStart"/>
      <w:r>
        <w:rPr>
          <w:lang w:val="en-US"/>
        </w:rPr>
        <w:t>was explained</w:t>
      </w:r>
      <w:proofErr w:type="gramEnd"/>
      <w:r>
        <w:rPr>
          <w:lang w:val="en-US"/>
        </w:rPr>
        <w:t xml:space="preserve"> in detail to the participants.</w:t>
      </w:r>
    </w:p>
    <w:p w:rsidR="00CC7802" w:rsidRDefault="00762192">
      <w:pPr>
        <w:spacing w:line="276" w:lineRule="auto"/>
        <w:ind w:firstLine="708"/>
        <w:jc w:val="both"/>
        <w:rPr>
          <w:rFonts w:cs="Times New Roman"/>
          <w:bCs/>
          <w:szCs w:val="24"/>
          <w:lang w:val="en-US"/>
        </w:rPr>
      </w:pPr>
      <w:r>
        <w:rPr>
          <w:rFonts w:cs="Times New Roman"/>
          <w:bCs/>
          <w:szCs w:val="24"/>
          <w:lang w:val="en-US"/>
        </w:rPr>
        <w:t>.</w:t>
      </w:r>
    </w:p>
    <w:p w:rsidR="00CC7802" w:rsidRDefault="00762192">
      <w:pPr>
        <w:spacing w:line="276" w:lineRule="auto"/>
        <w:jc w:val="both"/>
        <w:rPr>
          <w:rFonts w:cs="Times New Roman"/>
          <w:b/>
          <w:bCs/>
          <w:szCs w:val="24"/>
          <w:lang w:val="en-US"/>
        </w:rPr>
      </w:pPr>
      <w:r>
        <w:rPr>
          <w:rFonts w:cs="Times New Roman"/>
          <w:b/>
          <w:bCs/>
          <w:szCs w:val="24"/>
          <w:lang w:val="en-US"/>
        </w:rPr>
        <w:t>COMPETING INTERESTS</w:t>
      </w:r>
    </w:p>
    <w:p w:rsidR="00CC7802" w:rsidRDefault="00762192">
      <w:pPr>
        <w:spacing w:line="276" w:lineRule="auto"/>
        <w:ind w:firstLine="708"/>
        <w:jc w:val="both"/>
        <w:rPr>
          <w:rFonts w:cs="Times New Roman"/>
          <w:bCs/>
          <w:szCs w:val="24"/>
          <w:lang w:val="en-US"/>
        </w:rPr>
      </w:pPr>
      <w:r>
        <w:rPr>
          <w:rFonts w:cs="Times New Roman"/>
          <w:bCs/>
          <w:szCs w:val="24"/>
          <w:lang w:val="en-US"/>
        </w:rPr>
        <w:t xml:space="preserve">The authors stated that there were no competing interests. </w:t>
      </w:r>
    </w:p>
    <w:p w:rsidR="00CC7802" w:rsidRDefault="00762192">
      <w:pPr>
        <w:jc w:val="both"/>
        <w:outlineLvl w:val="0"/>
        <w:rPr>
          <w:rFonts w:ascii="Arial" w:hAnsi="Arial" w:cs="Arial"/>
        </w:rPr>
      </w:pPr>
      <w:r>
        <w:rPr>
          <w:rFonts w:ascii="Arial" w:hAnsi="Arial" w:cs="Arial"/>
          <w:b/>
          <w:bCs/>
        </w:rPr>
        <w:t>COMPETING INTERESTS DISCLAIMER:</w:t>
      </w:r>
    </w:p>
    <w:p w:rsidR="00CC7802" w:rsidRDefault="00762192">
      <w:proofErr w:type="spellStart"/>
      <w:r>
        <w:t>Authors</w:t>
      </w:r>
      <w:proofErr w:type="spellEnd"/>
      <w:r>
        <w:t xml:space="preserve"> have </w:t>
      </w:r>
      <w:proofErr w:type="spellStart"/>
      <w:r>
        <w:t>declared</w:t>
      </w:r>
      <w:proofErr w:type="spellEnd"/>
      <w:r>
        <w:t xml:space="preserve"> </w:t>
      </w:r>
      <w:proofErr w:type="spellStart"/>
      <w:r>
        <w:t>that</w:t>
      </w:r>
      <w:proofErr w:type="spellEnd"/>
      <w:r>
        <w:t xml:space="preserve"> </w:t>
      </w:r>
      <w:proofErr w:type="spellStart"/>
      <w:r>
        <w:t>they</w:t>
      </w:r>
      <w:proofErr w:type="spellEnd"/>
      <w:r>
        <w:t xml:space="preserve"> have no </w:t>
      </w:r>
      <w:proofErr w:type="spellStart"/>
      <w:r>
        <w:t>known</w:t>
      </w:r>
      <w:proofErr w:type="spellEnd"/>
      <w:r>
        <w:t xml:space="preserve"> </w:t>
      </w:r>
      <w:proofErr w:type="spellStart"/>
      <w:r>
        <w:t>competing</w:t>
      </w:r>
      <w:proofErr w:type="spellEnd"/>
      <w:r>
        <w:t xml:space="preserve"> </w:t>
      </w:r>
      <w:proofErr w:type="spellStart"/>
      <w:r>
        <w:t>financial</w:t>
      </w:r>
      <w:proofErr w:type="spellEnd"/>
      <w:r>
        <w:t xml:space="preserve"> </w:t>
      </w:r>
      <w:proofErr w:type="spellStart"/>
      <w:r>
        <w:t>interests</w:t>
      </w:r>
      <w:proofErr w:type="spellEnd"/>
      <w:r>
        <w:t xml:space="preserve"> OR non-</w:t>
      </w:r>
      <w:proofErr w:type="spellStart"/>
      <w:r>
        <w:t>financial</w:t>
      </w:r>
      <w:proofErr w:type="spellEnd"/>
      <w:r>
        <w:t xml:space="preserve"> </w:t>
      </w:r>
      <w:proofErr w:type="spellStart"/>
      <w:r>
        <w:t>interests</w:t>
      </w:r>
      <w:proofErr w:type="spellEnd"/>
      <w:r>
        <w:t xml:space="preserve"> OR </w:t>
      </w:r>
      <w:proofErr w:type="spellStart"/>
      <w:r>
        <w:t>personal</w:t>
      </w:r>
      <w:proofErr w:type="spellEnd"/>
      <w:r>
        <w:t xml:space="preserve"> </w:t>
      </w:r>
      <w:proofErr w:type="spellStart"/>
      <w:r>
        <w:t>relationships</w:t>
      </w:r>
      <w:proofErr w:type="spellEnd"/>
      <w:r>
        <w:t xml:space="preserve"> </w:t>
      </w:r>
      <w:proofErr w:type="spellStart"/>
      <w:r>
        <w:t>that</w:t>
      </w:r>
      <w:proofErr w:type="spellEnd"/>
      <w:r>
        <w:t xml:space="preserve"> </w:t>
      </w:r>
      <w:proofErr w:type="spellStart"/>
      <w:r>
        <w:t>could</w:t>
      </w:r>
      <w:proofErr w:type="spellEnd"/>
      <w:r>
        <w:t xml:space="preserve"> have </w:t>
      </w:r>
      <w:proofErr w:type="spellStart"/>
      <w:r>
        <w:t>appeared</w:t>
      </w:r>
      <w:proofErr w:type="spellEnd"/>
      <w:r>
        <w:t xml:space="preserve"> to influence the </w:t>
      </w:r>
      <w:proofErr w:type="spellStart"/>
      <w:r>
        <w:t>work</w:t>
      </w:r>
      <w:proofErr w:type="spellEnd"/>
      <w:r>
        <w:t xml:space="preserve"> </w:t>
      </w:r>
      <w:proofErr w:type="spellStart"/>
      <w:r>
        <w:t>reported</w:t>
      </w:r>
      <w:proofErr w:type="spellEnd"/>
      <w:r>
        <w:t xml:space="preserve"> in </w:t>
      </w:r>
      <w:proofErr w:type="spellStart"/>
      <w:r>
        <w:t>this</w:t>
      </w:r>
      <w:proofErr w:type="spellEnd"/>
      <w:r>
        <w:t xml:space="preserve"> </w:t>
      </w:r>
      <w:proofErr w:type="spellStart"/>
      <w:r>
        <w:t>paper</w:t>
      </w:r>
      <w:proofErr w:type="spellEnd"/>
      <w:r>
        <w:t>.</w:t>
      </w:r>
    </w:p>
    <w:p w:rsidR="00CC7802" w:rsidRDefault="00762192">
      <w:pPr>
        <w:rPr>
          <w:rFonts w:ascii="Calibri" w:eastAsia="Calibri" w:hAnsi="Calibri" w:cs="Times New Roman"/>
          <w:kern w:val="2"/>
          <w:highlight w:val="yellow"/>
          <w:lang w:val="en-US"/>
        </w:rPr>
      </w:pPr>
      <w:bookmarkStart w:id="1" w:name="_Hlk183680988"/>
      <w:bookmarkStart w:id="2" w:name="_Hlk180402183"/>
      <w:r>
        <w:rPr>
          <w:rFonts w:ascii="Calibri" w:eastAsia="Calibri" w:hAnsi="Calibri" w:cs="Times New Roman"/>
          <w:kern w:val="2"/>
          <w:highlight w:val="yellow"/>
          <w:lang w:val="en-US"/>
        </w:rPr>
        <w:t>Disclaimer (Artificial intelligence)</w:t>
      </w:r>
    </w:p>
    <w:p w:rsidR="00CC7802" w:rsidRDefault="00762192">
      <w:pPr>
        <w:rPr>
          <w:rFonts w:ascii="Calibri" w:eastAsia="Calibri" w:hAnsi="Calibri" w:cs="Times New Roman"/>
          <w:kern w:val="2"/>
          <w:highlight w:val="yellow"/>
          <w:lang w:val="en-US"/>
        </w:rPr>
      </w:pPr>
      <w:r>
        <w:rPr>
          <w:rFonts w:ascii="Calibri" w:eastAsia="Calibri" w:hAnsi="Calibri" w:cs="Times New Roman"/>
          <w:kern w:val="2"/>
          <w:highlight w:val="yellow"/>
          <w:lang w:val="en-US"/>
        </w:rPr>
        <w:t xml:space="preserve">Option 1: </w:t>
      </w:r>
    </w:p>
    <w:p w:rsidR="00CC7802" w:rsidRDefault="00762192">
      <w:pPr>
        <w:rPr>
          <w:rFonts w:cs="Times New Roman"/>
          <w:bCs/>
          <w:szCs w:val="24"/>
          <w:lang w:val="en-US"/>
        </w:rPr>
      </w:pPr>
      <w:r>
        <w:rPr>
          <w:rFonts w:ascii="Calibri" w:eastAsia="Calibri" w:hAnsi="Calibri" w:cs="Times New Roman"/>
          <w:kern w:val="2"/>
          <w:highlight w:val="yellow"/>
          <w:lang w:val="en-US"/>
        </w:rPr>
        <w:lastRenderedPageBreak/>
        <w:t>Author(s) hereby declare that NO generative AI technologies such as Large Language Models (</w:t>
      </w:r>
      <w:proofErr w:type="spellStart"/>
      <w:r>
        <w:rPr>
          <w:rFonts w:ascii="Calibri" w:eastAsia="Calibri" w:hAnsi="Calibri" w:cs="Times New Roman"/>
          <w:kern w:val="2"/>
          <w:highlight w:val="yellow"/>
          <w:lang w:val="en-US"/>
        </w:rPr>
        <w:t>ChatGPT</w:t>
      </w:r>
      <w:proofErr w:type="spellEnd"/>
      <w:r>
        <w:rPr>
          <w:rFonts w:ascii="Calibri" w:eastAsia="Calibri" w:hAnsi="Calibri" w:cs="Times New Roman"/>
          <w:kern w:val="2"/>
          <w:highlight w:val="yellow"/>
          <w:lang w:val="en-US"/>
        </w:rPr>
        <w:t xml:space="preserve">, COPILOT, etc.) and text-to-image generators </w:t>
      </w:r>
      <w:proofErr w:type="gramStart"/>
      <w:r>
        <w:rPr>
          <w:rFonts w:ascii="Calibri" w:eastAsia="Calibri" w:hAnsi="Calibri" w:cs="Times New Roman"/>
          <w:kern w:val="2"/>
          <w:highlight w:val="yellow"/>
          <w:lang w:val="en-US"/>
        </w:rPr>
        <w:t>have been used</w:t>
      </w:r>
      <w:proofErr w:type="gramEnd"/>
      <w:r>
        <w:rPr>
          <w:rFonts w:ascii="Calibri" w:eastAsia="Calibri" w:hAnsi="Calibri" w:cs="Times New Roman"/>
          <w:kern w:val="2"/>
          <w:highlight w:val="yellow"/>
          <w:lang w:val="en-US"/>
        </w:rPr>
        <w:t xml:space="preserve"> during the writing or editing of this manuscript. </w:t>
      </w:r>
      <w:bookmarkEnd w:id="1"/>
      <w:bookmarkEnd w:id="2"/>
    </w:p>
    <w:p w:rsidR="00CC7802" w:rsidRDefault="00762192">
      <w:pPr>
        <w:spacing w:line="276" w:lineRule="auto"/>
        <w:jc w:val="both"/>
        <w:rPr>
          <w:rFonts w:cs="Times New Roman"/>
          <w:bCs/>
          <w:szCs w:val="24"/>
          <w:lang w:val="en-US"/>
        </w:rPr>
      </w:pPr>
      <w:r>
        <w:rPr>
          <w:rFonts w:cs="Times New Roman"/>
          <w:b/>
          <w:szCs w:val="24"/>
          <w:lang w:val="en-US"/>
        </w:rPr>
        <w:t xml:space="preserve">    REFERENCE </w:t>
      </w:r>
    </w:p>
    <w:p w:rsidR="00CC7802" w:rsidRDefault="00762192">
      <w:pPr>
        <w:spacing w:line="360" w:lineRule="auto"/>
        <w:jc w:val="both"/>
        <w:rPr>
          <w:rFonts w:cs="Times New Roman"/>
          <w:szCs w:val="24"/>
        </w:rPr>
      </w:pPr>
      <w:r>
        <w:rPr>
          <w:rFonts w:cs="Times New Roman"/>
          <w:szCs w:val="24"/>
        </w:rPr>
        <w:t xml:space="preserve">1. Unicef, WHO W. Levels and trends in </w:t>
      </w:r>
      <w:proofErr w:type="spellStart"/>
      <w:r>
        <w:rPr>
          <w:rFonts w:cs="Times New Roman"/>
          <w:szCs w:val="24"/>
        </w:rPr>
        <w:t>child</w:t>
      </w:r>
      <w:proofErr w:type="spellEnd"/>
      <w:r>
        <w:rPr>
          <w:rFonts w:cs="Times New Roman"/>
          <w:szCs w:val="24"/>
        </w:rPr>
        <w:t xml:space="preserve"> malnutrition: key </w:t>
      </w:r>
      <w:proofErr w:type="spellStart"/>
      <w:r>
        <w:rPr>
          <w:rFonts w:cs="Times New Roman"/>
          <w:szCs w:val="24"/>
        </w:rPr>
        <w:t>findings</w:t>
      </w:r>
      <w:proofErr w:type="spellEnd"/>
      <w:r>
        <w:rPr>
          <w:rFonts w:cs="Times New Roman"/>
          <w:szCs w:val="24"/>
        </w:rPr>
        <w:t xml:space="preserve"> of the 2019 Edition of the Joint Child Malnutrition </w:t>
      </w:r>
      <w:proofErr w:type="spellStart"/>
      <w:r>
        <w:rPr>
          <w:rFonts w:cs="Times New Roman"/>
          <w:szCs w:val="24"/>
        </w:rPr>
        <w:t>Estimates</w:t>
      </w:r>
      <w:proofErr w:type="spellEnd"/>
      <w:r>
        <w:rPr>
          <w:rFonts w:cs="Times New Roman"/>
          <w:szCs w:val="24"/>
        </w:rPr>
        <w:t xml:space="preserve">. Geneva World </w:t>
      </w:r>
      <w:proofErr w:type="spellStart"/>
      <w:r>
        <w:rPr>
          <w:rFonts w:cs="Times New Roman"/>
          <w:szCs w:val="24"/>
        </w:rPr>
        <w:t>Health</w:t>
      </w:r>
      <w:proofErr w:type="spellEnd"/>
      <w:r>
        <w:rPr>
          <w:rFonts w:cs="Times New Roman"/>
          <w:szCs w:val="24"/>
        </w:rPr>
        <w:t xml:space="preserve"> </w:t>
      </w:r>
      <w:proofErr w:type="spellStart"/>
      <w:r>
        <w:rPr>
          <w:rFonts w:cs="Times New Roman"/>
          <w:szCs w:val="24"/>
        </w:rPr>
        <w:t>Organ</w:t>
      </w:r>
      <w:proofErr w:type="spellEnd"/>
      <w:r>
        <w:rPr>
          <w:rFonts w:cs="Times New Roman"/>
          <w:szCs w:val="24"/>
        </w:rPr>
        <w:t xml:space="preserve"> [Internet]. 2020 [</w:t>
      </w:r>
      <w:proofErr w:type="spellStart"/>
      <w:r>
        <w:rPr>
          <w:rFonts w:cs="Times New Roman"/>
          <w:szCs w:val="24"/>
        </w:rPr>
        <w:t>cited</w:t>
      </w:r>
      <w:proofErr w:type="spellEnd"/>
      <w:r>
        <w:rPr>
          <w:rFonts w:cs="Times New Roman"/>
          <w:szCs w:val="24"/>
        </w:rPr>
        <w:t xml:space="preserve"> 25 </w:t>
      </w:r>
      <w:proofErr w:type="spellStart"/>
      <w:r>
        <w:rPr>
          <w:rFonts w:cs="Times New Roman"/>
          <w:szCs w:val="24"/>
        </w:rPr>
        <w:t>June</w:t>
      </w:r>
      <w:proofErr w:type="spellEnd"/>
      <w:r>
        <w:rPr>
          <w:rFonts w:cs="Times New Roman"/>
          <w:szCs w:val="24"/>
        </w:rPr>
        <w:t xml:space="preserve"> 2024]; </w:t>
      </w:r>
      <w:proofErr w:type="spellStart"/>
      <w:r>
        <w:rPr>
          <w:rFonts w:cs="Times New Roman"/>
          <w:szCs w:val="24"/>
        </w:rPr>
        <w:t>Available</w:t>
      </w:r>
      <w:proofErr w:type="spellEnd"/>
      <w:r>
        <w:rPr>
          <w:rFonts w:cs="Times New Roman"/>
          <w:szCs w:val="24"/>
        </w:rPr>
        <w:t xml:space="preserve"> at: https://www.renc.es/imagenes/auxiliar/files/RENC_2020_2_00._Libros.pdf</w:t>
      </w:r>
    </w:p>
    <w:p w:rsidR="00CC7802" w:rsidRDefault="00762192">
      <w:pPr>
        <w:spacing w:line="360" w:lineRule="auto"/>
        <w:jc w:val="both"/>
        <w:rPr>
          <w:rFonts w:cs="Times New Roman"/>
          <w:szCs w:val="24"/>
        </w:rPr>
      </w:pPr>
      <w:r>
        <w:rPr>
          <w:rFonts w:cs="Times New Roman"/>
          <w:szCs w:val="24"/>
        </w:rPr>
        <w:t xml:space="preserve">2. </w:t>
      </w:r>
      <w:proofErr w:type="spellStart"/>
      <w:r>
        <w:rPr>
          <w:rFonts w:cs="Times New Roman"/>
          <w:szCs w:val="24"/>
        </w:rPr>
        <w:t>Kouton</w:t>
      </w:r>
      <w:proofErr w:type="spellEnd"/>
      <w:r>
        <w:rPr>
          <w:rFonts w:cs="Times New Roman"/>
          <w:szCs w:val="24"/>
        </w:rPr>
        <w:t xml:space="preserve"> SE, </w:t>
      </w:r>
      <w:proofErr w:type="spellStart"/>
      <w:r>
        <w:rPr>
          <w:rFonts w:cs="Times New Roman"/>
          <w:szCs w:val="24"/>
        </w:rPr>
        <w:t>Hounkpatin</w:t>
      </w:r>
      <w:proofErr w:type="spellEnd"/>
      <w:r>
        <w:rPr>
          <w:rFonts w:cs="Times New Roman"/>
          <w:szCs w:val="24"/>
        </w:rPr>
        <w:t xml:space="preserve"> WA, </w:t>
      </w:r>
      <w:proofErr w:type="spellStart"/>
      <w:r>
        <w:rPr>
          <w:rFonts w:cs="Times New Roman"/>
          <w:szCs w:val="24"/>
        </w:rPr>
        <w:t>Ballogou</w:t>
      </w:r>
      <w:proofErr w:type="spellEnd"/>
      <w:r>
        <w:rPr>
          <w:rFonts w:cs="Times New Roman"/>
          <w:szCs w:val="24"/>
        </w:rPr>
        <w:t xml:space="preserve"> VY, </w:t>
      </w:r>
      <w:proofErr w:type="spellStart"/>
      <w:r>
        <w:rPr>
          <w:rFonts w:cs="Times New Roman"/>
          <w:szCs w:val="24"/>
        </w:rPr>
        <w:t>Lokonon</w:t>
      </w:r>
      <w:proofErr w:type="spellEnd"/>
      <w:r>
        <w:rPr>
          <w:rFonts w:cs="Times New Roman"/>
          <w:szCs w:val="24"/>
        </w:rPr>
        <w:t xml:space="preserve"> JH, </w:t>
      </w:r>
      <w:proofErr w:type="spellStart"/>
      <w:r>
        <w:rPr>
          <w:rFonts w:cs="Times New Roman"/>
          <w:szCs w:val="24"/>
        </w:rPr>
        <w:t>Soumanou</w:t>
      </w:r>
      <w:proofErr w:type="spellEnd"/>
      <w:r>
        <w:rPr>
          <w:rFonts w:cs="Times New Roman"/>
          <w:szCs w:val="24"/>
        </w:rPr>
        <w:t xml:space="preserve"> MM. </w:t>
      </w:r>
      <w:proofErr w:type="spellStart"/>
      <w:r>
        <w:rPr>
          <w:rFonts w:cs="Times New Roman"/>
          <w:szCs w:val="24"/>
        </w:rPr>
        <w:t>Characterization</w:t>
      </w:r>
      <w:proofErr w:type="spellEnd"/>
      <w:r>
        <w:rPr>
          <w:rFonts w:cs="Times New Roman"/>
          <w:szCs w:val="24"/>
        </w:rPr>
        <w:t xml:space="preserve"> of the </w:t>
      </w:r>
      <w:proofErr w:type="spellStart"/>
      <w:r>
        <w:rPr>
          <w:rFonts w:cs="Times New Roman"/>
          <w:szCs w:val="24"/>
        </w:rPr>
        <w:t>diet</w:t>
      </w:r>
      <w:proofErr w:type="spellEnd"/>
      <w:r>
        <w:rPr>
          <w:rFonts w:cs="Times New Roman"/>
          <w:szCs w:val="24"/>
        </w:rPr>
        <w:t xml:space="preserve"> of </w:t>
      </w:r>
      <w:proofErr w:type="spellStart"/>
      <w:r>
        <w:rPr>
          <w:rFonts w:cs="Times New Roman"/>
          <w:szCs w:val="24"/>
        </w:rPr>
        <w:t>young</w:t>
      </w:r>
      <w:proofErr w:type="spellEnd"/>
      <w:r>
        <w:rPr>
          <w:rFonts w:cs="Times New Roman"/>
          <w:szCs w:val="24"/>
        </w:rPr>
        <w:t xml:space="preserve"> </w:t>
      </w:r>
      <w:proofErr w:type="spellStart"/>
      <w:r>
        <w:rPr>
          <w:rFonts w:cs="Times New Roman"/>
          <w:szCs w:val="24"/>
        </w:rPr>
        <w:t>children</w:t>
      </w:r>
      <w:proofErr w:type="spellEnd"/>
      <w:r>
        <w:rPr>
          <w:rFonts w:cs="Times New Roman"/>
          <w:szCs w:val="24"/>
        </w:rPr>
        <w:t xml:space="preserve"> </w:t>
      </w:r>
      <w:proofErr w:type="spellStart"/>
      <w:r>
        <w:rPr>
          <w:rFonts w:cs="Times New Roman"/>
          <w:szCs w:val="24"/>
        </w:rPr>
        <w:t>aged</w:t>
      </w:r>
      <w:proofErr w:type="spellEnd"/>
      <w:r>
        <w:rPr>
          <w:rFonts w:cs="Times New Roman"/>
          <w:szCs w:val="24"/>
        </w:rPr>
        <w:t xml:space="preserve"> 6 to 36 </w:t>
      </w:r>
      <w:proofErr w:type="spellStart"/>
      <w:r>
        <w:rPr>
          <w:rFonts w:cs="Times New Roman"/>
          <w:szCs w:val="24"/>
        </w:rPr>
        <w:t>months</w:t>
      </w:r>
      <w:proofErr w:type="spellEnd"/>
      <w:r>
        <w:rPr>
          <w:rFonts w:cs="Times New Roman"/>
          <w:szCs w:val="24"/>
        </w:rPr>
        <w:t xml:space="preserve"> in rural and </w:t>
      </w:r>
      <w:proofErr w:type="spellStart"/>
      <w:r>
        <w:rPr>
          <w:rFonts w:cs="Times New Roman"/>
          <w:szCs w:val="24"/>
        </w:rPr>
        <w:t>urban</w:t>
      </w:r>
      <w:proofErr w:type="spellEnd"/>
      <w:r>
        <w:rPr>
          <w:rFonts w:cs="Times New Roman"/>
          <w:szCs w:val="24"/>
        </w:rPr>
        <w:t xml:space="preserve"> areas of </w:t>
      </w:r>
      <w:proofErr w:type="spellStart"/>
      <w:r>
        <w:rPr>
          <w:rFonts w:cs="Times New Roman"/>
          <w:szCs w:val="24"/>
        </w:rPr>
        <w:t>southern</w:t>
      </w:r>
      <w:proofErr w:type="spellEnd"/>
      <w:r>
        <w:rPr>
          <w:rFonts w:cs="Times New Roman"/>
          <w:szCs w:val="24"/>
        </w:rPr>
        <w:t xml:space="preserve"> Benin. J </w:t>
      </w:r>
      <w:proofErr w:type="spellStart"/>
      <w:r>
        <w:rPr>
          <w:rFonts w:cs="Times New Roman"/>
          <w:szCs w:val="24"/>
        </w:rPr>
        <w:t>Appl</w:t>
      </w:r>
      <w:proofErr w:type="spellEnd"/>
      <w:r>
        <w:rPr>
          <w:rFonts w:cs="Times New Roman"/>
          <w:szCs w:val="24"/>
        </w:rPr>
        <w:t xml:space="preserve"> </w:t>
      </w:r>
      <w:proofErr w:type="spellStart"/>
      <w:r>
        <w:rPr>
          <w:rFonts w:cs="Times New Roman"/>
          <w:szCs w:val="24"/>
        </w:rPr>
        <w:t>Biosci</w:t>
      </w:r>
      <w:proofErr w:type="spellEnd"/>
      <w:r>
        <w:rPr>
          <w:rFonts w:cs="Times New Roman"/>
          <w:szCs w:val="24"/>
        </w:rPr>
        <w:t>. 2017; 110:10831‑40.</w:t>
      </w:r>
    </w:p>
    <w:p w:rsidR="00CC7802" w:rsidRDefault="00CC7802">
      <w:pPr>
        <w:spacing w:line="360" w:lineRule="auto"/>
        <w:jc w:val="both"/>
        <w:rPr>
          <w:rFonts w:cs="Times New Roman"/>
          <w:szCs w:val="24"/>
        </w:rPr>
      </w:pPr>
    </w:p>
    <w:p w:rsidR="00CC7802" w:rsidRDefault="00762192">
      <w:pPr>
        <w:spacing w:line="360" w:lineRule="auto"/>
        <w:jc w:val="both"/>
        <w:rPr>
          <w:rFonts w:cs="Times New Roman"/>
          <w:szCs w:val="24"/>
        </w:rPr>
      </w:pPr>
      <w:r>
        <w:rPr>
          <w:rFonts w:cs="Times New Roman"/>
          <w:szCs w:val="24"/>
        </w:rPr>
        <w:t xml:space="preserve">3. </w:t>
      </w:r>
      <w:proofErr w:type="spellStart"/>
      <w:r>
        <w:rPr>
          <w:rFonts w:cs="Times New Roman"/>
          <w:szCs w:val="24"/>
        </w:rPr>
        <w:t>Sanou</w:t>
      </w:r>
      <w:proofErr w:type="spellEnd"/>
      <w:r>
        <w:rPr>
          <w:rFonts w:cs="Times New Roman"/>
          <w:szCs w:val="24"/>
        </w:rPr>
        <w:t xml:space="preserve"> S, </w:t>
      </w:r>
      <w:proofErr w:type="spellStart"/>
      <w:r>
        <w:rPr>
          <w:rFonts w:cs="Times New Roman"/>
          <w:szCs w:val="24"/>
        </w:rPr>
        <w:t>Avoirunde</w:t>
      </w:r>
      <w:proofErr w:type="spellEnd"/>
      <w:r>
        <w:rPr>
          <w:rFonts w:cs="Times New Roman"/>
          <w:szCs w:val="24"/>
        </w:rPr>
        <w:t xml:space="preserve"> A, </w:t>
      </w:r>
      <w:proofErr w:type="spellStart"/>
      <w:r>
        <w:rPr>
          <w:rFonts w:cs="Times New Roman"/>
          <w:szCs w:val="24"/>
        </w:rPr>
        <w:t>Nianogo</w:t>
      </w:r>
      <w:proofErr w:type="spellEnd"/>
      <w:r>
        <w:rPr>
          <w:rFonts w:cs="Times New Roman"/>
          <w:szCs w:val="24"/>
        </w:rPr>
        <w:t xml:space="preserve"> AJ. </w:t>
      </w:r>
      <w:proofErr w:type="spellStart"/>
      <w:r>
        <w:rPr>
          <w:rFonts w:cs="Times New Roman"/>
          <w:szCs w:val="24"/>
        </w:rPr>
        <w:t>Household</w:t>
      </w:r>
      <w:proofErr w:type="spellEnd"/>
      <w:r>
        <w:rPr>
          <w:rFonts w:cs="Times New Roman"/>
          <w:szCs w:val="24"/>
        </w:rPr>
        <w:t xml:space="preserve"> </w:t>
      </w:r>
      <w:proofErr w:type="spellStart"/>
      <w:r>
        <w:rPr>
          <w:rFonts w:cs="Times New Roman"/>
          <w:szCs w:val="24"/>
        </w:rPr>
        <w:t>food</w:t>
      </w:r>
      <w:proofErr w:type="spellEnd"/>
      <w:r>
        <w:rPr>
          <w:rFonts w:cs="Times New Roman"/>
          <w:szCs w:val="24"/>
        </w:rPr>
        <w:t xml:space="preserve"> </w:t>
      </w:r>
      <w:proofErr w:type="spellStart"/>
      <w:r>
        <w:rPr>
          <w:rFonts w:cs="Times New Roman"/>
          <w:szCs w:val="24"/>
        </w:rPr>
        <w:t>consumption</w:t>
      </w:r>
      <w:proofErr w:type="spellEnd"/>
      <w:r>
        <w:rPr>
          <w:rFonts w:cs="Times New Roman"/>
          <w:szCs w:val="24"/>
        </w:rPr>
        <w:t xml:space="preserve"> and </w:t>
      </w:r>
      <w:proofErr w:type="spellStart"/>
      <w:r>
        <w:rPr>
          <w:rFonts w:cs="Times New Roman"/>
          <w:szCs w:val="24"/>
        </w:rPr>
        <w:t>determinants</w:t>
      </w:r>
      <w:proofErr w:type="spellEnd"/>
      <w:r>
        <w:rPr>
          <w:rFonts w:cs="Times New Roman"/>
          <w:szCs w:val="24"/>
        </w:rPr>
        <w:t xml:space="preserve"> of </w:t>
      </w:r>
      <w:proofErr w:type="spellStart"/>
      <w:r>
        <w:rPr>
          <w:rFonts w:cs="Times New Roman"/>
          <w:szCs w:val="24"/>
        </w:rPr>
        <w:t>dietary</w:t>
      </w:r>
      <w:proofErr w:type="spellEnd"/>
      <w:r>
        <w:rPr>
          <w:rFonts w:cs="Times New Roman"/>
          <w:szCs w:val="24"/>
        </w:rPr>
        <w:t xml:space="preserve"> </w:t>
      </w:r>
      <w:proofErr w:type="spellStart"/>
      <w:r>
        <w:rPr>
          <w:rFonts w:cs="Times New Roman"/>
          <w:szCs w:val="24"/>
        </w:rPr>
        <w:t>diversity</w:t>
      </w:r>
      <w:proofErr w:type="spellEnd"/>
      <w:r>
        <w:rPr>
          <w:rFonts w:cs="Times New Roman"/>
          <w:szCs w:val="24"/>
        </w:rPr>
        <w:t xml:space="preserve">: the case of four communes in the </w:t>
      </w:r>
      <w:proofErr w:type="spellStart"/>
      <w:r>
        <w:rPr>
          <w:rFonts w:cs="Times New Roman"/>
          <w:szCs w:val="24"/>
        </w:rPr>
        <w:t>North</w:t>
      </w:r>
      <w:proofErr w:type="spellEnd"/>
      <w:r>
        <w:rPr>
          <w:rFonts w:cs="Times New Roman"/>
          <w:szCs w:val="24"/>
        </w:rPr>
        <w:t xml:space="preserve"> </w:t>
      </w:r>
      <w:proofErr w:type="spellStart"/>
      <w:r>
        <w:rPr>
          <w:rFonts w:cs="Times New Roman"/>
          <w:szCs w:val="24"/>
        </w:rPr>
        <w:t>region</w:t>
      </w:r>
      <w:proofErr w:type="spellEnd"/>
      <w:r>
        <w:rPr>
          <w:rFonts w:cs="Times New Roman"/>
          <w:szCs w:val="24"/>
        </w:rPr>
        <w:t xml:space="preserve">, Burkina Faso. Int J </w:t>
      </w:r>
      <w:proofErr w:type="spellStart"/>
      <w:r>
        <w:rPr>
          <w:rFonts w:cs="Times New Roman"/>
          <w:szCs w:val="24"/>
        </w:rPr>
        <w:t>Biol</w:t>
      </w:r>
      <w:proofErr w:type="spellEnd"/>
      <w:r>
        <w:rPr>
          <w:rFonts w:cs="Times New Roman"/>
          <w:szCs w:val="24"/>
        </w:rPr>
        <w:t xml:space="preserve"> </w:t>
      </w:r>
      <w:proofErr w:type="spellStart"/>
      <w:r>
        <w:rPr>
          <w:rFonts w:cs="Times New Roman"/>
          <w:szCs w:val="24"/>
        </w:rPr>
        <w:t>Chem</w:t>
      </w:r>
      <w:proofErr w:type="spellEnd"/>
      <w:r>
        <w:rPr>
          <w:rFonts w:cs="Times New Roman"/>
          <w:szCs w:val="24"/>
        </w:rPr>
        <w:t xml:space="preserve"> </w:t>
      </w:r>
      <w:proofErr w:type="spellStart"/>
      <w:r>
        <w:rPr>
          <w:rFonts w:cs="Times New Roman"/>
          <w:szCs w:val="24"/>
        </w:rPr>
        <w:t>Sci</w:t>
      </w:r>
      <w:proofErr w:type="spellEnd"/>
      <w:r>
        <w:rPr>
          <w:rFonts w:cs="Times New Roman"/>
          <w:szCs w:val="24"/>
        </w:rPr>
        <w:t xml:space="preserve">. 13 </w:t>
      </w:r>
      <w:proofErr w:type="spellStart"/>
      <w:r>
        <w:rPr>
          <w:rFonts w:cs="Times New Roman"/>
          <w:szCs w:val="24"/>
        </w:rPr>
        <w:t>Dec</w:t>
      </w:r>
      <w:proofErr w:type="spellEnd"/>
      <w:r>
        <w:rPr>
          <w:rFonts w:cs="Times New Roman"/>
          <w:szCs w:val="24"/>
        </w:rPr>
        <w:t xml:space="preserve"> 2018;12(4):1784‑801.</w:t>
      </w:r>
    </w:p>
    <w:p w:rsidR="00CC7802" w:rsidRDefault="00762192">
      <w:pPr>
        <w:spacing w:line="360" w:lineRule="auto"/>
        <w:jc w:val="both"/>
        <w:rPr>
          <w:rFonts w:cs="Times New Roman"/>
          <w:szCs w:val="24"/>
        </w:rPr>
      </w:pPr>
      <w:r>
        <w:rPr>
          <w:rFonts w:cs="Times New Roman"/>
          <w:szCs w:val="24"/>
        </w:rPr>
        <w:t xml:space="preserve">4. </w:t>
      </w:r>
      <w:proofErr w:type="spellStart"/>
      <w:r>
        <w:rPr>
          <w:rFonts w:cs="Times New Roman"/>
          <w:szCs w:val="24"/>
        </w:rPr>
        <w:t>Bougma</w:t>
      </w:r>
      <w:proofErr w:type="spellEnd"/>
      <w:r>
        <w:rPr>
          <w:rFonts w:cs="Times New Roman"/>
          <w:szCs w:val="24"/>
        </w:rPr>
        <w:t xml:space="preserve"> S, Hama-</w:t>
      </w:r>
      <w:proofErr w:type="spellStart"/>
      <w:r>
        <w:rPr>
          <w:rFonts w:cs="Times New Roman"/>
          <w:szCs w:val="24"/>
        </w:rPr>
        <w:t>ba</w:t>
      </w:r>
      <w:proofErr w:type="spellEnd"/>
      <w:r>
        <w:rPr>
          <w:rFonts w:cs="Times New Roman"/>
          <w:szCs w:val="24"/>
        </w:rPr>
        <w:t xml:space="preserve"> F, </w:t>
      </w:r>
      <w:proofErr w:type="spellStart"/>
      <w:r>
        <w:rPr>
          <w:rFonts w:cs="Times New Roman"/>
          <w:szCs w:val="24"/>
        </w:rPr>
        <w:t>Garanet</w:t>
      </w:r>
      <w:proofErr w:type="spellEnd"/>
      <w:r>
        <w:rPr>
          <w:rFonts w:cs="Times New Roman"/>
          <w:szCs w:val="24"/>
        </w:rPr>
        <w:t xml:space="preserve"> F, </w:t>
      </w:r>
      <w:proofErr w:type="spellStart"/>
      <w:r>
        <w:rPr>
          <w:rFonts w:cs="Times New Roman"/>
          <w:szCs w:val="24"/>
        </w:rPr>
        <w:t>Savadogo</w:t>
      </w:r>
      <w:proofErr w:type="spellEnd"/>
      <w:r>
        <w:rPr>
          <w:rFonts w:cs="Times New Roman"/>
          <w:szCs w:val="24"/>
        </w:rPr>
        <w:t xml:space="preserve"> A. </w:t>
      </w:r>
      <w:proofErr w:type="spellStart"/>
      <w:r>
        <w:rPr>
          <w:rFonts w:cs="Times New Roman"/>
          <w:szCs w:val="24"/>
        </w:rPr>
        <w:t>Sociodemographic</w:t>
      </w:r>
      <w:proofErr w:type="spellEnd"/>
      <w:r>
        <w:rPr>
          <w:rFonts w:cs="Times New Roman"/>
          <w:szCs w:val="24"/>
        </w:rPr>
        <w:t xml:space="preserve"> </w:t>
      </w:r>
      <w:proofErr w:type="spellStart"/>
      <w:r>
        <w:rPr>
          <w:rFonts w:cs="Times New Roman"/>
          <w:szCs w:val="24"/>
        </w:rPr>
        <w:t>characteristics</w:t>
      </w:r>
      <w:proofErr w:type="spellEnd"/>
      <w:r>
        <w:rPr>
          <w:rFonts w:cs="Times New Roman"/>
          <w:szCs w:val="24"/>
        </w:rPr>
        <w:t xml:space="preserve"> of </w:t>
      </w:r>
      <w:proofErr w:type="spellStart"/>
      <w:r>
        <w:rPr>
          <w:rFonts w:cs="Times New Roman"/>
          <w:szCs w:val="24"/>
        </w:rPr>
        <w:t>mothers</w:t>
      </w:r>
      <w:proofErr w:type="spellEnd"/>
      <w:r>
        <w:rPr>
          <w:rFonts w:cs="Times New Roman"/>
          <w:szCs w:val="24"/>
        </w:rPr>
        <w:t xml:space="preserve"> and </w:t>
      </w:r>
      <w:proofErr w:type="spellStart"/>
      <w:r>
        <w:rPr>
          <w:rFonts w:cs="Times New Roman"/>
          <w:szCs w:val="24"/>
        </w:rPr>
        <w:t>complementary</w:t>
      </w:r>
      <w:proofErr w:type="spellEnd"/>
      <w:r>
        <w:rPr>
          <w:rFonts w:cs="Times New Roman"/>
          <w:szCs w:val="24"/>
        </w:rPr>
        <w:t xml:space="preserve"> </w:t>
      </w:r>
      <w:proofErr w:type="spellStart"/>
      <w:r>
        <w:rPr>
          <w:rFonts w:cs="Times New Roman"/>
          <w:szCs w:val="24"/>
        </w:rPr>
        <w:t>feeding</w:t>
      </w:r>
      <w:proofErr w:type="spellEnd"/>
      <w:r>
        <w:rPr>
          <w:rFonts w:cs="Times New Roman"/>
          <w:szCs w:val="24"/>
        </w:rPr>
        <w:t xml:space="preserve"> practices </w:t>
      </w:r>
      <w:proofErr w:type="spellStart"/>
      <w:r>
        <w:rPr>
          <w:rFonts w:cs="Times New Roman"/>
          <w:szCs w:val="24"/>
        </w:rPr>
        <w:t>among</w:t>
      </w:r>
      <w:proofErr w:type="spellEnd"/>
      <w:r>
        <w:rPr>
          <w:rFonts w:cs="Times New Roman"/>
          <w:szCs w:val="24"/>
        </w:rPr>
        <w:t xml:space="preserve"> </w:t>
      </w:r>
      <w:proofErr w:type="spellStart"/>
      <w:r>
        <w:rPr>
          <w:rFonts w:cs="Times New Roman"/>
          <w:szCs w:val="24"/>
        </w:rPr>
        <w:t>children</w:t>
      </w:r>
      <w:proofErr w:type="spellEnd"/>
      <w:r>
        <w:rPr>
          <w:rFonts w:cs="Times New Roman"/>
          <w:szCs w:val="24"/>
        </w:rPr>
        <w:t xml:space="preserve"> </w:t>
      </w:r>
      <w:proofErr w:type="spellStart"/>
      <w:r>
        <w:rPr>
          <w:rFonts w:cs="Times New Roman"/>
          <w:szCs w:val="24"/>
        </w:rPr>
        <w:t>aged</w:t>
      </w:r>
      <w:proofErr w:type="spellEnd"/>
      <w:r>
        <w:rPr>
          <w:rFonts w:cs="Times New Roman"/>
          <w:szCs w:val="24"/>
        </w:rPr>
        <w:t xml:space="preserve"> 6 to 23 </w:t>
      </w:r>
      <w:proofErr w:type="spellStart"/>
      <w:r>
        <w:rPr>
          <w:rFonts w:cs="Times New Roman"/>
          <w:szCs w:val="24"/>
        </w:rPr>
        <w:t>months</w:t>
      </w:r>
      <w:proofErr w:type="spellEnd"/>
      <w:r>
        <w:rPr>
          <w:rFonts w:cs="Times New Roman"/>
          <w:szCs w:val="24"/>
        </w:rPr>
        <w:t xml:space="preserve"> in </w:t>
      </w:r>
      <w:proofErr w:type="spellStart"/>
      <w:r>
        <w:rPr>
          <w:rFonts w:cs="Times New Roman"/>
          <w:szCs w:val="24"/>
        </w:rPr>
        <w:t>north</w:t>
      </w:r>
      <w:proofErr w:type="spellEnd"/>
      <w:r>
        <w:rPr>
          <w:rFonts w:cs="Times New Roman"/>
          <w:szCs w:val="24"/>
        </w:rPr>
        <w:t xml:space="preserve">-central Burkina Faso. </w:t>
      </w:r>
      <w:proofErr w:type="spellStart"/>
      <w:r>
        <w:rPr>
          <w:rFonts w:cs="Times New Roman"/>
          <w:szCs w:val="24"/>
        </w:rPr>
        <w:t>Afr</w:t>
      </w:r>
      <w:proofErr w:type="spellEnd"/>
      <w:r>
        <w:rPr>
          <w:rFonts w:cs="Times New Roman"/>
          <w:szCs w:val="24"/>
        </w:rPr>
        <w:t xml:space="preserve"> J Food </w:t>
      </w:r>
      <w:proofErr w:type="spellStart"/>
      <w:r>
        <w:rPr>
          <w:rFonts w:cs="Times New Roman"/>
          <w:szCs w:val="24"/>
        </w:rPr>
        <w:t>Agric</w:t>
      </w:r>
      <w:proofErr w:type="spellEnd"/>
      <w:r>
        <w:rPr>
          <w:rFonts w:cs="Times New Roman"/>
          <w:szCs w:val="24"/>
        </w:rPr>
        <w:t xml:space="preserve"> </w:t>
      </w:r>
      <w:proofErr w:type="spellStart"/>
      <w:r>
        <w:rPr>
          <w:rFonts w:cs="Times New Roman"/>
          <w:szCs w:val="24"/>
        </w:rPr>
        <w:t>Nutr</w:t>
      </w:r>
      <w:proofErr w:type="spellEnd"/>
      <w:r>
        <w:rPr>
          <w:rFonts w:cs="Times New Roman"/>
          <w:szCs w:val="24"/>
        </w:rPr>
        <w:t xml:space="preserve"> Dev. 2022;22(10):22017‑40.</w:t>
      </w:r>
    </w:p>
    <w:p w:rsidR="00CC7802" w:rsidRDefault="00762192">
      <w:pPr>
        <w:spacing w:line="360" w:lineRule="auto"/>
        <w:jc w:val="both"/>
        <w:rPr>
          <w:rFonts w:cs="Times New Roman"/>
          <w:szCs w:val="24"/>
        </w:rPr>
      </w:pPr>
      <w:r>
        <w:rPr>
          <w:rFonts w:cs="Times New Roman"/>
          <w:szCs w:val="24"/>
        </w:rPr>
        <w:t xml:space="preserve">5. Black RE, </w:t>
      </w:r>
      <w:proofErr w:type="spellStart"/>
      <w:r>
        <w:rPr>
          <w:rFonts w:cs="Times New Roman"/>
          <w:szCs w:val="24"/>
        </w:rPr>
        <w:t>Victora</w:t>
      </w:r>
      <w:proofErr w:type="spellEnd"/>
      <w:r>
        <w:rPr>
          <w:rFonts w:cs="Times New Roman"/>
          <w:szCs w:val="24"/>
        </w:rPr>
        <w:t xml:space="preserve"> CG, Walker SP, </w:t>
      </w:r>
      <w:proofErr w:type="spellStart"/>
      <w:r>
        <w:rPr>
          <w:rFonts w:cs="Times New Roman"/>
          <w:szCs w:val="24"/>
        </w:rPr>
        <w:t>Bhutta</w:t>
      </w:r>
      <w:proofErr w:type="spellEnd"/>
      <w:r>
        <w:rPr>
          <w:rFonts w:cs="Times New Roman"/>
          <w:szCs w:val="24"/>
        </w:rPr>
        <w:t xml:space="preserve"> ZA, Christian P, de </w:t>
      </w:r>
      <w:proofErr w:type="spellStart"/>
      <w:r>
        <w:rPr>
          <w:rFonts w:cs="Times New Roman"/>
          <w:szCs w:val="24"/>
        </w:rPr>
        <w:t>Onis</w:t>
      </w:r>
      <w:proofErr w:type="spellEnd"/>
      <w:r>
        <w:rPr>
          <w:rFonts w:cs="Times New Roman"/>
          <w:szCs w:val="24"/>
        </w:rPr>
        <w:t xml:space="preserve"> M, et al. </w:t>
      </w:r>
      <w:proofErr w:type="spellStart"/>
      <w:r>
        <w:rPr>
          <w:rFonts w:cs="Times New Roman"/>
          <w:szCs w:val="24"/>
        </w:rPr>
        <w:t>Maternal</w:t>
      </w:r>
      <w:proofErr w:type="spellEnd"/>
      <w:r>
        <w:rPr>
          <w:rFonts w:cs="Times New Roman"/>
          <w:szCs w:val="24"/>
        </w:rPr>
        <w:t xml:space="preserve"> and </w:t>
      </w:r>
      <w:proofErr w:type="spellStart"/>
      <w:r>
        <w:rPr>
          <w:rFonts w:cs="Times New Roman"/>
          <w:szCs w:val="24"/>
        </w:rPr>
        <w:t>child</w:t>
      </w:r>
      <w:proofErr w:type="spellEnd"/>
      <w:r>
        <w:rPr>
          <w:rFonts w:cs="Times New Roman"/>
          <w:szCs w:val="24"/>
        </w:rPr>
        <w:t xml:space="preserve"> </w:t>
      </w:r>
      <w:proofErr w:type="spellStart"/>
      <w:r>
        <w:rPr>
          <w:rFonts w:cs="Times New Roman"/>
          <w:szCs w:val="24"/>
        </w:rPr>
        <w:t>undernutrition</w:t>
      </w:r>
      <w:proofErr w:type="spellEnd"/>
      <w:r>
        <w:rPr>
          <w:rFonts w:cs="Times New Roman"/>
          <w:szCs w:val="24"/>
        </w:rPr>
        <w:t xml:space="preserve"> and </w:t>
      </w:r>
      <w:proofErr w:type="spellStart"/>
      <w:r>
        <w:rPr>
          <w:rFonts w:cs="Times New Roman"/>
          <w:szCs w:val="24"/>
        </w:rPr>
        <w:t>overweight</w:t>
      </w:r>
      <w:proofErr w:type="spellEnd"/>
      <w:r>
        <w:rPr>
          <w:rFonts w:cs="Times New Roman"/>
          <w:szCs w:val="24"/>
        </w:rPr>
        <w:t xml:space="preserve"> in </w:t>
      </w:r>
      <w:proofErr w:type="spellStart"/>
      <w:r>
        <w:rPr>
          <w:rFonts w:cs="Times New Roman"/>
          <w:szCs w:val="24"/>
        </w:rPr>
        <w:t>low-income</w:t>
      </w:r>
      <w:proofErr w:type="spellEnd"/>
      <w:r>
        <w:rPr>
          <w:rFonts w:cs="Times New Roman"/>
          <w:szCs w:val="24"/>
        </w:rPr>
        <w:t xml:space="preserve"> and middle-</w:t>
      </w:r>
      <w:proofErr w:type="spellStart"/>
      <w:r>
        <w:rPr>
          <w:rFonts w:cs="Times New Roman"/>
          <w:szCs w:val="24"/>
        </w:rPr>
        <w:t>income</w:t>
      </w:r>
      <w:proofErr w:type="spellEnd"/>
      <w:r>
        <w:rPr>
          <w:rFonts w:cs="Times New Roman"/>
          <w:szCs w:val="24"/>
        </w:rPr>
        <w:t xml:space="preserve"> countries. Lancet </w:t>
      </w:r>
      <w:proofErr w:type="spellStart"/>
      <w:r>
        <w:rPr>
          <w:rFonts w:cs="Times New Roman"/>
          <w:szCs w:val="24"/>
        </w:rPr>
        <w:t>Lond</w:t>
      </w:r>
      <w:proofErr w:type="spellEnd"/>
      <w:r>
        <w:rPr>
          <w:rFonts w:cs="Times New Roman"/>
          <w:szCs w:val="24"/>
        </w:rPr>
        <w:t xml:space="preserve"> </w:t>
      </w:r>
      <w:proofErr w:type="spellStart"/>
      <w:r>
        <w:rPr>
          <w:rFonts w:cs="Times New Roman"/>
          <w:szCs w:val="24"/>
        </w:rPr>
        <w:t>Engl</w:t>
      </w:r>
      <w:proofErr w:type="spellEnd"/>
      <w:r>
        <w:rPr>
          <w:rFonts w:cs="Times New Roman"/>
          <w:szCs w:val="24"/>
        </w:rPr>
        <w:t xml:space="preserve">. 3 </w:t>
      </w:r>
      <w:proofErr w:type="spellStart"/>
      <w:r>
        <w:rPr>
          <w:rFonts w:cs="Times New Roman"/>
          <w:szCs w:val="24"/>
        </w:rPr>
        <w:t>Aug</w:t>
      </w:r>
      <w:proofErr w:type="spellEnd"/>
      <w:r>
        <w:rPr>
          <w:rFonts w:cs="Times New Roman"/>
          <w:szCs w:val="24"/>
        </w:rPr>
        <w:t xml:space="preserve"> 2013;382(9890):427‑51.</w:t>
      </w:r>
    </w:p>
    <w:p w:rsidR="00CC7802" w:rsidRDefault="00762192">
      <w:pPr>
        <w:spacing w:line="360" w:lineRule="auto"/>
        <w:jc w:val="both"/>
        <w:rPr>
          <w:rFonts w:cs="Times New Roman"/>
          <w:szCs w:val="24"/>
        </w:rPr>
      </w:pPr>
      <w:r>
        <w:rPr>
          <w:rFonts w:cs="Times New Roman"/>
          <w:szCs w:val="24"/>
        </w:rPr>
        <w:t xml:space="preserve">6. National Institute of </w:t>
      </w:r>
      <w:proofErr w:type="spellStart"/>
      <w:r>
        <w:rPr>
          <w:rFonts w:cs="Times New Roman"/>
          <w:szCs w:val="24"/>
        </w:rPr>
        <w:t>Statistics</w:t>
      </w:r>
      <w:proofErr w:type="spellEnd"/>
      <w:r>
        <w:rPr>
          <w:rFonts w:cs="Times New Roman"/>
          <w:szCs w:val="24"/>
        </w:rPr>
        <w:t xml:space="preserve">. </w:t>
      </w:r>
      <w:proofErr w:type="spellStart"/>
      <w:r>
        <w:rPr>
          <w:rFonts w:cs="Times New Roman"/>
          <w:szCs w:val="24"/>
        </w:rPr>
        <w:t>Retrospective</w:t>
      </w:r>
      <w:proofErr w:type="spellEnd"/>
      <w:r>
        <w:rPr>
          <w:rFonts w:cs="Times New Roman"/>
          <w:szCs w:val="24"/>
        </w:rPr>
        <w:t xml:space="preserve"> </w:t>
      </w:r>
      <w:proofErr w:type="spellStart"/>
      <w:r>
        <w:rPr>
          <w:rFonts w:cs="Times New Roman"/>
          <w:szCs w:val="24"/>
        </w:rPr>
        <w:t>survey</w:t>
      </w:r>
      <w:proofErr w:type="spellEnd"/>
      <w:r>
        <w:rPr>
          <w:rFonts w:cs="Times New Roman"/>
          <w:szCs w:val="24"/>
        </w:rPr>
        <w:t xml:space="preserve"> on nutrition and </w:t>
      </w:r>
      <w:proofErr w:type="spellStart"/>
      <w:r>
        <w:rPr>
          <w:rFonts w:cs="Times New Roman"/>
          <w:szCs w:val="24"/>
        </w:rPr>
        <w:t>mortality</w:t>
      </w:r>
      <w:proofErr w:type="spellEnd"/>
      <w:r>
        <w:rPr>
          <w:rFonts w:cs="Times New Roman"/>
          <w:szCs w:val="24"/>
        </w:rPr>
        <w:t xml:space="preserve"> in Niger - Google </w:t>
      </w:r>
      <w:proofErr w:type="spellStart"/>
      <w:r>
        <w:rPr>
          <w:rFonts w:cs="Times New Roman"/>
          <w:szCs w:val="24"/>
        </w:rPr>
        <w:t>search</w:t>
      </w:r>
      <w:proofErr w:type="spellEnd"/>
      <w:r>
        <w:rPr>
          <w:rFonts w:cs="Times New Roman"/>
          <w:szCs w:val="24"/>
        </w:rPr>
        <w:t xml:space="preserve"> [Internet]. 2022 [</w:t>
      </w:r>
      <w:proofErr w:type="spellStart"/>
      <w:r>
        <w:rPr>
          <w:rFonts w:cs="Times New Roman"/>
          <w:szCs w:val="24"/>
        </w:rPr>
        <w:t>cited</w:t>
      </w:r>
      <w:proofErr w:type="spellEnd"/>
      <w:r>
        <w:rPr>
          <w:rFonts w:cs="Times New Roman"/>
          <w:szCs w:val="24"/>
        </w:rPr>
        <w:t xml:space="preserve"> 15 </w:t>
      </w:r>
      <w:proofErr w:type="spellStart"/>
      <w:r>
        <w:rPr>
          <w:rFonts w:cs="Times New Roman"/>
          <w:szCs w:val="24"/>
        </w:rPr>
        <w:t>Oct</w:t>
      </w:r>
      <w:proofErr w:type="spellEnd"/>
      <w:r>
        <w:rPr>
          <w:rFonts w:cs="Times New Roman"/>
          <w:szCs w:val="24"/>
        </w:rPr>
        <w:t xml:space="preserve"> 2023]. </w:t>
      </w:r>
      <w:proofErr w:type="spellStart"/>
      <w:r>
        <w:rPr>
          <w:rFonts w:cs="Times New Roman"/>
          <w:szCs w:val="24"/>
        </w:rPr>
        <w:t>Available</w:t>
      </w:r>
      <w:proofErr w:type="spellEnd"/>
      <w:r>
        <w:rPr>
          <w:rFonts w:cs="Times New Roman"/>
          <w:szCs w:val="24"/>
        </w:rPr>
        <w:t xml:space="preserve"> at: https://www.stat-niger.org/?publication_recente=rapport-enquete-nutritionnelle-et-de-mortalite-retrospective-au-niger-smart-2022</w:t>
      </w:r>
    </w:p>
    <w:p w:rsidR="00CC7802" w:rsidRDefault="00762192">
      <w:pPr>
        <w:spacing w:line="360" w:lineRule="auto"/>
        <w:jc w:val="both"/>
        <w:rPr>
          <w:rFonts w:cs="Times New Roman"/>
          <w:szCs w:val="24"/>
        </w:rPr>
      </w:pPr>
      <w:r>
        <w:rPr>
          <w:rFonts w:cs="Times New Roman"/>
          <w:szCs w:val="24"/>
        </w:rPr>
        <w:t xml:space="preserve">7. </w:t>
      </w:r>
      <w:proofErr w:type="spellStart"/>
      <w:r>
        <w:rPr>
          <w:rFonts w:cs="Times New Roman"/>
          <w:szCs w:val="24"/>
        </w:rPr>
        <w:t>Kouamé</w:t>
      </w:r>
      <w:proofErr w:type="spellEnd"/>
      <w:r>
        <w:rPr>
          <w:rFonts w:cs="Times New Roman"/>
          <w:szCs w:val="24"/>
        </w:rPr>
        <w:t xml:space="preserve"> KJ, </w:t>
      </w:r>
      <w:proofErr w:type="spellStart"/>
      <w:r>
        <w:rPr>
          <w:rFonts w:cs="Times New Roman"/>
          <w:szCs w:val="24"/>
        </w:rPr>
        <w:t>Amoikon</w:t>
      </w:r>
      <w:proofErr w:type="spellEnd"/>
      <w:r>
        <w:rPr>
          <w:rFonts w:cs="Times New Roman"/>
          <w:szCs w:val="24"/>
        </w:rPr>
        <w:t xml:space="preserve"> KE, KG K, Kati-Coulibaly S. </w:t>
      </w:r>
      <w:proofErr w:type="spellStart"/>
      <w:r>
        <w:rPr>
          <w:rFonts w:cs="Times New Roman"/>
          <w:szCs w:val="24"/>
        </w:rPr>
        <w:t>Sociodemographic</w:t>
      </w:r>
      <w:proofErr w:type="spellEnd"/>
      <w:r>
        <w:rPr>
          <w:rFonts w:cs="Times New Roman"/>
          <w:szCs w:val="24"/>
        </w:rPr>
        <w:t xml:space="preserve">, </w:t>
      </w:r>
      <w:proofErr w:type="spellStart"/>
      <w:r>
        <w:rPr>
          <w:rFonts w:cs="Times New Roman"/>
          <w:szCs w:val="24"/>
        </w:rPr>
        <w:t>Economic</w:t>
      </w:r>
      <w:proofErr w:type="spellEnd"/>
      <w:r>
        <w:rPr>
          <w:rFonts w:cs="Times New Roman"/>
          <w:szCs w:val="24"/>
        </w:rPr>
        <w:t xml:space="preserve"> and Food Profiles in </w:t>
      </w:r>
      <w:proofErr w:type="spellStart"/>
      <w:r>
        <w:rPr>
          <w:rFonts w:cs="Times New Roman"/>
          <w:szCs w:val="24"/>
        </w:rPr>
        <w:t>Acutely</w:t>
      </w:r>
      <w:proofErr w:type="spellEnd"/>
      <w:r>
        <w:rPr>
          <w:rFonts w:cs="Times New Roman"/>
          <w:szCs w:val="24"/>
        </w:rPr>
        <w:t xml:space="preserve"> </w:t>
      </w:r>
      <w:proofErr w:type="spellStart"/>
      <w:r>
        <w:rPr>
          <w:rFonts w:cs="Times New Roman"/>
          <w:szCs w:val="24"/>
        </w:rPr>
        <w:t>Malnourished</w:t>
      </w:r>
      <w:proofErr w:type="spellEnd"/>
      <w:r>
        <w:rPr>
          <w:rFonts w:cs="Times New Roman"/>
          <w:szCs w:val="24"/>
        </w:rPr>
        <w:t xml:space="preserve"> </w:t>
      </w:r>
      <w:proofErr w:type="spellStart"/>
      <w:r>
        <w:rPr>
          <w:rFonts w:cs="Times New Roman"/>
          <w:szCs w:val="24"/>
        </w:rPr>
        <w:t>Children</w:t>
      </w:r>
      <w:proofErr w:type="spellEnd"/>
      <w:r>
        <w:rPr>
          <w:rFonts w:cs="Times New Roman"/>
          <w:szCs w:val="24"/>
        </w:rPr>
        <w:t xml:space="preserve">, </w:t>
      </w:r>
      <w:proofErr w:type="spellStart"/>
      <w:r>
        <w:rPr>
          <w:rFonts w:cs="Times New Roman"/>
          <w:szCs w:val="24"/>
        </w:rPr>
        <w:t>Aged</w:t>
      </w:r>
      <w:proofErr w:type="spellEnd"/>
      <w:r>
        <w:rPr>
          <w:rFonts w:cs="Times New Roman"/>
          <w:szCs w:val="24"/>
        </w:rPr>
        <w:t xml:space="preserve"> 06 to 59 </w:t>
      </w:r>
      <w:proofErr w:type="spellStart"/>
      <w:r>
        <w:rPr>
          <w:rFonts w:cs="Times New Roman"/>
          <w:szCs w:val="24"/>
        </w:rPr>
        <w:t>Months</w:t>
      </w:r>
      <w:proofErr w:type="spellEnd"/>
      <w:r>
        <w:rPr>
          <w:rFonts w:cs="Times New Roman"/>
          <w:szCs w:val="24"/>
        </w:rPr>
        <w:t xml:space="preserve">, </w:t>
      </w:r>
      <w:proofErr w:type="spellStart"/>
      <w:r>
        <w:rPr>
          <w:rFonts w:cs="Times New Roman"/>
          <w:szCs w:val="24"/>
        </w:rPr>
        <w:t>Received</w:t>
      </w:r>
      <w:proofErr w:type="spellEnd"/>
      <w:r>
        <w:rPr>
          <w:rFonts w:cs="Times New Roman"/>
          <w:szCs w:val="24"/>
        </w:rPr>
        <w:t xml:space="preserve"> at the Treichville </w:t>
      </w:r>
      <w:proofErr w:type="spellStart"/>
      <w:r>
        <w:rPr>
          <w:rFonts w:cs="Times New Roman"/>
          <w:szCs w:val="24"/>
        </w:rPr>
        <w:t>University</w:t>
      </w:r>
      <w:proofErr w:type="spellEnd"/>
      <w:r>
        <w:rPr>
          <w:rFonts w:cs="Times New Roman"/>
          <w:szCs w:val="24"/>
        </w:rPr>
        <w:t xml:space="preserve"> </w:t>
      </w:r>
      <w:proofErr w:type="spellStart"/>
      <w:r>
        <w:rPr>
          <w:rFonts w:cs="Times New Roman"/>
          <w:szCs w:val="24"/>
        </w:rPr>
        <w:t>Hospital</w:t>
      </w:r>
      <w:proofErr w:type="spellEnd"/>
      <w:r>
        <w:rPr>
          <w:rFonts w:cs="Times New Roman"/>
          <w:szCs w:val="24"/>
        </w:rPr>
        <w:t xml:space="preserve"> (Abidjan-Cote D’Ivoire). 2017 [</w:t>
      </w:r>
      <w:proofErr w:type="spellStart"/>
      <w:r>
        <w:rPr>
          <w:rFonts w:cs="Times New Roman"/>
          <w:szCs w:val="24"/>
        </w:rPr>
        <w:t>cited</w:t>
      </w:r>
      <w:proofErr w:type="spellEnd"/>
      <w:r>
        <w:rPr>
          <w:rFonts w:cs="Times New Roman"/>
          <w:szCs w:val="24"/>
        </w:rPr>
        <w:t xml:space="preserve"> 24 Jun 2024]; </w:t>
      </w:r>
      <w:proofErr w:type="spellStart"/>
      <w:r>
        <w:rPr>
          <w:rFonts w:cs="Times New Roman"/>
          <w:szCs w:val="24"/>
        </w:rPr>
        <w:t>Available</w:t>
      </w:r>
      <w:proofErr w:type="spellEnd"/>
      <w:r>
        <w:rPr>
          <w:rFonts w:cs="Times New Roman"/>
          <w:szCs w:val="24"/>
        </w:rPr>
        <w:t xml:space="preserve"> at: https://www.academia.edu/download/54139434/24.pdf</w:t>
      </w:r>
    </w:p>
    <w:p w:rsidR="00CC7802" w:rsidRDefault="00762192">
      <w:pPr>
        <w:spacing w:line="360" w:lineRule="auto"/>
        <w:jc w:val="both"/>
        <w:rPr>
          <w:rFonts w:cs="Times New Roman"/>
          <w:szCs w:val="24"/>
        </w:rPr>
      </w:pPr>
      <w:r>
        <w:rPr>
          <w:rFonts w:cs="Times New Roman"/>
          <w:szCs w:val="24"/>
        </w:rPr>
        <w:t>8. 140919_FA5_Causalite_F.pdf [Internet]. [</w:t>
      </w:r>
      <w:proofErr w:type="spellStart"/>
      <w:r>
        <w:rPr>
          <w:rFonts w:cs="Times New Roman"/>
          <w:szCs w:val="24"/>
        </w:rPr>
        <w:t>Cited</w:t>
      </w:r>
      <w:proofErr w:type="spellEnd"/>
      <w:r>
        <w:rPr>
          <w:rFonts w:cs="Times New Roman"/>
          <w:szCs w:val="24"/>
        </w:rPr>
        <w:t xml:space="preserve"> 6 Sep 2024]. </w:t>
      </w:r>
      <w:proofErr w:type="spellStart"/>
      <w:r>
        <w:rPr>
          <w:rFonts w:cs="Times New Roman"/>
          <w:szCs w:val="24"/>
        </w:rPr>
        <w:t>Available</w:t>
      </w:r>
      <w:proofErr w:type="spellEnd"/>
      <w:r>
        <w:rPr>
          <w:rFonts w:cs="Times New Roman"/>
          <w:szCs w:val="24"/>
        </w:rPr>
        <w:t xml:space="preserve"> at: https://www.inter-reseaux.org/wp-content/uploads/140919_FA5_Causalite_F.pdf</w:t>
      </w:r>
    </w:p>
    <w:p w:rsidR="00CC7802" w:rsidRDefault="00762192">
      <w:pPr>
        <w:spacing w:line="360" w:lineRule="auto"/>
        <w:jc w:val="both"/>
        <w:rPr>
          <w:rFonts w:cs="Times New Roman"/>
          <w:szCs w:val="24"/>
        </w:rPr>
      </w:pPr>
      <w:r>
        <w:rPr>
          <w:rFonts w:cs="Times New Roman"/>
          <w:szCs w:val="24"/>
        </w:rPr>
        <w:lastRenderedPageBreak/>
        <w:t xml:space="preserve">9. </w:t>
      </w:r>
      <w:proofErr w:type="spellStart"/>
      <w:r>
        <w:rPr>
          <w:rFonts w:cs="Times New Roman"/>
          <w:szCs w:val="24"/>
        </w:rPr>
        <w:t>Berde</w:t>
      </w:r>
      <w:proofErr w:type="spellEnd"/>
      <w:r>
        <w:rPr>
          <w:rFonts w:cs="Times New Roman"/>
          <w:szCs w:val="24"/>
        </w:rPr>
        <w:t xml:space="preserve"> AS, </w:t>
      </w:r>
      <w:proofErr w:type="spellStart"/>
      <w:r>
        <w:rPr>
          <w:rFonts w:cs="Times New Roman"/>
          <w:szCs w:val="24"/>
        </w:rPr>
        <w:t>Bester</w:t>
      </w:r>
      <w:proofErr w:type="spellEnd"/>
      <w:r>
        <w:rPr>
          <w:rFonts w:cs="Times New Roman"/>
          <w:szCs w:val="24"/>
        </w:rPr>
        <w:t xml:space="preserve"> P, Kruger IM. </w:t>
      </w:r>
      <w:proofErr w:type="spellStart"/>
      <w:r>
        <w:rPr>
          <w:rFonts w:cs="Times New Roman"/>
          <w:szCs w:val="24"/>
        </w:rPr>
        <w:t>Coverage</w:t>
      </w:r>
      <w:proofErr w:type="spellEnd"/>
      <w:r>
        <w:rPr>
          <w:rFonts w:cs="Times New Roman"/>
          <w:szCs w:val="24"/>
        </w:rPr>
        <w:t xml:space="preserve"> and </w:t>
      </w:r>
      <w:proofErr w:type="spellStart"/>
      <w:r>
        <w:rPr>
          <w:rFonts w:cs="Times New Roman"/>
          <w:szCs w:val="24"/>
        </w:rPr>
        <w:t>factors</w:t>
      </w:r>
      <w:proofErr w:type="spellEnd"/>
      <w:r>
        <w:rPr>
          <w:rFonts w:cs="Times New Roman"/>
          <w:szCs w:val="24"/>
        </w:rPr>
        <w:t xml:space="preserve"> </w:t>
      </w:r>
      <w:proofErr w:type="spellStart"/>
      <w:r>
        <w:rPr>
          <w:rFonts w:cs="Times New Roman"/>
          <w:szCs w:val="24"/>
        </w:rPr>
        <w:t>associated</w:t>
      </w:r>
      <w:proofErr w:type="spellEnd"/>
      <w:r>
        <w:rPr>
          <w:rFonts w:cs="Times New Roman"/>
          <w:szCs w:val="24"/>
        </w:rPr>
        <w:t xml:space="preserve"> </w:t>
      </w:r>
      <w:proofErr w:type="spellStart"/>
      <w:r>
        <w:rPr>
          <w:rFonts w:cs="Times New Roman"/>
          <w:szCs w:val="24"/>
        </w:rPr>
        <w:t>with</w:t>
      </w:r>
      <w:proofErr w:type="spellEnd"/>
      <w:r>
        <w:rPr>
          <w:rFonts w:cs="Times New Roman"/>
          <w:szCs w:val="24"/>
        </w:rPr>
        <w:t xml:space="preserve"> </w:t>
      </w:r>
      <w:proofErr w:type="spellStart"/>
      <w:r>
        <w:rPr>
          <w:rFonts w:cs="Times New Roman"/>
          <w:szCs w:val="24"/>
        </w:rPr>
        <w:t>vitamin</w:t>
      </w:r>
      <w:proofErr w:type="spellEnd"/>
      <w:r>
        <w:rPr>
          <w:rFonts w:cs="Times New Roman"/>
          <w:szCs w:val="24"/>
        </w:rPr>
        <w:t xml:space="preserve"> A </w:t>
      </w:r>
      <w:proofErr w:type="spellStart"/>
      <w:r>
        <w:rPr>
          <w:rFonts w:cs="Times New Roman"/>
          <w:szCs w:val="24"/>
        </w:rPr>
        <w:t>supplementation</w:t>
      </w:r>
      <w:proofErr w:type="spellEnd"/>
      <w:r>
        <w:rPr>
          <w:rFonts w:cs="Times New Roman"/>
          <w:szCs w:val="24"/>
        </w:rPr>
        <w:t xml:space="preserve"> </w:t>
      </w:r>
      <w:proofErr w:type="spellStart"/>
      <w:r>
        <w:rPr>
          <w:rFonts w:cs="Times New Roman"/>
          <w:szCs w:val="24"/>
        </w:rPr>
        <w:t>among</w:t>
      </w:r>
      <w:proofErr w:type="spellEnd"/>
      <w:r>
        <w:rPr>
          <w:rFonts w:cs="Times New Roman"/>
          <w:szCs w:val="24"/>
        </w:rPr>
        <w:t xml:space="preserve"> </w:t>
      </w:r>
      <w:proofErr w:type="spellStart"/>
      <w:r>
        <w:rPr>
          <w:rFonts w:cs="Times New Roman"/>
          <w:szCs w:val="24"/>
        </w:rPr>
        <w:t>children</w:t>
      </w:r>
      <w:proofErr w:type="spellEnd"/>
      <w:r>
        <w:rPr>
          <w:rFonts w:cs="Times New Roman"/>
          <w:szCs w:val="24"/>
        </w:rPr>
        <w:t xml:space="preserve"> </w:t>
      </w:r>
      <w:proofErr w:type="spellStart"/>
      <w:r>
        <w:rPr>
          <w:rFonts w:cs="Times New Roman"/>
          <w:szCs w:val="24"/>
        </w:rPr>
        <w:t>aged</w:t>
      </w:r>
      <w:proofErr w:type="spellEnd"/>
      <w:r>
        <w:rPr>
          <w:rFonts w:cs="Times New Roman"/>
          <w:szCs w:val="24"/>
        </w:rPr>
        <w:t xml:space="preserve"> 6–59 </w:t>
      </w:r>
      <w:proofErr w:type="spellStart"/>
      <w:r>
        <w:rPr>
          <w:rFonts w:cs="Times New Roman"/>
          <w:szCs w:val="24"/>
        </w:rPr>
        <w:t>months</w:t>
      </w:r>
      <w:proofErr w:type="spellEnd"/>
      <w:r>
        <w:rPr>
          <w:rFonts w:cs="Times New Roman"/>
          <w:szCs w:val="24"/>
        </w:rPr>
        <w:t xml:space="preserve"> in </w:t>
      </w:r>
      <w:proofErr w:type="spellStart"/>
      <w:r>
        <w:rPr>
          <w:rFonts w:cs="Times New Roman"/>
          <w:szCs w:val="24"/>
        </w:rPr>
        <w:t>twenty-three</w:t>
      </w:r>
      <w:proofErr w:type="spellEnd"/>
      <w:r>
        <w:rPr>
          <w:rFonts w:cs="Times New Roman"/>
          <w:szCs w:val="24"/>
        </w:rPr>
        <w:t xml:space="preserve"> </w:t>
      </w:r>
      <w:proofErr w:type="spellStart"/>
      <w:r>
        <w:rPr>
          <w:rFonts w:cs="Times New Roman"/>
          <w:szCs w:val="24"/>
        </w:rPr>
        <w:t>sub-Saharan</w:t>
      </w:r>
      <w:proofErr w:type="spellEnd"/>
      <w:r>
        <w:rPr>
          <w:rFonts w:cs="Times New Roman"/>
          <w:szCs w:val="24"/>
        </w:rPr>
        <w:t xml:space="preserve"> </w:t>
      </w:r>
      <w:proofErr w:type="spellStart"/>
      <w:r>
        <w:rPr>
          <w:rFonts w:cs="Times New Roman"/>
          <w:szCs w:val="24"/>
        </w:rPr>
        <w:t>African</w:t>
      </w:r>
      <w:proofErr w:type="spellEnd"/>
      <w:r>
        <w:rPr>
          <w:rFonts w:cs="Times New Roman"/>
          <w:szCs w:val="24"/>
        </w:rPr>
        <w:t xml:space="preserve"> countries. Public </w:t>
      </w:r>
      <w:proofErr w:type="spellStart"/>
      <w:r>
        <w:rPr>
          <w:rFonts w:cs="Times New Roman"/>
          <w:szCs w:val="24"/>
        </w:rPr>
        <w:t>Health</w:t>
      </w:r>
      <w:proofErr w:type="spellEnd"/>
      <w:r>
        <w:rPr>
          <w:rFonts w:cs="Times New Roman"/>
          <w:szCs w:val="24"/>
        </w:rPr>
        <w:t xml:space="preserve"> </w:t>
      </w:r>
      <w:proofErr w:type="spellStart"/>
      <w:r>
        <w:rPr>
          <w:rFonts w:cs="Times New Roman"/>
          <w:szCs w:val="24"/>
        </w:rPr>
        <w:t>Nutr</w:t>
      </w:r>
      <w:proofErr w:type="spellEnd"/>
      <w:r>
        <w:rPr>
          <w:rFonts w:cs="Times New Roman"/>
          <w:szCs w:val="24"/>
        </w:rPr>
        <w:t>. 2019 Jul;22(10):1770‑6.</w:t>
      </w:r>
    </w:p>
    <w:p w:rsidR="00CC7802" w:rsidRDefault="00762192">
      <w:pPr>
        <w:spacing w:line="360" w:lineRule="auto"/>
        <w:jc w:val="both"/>
        <w:rPr>
          <w:rFonts w:cs="Times New Roman"/>
          <w:szCs w:val="24"/>
        </w:rPr>
      </w:pPr>
      <w:r>
        <w:rPr>
          <w:rFonts w:cs="Times New Roman"/>
          <w:szCs w:val="24"/>
        </w:rPr>
        <w:t xml:space="preserve">10. </w:t>
      </w:r>
      <w:proofErr w:type="spellStart"/>
      <w:r>
        <w:rPr>
          <w:rFonts w:cs="Times New Roman"/>
          <w:szCs w:val="24"/>
        </w:rPr>
        <w:t>Kouamé</w:t>
      </w:r>
      <w:proofErr w:type="spellEnd"/>
      <w:r>
        <w:rPr>
          <w:rFonts w:cs="Times New Roman"/>
          <w:szCs w:val="24"/>
        </w:rPr>
        <w:t xml:space="preserve">. KJ, </w:t>
      </w:r>
      <w:proofErr w:type="spellStart"/>
      <w:r>
        <w:rPr>
          <w:rFonts w:cs="Times New Roman"/>
          <w:szCs w:val="24"/>
        </w:rPr>
        <w:t>Amoikon</w:t>
      </w:r>
      <w:proofErr w:type="spellEnd"/>
      <w:r>
        <w:rPr>
          <w:rFonts w:cs="Times New Roman"/>
          <w:szCs w:val="24"/>
        </w:rPr>
        <w:t xml:space="preserve"> KE, Kati-Coulibaly S. </w:t>
      </w:r>
      <w:proofErr w:type="spellStart"/>
      <w:r>
        <w:rPr>
          <w:rFonts w:cs="Times New Roman"/>
          <w:szCs w:val="24"/>
        </w:rPr>
        <w:t>Sociodemographic</w:t>
      </w:r>
      <w:proofErr w:type="spellEnd"/>
      <w:r>
        <w:rPr>
          <w:rFonts w:cs="Times New Roman"/>
          <w:szCs w:val="24"/>
        </w:rPr>
        <w:t xml:space="preserve">, </w:t>
      </w:r>
      <w:proofErr w:type="spellStart"/>
      <w:r>
        <w:rPr>
          <w:rFonts w:cs="Times New Roman"/>
          <w:szCs w:val="24"/>
        </w:rPr>
        <w:t>Economic</w:t>
      </w:r>
      <w:proofErr w:type="spellEnd"/>
      <w:r>
        <w:rPr>
          <w:rFonts w:cs="Times New Roman"/>
          <w:szCs w:val="24"/>
        </w:rPr>
        <w:t xml:space="preserve"> and Food Profiles in </w:t>
      </w:r>
      <w:proofErr w:type="spellStart"/>
      <w:r>
        <w:rPr>
          <w:rFonts w:cs="Times New Roman"/>
          <w:szCs w:val="24"/>
        </w:rPr>
        <w:t>Acutely</w:t>
      </w:r>
      <w:proofErr w:type="spellEnd"/>
      <w:r>
        <w:rPr>
          <w:rFonts w:cs="Times New Roman"/>
          <w:szCs w:val="24"/>
        </w:rPr>
        <w:t xml:space="preserve"> </w:t>
      </w:r>
      <w:proofErr w:type="spellStart"/>
      <w:r>
        <w:rPr>
          <w:rFonts w:cs="Times New Roman"/>
          <w:szCs w:val="24"/>
        </w:rPr>
        <w:t>Malnourished</w:t>
      </w:r>
      <w:proofErr w:type="spellEnd"/>
      <w:r>
        <w:rPr>
          <w:rFonts w:cs="Times New Roman"/>
          <w:szCs w:val="24"/>
        </w:rPr>
        <w:t xml:space="preserve"> </w:t>
      </w:r>
      <w:proofErr w:type="spellStart"/>
      <w:r>
        <w:rPr>
          <w:rFonts w:cs="Times New Roman"/>
          <w:szCs w:val="24"/>
        </w:rPr>
        <w:t>Children</w:t>
      </w:r>
      <w:proofErr w:type="spellEnd"/>
      <w:r>
        <w:rPr>
          <w:rFonts w:cs="Times New Roman"/>
          <w:szCs w:val="24"/>
        </w:rPr>
        <w:t xml:space="preserve">, </w:t>
      </w:r>
      <w:proofErr w:type="spellStart"/>
      <w:r>
        <w:rPr>
          <w:rFonts w:cs="Times New Roman"/>
          <w:szCs w:val="24"/>
        </w:rPr>
        <w:t>Aged</w:t>
      </w:r>
      <w:proofErr w:type="spellEnd"/>
      <w:r>
        <w:rPr>
          <w:rFonts w:cs="Times New Roman"/>
          <w:szCs w:val="24"/>
        </w:rPr>
        <w:t xml:space="preserve"> 6 to 59 </w:t>
      </w:r>
      <w:proofErr w:type="spellStart"/>
      <w:r>
        <w:rPr>
          <w:rFonts w:cs="Times New Roman"/>
          <w:szCs w:val="24"/>
        </w:rPr>
        <w:t>Months</w:t>
      </w:r>
      <w:proofErr w:type="spellEnd"/>
      <w:r>
        <w:rPr>
          <w:rFonts w:cs="Times New Roman"/>
          <w:szCs w:val="24"/>
        </w:rPr>
        <w:t xml:space="preserve">, </w:t>
      </w:r>
      <w:proofErr w:type="spellStart"/>
      <w:r>
        <w:rPr>
          <w:rFonts w:cs="Times New Roman"/>
          <w:szCs w:val="24"/>
        </w:rPr>
        <w:t>Admitted</w:t>
      </w:r>
      <w:proofErr w:type="spellEnd"/>
      <w:r>
        <w:rPr>
          <w:rFonts w:cs="Times New Roman"/>
          <w:szCs w:val="24"/>
        </w:rPr>
        <w:t xml:space="preserve"> to the Treichville </w:t>
      </w:r>
      <w:proofErr w:type="spellStart"/>
      <w:r>
        <w:rPr>
          <w:rFonts w:cs="Times New Roman"/>
          <w:szCs w:val="24"/>
        </w:rPr>
        <w:t>University</w:t>
      </w:r>
      <w:proofErr w:type="spellEnd"/>
      <w:r>
        <w:rPr>
          <w:rFonts w:cs="Times New Roman"/>
          <w:szCs w:val="24"/>
        </w:rPr>
        <w:t xml:space="preserve"> </w:t>
      </w:r>
      <w:proofErr w:type="spellStart"/>
      <w:r>
        <w:rPr>
          <w:rFonts w:cs="Times New Roman"/>
          <w:szCs w:val="24"/>
        </w:rPr>
        <w:t>Hospital</w:t>
      </w:r>
      <w:proofErr w:type="spellEnd"/>
      <w:r>
        <w:rPr>
          <w:rFonts w:cs="Times New Roman"/>
          <w:szCs w:val="24"/>
        </w:rPr>
        <w:t xml:space="preserve"> (Abidjan-Cote D’Ivoire). </w:t>
      </w:r>
      <w:proofErr w:type="spellStart"/>
      <w:r>
        <w:rPr>
          <w:rFonts w:cs="Times New Roman"/>
          <w:szCs w:val="24"/>
        </w:rPr>
        <w:t>Eur</w:t>
      </w:r>
      <w:proofErr w:type="spellEnd"/>
      <w:r>
        <w:rPr>
          <w:rFonts w:cs="Times New Roman"/>
          <w:szCs w:val="24"/>
        </w:rPr>
        <w:t xml:space="preserve"> </w:t>
      </w:r>
      <w:proofErr w:type="spellStart"/>
      <w:r>
        <w:rPr>
          <w:rFonts w:cs="Times New Roman"/>
          <w:szCs w:val="24"/>
        </w:rPr>
        <w:t>Sci</w:t>
      </w:r>
      <w:proofErr w:type="spellEnd"/>
      <w:r>
        <w:rPr>
          <w:rFonts w:cs="Times New Roman"/>
          <w:szCs w:val="24"/>
        </w:rPr>
        <w:t xml:space="preserve"> J ESJ. 2017 </w:t>
      </w:r>
      <w:proofErr w:type="spellStart"/>
      <w:r>
        <w:rPr>
          <w:rFonts w:cs="Times New Roman"/>
          <w:szCs w:val="24"/>
        </w:rPr>
        <w:t>Jul</w:t>
      </w:r>
      <w:proofErr w:type="spellEnd"/>
      <w:r>
        <w:rPr>
          <w:rFonts w:cs="Times New Roman"/>
          <w:szCs w:val="24"/>
        </w:rPr>
        <w:t xml:space="preserve"> 31;13(21):338.</w:t>
      </w:r>
    </w:p>
    <w:p w:rsidR="00CC7802" w:rsidRDefault="00762192">
      <w:pPr>
        <w:spacing w:line="360" w:lineRule="auto"/>
        <w:jc w:val="both"/>
        <w:rPr>
          <w:rFonts w:cs="Times New Roman"/>
          <w:szCs w:val="24"/>
        </w:rPr>
      </w:pPr>
      <w:r>
        <w:rPr>
          <w:rFonts w:cs="Times New Roman"/>
          <w:szCs w:val="24"/>
        </w:rPr>
        <w:t xml:space="preserve">11. INS. Joint </w:t>
      </w:r>
      <w:proofErr w:type="spellStart"/>
      <w:r>
        <w:rPr>
          <w:rFonts w:cs="Times New Roman"/>
          <w:szCs w:val="24"/>
        </w:rPr>
        <w:t>survey</w:t>
      </w:r>
      <w:proofErr w:type="spellEnd"/>
      <w:r>
        <w:rPr>
          <w:rFonts w:cs="Times New Roman"/>
          <w:szCs w:val="24"/>
        </w:rPr>
        <w:t xml:space="preserve"> on </w:t>
      </w:r>
      <w:proofErr w:type="spellStart"/>
      <w:r>
        <w:rPr>
          <w:rFonts w:cs="Times New Roman"/>
          <w:szCs w:val="24"/>
        </w:rPr>
        <w:t>household</w:t>
      </w:r>
      <w:proofErr w:type="spellEnd"/>
      <w:r>
        <w:rPr>
          <w:rFonts w:cs="Times New Roman"/>
          <w:szCs w:val="24"/>
        </w:rPr>
        <w:t xml:space="preserve"> </w:t>
      </w:r>
      <w:proofErr w:type="spellStart"/>
      <w:r>
        <w:rPr>
          <w:rFonts w:cs="Times New Roman"/>
          <w:szCs w:val="24"/>
        </w:rPr>
        <w:t>vulnerability</w:t>
      </w:r>
      <w:proofErr w:type="spellEnd"/>
      <w:r>
        <w:rPr>
          <w:rFonts w:cs="Times New Roman"/>
          <w:szCs w:val="24"/>
        </w:rPr>
        <w:t xml:space="preserve"> to </w:t>
      </w:r>
      <w:proofErr w:type="spellStart"/>
      <w:r>
        <w:rPr>
          <w:rFonts w:cs="Times New Roman"/>
          <w:szCs w:val="24"/>
        </w:rPr>
        <w:t>food</w:t>
      </w:r>
      <w:proofErr w:type="spellEnd"/>
      <w:r>
        <w:rPr>
          <w:rFonts w:cs="Times New Roman"/>
          <w:szCs w:val="24"/>
        </w:rPr>
        <w:t xml:space="preserve"> </w:t>
      </w:r>
      <w:proofErr w:type="spellStart"/>
      <w:r>
        <w:rPr>
          <w:rFonts w:cs="Times New Roman"/>
          <w:szCs w:val="24"/>
        </w:rPr>
        <w:t>insecurity</w:t>
      </w:r>
      <w:proofErr w:type="spellEnd"/>
      <w:r>
        <w:rPr>
          <w:rFonts w:cs="Times New Roman"/>
          <w:szCs w:val="24"/>
        </w:rPr>
        <w:t xml:space="preserve"> in Niger (</w:t>
      </w:r>
      <w:proofErr w:type="spellStart"/>
      <w:r>
        <w:rPr>
          <w:rFonts w:cs="Times New Roman"/>
          <w:szCs w:val="24"/>
        </w:rPr>
        <w:t>December</w:t>
      </w:r>
      <w:proofErr w:type="spellEnd"/>
      <w:r>
        <w:rPr>
          <w:rFonts w:cs="Times New Roman"/>
          <w:szCs w:val="24"/>
        </w:rPr>
        <w:t xml:space="preserve"> 2014-January 2015). Niamey/Niger; 2015 p. 118. http://stat-niger.org/wp-content/uploads/2020/06/EVIAMDec2014-Janvier2015.pdf. </w:t>
      </w:r>
      <w:proofErr w:type="spellStart"/>
      <w:r>
        <w:rPr>
          <w:rFonts w:cs="Times New Roman"/>
          <w:szCs w:val="24"/>
        </w:rPr>
        <w:t>Accessed</w:t>
      </w:r>
      <w:proofErr w:type="spellEnd"/>
      <w:r>
        <w:rPr>
          <w:rFonts w:cs="Times New Roman"/>
          <w:szCs w:val="24"/>
        </w:rPr>
        <w:t xml:space="preserve"> </w:t>
      </w:r>
      <w:proofErr w:type="spellStart"/>
      <w:r>
        <w:rPr>
          <w:rFonts w:cs="Times New Roman"/>
          <w:szCs w:val="24"/>
        </w:rPr>
        <w:t>September</w:t>
      </w:r>
      <w:proofErr w:type="spellEnd"/>
      <w:r>
        <w:rPr>
          <w:rFonts w:cs="Times New Roman"/>
          <w:szCs w:val="24"/>
        </w:rPr>
        <w:t xml:space="preserve"> 11, 2023</w:t>
      </w:r>
    </w:p>
    <w:p w:rsidR="00CC7802" w:rsidRDefault="00762192">
      <w:pPr>
        <w:spacing w:line="360" w:lineRule="auto"/>
        <w:jc w:val="both"/>
        <w:rPr>
          <w:rFonts w:cs="Times New Roman"/>
          <w:szCs w:val="24"/>
        </w:rPr>
      </w:pPr>
      <w:r>
        <w:rPr>
          <w:rFonts w:cs="Times New Roman"/>
          <w:szCs w:val="24"/>
        </w:rPr>
        <w:t xml:space="preserve">12. INS. </w:t>
      </w:r>
      <w:proofErr w:type="spellStart"/>
      <w:r>
        <w:rPr>
          <w:rFonts w:cs="Times New Roman"/>
          <w:szCs w:val="24"/>
        </w:rPr>
        <w:t>Preliminary</w:t>
      </w:r>
      <w:proofErr w:type="spellEnd"/>
      <w:r>
        <w:rPr>
          <w:rFonts w:cs="Times New Roman"/>
          <w:szCs w:val="24"/>
        </w:rPr>
        <w:t xml:space="preserve"> </w:t>
      </w:r>
      <w:proofErr w:type="spellStart"/>
      <w:r>
        <w:rPr>
          <w:rFonts w:cs="Times New Roman"/>
          <w:szCs w:val="24"/>
        </w:rPr>
        <w:t>results</w:t>
      </w:r>
      <w:proofErr w:type="spellEnd"/>
      <w:r>
        <w:rPr>
          <w:rFonts w:cs="Times New Roman"/>
          <w:szCs w:val="24"/>
        </w:rPr>
        <w:t xml:space="preserve"> of the joint </w:t>
      </w:r>
      <w:proofErr w:type="spellStart"/>
      <w:r>
        <w:rPr>
          <w:rFonts w:cs="Times New Roman"/>
          <w:szCs w:val="24"/>
        </w:rPr>
        <w:t>survey</w:t>
      </w:r>
      <w:proofErr w:type="spellEnd"/>
      <w:r>
        <w:rPr>
          <w:rFonts w:cs="Times New Roman"/>
          <w:szCs w:val="24"/>
        </w:rPr>
        <w:t xml:space="preserve"> on </w:t>
      </w:r>
      <w:proofErr w:type="spellStart"/>
      <w:r>
        <w:rPr>
          <w:rFonts w:cs="Times New Roman"/>
          <w:szCs w:val="24"/>
        </w:rPr>
        <w:t>household</w:t>
      </w:r>
      <w:proofErr w:type="spellEnd"/>
      <w:r>
        <w:rPr>
          <w:rFonts w:cs="Times New Roman"/>
          <w:szCs w:val="24"/>
        </w:rPr>
        <w:t xml:space="preserve"> </w:t>
      </w:r>
      <w:proofErr w:type="spellStart"/>
      <w:r>
        <w:rPr>
          <w:rFonts w:cs="Times New Roman"/>
          <w:szCs w:val="24"/>
        </w:rPr>
        <w:t>vulnerability</w:t>
      </w:r>
      <w:proofErr w:type="spellEnd"/>
      <w:r>
        <w:rPr>
          <w:rFonts w:cs="Times New Roman"/>
          <w:szCs w:val="24"/>
        </w:rPr>
        <w:t xml:space="preserve"> to </w:t>
      </w:r>
      <w:proofErr w:type="spellStart"/>
      <w:r>
        <w:rPr>
          <w:rFonts w:cs="Times New Roman"/>
          <w:szCs w:val="24"/>
        </w:rPr>
        <w:t>food</w:t>
      </w:r>
      <w:proofErr w:type="spellEnd"/>
      <w:r>
        <w:rPr>
          <w:rFonts w:cs="Times New Roman"/>
          <w:szCs w:val="24"/>
        </w:rPr>
        <w:t xml:space="preserve"> </w:t>
      </w:r>
      <w:proofErr w:type="spellStart"/>
      <w:r>
        <w:rPr>
          <w:rFonts w:cs="Times New Roman"/>
          <w:szCs w:val="24"/>
        </w:rPr>
        <w:t>insecurity</w:t>
      </w:r>
      <w:proofErr w:type="spellEnd"/>
      <w:r>
        <w:rPr>
          <w:rFonts w:cs="Times New Roman"/>
          <w:szCs w:val="24"/>
        </w:rPr>
        <w:t xml:space="preserve"> in Niger (</w:t>
      </w:r>
      <w:proofErr w:type="spellStart"/>
      <w:r>
        <w:rPr>
          <w:rFonts w:cs="Times New Roman"/>
          <w:szCs w:val="24"/>
        </w:rPr>
        <w:t>December</w:t>
      </w:r>
      <w:proofErr w:type="spellEnd"/>
      <w:r>
        <w:rPr>
          <w:rFonts w:cs="Times New Roman"/>
          <w:szCs w:val="24"/>
        </w:rPr>
        <w:t xml:space="preserve"> 2017). Niamey, Niger; 2017 p. 14.</w:t>
      </w:r>
    </w:p>
    <w:p w:rsidR="00CC7802" w:rsidRDefault="00762192">
      <w:pPr>
        <w:spacing w:line="360" w:lineRule="auto"/>
        <w:jc w:val="both"/>
        <w:rPr>
          <w:rFonts w:cs="Times New Roman"/>
          <w:szCs w:val="24"/>
        </w:rPr>
      </w:pPr>
      <w:r>
        <w:rPr>
          <w:rFonts w:cs="Times New Roman"/>
          <w:szCs w:val="24"/>
        </w:rPr>
        <w:t xml:space="preserve">13. INS. </w:t>
      </w:r>
      <w:proofErr w:type="spellStart"/>
      <w:r>
        <w:rPr>
          <w:rFonts w:cs="Times New Roman"/>
          <w:szCs w:val="24"/>
        </w:rPr>
        <w:t>Demographic</w:t>
      </w:r>
      <w:proofErr w:type="spellEnd"/>
      <w:r>
        <w:rPr>
          <w:rFonts w:cs="Times New Roman"/>
          <w:szCs w:val="24"/>
        </w:rPr>
        <w:t xml:space="preserve"> and </w:t>
      </w:r>
      <w:proofErr w:type="spellStart"/>
      <w:r>
        <w:rPr>
          <w:rFonts w:cs="Times New Roman"/>
          <w:szCs w:val="24"/>
        </w:rPr>
        <w:t>Health</w:t>
      </w:r>
      <w:proofErr w:type="spellEnd"/>
      <w:r>
        <w:rPr>
          <w:rFonts w:cs="Times New Roman"/>
          <w:szCs w:val="24"/>
        </w:rPr>
        <w:t xml:space="preserve"> Survey and Multiple </w:t>
      </w:r>
      <w:proofErr w:type="spellStart"/>
      <w:r>
        <w:rPr>
          <w:rFonts w:cs="Times New Roman"/>
          <w:szCs w:val="24"/>
        </w:rPr>
        <w:t>Indicator</w:t>
      </w:r>
      <w:proofErr w:type="spellEnd"/>
      <w:r>
        <w:rPr>
          <w:rFonts w:cs="Times New Roman"/>
          <w:szCs w:val="24"/>
        </w:rPr>
        <w:t xml:space="preserve"> Cluster Survey (EDSN-MICS V). Niamey, Niger; 2017 p. 486 http://stat-niger.org/wp-content/uploads/2020/06/2017_NIAMEY_4eme_vague_PMA2020.pdf, </w:t>
      </w:r>
      <w:proofErr w:type="spellStart"/>
      <w:r>
        <w:rPr>
          <w:rFonts w:cs="Times New Roman"/>
          <w:szCs w:val="24"/>
        </w:rPr>
        <w:t>consulted</w:t>
      </w:r>
      <w:proofErr w:type="spellEnd"/>
      <w:r>
        <w:rPr>
          <w:rFonts w:cs="Times New Roman"/>
          <w:szCs w:val="24"/>
        </w:rPr>
        <w:t xml:space="preserve"> on </w:t>
      </w:r>
      <w:proofErr w:type="spellStart"/>
      <w:r>
        <w:rPr>
          <w:rFonts w:cs="Times New Roman"/>
          <w:szCs w:val="24"/>
        </w:rPr>
        <w:t>September</w:t>
      </w:r>
      <w:proofErr w:type="spellEnd"/>
      <w:r>
        <w:rPr>
          <w:rFonts w:cs="Times New Roman"/>
          <w:szCs w:val="24"/>
        </w:rPr>
        <w:t xml:space="preserve"> 20, 2022.</w:t>
      </w:r>
    </w:p>
    <w:p w:rsidR="00CC7802" w:rsidRDefault="00762192">
      <w:pPr>
        <w:spacing w:line="360" w:lineRule="auto"/>
        <w:jc w:val="both"/>
        <w:rPr>
          <w:rFonts w:cs="Times New Roman"/>
          <w:szCs w:val="24"/>
        </w:rPr>
      </w:pPr>
      <w:r>
        <w:rPr>
          <w:rFonts w:cs="Times New Roman"/>
          <w:szCs w:val="24"/>
        </w:rPr>
        <w:t xml:space="preserve">14. INS. </w:t>
      </w:r>
      <w:proofErr w:type="spellStart"/>
      <w:r>
        <w:rPr>
          <w:rFonts w:cs="Times New Roman"/>
          <w:szCs w:val="24"/>
        </w:rPr>
        <w:t>Household</w:t>
      </w:r>
      <w:proofErr w:type="spellEnd"/>
      <w:r>
        <w:rPr>
          <w:rFonts w:cs="Times New Roman"/>
          <w:szCs w:val="24"/>
        </w:rPr>
        <w:t xml:space="preserve"> Food </w:t>
      </w:r>
      <w:proofErr w:type="spellStart"/>
      <w:r>
        <w:rPr>
          <w:rFonts w:cs="Times New Roman"/>
          <w:szCs w:val="24"/>
        </w:rPr>
        <w:t>Insecurity</w:t>
      </w:r>
      <w:proofErr w:type="spellEnd"/>
      <w:r>
        <w:rPr>
          <w:rFonts w:cs="Times New Roman"/>
          <w:szCs w:val="24"/>
        </w:rPr>
        <w:t xml:space="preserve"> </w:t>
      </w:r>
      <w:proofErr w:type="spellStart"/>
      <w:r>
        <w:rPr>
          <w:rFonts w:cs="Times New Roman"/>
          <w:szCs w:val="24"/>
        </w:rPr>
        <w:t>Vulnerability</w:t>
      </w:r>
      <w:proofErr w:type="spellEnd"/>
      <w:r>
        <w:rPr>
          <w:rFonts w:cs="Times New Roman"/>
          <w:szCs w:val="24"/>
        </w:rPr>
        <w:t xml:space="preserve"> Survey (</w:t>
      </w:r>
      <w:proofErr w:type="spellStart"/>
      <w:r>
        <w:rPr>
          <w:rFonts w:cs="Times New Roman"/>
          <w:szCs w:val="24"/>
        </w:rPr>
        <w:t>January-February</w:t>
      </w:r>
      <w:proofErr w:type="spellEnd"/>
      <w:r>
        <w:rPr>
          <w:rFonts w:cs="Times New Roman"/>
          <w:szCs w:val="24"/>
        </w:rPr>
        <w:t xml:space="preserve"> 2020). Niamey, Niger. p. 138. http://stat-niger.org/wp-content/uploads/2020/06/2017_NIAMEY_4eme_vague_PMA2020.pdf. </w:t>
      </w:r>
      <w:proofErr w:type="spellStart"/>
      <w:r>
        <w:rPr>
          <w:rFonts w:cs="Times New Roman"/>
          <w:szCs w:val="24"/>
        </w:rPr>
        <w:t>Consulted</w:t>
      </w:r>
      <w:proofErr w:type="spellEnd"/>
      <w:r>
        <w:rPr>
          <w:rFonts w:cs="Times New Roman"/>
          <w:szCs w:val="24"/>
        </w:rPr>
        <w:t xml:space="preserve"> on </w:t>
      </w:r>
      <w:proofErr w:type="spellStart"/>
      <w:r>
        <w:rPr>
          <w:rFonts w:cs="Times New Roman"/>
          <w:szCs w:val="24"/>
        </w:rPr>
        <w:t>September</w:t>
      </w:r>
      <w:proofErr w:type="spellEnd"/>
      <w:r>
        <w:rPr>
          <w:rFonts w:cs="Times New Roman"/>
          <w:szCs w:val="24"/>
        </w:rPr>
        <w:t xml:space="preserve"> 15, 2023</w:t>
      </w:r>
    </w:p>
    <w:p w:rsidR="00CC7802" w:rsidRDefault="00762192">
      <w:pPr>
        <w:spacing w:line="360" w:lineRule="auto"/>
        <w:jc w:val="both"/>
        <w:rPr>
          <w:rFonts w:cs="Times New Roman"/>
          <w:szCs w:val="24"/>
        </w:rPr>
      </w:pPr>
      <w:r>
        <w:rPr>
          <w:rFonts w:cs="Times New Roman"/>
          <w:szCs w:val="24"/>
        </w:rPr>
        <w:t xml:space="preserve">15. INS. </w:t>
      </w:r>
      <w:proofErr w:type="spellStart"/>
      <w:r>
        <w:rPr>
          <w:rFonts w:cs="Times New Roman"/>
          <w:szCs w:val="24"/>
        </w:rPr>
        <w:t>Retrospective</w:t>
      </w:r>
      <w:proofErr w:type="spellEnd"/>
      <w:r>
        <w:rPr>
          <w:rFonts w:cs="Times New Roman"/>
          <w:szCs w:val="24"/>
        </w:rPr>
        <w:t xml:space="preserve"> Nutrition and </w:t>
      </w:r>
      <w:proofErr w:type="spellStart"/>
      <w:r>
        <w:rPr>
          <w:rFonts w:cs="Times New Roman"/>
          <w:szCs w:val="24"/>
        </w:rPr>
        <w:t>Mortality</w:t>
      </w:r>
      <w:proofErr w:type="spellEnd"/>
      <w:r>
        <w:rPr>
          <w:rFonts w:cs="Times New Roman"/>
          <w:szCs w:val="24"/>
        </w:rPr>
        <w:t xml:space="preserve"> Survey in Niger. Niamey, Niger; 2021 p. 101. Report No.: final report.</w:t>
      </w:r>
    </w:p>
    <w:p w:rsidR="00CC7802" w:rsidRDefault="00762192">
      <w:pPr>
        <w:spacing w:line="360" w:lineRule="auto"/>
        <w:jc w:val="both"/>
        <w:rPr>
          <w:rFonts w:cs="Times New Roman"/>
          <w:szCs w:val="24"/>
        </w:rPr>
      </w:pPr>
      <w:r>
        <w:rPr>
          <w:rFonts w:cs="Times New Roman"/>
          <w:szCs w:val="24"/>
        </w:rPr>
        <w:t xml:space="preserve">16. INS. Final Report of the National </w:t>
      </w:r>
      <w:proofErr w:type="spellStart"/>
      <w:r>
        <w:rPr>
          <w:rFonts w:cs="Times New Roman"/>
          <w:szCs w:val="24"/>
        </w:rPr>
        <w:t>Assessment</w:t>
      </w:r>
      <w:proofErr w:type="spellEnd"/>
      <w:r>
        <w:rPr>
          <w:rFonts w:cs="Times New Roman"/>
          <w:szCs w:val="24"/>
        </w:rPr>
        <w:t xml:space="preserve"> of the </w:t>
      </w:r>
      <w:proofErr w:type="spellStart"/>
      <w:r>
        <w:rPr>
          <w:rFonts w:cs="Times New Roman"/>
          <w:szCs w:val="24"/>
        </w:rPr>
        <w:t>Nutritional</w:t>
      </w:r>
      <w:proofErr w:type="spellEnd"/>
      <w:r>
        <w:rPr>
          <w:rFonts w:cs="Times New Roman"/>
          <w:szCs w:val="24"/>
        </w:rPr>
        <w:t xml:space="preserve"> Situation </w:t>
      </w:r>
      <w:proofErr w:type="spellStart"/>
      <w:r>
        <w:rPr>
          <w:rFonts w:cs="Times New Roman"/>
          <w:szCs w:val="24"/>
        </w:rPr>
        <w:t>Using</w:t>
      </w:r>
      <w:proofErr w:type="spellEnd"/>
      <w:r>
        <w:rPr>
          <w:rFonts w:cs="Times New Roman"/>
          <w:szCs w:val="24"/>
        </w:rPr>
        <w:t xml:space="preserve"> the SMART </w:t>
      </w:r>
      <w:proofErr w:type="spellStart"/>
      <w:r>
        <w:rPr>
          <w:rFonts w:cs="Times New Roman"/>
          <w:szCs w:val="24"/>
        </w:rPr>
        <w:t>Methodology</w:t>
      </w:r>
      <w:proofErr w:type="spellEnd"/>
      <w:r>
        <w:rPr>
          <w:rFonts w:cs="Times New Roman"/>
          <w:szCs w:val="24"/>
        </w:rPr>
        <w:t xml:space="preserve"> in Niger (August 16 and </w:t>
      </w:r>
      <w:proofErr w:type="spellStart"/>
      <w:r>
        <w:rPr>
          <w:rFonts w:cs="Times New Roman"/>
          <w:szCs w:val="24"/>
        </w:rPr>
        <w:t>September</w:t>
      </w:r>
      <w:proofErr w:type="spellEnd"/>
      <w:r>
        <w:rPr>
          <w:rFonts w:cs="Times New Roman"/>
          <w:szCs w:val="24"/>
        </w:rPr>
        <w:t xml:space="preserve"> 25, 2019). Niamey Niger; 2019 p. 169.stat-niger.org/</w:t>
      </w:r>
      <w:proofErr w:type="spellStart"/>
      <w:r>
        <w:rPr>
          <w:rFonts w:cs="Times New Roman"/>
          <w:szCs w:val="24"/>
        </w:rPr>
        <w:t>wp</w:t>
      </w:r>
      <w:proofErr w:type="spellEnd"/>
      <w:r>
        <w:rPr>
          <w:rFonts w:cs="Times New Roman"/>
          <w:szCs w:val="24"/>
        </w:rPr>
        <w:t xml:space="preserve"> </w:t>
      </w:r>
      <w:proofErr w:type="gramStart"/>
      <w:r>
        <w:rPr>
          <w:rFonts w:cs="Times New Roman"/>
          <w:szCs w:val="24"/>
        </w:rPr>
        <w:t>content/</w:t>
      </w:r>
      <w:proofErr w:type="spellStart"/>
      <w:r>
        <w:rPr>
          <w:rFonts w:cs="Times New Roman"/>
          <w:szCs w:val="24"/>
        </w:rPr>
        <w:t>uploads</w:t>
      </w:r>
      <w:proofErr w:type="spellEnd"/>
      <w:r>
        <w:rPr>
          <w:rFonts w:cs="Times New Roman"/>
          <w:szCs w:val="24"/>
        </w:rPr>
        <w:t>/2020/06/Rapport_Enquete_Smart_2019.pdf(</w:t>
      </w:r>
      <w:proofErr w:type="spellStart"/>
      <w:proofErr w:type="gramEnd"/>
      <w:r>
        <w:rPr>
          <w:rFonts w:cs="Times New Roman"/>
          <w:szCs w:val="24"/>
        </w:rPr>
        <w:t>Accessed</w:t>
      </w:r>
      <w:proofErr w:type="spellEnd"/>
      <w:r>
        <w:rPr>
          <w:rFonts w:cs="Times New Roman"/>
          <w:szCs w:val="24"/>
        </w:rPr>
        <w:t xml:space="preserve"> 14.11. 2023)</w:t>
      </w:r>
    </w:p>
    <w:p w:rsidR="00CC7802" w:rsidRDefault="00762192">
      <w:pPr>
        <w:spacing w:line="360" w:lineRule="auto"/>
        <w:jc w:val="both"/>
        <w:rPr>
          <w:rFonts w:cs="Times New Roman"/>
          <w:szCs w:val="24"/>
        </w:rPr>
      </w:pPr>
      <w:r>
        <w:rPr>
          <w:rFonts w:cs="Times New Roman"/>
          <w:szCs w:val="24"/>
        </w:rPr>
        <w:t xml:space="preserve">17. BOULA EFM, MANANGA V, ELENGA M, KINKELA T. </w:t>
      </w:r>
      <w:proofErr w:type="spellStart"/>
      <w:r>
        <w:rPr>
          <w:rFonts w:cs="Times New Roman"/>
          <w:szCs w:val="24"/>
        </w:rPr>
        <w:t>Study</w:t>
      </w:r>
      <w:proofErr w:type="spellEnd"/>
      <w:r>
        <w:rPr>
          <w:rFonts w:cs="Times New Roman"/>
          <w:szCs w:val="24"/>
        </w:rPr>
        <w:t xml:space="preserve"> of the </w:t>
      </w:r>
      <w:proofErr w:type="spellStart"/>
      <w:r>
        <w:rPr>
          <w:rFonts w:cs="Times New Roman"/>
          <w:szCs w:val="24"/>
        </w:rPr>
        <w:t>eating</w:t>
      </w:r>
      <w:proofErr w:type="spellEnd"/>
      <w:r>
        <w:rPr>
          <w:rFonts w:cs="Times New Roman"/>
          <w:szCs w:val="24"/>
        </w:rPr>
        <w:t xml:space="preserve"> habits of Brazzaville </w:t>
      </w:r>
      <w:proofErr w:type="spellStart"/>
      <w:r>
        <w:rPr>
          <w:rFonts w:cs="Times New Roman"/>
          <w:szCs w:val="24"/>
        </w:rPr>
        <w:t>households</w:t>
      </w:r>
      <w:proofErr w:type="spellEnd"/>
      <w:r>
        <w:rPr>
          <w:rFonts w:cs="Times New Roman"/>
          <w:szCs w:val="24"/>
        </w:rPr>
        <w:t xml:space="preserve"> </w:t>
      </w:r>
      <w:proofErr w:type="spellStart"/>
      <w:r>
        <w:rPr>
          <w:rFonts w:cs="Times New Roman"/>
          <w:szCs w:val="24"/>
        </w:rPr>
        <w:t>with</w:t>
      </w:r>
      <w:proofErr w:type="spellEnd"/>
      <w:r>
        <w:rPr>
          <w:rFonts w:cs="Times New Roman"/>
          <w:szCs w:val="24"/>
        </w:rPr>
        <w:t xml:space="preserve"> a </w:t>
      </w:r>
      <w:proofErr w:type="spellStart"/>
      <w:r>
        <w:rPr>
          <w:rFonts w:cs="Times New Roman"/>
          <w:szCs w:val="24"/>
        </w:rPr>
        <w:t>view</w:t>
      </w:r>
      <w:proofErr w:type="spellEnd"/>
      <w:r>
        <w:rPr>
          <w:rFonts w:cs="Times New Roman"/>
          <w:szCs w:val="24"/>
        </w:rPr>
        <w:t xml:space="preserve"> to </w:t>
      </w:r>
      <w:proofErr w:type="spellStart"/>
      <w:r>
        <w:rPr>
          <w:rFonts w:cs="Times New Roman"/>
          <w:szCs w:val="24"/>
        </w:rPr>
        <w:t>combating</w:t>
      </w:r>
      <w:proofErr w:type="spellEnd"/>
      <w:r>
        <w:rPr>
          <w:rFonts w:cs="Times New Roman"/>
          <w:szCs w:val="24"/>
        </w:rPr>
        <w:t xml:space="preserve"> </w:t>
      </w:r>
      <w:proofErr w:type="spellStart"/>
      <w:r>
        <w:rPr>
          <w:rFonts w:cs="Times New Roman"/>
          <w:szCs w:val="24"/>
        </w:rPr>
        <w:t>vitamin</w:t>
      </w:r>
      <w:proofErr w:type="spellEnd"/>
      <w:r>
        <w:rPr>
          <w:rFonts w:cs="Times New Roman"/>
          <w:szCs w:val="24"/>
        </w:rPr>
        <w:t xml:space="preserve"> A </w:t>
      </w:r>
      <w:proofErr w:type="spellStart"/>
      <w:r>
        <w:rPr>
          <w:rFonts w:cs="Times New Roman"/>
          <w:szCs w:val="24"/>
        </w:rPr>
        <w:t>deficiency</w:t>
      </w:r>
      <w:proofErr w:type="spellEnd"/>
      <w:r>
        <w:rPr>
          <w:rFonts w:cs="Times New Roman"/>
          <w:szCs w:val="24"/>
        </w:rPr>
        <w:t xml:space="preserve">. J </w:t>
      </w:r>
      <w:proofErr w:type="spellStart"/>
      <w:r>
        <w:rPr>
          <w:rFonts w:cs="Times New Roman"/>
          <w:szCs w:val="24"/>
        </w:rPr>
        <w:t>Appl</w:t>
      </w:r>
      <w:proofErr w:type="spellEnd"/>
      <w:r>
        <w:rPr>
          <w:rFonts w:cs="Times New Roman"/>
          <w:szCs w:val="24"/>
        </w:rPr>
        <w:t xml:space="preserve"> </w:t>
      </w:r>
      <w:proofErr w:type="spellStart"/>
      <w:r>
        <w:rPr>
          <w:rFonts w:cs="Times New Roman"/>
          <w:szCs w:val="24"/>
        </w:rPr>
        <w:t>Biosci</w:t>
      </w:r>
      <w:proofErr w:type="spellEnd"/>
      <w:r>
        <w:rPr>
          <w:rFonts w:cs="Times New Roman"/>
          <w:szCs w:val="24"/>
        </w:rPr>
        <w:t>. 2016; 97:9174-86.</w:t>
      </w:r>
    </w:p>
    <w:p w:rsidR="00CC7802" w:rsidRDefault="00CC7802">
      <w:pPr>
        <w:spacing w:line="360" w:lineRule="auto"/>
        <w:jc w:val="both"/>
        <w:rPr>
          <w:rFonts w:cs="Times New Roman"/>
          <w:szCs w:val="24"/>
        </w:rPr>
      </w:pPr>
    </w:p>
    <w:p w:rsidR="00CC7802" w:rsidRDefault="00762192">
      <w:pPr>
        <w:spacing w:line="360" w:lineRule="auto"/>
        <w:jc w:val="both"/>
        <w:rPr>
          <w:rFonts w:cs="Times New Roman"/>
          <w:szCs w:val="24"/>
        </w:rPr>
      </w:pPr>
      <w:r>
        <w:rPr>
          <w:rFonts w:cs="Times New Roman"/>
          <w:szCs w:val="24"/>
        </w:rPr>
        <w:lastRenderedPageBreak/>
        <w:t xml:space="preserve">18. </w:t>
      </w:r>
      <w:proofErr w:type="spellStart"/>
      <w:r>
        <w:rPr>
          <w:rFonts w:cs="Times New Roman"/>
          <w:szCs w:val="24"/>
        </w:rPr>
        <w:t>Rakotonirainy</w:t>
      </w:r>
      <w:proofErr w:type="spellEnd"/>
      <w:r>
        <w:rPr>
          <w:rFonts w:cs="Times New Roman"/>
          <w:szCs w:val="24"/>
        </w:rPr>
        <w:t xml:space="preserve"> NH, </w:t>
      </w:r>
      <w:proofErr w:type="spellStart"/>
      <w:r>
        <w:rPr>
          <w:rFonts w:cs="Times New Roman"/>
          <w:szCs w:val="24"/>
        </w:rPr>
        <w:t>Razafindratovo</w:t>
      </w:r>
      <w:proofErr w:type="spellEnd"/>
      <w:r>
        <w:rPr>
          <w:rFonts w:cs="Times New Roman"/>
          <w:szCs w:val="24"/>
        </w:rPr>
        <w:t xml:space="preserve"> V, </w:t>
      </w:r>
      <w:proofErr w:type="spellStart"/>
      <w:r>
        <w:rPr>
          <w:rFonts w:cs="Times New Roman"/>
          <w:szCs w:val="24"/>
        </w:rPr>
        <w:t>Remonja</w:t>
      </w:r>
      <w:proofErr w:type="spellEnd"/>
      <w:r>
        <w:rPr>
          <w:rFonts w:cs="Times New Roman"/>
          <w:szCs w:val="24"/>
        </w:rPr>
        <w:t xml:space="preserve"> CR, </w:t>
      </w:r>
      <w:proofErr w:type="spellStart"/>
      <w:r>
        <w:rPr>
          <w:rFonts w:cs="Times New Roman"/>
          <w:szCs w:val="24"/>
        </w:rPr>
        <w:t>Rasoloarijaona</w:t>
      </w:r>
      <w:proofErr w:type="spellEnd"/>
      <w:r>
        <w:rPr>
          <w:rFonts w:cs="Times New Roman"/>
          <w:szCs w:val="24"/>
        </w:rPr>
        <w:t xml:space="preserve"> R, </w:t>
      </w:r>
      <w:proofErr w:type="spellStart"/>
      <w:r>
        <w:rPr>
          <w:rFonts w:cs="Times New Roman"/>
          <w:szCs w:val="24"/>
        </w:rPr>
        <w:t>Piola</w:t>
      </w:r>
      <w:proofErr w:type="spellEnd"/>
      <w:r>
        <w:rPr>
          <w:rFonts w:cs="Times New Roman"/>
          <w:szCs w:val="24"/>
        </w:rPr>
        <w:t xml:space="preserve"> P, </w:t>
      </w:r>
      <w:proofErr w:type="spellStart"/>
      <w:r>
        <w:rPr>
          <w:rFonts w:cs="Times New Roman"/>
          <w:szCs w:val="24"/>
        </w:rPr>
        <w:t>Raharintsoa</w:t>
      </w:r>
      <w:proofErr w:type="spellEnd"/>
      <w:r>
        <w:rPr>
          <w:rFonts w:cs="Times New Roman"/>
          <w:szCs w:val="24"/>
        </w:rPr>
        <w:t xml:space="preserve"> C, et al. </w:t>
      </w:r>
      <w:proofErr w:type="spellStart"/>
      <w:r>
        <w:rPr>
          <w:rFonts w:cs="Times New Roman"/>
          <w:szCs w:val="24"/>
        </w:rPr>
        <w:t>Dietary</w:t>
      </w:r>
      <w:proofErr w:type="spellEnd"/>
      <w:r>
        <w:rPr>
          <w:rFonts w:cs="Times New Roman"/>
          <w:szCs w:val="24"/>
        </w:rPr>
        <w:t xml:space="preserve"> </w:t>
      </w:r>
      <w:proofErr w:type="spellStart"/>
      <w:r>
        <w:rPr>
          <w:rFonts w:cs="Times New Roman"/>
          <w:szCs w:val="24"/>
        </w:rPr>
        <w:t>diversity</w:t>
      </w:r>
      <w:proofErr w:type="spellEnd"/>
      <w:r>
        <w:rPr>
          <w:rFonts w:cs="Times New Roman"/>
          <w:szCs w:val="24"/>
        </w:rPr>
        <w:t xml:space="preserve"> of 6-to 59-month-old </w:t>
      </w:r>
      <w:proofErr w:type="spellStart"/>
      <w:r>
        <w:rPr>
          <w:rFonts w:cs="Times New Roman"/>
          <w:szCs w:val="24"/>
        </w:rPr>
        <w:t>children</w:t>
      </w:r>
      <w:proofErr w:type="spellEnd"/>
      <w:r>
        <w:rPr>
          <w:rFonts w:cs="Times New Roman"/>
          <w:szCs w:val="24"/>
        </w:rPr>
        <w:t xml:space="preserve"> in rural areas of </w:t>
      </w:r>
      <w:proofErr w:type="spellStart"/>
      <w:r>
        <w:rPr>
          <w:rFonts w:cs="Times New Roman"/>
          <w:szCs w:val="24"/>
        </w:rPr>
        <w:t>Moramanga</w:t>
      </w:r>
      <w:proofErr w:type="spellEnd"/>
      <w:r>
        <w:rPr>
          <w:rFonts w:cs="Times New Roman"/>
          <w:szCs w:val="24"/>
        </w:rPr>
        <w:t xml:space="preserve"> and Morondava districts, Madagascar. </w:t>
      </w:r>
      <w:proofErr w:type="spellStart"/>
      <w:r>
        <w:rPr>
          <w:rFonts w:cs="Times New Roman"/>
          <w:szCs w:val="24"/>
        </w:rPr>
        <w:t>PLoS</w:t>
      </w:r>
      <w:proofErr w:type="spellEnd"/>
      <w:r>
        <w:rPr>
          <w:rFonts w:cs="Times New Roman"/>
          <w:szCs w:val="24"/>
        </w:rPr>
        <w:t xml:space="preserve"> One. 2018;13(7</w:t>
      </w:r>
      <w:proofErr w:type="gramStart"/>
      <w:r>
        <w:rPr>
          <w:rFonts w:cs="Times New Roman"/>
          <w:szCs w:val="24"/>
        </w:rPr>
        <w:t>):e</w:t>
      </w:r>
      <w:proofErr w:type="gramEnd"/>
      <w:r>
        <w:rPr>
          <w:rFonts w:cs="Times New Roman"/>
          <w:szCs w:val="24"/>
        </w:rPr>
        <w:t>0200235.</w:t>
      </w:r>
    </w:p>
    <w:p w:rsidR="00CC7802" w:rsidRDefault="00762192">
      <w:pPr>
        <w:spacing w:line="360" w:lineRule="auto"/>
        <w:jc w:val="both"/>
        <w:rPr>
          <w:rFonts w:cs="Times New Roman"/>
          <w:szCs w:val="24"/>
        </w:rPr>
      </w:pPr>
      <w:r>
        <w:rPr>
          <w:rFonts w:cs="Times New Roman"/>
          <w:szCs w:val="24"/>
        </w:rPr>
        <w:t xml:space="preserve">19. </w:t>
      </w:r>
      <w:proofErr w:type="spellStart"/>
      <w:r>
        <w:rPr>
          <w:rFonts w:cs="Times New Roman"/>
          <w:szCs w:val="24"/>
        </w:rPr>
        <w:t>Dramé</w:t>
      </w:r>
      <w:proofErr w:type="spellEnd"/>
      <w:r>
        <w:rPr>
          <w:rFonts w:cs="Times New Roman"/>
          <w:szCs w:val="24"/>
        </w:rPr>
        <w:t xml:space="preserve"> M, Diarra S, </w:t>
      </w:r>
      <w:proofErr w:type="spellStart"/>
      <w:r>
        <w:rPr>
          <w:rFonts w:cs="Times New Roman"/>
          <w:szCs w:val="24"/>
        </w:rPr>
        <w:t>Sangho</w:t>
      </w:r>
      <w:proofErr w:type="spellEnd"/>
      <w:r>
        <w:rPr>
          <w:rFonts w:cs="Times New Roman"/>
          <w:szCs w:val="24"/>
        </w:rPr>
        <w:t xml:space="preserve"> O, Diawara F, </w:t>
      </w:r>
      <w:proofErr w:type="spellStart"/>
      <w:r>
        <w:rPr>
          <w:rFonts w:cs="Times New Roman"/>
          <w:szCs w:val="24"/>
        </w:rPr>
        <w:t>Sangho</w:t>
      </w:r>
      <w:proofErr w:type="spellEnd"/>
      <w:r>
        <w:rPr>
          <w:rFonts w:cs="Times New Roman"/>
          <w:szCs w:val="24"/>
        </w:rPr>
        <w:t xml:space="preserve"> F, Coulibaly D, et al. </w:t>
      </w:r>
      <w:proofErr w:type="spellStart"/>
      <w:r>
        <w:rPr>
          <w:rFonts w:cs="Times New Roman"/>
          <w:szCs w:val="24"/>
        </w:rPr>
        <w:t>Sociodemographic</w:t>
      </w:r>
      <w:proofErr w:type="spellEnd"/>
      <w:r>
        <w:rPr>
          <w:rFonts w:cs="Times New Roman"/>
          <w:szCs w:val="24"/>
        </w:rPr>
        <w:t xml:space="preserve"> </w:t>
      </w:r>
      <w:proofErr w:type="spellStart"/>
      <w:r>
        <w:rPr>
          <w:rFonts w:cs="Times New Roman"/>
          <w:szCs w:val="24"/>
        </w:rPr>
        <w:t>characteristics</w:t>
      </w:r>
      <w:proofErr w:type="spellEnd"/>
      <w:r>
        <w:rPr>
          <w:rFonts w:cs="Times New Roman"/>
          <w:szCs w:val="24"/>
        </w:rPr>
        <w:t xml:space="preserve"> </w:t>
      </w:r>
      <w:proofErr w:type="spellStart"/>
      <w:r>
        <w:rPr>
          <w:rFonts w:cs="Times New Roman"/>
          <w:szCs w:val="24"/>
        </w:rPr>
        <w:t>associated</w:t>
      </w:r>
      <w:proofErr w:type="spellEnd"/>
      <w:r>
        <w:rPr>
          <w:rFonts w:cs="Times New Roman"/>
          <w:szCs w:val="24"/>
        </w:rPr>
        <w:t xml:space="preserve"> </w:t>
      </w:r>
      <w:proofErr w:type="spellStart"/>
      <w:r>
        <w:rPr>
          <w:rFonts w:cs="Times New Roman"/>
          <w:szCs w:val="24"/>
        </w:rPr>
        <w:t>with</w:t>
      </w:r>
      <w:proofErr w:type="spellEnd"/>
      <w:r>
        <w:rPr>
          <w:rFonts w:cs="Times New Roman"/>
          <w:szCs w:val="24"/>
        </w:rPr>
        <w:t xml:space="preserve"> </w:t>
      </w:r>
      <w:proofErr w:type="spellStart"/>
      <w:r>
        <w:rPr>
          <w:rFonts w:cs="Times New Roman"/>
          <w:szCs w:val="24"/>
        </w:rPr>
        <w:t>household</w:t>
      </w:r>
      <w:proofErr w:type="spellEnd"/>
      <w:r>
        <w:rPr>
          <w:rFonts w:cs="Times New Roman"/>
          <w:szCs w:val="24"/>
        </w:rPr>
        <w:t xml:space="preserve"> </w:t>
      </w:r>
      <w:proofErr w:type="spellStart"/>
      <w:r>
        <w:rPr>
          <w:rFonts w:cs="Times New Roman"/>
          <w:szCs w:val="24"/>
        </w:rPr>
        <w:t>food</w:t>
      </w:r>
      <w:proofErr w:type="spellEnd"/>
      <w:r>
        <w:rPr>
          <w:rFonts w:cs="Times New Roman"/>
          <w:szCs w:val="24"/>
        </w:rPr>
        <w:t xml:space="preserve"> </w:t>
      </w:r>
      <w:proofErr w:type="spellStart"/>
      <w:r>
        <w:rPr>
          <w:rFonts w:cs="Times New Roman"/>
          <w:szCs w:val="24"/>
        </w:rPr>
        <w:t>consumption</w:t>
      </w:r>
      <w:proofErr w:type="spellEnd"/>
      <w:r>
        <w:rPr>
          <w:rFonts w:cs="Times New Roman"/>
          <w:szCs w:val="24"/>
        </w:rPr>
        <w:t xml:space="preserve"> in Bamako. Mali Santé Publique. 2019;33-7.</w:t>
      </w:r>
    </w:p>
    <w:p w:rsidR="00CC7802" w:rsidRDefault="00762192">
      <w:pPr>
        <w:spacing w:line="360" w:lineRule="auto"/>
        <w:jc w:val="both"/>
        <w:rPr>
          <w:rFonts w:cs="Times New Roman"/>
          <w:szCs w:val="24"/>
        </w:rPr>
      </w:pPr>
      <w:r>
        <w:rPr>
          <w:rFonts w:cs="Times New Roman"/>
          <w:szCs w:val="24"/>
        </w:rPr>
        <w:t xml:space="preserve">20. </w:t>
      </w:r>
      <w:proofErr w:type="spellStart"/>
      <w:r>
        <w:rPr>
          <w:rFonts w:cs="Times New Roman"/>
          <w:szCs w:val="24"/>
        </w:rPr>
        <w:t>Hien</w:t>
      </w:r>
      <w:proofErr w:type="spellEnd"/>
      <w:r>
        <w:rPr>
          <w:rFonts w:cs="Times New Roman"/>
          <w:szCs w:val="24"/>
        </w:rPr>
        <w:t xml:space="preserve"> A, </w:t>
      </w:r>
      <w:proofErr w:type="spellStart"/>
      <w:r>
        <w:rPr>
          <w:rFonts w:cs="Times New Roman"/>
          <w:szCs w:val="24"/>
        </w:rPr>
        <w:t>Some</w:t>
      </w:r>
      <w:proofErr w:type="spellEnd"/>
      <w:r>
        <w:rPr>
          <w:rFonts w:cs="Times New Roman"/>
          <w:szCs w:val="24"/>
        </w:rPr>
        <w:t xml:space="preserve"> JW, </w:t>
      </w:r>
      <w:proofErr w:type="spellStart"/>
      <w:r>
        <w:rPr>
          <w:rFonts w:cs="Times New Roman"/>
          <w:szCs w:val="24"/>
        </w:rPr>
        <w:t>Toe</w:t>
      </w:r>
      <w:proofErr w:type="spellEnd"/>
      <w:r>
        <w:rPr>
          <w:rFonts w:cs="Times New Roman"/>
          <w:szCs w:val="24"/>
        </w:rPr>
        <w:t xml:space="preserve"> LC, </w:t>
      </w:r>
      <w:proofErr w:type="spellStart"/>
      <w:r>
        <w:rPr>
          <w:rFonts w:cs="Times New Roman"/>
          <w:szCs w:val="24"/>
        </w:rPr>
        <w:t>Sombie</w:t>
      </w:r>
      <w:proofErr w:type="spellEnd"/>
      <w:r>
        <w:rPr>
          <w:rFonts w:cs="Times New Roman"/>
          <w:szCs w:val="24"/>
        </w:rPr>
        <w:t xml:space="preserve"> O, </w:t>
      </w:r>
      <w:proofErr w:type="spellStart"/>
      <w:r>
        <w:rPr>
          <w:rFonts w:cs="Times New Roman"/>
          <w:szCs w:val="24"/>
        </w:rPr>
        <w:t>Meda</w:t>
      </w:r>
      <w:proofErr w:type="spellEnd"/>
      <w:r>
        <w:rPr>
          <w:rFonts w:cs="Times New Roman"/>
          <w:szCs w:val="24"/>
        </w:rPr>
        <w:t xml:space="preserve"> NTR, </w:t>
      </w:r>
      <w:proofErr w:type="spellStart"/>
      <w:r>
        <w:rPr>
          <w:rFonts w:cs="Times New Roman"/>
          <w:szCs w:val="24"/>
        </w:rPr>
        <w:t>Ilboudo</w:t>
      </w:r>
      <w:proofErr w:type="spellEnd"/>
      <w:r>
        <w:rPr>
          <w:rFonts w:cs="Times New Roman"/>
          <w:szCs w:val="24"/>
        </w:rPr>
        <w:t xml:space="preserve"> B, et al. </w:t>
      </w:r>
      <w:proofErr w:type="spellStart"/>
      <w:r>
        <w:rPr>
          <w:rFonts w:cs="Times New Roman"/>
          <w:szCs w:val="24"/>
        </w:rPr>
        <w:t>Factors</w:t>
      </w:r>
      <w:proofErr w:type="spellEnd"/>
      <w:r>
        <w:rPr>
          <w:rFonts w:cs="Times New Roman"/>
          <w:szCs w:val="24"/>
        </w:rPr>
        <w:t xml:space="preserve"> </w:t>
      </w:r>
      <w:proofErr w:type="spellStart"/>
      <w:r>
        <w:rPr>
          <w:rFonts w:cs="Times New Roman"/>
          <w:szCs w:val="24"/>
        </w:rPr>
        <w:t>associated</w:t>
      </w:r>
      <w:proofErr w:type="spellEnd"/>
      <w:r>
        <w:rPr>
          <w:rFonts w:cs="Times New Roman"/>
          <w:szCs w:val="24"/>
        </w:rPr>
        <w:t xml:space="preserve"> </w:t>
      </w:r>
      <w:proofErr w:type="spellStart"/>
      <w:r>
        <w:rPr>
          <w:rFonts w:cs="Times New Roman"/>
          <w:szCs w:val="24"/>
        </w:rPr>
        <w:t>with</w:t>
      </w:r>
      <w:proofErr w:type="spellEnd"/>
      <w:r>
        <w:rPr>
          <w:rFonts w:cs="Times New Roman"/>
          <w:szCs w:val="24"/>
        </w:rPr>
        <w:t xml:space="preserve"> minimum </w:t>
      </w:r>
      <w:proofErr w:type="spellStart"/>
      <w:r>
        <w:rPr>
          <w:rFonts w:cs="Times New Roman"/>
          <w:szCs w:val="24"/>
        </w:rPr>
        <w:t>dietary</w:t>
      </w:r>
      <w:proofErr w:type="spellEnd"/>
      <w:r>
        <w:rPr>
          <w:rFonts w:cs="Times New Roman"/>
          <w:szCs w:val="24"/>
        </w:rPr>
        <w:t xml:space="preserve"> </w:t>
      </w:r>
      <w:proofErr w:type="spellStart"/>
      <w:r>
        <w:rPr>
          <w:rFonts w:cs="Times New Roman"/>
          <w:szCs w:val="24"/>
        </w:rPr>
        <w:t>diversity</w:t>
      </w:r>
      <w:proofErr w:type="spellEnd"/>
      <w:r>
        <w:rPr>
          <w:rFonts w:cs="Times New Roman"/>
          <w:szCs w:val="24"/>
        </w:rPr>
        <w:t xml:space="preserve">, minimum </w:t>
      </w:r>
      <w:proofErr w:type="spellStart"/>
      <w:r>
        <w:rPr>
          <w:rFonts w:cs="Times New Roman"/>
          <w:szCs w:val="24"/>
        </w:rPr>
        <w:t>meal</w:t>
      </w:r>
      <w:proofErr w:type="spellEnd"/>
      <w:r>
        <w:rPr>
          <w:rFonts w:cs="Times New Roman"/>
          <w:szCs w:val="24"/>
        </w:rPr>
        <w:t xml:space="preserve"> </w:t>
      </w:r>
      <w:proofErr w:type="spellStart"/>
      <w:r>
        <w:rPr>
          <w:rFonts w:cs="Times New Roman"/>
          <w:szCs w:val="24"/>
        </w:rPr>
        <w:t>frequency</w:t>
      </w:r>
      <w:proofErr w:type="spellEnd"/>
      <w:r>
        <w:rPr>
          <w:rFonts w:cs="Times New Roman"/>
          <w:szCs w:val="24"/>
        </w:rPr>
        <w:t xml:space="preserve"> and minimum acceptable </w:t>
      </w:r>
      <w:proofErr w:type="spellStart"/>
      <w:r>
        <w:rPr>
          <w:rFonts w:cs="Times New Roman"/>
          <w:szCs w:val="24"/>
        </w:rPr>
        <w:t>diet</w:t>
      </w:r>
      <w:proofErr w:type="spellEnd"/>
      <w:r>
        <w:rPr>
          <w:rFonts w:cs="Times New Roman"/>
          <w:szCs w:val="24"/>
        </w:rPr>
        <w:t xml:space="preserve"> practices </w:t>
      </w:r>
      <w:proofErr w:type="spellStart"/>
      <w:r>
        <w:rPr>
          <w:rFonts w:cs="Times New Roman"/>
          <w:szCs w:val="24"/>
        </w:rPr>
        <w:t>among</w:t>
      </w:r>
      <w:proofErr w:type="spellEnd"/>
      <w:r>
        <w:rPr>
          <w:rFonts w:cs="Times New Roman"/>
          <w:szCs w:val="24"/>
        </w:rPr>
        <w:t xml:space="preserve"> </w:t>
      </w:r>
      <w:proofErr w:type="spellStart"/>
      <w:r>
        <w:rPr>
          <w:rFonts w:cs="Times New Roman"/>
          <w:szCs w:val="24"/>
        </w:rPr>
        <w:t>children</w:t>
      </w:r>
      <w:proofErr w:type="spellEnd"/>
      <w:r>
        <w:rPr>
          <w:rFonts w:cs="Times New Roman"/>
          <w:szCs w:val="24"/>
        </w:rPr>
        <w:t xml:space="preserve"> 6-23 </w:t>
      </w:r>
      <w:proofErr w:type="spellStart"/>
      <w:r>
        <w:rPr>
          <w:rFonts w:cs="Times New Roman"/>
          <w:szCs w:val="24"/>
        </w:rPr>
        <w:t>months</w:t>
      </w:r>
      <w:proofErr w:type="spellEnd"/>
      <w:r>
        <w:rPr>
          <w:rFonts w:cs="Times New Roman"/>
          <w:szCs w:val="24"/>
        </w:rPr>
        <w:t xml:space="preserve"> of </w:t>
      </w:r>
      <w:proofErr w:type="spellStart"/>
      <w:r>
        <w:rPr>
          <w:rFonts w:cs="Times New Roman"/>
          <w:szCs w:val="24"/>
        </w:rPr>
        <w:t>age</w:t>
      </w:r>
      <w:proofErr w:type="spellEnd"/>
      <w:r>
        <w:rPr>
          <w:rFonts w:cs="Times New Roman"/>
          <w:szCs w:val="24"/>
        </w:rPr>
        <w:t xml:space="preserve"> in Bobo-Dioulasso, Burkina Faso. </w:t>
      </w:r>
      <w:proofErr w:type="spellStart"/>
      <w:r>
        <w:rPr>
          <w:rFonts w:cs="Times New Roman"/>
          <w:szCs w:val="24"/>
        </w:rPr>
        <w:t>Afr</w:t>
      </w:r>
      <w:proofErr w:type="spellEnd"/>
      <w:r>
        <w:rPr>
          <w:rFonts w:cs="Times New Roman"/>
          <w:szCs w:val="24"/>
        </w:rPr>
        <w:t xml:space="preserve"> J Food </w:t>
      </w:r>
      <w:proofErr w:type="spellStart"/>
      <w:r>
        <w:rPr>
          <w:rFonts w:cs="Times New Roman"/>
          <w:szCs w:val="24"/>
        </w:rPr>
        <w:t>Agric</w:t>
      </w:r>
      <w:proofErr w:type="spellEnd"/>
      <w:r>
        <w:rPr>
          <w:rFonts w:cs="Times New Roman"/>
          <w:szCs w:val="24"/>
        </w:rPr>
        <w:t xml:space="preserve"> </w:t>
      </w:r>
      <w:proofErr w:type="spellStart"/>
      <w:r>
        <w:rPr>
          <w:rFonts w:cs="Times New Roman"/>
          <w:szCs w:val="24"/>
        </w:rPr>
        <w:t>Nutr</w:t>
      </w:r>
      <w:proofErr w:type="spellEnd"/>
      <w:r>
        <w:rPr>
          <w:rFonts w:cs="Times New Roman"/>
          <w:szCs w:val="24"/>
        </w:rPr>
        <w:t xml:space="preserve"> Dev. 2023;23(3):22831-52.</w:t>
      </w:r>
    </w:p>
    <w:p w:rsidR="00CC7802" w:rsidRDefault="00762192">
      <w:pPr>
        <w:spacing w:line="360" w:lineRule="auto"/>
        <w:jc w:val="both"/>
        <w:rPr>
          <w:rFonts w:cs="Times New Roman"/>
          <w:szCs w:val="24"/>
        </w:rPr>
      </w:pPr>
      <w:r>
        <w:rPr>
          <w:rFonts w:cs="Times New Roman"/>
          <w:szCs w:val="24"/>
        </w:rPr>
        <w:t xml:space="preserve">21. JEANNODA V, RALISON C, TRECHE DS, RAZANAMPARANY L, RALAMBORANTO L, ANDRIANARISOA B. </w:t>
      </w:r>
      <w:proofErr w:type="spellStart"/>
      <w:r>
        <w:rPr>
          <w:rFonts w:cs="Times New Roman"/>
          <w:szCs w:val="24"/>
        </w:rPr>
        <w:t>Development</w:t>
      </w:r>
      <w:proofErr w:type="spellEnd"/>
      <w:r>
        <w:rPr>
          <w:rFonts w:cs="Times New Roman"/>
          <w:szCs w:val="24"/>
        </w:rPr>
        <w:t xml:space="preserve"> and </w:t>
      </w:r>
      <w:proofErr w:type="spellStart"/>
      <w:r>
        <w:rPr>
          <w:rFonts w:cs="Times New Roman"/>
          <w:szCs w:val="24"/>
        </w:rPr>
        <w:t>evaluation</w:t>
      </w:r>
      <w:proofErr w:type="spellEnd"/>
      <w:r>
        <w:rPr>
          <w:rFonts w:cs="Times New Roman"/>
          <w:szCs w:val="24"/>
        </w:rPr>
        <w:t xml:space="preserve"> of a </w:t>
      </w:r>
      <w:proofErr w:type="spellStart"/>
      <w:r>
        <w:rPr>
          <w:rFonts w:cs="Times New Roman"/>
          <w:szCs w:val="24"/>
        </w:rPr>
        <w:t>strategy</w:t>
      </w:r>
      <w:proofErr w:type="spellEnd"/>
      <w:r>
        <w:rPr>
          <w:rFonts w:cs="Times New Roman"/>
          <w:szCs w:val="24"/>
        </w:rPr>
        <w:t xml:space="preserve"> for </w:t>
      </w:r>
      <w:proofErr w:type="spellStart"/>
      <w:r>
        <w:rPr>
          <w:rFonts w:cs="Times New Roman"/>
          <w:szCs w:val="24"/>
        </w:rPr>
        <w:t>improving</w:t>
      </w:r>
      <w:proofErr w:type="spellEnd"/>
      <w:r>
        <w:rPr>
          <w:rFonts w:cs="Times New Roman"/>
          <w:szCs w:val="24"/>
        </w:rPr>
        <w:t xml:space="preserve"> </w:t>
      </w:r>
      <w:proofErr w:type="spellStart"/>
      <w:r>
        <w:rPr>
          <w:rFonts w:cs="Times New Roman"/>
          <w:szCs w:val="24"/>
        </w:rPr>
        <w:t>complementary</w:t>
      </w:r>
      <w:proofErr w:type="spellEnd"/>
      <w:r>
        <w:rPr>
          <w:rFonts w:cs="Times New Roman"/>
          <w:szCs w:val="24"/>
        </w:rPr>
        <w:t xml:space="preserve"> </w:t>
      </w:r>
      <w:proofErr w:type="spellStart"/>
      <w:r>
        <w:rPr>
          <w:rFonts w:cs="Times New Roman"/>
          <w:szCs w:val="24"/>
        </w:rPr>
        <w:t>feeding</w:t>
      </w:r>
      <w:proofErr w:type="spellEnd"/>
      <w:r>
        <w:rPr>
          <w:rFonts w:cs="Times New Roman"/>
          <w:szCs w:val="24"/>
        </w:rPr>
        <w:t xml:space="preserve"> for </w:t>
      </w:r>
      <w:proofErr w:type="spellStart"/>
      <w:r>
        <w:rPr>
          <w:rFonts w:cs="Times New Roman"/>
          <w:szCs w:val="24"/>
        </w:rPr>
        <w:t>young</w:t>
      </w:r>
      <w:proofErr w:type="spellEnd"/>
      <w:r>
        <w:rPr>
          <w:rFonts w:cs="Times New Roman"/>
          <w:szCs w:val="24"/>
        </w:rPr>
        <w:t xml:space="preserve"> </w:t>
      </w:r>
      <w:proofErr w:type="spellStart"/>
      <w:r>
        <w:rPr>
          <w:rFonts w:cs="Times New Roman"/>
          <w:szCs w:val="24"/>
        </w:rPr>
        <w:t>children</w:t>
      </w:r>
      <w:proofErr w:type="spellEnd"/>
      <w:r>
        <w:rPr>
          <w:rFonts w:cs="Times New Roman"/>
          <w:szCs w:val="24"/>
        </w:rPr>
        <w:t xml:space="preserve"> in </w:t>
      </w:r>
      <w:proofErr w:type="spellStart"/>
      <w:r>
        <w:rPr>
          <w:rFonts w:cs="Times New Roman"/>
          <w:szCs w:val="24"/>
        </w:rPr>
        <w:t>Brickaville</w:t>
      </w:r>
      <w:proofErr w:type="spellEnd"/>
      <w:r>
        <w:rPr>
          <w:rFonts w:cs="Times New Roman"/>
          <w:szCs w:val="24"/>
        </w:rPr>
        <w:t>. 2006 [</w:t>
      </w:r>
      <w:proofErr w:type="spellStart"/>
      <w:r>
        <w:rPr>
          <w:rFonts w:cs="Times New Roman"/>
          <w:szCs w:val="24"/>
        </w:rPr>
        <w:t>cited</w:t>
      </w:r>
      <w:proofErr w:type="spellEnd"/>
      <w:r>
        <w:rPr>
          <w:rFonts w:cs="Times New Roman"/>
          <w:szCs w:val="24"/>
        </w:rPr>
        <w:t xml:space="preserve"> 5 July 2024]; </w:t>
      </w:r>
      <w:proofErr w:type="spellStart"/>
      <w:r>
        <w:rPr>
          <w:rFonts w:cs="Times New Roman"/>
          <w:szCs w:val="24"/>
        </w:rPr>
        <w:t>Available</w:t>
      </w:r>
      <w:proofErr w:type="spellEnd"/>
      <w:r>
        <w:rPr>
          <w:rFonts w:cs="Times New Roman"/>
          <w:szCs w:val="24"/>
        </w:rPr>
        <w:t xml:space="preserve"> at: https://horizon.documentation.ird.fr/exl-doc/pleins_textes/divers17-11/010039371.pdf</w:t>
      </w:r>
    </w:p>
    <w:p w:rsidR="00CC7802" w:rsidRDefault="00762192">
      <w:pPr>
        <w:spacing w:line="360" w:lineRule="auto"/>
        <w:jc w:val="both"/>
        <w:rPr>
          <w:rFonts w:cs="Times New Roman"/>
          <w:szCs w:val="24"/>
        </w:rPr>
      </w:pPr>
      <w:r>
        <w:rPr>
          <w:rFonts w:cs="Times New Roman"/>
          <w:szCs w:val="24"/>
        </w:rPr>
        <w:t xml:space="preserve">22. </w:t>
      </w:r>
      <w:proofErr w:type="spellStart"/>
      <w:r>
        <w:rPr>
          <w:rFonts w:cs="Times New Roman"/>
          <w:szCs w:val="24"/>
        </w:rPr>
        <w:t>Ouedraogo</w:t>
      </w:r>
      <w:proofErr w:type="spellEnd"/>
      <w:r>
        <w:rPr>
          <w:rFonts w:cs="Times New Roman"/>
          <w:szCs w:val="24"/>
        </w:rPr>
        <w:t xml:space="preserve"> O, </w:t>
      </w:r>
      <w:proofErr w:type="spellStart"/>
      <w:r>
        <w:rPr>
          <w:rFonts w:cs="Times New Roman"/>
          <w:szCs w:val="24"/>
        </w:rPr>
        <w:t>Compaore</w:t>
      </w:r>
      <w:proofErr w:type="spellEnd"/>
      <w:r>
        <w:rPr>
          <w:rFonts w:cs="Times New Roman"/>
          <w:szCs w:val="24"/>
        </w:rPr>
        <w:t xml:space="preserve"> EW, </w:t>
      </w:r>
      <w:proofErr w:type="spellStart"/>
      <w:r>
        <w:rPr>
          <w:rFonts w:cs="Times New Roman"/>
          <w:szCs w:val="24"/>
        </w:rPr>
        <w:t>Amouzou</w:t>
      </w:r>
      <w:proofErr w:type="spellEnd"/>
      <w:r>
        <w:rPr>
          <w:rFonts w:cs="Times New Roman"/>
          <w:szCs w:val="24"/>
        </w:rPr>
        <w:t xml:space="preserve"> SK, </w:t>
      </w:r>
      <w:proofErr w:type="spellStart"/>
      <w:r>
        <w:rPr>
          <w:rFonts w:cs="Times New Roman"/>
          <w:szCs w:val="24"/>
        </w:rPr>
        <w:t>Zeba</w:t>
      </w:r>
      <w:proofErr w:type="spellEnd"/>
      <w:r>
        <w:rPr>
          <w:rFonts w:cs="Times New Roman"/>
          <w:szCs w:val="24"/>
        </w:rPr>
        <w:t xml:space="preserve"> AN, </w:t>
      </w:r>
      <w:proofErr w:type="spellStart"/>
      <w:r>
        <w:rPr>
          <w:rFonts w:cs="Times New Roman"/>
          <w:szCs w:val="24"/>
        </w:rPr>
        <w:t>Dicko</w:t>
      </w:r>
      <w:proofErr w:type="spellEnd"/>
      <w:r>
        <w:rPr>
          <w:rFonts w:cs="Times New Roman"/>
          <w:szCs w:val="24"/>
        </w:rPr>
        <w:t xml:space="preserve"> MH. </w:t>
      </w:r>
      <w:proofErr w:type="spellStart"/>
      <w:r>
        <w:rPr>
          <w:rFonts w:cs="Times New Roman"/>
          <w:szCs w:val="24"/>
        </w:rPr>
        <w:t>Determination</w:t>
      </w:r>
      <w:proofErr w:type="spellEnd"/>
      <w:r>
        <w:rPr>
          <w:rFonts w:cs="Times New Roman"/>
          <w:szCs w:val="24"/>
        </w:rPr>
        <w:t xml:space="preserve"> and </w:t>
      </w:r>
      <w:proofErr w:type="spellStart"/>
      <w:r>
        <w:rPr>
          <w:rFonts w:cs="Times New Roman"/>
          <w:szCs w:val="24"/>
        </w:rPr>
        <w:t>characterization</w:t>
      </w:r>
      <w:proofErr w:type="spellEnd"/>
      <w:r>
        <w:rPr>
          <w:rFonts w:cs="Times New Roman"/>
          <w:szCs w:val="24"/>
        </w:rPr>
        <w:t xml:space="preserve"> of </w:t>
      </w:r>
      <w:proofErr w:type="spellStart"/>
      <w:r>
        <w:rPr>
          <w:rFonts w:cs="Times New Roman"/>
          <w:szCs w:val="24"/>
        </w:rPr>
        <w:t>women</w:t>
      </w:r>
      <w:proofErr w:type="spellEnd"/>
      <w:r>
        <w:rPr>
          <w:rFonts w:cs="Times New Roman"/>
          <w:szCs w:val="24"/>
        </w:rPr>
        <w:t xml:space="preserve">, infants, and </w:t>
      </w:r>
      <w:proofErr w:type="spellStart"/>
      <w:r>
        <w:rPr>
          <w:rFonts w:cs="Times New Roman"/>
          <w:szCs w:val="24"/>
        </w:rPr>
        <w:t>young</w:t>
      </w:r>
      <w:proofErr w:type="spellEnd"/>
      <w:r>
        <w:rPr>
          <w:rFonts w:cs="Times New Roman"/>
          <w:szCs w:val="24"/>
        </w:rPr>
        <w:t xml:space="preserve"> </w:t>
      </w:r>
      <w:proofErr w:type="spellStart"/>
      <w:r>
        <w:rPr>
          <w:rFonts w:cs="Times New Roman"/>
          <w:szCs w:val="24"/>
        </w:rPr>
        <w:t>children’s</w:t>
      </w:r>
      <w:proofErr w:type="spellEnd"/>
      <w:r>
        <w:rPr>
          <w:rFonts w:cs="Times New Roman"/>
          <w:szCs w:val="24"/>
        </w:rPr>
        <w:t xml:space="preserve"> </w:t>
      </w:r>
      <w:proofErr w:type="spellStart"/>
      <w:r>
        <w:rPr>
          <w:rFonts w:cs="Times New Roman"/>
          <w:szCs w:val="24"/>
        </w:rPr>
        <w:t>dietary</w:t>
      </w:r>
      <w:proofErr w:type="spellEnd"/>
      <w:r>
        <w:rPr>
          <w:rFonts w:cs="Times New Roman"/>
          <w:szCs w:val="24"/>
        </w:rPr>
        <w:t xml:space="preserve"> </w:t>
      </w:r>
      <w:proofErr w:type="spellStart"/>
      <w:r>
        <w:rPr>
          <w:rFonts w:cs="Times New Roman"/>
          <w:szCs w:val="24"/>
        </w:rPr>
        <w:t>diversity</w:t>
      </w:r>
      <w:proofErr w:type="spellEnd"/>
      <w:r>
        <w:rPr>
          <w:rFonts w:cs="Times New Roman"/>
          <w:szCs w:val="24"/>
        </w:rPr>
        <w:t xml:space="preserve"> in agricultural mitigation </w:t>
      </w:r>
      <w:proofErr w:type="spellStart"/>
      <w:r>
        <w:rPr>
          <w:rFonts w:cs="Times New Roman"/>
          <w:szCs w:val="24"/>
        </w:rPr>
        <w:t>period</w:t>
      </w:r>
      <w:proofErr w:type="spellEnd"/>
      <w:r>
        <w:rPr>
          <w:rFonts w:cs="Times New Roman"/>
          <w:szCs w:val="24"/>
        </w:rPr>
        <w:t xml:space="preserve"> of Burkina Faso. J </w:t>
      </w:r>
      <w:proofErr w:type="spellStart"/>
      <w:r>
        <w:rPr>
          <w:rFonts w:cs="Times New Roman"/>
          <w:szCs w:val="24"/>
        </w:rPr>
        <w:t>Nutr</w:t>
      </w:r>
      <w:proofErr w:type="spellEnd"/>
      <w:r>
        <w:rPr>
          <w:rFonts w:cs="Times New Roman"/>
          <w:szCs w:val="24"/>
        </w:rPr>
        <w:t xml:space="preserve"> Food </w:t>
      </w:r>
      <w:proofErr w:type="spellStart"/>
      <w:r>
        <w:rPr>
          <w:rFonts w:cs="Times New Roman"/>
          <w:szCs w:val="24"/>
        </w:rPr>
        <w:t>Secur</w:t>
      </w:r>
      <w:proofErr w:type="spellEnd"/>
      <w:r>
        <w:rPr>
          <w:rFonts w:cs="Times New Roman"/>
          <w:szCs w:val="24"/>
        </w:rPr>
        <w:t xml:space="preserve"> [Internet]. 2019 [</w:t>
      </w:r>
      <w:proofErr w:type="spellStart"/>
      <w:r>
        <w:rPr>
          <w:rFonts w:cs="Times New Roman"/>
          <w:szCs w:val="24"/>
        </w:rPr>
        <w:t>cited</w:t>
      </w:r>
      <w:proofErr w:type="spellEnd"/>
      <w:r>
        <w:rPr>
          <w:rFonts w:cs="Times New Roman"/>
          <w:szCs w:val="24"/>
        </w:rPr>
        <w:t xml:space="preserve"> 5 </w:t>
      </w:r>
      <w:proofErr w:type="spellStart"/>
      <w:r>
        <w:rPr>
          <w:rFonts w:cs="Times New Roman"/>
          <w:szCs w:val="24"/>
        </w:rPr>
        <w:t>June</w:t>
      </w:r>
      <w:proofErr w:type="spellEnd"/>
      <w:r>
        <w:rPr>
          <w:rFonts w:cs="Times New Roman"/>
          <w:szCs w:val="24"/>
        </w:rPr>
        <w:t xml:space="preserve"> 2024]; </w:t>
      </w:r>
      <w:proofErr w:type="spellStart"/>
      <w:r>
        <w:rPr>
          <w:rFonts w:cs="Times New Roman"/>
          <w:szCs w:val="24"/>
        </w:rPr>
        <w:t>Available</w:t>
      </w:r>
      <w:proofErr w:type="spellEnd"/>
      <w:r>
        <w:rPr>
          <w:rFonts w:cs="Times New Roman"/>
          <w:szCs w:val="24"/>
        </w:rPr>
        <w:t xml:space="preserve"> at: https://publish.kne-publishing.com/index.php/JNFS/article/view/774</w:t>
      </w:r>
    </w:p>
    <w:p w:rsidR="00CC7802" w:rsidRDefault="00762192">
      <w:pPr>
        <w:spacing w:line="360" w:lineRule="auto"/>
        <w:jc w:val="both"/>
        <w:rPr>
          <w:rFonts w:cs="Times New Roman"/>
          <w:szCs w:val="24"/>
        </w:rPr>
      </w:pPr>
      <w:r>
        <w:rPr>
          <w:rFonts w:cs="Times New Roman"/>
          <w:szCs w:val="24"/>
        </w:rPr>
        <w:t xml:space="preserve">23. </w:t>
      </w:r>
      <w:proofErr w:type="spellStart"/>
      <w:r>
        <w:rPr>
          <w:rFonts w:cs="Times New Roman"/>
          <w:szCs w:val="24"/>
        </w:rPr>
        <w:t>Ouologuem</w:t>
      </w:r>
      <w:proofErr w:type="spellEnd"/>
      <w:r>
        <w:rPr>
          <w:rFonts w:cs="Times New Roman"/>
          <w:szCs w:val="24"/>
        </w:rPr>
        <w:t xml:space="preserve"> T. </w:t>
      </w:r>
      <w:proofErr w:type="spellStart"/>
      <w:r>
        <w:rPr>
          <w:rFonts w:cs="Times New Roman"/>
          <w:szCs w:val="24"/>
        </w:rPr>
        <w:t>Household</w:t>
      </w:r>
      <w:proofErr w:type="spellEnd"/>
      <w:r>
        <w:rPr>
          <w:rFonts w:cs="Times New Roman"/>
          <w:szCs w:val="24"/>
        </w:rPr>
        <w:t xml:space="preserve"> </w:t>
      </w:r>
      <w:proofErr w:type="spellStart"/>
      <w:r>
        <w:rPr>
          <w:rFonts w:cs="Times New Roman"/>
          <w:szCs w:val="24"/>
        </w:rPr>
        <w:t>food</w:t>
      </w:r>
      <w:proofErr w:type="spellEnd"/>
      <w:r>
        <w:rPr>
          <w:rFonts w:cs="Times New Roman"/>
          <w:szCs w:val="24"/>
        </w:rPr>
        <w:t xml:space="preserve"> </w:t>
      </w:r>
      <w:proofErr w:type="spellStart"/>
      <w:r>
        <w:rPr>
          <w:rFonts w:cs="Times New Roman"/>
          <w:szCs w:val="24"/>
        </w:rPr>
        <w:t>consumption</w:t>
      </w:r>
      <w:proofErr w:type="spellEnd"/>
      <w:r>
        <w:rPr>
          <w:rFonts w:cs="Times New Roman"/>
          <w:szCs w:val="24"/>
        </w:rPr>
        <w:t xml:space="preserve"> profile in the Mopti </w:t>
      </w:r>
      <w:proofErr w:type="spellStart"/>
      <w:r>
        <w:rPr>
          <w:rFonts w:cs="Times New Roman"/>
          <w:szCs w:val="24"/>
        </w:rPr>
        <w:t>region</w:t>
      </w:r>
      <w:proofErr w:type="spellEnd"/>
      <w:r>
        <w:rPr>
          <w:rFonts w:cs="Times New Roman"/>
          <w:szCs w:val="24"/>
        </w:rPr>
        <w:t xml:space="preserve"> in </w:t>
      </w:r>
      <w:proofErr w:type="spellStart"/>
      <w:r>
        <w:rPr>
          <w:rFonts w:cs="Times New Roman"/>
          <w:szCs w:val="24"/>
        </w:rPr>
        <w:t>February</w:t>
      </w:r>
      <w:proofErr w:type="spellEnd"/>
      <w:r>
        <w:rPr>
          <w:rFonts w:cs="Times New Roman"/>
          <w:szCs w:val="24"/>
        </w:rPr>
        <w:t xml:space="preserve"> 2016. 2017;</w:t>
      </w:r>
    </w:p>
    <w:p w:rsidR="00CC7802" w:rsidRDefault="00762192">
      <w:pPr>
        <w:spacing w:line="360" w:lineRule="auto"/>
        <w:jc w:val="both"/>
        <w:rPr>
          <w:rFonts w:cs="Times New Roman"/>
          <w:szCs w:val="24"/>
        </w:rPr>
      </w:pPr>
      <w:r>
        <w:rPr>
          <w:rFonts w:cs="Times New Roman"/>
          <w:szCs w:val="24"/>
        </w:rPr>
        <w:t xml:space="preserve">24. Joshi N, </w:t>
      </w:r>
      <w:proofErr w:type="spellStart"/>
      <w:r>
        <w:rPr>
          <w:rFonts w:cs="Times New Roman"/>
          <w:szCs w:val="24"/>
        </w:rPr>
        <w:t>Agho</w:t>
      </w:r>
      <w:proofErr w:type="spellEnd"/>
      <w:r>
        <w:rPr>
          <w:rFonts w:cs="Times New Roman"/>
          <w:szCs w:val="24"/>
        </w:rPr>
        <w:t xml:space="preserve"> KE, </w:t>
      </w:r>
      <w:proofErr w:type="spellStart"/>
      <w:r>
        <w:rPr>
          <w:rFonts w:cs="Times New Roman"/>
          <w:szCs w:val="24"/>
        </w:rPr>
        <w:t>Dibley</w:t>
      </w:r>
      <w:proofErr w:type="spellEnd"/>
      <w:r>
        <w:rPr>
          <w:rFonts w:cs="Times New Roman"/>
          <w:szCs w:val="24"/>
        </w:rPr>
        <w:t xml:space="preserve"> MJ, </w:t>
      </w:r>
      <w:proofErr w:type="spellStart"/>
      <w:r>
        <w:rPr>
          <w:rFonts w:cs="Times New Roman"/>
          <w:szCs w:val="24"/>
        </w:rPr>
        <w:t>Senarath</w:t>
      </w:r>
      <w:proofErr w:type="spellEnd"/>
      <w:r>
        <w:rPr>
          <w:rFonts w:cs="Times New Roman"/>
          <w:szCs w:val="24"/>
        </w:rPr>
        <w:t xml:space="preserve"> U, </w:t>
      </w:r>
      <w:proofErr w:type="spellStart"/>
      <w:r>
        <w:rPr>
          <w:rFonts w:cs="Times New Roman"/>
          <w:szCs w:val="24"/>
        </w:rPr>
        <w:t>Tiwari</w:t>
      </w:r>
      <w:proofErr w:type="spellEnd"/>
      <w:r>
        <w:rPr>
          <w:rFonts w:cs="Times New Roman"/>
          <w:szCs w:val="24"/>
        </w:rPr>
        <w:t xml:space="preserve"> K. </w:t>
      </w:r>
      <w:proofErr w:type="spellStart"/>
      <w:r>
        <w:rPr>
          <w:rFonts w:cs="Times New Roman"/>
          <w:szCs w:val="24"/>
        </w:rPr>
        <w:t>Determinants</w:t>
      </w:r>
      <w:proofErr w:type="spellEnd"/>
      <w:r>
        <w:rPr>
          <w:rFonts w:cs="Times New Roman"/>
          <w:szCs w:val="24"/>
        </w:rPr>
        <w:t xml:space="preserve"> of </w:t>
      </w:r>
      <w:proofErr w:type="spellStart"/>
      <w:r>
        <w:rPr>
          <w:rFonts w:cs="Times New Roman"/>
          <w:szCs w:val="24"/>
        </w:rPr>
        <w:t>inappropriate</w:t>
      </w:r>
      <w:proofErr w:type="spellEnd"/>
      <w:r>
        <w:rPr>
          <w:rFonts w:cs="Times New Roman"/>
          <w:szCs w:val="24"/>
        </w:rPr>
        <w:t xml:space="preserve"> </w:t>
      </w:r>
      <w:proofErr w:type="spellStart"/>
      <w:r>
        <w:rPr>
          <w:rFonts w:cs="Times New Roman"/>
          <w:szCs w:val="24"/>
        </w:rPr>
        <w:t>complementary</w:t>
      </w:r>
      <w:proofErr w:type="spellEnd"/>
      <w:r>
        <w:rPr>
          <w:rFonts w:cs="Times New Roman"/>
          <w:szCs w:val="24"/>
        </w:rPr>
        <w:t xml:space="preserve"> </w:t>
      </w:r>
      <w:proofErr w:type="spellStart"/>
      <w:r>
        <w:rPr>
          <w:rFonts w:cs="Times New Roman"/>
          <w:szCs w:val="24"/>
        </w:rPr>
        <w:t>feeding</w:t>
      </w:r>
      <w:proofErr w:type="spellEnd"/>
      <w:r>
        <w:rPr>
          <w:rFonts w:cs="Times New Roman"/>
          <w:szCs w:val="24"/>
        </w:rPr>
        <w:t xml:space="preserve"> practices in </w:t>
      </w:r>
      <w:proofErr w:type="spellStart"/>
      <w:r>
        <w:rPr>
          <w:rFonts w:cs="Times New Roman"/>
          <w:szCs w:val="24"/>
        </w:rPr>
        <w:t>young</w:t>
      </w:r>
      <w:proofErr w:type="spellEnd"/>
      <w:r>
        <w:rPr>
          <w:rFonts w:cs="Times New Roman"/>
          <w:szCs w:val="24"/>
        </w:rPr>
        <w:t xml:space="preserve"> </w:t>
      </w:r>
      <w:proofErr w:type="spellStart"/>
      <w:r>
        <w:rPr>
          <w:rFonts w:cs="Times New Roman"/>
          <w:szCs w:val="24"/>
        </w:rPr>
        <w:t>children</w:t>
      </w:r>
      <w:proofErr w:type="spellEnd"/>
      <w:r>
        <w:rPr>
          <w:rFonts w:cs="Times New Roman"/>
          <w:szCs w:val="24"/>
        </w:rPr>
        <w:t xml:space="preserve"> in </w:t>
      </w:r>
      <w:proofErr w:type="spellStart"/>
      <w:r>
        <w:rPr>
          <w:rFonts w:cs="Times New Roman"/>
          <w:szCs w:val="24"/>
        </w:rPr>
        <w:t>Nepal</w:t>
      </w:r>
      <w:proofErr w:type="spellEnd"/>
      <w:r>
        <w:rPr>
          <w:rFonts w:cs="Times New Roman"/>
          <w:szCs w:val="24"/>
        </w:rPr>
        <w:t xml:space="preserve">: </w:t>
      </w:r>
      <w:proofErr w:type="spellStart"/>
      <w:r>
        <w:rPr>
          <w:rFonts w:cs="Times New Roman"/>
          <w:szCs w:val="24"/>
        </w:rPr>
        <w:t>secondary</w:t>
      </w:r>
      <w:proofErr w:type="spellEnd"/>
      <w:r>
        <w:rPr>
          <w:rFonts w:cs="Times New Roman"/>
          <w:szCs w:val="24"/>
        </w:rPr>
        <w:t xml:space="preserve"> data </w:t>
      </w:r>
      <w:proofErr w:type="spellStart"/>
      <w:r>
        <w:rPr>
          <w:rFonts w:cs="Times New Roman"/>
          <w:szCs w:val="24"/>
        </w:rPr>
        <w:t>analysis</w:t>
      </w:r>
      <w:proofErr w:type="spellEnd"/>
      <w:r>
        <w:rPr>
          <w:rFonts w:cs="Times New Roman"/>
          <w:szCs w:val="24"/>
        </w:rPr>
        <w:t xml:space="preserve"> of </w:t>
      </w:r>
      <w:proofErr w:type="spellStart"/>
      <w:r>
        <w:rPr>
          <w:rFonts w:cs="Times New Roman"/>
          <w:szCs w:val="24"/>
        </w:rPr>
        <w:t>Demographic</w:t>
      </w:r>
      <w:proofErr w:type="spellEnd"/>
      <w:r>
        <w:rPr>
          <w:rFonts w:cs="Times New Roman"/>
          <w:szCs w:val="24"/>
        </w:rPr>
        <w:t xml:space="preserve"> and </w:t>
      </w:r>
      <w:proofErr w:type="spellStart"/>
      <w:r>
        <w:rPr>
          <w:rFonts w:cs="Times New Roman"/>
          <w:szCs w:val="24"/>
        </w:rPr>
        <w:t>Health</w:t>
      </w:r>
      <w:proofErr w:type="spellEnd"/>
      <w:r>
        <w:rPr>
          <w:rFonts w:cs="Times New Roman"/>
          <w:szCs w:val="24"/>
        </w:rPr>
        <w:t xml:space="preserve"> Survey 2006. </w:t>
      </w:r>
      <w:proofErr w:type="spellStart"/>
      <w:r>
        <w:rPr>
          <w:rFonts w:cs="Times New Roman"/>
          <w:szCs w:val="24"/>
        </w:rPr>
        <w:t>Matern</w:t>
      </w:r>
      <w:proofErr w:type="spellEnd"/>
      <w:r>
        <w:rPr>
          <w:rFonts w:cs="Times New Roman"/>
          <w:szCs w:val="24"/>
        </w:rPr>
        <w:t xml:space="preserve"> Child </w:t>
      </w:r>
      <w:proofErr w:type="spellStart"/>
      <w:r>
        <w:rPr>
          <w:rFonts w:cs="Times New Roman"/>
          <w:szCs w:val="24"/>
        </w:rPr>
        <w:t>Nutr</w:t>
      </w:r>
      <w:proofErr w:type="spellEnd"/>
      <w:r>
        <w:rPr>
          <w:rFonts w:cs="Times New Roman"/>
          <w:szCs w:val="24"/>
        </w:rPr>
        <w:t>. 2012;8(1):45‑59. DOI: https://doi.org/10.1111/j.1740-8709.2011.00384.x</w:t>
      </w:r>
    </w:p>
    <w:p w:rsidR="00CC7802" w:rsidRDefault="00762192">
      <w:pPr>
        <w:spacing w:line="360" w:lineRule="auto"/>
        <w:jc w:val="both"/>
      </w:pPr>
      <w:r>
        <w:rPr>
          <w:rFonts w:cs="Times New Roman"/>
          <w:szCs w:val="24"/>
        </w:rPr>
        <w:t xml:space="preserve">25. Rashid DA, Smith L, Rahman T. </w:t>
      </w:r>
      <w:proofErr w:type="spellStart"/>
      <w:r>
        <w:rPr>
          <w:rFonts w:cs="Times New Roman"/>
          <w:szCs w:val="24"/>
        </w:rPr>
        <w:t>Determinants</w:t>
      </w:r>
      <w:proofErr w:type="spellEnd"/>
      <w:r>
        <w:rPr>
          <w:rFonts w:cs="Times New Roman"/>
          <w:szCs w:val="24"/>
        </w:rPr>
        <w:t xml:space="preserve"> of </w:t>
      </w:r>
      <w:proofErr w:type="spellStart"/>
      <w:r>
        <w:rPr>
          <w:rFonts w:cs="Times New Roman"/>
          <w:szCs w:val="24"/>
        </w:rPr>
        <w:t>Dietary</w:t>
      </w:r>
      <w:proofErr w:type="spellEnd"/>
      <w:r>
        <w:rPr>
          <w:rFonts w:cs="Times New Roman"/>
          <w:szCs w:val="24"/>
        </w:rPr>
        <w:t xml:space="preserve"> </w:t>
      </w:r>
      <w:proofErr w:type="spellStart"/>
      <w:r>
        <w:rPr>
          <w:rFonts w:cs="Times New Roman"/>
          <w:szCs w:val="24"/>
        </w:rPr>
        <w:t>Quality</w:t>
      </w:r>
      <w:proofErr w:type="spellEnd"/>
      <w:r>
        <w:rPr>
          <w:rFonts w:cs="Times New Roman"/>
          <w:szCs w:val="24"/>
        </w:rPr>
        <w:t xml:space="preserve">: Evidence </w:t>
      </w:r>
      <w:proofErr w:type="spellStart"/>
      <w:r>
        <w:rPr>
          <w:rFonts w:cs="Times New Roman"/>
          <w:szCs w:val="24"/>
        </w:rPr>
        <w:t>from</w:t>
      </w:r>
      <w:proofErr w:type="spellEnd"/>
      <w:r>
        <w:rPr>
          <w:rFonts w:cs="Times New Roman"/>
          <w:szCs w:val="24"/>
        </w:rPr>
        <w:t xml:space="preserve"> Bangladesh. 2006 [</w:t>
      </w:r>
      <w:proofErr w:type="spellStart"/>
      <w:r>
        <w:rPr>
          <w:rFonts w:cs="Times New Roman"/>
          <w:szCs w:val="24"/>
        </w:rPr>
        <w:t>cited</w:t>
      </w:r>
      <w:proofErr w:type="spellEnd"/>
      <w:r>
        <w:rPr>
          <w:rFonts w:cs="Times New Roman"/>
          <w:szCs w:val="24"/>
        </w:rPr>
        <w:t xml:space="preserve"> July 24, 2024]; </w:t>
      </w:r>
      <w:proofErr w:type="spellStart"/>
      <w:r>
        <w:rPr>
          <w:rFonts w:cs="Times New Roman"/>
          <w:szCs w:val="24"/>
        </w:rPr>
        <w:t>Available</w:t>
      </w:r>
      <w:proofErr w:type="spellEnd"/>
      <w:r>
        <w:rPr>
          <w:rFonts w:cs="Times New Roman"/>
          <w:szCs w:val="24"/>
        </w:rPr>
        <w:t xml:space="preserve"> at: https://www.academia.edu/download/82418906/sp06ra11.pdf</w:t>
      </w:r>
      <w:r>
        <w:t xml:space="preserve"> </w:t>
      </w:r>
    </w:p>
    <w:p w:rsidR="00CC7802" w:rsidRDefault="00762192">
      <w:pPr>
        <w:rPr>
          <w:szCs w:val="24"/>
          <w:highlight w:val="yellow"/>
          <w:lang w:val="en-GB"/>
        </w:rPr>
      </w:pPr>
      <w:r>
        <w:rPr>
          <w:szCs w:val="24"/>
          <w:highlight w:val="yellow"/>
        </w:rPr>
        <w:t xml:space="preserve">26. </w:t>
      </w:r>
      <w:proofErr w:type="spellStart"/>
      <w:r>
        <w:rPr>
          <w:szCs w:val="24"/>
          <w:highlight w:val="yellow"/>
          <w:lang w:val="en-GB"/>
        </w:rPr>
        <w:t>Fayet</w:t>
      </w:r>
      <w:proofErr w:type="spellEnd"/>
      <w:r>
        <w:rPr>
          <w:szCs w:val="24"/>
          <w:highlight w:val="yellow"/>
          <w:lang w:val="en-GB"/>
        </w:rPr>
        <w:t xml:space="preserve">‐Moore F, McConnell A, Tuck K, </w:t>
      </w:r>
      <w:proofErr w:type="spellStart"/>
      <w:r>
        <w:rPr>
          <w:szCs w:val="24"/>
          <w:highlight w:val="yellow"/>
          <w:lang w:val="en-GB"/>
        </w:rPr>
        <w:t>Petocz</w:t>
      </w:r>
      <w:proofErr w:type="spellEnd"/>
      <w:r>
        <w:rPr>
          <w:szCs w:val="24"/>
          <w:highlight w:val="yellow"/>
          <w:lang w:val="en-GB"/>
        </w:rPr>
        <w:t xml:space="preserve"> P, </w:t>
      </w:r>
      <w:proofErr w:type="spellStart"/>
      <w:r>
        <w:rPr>
          <w:szCs w:val="24"/>
          <w:highlight w:val="yellow"/>
          <w:lang w:val="en-GB"/>
        </w:rPr>
        <w:t>Cassettari</w:t>
      </w:r>
      <w:proofErr w:type="spellEnd"/>
      <w:r>
        <w:rPr>
          <w:szCs w:val="24"/>
          <w:highlight w:val="yellow"/>
          <w:lang w:val="en-GB"/>
        </w:rPr>
        <w:t xml:space="preserve"> T, </w:t>
      </w:r>
      <w:proofErr w:type="spellStart"/>
      <w:r>
        <w:rPr>
          <w:szCs w:val="24"/>
          <w:highlight w:val="yellow"/>
          <w:lang w:val="en-GB"/>
        </w:rPr>
        <w:t>Rahimi‐Ardabili</w:t>
      </w:r>
      <w:proofErr w:type="spellEnd"/>
      <w:r>
        <w:rPr>
          <w:szCs w:val="24"/>
          <w:highlight w:val="yellow"/>
          <w:lang w:val="en-GB"/>
        </w:rPr>
        <w:t xml:space="preserve"> H, </w:t>
      </w:r>
      <w:proofErr w:type="spellStart"/>
      <w:r>
        <w:rPr>
          <w:szCs w:val="24"/>
          <w:highlight w:val="yellow"/>
          <w:lang w:val="en-GB"/>
        </w:rPr>
        <w:t>Blumfield</w:t>
      </w:r>
      <w:proofErr w:type="spellEnd"/>
      <w:r>
        <w:rPr>
          <w:szCs w:val="24"/>
          <w:highlight w:val="yellow"/>
          <w:lang w:val="en-GB"/>
        </w:rPr>
        <w:t xml:space="preserve"> M, Marshall S. Patterns of discretionary food intake among Australian children and </w:t>
      </w:r>
      <w:r>
        <w:rPr>
          <w:szCs w:val="24"/>
          <w:highlight w:val="yellow"/>
          <w:lang w:val="en-GB"/>
        </w:rPr>
        <w:lastRenderedPageBreak/>
        <w:t>their association with socio‐demographic, lifestyle, and adiposity measures. Nutrition &amp; Dietetics. 2022 Nov</w:t>
      </w:r>
      <w:proofErr w:type="gramStart"/>
      <w:r>
        <w:rPr>
          <w:szCs w:val="24"/>
          <w:highlight w:val="yellow"/>
          <w:lang w:val="en-GB"/>
        </w:rPr>
        <w:t>;79</w:t>
      </w:r>
      <w:proofErr w:type="gramEnd"/>
      <w:r>
        <w:rPr>
          <w:szCs w:val="24"/>
          <w:highlight w:val="yellow"/>
          <w:lang w:val="en-GB"/>
        </w:rPr>
        <w:t>(5):623-35.</w:t>
      </w:r>
    </w:p>
    <w:p w:rsidR="00CC7802" w:rsidRDefault="00762192">
      <w:pPr>
        <w:spacing w:after="0"/>
        <w:rPr>
          <w:szCs w:val="24"/>
          <w:highlight w:val="yellow"/>
          <w:lang w:val="en-US"/>
        </w:rPr>
      </w:pPr>
      <w:r>
        <w:rPr>
          <w:rFonts w:eastAsia="Times New Roman" w:cs="Times New Roman"/>
          <w:szCs w:val="24"/>
          <w:highlight w:val="yellow"/>
          <w:lang w:eastAsia="zh-CN" w:bidi="ar"/>
        </w:rPr>
        <w:t xml:space="preserve">27. </w:t>
      </w:r>
      <w:r>
        <w:rPr>
          <w:rFonts w:eastAsia="Times New Roman" w:cs="Times New Roman"/>
          <w:szCs w:val="24"/>
          <w:highlight w:val="yellow"/>
          <w:lang w:val="en-US" w:eastAsia="zh-CN" w:bidi="ar"/>
        </w:rPr>
        <w:t xml:space="preserve">Bell LK, </w:t>
      </w:r>
      <w:proofErr w:type="spellStart"/>
      <w:r>
        <w:rPr>
          <w:rFonts w:eastAsia="Times New Roman" w:cs="Times New Roman"/>
          <w:szCs w:val="24"/>
          <w:highlight w:val="yellow"/>
          <w:lang w:val="en-US" w:eastAsia="zh-CN" w:bidi="ar"/>
        </w:rPr>
        <w:t>Golley</w:t>
      </w:r>
      <w:proofErr w:type="spellEnd"/>
      <w:r>
        <w:rPr>
          <w:rFonts w:eastAsia="Times New Roman" w:cs="Times New Roman"/>
          <w:szCs w:val="24"/>
          <w:highlight w:val="yellow"/>
          <w:lang w:val="en-US" w:eastAsia="zh-CN" w:bidi="ar"/>
        </w:rPr>
        <w:t xml:space="preserve"> RK, Daniels L, Magarey AM. Dietary patterns of Australian children aged 14 and 24 months, and associations with socio-demographic factors and adiposity. European journal of clinical nutrition. 2013 Jun</w:t>
      </w:r>
      <w:proofErr w:type="gramStart"/>
      <w:r>
        <w:rPr>
          <w:rFonts w:eastAsia="Times New Roman" w:cs="Times New Roman"/>
          <w:szCs w:val="24"/>
          <w:highlight w:val="yellow"/>
          <w:lang w:val="en-US" w:eastAsia="zh-CN" w:bidi="ar"/>
        </w:rPr>
        <w:t>;67</w:t>
      </w:r>
      <w:proofErr w:type="gramEnd"/>
      <w:r>
        <w:rPr>
          <w:rFonts w:eastAsia="Times New Roman" w:cs="Times New Roman"/>
          <w:szCs w:val="24"/>
          <w:highlight w:val="yellow"/>
          <w:lang w:val="en-US" w:eastAsia="zh-CN" w:bidi="ar"/>
        </w:rPr>
        <w:t>(6):638-45.</w:t>
      </w:r>
    </w:p>
    <w:p w:rsidR="00CC7802" w:rsidRDefault="00CC7802">
      <w:pPr>
        <w:rPr>
          <w:szCs w:val="24"/>
          <w:highlight w:val="yellow"/>
          <w:lang w:val="en-GB"/>
        </w:rPr>
      </w:pPr>
    </w:p>
    <w:p w:rsidR="00CC7802" w:rsidRDefault="00CC7802">
      <w:pPr>
        <w:spacing w:line="360" w:lineRule="auto"/>
        <w:jc w:val="both"/>
      </w:pPr>
    </w:p>
    <w:p w:rsidR="00CC7802" w:rsidRDefault="00CC7802">
      <w:pPr>
        <w:spacing w:line="360" w:lineRule="auto"/>
        <w:jc w:val="both"/>
        <w:rPr>
          <w:rFonts w:cs="Times New Roman"/>
          <w:b/>
          <w:szCs w:val="24"/>
        </w:rPr>
      </w:pPr>
    </w:p>
    <w:sectPr w:rsidR="00CC780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A9B" w:rsidRDefault="00474A9B">
      <w:pPr>
        <w:spacing w:line="240" w:lineRule="auto"/>
      </w:pPr>
      <w:r>
        <w:separator/>
      </w:r>
    </w:p>
  </w:endnote>
  <w:endnote w:type="continuationSeparator" w:id="0">
    <w:p w:rsidR="00474A9B" w:rsidRDefault="00474A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OldStyle">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92" w:rsidRDefault="007621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92" w:rsidRDefault="0076219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92" w:rsidRDefault="007621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A9B" w:rsidRDefault="00474A9B">
      <w:pPr>
        <w:spacing w:after="0"/>
      </w:pPr>
      <w:r>
        <w:separator/>
      </w:r>
    </w:p>
  </w:footnote>
  <w:footnote w:type="continuationSeparator" w:id="0">
    <w:p w:rsidR="00474A9B" w:rsidRDefault="00474A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92" w:rsidRDefault="00762192">
    <w:pPr>
      <w:pStyle w:val="En-t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501563" o:spid="_x0000_s3075" type="#_x0000_t136" style="position:absolute;margin-left:0;margin-top:0;width:575.5pt;height:63.9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92" w:rsidRDefault="00762192">
    <w:pPr>
      <w:pStyle w:val="En-t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501564" o:spid="_x0000_s3074" type="#_x0000_t136" style="position:absolute;margin-left:0;margin-top:0;width:575.5pt;height:63.9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92" w:rsidRDefault="00762192">
    <w:pPr>
      <w:pStyle w:val="En-t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501562" o:spid="_x0000_s3073" type="#_x0000_t136" style="position:absolute;margin-left:0;margin-top:0;width:575.5pt;height:63.9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F8D"/>
    <w:multiLevelType w:val="multilevel"/>
    <w:tmpl w:val="07A20F8D"/>
    <w:lvl w:ilvl="0">
      <w:start w:val="1"/>
      <w:numFmt w:val="decimal"/>
      <w:lvlText w:val="%1."/>
      <w:lvlJc w:val="left"/>
      <w:pPr>
        <w:ind w:left="927"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C9798E"/>
    <w:multiLevelType w:val="multilevel"/>
    <w:tmpl w:val="24C979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47646A6"/>
    <w:multiLevelType w:val="multilevel"/>
    <w:tmpl w:val="347646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6DF59A4"/>
    <w:multiLevelType w:val="multilevel"/>
    <w:tmpl w:val="36DF59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3295DD5"/>
    <w:multiLevelType w:val="multilevel"/>
    <w:tmpl w:val="63295DD5"/>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63E76605"/>
    <w:multiLevelType w:val="multilevel"/>
    <w:tmpl w:val="63E76605"/>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ED"/>
    <w:rsid w:val="0000513B"/>
    <w:rsid w:val="0000535F"/>
    <w:rsid w:val="000256ED"/>
    <w:rsid w:val="00034034"/>
    <w:rsid w:val="000470A7"/>
    <w:rsid w:val="00055918"/>
    <w:rsid w:val="00060DA8"/>
    <w:rsid w:val="00075060"/>
    <w:rsid w:val="000929AE"/>
    <w:rsid w:val="0009425B"/>
    <w:rsid w:val="00094645"/>
    <w:rsid w:val="000A1A78"/>
    <w:rsid w:val="000B3542"/>
    <w:rsid w:val="000B3CA1"/>
    <w:rsid w:val="000B4266"/>
    <w:rsid w:val="000C12C3"/>
    <w:rsid w:val="000C6603"/>
    <w:rsid w:val="000C6886"/>
    <w:rsid w:val="000E5D02"/>
    <w:rsid w:val="000F37ED"/>
    <w:rsid w:val="000F7D96"/>
    <w:rsid w:val="00122B87"/>
    <w:rsid w:val="00126774"/>
    <w:rsid w:val="0013487D"/>
    <w:rsid w:val="001370D3"/>
    <w:rsid w:val="001550E3"/>
    <w:rsid w:val="00162218"/>
    <w:rsid w:val="0016316F"/>
    <w:rsid w:val="00177F03"/>
    <w:rsid w:val="001938A7"/>
    <w:rsid w:val="001A35F4"/>
    <w:rsid w:val="001C42D1"/>
    <w:rsid w:val="001C4A47"/>
    <w:rsid w:val="001C7577"/>
    <w:rsid w:val="001D16BA"/>
    <w:rsid w:val="001D358D"/>
    <w:rsid w:val="001D437B"/>
    <w:rsid w:val="001E3ECC"/>
    <w:rsid w:val="001F2586"/>
    <w:rsid w:val="001F31B4"/>
    <w:rsid w:val="001F4413"/>
    <w:rsid w:val="001F46E9"/>
    <w:rsid w:val="001F77B5"/>
    <w:rsid w:val="0020532C"/>
    <w:rsid w:val="00206430"/>
    <w:rsid w:val="00212DEC"/>
    <w:rsid w:val="0021654D"/>
    <w:rsid w:val="0025135A"/>
    <w:rsid w:val="00253848"/>
    <w:rsid w:val="00254F46"/>
    <w:rsid w:val="002645A9"/>
    <w:rsid w:val="00270C81"/>
    <w:rsid w:val="002763FF"/>
    <w:rsid w:val="0028075C"/>
    <w:rsid w:val="00292E11"/>
    <w:rsid w:val="00293EF6"/>
    <w:rsid w:val="002A43DB"/>
    <w:rsid w:val="002A757B"/>
    <w:rsid w:val="002B1284"/>
    <w:rsid w:val="002B56CE"/>
    <w:rsid w:val="002B6D84"/>
    <w:rsid w:val="002C667E"/>
    <w:rsid w:val="002D2156"/>
    <w:rsid w:val="002D2ABA"/>
    <w:rsid w:val="002D5B10"/>
    <w:rsid w:val="002E12A2"/>
    <w:rsid w:val="002E29F7"/>
    <w:rsid w:val="002E3133"/>
    <w:rsid w:val="002F2554"/>
    <w:rsid w:val="002F490D"/>
    <w:rsid w:val="00302C1C"/>
    <w:rsid w:val="00304F4C"/>
    <w:rsid w:val="00310923"/>
    <w:rsid w:val="00317C25"/>
    <w:rsid w:val="0034183A"/>
    <w:rsid w:val="00353424"/>
    <w:rsid w:val="0035778B"/>
    <w:rsid w:val="00381E8C"/>
    <w:rsid w:val="0038349B"/>
    <w:rsid w:val="003838D1"/>
    <w:rsid w:val="003A0F04"/>
    <w:rsid w:val="003B222B"/>
    <w:rsid w:val="003B403D"/>
    <w:rsid w:val="003B6328"/>
    <w:rsid w:val="003B65DA"/>
    <w:rsid w:val="003C7B2D"/>
    <w:rsid w:val="003D573B"/>
    <w:rsid w:val="003E0685"/>
    <w:rsid w:val="003E1013"/>
    <w:rsid w:val="003E330A"/>
    <w:rsid w:val="003E3A56"/>
    <w:rsid w:val="003F1A3C"/>
    <w:rsid w:val="00403C9F"/>
    <w:rsid w:val="0041088D"/>
    <w:rsid w:val="00433E88"/>
    <w:rsid w:val="004410F7"/>
    <w:rsid w:val="004476C7"/>
    <w:rsid w:val="00462908"/>
    <w:rsid w:val="00463568"/>
    <w:rsid w:val="004717F6"/>
    <w:rsid w:val="00474A9B"/>
    <w:rsid w:val="00487730"/>
    <w:rsid w:val="004A3622"/>
    <w:rsid w:val="004B43F3"/>
    <w:rsid w:val="004B5E79"/>
    <w:rsid w:val="004C1534"/>
    <w:rsid w:val="004D4103"/>
    <w:rsid w:val="004D4E4B"/>
    <w:rsid w:val="004D672F"/>
    <w:rsid w:val="004F3B07"/>
    <w:rsid w:val="004F6A3F"/>
    <w:rsid w:val="005300EC"/>
    <w:rsid w:val="005309D6"/>
    <w:rsid w:val="00544B35"/>
    <w:rsid w:val="00545BCF"/>
    <w:rsid w:val="0055424A"/>
    <w:rsid w:val="00565556"/>
    <w:rsid w:val="00570C6F"/>
    <w:rsid w:val="005716D1"/>
    <w:rsid w:val="005A09E9"/>
    <w:rsid w:val="005C7E91"/>
    <w:rsid w:val="005D5504"/>
    <w:rsid w:val="005E4D89"/>
    <w:rsid w:val="00606F77"/>
    <w:rsid w:val="00614082"/>
    <w:rsid w:val="00615853"/>
    <w:rsid w:val="00622527"/>
    <w:rsid w:val="00626C53"/>
    <w:rsid w:val="00633C3D"/>
    <w:rsid w:val="00655BF2"/>
    <w:rsid w:val="006600C5"/>
    <w:rsid w:val="00666CE7"/>
    <w:rsid w:val="006826E7"/>
    <w:rsid w:val="00692125"/>
    <w:rsid w:val="006933E4"/>
    <w:rsid w:val="006A023F"/>
    <w:rsid w:val="006A6E9D"/>
    <w:rsid w:val="006E0E9E"/>
    <w:rsid w:val="00703D25"/>
    <w:rsid w:val="00712A01"/>
    <w:rsid w:val="0074336D"/>
    <w:rsid w:val="00746429"/>
    <w:rsid w:val="00746D5E"/>
    <w:rsid w:val="00750302"/>
    <w:rsid w:val="007579B9"/>
    <w:rsid w:val="00757B5F"/>
    <w:rsid w:val="0076003A"/>
    <w:rsid w:val="00762192"/>
    <w:rsid w:val="00774C70"/>
    <w:rsid w:val="00775FAE"/>
    <w:rsid w:val="00776116"/>
    <w:rsid w:val="007764DE"/>
    <w:rsid w:val="007946BA"/>
    <w:rsid w:val="007A4369"/>
    <w:rsid w:val="007A4D72"/>
    <w:rsid w:val="007B5993"/>
    <w:rsid w:val="007C46F9"/>
    <w:rsid w:val="007C534C"/>
    <w:rsid w:val="007E08B4"/>
    <w:rsid w:val="00801CD0"/>
    <w:rsid w:val="00810B12"/>
    <w:rsid w:val="00810F5A"/>
    <w:rsid w:val="008225C7"/>
    <w:rsid w:val="00826585"/>
    <w:rsid w:val="00832767"/>
    <w:rsid w:val="008424C2"/>
    <w:rsid w:val="008603C3"/>
    <w:rsid w:val="00880460"/>
    <w:rsid w:val="0088730E"/>
    <w:rsid w:val="008A25CE"/>
    <w:rsid w:val="008C5DA7"/>
    <w:rsid w:val="008D47A3"/>
    <w:rsid w:val="008E0DF9"/>
    <w:rsid w:val="008E2E7F"/>
    <w:rsid w:val="009101C4"/>
    <w:rsid w:val="00910D14"/>
    <w:rsid w:val="0093320E"/>
    <w:rsid w:val="0094464E"/>
    <w:rsid w:val="009478B0"/>
    <w:rsid w:val="009542A2"/>
    <w:rsid w:val="009579D5"/>
    <w:rsid w:val="009655F5"/>
    <w:rsid w:val="0096787A"/>
    <w:rsid w:val="009774E4"/>
    <w:rsid w:val="009E3BFE"/>
    <w:rsid w:val="009E7165"/>
    <w:rsid w:val="009F7093"/>
    <w:rsid w:val="00A115D4"/>
    <w:rsid w:val="00A13544"/>
    <w:rsid w:val="00A23B6B"/>
    <w:rsid w:val="00A45605"/>
    <w:rsid w:val="00A51EDE"/>
    <w:rsid w:val="00A76615"/>
    <w:rsid w:val="00A77075"/>
    <w:rsid w:val="00A77810"/>
    <w:rsid w:val="00A972E8"/>
    <w:rsid w:val="00AA0257"/>
    <w:rsid w:val="00AB2D54"/>
    <w:rsid w:val="00AB5ED8"/>
    <w:rsid w:val="00AC3E14"/>
    <w:rsid w:val="00AC778E"/>
    <w:rsid w:val="00AE6861"/>
    <w:rsid w:val="00B04F97"/>
    <w:rsid w:val="00B05CA6"/>
    <w:rsid w:val="00B14DD3"/>
    <w:rsid w:val="00B20D44"/>
    <w:rsid w:val="00B248D5"/>
    <w:rsid w:val="00B250F6"/>
    <w:rsid w:val="00B25E2F"/>
    <w:rsid w:val="00B27120"/>
    <w:rsid w:val="00B33A5B"/>
    <w:rsid w:val="00B64FE9"/>
    <w:rsid w:val="00B86E4A"/>
    <w:rsid w:val="00BB462D"/>
    <w:rsid w:val="00BD3617"/>
    <w:rsid w:val="00BD6175"/>
    <w:rsid w:val="00BE5E57"/>
    <w:rsid w:val="00C1416B"/>
    <w:rsid w:val="00C23C61"/>
    <w:rsid w:val="00C5500E"/>
    <w:rsid w:val="00C63794"/>
    <w:rsid w:val="00C64EED"/>
    <w:rsid w:val="00C6772E"/>
    <w:rsid w:val="00C67AE1"/>
    <w:rsid w:val="00C708A3"/>
    <w:rsid w:val="00C821D4"/>
    <w:rsid w:val="00CA18B4"/>
    <w:rsid w:val="00CA7B26"/>
    <w:rsid w:val="00CB2D95"/>
    <w:rsid w:val="00CB42EF"/>
    <w:rsid w:val="00CB4468"/>
    <w:rsid w:val="00CC2659"/>
    <w:rsid w:val="00CC7802"/>
    <w:rsid w:val="00CC7C55"/>
    <w:rsid w:val="00CE61BA"/>
    <w:rsid w:val="00D04A3D"/>
    <w:rsid w:val="00D31E70"/>
    <w:rsid w:val="00D46F77"/>
    <w:rsid w:val="00D7008A"/>
    <w:rsid w:val="00D86211"/>
    <w:rsid w:val="00DB5314"/>
    <w:rsid w:val="00DB6761"/>
    <w:rsid w:val="00DB72C0"/>
    <w:rsid w:val="00DC0D81"/>
    <w:rsid w:val="00DD0889"/>
    <w:rsid w:val="00DD206D"/>
    <w:rsid w:val="00DD22FD"/>
    <w:rsid w:val="00DE1A9A"/>
    <w:rsid w:val="00DF5AF3"/>
    <w:rsid w:val="00DF64D9"/>
    <w:rsid w:val="00E2056F"/>
    <w:rsid w:val="00E21739"/>
    <w:rsid w:val="00E468FF"/>
    <w:rsid w:val="00EA6A99"/>
    <w:rsid w:val="00EA7179"/>
    <w:rsid w:val="00EC36DD"/>
    <w:rsid w:val="00ED4FEB"/>
    <w:rsid w:val="00ED5C00"/>
    <w:rsid w:val="00EE3EE3"/>
    <w:rsid w:val="00EE5A13"/>
    <w:rsid w:val="00EE6FB4"/>
    <w:rsid w:val="00EF3462"/>
    <w:rsid w:val="00F05915"/>
    <w:rsid w:val="00F10CD5"/>
    <w:rsid w:val="00F204CB"/>
    <w:rsid w:val="00F352C5"/>
    <w:rsid w:val="00F37256"/>
    <w:rsid w:val="00F37815"/>
    <w:rsid w:val="00F42EB2"/>
    <w:rsid w:val="00F75FDB"/>
    <w:rsid w:val="00F77E85"/>
    <w:rsid w:val="00F8455C"/>
    <w:rsid w:val="00F92B7E"/>
    <w:rsid w:val="00F972AD"/>
    <w:rsid w:val="00FA1367"/>
    <w:rsid w:val="00FA6874"/>
    <w:rsid w:val="00FB5304"/>
    <w:rsid w:val="00FC0D36"/>
    <w:rsid w:val="00FD7F65"/>
    <w:rsid w:val="00FF27BE"/>
    <w:rsid w:val="00FF2FBA"/>
    <w:rsid w:val="01163D50"/>
    <w:rsid w:val="075768C9"/>
    <w:rsid w:val="09A76CB0"/>
    <w:rsid w:val="1C9A58BE"/>
    <w:rsid w:val="1D091930"/>
    <w:rsid w:val="203112A8"/>
    <w:rsid w:val="2E8A639E"/>
    <w:rsid w:val="34105849"/>
    <w:rsid w:val="38DF3828"/>
    <w:rsid w:val="3929368B"/>
    <w:rsid w:val="3E8B2461"/>
    <w:rsid w:val="6A49640E"/>
    <w:rsid w:val="733C0088"/>
    <w:rsid w:val="787826E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4BFB94D5"/>
  <w15:docId w15:val="{8533A037-4297-4473-808B-B9390868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Theme="minorHAnsi" w:hAnsi="Times New Roman" w:cstheme="minorBidi"/>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563C1" w:themeColor="hyperlink"/>
      <w:u w:val="single"/>
    </w:rPr>
  </w:style>
  <w:style w:type="character" w:styleId="Appelnotedebasdep">
    <w:name w:val="footnote reference"/>
    <w:basedOn w:val="Policepardfaut"/>
    <w:uiPriority w:val="99"/>
    <w:semiHidden/>
    <w:unhideWhenUsed/>
    <w:qFormat/>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qFormat/>
    <w:rPr>
      <w:sz w:val="16"/>
      <w:szCs w:val="16"/>
    </w:rPr>
  </w:style>
  <w:style w:type="paragraph" w:styleId="Notedebasdepage">
    <w:name w:val="footnote text"/>
    <w:basedOn w:val="Normal"/>
    <w:link w:val="NotedebasdepageCar"/>
    <w:uiPriority w:val="99"/>
    <w:semiHidden/>
    <w:unhideWhenUsed/>
    <w:qFormat/>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unhideWhenUsed/>
    <w:qFormat/>
    <w:pPr>
      <w:spacing w:line="240" w:lineRule="auto"/>
    </w:pPr>
    <w:rPr>
      <w:sz w:val="20"/>
      <w:szCs w:val="20"/>
    </w:rPr>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Cs w:val="24"/>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table" w:customStyle="1" w:styleId="Tableausimple21">
    <w:name w:val="Tableau simple 21"/>
    <w:basedOn w:val="Tableau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2">
    <w:name w:val="Tableau simple 22"/>
    <w:basedOn w:val="Tableau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ragraphedeliste">
    <w:name w:val="List Paragraph"/>
    <w:basedOn w:val="Normal"/>
    <w:uiPriority w:val="34"/>
    <w:qFormat/>
    <w:pPr>
      <w:ind w:left="720"/>
      <w:contextualSpacing/>
    </w:pPr>
  </w:style>
  <w:style w:type="character" w:customStyle="1" w:styleId="fontstyle01">
    <w:name w:val="fontstyle01"/>
    <w:basedOn w:val="Policepardfaut"/>
    <w:qFormat/>
    <w:rPr>
      <w:rFonts w:ascii="BookmanOldStyle" w:hAnsi="BookmanOldStyle" w:hint="default"/>
      <w:color w:val="000000"/>
      <w:sz w:val="24"/>
      <w:szCs w:val="24"/>
    </w:rPr>
  </w:style>
  <w:style w:type="character" w:customStyle="1" w:styleId="CommentaireCar">
    <w:name w:val="Commentaire Car"/>
    <w:basedOn w:val="Policepardfaut"/>
    <w:link w:val="Commentaire"/>
    <w:uiPriority w:val="99"/>
    <w:qFormat/>
    <w:rPr>
      <w:sz w:val="20"/>
      <w:szCs w:val="20"/>
    </w:r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TextedebullesCar1">
    <w:name w:val="Texte de bulles Car1"/>
    <w:basedOn w:val="Policepardfaut"/>
    <w:uiPriority w:val="99"/>
    <w:semiHidden/>
    <w:qFormat/>
    <w:rPr>
      <w:rFonts w:ascii="Segoe UI" w:hAnsi="Segoe UI" w:cs="Segoe UI"/>
      <w:sz w:val="18"/>
      <w:szCs w:val="18"/>
    </w:rPr>
  </w:style>
  <w:style w:type="paragraph" w:customStyle="1" w:styleId="Bibliographie1">
    <w:name w:val="Bibliographie1"/>
    <w:basedOn w:val="Normal"/>
    <w:next w:val="Normal"/>
    <w:uiPriority w:val="37"/>
    <w:unhideWhenUsed/>
    <w:qFormat/>
    <w:pPr>
      <w:tabs>
        <w:tab w:val="left" w:pos="384"/>
      </w:tabs>
      <w:spacing w:after="240" w:line="240" w:lineRule="auto"/>
      <w:ind w:left="384" w:hanging="384"/>
    </w:p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ObjetducommentaireCar1">
    <w:name w:val="Objet du commentaire Car1"/>
    <w:basedOn w:val="CommentaireCar"/>
    <w:uiPriority w:val="99"/>
    <w:semiHidden/>
    <w:qFormat/>
    <w:rPr>
      <w:b/>
      <w:bCs/>
      <w:sz w:val="20"/>
      <w:szCs w:val="20"/>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table" w:styleId="Grilledutableau">
    <w:name w:val="Table Grid"/>
    <w:basedOn w:val="Tableau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uiPriority w:val="99"/>
    <w:semiHidden/>
    <w:qFormat/>
    <w:rPr>
      <w:sz w:val="20"/>
      <w:szCs w:val="20"/>
    </w:rPr>
  </w:style>
  <w:style w:type="character" w:styleId="Textedelespacerserv">
    <w:name w:val="Placeholder Text"/>
    <w:basedOn w:val="Policepardfaut"/>
    <w:uiPriority w:val="99"/>
    <w:semiHidden/>
    <w:qFormat/>
    <w:rPr>
      <w:color w:val="808080"/>
    </w:rPr>
  </w:style>
  <w:style w:type="character" w:customStyle="1" w:styleId="UnresolvedMention">
    <w:name w:val="Unresolved Mention"/>
    <w:basedOn w:val="Policepardfau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Feuille_de_calcul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Feuil1!$B$1</c:f>
              <c:strCache>
                <c:ptCount val="1"/>
                <c:pt idx="0">
                  <c:v>Market  gardener Dosso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Cereals, roots, tubers </c:v>
                </c:pt>
                <c:pt idx="1">
                  <c:v>legumes and nuts</c:v>
                </c:pt>
                <c:pt idx="2">
                  <c:v> Dairy products (milk, yogurt, and cheese) </c:v>
                </c:pt>
                <c:pt idx="3">
                  <c:v> Meat products (meat, fish, poultry, and liver/offal)</c:v>
                </c:pt>
                <c:pt idx="4">
                  <c:v>Eggs        </c:v>
                </c:pt>
                <c:pt idx="5">
                  <c:v>Fruits and vegetables rich in vitamin A  </c:v>
                </c:pt>
                <c:pt idx="6">
                  <c:v>Other fruits and vegetables  </c:v>
                </c:pt>
              </c:strCache>
            </c:strRef>
          </c:cat>
          <c:val>
            <c:numRef>
              <c:f>Feuil1!$B$2:$B$8</c:f>
              <c:numCache>
                <c:formatCode>General</c:formatCode>
                <c:ptCount val="7"/>
                <c:pt idx="0">
                  <c:v>100</c:v>
                </c:pt>
                <c:pt idx="1">
                  <c:v>33.299999999999997</c:v>
                </c:pt>
                <c:pt idx="2">
                  <c:v>2.6</c:v>
                </c:pt>
                <c:pt idx="3">
                  <c:v>2.6</c:v>
                </c:pt>
                <c:pt idx="4">
                  <c:v>2.6</c:v>
                </c:pt>
                <c:pt idx="5">
                  <c:v>100</c:v>
                </c:pt>
                <c:pt idx="6">
                  <c:v>7.7</c:v>
                </c:pt>
              </c:numCache>
            </c:numRef>
          </c:val>
          <c:extLst>
            <c:ext xmlns:c16="http://schemas.microsoft.com/office/drawing/2014/chart" uri="{C3380CC4-5D6E-409C-BE32-E72D297353CC}">
              <c16:uniqueId val="{00000000-46DA-47F3-8335-4EA883F93847}"/>
            </c:ext>
          </c:extLst>
        </c:ser>
        <c:ser>
          <c:idx val="1"/>
          <c:order val="1"/>
          <c:tx>
            <c:strRef>
              <c:f>Feuil1!$C$1</c:f>
              <c:strCache>
                <c:ptCount val="1"/>
                <c:pt idx="0">
                  <c:v>Market  gardener TIllabéri</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Cereals, roots, tubers </c:v>
                </c:pt>
                <c:pt idx="1">
                  <c:v>legumes and nuts</c:v>
                </c:pt>
                <c:pt idx="2">
                  <c:v> Dairy products (milk, yogurt, and cheese) </c:v>
                </c:pt>
                <c:pt idx="3">
                  <c:v> Meat products (meat, fish, poultry, and liver/offal)</c:v>
                </c:pt>
                <c:pt idx="4">
                  <c:v>Eggs        </c:v>
                </c:pt>
                <c:pt idx="5">
                  <c:v>Fruits and vegetables rich in vitamin A  </c:v>
                </c:pt>
                <c:pt idx="6">
                  <c:v>Other fruits and vegetables  </c:v>
                </c:pt>
              </c:strCache>
            </c:strRef>
          </c:cat>
          <c:val>
            <c:numRef>
              <c:f>Feuil1!$C$2:$C$8</c:f>
              <c:numCache>
                <c:formatCode>General</c:formatCode>
                <c:ptCount val="7"/>
                <c:pt idx="0">
                  <c:v>94.4</c:v>
                </c:pt>
                <c:pt idx="1">
                  <c:v>41.7</c:v>
                </c:pt>
                <c:pt idx="2">
                  <c:v>19.399999999999999</c:v>
                </c:pt>
                <c:pt idx="3">
                  <c:v>38.9</c:v>
                </c:pt>
                <c:pt idx="4">
                  <c:v>5.6</c:v>
                </c:pt>
                <c:pt idx="5">
                  <c:v>97.2</c:v>
                </c:pt>
                <c:pt idx="6">
                  <c:v>94.4</c:v>
                </c:pt>
              </c:numCache>
            </c:numRef>
          </c:val>
          <c:extLst>
            <c:ext xmlns:c16="http://schemas.microsoft.com/office/drawing/2014/chart" uri="{C3380CC4-5D6E-409C-BE32-E72D297353CC}">
              <c16:uniqueId val="{00000001-46DA-47F3-8335-4EA883F93847}"/>
            </c:ext>
          </c:extLst>
        </c:ser>
        <c:ser>
          <c:idx val="2"/>
          <c:order val="2"/>
          <c:tx>
            <c:strRef>
              <c:f>Feuil1!$D$1</c:f>
              <c:strCache>
                <c:ptCount val="1"/>
                <c:pt idx="0">
                  <c:v>Not- market gardening Dosso</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Cereals, roots, tubers </c:v>
                </c:pt>
                <c:pt idx="1">
                  <c:v>legumes and nuts</c:v>
                </c:pt>
                <c:pt idx="2">
                  <c:v> Dairy products (milk, yogurt, and cheese) </c:v>
                </c:pt>
                <c:pt idx="3">
                  <c:v> Meat products (meat, fish, poultry, and liver/offal)</c:v>
                </c:pt>
                <c:pt idx="4">
                  <c:v>Eggs        </c:v>
                </c:pt>
                <c:pt idx="5">
                  <c:v>Fruits and vegetables rich in vitamin A  </c:v>
                </c:pt>
                <c:pt idx="6">
                  <c:v>Other fruits and vegetables  </c:v>
                </c:pt>
              </c:strCache>
            </c:strRef>
          </c:cat>
          <c:val>
            <c:numRef>
              <c:f>Feuil1!$D$2:$D$8</c:f>
              <c:numCache>
                <c:formatCode>General</c:formatCode>
                <c:ptCount val="7"/>
                <c:pt idx="0">
                  <c:v>100</c:v>
                </c:pt>
                <c:pt idx="1">
                  <c:v>50</c:v>
                </c:pt>
                <c:pt idx="2">
                  <c:v>100</c:v>
                </c:pt>
                <c:pt idx="3">
                  <c:v>50</c:v>
                </c:pt>
                <c:pt idx="4">
                  <c:v>0</c:v>
                </c:pt>
                <c:pt idx="5">
                  <c:v>100</c:v>
                </c:pt>
                <c:pt idx="6">
                  <c:v>50</c:v>
                </c:pt>
              </c:numCache>
            </c:numRef>
          </c:val>
          <c:extLst>
            <c:ext xmlns:c16="http://schemas.microsoft.com/office/drawing/2014/chart" uri="{C3380CC4-5D6E-409C-BE32-E72D297353CC}">
              <c16:uniqueId val="{00000002-46DA-47F3-8335-4EA883F93847}"/>
            </c:ext>
          </c:extLst>
        </c:ser>
        <c:ser>
          <c:idx val="3"/>
          <c:order val="3"/>
          <c:tx>
            <c:strRef>
              <c:f>Feuil1!$E$1</c:f>
              <c:strCache>
                <c:ptCount val="1"/>
                <c:pt idx="0">
                  <c:v>Together </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fr-FR" sz="900" b="0"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Feuil1!$A$2:$A$8</c:f>
              <c:strCache>
                <c:ptCount val="7"/>
                <c:pt idx="0">
                  <c:v>Cereals, roots, tubers </c:v>
                </c:pt>
                <c:pt idx="1">
                  <c:v>legumes and nuts</c:v>
                </c:pt>
                <c:pt idx="2">
                  <c:v> Dairy products (milk, yogurt, and cheese) </c:v>
                </c:pt>
                <c:pt idx="3">
                  <c:v> Meat products (meat, fish, poultry, and liver/offal)</c:v>
                </c:pt>
                <c:pt idx="4">
                  <c:v>Eggs        </c:v>
                </c:pt>
                <c:pt idx="5">
                  <c:v>Fruits and vegetables rich in vitamin A  </c:v>
                </c:pt>
                <c:pt idx="6">
                  <c:v>Other fruits and vegetables  </c:v>
                </c:pt>
              </c:strCache>
            </c:strRef>
          </c:cat>
          <c:val>
            <c:numRef>
              <c:f>Feuil1!$E$2:$E$8</c:f>
              <c:numCache>
                <c:formatCode>General</c:formatCode>
                <c:ptCount val="7"/>
                <c:pt idx="0">
                  <c:v>97.4</c:v>
                </c:pt>
                <c:pt idx="1">
                  <c:v>37.700000000000003</c:v>
                </c:pt>
                <c:pt idx="2">
                  <c:v>13</c:v>
                </c:pt>
                <c:pt idx="3">
                  <c:v>20.8</c:v>
                </c:pt>
                <c:pt idx="4">
                  <c:v>3.9</c:v>
                </c:pt>
                <c:pt idx="5">
                  <c:v>98.7</c:v>
                </c:pt>
                <c:pt idx="6">
                  <c:v>49.4</c:v>
                </c:pt>
              </c:numCache>
            </c:numRef>
          </c:val>
          <c:extLst>
            <c:ext xmlns:c16="http://schemas.microsoft.com/office/drawing/2014/chart" uri="{C3380CC4-5D6E-409C-BE32-E72D297353CC}">
              <c16:uniqueId val="{00000003-46DA-47F3-8335-4EA883F93847}"/>
            </c:ext>
          </c:extLst>
        </c:ser>
        <c:dLbls>
          <c:showLegendKey val="0"/>
          <c:showVal val="1"/>
          <c:showCatName val="0"/>
          <c:showSerName val="0"/>
          <c:showPercent val="0"/>
          <c:showBubbleSize val="0"/>
        </c:dLbls>
        <c:gapWidth val="150"/>
        <c:axId val="353900536"/>
        <c:axId val="353905632"/>
      </c:barChart>
      <c:catAx>
        <c:axId val="353900536"/>
        <c:scaling>
          <c:orientation val="minMax"/>
        </c:scaling>
        <c:delete val="0"/>
        <c:axPos val="l"/>
        <c:title>
          <c:tx>
            <c:rich>
              <a:bodyPr rot="-5400000" spcFirstLastPara="1" vertOverflow="ellipsis" vert="horz" wrap="square" anchor="ctr" anchorCtr="1"/>
              <a:lstStyle/>
              <a:p>
                <a:pPr>
                  <a:defRPr lang="fr-FR" sz="900" b="0" i="0" u="none" strike="noStrike" kern="1200" baseline="0">
                    <a:solidFill>
                      <a:sysClr val="windowText" lastClr="000000"/>
                    </a:solidFill>
                    <a:latin typeface="+mn-lt"/>
                    <a:ea typeface="+mn-ea"/>
                    <a:cs typeface="+mn-cs"/>
                  </a:defRPr>
                </a:pPr>
                <a:r>
                  <a:rPr lang="fr-FR"/>
                  <a:t>Food groups</a:t>
                </a:r>
              </a:p>
            </c:rich>
          </c:tx>
          <c:overlay val="0"/>
          <c:spPr>
            <a:noFill/>
            <a:ln>
              <a:noFill/>
            </a:ln>
            <a:effectLst/>
          </c:spPr>
          <c:txPr>
            <a:bodyPr rot="-5400000" spcFirstLastPara="1" vertOverflow="ellipsis" vert="horz" wrap="square" anchor="ctr" anchorCtr="1"/>
            <a:lstStyle/>
            <a:p>
              <a:pPr>
                <a:defRPr lang="fr-FR" sz="900" b="0"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fr-FR" sz="900" b="0" i="0" u="none" strike="noStrike" kern="1200" baseline="0">
                <a:solidFill>
                  <a:sysClr val="windowText" lastClr="000000"/>
                </a:solidFill>
                <a:latin typeface="+mn-lt"/>
                <a:ea typeface="+mn-ea"/>
                <a:cs typeface="+mn-cs"/>
              </a:defRPr>
            </a:pPr>
            <a:endParaRPr lang="fr-FR"/>
          </a:p>
        </c:txPr>
        <c:crossAx val="353905632"/>
        <c:crosses val="autoZero"/>
        <c:auto val="1"/>
        <c:lblAlgn val="ctr"/>
        <c:lblOffset val="100"/>
        <c:noMultiLvlLbl val="0"/>
      </c:catAx>
      <c:valAx>
        <c:axId val="3539056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fr-FR" sz="900" b="0" i="0" u="none" strike="noStrike" kern="1200" baseline="0">
                    <a:solidFill>
                      <a:sysClr val="windowText" lastClr="000000"/>
                    </a:solidFill>
                    <a:latin typeface="+mn-lt"/>
                    <a:ea typeface="+mn-ea"/>
                    <a:cs typeface="+mn-cs"/>
                  </a:defRPr>
                </a:pPr>
                <a:r>
                  <a:rPr lang="fr-FR"/>
                  <a:t>Percentage</a:t>
                </a:r>
              </a:p>
            </c:rich>
          </c:tx>
          <c:overlay val="0"/>
          <c:spPr>
            <a:noFill/>
            <a:ln>
              <a:noFill/>
            </a:ln>
            <a:effectLst/>
          </c:spPr>
          <c:txPr>
            <a:bodyPr rot="0" spcFirstLastPara="1" vertOverflow="ellipsis" vert="horz" wrap="square" anchor="ctr" anchorCtr="1"/>
            <a:lstStyle/>
            <a:p>
              <a:pPr>
                <a:defRPr lang="fr-FR" sz="900" b="0"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fr-FR" sz="900" b="0" i="0" u="none" strike="noStrike" kern="1200" baseline="0">
                <a:solidFill>
                  <a:sysClr val="windowText" lastClr="000000"/>
                </a:solidFill>
                <a:latin typeface="+mn-lt"/>
                <a:ea typeface="+mn-ea"/>
                <a:cs typeface="+mn-cs"/>
              </a:defRPr>
            </a:pPr>
            <a:endParaRPr lang="fr-FR"/>
          </a:p>
        </c:txPr>
        <c:crossAx val="353900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fr-FR" sz="900" b="0" i="0" u="none" strike="noStrike" kern="1200" baseline="0">
              <a:solidFill>
                <a:sysClr val="windowText" lastClr="000000"/>
              </a:solidFill>
              <a:latin typeface="+mn-lt"/>
              <a:ea typeface="+mn-ea"/>
              <a:cs typeface="+mn-cs"/>
            </a:defRPr>
          </a:pPr>
          <a:endParaRPr lang="fr-FR"/>
        </a:p>
      </c:txPr>
    </c:legend>
    <c:plotVisOnly val="1"/>
    <c:dispBlanksAs val="gap"/>
    <c:showDLblsOverMax val="0"/>
    <c:extLst>
      <c:ext uri="{0b15fc19-7d7d-44ad-8c2d-2c3a37ce22c3}">
        <chartProps xmlns="https://web.wps.cn/et/2018/main" chartId="{210d64e7-7acf-4914-8e1a-dd89cd40f910}"/>
      </c:ext>
    </c:extLst>
  </c:chart>
  <c:spPr>
    <a:solidFill>
      <a:schemeClr val="bg1"/>
    </a:solidFill>
    <a:ln w="9525" cap="flat" cmpd="sng" algn="ctr">
      <a:solidFill>
        <a:schemeClr val="tx1">
          <a:lumMod val="15000"/>
          <a:lumOff val="85000"/>
        </a:schemeClr>
      </a:solidFill>
      <a:round/>
    </a:ln>
    <a:effectLst/>
  </c:spPr>
  <c:txPr>
    <a:bodyPr/>
    <a:lstStyle/>
    <a:p>
      <a:pPr>
        <a:defRPr lang="fr-FR">
          <a:solidFill>
            <a:sysClr val="windowText" lastClr="000000"/>
          </a:solidFill>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C2007-BA31-48C5-B3C2-539B6354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17</Pages>
  <Words>9814</Words>
  <Characters>53981</Characters>
  <Application>Microsoft Office Word</Application>
  <DocSecurity>0</DocSecurity>
  <Lines>449</Lines>
  <Paragraphs>127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TOCHIBA</dc:creator>
  <cp:lastModifiedBy>Zara</cp:lastModifiedBy>
  <cp:revision>10</cp:revision>
  <dcterms:created xsi:type="dcterms:W3CDTF">2025-02-17T21:47:00Z</dcterms:created>
  <dcterms:modified xsi:type="dcterms:W3CDTF">2025-03-15T17:24:00Z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id="MkpRYEyC"/&gt;&lt;style id="http://www.zotero.org/styles/vancouver" locale="fr-FR"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y fmtid="{D5CDD505-2E9C-101B-9397-08002B2CF9AE}" pid="4" name="GrammarlyDocumentId">
    <vt:lpwstr>8085179b3b712150e907b35d1e7712a3acd2628d43c273c6ce10f591824045f4</vt:lpwstr>
  </property>
  <property fmtid="{D5CDD505-2E9C-101B-9397-08002B2CF9AE}" pid="5" name="KSOProductBuildVer">
    <vt:lpwstr>1036-12.2.0.20326</vt:lpwstr>
  </property>
  <property fmtid="{D5CDD505-2E9C-101B-9397-08002B2CF9AE}" pid="6" name="ICV">
    <vt:lpwstr>EB0B571B51044242B3E5653714D13FAD_13</vt:lpwstr>
  </property>
</Properties>
</file>