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444E" w14:textId="120CE5FB" w:rsidR="00163BC4" w:rsidRPr="008F39F5" w:rsidRDefault="00D04C04" w:rsidP="00441B6F">
      <w:pPr>
        <w:pStyle w:val="Author"/>
        <w:spacing w:line="240" w:lineRule="auto"/>
        <w:rPr>
          <w:rFonts w:ascii="Arial" w:hAnsi="Arial" w:cs="Arial"/>
          <w:bCs/>
          <w:iCs/>
          <w:kern w:val="28"/>
          <w:sz w:val="36"/>
        </w:rPr>
      </w:pPr>
      <w:r w:rsidRPr="00D04C04">
        <w:rPr>
          <w:rFonts w:ascii="Arial" w:hAnsi="Arial" w:cs="Arial"/>
          <w:bCs/>
          <w:iCs/>
          <w:kern w:val="28"/>
          <w:sz w:val="36"/>
        </w:rPr>
        <w:t>Nirmatrelvir</w:t>
      </w:r>
      <w:r w:rsidR="00184CA1">
        <w:rPr>
          <w:rFonts w:ascii="Arial" w:hAnsi="Arial" w:cs="Arial"/>
          <w:bCs/>
          <w:iCs/>
          <w:kern w:val="28"/>
          <w:sz w:val="36"/>
        </w:rPr>
        <w:t>-</w:t>
      </w:r>
      <w:r w:rsidRPr="00D04C04">
        <w:rPr>
          <w:rFonts w:ascii="Arial" w:hAnsi="Arial" w:cs="Arial"/>
          <w:bCs/>
          <w:iCs/>
          <w:kern w:val="28"/>
          <w:sz w:val="36"/>
        </w:rPr>
        <w:t>ritonavir</w:t>
      </w:r>
      <w:r w:rsidR="00C219A3" w:rsidRPr="008F39F5">
        <w:rPr>
          <w:rFonts w:ascii="Arial" w:hAnsi="Arial" w:cs="Arial"/>
          <w:bCs/>
          <w:iCs/>
          <w:kern w:val="28"/>
          <w:sz w:val="36"/>
        </w:rPr>
        <w:t xml:space="preserve"> for Treating COVID-19 Patients: A Case-Control Study</w:t>
      </w:r>
    </w:p>
    <w:p w14:paraId="17A32D65" w14:textId="77777777" w:rsidR="00A258C3" w:rsidRPr="008F39F5" w:rsidRDefault="00A258C3" w:rsidP="00441B6F">
      <w:pPr>
        <w:pStyle w:val="Author"/>
        <w:spacing w:line="240" w:lineRule="auto"/>
        <w:jc w:val="both"/>
        <w:rPr>
          <w:rFonts w:ascii="Arial" w:hAnsi="Arial" w:cs="Arial"/>
          <w:sz w:val="36"/>
        </w:rPr>
      </w:pPr>
    </w:p>
    <w:p w14:paraId="51F1E5A4" w14:textId="128433FE" w:rsidR="00ED624E" w:rsidRPr="00C46840" w:rsidRDefault="00ED624E" w:rsidP="00ED624E">
      <w:pPr>
        <w:pStyle w:val="Affiliation"/>
        <w:spacing w:after="0" w:line="240" w:lineRule="auto"/>
        <w:rPr>
          <w:rFonts w:ascii="Arial" w:hAnsi="Arial" w:cs="Arial"/>
          <w:i/>
          <w:lang w:val="es-MX"/>
        </w:rPr>
      </w:pPr>
      <w:r w:rsidRPr="00C46840">
        <w:rPr>
          <w:rFonts w:ascii="Arial" w:hAnsi="Arial" w:cs="Arial"/>
          <w:i/>
          <w:lang w:val="es-MX"/>
        </w:rPr>
        <w:t>.</w:t>
      </w:r>
    </w:p>
    <w:p w14:paraId="4803B3D9" w14:textId="77777777" w:rsidR="00ED624E" w:rsidRPr="002F5454" w:rsidRDefault="00ED624E" w:rsidP="00ED624E">
      <w:pPr>
        <w:pStyle w:val="Affiliation"/>
        <w:spacing w:after="0" w:line="240" w:lineRule="auto"/>
        <w:jc w:val="both"/>
        <w:rPr>
          <w:rFonts w:ascii="Arial" w:hAnsi="Arial" w:cs="Arial"/>
          <w:lang w:val="es-MX"/>
        </w:rPr>
      </w:pPr>
    </w:p>
    <w:p w14:paraId="71B377B7" w14:textId="77777777" w:rsidR="00CA6FAB" w:rsidRPr="00ED624E" w:rsidRDefault="00CA6FAB" w:rsidP="00441B6F">
      <w:pPr>
        <w:pStyle w:val="Affiliation"/>
        <w:spacing w:after="0" w:line="240" w:lineRule="auto"/>
        <w:jc w:val="both"/>
        <w:rPr>
          <w:rFonts w:ascii="Arial" w:hAnsi="Arial" w:cs="Arial"/>
          <w:lang w:val="es-MX"/>
        </w:rPr>
      </w:pPr>
    </w:p>
    <w:p w14:paraId="4789A3E2" w14:textId="68A087C7" w:rsidR="00B01FCD" w:rsidRPr="008F39F5" w:rsidRDefault="00DA76F5" w:rsidP="00441B6F">
      <w:pPr>
        <w:pStyle w:val="Copyright"/>
        <w:spacing w:after="0" w:line="240" w:lineRule="auto"/>
        <w:jc w:val="both"/>
        <w:rPr>
          <w:rFonts w:ascii="Arial" w:hAnsi="Arial" w:cs="Arial"/>
        </w:rPr>
        <w:sectPr w:rsidR="00B01FCD" w:rsidRPr="008F39F5" w:rsidSect="008469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F39F5">
        <w:rPr>
          <w:rFonts w:ascii="Arial" w:hAnsi="Arial" w:cs="Arial"/>
          <w:noProof/>
          <w:lang w:val="es-MX" w:eastAsia="es-MX"/>
        </w:rPr>
        <mc:AlternateContent>
          <mc:Choice Requires="wps">
            <w:drawing>
              <wp:inline distT="0" distB="0" distL="0" distR="0" wp14:anchorId="2E04302C" wp14:editId="438F3993">
                <wp:extent cx="5303520" cy="635"/>
                <wp:effectExtent l="13335" t="18415" r="17145" b="10160"/>
                <wp:docPr id="17957601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0D2BF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F39F5">
        <w:rPr>
          <w:rFonts w:ascii="Arial" w:hAnsi="Arial" w:cs="Arial"/>
        </w:rPr>
        <w:t>.</w:t>
      </w:r>
    </w:p>
    <w:p w14:paraId="0660E80D" w14:textId="416D9C49" w:rsidR="00B01FCD" w:rsidRPr="008F39F5" w:rsidRDefault="00B01FCD" w:rsidP="00441B6F">
      <w:pPr>
        <w:pStyle w:val="AbstHead"/>
        <w:spacing w:after="0"/>
        <w:jc w:val="both"/>
        <w:rPr>
          <w:rFonts w:ascii="Arial" w:hAnsi="Arial" w:cs="Arial"/>
        </w:rPr>
      </w:pPr>
      <w:r w:rsidRPr="008F39F5">
        <w:rPr>
          <w:rFonts w:ascii="Arial" w:hAnsi="Arial" w:cs="Arial"/>
        </w:rPr>
        <w:t>ABSTRACT</w:t>
      </w:r>
    </w:p>
    <w:p w14:paraId="4EB2F11F" w14:textId="77777777" w:rsidR="00790ADA" w:rsidRPr="008F39F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F39F5" w14:paraId="2AFDD217" w14:textId="77777777" w:rsidTr="001E44FE">
        <w:tc>
          <w:tcPr>
            <w:tcW w:w="9576" w:type="dxa"/>
            <w:shd w:val="clear" w:color="auto" w:fill="F2F2F2"/>
          </w:tcPr>
          <w:p w14:paraId="43A8396A" w14:textId="77777777" w:rsidR="001C45F2" w:rsidRPr="008F39F5" w:rsidRDefault="00BA1B01" w:rsidP="001C45F2">
            <w:pPr>
              <w:pStyle w:val="Body"/>
              <w:spacing w:after="0"/>
              <w:rPr>
                <w:rFonts w:ascii="Arial" w:hAnsi="Arial" w:cs="Arial"/>
              </w:rPr>
            </w:pPr>
            <w:r w:rsidRPr="008F39F5">
              <w:rPr>
                <w:rFonts w:ascii="Arial" w:eastAsia="Calibri" w:hAnsi="Arial" w:cs="Arial"/>
                <w:b/>
                <w:szCs w:val="22"/>
              </w:rPr>
              <w:t xml:space="preserve">Aims: </w:t>
            </w:r>
            <w:r w:rsidR="001C45F2" w:rsidRPr="008F39F5">
              <w:rPr>
                <w:rFonts w:ascii="Arial" w:hAnsi="Arial" w:cs="Arial"/>
              </w:rPr>
              <w:t xml:space="preserve">To compare the efficacy of nirmatrelvir/ritonavir versus symptomatic management in </w:t>
            </w:r>
            <w:r w:rsidR="001C45F2" w:rsidRPr="00872A1C">
              <w:rPr>
                <w:rFonts w:ascii="Arial" w:hAnsi="Arial" w:cs="Arial"/>
              </w:rPr>
              <w:t>reducing mortality,</w:t>
            </w:r>
            <w:r w:rsidR="001C45F2">
              <w:rPr>
                <w:rFonts w:ascii="Arial" w:hAnsi="Arial" w:cs="Arial"/>
              </w:rPr>
              <w:t xml:space="preserve"> and</w:t>
            </w:r>
            <w:r w:rsidR="001C45F2" w:rsidRPr="00872A1C">
              <w:rPr>
                <w:rFonts w:ascii="Arial" w:hAnsi="Arial" w:cs="Arial"/>
              </w:rPr>
              <w:t xml:space="preserve"> clinical severity, and increasing clinical improvement among patients with COVID-19</w:t>
            </w:r>
            <w:r w:rsidR="001C45F2" w:rsidRPr="008F39F5">
              <w:rPr>
                <w:rFonts w:ascii="Arial" w:hAnsi="Arial" w:cs="Arial"/>
              </w:rPr>
              <w:t>.</w:t>
            </w:r>
          </w:p>
          <w:p w14:paraId="292A2223" w14:textId="77777777" w:rsidR="001C45F2" w:rsidRDefault="00BA1B01" w:rsidP="001C45F2">
            <w:pPr>
              <w:pStyle w:val="Body"/>
              <w:spacing w:after="0"/>
              <w:rPr>
                <w:rFonts w:ascii="Arial" w:eastAsia="Calibri" w:hAnsi="Arial" w:cs="Arial"/>
                <w:szCs w:val="22"/>
              </w:rPr>
            </w:pPr>
            <w:r w:rsidRPr="008F39F5">
              <w:rPr>
                <w:rFonts w:ascii="Arial" w:eastAsia="Calibri" w:hAnsi="Arial" w:cs="Arial"/>
                <w:b/>
                <w:szCs w:val="22"/>
              </w:rPr>
              <w:t>Study design:</w:t>
            </w:r>
            <w:r w:rsidRPr="008F39F5">
              <w:rPr>
                <w:rFonts w:ascii="Arial" w:eastAsia="Calibri" w:hAnsi="Arial" w:cs="Arial"/>
                <w:szCs w:val="22"/>
              </w:rPr>
              <w:t xml:space="preserve"> </w:t>
            </w:r>
            <w:r w:rsidR="001C45F2" w:rsidRPr="008F39F5">
              <w:rPr>
                <w:rFonts w:ascii="Arial" w:hAnsi="Arial" w:cs="Arial"/>
              </w:rPr>
              <w:t xml:space="preserve">A multicentre, retrospective, and case-control </w:t>
            </w:r>
            <w:r w:rsidR="00441278" w:rsidRPr="008F39F5">
              <w:rPr>
                <w:rFonts w:ascii="Arial" w:eastAsia="Calibri" w:hAnsi="Arial" w:cs="Arial"/>
                <w:szCs w:val="22"/>
              </w:rPr>
              <w:t>study was conducted</w:t>
            </w:r>
            <w:r w:rsidR="001C45F2">
              <w:rPr>
                <w:rFonts w:ascii="Arial" w:eastAsia="Calibri" w:hAnsi="Arial" w:cs="Arial"/>
                <w:szCs w:val="22"/>
              </w:rPr>
              <w:t>,</w:t>
            </w:r>
            <w:r w:rsidR="001C45F2">
              <w:t xml:space="preserve"> w</w:t>
            </w:r>
            <w:r w:rsidR="001C45F2" w:rsidRPr="001C45F2">
              <w:rPr>
                <w:rFonts w:ascii="Arial" w:eastAsia="Calibri" w:hAnsi="Arial" w:cs="Arial"/>
                <w:szCs w:val="22"/>
              </w:rPr>
              <w:t>ith a 3:1 matching ratio</w:t>
            </w:r>
            <w:r w:rsidR="001C45F2">
              <w:rPr>
                <w:rFonts w:ascii="Arial" w:eastAsia="Calibri" w:hAnsi="Arial" w:cs="Arial"/>
                <w:szCs w:val="22"/>
              </w:rPr>
              <w:t xml:space="preserve"> (</w:t>
            </w:r>
            <w:r w:rsidR="001C45F2" w:rsidRPr="001C45F2">
              <w:rPr>
                <w:rFonts w:ascii="Arial" w:eastAsia="Calibri" w:hAnsi="Arial" w:cs="Arial"/>
                <w:szCs w:val="22"/>
              </w:rPr>
              <w:t>three controls per case</w:t>
            </w:r>
            <w:r w:rsidR="001C45F2">
              <w:rPr>
                <w:rFonts w:ascii="Arial" w:eastAsia="Calibri" w:hAnsi="Arial" w:cs="Arial"/>
                <w:szCs w:val="22"/>
              </w:rPr>
              <w:t>)</w:t>
            </w:r>
            <w:r w:rsidR="001C45F2" w:rsidRPr="001C45F2">
              <w:rPr>
                <w:rFonts w:ascii="Arial" w:eastAsia="Calibri" w:hAnsi="Arial" w:cs="Arial"/>
                <w:szCs w:val="22"/>
              </w:rPr>
              <w:t>.</w:t>
            </w:r>
          </w:p>
          <w:p w14:paraId="186FA815" w14:textId="41AFC21A" w:rsidR="00BA1B01" w:rsidRPr="008F39F5" w:rsidRDefault="00BA1B01" w:rsidP="001378DA">
            <w:pPr>
              <w:pStyle w:val="Body"/>
              <w:spacing w:after="0"/>
              <w:rPr>
                <w:rFonts w:ascii="Arial" w:eastAsia="Calibri" w:hAnsi="Arial" w:cs="Arial"/>
                <w:szCs w:val="22"/>
              </w:rPr>
            </w:pPr>
            <w:r w:rsidRPr="008F39F5">
              <w:rPr>
                <w:rFonts w:ascii="Arial" w:eastAsia="Calibri" w:hAnsi="Arial" w:cs="Arial"/>
                <w:b/>
                <w:szCs w:val="22"/>
              </w:rPr>
              <w:t>Place and Duration of Study:</w:t>
            </w:r>
            <w:r w:rsidRPr="008F39F5">
              <w:rPr>
                <w:rFonts w:ascii="Arial" w:eastAsia="Calibri" w:hAnsi="Arial" w:cs="Arial"/>
                <w:szCs w:val="22"/>
              </w:rPr>
              <w:t xml:space="preserve"> </w:t>
            </w:r>
            <w:r w:rsidR="001F2314" w:rsidRPr="008F39F5">
              <w:rPr>
                <w:rFonts w:ascii="Arial" w:eastAsia="Calibri" w:hAnsi="Arial" w:cs="Arial"/>
                <w:szCs w:val="22"/>
              </w:rPr>
              <w:t xml:space="preserve">Hospital and Ambulatory Care Medical Units. The study was conducted from </w:t>
            </w:r>
            <w:r w:rsidR="00383524" w:rsidRPr="00383524">
              <w:rPr>
                <w:rFonts w:ascii="Arial" w:eastAsia="Calibri" w:hAnsi="Arial" w:cs="Arial"/>
                <w:szCs w:val="22"/>
              </w:rPr>
              <w:t>October 1</w:t>
            </w:r>
            <w:r w:rsidR="00383524" w:rsidRPr="00383524">
              <w:rPr>
                <w:rFonts w:ascii="Arial" w:eastAsia="Calibri" w:hAnsi="Arial" w:cs="Arial"/>
                <w:szCs w:val="22"/>
                <w:vertAlign w:val="superscript"/>
              </w:rPr>
              <w:t>st</w:t>
            </w:r>
            <w:r w:rsidR="00383524" w:rsidRPr="00383524">
              <w:rPr>
                <w:rFonts w:ascii="Arial" w:eastAsia="Calibri" w:hAnsi="Arial" w:cs="Arial"/>
                <w:szCs w:val="22"/>
              </w:rPr>
              <w:t>, 2024 to January 31</w:t>
            </w:r>
            <w:r w:rsidR="00383524" w:rsidRPr="00383524">
              <w:rPr>
                <w:rFonts w:ascii="Arial" w:eastAsia="Calibri" w:hAnsi="Arial" w:cs="Arial"/>
                <w:szCs w:val="22"/>
                <w:vertAlign w:val="superscript"/>
              </w:rPr>
              <w:t>st</w:t>
            </w:r>
            <w:r w:rsidR="00383524" w:rsidRPr="00383524">
              <w:rPr>
                <w:rFonts w:ascii="Arial" w:eastAsia="Calibri" w:hAnsi="Arial" w:cs="Arial"/>
                <w:szCs w:val="22"/>
              </w:rPr>
              <w:t>, 2025</w:t>
            </w:r>
            <w:r w:rsidR="001F2314" w:rsidRPr="008F39F5">
              <w:rPr>
                <w:rFonts w:ascii="Arial" w:eastAsia="Calibri" w:hAnsi="Arial" w:cs="Arial"/>
                <w:szCs w:val="22"/>
              </w:rPr>
              <w:t>, with COVID-19 Mexican patients attending an outpatient consultation at several units in Puebla State, Mexico, from September 29th, 2022 to June 3rd, 2023.</w:t>
            </w:r>
          </w:p>
          <w:p w14:paraId="0E8FDE56" w14:textId="4A29C873" w:rsidR="00BA1B01" w:rsidRPr="008F39F5" w:rsidRDefault="00BA1B01" w:rsidP="001378DA">
            <w:pPr>
              <w:pStyle w:val="Body"/>
              <w:spacing w:after="0"/>
              <w:rPr>
                <w:rFonts w:ascii="Arial" w:eastAsia="Calibri" w:hAnsi="Arial" w:cs="Arial"/>
                <w:szCs w:val="22"/>
              </w:rPr>
            </w:pPr>
            <w:r w:rsidRPr="008F39F5">
              <w:rPr>
                <w:rFonts w:ascii="Arial" w:eastAsia="Calibri" w:hAnsi="Arial" w:cs="Arial"/>
                <w:b/>
                <w:bCs/>
                <w:szCs w:val="22"/>
              </w:rPr>
              <w:t>Methodology:</w:t>
            </w:r>
            <w:r w:rsidRPr="008F39F5">
              <w:rPr>
                <w:rFonts w:ascii="Arial" w:eastAsia="Calibri" w:hAnsi="Arial" w:cs="Arial"/>
                <w:szCs w:val="22"/>
              </w:rPr>
              <w:t xml:space="preserve"> </w:t>
            </w:r>
            <w:r w:rsidR="003C15C5" w:rsidRPr="008F39F5">
              <w:rPr>
                <w:rFonts w:ascii="Arial" w:eastAsia="Calibri" w:hAnsi="Arial" w:cs="Arial"/>
                <w:szCs w:val="22"/>
              </w:rPr>
              <w:t xml:space="preserve">Data on </w:t>
            </w:r>
            <w:r w:rsidR="002C366A" w:rsidRPr="008F39F5">
              <w:rPr>
                <w:rFonts w:ascii="Arial" w:eastAsia="Calibri" w:hAnsi="Arial" w:cs="Arial"/>
                <w:szCs w:val="22"/>
              </w:rPr>
              <w:t>health and sociodemographic variables</w:t>
            </w:r>
            <w:r w:rsidR="003C15C5" w:rsidRPr="008F39F5">
              <w:rPr>
                <w:rFonts w:ascii="Arial" w:eastAsia="Calibri" w:hAnsi="Arial" w:cs="Arial"/>
                <w:szCs w:val="22"/>
              </w:rPr>
              <w:t xml:space="preserve"> w</w:t>
            </w:r>
            <w:r w:rsidR="009F43DD" w:rsidRPr="008F39F5">
              <w:rPr>
                <w:rFonts w:ascii="Arial" w:eastAsia="Calibri" w:hAnsi="Arial" w:cs="Arial"/>
                <w:szCs w:val="22"/>
              </w:rPr>
              <w:t>ere</w:t>
            </w:r>
            <w:r w:rsidR="003C15C5" w:rsidRPr="008F39F5">
              <w:rPr>
                <w:rFonts w:ascii="Arial" w:eastAsia="Calibri" w:hAnsi="Arial" w:cs="Arial"/>
                <w:szCs w:val="22"/>
              </w:rPr>
              <w:t xml:space="preserve"> collected through a </w:t>
            </w:r>
            <w:r w:rsidR="002C366A" w:rsidRPr="008F39F5">
              <w:rPr>
                <w:rFonts w:ascii="Arial" w:eastAsia="Calibri" w:hAnsi="Arial" w:cs="Arial"/>
                <w:szCs w:val="22"/>
              </w:rPr>
              <w:t>retrospective</w:t>
            </w:r>
            <w:r w:rsidR="003C15C5" w:rsidRPr="008F39F5">
              <w:rPr>
                <w:rFonts w:ascii="Arial" w:eastAsia="Calibri" w:hAnsi="Arial" w:cs="Arial"/>
                <w:szCs w:val="22"/>
              </w:rPr>
              <w:t xml:space="preserve"> design</w:t>
            </w:r>
            <w:r w:rsidR="00897FEC" w:rsidRPr="008F39F5">
              <w:rPr>
                <w:rFonts w:ascii="Arial" w:eastAsia="Calibri" w:hAnsi="Arial" w:cs="Arial"/>
                <w:szCs w:val="22"/>
              </w:rPr>
              <w:t>,</w:t>
            </w:r>
            <w:r w:rsidR="003C15C5" w:rsidRPr="008F39F5">
              <w:rPr>
                <w:rFonts w:ascii="Arial" w:eastAsia="Calibri" w:hAnsi="Arial" w:cs="Arial"/>
                <w:szCs w:val="22"/>
              </w:rPr>
              <w:t xml:space="preserve"> using the </w:t>
            </w:r>
            <w:r w:rsidR="001F2314" w:rsidRPr="008F39F5">
              <w:rPr>
                <w:rFonts w:ascii="Arial" w:eastAsia="Calibri" w:hAnsi="Arial" w:cs="Arial"/>
                <w:szCs w:val="22"/>
              </w:rPr>
              <w:t>SINOLAVE</w:t>
            </w:r>
            <w:r w:rsidR="003C15C5" w:rsidRPr="008F39F5">
              <w:rPr>
                <w:rFonts w:ascii="Arial" w:eastAsia="Calibri" w:hAnsi="Arial" w:cs="Arial"/>
                <w:szCs w:val="22"/>
              </w:rPr>
              <w:t xml:space="preserve"> system.</w:t>
            </w:r>
          </w:p>
          <w:p w14:paraId="57B9EFED" w14:textId="1FF5985A" w:rsidR="00161EE6" w:rsidRDefault="00BA1B01" w:rsidP="00161EE6">
            <w:pPr>
              <w:pStyle w:val="Body"/>
              <w:spacing w:after="0"/>
              <w:rPr>
                <w:rFonts w:ascii="Arial" w:eastAsia="Calibri" w:hAnsi="Arial" w:cs="Arial"/>
                <w:szCs w:val="22"/>
              </w:rPr>
            </w:pPr>
            <w:r w:rsidRPr="008F39F5">
              <w:rPr>
                <w:rFonts w:ascii="Arial" w:eastAsia="Calibri" w:hAnsi="Arial" w:cs="Arial"/>
                <w:b/>
                <w:bCs/>
                <w:szCs w:val="22"/>
              </w:rPr>
              <w:t>Results:</w:t>
            </w:r>
            <w:r w:rsidRPr="008F39F5">
              <w:rPr>
                <w:rFonts w:ascii="Arial" w:eastAsia="Calibri" w:hAnsi="Arial" w:cs="Arial"/>
                <w:szCs w:val="22"/>
              </w:rPr>
              <w:t xml:space="preserve"> </w:t>
            </w:r>
            <w:r w:rsidR="00721267" w:rsidRPr="00721267">
              <w:rPr>
                <w:rFonts w:ascii="Arial" w:eastAsia="Calibri" w:hAnsi="Arial" w:cs="Arial"/>
                <w:szCs w:val="22"/>
                <w:highlight w:val="yellow"/>
              </w:rPr>
              <w:t xml:space="preserve">We included 5,228 patients with COVID-19 (3,921 controls and 1,307 cases). The average age was 41.19 (SD=15.17, median age=39 [IQR=29-51]). Common factors associated with severe COVID-19 disease, mortality, and clinical improvement were: nirmatrelvir/ritonavir ([severity OR=0.080; 95%CI 0.019-0.343, p=0.001], [mortality OR=0.058; 95%CI 0.008-0.425, </w:t>
            </w:r>
            <w:r w:rsidR="00721267" w:rsidRPr="00AE244A">
              <w:rPr>
                <w:rFonts w:ascii="Arial" w:eastAsia="Calibri" w:hAnsi="Arial" w:cs="Arial"/>
                <w:color w:val="000000" w:themeColor="text1"/>
                <w:szCs w:val="22"/>
                <w:highlight w:val="yellow"/>
              </w:rPr>
              <w:t>p=</w:t>
            </w:r>
            <w:r w:rsidR="00AE244A" w:rsidRPr="00AE244A">
              <w:rPr>
                <w:rFonts w:ascii="Arial" w:eastAsia="Calibri" w:hAnsi="Arial" w:cs="Arial"/>
                <w:color w:val="000000" w:themeColor="text1"/>
                <w:szCs w:val="22"/>
                <w:highlight w:val="yellow"/>
              </w:rPr>
              <w:t>0.005</w:t>
            </w:r>
            <w:r w:rsidR="00721267" w:rsidRPr="00721267">
              <w:rPr>
                <w:rFonts w:ascii="Arial" w:eastAsia="Calibri" w:hAnsi="Arial" w:cs="Arial"/>
                <w:szCs w:val="22"/>
                <w:highlight w:val="yellow"/>
              </w:rPr>
              <w:t>], [clinical improvement OR=16.458; 95%CI 2.221-121.944, p=0.006]), and age ([severity OR=1.065; 95%CI 1.042-1.089, p&lt;0.001], [mortality OR=1.087; 95%CI 1.063-1.111</w:t>
            </w:r>
            <w:r w:rsidR="00721267">
              <w:rPr>
                <w:rFonts w:ascii="Arial" w:eastAsia="Calibri" w:hAnsi="Arial" w:cs="Arial"/>
                <w:szCs w:val="22"/>
                <w:highlight w:val="yellow"/>
              </w:rPr>
              <w:t xml:space="preserve">, </w:t>
            </w:r>
            <w:r w:rsidR="00721267" w:rsidRPr="00AE244A">
              <w:rPr>
                <w:rFonts w:ascii="Arial" w:eastAsia="Calibri" w:hAnsi="Arial" w:cs="Arial"/>
                <w:color w:val="000000" w:themeColor="text1"/>
                <w:szCs w:val="22"/>
                <w:highlight w:val="yellow"/>
              </w:rPr>
              <w:t>p</w:t>
            </w:r>
            <w:r w:rsidR="00AE244A" w:rsidRPr="00AE244A">
              <w:rPr>
                <w:rFonts w:ascii="Arial" w:eastAsia="Calibri" w:hAnsi="Arial" w:cs="Arial"/>
                <w:color w:val="000000" w:themeColor="text1"/>
                <w:szCs w:val="22"/>
                <w:highlight w:val="yellow"/>
              </w:rPr>
              <w:t>&lt;0.001</w:t>
            </w:r>
            <w:r w:rsidR="00721267" w:rsidRPr="00721267">
              <w:rPr>
                <w:rFonts w:ascii="Arial" w:eastAsia="Calibri" w:hAnsi="Arial" w:cs="Arial"/>
                <w:szCs w:val="22"/>
                <w:highlight w:val="yellow"/>
              </w:rPr>
              <w:t>], [clinical improvement OR=0.921; 95%CI 0.901-0.941, p&lt;0.001]). Other factors associated with COVID-19 severity were: headache (OR=2.941; 95%CI 1.231-7.029, p=0.015), profound weakness (OR=0.196; 95%CI 0.049-0.784, p=0.021), dyspnoea (OR=4372.92; 95% CI 1522.538-12559.587, p&lt;0.001), coryza (OR=13.539; 95%CI 1.816-100.932, p=0.011), anosmia (OR=0.041; 95%CI 0.007-0.253, p=0.001), and diabetes (OR=5.823; 95%ci 2.091-16.217, p=0.001). Additionally, sex was another factor associated with COVID-19 mortality (OR=2.664; 95%CI 1.441-4.925</w:t>
            </w:r>
            <w:r w:rsidR="00721267">
              <w:rPr>
                <w:rFonts w:ascii="Arial" w:eastAsia="Calibri" w:hAnsi="Arial" w:cs="Arial"/>
                <w:szCs w:val="22"/>
                <w:highlight w:val="yellow"/>
              </w:rPr>
              <w:t xml:space="preserve">, </w:t>
            </w:r>
            <w:r w:rsidR="00721267" w:rsidRPr="0010368D">
              <w:rPr>
                <w:rFonts w:ascii="Arial" w:eastAsia="Calibri" w:hAnsi="Arial" w:cs="Arial"/>
                <w:color w:val="000000" w:themeColor="text1"/>
                <w:szCs w:val="22"/>
                <w:highlight w:val="yellow"/>
              </w:rPr>
              <w:t>p=</w:t>
            </w:r>
            <w:r w:rsidR="0010368D" w:rsidRPr="0010368D">
              <w:rPr>
                <w:rFonts w:ascii="Arial" w:eastAsia="Calibri" w:hAnsi="Arial" w:cs="Arial"/>
                <w:color w:val="000000" w:themeColor="text1"/>
                <w:szCs w:val="22"/>
                <w:highlight w:val="yellow"/>
              </w:rPr>
              <w:t>0.002</w:t>
            </w:r>
            <w:r w:rsidR="00721267" w:rsidRPr="00721267">
              <w:rPr>
                <w:rFonts w:ascii="Arial" w:eastAsia="Calibri" w:hAnsi="Arial" w:cs="Arial"/>
                <w:szCs w:val="22"/>
                <w:highlight w:val="yellow"/>
              </w:rPr>
              <w:t>) and clinical improvement (OR=0.449; 95%CI 0.248-0.813, p=0.008). In contrast, employment (OR=2.431; 95%CI 1.165-5.073, p=0.018), sudden onset (OR=0.374; 95%CI 0.203-0.690, p=0.002), painful swallowing (OR=5.733; 95%CI 3.179-10.339, p&lt;0.001) and Chronic Obstructive Pulmonary Disease (COPD) (OR=0.301; 95%CI 0.100-0.908, p=0.033) are associated with clinical improvement.</w:t>
            </w:r>
          </w:p>
          <w:p w14:paraId="5A1321A0" w14:textId="3A444BC2" w:rsidR="00505F06" w:rsidRPr="008F39F5" w:rsidRDefault="00BA1B01" w:rsidP="00161EE6">
            <w:pPr>
              <w:pStyle w:val="Body"/>
              <w:spacing w:after="0"/>
              <w:rPr>
                <w:rFonts w:ascii="Arial" w:eastAsia="Calibri" w:hAnsi="Arial" w:cs="Arial"/>
                <w:szCs w:val="22"/>
              </w:rPr>
            </w:pPr>
            <w:r w:rsidRPr="008F39F5">
              <w:rPr>
                <w:rFonts w:ascii="Arial" w:eastAsia="Calibri" w:hAnsi="Arial" w:cs="Arial"/>
                <w:b/>
                <w:bCs/>
                <w:szCs w:val="22"/>
              </w:rPr>
              <w:t>Conclusion:</w:t>
            </w:r>
            <w:r w:rsidRPr="008F39F5">
              <w:rPr>
                <w:rFonts w:ascii="Arial" w:eastAsia="Calibri" w:hAnsi="Arial" w:cs="Arial"/>
                <w:szCs w:val="22"/>
              </w:rPr>
              <w:t xml:space="preserve"> </w:t>
            </w:r>
            <w:r w:rsidR="003639D4">
              <w:rPr>
                <w:rFonts w:ascii="Arial" w:eastAsia="Calibri" w:hAnsi="Arial" w:cs="Arial"/>
                <w:szCs w:val="22"/>
              </w:rPr>
              <w:t>N</w:t>
            </w:r>
            <w:r w:rsidR="003639D4" w:rsidRPr="003639D4">
              <w:rPr>
                <w:rFonts w:ascii="Arial" w:eastAsia="Calibri" w:hAnsi="Arial" w:cs="Arial"/>
                <w:szCs w:val="22"/>
              </w:rPr>
              <w:t>irmatrelvir/ritonavir can significantly reduce the risk of mortality and severity of COVID-19, and increase the clinical improvement in patients with COVID-19.</w:t>
            </w:r>
            <w:r w:rsidR="003639D4">
              <w:rPr>
                <w:rFonts w:ascii="Arial" w:eastAsia="Calibri" w:hAnsi="Arial" w:cs="Arial"/>
                <w:szCs w:val="22"/>
              </w:rPr>
              <w:t xml:space="preserve"> </w:t>
            </w:r>
            <w:r w:rsidR="00161EE6">
              <w:rPr>
                <w:rFonts w:ascii="Arial" w:eastAsia="Calibri" w:hAnsi="Arial" w:cs="Arial"/>
                <w:szCs w:val="22"/>
              </w:rPr>
              <w:t>In addition, o</w:t>
            </w:r>
            <w:r w:rsidR="00161EE6" w:rsidRPr="00161EE6">
              <w:rPr>
                <w:rFonts w:ascii="Arial" w:eastAsia="Calibri" w:hAnsi="Arial" w:cs="Arial"/>
                <w:szCs w:val="22"/>
              </w:rPr>
              <w:t xml:space="preserve">lder age, headache, dyspnoea, coryza, and diabetes were associated with severe COVID-19, while profound weakness, and anosmia were linked to a lower risk. Clinical improvement was associated with younger age, </w:t>
            </w:r>
            <w:r w:rsidR="00606EB6" w:rsidRPr="00161EE6">
              <w:rPr>
                <w:rFonts w:ascii="Arial" w:eastAsia="Calibri" w:hAnsi="Arial" w:cs="Arial"/>
                <w:szCs w:val="22"/>
              </w:rPr>
              <w:t xml:space="preserve">female sex, </w:t>
            </w:r>
            <w:r w:rsidR="00161EE6" w:rsidRPr="00161EE6">
              <w:rPr>
                <w:rFonts w:ascii="Arial" w:eastAsia="Calibri" w:hAnsi="Arial" w:cs="Arial"/>
                <w:szCs w:val="22"/>
              </w:rPr>
              <w:t xml:space="preserve">employment, </w:t>
            </w:r>
            <w:r w:rsidR="00606EB6" w:rsidRPr="00161EE6">
              <w:rPr>
                <w:rFonts w:ascii="Arial" w:eastAsia="Calibri" w:hAnsi="Arial" w:cs="Arial"/>
                <w:szCs w:val="22"/>
              </w:rPr>
              <w:t xml:space="preserve">and </w:t>
            </w:r>
            <w:r w:rsidR="00DF696D" w:rsidRPr="00161EE6">
              <w:rPr>
                <w:rFonts w:ascii="Arial" w:eastAsia="Calibri" w:hAnsi="Arial" w:cs="Arial"/>
                <w:szCs w:val="22"/>
              </w:rPr>
              <w:t>painful swallowing</w:t>
            </w:r>
            <w:r w:rsidR="00161EE6" w:rsidRPr="00161EE6">
              <w:rPr>
                <w:rFonts w:ascii="Arial" w:eastAsia="Calibri" w:hAnsi="Arial" w:cs="Arial"/>
                <w:szCs w:val="22"/>
              </w:rPr>
              <w:t xml:space="preserve">, </w:t>
            </w:r>
            <w:r w:rsidR="00606EB6">
              <w:rPr>
                <w:rFonts w:ascii="Arial" w:eastAsia="Calibri" w:hAnsi="Arial" w:cs="Arial"/>
                <w:szCs w:val="22"/>
              </w:rPr>
              <w:t>mean</w:t>
            </w:r>
            <w:r w:rsidR="00161EE6" w:rsidRPr="00161EE6">
              <w:rPr>
                <w:rFonts w:ascii="Arial" w:eastAsia="Calibri" w:hAnsi="Arial" w:cs="Arial"/>
                <w:szCs w:val="22"/>
              </w:rPr>
              <w:t>while sudden onset and COPD reduced the likelihood of improvement. Mortality risk increased with older age and male sex, whereas employment w</w:t>
            </w:r>
            <w:r w:rsidR="00606EB6">
              <w:rPr>
                <w:rFonts w:ascii="Arial" w:eastAsia="Calibri" w:hAnsi="Arial" w:cs="Arial"/>
                <w:szCs w:val="22"/>
              </w:rPr>
              <w:t>as</w:t>
            </w:r>
            <w:r w:rsidR="00161EE6" w:rsidRPr="00161EE6">
              <w:rPr>
                <w:rFonts w:ascii="Arial" w:eastAsia="Calibri" w:hAnsi="Arial" w:cs="Arial"/>
                <w:szCs w:val="22"/>
              </w:rPr>
              <w:t xml:space="preserve"> protective factor.</w:t>
            </w:r>
          </w:p>
        </w:tc>
      </w:tr>
    </w:tbl>
    <w:p w14:paraId="66718376" w14:textId="77777777" w:rsidR="00636EB2" w:rsidRPr="008F39F5" w:rsidRDefault="00636EB2" w:rsidP="00441B6F">
      <w:pPr>
        <w:pStyle w:val="Body"/>
        <w:spacing w:after="0"/>
        <w:rPr>
          <w:rFonts w:ascii="Arial" w:hAnsi="Arial" w:cs="Arial"/>
          <w:i/>
        </w:rPr>
      </w:pPr>
    </w:p>
    <w:p w14:paraId="2BCD2E2B" w14:textId="1AFF383D" w:rsidR="00A24E7E" w:rsidRPr="008F39F5" w:rsidRDefault="00A24E7E" w:rsidP="00441B6F">
      <w:pPr>
        <w:pStyle w:val="Body"/>
        <w:spacing w:after="0"/>
        <w:rPr>
          <w:rFonts w:ascii="Arial" w:hAnsi="Arial" w:cs="Arial"/>
          <w:i/>
        </w:rPr>
      </w:pPr>
      <w:r w:rsidRPr="008F39F5">
        <w:rPr>
          <w:rFonts w:ascii="Arial" w:hAnsi="Arial" w:cs="Arial"/>
          <w:i/>
        </w:rPr>
        <w:t xml:space="preserve">Keywords: </w:t>
      </w:r>
      <w:r w:rsidR="004F66EB" w:rsidRPr="008F39F5">
        <w:rPr>
          <w:rFonts w:ascii="Arial" w:hAnsi="Arial" w:cs="Arial"/>
          <w:i/>
        </w:rPr>
        <w:t xml:space="preserve">COVID-19; </w:t>
      </w:r>
      <w:r w:rsidR="00713C50" w:rsidRPr="008F39F5">
        <w:rPr>
          <w:rFonts w:ascii="Arial" w:hAnsi="Arial" w:cs="Arial"/>
          <w:i/>
        </w:rPr>
        <w:t>non-communicable diseases</w:t>
      </w:r>
      <w:r w:rsidR="00084A11" w:rsidRPr="008F39F5">
        <w:rPr>
          <w:rFonts w:ascii="Arial" w:hAnsi="Arial" w:cs="Arial"/>
          <w:i/>
        </w:rPr>
        <w:t xml:space="preserve">; </w:t>
      </w:r>
      <w:r w:rsidR="0092203B">
        <w:rPr>
          <w:rFonts w:ascii="Arial" w:hAnsi="Arial" w:cs="Arial"/>
          <w:i/>
        </w:rPr>
        <w:t>n</w:t>
      </w:r>
      <w:r w:rsidR="0092203B" w:rsidRPr="0092203B">
        <w:rPr>
          <w:rFonts w:ascii="Arial" w:hAnsi="Arial" w:cs="Arial"/>
          <w:i/>
        </w:rPr>
        <w:t>irmatrelvir/ritonavir</w:t>
      </w:r>
      <w:r w:rsidR="004F66EB" w:rsidRPr="008F39F5">
        <w:rPr>
          <w:rFonts w:ascii="Arial" w:hAnsi="Arial" w:cs="Arial"/>
          <w:i/>
        </w:rPr>
        <w:t xml:space="preserve">; </w:t>
      </w:r>
      <w:r w:rsidR="0092203B">
        <w:rPr>
          <w:rFonts w:ascii="Arial" w:hAnsi="Arial" w:cs="Arial"/>
          <w:i/>
        </w:rPr>
        <w:t>case-control study</w:t>
      </w:r>
    </w:p>
    <w:p w14:paraId="112B1908" w14:textId="77777777" w:rsidR="00505F06" w:rsidRPr="008F39F5" w:rsidRDefault="00505F06" w:rsidP="00441B6F">
      <w:pPr>
        <w:pStyle w:val="Body"/>
        <w:spacing w:after="0"/>
        <w:rPr>
          <w:rFonts w:ascii="Arial" w:hAnsi="Arial" w:cs="Arial"/>
          <w:i/>
        </w:rPr>
      </w:pPr>
    </w:p>
    <w:p w14:paraId="3D6BFF5B" w14:textId="73B19F3A" w:rsidR="007F7B32" w:rsidRPr="008F39F5" w:rsidRDefault="00902823" w:rsidP="00441B6F">
      <w:pPr>
        <w:pStyle w:val="AbstHead"/>
        <w:spacing w:after="0"/>
        <w:jc w:val="both"/>
        <w:rPr>
          <w:rFonts w:ascii="Arial" w:hAnsi="Arial" w:cs="Arial"/>
        </w:rPr>
      </w:pPr>
      <w:r w:rsidRPr="008F39F5">
        <w:rPr>
          <w:rFonts w:ascii="Arial" w:hAnsi="Arial" w:cs="Arial"/>
        </w:rPr>
        <w:lastRenderedPageBreak/>
        <w:t xml:space="preserve">1. </w:t>
      </w:r>
      <w:r w:rsidR="00B01FCD" w:rsidRPr="008F39F5">
        <w:rPr>
          <w:rFonts w:ascii="Arial" w:hAnsi="Arial" w:cs="Arial"/>
        </w:rPr>
        <w:t>INTRODUCTION</w:t>
      </w:r>
    </w:p>
    <w:p w14:paraId="490A5A31" w14:textId="08AAFFFF" w:rsidR="004B1D49" w:rsidRPr="008F39F5" w:rsidRDefault="00C219A3" w:rsidP="00A3404D">
      <w:pPr>
        <w:pStyle w:val="Body"/>
        <w:spacing w:after="0"/>
        <w:rPr>
          <w:rFonts w:ascii="Arial" w:hAnsi="Arial" w:cs="Arial"/>
        </w:rPr>
      </w:pPr>
      <w:r w:rsidRPr="008F39F5">
        <w:rPr>
          <w:rFonts w:ascii="Arial" w:hAnsi="Arial" w:cs="Arial"/>
        </w:rPr>
        <w:t>The Coronavirus disease 2019 (COVID-19 disease) has posed a significant public global health concern, particularly for high-risk populations such as the elderly population</w:t>
      </w:r>
      <w:r w:rsidR="000F0C18">
        <w:rPr>
          <w:rFonts w:ascii="Arial" w:hAnsi="Arial" w:cs="Arial"/>
        </w:rPr>
        <w:t xml:space="preserve"> </w:t>
      </w:r>
      <w:r w:rsidR="000F0C18" w:rsidRPr="000F0C18">
        <w:rPr>
          <w:rFonts w:ascii="Arial" w:hAnsi="Arial" w:cs="Arial"/>
          <w:highlight w:val="yellow"/>
        </w:rPr>
        <w:t>(López-Hernández 2022, Anguiano-Velázquez et al. 2024)</w:t>
      </w:r>
      <w:r w:rsidRPr="008F39F5">
        <w:rPr>
          <w:rFonts w:ascii="Arial" w:hAnsi="Arial" w:cs="Arial"/>
        </w:rPr>
        <w:t xml:space="preserve"> and patients with comorbidities</w:t>
      </w:r>
      <w:r w:rsidR="00C841E9">
        <w:rPr>
          <w:rFonts w:ascii="Arial" w:hAnsi="Arial" w:cs="Arial"/>
        </w:rPr>
        <w:t xml:space="preserve">, </w:t>
      </w:r>
      <w:r w:rsidR="00C841E9" w:rsidRPr="00275439">
        <w:rPr>
          <w:rFonts w:ascii="Arial" w:hAnsi="Arial" w:cs="Arial"/>
          <w:highlight w:val="yellow"/>
        </w:rPr>
        <w:t>including</w:t>
      </w:r>
      <w:r w:rsidR="00C841E9">
        <w:rPr>
          <w:rFonts w:ascii="Arial" w:hAnsi="Arial" w:cs="Arial"/>
        </w:rPr>
        <w:t xml:space="preserve"> </w:t>
      </w:r>
      <w:r w:rsidRPr="008F39F5">
        <w:rPr>
          <w:rFonts w:ascii="Arial" w:hAnsi="Arial" w:cs="Arial"/>
        </w:rPr>
        <w:t>diabetes, cardiovascular disease, and immunosuppression</w:t>
      </w:r>
      <w:r w:rsidR="00C841E9">
        <w:rPr>
          <w:rFonts w:ascii="Arial" w:hAnsi="Arial" w:cs="Arial"/>
        </w:rPr>
        <w:t>.</w:t>
      </w:r>
      <w:r w:rsidR="000F0C18">
        <w:rPr>
          <w:rFonts w:ascii="Arial" w:hAnsi="Arial" w:cs="Arial"/>
        </w:rPr>
        <w:t xml:space="preserve"> </w:t>
      </w:r>
      <w:r w:rsidR="00275439" w:rsidRPr="00275439">
        <w:rPr>
          <w:rFonts w:ascii="Arial" w:hAnsi="Arial" w:cs="Arial"/>
          <w:highlight w:val="yellow"/>
        </w:rPr>
        <w:t>Its impact has been observed across various populations in different settings, including the general population (López-Hernández, 2022), hospital-based populations (Alsaeed et al., 2023; Anguiano-Velázquez et al., 2024</w:t>
      </w:r>
      <w:r w:rsidR="00275439">
        <w:rPr>
          <w:rFonts w:ascii="Arial" w:hAnsi="Arial" w:cs="Arial"/>
          <w:highlight w:val="yellow"/>
        </w:rPr>
        <w:t xml:space="preserve">, </w:t>
      </w:r>
      <w:r w:rsidR="00275439" w:rsidRPr="00275439">
        <w:rPr>
          <w:rFonts w:ascii="Arial" w:hAnsi="Arial" w:cs="Arial"/>
          <w:highlight w:val="yellow"/>
        </w:rPr>
        <w:t xml:space="preserve">Castillo-Cruz et al., 2025), </w:t>
      </w:r>
      <w:r w:rsidR="00275439">
        <w:rPr>
          <w:rFonts w:ascii="Arial" w:hAnsi="Arial" w:cs="Arial"/>
          <w:highlight w:val="yellow"/>
        </w:rPr>
        <w:t xml:space="preserve">and </w:t>
      </w:r>
      <w:r w:rsidR="00275439" w:rsidRPr="00275439">
        <w:rPr>
          <w:rFonts w:ascii="Arial" w:hAnsi="Arial" w:cs="Arial"/>
          <w:highlight w:val="yellow"/>
        </w:rPr>
        <w:t>primary care settings (López-Hernández et al., 2024</w:t>
      </w:r>
      <w:r w:rsidR="00275439">
        <w:rPr>
          <w:rFonts w:ascii="Arial" w:hAnsi="Arial" w:cs="Arial"/>
          <w:highlight w:val="yellow"/>
        </w:rPr>
        <w:t xml:space="preserve">, </w:t>
      </w:r>
      <w:r w:rsidR="00275439" w:rsidRPr="00275439">
        <w:rPr>
          <w:rFonts w:ascii="Arial" w:hAnsi="Arial" w:cs="Arial"/>
          <w:highlight w:val="yellow"/>
        </w:rPr>
        <w:t>Castillo-Cruz et al., 2025).</w:t>
      </w:r>
      <w:r w:rsidR="006F5022" w:rsidRPr="008F39F5">
        <w:rPr>
          <w:rFonts w:ascii="Arial" w:hAnsi="Arial" w:cs="Arial"/>
        </w:rPr>
        <w:t xml:space="preserve"> </w:t>
      </w:r>
      <w:r w:rsidR="00394E78" w:rsidRPr="008F39F5">
        <w:rPr>
          <w:rFonts w:ascii="Arial" w:hAnsi="Arial" w:cs="Arial"/>
        </w:rPr>
        <w:t>The virus Severe Acute Respiratory Syndrome Coronavirus type 2 (SARS-CoV-2) is constantly evolving</w:t>
      </w:r>
      <w:r w:rsidR="00A972C7" w:rsidRPr="008F39F5">
        <w:rPr>
          <w:rFonts w:ascii="Arial" w:hAnsi="Arial" w:cs="Arial"/>
        </w:rPr>
        <w:t xml:space="preserve"> (Osuchowski et al. 2020)</w:t>
      </w:r>
      <w:r w:rsidR="00394E78" w:rsidRPr="008F39F5">
        <w:rPr>
          <w:rFonts w:ascii="Arial" w:hAnsi="Arial" w:cs="Arial"/>
        </w:rPr>
        <w:t>; therefore, developing an effective therapeutic strategy remains essential for mitigating disease severity, hospitalisation, and mortality</w:t>
      </w:r>
      <w:r w:rsidR="00A972C7" w:rsidRPr="008F39F5">
        <w:rPr>
          <w:rFonts w:ascii="Arial" w:hAnsi="Arial" w:cs="Arial"/>
        </w:rPr>
        <w:t xml:space="preserve"> (Alsaeed et al. 2023)</w:t>
      </w:r>
      <w:r w:rsidR="00394E78" w:rsidRPr="008F39F5">
        <w:rPr>
          <w:rFonts w:ascii="Arial" w:hAnsi="Arial" w:cs="Arial"/>
        </w:rPr>
        <w:t>.</w:t>
      </w:r>
      <w:r w:rsidR="00767718" w:rsidRPr="008F39F5">
        <w:rPr>
          <w:rFonts w:ascii="Arial" w:hAnsi="Arial" w:cs="Arial"/>
        </w:rPr>
        <w:t xml:space="preserve"> Among the observed therapeutic strategies, the combination of nirmatrelvir (a main protease inhibitor of SARS-CoV-2) and ritonavir (a CYP3A inhibitor that enhances nirmatrelvir’s bioavailability) has emerged as an antiviral therapy from 2021, for treating SARS-CoV-2 infections in </w:t>
      </w:r>
      <w:r w:rsidR="008629F7" w:rsidRPr="008F39F5">
        <w:rPr>
          <w:rFonts w:ascii="Arial" w:hAnsi="Arial" w:cs="Arial"/>
        </w:rPr>
        <w:t>adults and paediatric patients (≥12 years of age and weighing ≥40 kg)</w:t>
      </w:r>
      <w:r w:rsidR="00767718" w:rsidRPr="008F39F5">
        <w:rPr>
          <w:rFonts w:ascii="Arial" w:hAnsi="Arial" w:cs="Arial"/>
        </w:rPr>
        <w:t xml:space="preserve"> (Alsaeed et al. 2023, Bai et al 2024</w:t>
      </w:r>
      <w:r w:rsidR="008629F7" w:rsidRPr="008F39F5">
        <w:rPr>
          <w:rFonts w:ascii="Arial" w:hAnsi="Arial" w:cs="Arial"/>
        </w:rPr>
        <w:t>, Infectious Diseases Society of America, IDSA, 2024</w:t>
      </w:r>
      <w:r w:rsidR="00767718" w:rsidRPr="008F39F5">
        <w:rPr>
          <w:rFonts w:ascii="Arial" w:hAnsi="Arial" w:cs="Arial"/>
        </w:rPr>
        <w:t>).</w:t>
      </w:r>
      <w:r w:rsidR="009A2958" w:rsidRPr="008F39F5">
        <w:rPr>
          <w:rFonts w:ascii="Arial" w:hAnsi="Arial" w:cs="Arial"/>
        </w:rPr>
        <w:t xml:space="preserve"> When this therapy is administered early in the disease course, it has demonstrated substantial clinical benefits in reducing COVID-19 complications and mortality (Alsaeed et al., 2023; Bai et al., 2024). </w:t>
      </w:r>
      <w:r w:rsidR="00C94427" w:rsidRPr="008F39F5">
        <w:rPr>
          <w:rFonts w:ascii="Arial" w:hAnsi="Arial" w:cs="Arial"/>
        </w:rPr>
        <w:t>However, in hospitalized adult COVID-19 Chinese patients with severe comorbidities, this combination did not significantly reduce the risk of all-cause mortality (on day 28) or the SARS-CoV-2 RNA clearance (Liu et al. et al. 2023).</w:t>
      </w:r>
    </w:p>
    <w:p w14:paraId="05419E34" w14:textId="77777777" w:rsidR="004B1D49" w:rsidRPr="008F39F5" w:rsidRDefault="004B1D49" w:rsidP="00A3404D">
      <w:pPr>
        <w:pStyle w:val="Body"/>
        <w:spacing w:after="0"/>
        <w:rPr>
          <w:rFonts w:ascii="Arial" w:hAnsi="Arial" w:cs="Arial"/>
        </w:rPr>
      </w:pPr>
    </w:p>
    <w:p w14:paraId="7125985E" w14:textId="05B62496" w:rsidR="00993BBC" w:rsidRPr="008F39F5" w:rsidRDefault="00B775B7" w:rsidP="00D81186">
      <w:pPr>
        <w:pStyle w:val="Body"/>
        <w:spacing w:after="0"/>
        <w:rPr>
          <w:rFonts w:ascii="Arial" w:hAnsi="Arial" w:cs="Arial"/>
        </w:rPr>
      </w:pPr>
      <w:r w:rsidRPr="008F39F5">
        <w:rPr>
          <w:rFonts w:ascii="Arial" w:hAnsi="Arial" w:cs="Arial"/>
        </w:rPr>
        <w:t>Nirmatrelvir/ritonavir acts by blocking the replication of SARS-CoV-2 through the inhibition of the main protease, an enzyme essential for viral replication</w:t>
      </w:r>
      <w:r w:rsidR="004B1D49" w:rsidRPr="008F39F5">
        <w:rPr>
          <w:rFonts w:ascii="Arial" w:hAnsi="Arial" w:cs="Arial"/>
        </w:rPr>
        <w:t xml:space="preserve"> (Reza Hashemian</w:t>
      </w:r>
      <w:r w:rsidR="006C1ED3" w:rsidRPr="008F39F5">
        <w:rPr>
          <w:rFonts w:ascii="Arial" w:hAnsi="Arial" w:cs="Arial"/>
        </w:rPr>
        <w:t xml:space="preserve"> et al. </w:t>
      </w:r>
      <w:r w:rsidR="004B1D49" w:rsidRPr="008F39F5">
        <w:rPr>
          <w:rFonts w:ascii="Arial" w:hAnsi="Arial" w:cs="Arial"/>
        </w:rPr>
        <w:t>2023</w:t>
      </w:r>
      <w:r w:rsidR="008629F7" w:rsidRPr="008F39F5">
        <w:rPr>
          <w:rFonts w:ascii="Arial" w:hAnsi="Arial" w:cs="Arial"/>
        </w:rPr>
        <w:t>, IDSA 2024</w:t>
      </w:r>
      <w:r w:rsidR="004B1D49" w:rsidRPr="008F39F5">
        <w:rPr>
          <w:rFonts w:ascii="Arial" w:hAnsi="Arial" w:cs="Arial"/>
        </w:rPr>
        <w:t>)</w:t>
      </w:r>
      <w:r w:rsidRPr="008F39F5">
        <w:rPr>
          <w:rFonts w:ascii="Arial" w:hAnsi="Arial" w:cs="Arial"/>
        </w:rPr>
        <w:t>. This mechanism directly reduces viral load and disease progression. Some studies have shown that early treatment with nirmatrelvir/ritonavir can reduce hospital admissions and mortality</w:t>
      </w:r>
      <w:r w:rsidR="00DD4A33" w:rsidRPr="008F39F5">
        <w:rPr>
          <w:rFonts w:ascii="Arial" w:hAnsi="Arial" w:cs="Arial"/>
        </w:rPr>
        <w:t xml:space="preserve"> (</w:t>
      </w:r>
      <w:r w:rsidR="0031719D" w:rsidRPr="0031719D">
        <w:rPr>
          <w:rFonts w:ascii="Arial" w:hAnsi="Arial" w:cs="Arial"/>
          <w:highlight w:val="yellow"/>
        </w:rPr>
        <w:t xml:space="preserve">Hammond et al. </w:t>
      </w:r>
      <w:r w:rsidR="0031719D" w:rsidRPr="00031702">
        <w:rPr>
          <w:rFonts w:ascii="Arial" w:hAnsi="Arial" w:cs="Arial"/>
          <w:highlight w:val="yellow"/>
          <w:lang w:val="en-US"/>
        </w:rPr>
        <w:t xml:space="preserve">2022, </w:t>
      </w:r>
      <w:r w:rsidR="00031702" w:rsidRPr="00031702">
        <w:rPr>
          <w:rFonts w:ascii="Arial" w:hAnsi="Arial" w:cs="Arial"/>
          <w:highlight w:val="yellow"/>
          <w:lang w:val="en-US"/>
        </w:rPr>
        <w:t>Wong et al 2022</w:t>
      </w:r>
      <w:r w:rsidR="00031702" w:rsidRPr="00031702">
        <w:rPr>
          <w:rFonts w:ascii="Arial" w:hAnsi="Arial" w:cs="Arial"/>
          <w:highlight w:val="yellow"/>
        </w:rPr>
        <w:t>,</w:t>
      </w:r>
      <w:r w:rsidR="00031702">
        <w:rPr>
          <w:rFonts w:ascii="Arial" w:hAnsi="Arial" w:cs="Arial"/>
        </w:rPr>
        <w:t xml:space="preserve"> </w:t>
      </w:r>
      <w:r w:rsidR="00DD4A33" w:rsidRPr="008F39F5">
        <w:rPr>
          <w:rFonts w:ascii="Arial" w:hAnsi="Arial" w:cs="Arial"/>
        </w:rPr>
        <w:t xml:space="preserve">Alsaeed et al. 2023, </w:t>
      </w:r>
      <w:r w:rsidR="0031719D" w:rsidRPr="0031719D">
        <w:rPr>
          <w:rFonts w:ascii="Arial" w:hAnsi="Arial" w:cs="Arial"/>
          <w:highlight w:val="yellow"/>
        </w:rPr>
        <w:t>Dryden-Peterson et al. 2023</w:t>
      </w:r>
      <w:r w:rsidR="0031719D">
        <w:rPr>
          <w:rFonts w:ascii="Arial" w:hAnsi="Arial" w:cs="Arial"/>
        </w:rPr>
        <w:t xml:space="preserve">, </w:t>
      </w:r>
      <w:r w:rsidR="00DD4A33" w:rsidRPr="008F39F5">
        <w:rPr>
          <w:rFonts w:ascii="Arial" w:hAnsi="Arial" w:cs="Arial"/>
        </w:rPr>
        <w:t>Lewnard et al. 2023)</w:t>
      </w:r>
      <w:r w:rsidRPr="008F39F5">
        <w:rPr>
          <w:rFonts w:ascii="Arial" w:hAnsi="Arial" w:cs="Arial"/>
        </w:rPr>
        <w:t xml:space="preserve"> by approximately 80–89% (Lewnard et al. 2023).</w:t>
      </w:r>
      <w:r w:rsidR="0048499D" w:rsidRPr="008F39F5">
        <w:rPr>
          <w:rFonts w:ascii="Arial" w:hAnsi="Arial" w:cs="Arial"/>
        </w:rPr>
        <w:t xml:space="preserve"> </w:t>
      </w:r>
      <w:r w:rsidR="00993BBC" w:rsidRPr="008F39F5">
        <w:rPr>
          <w:rFonts w:ascii="Arial" w:hAnsi="Arial" w:cs="Arial"/>
        </w:rPr>
        <w:t>In contrast, symptomatic management remains the mainstay of care for patients with mild to moderate COVID-19 who do not qualify for antiviral treatment or in settings where access is limited</w:t>
      </w:r>
      <w:r w:rsidR="0048499D" w:rsidRPr="008F39F5">
        <w:rPr>
          <w:rFonts w:ascii="Arial" w:hAnsi="Arial" w:cs="Arial"/>
        </w:rPr>
        <w:t xml:space="preserve"> (IDSA 2024)</w:t>
      </w:r>
      <w:r w:rsidR="00993BBC" w:rsidRPr="008F39F5">
        <w:rPr>
          <w:rFonts w:ascii="Arial" w:hAnsi="Arial" w:cs="Arial"/>
        </w:rPr>
        <w:t>. This approach focuses on supportive measures such as antipyretics, analgesics, hydration, and oxygen therapy, which alleviate symptoms but do not directly inhibit viral replication</w:t>
      </w:r>
      <w:r w:rsidR="008629F7" w:rsidRPr="008F39F5">
        <w:rPr>
          <w:rFonts w:ascii="Arial" w:hAnsi="Arial" w:cs="Arial"/>
        </w:rPr>
        <w:t xml:space="preserve"> (</w:t>
      </w:r>
      <w:r w:rsidR="00665C8D" w:rsidRPr="008F39F5">
        <w:rPr>
          <w:rFonts w:ascii="Arial" w:hAnsi="Arial" w:cs="Arial"/>
        </w:rPr>
        <w:t xml:space="preserve">McFee 2020, </w:t>
      </w:r>
      <w:r w:rsidR="008629F7" w:rsidRPr="008F39F5">
        <w:rPr>
          <w:rFonts w:ascii="Arial" w:hAnsi="Arial" w:cs="Arial"/>
        </w:rPr>
        <w:t>IDSA 2024)</w:t>
      </w:r>
      <w:r w:rsidR="00993BBC" w:rsidRPr="008F39F5">
        <w:rPr>
          <w:rFonts w:ascii="Arial" w:hAnsi="Arial" w:cs="Arial"/>
        </w:rPr>
        <w:t>. While generally effective in managing mild cases, symptomatic treatment alone does not prevent disease progression in high-risk patients, highlighting the need for targeted antiviral interventions.</w:t>
      </w:r>
      <w:r w:rsidR="00665C8D" w:rsidRPr="008F39F5">
        <w:rPr>
          <w:rFonts w:ascii="Arial" w:hAnsi="Arial" w:cs="Arial"/>
        </w:rPr>
        <w:t xml:space="preserve"> </w:t>
      </w:r>
      <w:r w:rsidR="00993BBC" w:rsidRPr="008F39F5">
        <w:rPr>
          <w:rFonts w:ascii="Arial" w:hAnsi="Arial" w:cs="Arial"/>
        </w:rPr>
        <w:t xml:space="preserve">Given the controversy across different studies, this study aims to compare the efficacy of nirmatrelvir/ritonavir with symptomatic management in reducing mortality, clinical improvement of disease, and hospitalization </w:t>
      </w:r>
      <w:r w:rsidR="00F96D9A" w:rsidRPr="008F39F5">
        <w:rPr>
          <w:rFonts w:ascii="Arial" w:hAnsi="Arial" w:cs="Arial"/>
        </w:rPr>
        <w:t>admission</w:t>
      </w:r>
      <w:r w:rsidR="00993BBC" w:rsidRPr="008F39F5">
        <w:rPr>
          <w:rFonts w:ascii="Arial" w:hAnsi="Arial" w:cs="Arial"/>
        </w:rPr>
        <w:t xml:space="preserve"> among patients with COVID-19.</w:t>
      </w:r>
    </w:p>
    <w:p w14:paraId="493FA08E" w14:textId="77777777" w:rsidR="00993BBC" w:rsidRPr="008F39F5" w:rsidRDefault="00993BBC" w:rsidP="00D81186">
      <w:pPr>
        <w:pStyle w:val="Body"/>
        <w:spacing w:after="0"/>
        <w:rPr>
          <w:rFonts w:ascii="Arial" w:hAnsi="Arial" w:cs="Arial"/>
        </w:rPr>
      </w:pPr>
    </w:p>
    <w:p w14:paraId="735A5630" w14:textId="5CE49878" w:rsidR="009B427A" w:rsidRPr="008F39F5" w:rsidRDefault="009B427A" w:rsidP="00D81186">
      <w:pPr>
        <w:pStyle w:val="Body"/>
        <w:spacing w:after="0"/>
        <w:rPr>
          <w:rFonts w:ascii="Arial" w:hAnsi="Arial" w:cs="Arial"/>
          <w:b/>
          <w:caps/>
          <w:sz w:val="22"/>
        </w:rPr>
      </w:pPr>
      <w:r w:rsidRPr="008F39F5">
        <w:rPr>
          <w:rFonts w:ascii="Arial" w:hAnsi="Arial" w:cs="Arial"/>
          <w:b/>
          <w:caps/>
          <w:sz w:val="22"/>
        </w:rPr>
        <w:t xml:space="preserve">1.1 </w:t>
      </w:r>
      <w:r w:rsidR="00A27614" w:rsidRPr="008F39F5">
        <w:rPr>
          <w:rFonts w:ascii="Arial" w:hAnsi="Arial" w:cs="Arial"/>
          <w:b/>
          <w:sz w:val="22"/>
        </w:rPr>
        <w:t>The Aim of the Study</w:t>
      </w:r>
      <w:r w:rsidRPr="008F39F5">
        <w:rPr>
          <w:rFonts w:ascii="Arial" w:hAnsi="Arial" w:cs="Arial"/>
          <w:b/>
          <w:sz w:val="22"/>
        </w:rPr>
        <w:t>.</w:t>
      </w:r>
    </w:p>
    <w:p w14:paraId="2903DF26" w14:textId="4721B074" w:rsidR="009B427A" w:rsidRPr="008F39F5" w:rsidRDefault="00665C8D" w:rsidP="00D81186">
      <w:pPr>
        <w:pStyle w:val="Body"/>
        <w:spacing w:after="0"/>
        <w:rPr>
          <w:rFonts w:ascii="Arial" w:hAnsi="Arial" w:cs="Arial"/>
        </w:rPr>
      </w:pPr>
      <w:r w:rsidRPr="008F39F5">
        <w:rPr>
          <w:rFonts w:ascii="Arial" w:hAnsi="Arial" w:cs="Arial"/>
        </w:rPr>
        <w:t xml:space="preserve">To compare the efficacy of nirmatrelvir/ritonavir versus symptomatic management in </w:t>
      </w:r>
      <w:r w:rsidR="00872A1C" w:rsidRPr="00872A1C">
        <w:rPr>
          <w:rFonts w:ascii="Arial" w:hAnsi="Arial" w:cs="Arial"/>
        </w:rPr>
        <w:t>reducing mortality,</w:t>
      </w:r>
      <w:r w:rsidR="00520940">
        <w:rPr>
          <w:rFonts w:ascii="Arial" w:hAnsi="Arial" w:cs="Arial"/>
        </w:rPr>
        <w:t xml:space="preserve"> and</w:t>
      </w:r>
      <w:r w:rsidR="00872A1C" w:rsidRPr="00872A1C">
        <w:rPr>
          <w:rFonts w:ascii="Arial" w:hAnsi="Arial" w:cs="Arial"/>
        </w:rPr>
        <w:t xml:space="preserve"> clinical severity, and increasing clinical improvement among patients with COVID-19</w:t>
      </w:r>
      <w:r w:rsidRPr="008F39F5">
        <w:rPr>
          <w:rFonts w:ascii="Arial" w:hAnsi="Arial" w:cs="Arial"/>
        </w:rPr>
        <w:t>.</w:t>
      </w:r>
    </w:p>
    <w:p w14:paraId="7042DC8D" w14:textId="77777777" w:rsidR="00D81186" w:rsidRPr="008F39F5" w:rsidRDefault="00D81186" w:rsidP="00D81186">
      <w:pPr>
        <w:pStyle w:val="Body"/>
        <w:spacing w:after="0"/>
        <w:rPr>
          <w:rFonts w:ascii="Arial" w:hAnsi="Arial" w:cs="Arial"/>
        </w:rPr>
      </w:pPr>
    </w:p>
    <w:p w14:paraId="0813E6FA" w14:textId="6E37181E" w:rsidR="007F7B32" w:rsidRPr="008F39F5" w:rsidRDefault="00902823" w:rsidP="00D81186">
      <w:pPr>
        <w:pStyle w:val="AbstHead"/>
        <w:spacing w:after="0"/>
        <w:jc w:val="both"/>
        <w:rPr>
          <w:rFonts w:ascii="Arial" w:hAnsi="Arial" w:cs="Arial"/>
        </w:rPr>
      </w:pPr>
      <w:r w:rsidRPr="008F39F5">
        <w:rPr>
          <w:rFonts w:ascii="Arial" w:hAnsi="Arial" w:cs="Arial"/>
        </w:rPr>
        <w:t>2. material and method</w:t>
      </w:r>
      <w:r w:rsidR="00000F8F" w:rsidRPr="008F39F5">
        <w:rPr>
          <w:rFonts w:ascii="Arial" w:hAnsi="Arial" w:cs="Arial"/>
        </w:rPr>
        <w:t>s</w:t>
      </w:r>
    </w:p>
    <w:p w14:paraId="6DBB30AA" w14:textId="6480BF92" w:rsidR="00C751D3" w:rsidRPr="008F39F5" w:rsidRDefault="00AA74E0" w:rsidP="00D81186">
      <w:pPr>
        <w:pStyle w:val="Body"/>
        <w:spacing w:after="0"/>
        <w:rPr>
          <w:rFonts w:ascii="Arial" w:hAnsi="Arial" w:cs="Arial"/>
          <w:b/>
          <w:caps/>
          <w:sz w:val="22"/>
        </w:rPr>
      </w:pPr>
      <w:r w:rsidRPr="008F39F5">
        <w:rPr>
          <w:rFonts w:ascii="Arial" w:hAnsi="Arial" w:cs="Arial"/>
          <w:b/>
          <w:caps/>
          <w:sz w:val="22"/>
        </w:rPr>
        <w:t xml:space="preserve">2.1 </w:t>
      </w:r>
      <w:r w:rsidR="00C751D3" w:rsidRPr="008F39F5">
        <w:rPr>
          <w:rFonts w:ascii="Arial" w:hAnsi="Arial" w:cs="Arial"/>
          <w:b/>
          <w:sz w:val="22"/>
        </w:rPr>
        <w:t>Study design and settings.</w:t>
      </w:r>
    </w:p>
    <w:p w14:paraId="003D4BD0" w14:textId="1F6D0386" w:rsidR="00AA74E0" w:rsidRPr="008F39F5" w:rsidRDefault="007061FC" w:rsidP="00B71A1B">
      <w:pPr>
        <w:pStyle w:val="Body"/>
        <w:spacing w:after="0"/>
        <w:rPr>
          <w:rFonts w:ascii="Arial" w:hAnsi="Arial" w:cs="Arial"/>
        </w:rPr>
      </w:pPr>
      <w:r w:rsidRPr="008F39F5">
        <w:rPr>
          <w:rFonts w:ascii="Arial" w:hAnsi="Arial" w:cs="Arial"/>
        </w:rPr>
        <w:t>A multicentre</w:t>
      </w:r>
      <w:r w:rsidR="0068020E" w:rsidRPr="008F39F5">
        <w:rPr>
          <w:rFonts w:ascii="Arial" w:hAnsi="Arial" w:cs="Arial"/>
        </w:rPr>
        <w:t xml:space="preserve"> </w:t>
      </w:r>
      <w:r w:rsidR="003E37BB" w:rsidRPr="008F39F5">
        <w:rPr>
          <w:rFonts w:ascii="Arial" w:hAnsi="Arial" w:cs="Arial"/>
        </w:rPr>
        <w:t>(table 1)</w:t>
      </w:r>
      <w:r w:rsidR="00155BE4" w:rsidRPr="008F39F5">
        <w:rPr>
          <w:rFonts w:ascii="Arial" w:hAnsi="Arial" w:cs="Arial"/>
        </w:rPr>
        <w:t>, retrospective,</w:t>
      </w:r>
      <w:r w:rsidR="003E37BB" w:rsidRPr="008F39F5">
        <w:rPr>
          <w:rFonts w:ascii="Arial" w:hAnsi="Arial" w:cs="Arial"/>
        </w:rPr>
        <w:t xml:space="preserve"> and case-control study</w:t>
      </w:r>
      <w:r w:rsidRPr="008F39F5">
        <w:rPr>
          <w:rFonts w:ascii="Arial" w:hAnsi="Arial" w:cs="Arial"/>
        </w:rPr>
        <w:t xml:space="preserve"> was designed and conducted with Mexican patients attending outpatient consultations in Hospitals and Family Medicine Units, in Puebla State, Mexico. </w:t>
      </w:r>
      <w:r w:rsidR="00155BE4" w:rsidRPr="008F39F5">
        <w:rPr>
          <w:rFonts w:ascii="Arial" w:hAnsi="Arial" w:cs="Arial"/>
        </w:rPr>
        <w:t>We use</w:t>
      </w:r>
      <w:r w:rsidR="00F71E4D">
        <w:rPr>
          <w:rFonts w:ascii="Arial" w:hAnsi="Arial" w:cs="Arial"/>
        </w:rPr>
        <w:t>d</w:t>
      </w:r>
      <w:r w:rsidR="00155BE4" w:rsidRPr="008F39F5">
        <w:rPr>
          <w:rFonts w:ascii="Arial" w:hAnsi="Arial" w:cs="Arial"/>
        </w:rPr>
        <w:t xml:space="preserve"> a previously published database (Castillo-Cruz et al. 2025). </w:t>
      </w:r>
      <w:r w:rsidR="004D2E83" w:rsidRPr="008F39F5">
        <w:rPr>
          <w:rFonts w:ascii="Arial" w:hAnsi="Arial" w:cs="Arial"/>
        </w:rPr>
        <w:t>The data collection was sourced from secondary data, from October 1st, 2022 to May 31st, 2023.</w:t>
      </w:r>
      <w:r w:rsidRPr="008F39F5">
        <w:rPr>
          <w:rFonts w:ascii="Arial" w:hAnsi="Arial" w:cs="Arial"/>
        </w:rPr>
        <w:t xml:space="preserve"> </w:t>
      </w:r>
      <w:r w:rsidR="00B71A1B" w:rsidRPr="00B71A1B">
        <w:rPr>
          <w:rFonts w:ascii="Arial" w:hAnsi="Arial" w:cs="Arial"/>
          <w:highlight w:val="yellow"/>
        </w:rPr>
        <w:t xml:space="preserve">The SINOLAVE system (Sistema de Notificación en Línea para la Vigilancia Epidemiológica, by its acronym in Spanish) was used to gather sociodemographic and clinical variables (such as age, sex, outpatient consultations data, occupation, municipality, unit of </w:t>
      </w:r>
      <w:r w:rsidR="00B71A1B" w:rsidRPr="00B71A1B">
        <w:rPr>
          <w:rFonts w:ascii="Arial" w:hAnsi="Arial" w:cs="Arial"/>
          <w:highlight w:val="yellow"/>
        </w:rPr>
        <w:lastRenderedPageBreak/>
        <w:t>Assignment, type of Admission, reporting Unit of Care, Date of Notification on the Platform, Date of Care Admission to the Unit, Date of Symptom Onset, sign and symptoms, discharge</w:t>
      </w:r>
      <w:r w:rsidR="00F71E4D">
        <w:rPr>
          <w:rFonts w:ascii="Arial" w:hAnsi="Arial" w:cs="Arial"/>
          <w:highlight w:val="yellow"/>
        </w:rPr>
        <w:t xml:space="preserve"> reason</w:t>
      </w:r>
      <w:r w:rsidR="00B71A1B" w:rsidRPr="00B71A1B">
        <w:rPr>
          <w:rFonts w:ascii="Arial" w:hAnsi="Arial" w:cs="Arial"/>
          <w:highlight w:val="yellow"/>
        </w:rPr>
        <w:t xml:space="preserve">, death, severe case and comorbidities, hospital admission, </w:t>
      </w:r>
      <w:r w:rsidR="00F71E4D">
        <w:rPr>
          <w:rFonts w:ascii="Arial" w:hAnsi="Arial" w:cs="Arial"/>
          <w:highlight w:val="yellow"/>
        </w:rPr>
        <w:t>disease severity</w:t>
      </w:r>
      <w:r w:rsidR="00B71A1B" w:rsidRPr="00B71A1B">
        <w:rPr>
          <w:rFonts w:ascii="Arial" w:hAnsi="Arial" w:cs="Arial"/>
          <w:highlight w:val="yellow"/>
        </w:rPr>
        <w:t xml:space="preserve">, </w:t>
      </w:r>
      <w:r w:rsidR="00F71E4D">
        <w:rPr>
          <w:rFonts w:ascii="Arial" w:hAnsi="Arial" w:cs="Arial"/>
          <w:highlight w:val="yellow"/>
        </w:rPr>
        <w:t xml:space="preserve">disease </w:t>
      </w:r>
      <w:r w:rsidR="00B71A1B" w:rsidRPr="00B71A1B">
        <w:rPr>
          <w:rFonts w:ascii="Arial" w:hAnsi="Arial" w:cs="Arial"/>
          <w:highlight w:val="yellow"/>
        </w:rPr>
        <w:t>clinical improvement</w:t>
      </w:r>
      <w:r w:rsidR="00F71E4D">
        <w:rPr>
          <w:rFonts w:ascii="Arial" w:hAnsi="Arial" w:cs="Arial"/>
          <w:highlight w:val="yellow"/>
        </w:rPr>
        <w:t>) due to this system</w:t>
      </w:r>
      <w:r w:rsidR="00B71A1B" w:rsidRPr="00B71A1B">
        <w:rPr>
          <w:rFonts w:ascii="Arial" w:hAnsi="Arial" w:cs="Arial"/>
          <w:highlight w:val="yellow"/>
        </w:rPr>
        <w:t xml:space="preserve"> the official capture system for epidemiological surveillance </w:t>
      </w:r>
      <w:r w:rsidR="00F71E4D">
        <w:rPr>
          <w:rFonts w:ascii="Arial" w:hAnsi="Arial" w:cs="Arial"/>
          <w:highlight w:val="yellow"/>
        </w:rPr>
        <w:t xml:space="preserve">is </w:t>
      </w:r>
      <w:r w:rsidR="00B71A1B" w:rsidRPr="00B71A1B">
        <w:rPr>
          <w:rFonts w:ascii="Arial" w:hAnsi="Arial" w:cs="Arial"/>
          <w:highlight w:val="yellow"/>
        </w:rPr>
        <w:t>and was employ</w:t>
      </w:r>
      <w:r w:rsidR="00F71E4D">
        <w:rPr>
          <w:rFonts w:ascii="Arial" w:hAnsi="Arial" w:cs="Arial"/>
          <w:highlight w:val="yellow"/>
        </w:rPr>
        <w:t>ed</w:t>
      </w:r>
      <w:r w:rsidR="00B71A1B" w:rsidRPr="00B71A1B">
        <w:rPr>
          <w:rFonts w:ascii="Arial" w:hAnsi="Arial" w:cs="Arial"/>
          <w:highlight w:val="yellow"/>
        </w:rPr>
        <w:t xml:space="preserve"> for the monitoring of COVID-19 cases. All centres followed a uniform protocol in terms of treatment and data collection.</w:t>
      </w:r>
      <w:r w:rsidR="00B71A1B" w:rsidRPr="00B71A1B">
        <w:rPr>
          <w:rFonts w:ascii="Arial" w:hAnsi="Arial" w:cs="Arial"/>
        </w:rPr>
        <w:t xml:space="preserve"> </w:t>
      </w:r>
      <w:r w:rsidRPr="008F39F5">
        <w:rPr>
          <w:rFonts w:ascii="Arial" w:hAnsi="Arial" w:cs="Arial"/>
        </w:rPr>
        <w:t xml:space="preserve">The study was conducted from </w:t>
      </w:r>
      <w:r w:rsidR="006A3491" w:rsidRPr="008F39F5">
        <w:rPr>
          <w:rFonts w:ascii="Arial" w:hAnsi="Arial" w:cs="Arial"/>
        </w:rPr>
        <w:t>October</w:t>
      </w:r>
      <w:r w:rsidRPr="008F39F5">
        <w:rPr>
          <w:rFonts w:ascii="Arial" w:hAnsi="Arial" w:cs="Arial"/>
        </w:rPr>
        <w:t xml:space="preserve"> 1</w:t>
      </w:r>
      <w:r w:rsidRPr="001C45F2">
        <w:rPr>
          <w:rFonts w:ascii="Arial" w:hAnsi="Arial" w:cs="Arial"/>
          <w:vertAlign w:val="superscript"/>
        </w:rPr>
        <w:t>st</w:t>
      </w:r>
      <w:r w:rsidR="001C45F2">
        <w:rPr>
          <w:rFonts w:ascii="Arial" w:hAnsi="Arial" w:cs="Arial"/>
        </w:rPr>
        <w:t>,</w:t>
      </w:r>
      <w:r w:rsidRPr="008F39F5">
        <w:rPr>
          <w:rFonts w:ascii="Arial" w:hAnsi="Arial" w:cs="Arial"/>
        </w:rPr>
        <w:t xml:space="preserve"> </w:t>
      </w:r>
      <w:r w:rsidR="001C45F2">
        <w:rPr>
          <w:rFonts w:ascii="Arial" w:hAnsi="Arial" w:cs="Arial"/>
        </w:rPr>
        <w:t xml:space="preserve">2024 </w:t>
      </w:r>
      <w:r w:rsidRPr="008F39F5">
        <w:rPr>
          <w:rFonts w:ascii="Arial" w:hAnsi="Arial" w:cs="Arial"/>
        </w:rPr>
        <w:t xml:space="preserve">to </w:t>
      </w:r>
      <w:r w:rsidR="006A3491" w:rsidRPr="008F39F5">
        <w:rPr>
          <w:rFonts w:ascii="Arial" w:hAnsi="Arial" w:cs="Arial"/>
        </w:rPr>
        <w:t>January</w:t>
      </w:r>
      <w:r w:rsidRPr="008F39F5">
        <w:rPr>
          <w:rFonts w:ascii="Arial" w:hAnsi="Arial" w:cs="Arial"/>
        </w:rPr>
        <w:t xml:space="preserve"> 31st, 202</w:t>
      </w:r>
      <w:r w:rsidR="001C45F2">
        <w:rPr>
          <w:rFonts w:ascii="Arial" w:hAnsi="Arial" w:cs="Arial"/>
        </w:rPr>
        <w:t>5</w:t>
      </w:r>
      <w:r w:rsidRPr="008F39F5">
        <w:rPr>
          <w:rFonts w:ascii="Arial" w:hAnsi="Arial" w:cs="Arial"/>
        </w:rPr>
        <w:t>.</w:t>
      </w:r>
    </w:p>
    <w:p w14:paraId="5E2F47F8" w14:textId="77777777" w:rsidR="00D81186" w:rsidRPr="008F39F5" w:rsidRDefault="00D81186" w:rsidP="00D81186">
      <w:pPr>
        <w:pStyle w:val="Body"/>
        <w:spacing w:after="0"/>
        <w:rPr>
          <w:rFonts w:ascii="Arial" w:hAnsi="Arial" w:cs="Arial"/>
        </w:rPr>
      </w:pPr>
    </w:p>
    <w:p w14:paraId="7D29B07B" w14:textId="2F88863E" w:rsidR="008F39F5" w:rsidRPr="008F39F5" w:rsidRDefault="008F39F5" w:rsidP="008F39F5">
      <w:pPr>
        <w:tabs>
          <w:tab w:val="left" w:pos="1080"/>
        </w:tabs>
        <w:jc w:val="both"/>
        <w:rPr>
          <w:rFonts w:ascii="Arial" w:hAnsi="Arial"/>
          <w:b/>
        </w:rPr>
      </w:pPr>
      <w:r w:rsidRPr="008F39F5">
        <w:rPr>
          <w:rFonts w:ascii="Arial" w:hAnsi="Arial"/>
          <w:b/>
        </w:rPr>
        <w:t>Table 1.</w:t>
      </w:r>
      <w:r w:rsidRPr="008F39F5">
        <w:rPr>
          <w:rFonts w:ascii="Arial" w:hAnsi="Arial"/>
          <w:b/>
        </w:rPr>
        <w:tab/>
      </w:r>
      <w:r w:rsidRPr="008F39F5">
        <w:rPr>
          <w:rFonts w:ascii="Arial" w:hAnsi="Arial" w:cs="Arial"/>
          <w:b/>
          <w:sz w:val="22"/>
        </w:rPr>
        <w:t>Medical units and COVID-19 patients attended by unit</w:t>
      </w:r>
      <w:r>
        <w:rPr>
          <w:rFonts w:ascii="Arial" w:hAnsi="Arial" w:cs="Arial"/>
          <w:b/>
          <w:sz w:val="22"/>
        </w:rPr>
        <w:t xml:space="preserve"> and study group</w:t>
      </w:r>
    </w:p>
    <w:tbl>
      <w:tblPr>
        <w:tblW w:w="845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43"/>
        <w:gridCol w:w="2268"/>
        <w:gridCol w:w="2203"/>
        <w:gridCol w:w="2145"/>
      </w:tblGrid>
      <w:tr w:rsidR="008F39F5" w:rsidRPr="008F39F5" w14:paraId="62A7F13A" w14:textId="77777777" w:rsidTr="00A679D5">
        <w:trPr>
          <w:trHeight w:val="292"/>
        </w:trPr>
        <w:tc>
          <w:tcPr>
            <w:tcW w:w="1843" w:type="dxa"/>
            <w:tcBorders>
              <w:bottom w:val="single" w:sz="4" w:space="0" w:color="auto"/>
            </w:tcBorders>
            <w:shd w:val="clear" w:color="auto" w:fill="auto"/>
            <w:noWrap/>
            <w:vAlign w:val="center"/>
            <w:hideMark/>
          </w:tcPr>
          <w:p w14:paraId="1669422D"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Reporting Medical Units</w:t>
            </w:r>
          </w:p>
        </w:tc>
        <w:tc>
          <w:tcPr>
            <w:tcW w:w="2268" w:type="dxa"/>
            <w:tcBorders>
              <w:bottom w:val="single" w:sz="4" w:space="0" w:color="auto"/>
            </w:tcBorders>
            <w:shd w:val="clear" w:color="auto" w:fill="auto"/>
            <w:noWrap/>
            <w:vAlign w:val="center"/>
            <w:hideMark/>
          </w:tcPr>
          <w:p w14:paraId="5F1C846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Total population</w:t>
            </w:r>
          </w:p>
        </w:tc>
        <w:tc>
          <w:tcPr>
            <w:tcW w:w="2203" w:type="dxa"/>
            <w:tcBorders>
              <w:bottom w:val="single" w:sz="4" w:space="0" w:color="auto"/>
            </w:tcBorders>
            <w:shd w:val="clear" w:color="auto" w:fill="auto"/>
            <w:noWrap/>
            <w:vAlign w:val="center"/>
            <w:hideMark/>
          </w:tcPr>
          <w:p w14:paraId="641024E7" w14:textId="1911641A"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Control group</w:t>
            </w:r>
          </w:p>
        </w:tc>
        <w:tc>
          <w:tcPr>
            <w:tcW w:w="2145" w:type="dxa"/>
            <w:tcBorders>
              <w:bottom w:val="single" w:sz="4" w:space="0" w:color="auto"/>
            </w:tcBorders>
            <w:shd w:val="clear" w:color="auto" w:fill="auto"/>
            <w:noWrap/>
            <w:vAlign w:val="center"/>
            <w:hideMark/>
          </w:tcPr>
          <w:p w14:paraId="5A64A8AE" w14:textId="39F7464E"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Case group</w:t>
            </w:r>
          </w:p>
        </w:tc>
      </w:tr>
      <w:tr w:rsidR="008F39F5" w:rsidRPr="008F39F5" w14:paraId="7A4609CF" w14:textId="77777777" w:rsidTr="00A679D5">
        <w:trPr>
          <w:trHeight w:val="280"/>
        </w:trPr>
        <w:tc>
          <w:tcPr>
            <w:tcW w:w="1843" w:type="dxa"/>
            <w:tcBorders>
              <w:top w:val="single" w:sz="4" w:space="0" w:color="auto"/>
              <w:bottom w:val="nil"/>
            </w:tcBorders>
            <w:shd w:val="clear" w:color="auto" w:fill="auto"/>
            <w:noWrap/>
            <w:vAlign w:val="center"/>
            <w:hideMark/>
          </w:tcPr>
          <w:p w14:paraId="5FDE2BFD"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6 Puebla</w:t>
            </w:r>
          </w:p>
        </w:tc>
        <w:tc>
          <w:tcPr>
            <w:tcW w:w="2268" w:type="dxa"/>
            <w:tcBorders>
              <w:top w:val="single" w:sz="4" w:space="0" w:color="auto"/>
              <w:bottom w:val="nil"/>
            </w:tcBorders>
            <w:shd w:val="clear" w:color="auto" w:fill="auto"/>
            <w:noWrap/>
            <w:vAlign w:val="center"/>
            <w:hideMark/>
          </w:tcPr>
          <w:p w14:paraId="694A74A8"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1076, 20.6; (19.5-21.7)</w:t>
            </w:r>
          </w:p>
        </w:tc>
        <w:tc>
          <w:tcPr>
            <w:tcW w:w="2203" w:type="dxa"/>
            <w:tcBorders>
              <w:top w:val="single" w:sz="4" w:space="0" w:color="auto"/>
              <w:bottom w:val="nil"/>
            </w:tcBorders>
            <w:shd w:val="clear" w:color="auto" w:fill="auto"/>
            <w:noWrap/>
            <w:vAlign w:val="center"/>
            <w:hideMark/>
          </w:tcPr>
          <w:p w14:paraId="686A3283" w14:textId="77777777" w:rsidR="008F39F5" w:rsidRPr="008F39F5" w:rsidRDefault="008F39F5" w:rsidP="008F39F5">
            <w:pPr>
              <w:jc w:val="center"/>
              <w:rPr>
                <w:rFonts w:ascii="Arial" w:hAnsi="Arial" w:cs="Arial"/>
                <w:lang w:eastAsia="es-MX"/>
              </w:rPr>
            </w:pPr>
            <w:r w:rsidRPr="008F39F5">
              <w:rPr>
                <w:rFonts w:ascii="Arial" w:hAnsi="Arial" w:cs="Arial"/>
                <w:lang w:eastAsia="es-MX"/>
              </w:rPr>
              <w:t>847, 21.6; (20.2-23)</w:t>
            </w:r>
          </w:p>
        </w:tc>
        <w:tc>
          <w:tcPr>
            <w:tcW w:w="2145" w:type="dxa"/>
            <w:tcBorders>
              <w:top w:val="single" w:sz="4" w:space="0" w:color="auto"/>
              <w:bottom w:val="nil"/>
            </w:tcBorders>
            <w:shd w:val="clear" w:color="auto" w:fill="auto"/>
            <w:noWrap/>
            <w:vAlign w:val="center"/>
            <w:hideMark/>
          </w:tcPr>
          <w:p w14:paraId="4D20B17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229, 17.5; (15.4-19.5)</w:t>
            </w:r>
          </w:p>
        </w:tc>
      </w:tr>
      <w:tr w:rsidR="002F04AF" w:rsidRPr="008F39F5" w14:paraId="31815306" w14:textId="77777777" w:rsidTr="00A679D5">
        <w:trPr>
          <w:trHeight w:val="268"/>
        </w:trPr>
        <w:tc>
          <w:tcPr>
            <w:tcW w:w="1843" w:type="dxa"/>
            <w:tcBorders>
              <w:top w:val="nil"/>
            </w:tcBorders>
            <w:shd w:val="clear" w:color="auto" w:fill="auto"/>
            <w:noWrap/>
            <w:vAlign w:val="center"/>
            <w:hideMark/>
          </w:tcPr>
          <w:p w14:paraId="6BF33EA3"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57 La Margarita</w:t>
            </w:r>
          </w:p>
        </w:tc>
        <w:tc>
          <w:tcPr>
            <w:tcW w:w="2268" w:type="dxa"/>
            <w:tcBorders>
              <w:top w:val="nil"/>
            </w:tcBorders>
            <w:shd w:val="clear" w:color="auto" w:fill="auto"/>
            <w:noWrap/>
            <w:vAlign w:val="center"/>
            <w:hideMark/>
          </w:tcPr>
          <w:p w14:paraId="6DB6D78B"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1061, 20.3; (19.2-21.4)</w:t>
            </w:r>
          </w:p>
        </w:tc>
        <w:tc>
          <w:tcPr>
            <w:tcW w:w="2203" w:type="dxa"/>
            <w:tcBorders>
              <w:top w:val="nil"/>
            </w:tcBorders>
            <w:shd w:val="clear" w:color="auto" w:fill="auto"/>
            <w:noWrap/>
            <w:vAlign w:val="center"/>
            <w:hideMark/>
          </w:tcPr>
          <w:p w14:paraId="1A77D1BB" w14:textId="77777777" w:rsidR="008F39F5" w:rsidRPr="008F39F5" w:rsidRDefault="008F39F5" w:rsidP="008F39F5">
            <w:pPr>
              <w:jc w:val="center"/>
              <w:rPr>
                <w:rFonts w:ascii="Arial" w:hAnsi="Arial" w:cs="Arial"/>
                <w:lang w:eastAsia="es-MX"/>
              </w:rPr>
            </w:pPr>
            <w:r w:rsidRPr="008F39F5">
              <w:rPr>
                <w:rFonts w:ascii="Arial" w:hAnsi="Arial" w:cs="Arial"/>
                <w:lang w:eastAsia="es-MX"/>
              </w:rPr>
              <w:t>862, 22; (20.7-23.3)</w:t>
            </w:r>
          </w:p>
        </w:tc>
        <w:tc>
          <w:tcPr>
            <w:tcW w:w="2145" w:type="dxa"/>
            <w:tcBorders>
              <w:top w:val="nil"/>
            </w:tcBorders>
            <w:shd w:val="clear" w:color="auto" w:fill="auto"/>
            <w:noWrap/>
            <w:vAlign w:val="center"/>
            <w:hideMark/>
          </w:tcPr>
          <w:p w14:paraId="01B5AB82"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199, 15.2; (13.4-17.2)</w:t>
            </w:r>
          </w:p>
        </w:tc>
      </w:tr>
      <w:tr w:rsidR="002F04AF" w:rsidRPr="008F39F5" w14:paraId="3459D141" w14:textId="77777777" w:rsidTr="00A679D5">
        <w:trPr>
          <w:trHeight w:val="268"/>
        </w:trPr>
        <w:tc>
          <w:tcPr>
            <w:tcW w:w="1843" w:type="dxa"/>
            <w:shd w:val="clear" w:color="auto" w:fill="auto"/>
            <w:noWrap/>
            <w:vAlign w:val="center"/>
            <w:hideMark/>
          </w:tcPr>
          <w:p w14:paraId="495ADAE2"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12 San Pedro Cholula</w:t>
            </w:r>
          </w:p>
        </w:tc>
        <w:tc>
          <w:tcPr>
            <w:tcW w:w="2268" w:type="dxa"/>
            <w:shd w:val="clear" w:color="auto" w:fill="auto"/>
            <w:noWrap/>
            <w:vAlign w:val="center"/>
            <w:hideMark/>
          </w:tcPr>
          <w:p w14:paraId="3D8BE87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631, 12.1; (11.2-13)</w:t>
            </w:r>
          </w:p>
        </w:tc>
        <w:tc>
          <w:tcPr>
            <w:tcW w:w="2203" w:type="dxa"/>
            <w:shd w:val="clear" w:color="auto" w:fill="auto"/>
            <w:noWrap/>
            <w:vAlign w:val="center"/>
            <w:hideMark/>
          </w:tcPr>
          <w:p w14:paraId="3B6116CF" w14:textId="77777777" w:rsidR="008F39F5" w:rsidRPr="008F39F5" w:rsidRDefault="008F39F5" w:rsidP="008F39F5">
            <w:pPr>
              <w:jc w:val="center"/>
              <w:rPr>
                <w:rFonts w:ascii="Arial" w:hAnsi="Arial" w:cs="Arial"/>
                <w:lang w:eastAsia="es-MX"/>
              </w:rPr>
            </w:pPr>
            <w:r w:rsidRPr="008F39F5">
              <w:rPr>
                <w:rFonts w:ascii="Arial" w:hAnsi="Arial" w:cs="Arial"/>
                <w:lang w:eastAsia="es-MX"/>
              </w:rPr>
              <w:t>333, 8.5; (7.6-9.4)</w:t>
            </w:r>
          </w:p>
        </w:tc>
        <w:tc>
          <w:tcPr>
            <w:tcW w:w="2145" w:type="dxa"/>
            <w:shd w:val="clear" w:color="auto" w:fill="auto"/>
            <w:noWrap/>
            <w:vAlign w:val="center"/>
            <w:hideMark/>
          </w:tcPr>
          <w:p w14:paraId="16B4E249"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298, 22.8; (20.7-25.2)</w:t>
            </w:r>
          </w:p>
        </w:tc>
      </w:tr>
      <w:tr w:rsidR="002F04AF" w:rsidRPr="008F39F5" w14:paraId="29801CD1" w14:textId="77777777" w:rsidTr="00A679D5">
        <w:trPr>
          <w:trHeight w:val="268"/>
        </w:trPr>
        <w:tc>
          <w:tcPr>
            <w:tcW w:w="1843" w:type="dxa"/>
            <w:shd w:val="clear" w:color="auto" w:fill="auto"/>
            <w:noWrap/>
            <w:vAlign w:val="center"/>
            <w:hideMark/>
          </w:tcPr>
          <w:p w14:paraId="74BD7012"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55 Puebla</w:t>
            </w:r>
          </w:p>
        </w:tc>
        <w:tc>
          <w:tcPr>
            <w:tcW w:w="2268" w:type="dxa"/>
            <w:shd w:val="clear" w:color="auto" w:fill="auto"/>
            <w:noWrap/>
            <w:vAlign w:val="center"/>
            <w:hideMark/>
          </w:tcPr>
          <w:p w14:paraId="22814AF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612, 11.7; (10.8-12.6)</w:t>
            </w:r>
          </w:p>
        </w:tc>
        <w:tc>
          <w:tcPr>
            <w:tcW w:w="2203" w:type="dxa"/>
            <w:shd w:val="clear" w:color="auto" w:fill="auto"/>
            <w:noWrap/>
            <w:vAlign w:val="center"/>
            <w:hideMark/>
          </w:tcPr>
          <w:p w14:paraId="5526ADD7" w14:textId="77777777" w:rsidR="008F39F5" w:rsidRPr="008F39F5" w:rsidRDefault="008F39F5" w:rsidP="008F39F5">
            <w:pPr>
              <w:jc w:val="center"/>
              <w:rPr>
                <w:rFonts w:ascii="Arial" w:hAnsi="Arial" w:cs="Arial"/>
                <w:lang w:eastAsia="es-MX"/>
              </w:rPr>
            </w:pPr>
            <w:r w:rsidRPr="008F39F5">
              <w:rPr>
                <w:rFonts w:ascii="Arial" w:hAnsi="Arial" w:cs="Arial"/>
                <w:lang w:eastAsia="es-MX"/>
              </w:rPr>
              <w:t>388, 9.9; (8.9-10.9)</w:t>
            </w:r>
          </w:p>
        </w:tc>
        <w:tc>
          <w:tcPr>
            <w:tcW w:w="2145" w:type="dxa"/>
            <w:shd w:val="clear" w:color="auto" w:fill="auto"/>
            <w:noWrap/>
            <w:vAlign w:val="center"/>
            <w:hideMark/>
          </w:tcPr>
          <w:p w14:paraId="47E7FA74"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224, 17.1; (15.1-19.2)</w:t>
            </w:r>
          </w:p>
        </w:tc>
      </w:tr>
      <w:tr w:rsidR="002F04AF" w:rsidRPr="008F39F5" w14:paraId="0DDEF9DB" w14:textId="77777777" w:rsidTr="00A679D5">
        <w:trPr>
          <w:trHeight w:val="268"/>
        </w:trPr>
        <w:tc>
          <w:tcPr>
            <w:tcW w:w="1843" w:type="dxa"/>
            <w:shd w:val="clear" w:color="auto" w:fill="auto"/>
            <w:noWrap/>
            <w:vAlign w:val="center"/>
            <w:hideMark/>
          </w:tcPr>
          <w:p w14:paraId="32DE4E40"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1 Puebla</w:t>
            </w:r>
          </w:p>
        </w:tc>
        <w:tc>
          <w:tcPr>
            <w:tcW w:w="2268" w:type="dxa"/>
            <w:shd w:val="clear" w:color="auto" w:fill="auto"/>
            <w:noWrap/>
            <w:vAlign w:val="center"/>
            <w:hideMark/>
          </w:tcPr>
          <w:p w14:paraId="156CBC4D"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515, 9.9; (9-10.7)</w:t>
            </w:r>
          </w:p>
        </w:tc>
        <w:tc>
          <w:tcPr>
            <w:tcW w:w="2203" w:type="dxa"/>
            <w:shd w:val="clear" w:color="auto" w:fill="auto"/>
            <w:noWrap/>
            <w:vAlign w:val="center"/>
            <w:hideMark/>
          </w:tcPr>
          <w:p w14:paraId="0780A1A7" w14:textId="77777777" w:rsidR="008F39F5" w:rsidRPr="008F39F5" w:rsidRDefault="008F39F5" w:rsidP="008F39F5">
            <w:pPr>
              <w:jc w:val="center"/>
              <w:rPr>
                <w:rFonts w:ascii="Arial" w:hAnsi="Arial" w:cs="Arial"/>
                <w:lang w:eastAsia="es-MX"/>
              </w:rPr>
            </w:pPr>
            <w:r w:rsidRPr="008F39F5">
              <w:rPr>
                <w:rFonts w:ascii="Arial" w:hAnsi="Arial" w:cs="Arial"/>
                <w:lang w:eastAsia="es-MX"/>
              </w:rPr>
              <w:t>352, 9; (8.1-9.9)</w:t>
            </w:r>
          </w:p>
        </w:tc>
        <w:tc>
          <w:tcPr>
            <w:tcW w:w="2145" w:type="dxa"/>
            <w:shd w:val="clear" w:color="auto" w:fill="auto"/>
            <w:noWrap/>
            <w:vAlign w:val="center"/>
            <w:hideMark/>
          </w:tcPr>
          <w:p w14:paraId="6CC648AD"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163, 12.5; (10.9-14.2)</w:t>
            </w:r>
          </w:p>
        </w:tc>
      </w:tr>
      <w:tr w:rsidR="002F04AF" w:rsidRPr="008F39F5" w14:paraId="7B2D1F00" w14:textId="77777777" w:rsidTr="00A679D5">
        <w:trPr>
          <w:trHeight w:val="268"/>
        </w:trPr>
        <w:tc>
          <w:tcPr>
            <w:tcW w:w="1843" w:type="dxa"/>
            <w:shd w:val="clear" w:color="auto" w:fill="auto"/>
            <w:noWrap/>
            <w:vAlign w:val="center"/>
            <w:hideMark/>
          </w:tcPr>
          <w:p w14:paraId="3E23F457"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2 Puebla</w:t>
            </w:r>
          </w:p>
        </w:tc>
        <w:tc>
          <w:tcPr>
            <w:tcW w:w="2268" w:type="dxa"/>
            <w:shd w:val="clear" w:color="auto" w:fill="auto"/>
            <w:noWrap/>
            <w:vAlign w:val="center"/>
            <w:hideMark/>
          </w:tcPr>
          <w:p w14:paraId="046186C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295, 5.6; (5-6.3)</w:t>
            </w:r>
          </w:p>
        </w:tc>
        <w:tc>
          <w:tcPr>
            <w:tcW w:w="2203" w:type="dxa"/>
            <w:shd w:val="clear" w:color="auto" w:fill="auto"/>
            <w:noWrap/>
            <w:vAlign w:val="center"/>
            <w:hideMark/>
          </w:tcPr>
          <w:p w14:paraId="2C7C1340" w14:textId="77777777" w:rsidR="008F39F5" w:rsidRPr="008F39F5" w:rsidRDefault="008F39F5" w:rsidP="008F39F5">
            <w:pPr>
              <w:jc w:val="center"/>
              <w:rPr>
                <w:rFonts w:ascii="Arial" w:hAnsi="Arial" w:cs="Arial"/>
                <w:lang w:eastAsia="es-MX"/>
              </w:rPr>
            </w:pPr>
            <w:r w:rsidRPr="008F39F5">
              <w:rPr>
                <w:rFonts w:ascii="Arial" w:hAnsi="Arial" w:cs="Arial"/>
                <w:lang w:eastAsia="es-MX"/>
              </w:rPr>
              <w:t>207, 5.3; (4.6-6)</w:t>
            </w:r>
          </w:p>
        </w:tc>
        <w:tc>
          <w:tcPr>
            <w:tcW w:w="2145" w:type="dxa"/>
            <w:shd w:val="clear" w:color="auto" w:fill="auto"/>
            <w:noWrap/>
            <w:vAlign w:val="center"/>
            <w:hideMark/>
          </w:tcPr>
          <w:p w14:paraId="2EFB565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88, 6.7; (5.4-8)</w:t>
            </w:r>
          </w:p>
        </w:tc>
      </w:tr>
      <w:tr w:rsidR="002F04AF" w:rsidRPr="008F39F5" w14:paraId="099FBAD0" w14:textId="77777777" w:rsidTr="00A679D5">
        <w:trPr>
          <w:trHeight w:val="268"/>
        </w:trPr>
        <w:tc>
          <w:tcPr>
            <w:tcW w:w="1843" w:type="dxa"/>
            <w:shd w:val="clear" w:color="auto" w:fill="auto"/>
            <w:noWrap/>
            <w:vAlign w:val="center"/>
            <w:hideMark/>
          </w:tcPr>
          <w:p w14:paraId="0D0B2E73"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HE UMAE Puebla</w:t>
            </w:r>
          </w:p>
        </w:tc>
        <w:tc>
          <w:tcPr>
            <w:tcW w:w="2268" w:type="dxa"/>
            <w:shd w:val="clear" w:color="auto" w:fill="auto"/>
            <w:noWrap/>
            <w:vAlign w:val="center"/>
            <w:hideMark/>
          </w:tcPr>
          <w:p w14:paraId="0101B78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131, 2.5; (2.1-3)</w:t>
            </w:r>
          </w:p>
        </w:tc>
        <w:tc>
          <w:tcPr>
            <w:tcW w:w="2203" w:type="dxa"/>
            <w:shd w:val="clear" w:color="auto" w:fill="auto"/>
            <w:noWrap/>
            <w:vAlign w:val="center"/>
            <w:hideMark/>
          </w:tcPr>
          <w:p w14:paraId="39EAE0BB" w14:textId="77777777" w:rsidR="008F39F5" w:rsidRPr="008F39F5" w:rsidRDefault="008F39F5" w:rsidP="008F39F5">
            <w:pPr>
              <w:jc w:val="center"/>
              <w:rPr>
                <w:rFonts w:ascii="Arial" w:hAnsi="Arial" w:cs="Arial"/>
                <w:lang w:eastAsia="es-MX"/>
              </w:rPr>
            </w:pPr>
            <w:r w:rsidRPr="008F39F5">
              <w:rPr>
                <w:rFonts w:ascii="Arial" w:hAnsi="Arial" w:cs="Arial"/>
                <w:lang w:eastAsia="es-MX"/>
              </w:rPr>
              <w:t>125, 3.2; (2.7-3.7)</w:t>
            </w:r>
          </w:p>
        </w:tc>
        <w:tc>
          <w:tcPr>
            <w:tcW w:w="2145" w:type="dxa"/>
            <w:shd w:val="clear" w:color="auto" w:fill="auto"/>
            <w:noWrap/>
            <w:vAlign w:val="center"/>
            <w:hideMark/>
          </w:tcPr>
          <w:p w14:paraId="02BC373C"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6, 0.5; (0.2-0.8)</w:t>
            </w:r>
          </w:p>
        </w:tc>
      </w:tr>
      <w:tr w:rsidR="002F04AF" w:rsidRPr="008F39F5" w14:paraId="3E84CA2D" w14:textId="77777777" w:rsidTr="00A679D5">
        <w:trPr>
          <w:trHeight w:val="268"/>
        </w:trPr>
        <w:tc>
          <w:tcPr>
            <w:tcW w:w="1843" w:type="dxa"/>
            <w:shd w:val="clear" w:color="auto" w:fill="auto"/>
            <w:noWrap/>
            <w:vAlign w:val="center"/>
            <w:hideMark/>
          </w:tcPr>
          <w:p w14:paraId="4FCE7204"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HGZ 20 La Margarita</w:t>
            </w:r>
          </w:p>
        </w:tc>
        <w:tc>
          <w:tcPr>
            <w:tcW w:w="2268" w:type="dxa"/>
            <w:shd w:val="clear" w:color="auto" w:fill="auto"/>
            <w:noWrap/>
            <w:vAlign w:val="center"/>
            <w:hideMark/>
          </w:tcPr>
          <w:p w14:paraId="3DF8D39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123, 2.4; (2-2.8)</w:t>
            </w:r>
          </w:p>
        </w:tc>
        <w:tc>
          <w:tcPr>
            <w:tcW w:w="2203" w:type="dxa"/>
            <w:shd w:val="clear" w:color="auto" w:fill="auto"/>
            <w:noWrap/>
            <w:vAlign w:val="center"/>
            <w:hideMark/>
          </w:tcPr>
          <w:p w14:paraId="0DDB2C98" w14:textId="77777777" w:rsidR="008F39F5" w:rsidRPr="008F39F5" w:rsidRDefault="008F39F5" w:rsidP="008F39F5">
            <w:pPr>
              <w:jc w:val="center"/>
              <w:rPr>
                <w:rFonts w:ascii="Arial" w:hAnsi="Arial" w:cs="Arial"/>
                <w:lang w:eastAsia="es-MX"/>
              </w:rPr>
            </w:pPr>
            <w:r w:rsidRPr="008F39F5">
              <w:rPr>
                <w:rFonts w:ascii="Arial" w:hAnsi="Arial" w:cs="Arial"/>
                <w:lang w:eastAsia="es-MX"/>
              </w:rPr>
              <w:t>121, 3.1; (2.5-3.6)</w:t>
            </w:r>
          </w:p>
        </w:tc>
        <w:tc>
          <w:tcPr>
            <w:tcW w:w="2145" w:type="dxa"/>
            <w:shd w:val="clear" w:color="auto" w:fill="auto"/>
            <w:noWrap/>
            <w:vAlign w:val="center"/>
            <w:hideMark/>
          </w:tcPr>
          <w:p w14:paraId="2C4A6EA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 0.2; (0-0.4)</w:t>
            </w:r>
          </w:p>
        </w:tc>
      </w:tr>
      <w:tr w:rsidR="002F04AF" w:rsidRPr="008F39F5" w14:paraId="1056EF1B" w14:textId="77777777" w:rsidTr="00A679D5">
        <w:trPr>
          <w:trHeight w:val="268"/>
        </w:trPr>
        <w:tc>
          <w:tcPr>
            <w:tcW w:w="1843" w:type="dxa"/>
            <w:shd w:val="clear" w:color="auto" w:fill="auto"/>
            <w:noWrap/>
            <w:vAlign w:val="center"/>
            <w:hideMark/>
          </w:tcPr>
          <w:p w14:paraId="074CE656"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UMFH 11 San Martin Texmelucan</w:t>
            </w:r>
          </w:p>
        </w:tc>
        <w:tc>
          <w:tcPr>
            <w:tcW w:w="2268" w:type="dxa"/>
            <w:shd w:val="clear" w:color="auto" w:fill="auto"/>
            <w:noWrap/>
            <w:vAlign w:val="center"/>
            <w:hideMark/>
          </w:tcPr>
          <w:p w14:paraId="2C2D1762"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112, 2.1; (1.7-2.5)</w:t>
            </w:r>
          </w:p>
        </w:tc>
        <w:tc>
          <w:tcPr>
            <w:tcW w:w="2203" w:type="dxa"/>
            <w:shd w:val="clear" w:color="auto" w:fill="auto"/>
            <w:noWrap/>
            <w:vAlign w:val="center"/>
            <w:hideMark/>
          </w:tcPr>
          <w:p w14:paraId="58E6CF89" w14:textId="77777777" w:rsidR="008F39F5" w:rsidRPr="008F39F5" w:rsidRDefault="008F39F5" w:rsidP="008F39F5">
            <w:pPr>
              <w:jc w:val="center"/>
              <w:rPr>
                <w:rFonts w:ascii="Arial" w:hAnsi="Arial" w:cs="Arial"/>
                <w:lang w:eastAsia="es-MX"/>
              </w:rPr>
            </w:pPr>
            <w:r w:rsidRPr="008F39F5">
              <w:rPr>
                <w:rFonts w:ascii="Arial" w:hAnsi="Arial" w:cs="Arial"/>
                <w:lang w:eastAsia="es-MX"/>
              </w:rPr>
              <w:t>112, 2.9; (2.3-3.4)</w:t>
            </w:r>
          </w:p>
        </w:tc>
        <w:tc>
          <w:tcPr>
            <w:tcW w:w="2145" w:type="dxa"/>
            <w:shd w:val="clear" w:color="auto" w:fill="auto"/>
            <w:noWrap/>
            <w:vAlign w:val="center"/>
            <w:hideMark/>
          </w:tcPr>
          <w:p w14:paraId="29B498CE" w14:textId="77777777" w:rsidR="008F39F5" w:rsidRPr="008F39F5" w:rsidRDefault="008F39F5" w:rsidP="008F39F5">
            <w:pPr>
              <w:jc w:val="center"/>
              <w:rPr>
                <w:rFonts w:ascii="Arial" w:hAnsi="Arial" w:cs="Arial"/>
                <w:lang w:eastAsia="es-MX"/>
              </w:rPr>
            </w:pPr>
          </w:p>
        </w:tc>
      </w:tr>
      <w:tr w:rsidR="002F04AF" w:rsidRPr="008F39F5" w14:paraId="68CA5421" w14:textId="77777777" w:rsidTr="00A679D5">
        <w:trPr>
          <w:trHeight w:val="268"/>
        </w:trPr>
        <w:tc>
          <w:tcPr>
            <w:tcW w:w="1843" w:type="dxa"/>
            <w:shd w:val="clear" w:color="auto" w:fill="auto"/>
            <w:noWrap/>
            <w:vAlign w:val="center"/>
            <w:hideMark/>
          </w:tcPr>
          <w:p w14:paraId="721F913C"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22 Teziutlan</w:t>
            </w:r>
          </w:p>
        </w:tc>
        <w:tc>
          <w:tcPr>
            <w:tcW w:w="2268" w:type="dxa"/>
            <w:shd w:val="clear" w:color="auto" w:fill="auto"/>
            <w:noWrap/>
            <w:vAlign w:val="center"/>
            <w:hideMark/>
          </w:tcPr>
          <w:p w14:paraId="40138E0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105, 2; (1.6-2.4)</w:t>
            </w:r>
          </w:p>
        </w:tc>
        <w:tc>
          <w:tcPr>
            <w:tcW w:w="2203" w:type="dxa"/>
            <w:shd w:val="clear" w:color="auto" w:fill="auto"/>
            <w:noWrap/>
            <w:vAlign w:val="center"/>
            <w:hideMark/>
          </w:tcPr>
          <w:p w14:paraId="493B82B9" w14:textId="77777777" w:rsidR="008F39F5" w:rsidRPr="008F39F5" w:rsidRDefault="008F39F5" w:rsidP="008F39F5">
            <w:pPr>
              <w:jc w:val="center"/>
              <w:rPr>
                <w:rFonts w:ascii="Arial" w:hAnsi="Arial" w:cs="Arial"/>
                <w:lang w:eastAsia="es-MX"/>
              </w:rPr>
            </w:pPr>
            <w:r w:rsidRPr="008F39F5">
              <w:rPr>
                <w:rFonts w:ascii="Arial" w:hAnsi="Arial" w:cs="Arial"/>
                <w:lang w:eastAsia="es-MX"/>
              </w:rPr>
              <w:t>49, 1.2; (0.9-1.6)</w:t>
            </w:r>
          </w:p>
        </w:tc>
        <w:tc>
          <w:tcPr>
            <w:tcW w:w="2145" w:type="dxa"/>
            <w:shd w:val="clear" w:color="auto" w:fill="auto"/>
            <w:noWrap/>
            <w:vAlign w:val="center"/>
            <w:hideMark/>
          </w:tcPr>
          <w:p w14:paraId="0B12BC3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56, 4.3; (3.1-5.6)</w:t>
            </w:r>
          </w:p>
        </w:tc>
      </w:tr>
      <w:tr w:rsidR="002F04AF" w:rsidRPr="008F39F5" w14:paraId="7141EBA9" w14:textId="77777777" w:rsidTr="00A679D5">
        <w:trPr>
          <w:trHeight w:val="268"/>
        </w:trPr>
        <w:tc>
          <w:tcPr>
            <w:tcW w:w="1843" w:type="dxa"/>
            <w:shd w:val="clear" w:color="auto" w:fill="auto"/>
            <w:noWrap/>
            <w:vAlign w:val="center"/>
            <w:hideMark/>
          </w:tcPr>
          <w:p w14:paraId="350A55E6"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8 Mayorazgo</w:t>
            </w:r>
          </w:p>
        </w:tc>
        <w:tc>
          <w:tcPr>
            <w:tcW w:w="2268" w:type="dxa"/>
            <w:shd w:val="clear" w:color="auto" w:fill="auto"/>
            <w:noWrap/>
            <w:vAlign w:val="center"/>
            <w:hideMark/>
          </w:tcPr>
          <w:p w14:paraId="688E1F3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92, 1.8; (1.4-2.1)</w:t>
            </w:r>
          </w:p>
        </w:tc>
        <w:tc>
          <w:tcPr>
            <w:tcW w:w="2203" w:type="dxa"/>
            <w:shd w:val="clear" w:color="auto" w:fill="auto"/>
            <w:noWrap/>
            <w:vAlign w:val="center"/>
            <w:hideMark/>
          </w:tcPr>
          <w:p w14:paraId="2F503F79" w14:textId="77777777" w:rsidR="008F39F5" w:rsidRPr="008F39F5" w:rsidRDefault="008F39F5" w:rsidP="008F39F5">
            <w:pPr>
              <w:jc w:val="center"/>
              <w:rPr>
                <w:rFonts w:ascii="Arial" w:hAnsi="Arial" w:cs="Arial"/>
                <w:lang w:eastAsia="es-MX"/>
              </w:rPr>
            </w:pPr>
            <w:r w:rsidRPr="008F39F5">
              <w:rPr>
                <w:rFonts w:ascii="Arial" w:hAnsi="Arial" w:cs="Arial"/>
                <w:lang w:eastAsia="es-MX"/>
              </w:rPr>
              <w:t>92, 2.3; (1.9-2.8)</w:t>
            </w:r>
          </w:p>
        </w:tc>
        <w:tc>
          <w:tcPr>
            <w:tcW w:w="2145" w:type="dxa"/>
            <w:shd w:val="clear" w:color="auto" w:fill="auto"/>
            <w:noWrap/>
            <w:vAlign w:val="center"/>
            <w:hideMark/>
          </w:tcPr>
          <w:p w14:paraId="349FCB2A" w14:textId="77777777" w:rsidR="008F39F5" w:rsidRPr="008F39F5" w:rsidRDefault="008F39F5" w:rsidP="008F39F5">
            <w:pPr>
              <w:jc w:val="center"/>
              <w:rPr>
                <w:rFonts w:ascii="Arial" w:hAnsi="Arial" w:cs="Arial"/>
                <w:lang w:eastAsia="es-MX"/>
              </w:rPr>
            </w:pPr>
          </w:p>
        </w:tc>
      </w:tr>
      <w:tr w:rsidR="002F04AF" w:rsidRPr="008F39F5" w14:paraId="108131E8" w14:textId="77777777" w:rsidTr="00A679D5">
        <w:trPr>
          <w:trHeight w:val="268"/>
        </w:trPr>
        <w:tc>
          <w:tcPr>
            <w:tcW w:w="1843" w:type="dxa"/>
            <w:shd w:val="clear" w:color="auto" w:fill="auto"/>
            <w:noWrap/>
            <w:vAlign w:val="center"/>
            <w:hideMark/>
          </w:tcPr>
          <w:p w14:paraId="08FAB7B2"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30 Tehuacan</w:t>
            </w:r>
          </w:p>
        </w:tc>
        <w:tc>
          <w:tcPr>
            <w:tcW w:w="2268" w:type="dxa"/>
            <w:shd w:val="clear" w:color="auto" w:fill="auto"/>
            <w:noWrap/>
            <w:vAlign w:val="center"/>
            <w:hideMark/>
          </w:tcPr>
          <w:p w14:paraId="1565E08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72, 1.4; (1.1-1.7)</w:t>
            </w:r>
          </w:p>
        </w:tc>
        <w:tc>
          <w:tcPr>
            <w:tcW w:w="2203" w:type="dxa"/>
            <w:shd w:val="clear" w:color="auto" w:fill="auto"/>
            <w:noWrap/>
            <w:vAlign w:val="center"/>
            <w:hideMark/>
          </w:tcPr>
          <w:p w14:paraId="0063BC71" w14:textId="77777777" w:rsidR="008F39F5" w:rsidRPr="008F39F5" w:rsidRDefault="008F39F5" w:rsidP="008F39F5">
            <w:pPr>
              <w:jc w:val="center"/>
              <w:rPr>
                <w:rFonts w:ascii="Arial" w:hAnsi="Arial" w:cs="Arial"/>
                <w:lang w:eastAsia="es-MX"/>
              </w:rPr>
            </w:pPr>
            <w:r w:rsidRPr="008F39F5">
              <w:rPr>
                <w:rFonts w:ascii="Arial" w:hAnsi="Arial" w:cs="Arial"/>
                <w:lang w:eastAsia="es-MX"/>
              </w:rPr>
              <w:t>61, 1.6; (1.1-1.9)</w:t>
            </w:r>
          </w:p>
        </w:tc>
        <w:tc>
          <w:tcPr>
            <w:tcW w:w="2145" w:type="dxa"/>
            <w:shd w:val="clear" w:color="auto" w:fill="auto"/>
            <w:noWrap/>
            <w:vAlign w:val="center"/>
            <w:hideMark/>
          </w:tcPr>
          <w:p w14:paraId="0D40F845"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11, 0.8; (0.4-1.4)</w:t>
            </w:r>
          </w:p>
        </w:tc>
      </w:tr>
      <w:tr w:rsidR="002F04AF" w:rsidRPr="008F39F5" w14:paraId="58FEC267" w14:textId="77777777" w:rsidTr="00A679D5">
        <w:trPr>
          <w:trHeight w:val="268"/>
        </w:trPr>
        <w:tc>
          <w:tcPr>
            <w:tcW w:w="1843" w:type="dxa"/>
            <w:shd w:val="clear" w:color="auto" w:fill="auto"/>
            <w:noWrap/>
            <w:vAlign w:val="center"/>
            <w:hideMark/>
          </w:tcPr>
          <w:p w14:paraId="47645408"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9 Santa Maria Coapan</w:t>
            </w:r>
          </w:p>
        </w:tc>
        <w:tc>
          <w:tcPr>
            <w:tcW w:w="2268" w:type="dxa"/>
            <w:shd w:val="clear" w:color="auto" w:fill="auto"/>
            <w:noWrap/>
            <w:vAlign w:val="center"/>
            <w:hideMark/>
          </w:tcPr>
          <w:p w14:paraId="6EF8A1C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72, 1.4; (1.1-1.7)</w:t>
            </w:r>
          </w:p>
        </w:tc>
        <w:tc>
          <w:tcPr>
            <w:tcW w:w="2203" w:type="dxa"/>
            <w:shd w:val="clear" w:color="auto" w:fill="auto"/>
            <w:noWrap/>
            <w:vAlign w:val="center"/>
            <w:hideMark/>
          </w:tcPr>
          <w:p w14:paraId="5363B3AC" w14:textId="77777777" w:rsidR="008F39F5" w:rsidRPr="008F39F5" w:rsidRDefault="008F39F5" w:rsidP="008F39F5">
            <w:pPr>
              <w:jc w:val="center"/>
              <w:rPr>
                <w:rFonts w:ascii="Arial" w:hAnsi="Arial" w:cs="Arial"/>
                <w:lang w:eastAsia="es-MX"/>
              </w:rPr>
            </w:pPr>
            <w:r w:rsidRPr="008F39F5">
              <w:rPr>
                <w:rFonts w:ascii="Arial" w:hAnsi="Arial" w:cs="Arial"/>
                <w:lang w:eastAsia="es-MX"/>
              </w:rPr>
              <w:t>57, 1.5; (1.1-1.9)</w:t>
            </w:r>
          </w:p>
        </w:tc>
        <w:tc>
          <w:tcPr>
            <w:tcW w:w="2145" w:type="dxa"/>
            <w:shd w:val="clear" w:color="auto" w:fill="auto"/>
            <w:noWrap/>
            <w:vAlign w:val="center"/>
            <w:hideMark/>
          </w:tcPr>
          <w:p w14:paraId="32F0BFE7"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15, 1.1; (0.6-1.8)</w:t>
            </w:r>
          </w:p>
        </w:tc>
      </w:tr>
      <w:tr w:rsidR="002F04AF" w:rsidRPr="008F39F5" w14:paraId="71FC0203" w14:textId="77777777" w:rsidTr="00A679D5">
        <w:trPr>
          <w:trHeight w:val="268"/>
        </w:trPr>
        <w:tc>
          <w:tcPr>
            <w:tcW w:w="1843" w:type="dxa"/>
            <w:shd w:val="clear" w:color="auto" w:fill="auto"/>
            <w:noWrap/>
            <w:vAlign w:val="center"/>
            <w:hideMark/>
          </w:tcPr>
          <w:p w14:paraId="4074E02E"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13 Puebla</w:t>
            </w:r>
          </w:p>
        </w:tc>
        <w:tc>
          <w:tcPr>
            <w:tcW w:w="2268" w:type="dxa"/>
            <w:shd w:val="clear" w:color="auto" w:fill="auto"/>
            <w:noWrap/>
            <w:vAlign w:val="center"/>
            <w:hideMark/>
          </w:tcPr>
          <w:p w14:paraId="5EC91AB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71, 1.4; (1.1-1.7)</w:t>
            </w:r>
          </w:p>
        </w:tc>
        <w:tc>
          <w:tcPr>
            <w:tcW w:w="2203" w:type="dxa"/>
            <w:shd w:val="clear" w:color="auto" w:fill="auto"/>
            <w:noWrap/>
            <w:vAlign w:val="center"/>
            <w:hideMark/>
          </w:tcPr>
          <w:p w14:paraId="64133F7D" w14:textId="77777777" w:rsidR="008F39F5" w:rsidRPr="008F39F5" w:rsidRDefault="008F39F5" w:rsidP="008F39F5">
            <w:pPr>
              <w:jc w:val="center"/>
              <w:rPr>
                <w:rFonts w:ascii="Arial" w:hAnsi="Arial" w:cs="Arial"/>
                <w:lang w:eastAsia="es-MX"/>
              </w:rPr>
            </w:pPr>
            <w:r w:rsidRPr="008F39F5">
              <w:rPr>
                <w:rFonts w:ascii="Arial" w:hAnsi="Arial" w:cs="Arial"/>
                <w:lang w:eastAsia="es-MX"/>
              </w:rPr>
              <w:t>71, 1.8; (1.4-2.3)</w:t>
            </w:r>
          </w:p>
        </w:tc>
        <w:tc>
          <w:tcPr>
            <w:tcW w:w="2145" w:type="dxa"/>
            <w:shd w:val="clear" w:color="auto" w:fill="auto"/>
            <w:noWrap/>
            <w:vAlign w:val="center"/>
            <w:hideMark/>
          </w:tcPr>
          <w:p w14:paraId="51778A28" w14:textId="77777777" w:rsidR="008F39F5" w:rsidRPr="008F39F5" w:rsidRDefault="008F39F5" w:rsidP="008F39F5">
            <w:pPr>
              <w:jc w:val="center"/>
              <w:rPr>
                <w:rFonts w:ascii="Arial" w:hAnsi="Arial" w:cs="Arial"/>
                <w:lang w:eastAsia="es-MX"/>
              </w:rPr>
            </w:pPr>
          </w:p>
        </w:tc>
      </w:tr>
      <w:tr w:rsidR="002F04AF" w:rsidRPr="008F39F5" w14:paraId="021A752D" w14:textId="77777777" w:rsidTr="00A679D5">
        <w:trPr>
          <w:trHeight w:val="268"/>
        </w:trPr>
        <w:tc>
          <w:tcPr>
            <w:tcW w:w="1843" w:type="dxa"/>
            <w:shd w:val="clear" w:color="auto" w:fill="auto"/>
            <w:noWrap/>
            <w:vAlign w:val="center"/>
            <w:hideMark/>
          </w:tcPr>
          <w:p w14:paraId="6BE612FD"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7 San Bartolo</w:t>
            </w:r>
          </w:p>
        </w:tc>
        <w:tc>
          <w:tcPr>
            <w:tcW w:w="2268" w:type="dxa"/>
            <w:shd w:val="clear" w:color="auto" w:fill="auto"/>
            <w:noWrap/>
            <w:vAlign w:val="center"/>
            <w:hideMark/>
          </w:tcPr>
          <w:p w14:paraId="7473754F"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55, 1.1; (0.8-1.3)</w:t>
            </w:r>
          </w:p>
        </w:tc>
        <w:tc>
          <w:tcPr>
            <w:tcW w:w="2203" w:type="dxa"/>
            <w:shd w:val="clear" w:color="auto" w:fill="auto"/>
            <w:noWrap/>
            <w:vAlign w:val="center"/>
            <w:hideMark/>
          </w:tcPr>
          <w:p w14:paraId="0C684C37" w14:textId="77777777" w:rsidR="008F39F5" w:rsidRPr="008F39F5" w:rsidRDefault="008F39F5" w:rsidP="008F39F5">
            <w:pPr>
              <w:jc w:val="center"/>
              <w:rPr>
                <w:rFonts w:ascii="Arial" w:hAnsi="Arial" w:cs="Arial"/>
                <w:lang w:eastAsia="es-MX"/>
              </w:rPr>
            </w:pPr>
            <w:r w:rsidRPr="008F39F5">
              <w:rPr>
                <w:rFonts w:ascii="Arial" w:hAnsi="Arial" w:cs="Arial"/>
                <w:lang w:eastAsia="es-MX"/>
              </w:rPr>
              <w:t>55, 1.4; (1-1.8)</w:t>
            </w:r>
          </w:p>
        </w:tc>
        <w:tc>
          <w:tcPr>
            <w:tcW w:w="2145" w:type="dxa"/>
            <w:shd w:val="clear" w:color="auto" w:fill="auto"/>
            <w:noWrap/>
            <w:vAlign w:val="center"/>
            <w:hideMark/>
          </w:tcPr>
          <w:p w14:paraId="18409ED8" w14:textId="77777777" w:rsidR="008F39F5" w:rsidRPr="008F39F5" w:rsidRDefault="008F39F5" w:rsidP="008F39F5">
            <w:pPr>
              <w:jc w:val="center"/>
              <w:rPr>
                <w:rFonts w:ascii="Arial" w:hAnsi="Arial" w:cs="Arial"/>
                <w:lang w:eastAsia="es-MX"/>
              </w:rPr>
            </w:pPr>
          </w:p>
        </w:tc>
      </w:tr>
      <w:tr w:rsidR="002F04AF" w:rsidRPr="008F39F5" w14:paraId="001808F1" w14:textId="77777777" w:rsidTr="00A679D5">
        <w:trPr>
          <w:trHeight w:val="268"/>
        </w:trPr>
        <w:tc>
          <w:tcPr>
            <w:tcW w:w="1843" w:type="dxa"/>
            <w:shd w:val="clear" w:color="auto" w:fill="auto"/>
            <w:noWrap/>
            <w:vAlign w:val="center"/>
            <w:hideMark/>
          </w:tcPr>
          <w:p w14:paraId="4C0DF55F"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HTO UMAE Puebla</w:t>
            </w:r>
          </w:p>
        </w:tc>
        <w:tc>
          <w:tcPr>
            <w:tcW w:w="2268" w:type="dxa"/>
            <w:shd w:val="clear" w:color="auto" w:fill="auto"/>
            <w:noWrap/>
            <w:vAlign w:val="center"/>
            <w:hideMark/>
          </w:tcPr>
          <w:p w14:paraId="4E8B15E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39, 0.7; (0.5-1)</w:t>
            </w:r>
          </w:p>
        </w:tc>
        <w:tc>
          <w:tcPr>
            <w:tcW w:w="2203" w:type="dxa"/>
            <w:shd w:val="clear" w:color="auto" w:fill="auto"/>
            <w:noWrap/>
            <w:vAlign w:val="center"/>
            <w:hideMark/>
          </w:tcPr>
          <w:p w14:paraId="48D522D4" w14:textId="77777777" w:rsidR="008F39F5" w:rsidRPr="008F39F5" w:rsidRDefault="008F39F5" w:rsidP="008F39F5">
            <w:pPr>
              <w:jc w:val="center"/>
              <w:rPr>
                <w:rFonts w:ascii="Arial" w:hAnsi="Arial" w:cs="Arial"/>
                <w:lang w:eastAsia="es-MX"/>
              </w:rPr>
            </w:pPr>
            <w:r w:rsidRPr="008F39F5">
              <w:rPr>
                <w:rFonts w:ascii="Arial" w:hAnsi="Arial" w:cs="Arial"/>
                <w:lang w:eastAsia="es-MX"/>
              </w:rPr>
              <w:t>34, 0.9; (0.6-1.2)</w:t>
            </w:r>
          </w:p>
        </w:tc>
        <w:tc>
          <w:tcPr>
            <w:tcW w:w="2145" w:type="dxa"/>
            <w:shd w:val="clear" w:color="auto" w:fill="auto"/>
            <w:noWrap/>
            <w:vAlign w:val="center"/>
            <w:hideMark/>
          </w:tcPr>
          <w:p w14:paraId="33A5F0E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5, 0.4; (0.1-0.8)</w:t>
            </w:r>
          </w:p>
        </w:tc>
      </w:tr>
      <w:tr w:rsidR="002F04AF" w:rsidRPr="008F39F5" w14:paraId="4E78FD5C" w14:textId="77777777" w:rsidTr="00A679D5">
        <w:trPr>
          <w:trHeight w:val="268"/>
        </w:trPr>
        <w:tc>
          <w:tcPr>
            <w:tcW w:w="1843" w:type="dxa"/>
            <w:shd w:val="clear" w:color="auto" w:fill="auto"/>
            <w:noWrap/>
            <w:vAlign w:val="center"/>
            <w:hideMark/>
          </w:tcPr>
          <w:p w14:paraId="351BC76A"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HGZ 15 Tehuacan</w:t>
            </w:r>
          </w:p>
        </w:tc>
        <w:tc>
          <w:tcPr>
            <w:tcW w:w="2268" w:type="dxa"/>
            <w:shd w:val="clear" w:color="auto" w:fill="auto"/>
            <w:noWrap/>
            <w:vAlign w:val="center"/>
            <w:hideMark/>
          </w:tcPr>
          <w:p w14:paraId="05BDFA64"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25, 0.5; (0.3-0.7)</w:t>
            </w:r>
          </w:p>
        </w:tc>
        <w:tc>
          <w:tcPr>
            <w:tcW w:w="2203" w:type="dxa"/>
            <w:shd w:val="clear" w:color="auto" w:fill="auto"/>
            <w:noWrap/>
            <w:vAlign w:val="center"/>
            <w:hideMark/>
          </w:tcPr>
          <w:p w14:paraId="643B7703" w14:textId="77777777" w:rsidR="008F39F5" w:rsidRPr="008F39F5" w:rsidRDefault="008F39F5" w:rsidP="008F39F5">
            <w:pPr>
              <w:jc w:val="center"/>
              <w:rPr>
                <w:rFonts w:ascii="Arial" w:hAnsi="Arial" w:cs="Arial"/>
                <w:lang w:eastAsia="es-MX"/>
              </w:rPr>
            </w:pPr>
            <w:r w:rsidRPr="008F39F5">
              <w:rPr>
                <w:rFonts w:ascii="Arial" w:hAnsi="Arial" w:cs="Arial"/>
                <w:lang w:eastAsia="es-MX"/>
              </w:rPr>
              <w:t>15, 0.4; (0.2-0.6)</w:t>
            </w:r>
          </w:p>
        </w:tc>
        <w:tc>
          <w:tcPr>
            <w:tcW w:w="2145" w:type="dxa"/>
            <w:shd w:val="clear" w:color="auto" w:fill="auto"/>
            <w:noWrap/>
            <w:vAlign w:val="center"/>
            <w:hideMark/>
          </w:tcPr>
          <w:p w14:paraId="5851A02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10, 0.8; (0.3-1.3)</w:t>
            </w:r>
          </w:p>
        </w:tc>
      </w:tr>
      <w:tr w:rsidR="002F04AF" w:rsidRPr="008F39F5" w14:paraId="1C0F2061" w14:textId="77777777" w:rsidTr="00A679D5">
        <w:trPr>
          <w:trHeight w:val="268"/>
        </w:trPr>
        <w:tc>
          <w:tcPr>
            <w:tcW w:w="1843" w:type="dxa"/>
            <w:shd w:val="clear" w:color="auto" w:fill="auto"/>
            <w:noWrap/>
            <w:vAlign w:val="center"/>
            <w:hideMark/>
          </w:tcPr>
          <w:p w14:paraId="129C976E"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3 San Felipe Hueyotlipan</w:t>
            </w:r>
          </w:p>
        </w:tc>
        <w:tc>
          <w:tcPr>
            <w:tcW w:w="2268" w:type="dxa"/>
            <w:shd w:val="clear" w:color="auto" w:fill="auto"/>
            <w:noWrap/>
            <w:vAlign w:val="center"/>
            <w:hideMark/>
          </w:tcPr>
          <w:p w14:paraId="1C6A04BF"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20, 0.4; (0.2-0.6)</w:t>
            </w:r>
          </w:p>
        </w:tc>
        <w:tc>
          <w:tcPr>
            <w:tcW w:w="2203" w:type="dxa"/>
            <w:shd w:val="clear" w:color="auto" w:fill="auto"/>
            <w:noWrap/>
            <w:vAlign w:val="center"/>
            <w:hideMark/>
          </w:tcPr>
          <w:p w14:paraId="2A44C631" w14:textId="77777777" w:rsidR="008F39F5" w:rsidRPr="008F39F5" w:rsidRDefault="008F39F5" w:rsidP="008F39F5">
            <w:pPr>
              <w:jc w:val="center"/>
              <w:rPr>
                <w:rFonts w:ascii="Arial" w:hAnsi="Arial" w:cs="Arial"/>
                <w:lang w:eastAsia="es-MX"/>
              </w:rPr>
            </w:pPr>
            <w:r w:rsidRPr="008F39F5">
              <w:rPr>
                <w:rFonts w:ascii="Arial" w:hAnsi="Arial" w:cs="Arial"/>
                <w:lang w:eastAsia="es-MX"/>
              </w:rPr>
              <w:t>20, 0.5; (0.3-0.7)</w:t>
            </w:r>
          </w:p>
        </w:tc>
        <w:tc>
          <w:tcPr>
            <w:tcW w:w="2145" w:type="dxa"/>
            <w:shd w:val="clear" w:color="auto" w:fill="auto"/>
            <w:noWrap/>
            <w:vAlign w:val="center"/>
            <w:hideMark/>
          </w:tcPr>
          <w:p w14:paraId="2B73FF1F" w14:textId="77777777" w:rsidR="008F39F5" w:rsidRPr="008F39F5" w:rsidRDefault="008F39F5" w:rsidP="008F39F5">
            <w:pPr>
              <w:jc w:val="center"/>
              <w:rPr>
                <w:rFonts w:ascii="Arial" w:hAnsi="Arial" w:cs="Arial"/>
                <w:lang w:eastAsia="es-MX"/>
              </w:rPr>
            </w:pPr>
          </w:p>
        </w:tc>
      </w:tr>
      <w:tr w:rsidR="002F04AF" w:rsidRPr="008F39F5" w14:paraId="3AE59C3A" w14:textId="77777777" w:rsidTr="00A679D5">
        <w:trPr>
          <w:trHeight w:val="268"/>
        </w:trPr>
        <w:tc>
          <w:tcPr>
            <w:tcW w:w="1843" w:type="dxa"/>
            <w:shd w:val="clear" w:color="auto" w:fill="auto"/>
            <w:noWrap/>
            <w:vAlign w:val="center"/>
            <w:hideMark/>
          </w:tcPr>
          <w:p w14:paraId="0B59F418"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HGSZ 10 Nuevo Necaxa</w:t>
            </w:r>
          </w:p>
        </w:tc>
        <w:tc>
          <w:tcPr>
            <w:tcW w:w="2268" w:type="dxa"/>
            <w:shd w:val="clear" w:color="auto" w:fill="auto"/>
            <w:noWrap/>
            <w:vAlign w:val="center"/>
            <w:hideMark/>
          </w:tcPr>
          <w:p w14:paraId="14F601C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18, 0.3; (0.2-0.5)</w:t>
            </w:r>
          </w:p>
        </w:tc>
        <w:tc>
          <w:tcPr>
            <w:tcW w:w="2203" w:type="dxa"/>
            <w:shd w:val="clear" w:color="auto" w:fill="auto"/>
            <w:noWrap/>
            <w:vAlign w:val="center"/>
            <w:hideMark/>
          </w:tcPr>
          <w:p w14:paraId="3CB00172" w14:textId="77777777" w:rsidR="008F39F5" w:rsidRPr="008F39F5" w:rsidRDefault="008F39F5" w:rsidP="008F39F5">
            <w:pPr>
              <w:jc w:val="center"/>
              <w:rPr>
                <w:rFonts w:ascii="Arial" w:hAnsi="Arial" w:cs="Arial"/>
                <w:lang w:eastAsia="es-MX"/>
              </w:rPr>
            </w:pPr>
            <w:r w:rsidRPr="008F39F5">
              <w:rPr>
                <w:rFonts w:ascii="Arial" w:hAnsi="Arial" w:cs="Arial"/>
                <w:lang w:eastAsia="es-MX"/>
              </w:rPr>
              <w:t>18, 0.5; (0.3-0.7)</w:t>
            </w:r>
          </w:p>
        </w:tc>
        <w:tc>
          <w:tcPr>
            <w:tcW w:w="2145" w:type="dxa"/>
            <w:shd w:val="clear" w:color="auto" w:fill="auto"/>
            <w:noWrap/>
            <w:vAlign w:val="center"/>
            <w:hideMark/>
          </w:tcPr>
          <w:p w14:paraId="47344270" w14:textId="77777777" w:rsidR="008F39F5" w:rsidRPr="008F39F5" w:rsidRDefault="008F39F5" w:rsidP="008F39F5">
            <w:pPr>
              <w:jc w:val="center"/>
              <w:rPr>
                <w:rFonts w:ascii="Arial" w:hAnsi="Arial" w:cs="Arial"/>
                <w:lang w:eastAsia="es-MX"/>
              </w:rPr>
            </w:pPr>
          </w:p>
        </w:tc>
      </w:tr>
      <w:tr w:rsidR="002F04AF" w:rsidRPr="008F39F5" w14:paraId="0C09F65D" w14:textId="77777777" w:rsidTr="00A679D5">
        <w:trPr>
          <w:trHeight w:val="268"/>
        </w:trPr>
        <w:tc>
          <w:tcPr>
            <w:tcW w:w="1843" w:type="dxa"/>
            <w:shd w:val="clear" w:color="auto" w:fill="auto"/>
            <w:noWrap/>
            <w:vAlign w:val="center"/>
            <w:hideMark/>
          </w:tcPr>
          <w:p w14:paraId="15A7393C"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UMFH 24 Izucar De Matamoros</w:t>
            </w:r>
          </w:p>
        </w:tc>
        <w:tc>
          <w:tcPr>
            <w:tcW w:w="2268" w:type="dxa"/>
            <w:shd w:val="clear" w:color="auto" w:fill="auto"/>
            <w:noWrap/>
            <w:vAlign w:val="center"/>
            <w:hideMark/>
          </w:tcPr>
          <w:p w14:paraId="4B4B764F"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17, 0.3; (0.2-0.5)</w:t>
            </w:r>
          </w:p>
        </w:tc>
        <w:tc>
          <w:tcPr>
            <w:tcW w:w="2203" w:type="dxa"/>
            <w:shd w:val="clear" w:color="auto" w:fill="auto"/>
            <w:noWrap/>
            <w:vAlign w:val="center"/>
            <w:hideMark/>
          </w:tcPr>
          <w:p w14:paraId="2906816D" w14:textId="77777777" w:rsidR="008F39F5" w:rsidRPr="008F39F5" w:rsidRDefault="008F39F5" w:rsidP="008F39F5">
            <w:pPr>
              <w:jc w:val="center"/>
              <w:rPr>
                <w:rFonts w:ascii="Arial" w:hAnsi="Arial" w:cs="Arial"/>
                <w:lang w:eastAsia="es-MX"/>
              </w:rPr>
            </w:pPr>
            <w:r w:rsidRPr="008F39F5">
              <w:rPr>
                <w:rFonts w:ascii="Arial" w:hAnsi="Arial" w:cs="Arial"/>
                <w:lang w:eastAsia="es-MX"/>
              </w:rPr>
              <w:t>17, 0.4; (0.2-0.7)</w:t>
            </w:r>
          </w:p>
        </w:tc>
        <w:tc>
          <w:tcPr>
            <w:tcW w:w="2145" w:type="dxa"/>
            <w:shd w:val="clear" w:color="auto" w:fill="auto"/>
            <w:noWrap/>
            <w:vAlign w:val="center"/>
            <w:hideMark/>
          </w:tcPr>
          <w:p w14:paraId="79A00C6F" w14:textId="77777777" w:rsidR="008F39F5" w:rsidRPr="008F39F5" w:rsidRDefault="008F39F5" w:rsidP="008F39F5">
            <w:pPr>
              <w:jc w:val="center"/>
              <w:rPr>
                <w:rFonts w:ascii="Arial" w:hAnsi="Arial" w:cs="Arial"/>
                <w:lang w:eastAsia="es-MX"/>
              </w:rPr>
            </w:pPr>
          </w:p>
        </w:tc>
      </w:tr>
      <w:tr w:rsidR="002F04AF" w:rsidRPr="008F39F5" w14:paraId="368DC1DA" w14:textId="77777777" w:rsidTr="00A679D5">
        <w:trPr>
          <w:trHeight w:val="268"/>
        </w:trPr>
        <w:tc>
          <w:tcPr>
            <w:tcW w:w="1843" w:type="dxa"/>
            <w:shd w:val="clear" w:color="auto" w:fill="auto"/>
            <w:noWrap/>
            <w:vAlign w:val="center"/>
            <w:hideMark/>
          </w:tcPr>
          <w:p w14:paraId="753D00F5"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HGZ 5 Metepec</w:t>
            </w:r>
          </w:p>
        </w:tc>
        <w:tc>
          <w:tcPr>
            <w:tcW w:w="2268" w:type="dxa"/>
            <w:shd w:val="clear" w:color="auto" w:fill="auto"/>
            <w:noWrap/>
            <w:vAlign w:val="center"/>
            <w:hideMark/>
          </w:tcPr>
          <w:p w14:paraId="405AB988"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15, 0.3; (0.2-0.4)</w:t>
            </w:r>
          </w:p>
        </w:tc>
        <w:tc>
          <w:tcPr>
            <w:tcW w:w="2203" w:type="dxa"/>
            <w:shd w:val="clear" w:color="auto" w:fill="auto"/>
            <w:noWrap/>
            <w:vAlign w:val="center"/>
            <w:hideMark/>
          </w:tcPr>
          <w:p w14:paraId="738C5A10" w14:textId="77777777" w:rsidR="008F39F5" w:rsidRPr="008F39F5" w:rsidRDefault="008F39F5" w:rsidP="008F39F5">
            <w:pPr>
              <w:jc w:val="center"/>
              <w:rPr>
                <w:rFonts w:ascii="Arial" w:hAnsi="Arial" w:cs="Arial"/>
                <w:lang w:eastAsia="es-MX"/>
              </w:rPr>
            </w:pPr>
            <w:r w:rsidRPr="008F39F5">
              <w:rPr>
                <w:rFonts w:ascii="Arial" w:hAnsi="Arial" w:cs="Arial"/>
                <w:lang w:eastAsia="es-MX"/>
              </w:rPr>
              <w:t>15, 0.4; (0.2-0.6)</w:t>
            </w:r>
          </w:p>
        </w:tc>
        <w:tc>
          <w:tcPr>
            <w:tcW w:w="2145" w:type="dxa"/>
            <w:shd w:val="clear" w:color="auto" w:fill="auto"/>
            <w:noWrap/>
            <w:vAlign w:val="center"/>
            <w:hideMark/>
          </w:tcPr>
          <w:p w14:paraId="6A6818D6" w14:textId="77777777" w:rsidR="008F39F5" w:rsidRPr="008F39F5" w:rsidRDefault="008F39F5" w:rsidP="008F39F5">
            <w:pPr>
              <w:jc w:val="center"/>
              <w:rPr>
                <w:rFonts w:ascii="Arial" w:hAnsi="Arial" w:cs="Arial"/>
                <w:lang w:eastAsia="es-MX"/>
              </w:rPr>
            </w:pPr>
          </w:p>
        </w:tc>
      </w:tr>
      <w:tr w:rsidR="002F04AF" w:rsidRPr="008F39F5" w14:paraId="168BD20B" w14:textId="77777777" w:rsidTr="00A679D5">
        <w:trPr>
          <w:trHeight w:val="268"/>
        </w:trPr>
        <w:tc>
          <w:tcPr>
            <w:tcW w:w="1843" w:type="dxa"/>
            <w:shd w:val="clear" w:color="auto" w:fill="auto"/>
            <w:noWrap/>
            <w:vAlign w:val="center"/>
            <w:hideMark/>
          </w:tcPr>
          <w:p w14:paraId="7752A88D"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34 Atlixco</w:t>
            </w:r>
          </w:p>
        </w:tc>
        <w:tc>
          <w:tcPr>
            <w:tcW w:w="2268" w:type="dxa"/>
            <w:shd w:val="clear" w:color="auto" w:fill="auto"/>
            <w:noWrap/>
            <w:vAlign w:val="center"/>
            <w:hideMark/>
          </w:tcPr>
          <w:p w14:paraId="391919B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14, 0.3; (0.1-0.4)</w:t>
            </w:r>
          </w:p>
        </w:tc>
        <w:tc>
          <w:tcPr>
            <w:tcW w:w="2203" w:type="dxa"/>
            <w:shd w:val="clear" w:color="auto" w:fill="auto"/>
            <w:noWrap/>
            <w:vAlign w:val="center"/>
            <w:hideMark/>
          </w:tcPr>
          <w:p w14:paraId="12FB6782" w14:textId="77777777" w:rsidR="008F39F5" w:rsidRPr="008F39F5" w:rsidRDefault="008F39F5" w:rsidP="008F39F5">
            <w:pPr>
              <w:jc w:val="center"/>
              <w:rPr>
                <w:rFonts w:ascii="Arial" w:hAnsi="Arial" w:cs="Arial"/>
                <w:lang w:eastAsia="es-MX"/>
              </w:rPr>
            </w:pPr>
            <w:r w:rsidRPr="008F39F5">
              <w:rPr>
                <w:rFonts w:ascii="Arial" w:hAnsi="Arial" w:cs="Arial"/>
                <w:lang w:eastAsia="es-MX"/>
              </w:rPr>
              <w:t>14, 0.4; (0.2-0.5)</w:t>
            </w:r>
          </w:p>
        </w:tc>
        <w:tc>
          <w:tcPr>
            <w:tcW w:w="2145" w:type="dxa"/>
            <w:shd w:val="clear" w:color="auto" w:fill="auto"/>
            <w:noWrap/>
            <w:vAlign w:val="center"/>
            <w:hideMark/>
          </w:tcPr>
          <w:p w14:paraId="51BE8F49" w14:textId="77777777" w:rsidR="008F39F5" w:rsidRPr="008F39F5" w:rsidRDefault="008F39F5" w:rsidP="008F39F5">
            <w:pPr>
              <w:jc w:val="center"/>
              <w:rPr>
                <w:rFonts w:ascii="Arial" w:hAnsi="Arial" w:cs="Arial"/>
                <w:lang w:eastAsia="es-MX"/>
              </w:rPr>
            </w:pPr>
          </w:p>
        </w:tc>
      </w:tr>
      <w:tr w:rsidR="002F04AF" w:rsidRPr="008F39F5" w14:paraId="7A91F55A" w14:textId="77777777" w:rsidTr="00A679D5">
        <w:trPr>
          <w:trHeight w:val="268"/>
        </w:trPr>
        <w:tc>
          <w:tcPr>
            <w:tcW w:w="1843" w:type="dxa"/>
            <w:shd w:val="clear" w:color="auto" w:fill="auto"/>
            <w:noWrap/>
            <w:vAlign w:val="center"/>
            <w:hideMark/>
          </w:tcPr>
          <w:p w14:paraId="0D05A067"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58</w:t>
            </w:r>
          </w:p>
        </w:tc>
        <w:tc>
          <w:tcPr>
            <w:tcW w:w="2268" w:type="dxa"/>
            <w:shd w:val="clear" w:color="auto" w:fill="auto"/>
            <w:noWrap/>
            <w:vAlign w:val="center"/>
            <w:hideMark/>
          </w:tcPr>
          <w:p w14:paraId="2BE74FEF"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14, 0.3; (0.1-0.4)</w:t>
            </w:r>
          </w:p>
        </w:tc>
        <w:tc>
          <w:tcPr>
            <w:tcW w:w="2203" w:type="dxa"/>
            <w:shd w:val="clear" w:color="auto" w:fill="auto"/>
            <w:noWrap/>
            <w:vAlign w:val="center"/>
            <w:hideMark/>
          </w:tcPr>
          <w:p w14:paraId="63F2465C" w14:textId="77777777" w:rsidR="008F39F5" w:rsidRPr="008F39F5" w:rsidRDefault="008F39F5" w:rsidP="008F39F5">
            <w:pPr>
              <w:jc w:val="center"/>
              <w:rPr>
                <w:rFonts w:ascii="Arial" w:hAnsi="Arial" w:cs="Arial"/>
                <w:lang w:eastAsia="es-MX"/>
              </w:rPr>
            </w:pPr>
            <w:r w:rsidRPr="008F39F5">
              <w:rPr>
                <w:rFonts w:ascii="Arial" w:hAnsi="Arial" w:cs="Arial"/>
                <w:lang w:eastAsia="es-MX"/>
              </w:rPr>
              <w:t>14, 0.4; (0.2-0.6)</w:t>
            </w:r>
          </w:p>
        </w:tc>
        <w:tc>
          <w:tcPr>
            <w:tcW w:w="2145" w:type="dxa"/>
            <w:shd w:val="clear" w:color="auto" w:fill="auto"/>
            <w:noWrap/>
            <w:vAlign w:val="center"/>
            <w:hideMark/>
          </w:tcPr>
          <w:p w14:paraId="60821CA6" w14:textId="77777777" w:rsidR="008F39F5" w:rsidRPr="008F39F5" w:rsidRDefault="008F39F5" w:rsidP="008F39F5">
            <w:pPr>
              <w:jc w:val="center"/>
              <w:rPr>
                <w:rFonts w:ascii="Arial" w:hAnsi="Arial" w:cs="Arial"/>
                <w:lang w:eastAsia="es-MX"/>
              </w:rPr>
            </w:pPr>
          </w:p>
        </w:tc>
      </w:tr>
      <w:tr w:rsidR="002F04AF" w:rsidRPr="008F39F5" w14:paraId="39FA8F78" w14:textId="77777777" w:rsidTr="00A679D5">
        <w:trPr>
          <w:trHeight w:val="268"/>
        </w:trPr>
        <w:tc>
          <w:tcPr>
            <w:tcW w:w="1843" w:type="dxa"/>
            <w:shd w:val="clear" w:color="auto" w:fill="auto"/>
            <w:noWrap/>
            <w:vAlign w:val="center"/>
            <w:hideMark/>
          </w:tcPr>
          <w:p w14:paraId="4C7E70DC"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HGZ 23 Teziutlan</w:t>
            </w:r>
          </w:p>
        </w:tc>
        <w:tc>
          <w:tcPr>
            <w:tcW w:w="2268" w:type="dxa"/>
            <w:shd w:val="clear" w:color="auto" w:fill="auto"/>
            <w:noWrap/>
            <w:vAlign w:val="center"/>
            <w:hideMark/>
          </w:tcPr>
          <w:p w14:paraId="29BC88C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12, 0.2; (0.1-0.4)</w:t>
            </w:r>
          </w:p>
        </w:tc>
        <w:tc>
          <w:tcPr>
            <w:tcW w:w="2203" w:type="dxa"/>
            <w:shd w:val="clear" w:color="auto" w:fill="auto"/>
            <w:noWrap/>
            <w:vAlign w:val="center"/>
            <w:hideMark/>
          </w:tcPr>
          <w:p w14:paraId="40D91B5B" w14:textId="77777777" w:rsidR="008F39F5" w:rsidRPr="008F39F5" w:rsidRDefault="008F39F5" w:rsidP="008F39F5">
            <w:pPr>
              <w:jc w:val="center"/>
              <w:rPr>
                <w:rFonts w:ascii="Arial" w:hAnsi="Arial" w:cs="Arial"/>
                <w:lang w:eastAsia="es-MX"/>
              </w:rPr>
            </w:pPr>
            <w:r w:rsidRPr="008F39F5">
              <w:rPr>
                <w:rFonts w:ascii="Arial" w:hAnsi="Arial" w:cs="Arial"/>
                <w:lang w:eastAsia="es-MX"/>
              </w:rPr>
              <w:t>12, 0.3; (0.2-0.5)</w:t>
            </w:r>
          </w:p>
        </w:tc>
        <w:tc>
          <w:tcPr>
            <w:tcW w:w="2145" w:type="dxa"/>
            <w:shd w:val="clear" w:color="auto" w:fill="auto"/>
            <w:noWrap/>
            <w:vAlign w:val="center"/>
            <w:hideMark/>
          </w:tcPr>
          <w:p w14:paraId="63FB47B3" w14:textId="77777777" w:rsidR="008F39F5" w:rsidRPr="008F39F5" w:rsidRDefault="008F39F5" w:rsidP="008F39F5">
            <w:pPr>
              <w:jc w:val="center"/>
              <w:rPr>
                <w:rFonts w:ascii="Arial" w:hAnsi="Arial" w:cs="Arial"/>
                <w:lang w:eastAsia="es-MX"/>
              </w:rPr>
            </w:pPr>
          </w:p>
        </w:tc>
      </w:tr>
      <w:tr w:rsidR="002F04AF" w:rsidRPr="008F39F5" w14:paraId="66FC490E" w14:textId="77777777" w:rsidTr="00A679D5">
        <w:trPr>
          <w:trHeight w:val="268"/>
        </w:trPr>
        <w:tc>
          <w:tcPr>
            <w:tcW w:w="1843" w:type="dxa"/>
            <w:shd w:val="clear" w:color="auto" w:fill="auto"/>
            <w:noWrap/>
            <w:vAlign w:val="center"/>
            <w:hideMark/>
          </w:tcPr>
          <w:p w14:paraId="5C5EC895"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14 Pueblo Nuevo</w:t>
            </w:r>
          </w:p>
        </w:tc>
        <w:tc>
          <w:tcPr>
            <w:tcW w:w="2268" w:type="dxa"/>
            <w:shd w:val="clear" w:color="auto" w:fill="auto"/>
            <w:noWrap/>
            <w:vAlign w:val="center"/>
            <w:hideMark/>
          </w:tcPr>
          <w:p w14:paraId="3B41DBBD"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12, 0.2; (0.1-0.4)</w:t>
            </w:r>
          </w:p>
        </w:tc>
        <w:tc>
          <w:tcPr>
            <w:tcW w:w="2203" w:type="dxa"/>
            <w:shd w:val="clear" w:color="auto" w:fill="auto"/>
            <w:noWrap/>
            <w:vAlign w:val="center"/>
            <w:hideMark/>
          </w:tcPr>
          <w:p w14:paraId="6897B2CE" w14:textId="77777777" w:rsidR="008F39F5" w:rsidRPr="008F39F5" w:rsidRDefault="008F39F5" w:rsidP="008F39F5">
            <w:pPr>
              <w:jc w:val="center"/>
              <w:rPr>
                <w:rFonts w:ascii="Arial" w:hAnsi="Arial" w:cs="Arial"/>
                <w:lang w:eastAsia="es-MX"/>
              </w:rPr>
            </w:pPr>
            <w:r w:rsidRPr="008F39F5">
              <w:rPr>
                <w:rFonts w:ascii="Arial" w:hAnsi="Arial" w:cs="Arial"/>
                <w:lang w:eastAsia="es-MX"/>
              </w:rPr>
              <w:t>11, 0.3; (0.1-0.5)</w:t>
            </w:r>
          </w:p>
        </w:tc>
        <w:tc>
          <w:tcPr>
            <w:tcW w:w="2145" w:type="dxa"/>
            <w:shd w:val="clear" w:color="auto" w:fill="auto"/>
            <w:noWrap/>
            <w:vAlign w:val="center"/>
            <w:hideMark/>
          </w:tcPr>
          <w:p w14:paraId="1EB37E2D" w14:textId="0B2B32E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 0.1; (0</w:t>
            </w:r>
            <w:r w:rsidR="002F04AF">
              <w:rPr>
                <w:rFonts w:ascii="Arial" w:hAnsi="Arial" w:cs="Arial"/>
                <w:color w:val="000000"/>
                <w:lang w:eastAsia="es-MX"/>
              </w:rPr>
              <w:t>.0</w:t>
            </w:r>
            <w:r w:rsidRPr="008F39F5">
              <w:rPr>
                <w:rFonts w:ascii="Arial" w:hAnsi="Arial" w:cs="Arial"/>
                <w:color w:val="000000"/>
                <w:lang w:eastAsia="es-MX"/>
              </w:rPr>
              <w:t>-0.2)</w:t>
            </w:r>
          </w:p>
        </w:tc>
      </w:tr>
      <w:tr w:rsidR="002F04AF" w:rsidRPr="008F39F5" w14:paraId="6C6B1DB7" w14:textId="77777777" w:rsidTr="00A679D5">
        <w:trPr>
          <w:trHeight w:val="268"/>
        </w:trPr>
        <w:tc>
          <w:tcPr>
            <w:tcW w:w="1843" w:type="dxa"/>
            <w:shd w:val="clear" w:color="auto" w:fill="auto"/>
            <w:noWrap/>
            <w:vAlign w:val="center"/>
            <w:hideMark/>
          </w:tcPr>
          <w:p w14:paraId="778B8D93"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21 Puebla</w:t>
            </w:r>
          </w:p>
        </w:tc>
        <w:tc>
          <w:tcPr>
            <w:tcW w:w="2268" w:type="dxa"/>
            <w:shd w:val="clear" w:color="auto" w:fill="auto"/>
            <w:noWrap/>
            <w:vAlign w:val="center"/>
            <w:hideMark/>
          </w:tcPr>
          <w:p w14:paraId="3FC34B65"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9, 0.2; (0.1-0.3)</w:t>
            </w:r>
          </w:p>
        </w:tc>
        <w:tc>
          <w:tcPr>
            <w:tcW w:w="2203" w:type="dxa"/>
            <w:shd w:val="clear" w:color="auto" w:fill="auto"/>
            <w:noWrap/>
            <w:vAlign w:val="center"/>
            <w:hideMark/>
          </w:tcPr>
          <w:p w14:paraId="4230396F" w14:textId="77777777" w:rsidR="008F39F5" w:rsidRPr="008F39F5" w:rsidRDefault="008F39F5" w:rsidP="008F39F5">
            <w:pPr>
              <w:jc w:val="center"/>
              <w:rPr>
                <w:rFonts w:ascii="Arial" w:hAnsi="Arial" w:cs="Arial"/>
                <w:lang w:eastAsia="es-MX"/>
              </w:rPr>
            </w:pPr>
            <w:r w:rsidRPr="008F39F5">
              <w:rPr>
                <w:rFonts w:ascii="Arial" w:hAnsi="Arial" w:cs="Arial"/>
                <w:lang w:eastAsia="es-MX"/>
              </w:rPr>
              <w:t>9, 0.2; (0.1-0.4)</w:t>
            </w:r>
          </w:p>
        </w:tc>
        <w:tc>
          <w:tcPr>
            <w:tcW w:w="2145" w:type="dxa"/>
            <w:shd w:val="clear" w:color="auto" w:fill="auto"/>
            <w:noWrap/>
            <w:vAlign w:val="center"/>
            <w:hideMark/>
          </w:tcPr>
          <w:p w14:paraId="4F1825B3" w14:textId="77777777" w:rsidR="008F39F5" w:rsidRPr="008F39F5" w:rsidRDefault="008F39F5" w:rsidP="008F39F5">
            <w:pPr>
              <w:jc w:val="center"/>
              <w:rPr>
                <w:rFonts w:ascii="Arial" w:hAnsi="Arial" w:cs="Arial"/>
                <w:lang w:eastAsia="es-MX"/>
              </w:rPr>
            </w:pPr>
          </w:p>
        </w:tc>
      </w:tr>
      <w:tr w:rsidR="002F04AF" w:rsidRPr="008F39F5" w14:paraId="008D1DB8" w14:textId="77777777" w:rsidTr="00A679D5">
        <w:trPr>
          <w:trHeight w:val="268"/>
        </w:trPr>
        <w:tc>
          <w:tcPr>
            <w:tcW w:w="1843" w:type="dxa"/>
            <w:shd w:val="clear" w:color="auto" w:fill="auto"/>
            <w:noWrap/>
            <w:vAlign w:val="center"/>
            <w:hideMark/>
          </w:tcPr>
          <w:p w14:paraId="645FDF94"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47 San Miguel Xoxtla</w:t>
            </w:r>
          </w:p>
        </w:tc>
        <w:tc>
          <w:tcPr>
            <w:tcW w:w="2268" w:type="dxa"/>
            <w:shd w:val="clear" w:color="auto" w:fill="auto"/>
            <w:noWrap/>
            <w:vAlign w:val="center"/>
            <w:hideMark/>
          </w:tcPr>
          <w:p w14:paraId="4D11126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4, 0.1; (0-0.2)</w:t>
            </w:r>
          </w:p>
        </w:tc>
        <w:tc>
          <w:tcPr>
            <w:tcW w:w="2203" w:type="dxa"/>
            <w:shd w:val="clear" w:color="auto" w:fill="auto"/>
            <w:noWrap/>
            <w:vAlign w:val="center"/>
            <w:hideMark/>
          </w:tcPr>
          <w:p w14:paraId="22FBA088" w14:textId="77777777" w:rsidR="008F39F5" w:rsidRPr="008F39F5" w:rsidRDefault="008F39F5" w:rsidP="008F39F5">
            <w:pPr>
              <w:jc w:val="center"/>
              <w:rPr>
                <w:rFonts w:ascii="Arial" w:hAnsi="Arial" w:cs="Arial"/>
                <w:lang w:eastAsia="es-MX"/>
              </w:rPr>
            </w:pPr>
            <w:r w:rsidRPr="008F39F5">
              <w:rPr>
                <w:rFonts w:ascii="Arial" w:hAnsi="Arial" w:cs="Arial"/>
                <w:lang w:eastAsia="es-MX"/>
              </w:rPr>
              <w:t>4, 0.1; (0-0.2)</w:t>
            </w:r>
          </w:p>
        </w:tc>
        <w:tc>
          <w:tcPr>
            <w:tcW w:w="2145" w:type="dxa"/>
            <w:shd w:val="clear" w:color="auto" w:fill="auto"/>
            <w:noWrap/>
            <w:vAlign w:val="center"/>
            <w:hideMark/>
          </w:tcPr>
          <w:p w14:paraId="2A4A5434" w14:textId="77777777" w:rsidR="008F39F5" w:rsidRPr="008F39F5" w:rsidRDefault="008F39F5" w:rsidP="008F39F5">
            <w:pPr>
              <w:jc w:val="center"/>
              <w:rPr>
                <w:rFonts w:ascii="Arial" w:hAnsi="Arial" w:cs="Arial"/>
                <w:lang w:eastAsia="es-MX"/>
              </w:rPr>
            </w:pPr>
          </w:p>
        </w:tc>
      </w:tr>
      <w:tr w:rsidR="002F04AF" w:rsidRPr="008F39F5" w14:paraId="096ADC27" w14:textId="77777777" w:rsidTr="00A679D5">
        <w:trPr>
          <w:trHeight w:val="268"/>
        </w:trPr>
        <w:tc>
          <w:tcPr>
            <w:tcW w:w="1843" w:type="dxa"/>
            <w:shd w:val="clear" w:color="auto" w:fill="auto"/>
            <w:noWrap/>
            <w:vAlign w:val="center"/>
            <w:hideMark/>
          </w:tcPr>
          <w:p w14:paraId="40B9D29E" w14:textId="77777777" w:rsidR="008F39F5" w:rsidRPr="008F39F5" w:rsidRDefault="008F39F5" w:rsidP="008F39F5">
            <w:pPr>
              <w:rPr>
                <w:rFonts w:ascii="Arial" w:hAnsi="Arial" w:cs="Arial"/>
                <w:color w:val="000000"/>
                <w:lang w:val="es-MX" w:eastAsia="es-MX"/>
              </w:rPr>
            </w:pPr>
            <w:r w:rsidRPr="008F39F5">
              <w:rPr>
                <w:rFonts w:ascii="Arial" w:hAnsi="Arial" w:cs="Arial"/>
                <w:color w:val="000000"/>
                <w:lang w:val="es-MX" w:eastAsia="es-MX"/>
              </w:rPr>
              <w:lastRenderedPageBreak/>
              <w:t>UMFH 33 Villa Rafael Lara Grajales</w:t>
            </w:r>
          </w:p>
        </w:tc>
        <w:tc>
          <w:tcPr>
            <w:tcW w:w="2268" w:type="dxa"/>
            <w:shd w:val="clear" w:color="auto" w:fill="auto"/>
            <w:noWrap/>
            <w:vAlign w:val="center"/>
            <w:hideMark/>
          </w:tcPr>
          <w:p w14:paraId="33D1C8C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4, 0.1; (0-0.2)</w:t>
            </w:r>
          </w:p>
        </w:tc>
        <w:tc>
          <w:tcPr>
            <w:tcW w:w="2203" w:type="dxa"/>
            <w:shd w:val="clear" w:color="auto" w:fill="auto"/>
            <w:noWrap/>
            <w:vAlign w:val="center"/>
            <w:hideMark/>
          </w:tcPr>
          <w:p w14:paraId="12101CEA" w14:textId="77777777" w:rsidR="008F39F5" w:rsidRPr="008F39F5" w:rsidRDefault="008F39F5" w:rsidP="008F39F5">
            <w:pPr>
              <w:jc w:val="center"/>
              <w:rPr>
                <w:rFonts w:ascii="Arial" w:hAnsi="Arial" w:cs="Arial"/>
                <w:lang w:eastAsia="es-MX"/>
              </w:rPr>
            </w:pPr>
            <w:r w:rsidRPr="008F39F5">
              <w:rPr>
                <w:rFonts w:ascii="Arial" w:hAnsi="Arial" w:cs="Arial"/>
                <w:lang w:eastAsia="es-MX"/>
              </w:rPr>
              <w:t>4, 0.1; (0-0.2)</w:t>
            </w:r>
          </w:p>
        </w:tc>
        <w:tc>
          <w:tcPr>
            <w:tcW w:w="2145" w:type="dxa"/>
            <w:shd w:val="clear" w:color="auto" w:fill="auto"/>
            <w:noWrap/>
            <w:vAlign w:val="center"/>
            <w:hideMark/>
          </w:tcPr>
          <w:p w14:paraId="0F31ED57" w14:textId="77777777" w:rsidR="008F39F5" w:rsidRPr="008F39F5" w:rsidRDefault="008F39F5" w:rsidP="008F39F5">
            <w:pPr>
              <w:jc w:val="center"/>
              <w:rPr>
                <w:rFonts w:ascii="Arial" w:hAnsi="Arial" w:cs="Arial"/>
                <w:lang w:eastAsia="es-MX"/>
              </w:rPr>
            </w:pPr>
          </w:p>
        </w:tc>
      </w:tr>
      <w:tr w:rsidR="002F04AF" w:rsidRPr="008F39F5" w14:paraId="4A1CBDDE" w14:textId="77777777" w:rsidTr="00A679D5">
        <w:trPr>
          <w:trHeight w:val="268"/>
        </w:trPr>
        <w:tc>
          <w:tcPr>
            <w:tcW w:w="1843" w:type="dxa"/>
            <w:shd w:val="clear" w:color="auto" w:fill="auto"/>
            <w:noWrap/>
            <w:vAlign w:val="center"/>
            <w:hideMark/>
          </w:tcPr>
          <w:p w14:paraId="638C8AD3"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UMFH 31 Chietla</w:t>
            </w:r>
          </w:p>
        </w:tc>
        <w:tc>
          <w:tcPr>
            <w:tcW w:w="2268" w:type="dxa"/>
            <w:shd w:val="clear" w:color="auto" w:fill="auto"/>
            <w:noWrap/>
            <w:vAlign w:val="center"/>
            <w:hideMark/>
          </w:tcPr>
          <w:p w14:paraId="21B6A582"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 0; (0-0.1)</w:t>
            </w:r>
          </w:p>
        </w:tc>
        <w:tc>
          <w:tcPr>
            <w:tcW w:w="2203" w:type="dxa"/>
            <w:shd w:val="clear" w:color="auto" w:fill="auto"/>
            <w:noWrap/>
            <w:vAlign w:val="center"/>
            <w:hideMark/>
          </w:tcPr>
          <w:p w14:paraId="76F8326E" w14:textId="77777777" w:rsidR="008F39F5" w:rsidRPr="008F39F5" w:rsidRDefault="008F39F5" w:rsidP="008F39F5">
            <w:pPr>
              <w:jc w:val="center"/>
              <w:rPr>
                <w:rFonts w:ascii="Arial" w:hAnsi="Arial" w:cs="Arial"/>
                <w:lang w:eastAsia="es-MX"/>
              </w:rPr>
            </w:pPr>
            <w:r w:rsidRPr="008F39F5">
              <w:rPr>
                <w:rFonts w:ascii="Arial" w:hAnsi="Arial" w:cs="Arial"/>
                <w:lang w:eastAsia="es-MX"/>
              </w:rPr>
              <w:t>1, 0; (0-0.1)</w:t>
            </w:r>
          </w:p>
        </w:tc>
        <w:tc>
          <w:tcPr>
            <w:tcW w:w="2145" w:type="dxa"/>
            <w:shd w:val="clear" w:color="auto" w:fill="auto"/>
            <w:noWrap/>
            <w:vAlign w:val="center"/>
            <w:hideMark/>
          </w:tcPr>
          <w:p w14:paraId="2AB3ADBC" w14:textId="77777777" w:rsidR="008F39F5" w:rsidRPr="008F39F5" w:rsidRDefault="008F39F5" w:rsidP="008F39F5">
            <w:pPr>
              <w:jc w:val="center"/>
              <w:rPr>
                <w:rFonts w:ascii="Arial" w:hAnsi="Arial" w:cs="Arial"/>
                <w:lang w:eastAsia="es-MX"/>
              </w:rPr>
            </w:pPr>
          </w:p>
        </w:tc>
      </w:tr>
      <w:tr w:rsidR="002F04AF" w:rsidRPr="008F39F5" w14:paraId="296231F3" w14:textId="77777777" w:rsidTr="00A679D5">
        <w:trPr>
          <w:trHeight w:val="268"/>
        </w:trPr>
        <w:tc>
          <w:tcPr>
            <w:tcW w:w="1843" w:type="dxa"/>
            <w:shd w:val="clear" w:color="auto" w:fill="auto"/>
            <w:noWrap/>
            <w:vAlign w:val="center"/>
            <w:hideMark/>
          </w:tcPr>
          <w:p w14:paraId="4BACCCCF"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UMFH 16 Tecamachalco</w:t>
            </w:r>
          </w:p>
        </w:tc>
        <w:tc>
          <w:tcPr>
            <w:tcW w:w="2268" w:type="dxa"/>
            <w:shd w:val="clear" w:color="auto" w:fill="auto"/>
            <w:noWrap/>
            <w:vAlign w:val="center"/>
            <w:hideMark/>
          </w:tcPr>
          <w:p w14:paraId="3F39EEE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 0; (0-0.1)</w:t>
            </w:r>
          </w:p>
        </w:tc>
        <w:tc>
          <w:tcPr>
            <w:tcW w:w="2203" w:type="dxa"/>
            <w:shd w:val="clear" w:color="auto" w:fill="auto"/>
            <w:noWrap/>
            <w:vAlign w:val="center"/>
            <w:hideMark/>
          </w:tcPr>
          <w:p w14:paraId="2C8ED542" w14:textId="77777777" w:rsidR="008F39F5" w:rsidRPr="008F39F5" w:rsidRDefault="008F39F5" w:rsidP="008F39F5">
            <w:pPr>
              <w:jc w:val="center"/>
              <w:rPr>
                <w:rFonts w:ascii="Arial" w:hAnsi="Arial" w:cs="Arial"/>
                <w:lang w:eastAsia="es-MX"/>
              </w:rPr>
            </w:pPr>
            <w:r w:rsidRPr="008F39F5">
              <w:rPr>
                <w:rFonts w:ascii="Arial" w:hAnsi="Arial" w:cs="Arial"/>
                <w:lang w:eastAsia="es-MX"/>
              </w:rPr>
              <w:t>1, 0; (0-0.1)</w:t>
            </w:r>
          </w:p>
        </w:tc>
        <w:tc>
          <w:tcPr>
            <w:tcW w:w="2145" w:type="dxa"/>
            <w:shd w:val="clear" w:color="auto" w:fill="auto"/>
            <w:noWrap/>
            <w:vAlign w:val="center"/>
            <w:hideMark/>
          </w:tcPr>
          <w:p w14:paraId="7E98076F" w14:textId="77777777" w:rsidR="008F39F5" w:rsidRPr="008F39F5" w:rsidRDefault="008F39F5" w:rsidP="008F39F5">
            <w:pPr>
              <w:jc w:val="center"/>
              <w:rPr>
                <w:rFonts w:ascii="Arial" w:hAnsi="Arial" w:cs="Arial"/>
                <w:lang w:eastAsia="es-MX"/>
              </w:rPr>
            </w:pPr>
          </w:p>
        </w:tc>
      </w:tr>
    </w:tbl>
    <w:p w14:paraId="26EAD047" w14:textId="1DEE9BA6" w:rsidR="008C6C92" w:rsidRPr="008F39F5" w:rsidRDefault="008C6C92" w:rsidP="008C6C92">
      <w:pPr>
        <w:tabs>
          <w:tab w:val="left" w:pos="1080"/>
        </w:tabs>
        <w:jc w:val="both"/>
        <w:rPr>
          <w:rFonts w:ascii="Arial" w:hAnsi="Arial"/>
          <w:bCs/>
          <w:sz w:val="18"/>
          <w:szCs w:val="18"/>
        </w:rPr>
      </w:pPr>
      <w:r w:rsidRPr="008F39F5">
        <w:rPr>
          <w:rFonts w:ascii="Arial" w:hAnsi="Arial"/>
          <w:bCs/>
          <w:sz w:val="18"/>
          <w:szCs w:val="18"/>
        </w:rPr>
        <w:t xml:space="preserve">Source: Prepared by the authors using data from the SINOLAVE System, </w:t>
      </w:r>
      <w:r w:rsidR="00BF475F">
        <w:rPr>
          <w:rFonts w:ascii="Arial" w:hAnsi="Arial"/>
          <w:bCs/>
          <w:sz w:val="18"/>
          <w:szCs w:val="18"/>
        </w:rPr>
        <w:t xml:space="preserve">from </w:t>
      </w:r>
      <w:r w:rsidR="002F04AF">
        <w:rPr>
          <w:rFonts w:ascii="Arial" w:hAnsi="Arial"/>
          <w:bCs/>
          <w:sz w:val="18"/>
          <w:szCs w:val="18"/>
        </w:rPr>
        <w:t>October</w:t>
      </w:r>
      <w:r w:rsidRPr="008F39F5">
        <w:rPr>
          <w:rFonts w:ascii="Arial" w:hAnsi="Arial"/>
          <w:bCs/>
          <w:sz w:val="18"/>
          <w:szCs w:val="18"/>
        </w:rPr>
        <w:t xml:space="preserve"> 2022 </w:t>
      </w:r>
      <w:r w:rsidR="002F04AF">
        <w:rPr>
          <w:rFonts w:ascii="Arial" w:hAnsi="Arial"/>
          <w:bCs/>
          <w:sz w:val="18"/>
          <w:szCs w:val="18"/>
        </w:rPr>
        <w:t>to</w:t>
      </w:r>
      <w:r w:rsidRPr="008F39F5">
        <w:rPr>
          <w:rFonts w:ascii="Arial" w:hAnsi="Arial"/>
          <w:bCs/>
          <w:sz w:val="18"/>
          <w:szCs w:val="18"/>
        </w:rPr>
        <w:t xml:space="preserve"> </w:t>
      </w:r>
      <w:r w:rsidR="002F04AF">
        <w:rPr>
          <w:rFonts w:ascii="Arial" w:hAnsi="Arial"/>
          <w:bCs/>
          <w:sz w:val="18"/>
          <w:szCs w:val="18"/>
        </w:rPr>
        <w:t>May</w:t>
      </w:r>
      <w:r w:rsidRPr="008F39F5">
        <w:rPr>
          <w:rFonts w:ascii="Arial" w:hAnsi="Arial"/>
          <w:bCs/>
          <w:sz w:val="18"/>
          <w:szCs w:val="18"/>
        </w:rPr>
        <w:t xml:space="preserve"> 2023.</w:t>
      </w:r>
    </w:p>
    <w:p w14:paraId="143376B8" w14:textId="77777777" w:rsidR="0068020E" w:rsidRPr="008F39F5" w:rsidRDefault="0068020E" w:rsidP="00441B6F">
      <w:pPr>
        <w:pStyle w:val="Body"/>
        <w:spacing w:after="0"/>
        <w:rPr>
          <w:rFonts w:ascii="Arial" w:hAnsi="Arial" w:cs="Arial"/>
        </w:rPr>
      </w:pPr>
    </w:p>
    <w:p w14:paraId="2B4E4129" w14:textId="6700A629" w:rsidR="00C751D3" w:rsidRPr="008F39F5" w:rsidRDefault="00C751D3" w:rsidP="00C751D3">
      <w:pPr>
        <w:pStyle w:val="Body"/>
        <w:spacing w:after="0"/>
        <w:rPr>
          <w:rFonts w:ascii="Arial" w:hAnsi="Arial" w:cs="Arial"/>
          <w:b/>
          <w:caps/>
          <w:sz w:val="22"/>
        </w:rPr>
      </w:pPr>
      <w:r w:rsidRPr="008F39F5">
        <w:rPr>
          <w:rFonts w:ascii="Arial" w:hAnsi="Arial" w:cs="Arial"/>
          <w:b/>
          <w:caps/>
          <w:sz w:val="22"/>
        </w:rPr>
        <w:t xml:space="preserve">2.2 </w:t>
      </w:r>
      <w:r w:rsidRPr="008F39F5">
        <w:rPr>
          <w:rFonts w:ascii="Arial" w:hAnsi="Arial" w:cs="Arial"/>
          <w:b/>
          <w:sz w:val="22"/>
        </w:rPr>
        <w:t>Study Population</w:t>
      </w:r>
      <w:r w:rsidR="00FD6EF7" w:rsidRPr="008F39F5">
        <w:rPr>
          <w:rFonts w:ascii="Arial" w:hAnsi="Arial" w:cs="Arial"/>
          <w:b/>
          <w:sz w:val="22"/>
        </w:rPr>
        <w:t xml:space="preserve">, </w:t>
      </w:r>
      <w:r w:rsidR="00615779">
        <w:rPr>
          <w:rFonts w:ascii="Arial" w:hAnsi="Arial" w:cs="Arial"/>
          <w:b/>
          <w:sz w:val="22"/>
        </w:rPr>
        <w:t>Selection criteria</w:t>
      </w:r>
      <w:r w:rsidR="00DA6738">
        <w:rPr>
          <w:rFonts w:ascii="Arial" w:hAnsi="Arial" w:cs="Arial"/>
          <w:b/>
          <w:sz w:val="22"/>
        </w:rPr>
        <w:t>, Sampling Method</w:t>
      </w:r>
      <w:r w:rsidR="00615779">
        <w:rPr>
          <w:rFonts w:ascii="Arial" w:hAnsi="Arial" w:cs="Arial"/>
          <w:b/>
          <w:sz w:val="22"/>
        </w:rPr>
        <w:t xml:space="preserve"> and </w:t>
      </w:r>
      <w:r w:rsidR="00FD6EF7" w:rsidRPr="008F39F5">
        <w:rPr>
          <w:rFonts w:ascii="Arial" w:hAnsi="Arial" w:cs="Arial"/>
          <w:b/>
          <w:sz w:val="22"/>
        </w:rPr>
        <w:t>Data Collection</w:t>
      </w:r>
    </w:p>
    <w:p w14:paraId="1C857852" w14:textId="0F7D4E25" w:rsidR="007C5FDD" w:rsidRPr="007C5FDD" w:rsidRDefault="00C57FAD" w:rsidP="007C5FDD">
      <w:pPr>
        <w:pStyle w:val="Body"/>
        <w:spacing w:after="0"/>
        <w:rPr>
          <w:rFonts w:ascii="Arial" w:hAnsi="Arial" w:cs="Arial"/>
        </w:rPr>
      </w:pPr>
      <w:r w:rsidRPr="008F39F5">
        <w:rPr>
          <w:rFonts w:ascii="Arial" w:hAnsi="Arial" w:cs="Arial"/>
        </w:rPr>
        <w:t xml:space="preserve">The study population included </w:t>
      </w:r>
      <w:r w:rsidR="00D9319C">
        <w:rPr>
          <w:rFonts w:ascii="Arial" w:hAnsi="Arial" w:cs="Arial"/>
        </w:rPr>
        <w:t xml:space="preserve">a total of </w:t>
      </w:r>
      <w:r w:rsidR="00D9319C" w:rsidRPr="00D9319C">
        <w:rPr>
          <w:rFonts w:ascii="Arial" w:hAnsi="Arial" w:cs="Arial"/>
        </w:rPr>
        <w:t>5</w:t>
      </w:r>
      <w:r w:rsidR="00D9319C">
        <w:rPr>
          <w:rFonts w:ascii="Arial" w:hAnsi="Arial" w:cs="Arial"/>
        </w:rPr>
        <w:t>,</w:t>
      </w:r>
      <w:r w:rsidR="00D9319C" w:rsidRPr="00D9319C">
        <w:rPr>
          <w:rFonts w:ascii="Arial" w:hAnsi="Arial" w:cs="Arial"/>
        </w:rPr>
        <w:t>228</w:t>
      </w:r>
      <w:r w:rsidR="00D9319C">
        <w:rPr>
          <w:rFonts w:ascii="Arial" w:hAnsi="Arial" w:cs="Arial"/>
        </w:rPr>
        <w:t xml:space="preserve"> patients</w:t>
      </w:r>
      <w:r w:rsidR="0015182C">
        <w:rPr>
          <w:rFonts w:ascii="Arial" w:hAnsi="Arial" w:cs="Arial"/>
        </w:rPr>
        <w:t xml:space="preserve">; which </w:t>
      </w:r>
      <w:r w:rsidR="00D9319C" w:rsidRPr="00D9319C">
        <w:rPr>
          <w:rFonts w:ascii="Arial" w:hAnsi="Arial" w:cs="Arial"/>
        </w:rPr>
        <w:t>3</w:t>
      </w:r>
      <w:r w:rsidR="00D9319C">
        <w:rPr>
          <w:rFonts w:ascii="Arial" w:hAnsi="Arial" w:cs="Arial"/>
        </w:rPr>
        <w:t>,</w:t>
      </w:r>
      <w:r w:rsidR="00D9319C" w:rsidRPr="00D9319C">
        <w:rPr>
          <w:rFonts w:ascii="Arial" w:hAnsi="Arial" w:cs="Arial"/>
        </w:rPr>
        <w:t>921</w:t>
      </w:r>
      <w:r w:rsidR="00D9319C">
        <w:rPr>
          <w:rFonts w:ascii="Arial" w:hAnsi="Arial" w:cs="Arial"/>
        </w:rPr>
        <w:t xml:space="preserve"> </w:t>
      </w:r>
      <w:r w:rsidR="0015182C">
        <w:rPr>
          <w:rFonts w:ascii="Arial" w:hAnsi="Arial" w:cs="Arial"/>
        </w:rPr>
        <w:t xml:space="preserve">are </w:t>
      </w:r>
      <w:r w:rsidR="00D9319C">
        <w:rPr>
          <w:rFonts w:ascii="Arial" w:hAnsi="Arial" w:cs="Arial"/>
        </w:rPr>
        <w:t xml:space="preserve">patients in </w:t>
      </w:r>
      <w:r w:rsidR="0015182C">
        <w:rPr>
          <w:rFonts w:ascii="Arial" w:hAnsi="Arial" w:cs="Arial"/>
        </w:rPr>
        <w:t xml:space="preserve">the </w:t>
      </w:r>
      <w:r w:rsidR="00D9319C">
        <w:rPr>
          <w:rFonts w:ascii="Arial" w:hAnsi="Arial" w:cs="Arial"/>
        </w:rPr>
        <w:t xml:space="preserve">control group and </w:t>
      </w:r>
      <w:r w:rsidR="00D9319C" w:rsidRPr="00D9319C">
        <w:rPr>
          <w:rFonts w:ascii="Arial" w:hAnsi="Arial" w:cs="Arial"/>
        </w:rPr>
        <w:t>1</w:t>
      </w:r>
      <w:r w:rsidR="00D9319C">
        <w:rPr>
          <w:rFonts w:ascii="Arial" w:hAnsi="Arial" w:cs="Arial"/>
        </w:rPr>
        <w:t>,</w:t>
      </w:r>
      <w:r w:rsidR="00D9319C" w:rsidRPr="00D9319C">
        <w:rPr>
          <w:rFonts w:ascii="Arial" w:hAnsi="Arial" w:cs="Arial"/>
        </w:rPr>
        <w:t>307</w:t>
      </w:r>
      <w:r w:rsidR="00D9319C">
        <w:rPr>
          <w:rFonts w:ascii="Arial" w:hAnsi="Arial" w:cs="Arial"/>
        </w:rPr>
        <w:t xml:space="preserve"> </w:t>
      </w:r>
      <w:r w:rsidR="0015182C">
        <w:rPr>
          <w:rFonts w:ascii="Arial" w:hAnsi="Arial" w:cs="Arial"/>
        </w:rPr>
        <w:t xml:space="preserve">are </w:t>
      </w:r>
      <w:r w:rsidR="00D9319C">
        <w:rPr>
          <w:rFonts w:ascii="Arial" w:hAnsi="Arial" w:cs="Arial"/>
        </w:rPr>
        <w:t xml:space="preserve">patients in </w:t>
      </w:r>
      <w:r w:rsidR="0015182C">
        <w:rPr>
          <w:rFonts w:ascii="Arial" w:hAnsi="Arial" w:cs="Arial"/>
        </w:rPr>
        <w:t xml:space="preserve">the </w:t>
      </w:r>
      <w:r w:rsidR="00D9319C">
        <w:rPr>
          <w:rFonts w:ascii="Arial" w:hAnsi="Arial" w:cs="Arial"/>
        </w:rPr>
        <w:t>case group.</w:t>
      </w:r>
      <w:r w:rsidR="0015182C">
        <w:rPr>
          <w:rFonts w:ascii="Arial" w:hAnsi="Arial" w:cs="Arial"/>
        </w:rPr>
        <w:t xml:space="preserve"> A</w:t>
      </w:r>
      <w:r w:rsidRPr="008F39F5">
        <w:rPr>
          <w:rFonts w:ascii="Arial" w:hAnsi="Arial" w:cs="Arial"/>
        </w:rPr>
        <w:t xml:space="preserve">ll subjects </w:t>
      </w:r>
      <w:r w:rsidR="0015182C">
        <w:rPr>
          <w:rFonts w:ascii="Arial" w:hAnsi="Arial" w:cs="Arial"/>
        </w:rPr>
        <w:t>(</w:t>
      </w:r>
      <w:r w:rsidRPr="008F39F5">
        <w:rPr>
          <w:rFonts w:ascii="Arial" w:hAnsi="Arial" w:cs="Arial"/>
        </w:rPr>
        <w:t>both sexes) aged 18 years</w:t>
      </w:r>
      <w:r w:rsidR="00F71E4D">
        <w:rPr>
          <w:rFonts w:ascii="Arial" w:hAnsi="Arial" w:cs="Arial"/>
        </w:rPr>
        <w:t xml:space="preserve"> old</w:t>
      </w:r>
      <w:r w:rsidRPr="008F39F5">
        <w:rPr>
          <w:rFonts w:ascii="Arial" w:hAnsi="Arial" w:cs="Arial"/>
        </w:rPr>
        <w:t xml:space="preserve"> and older with COVID-19 registered on the SINOLAVE system platform</w:t>
      </w:r>
      <w:r w:rsidR="007C5FDD">
        <w:rPr>
          <w:rFonts w:ascii="Arial" w:hAnsi="Arial" w:cs="Arial"/>
        </w:rPr>
        <w:t xml:space="preserve"> </w:t>
      </w:r>
      <w:r w:rsidR="007C5FDD" w:rsidRPr="007C5FDD">
        <w:rPr>
          <w:rFonts w:ascii="Arial" w:hAnsi="Arial" w:cs="Arial"/>
        </w:rPr>
        <w:t xml:space="preserve">were selected. The study </w:t>
      </w:r>
      <w:r w:rsidR="00F71E4D">
        <w:rPr>
          <w:rFonts w:ascii="Arial" w:hAnsi="Arial" w:cs="Arial"/>
        </w:rPr>
        <w:t>population was</w:t>
      </w:r>
      <w:r w:rsidR="007C5FDD">
        <w:rPr>
          <w:rFonts w:ascii="Arial" w:hAnsi="Arial" w:cs="Arial"/>
        </w:rPr>
        <w:t xml:space="preserve"> divided into </w:t>
      </w:r>
      <w:r w:rsidR="007C5FDD" w:rsidRPr="007C5FDD">
        <w:rPr>
          <w:rFonts w:ascii="Arial" w:hAnsi="Arial" w:cs="Arial"/>
        </w:rPr>
        <w:t xml:space="preserve">two </w:t>
      </w:r>
      <w:r w:rsidR="007C5FDD">
        <w:rPr>
          <w:rFonts w:ascii="Arial" w:hAnsi="Arial" w:cs="Arial"/>
        </w:rPr>
        <w:t>g</w:t>
      </w:r>
      <w:r w:rsidR="007C5FDD" w:rsidRPr="007C5FDD">
        <w:rPr>
          <w:rFonts w:ascii="Arial" w:hAnsi="Arial" w:cs="Arial"/>
        </w:rPr>
        <w:t>roups:</w:t>
      </w:r>
    </w:p>
    <w:p w14:paraId="476598AD" w14:textId="77777777" w:rsidR="007C5FDD" w:rsidRPr="007C5FDD" w:rsidRDefault="007C5FDD" w:rsidP="007C5FDD">
      <w:pPr>
        <w:pStyle w:val="Body"/>
        <w:spacing w:after="0"/>
        <w:rPr>
          <w:rFonts w:ascii="Arial" w:hAnsi="Arial" w:cs="Arial"/>
        </w:rPr>
      </w:pPr>
    </w:p>
    <w:p w14:paraId="1F9EED7E" w14:textId="0EDC8480" w:rsidR="007C5FDD" w:rsidRPr="007C5FDD" w:rsidRDefault="007C5FDD" w:rsidP="007C5FDD">
      <w:pPr>
        <w:pStyle w:val="Body"/>
        <w:numPr>
          <w:ilvl w:val="0"/>
          <w:numId w:val="32"/>
        </w:numPr>
        <w:spacing w:after="0"/>
        <w:rPr>
          <w:rFonts w:ascii="Arial" w:hAnsi="Arial" w:cs="Arial"/>
        </w:rPr>
      </w:pPr>
      <w:r w:rsidRPr="007C5FDD">
        <w:rPr>
          <w:rFonts w:ascii="Arial" w:hAnsi="Arial" w:cs="Arial"/>
        </w:rPr>
        <w:t xml:space="preserve">Cases: </w:t>
      </w:r>
      <w:r>
        <w:rPr>
          <w:rFonts w:ascii="Arial" w:hAnsi="Arial" w:cs="Arial"/>
        </w:rPr>
        <w:t>p</w:t>
      </w:r>
      <w:r w:rsidRPr="007C5FDD">
        <w:rPr>
          <w:rFonts w:ascii="Arial" w:hAnsi="Arial" w:cs="Arial"/>
        </w:rPr>
        <w:t>atients who received nirmatrelvir/ritonavir as part of their treatment</w:t>
      </w:r>
      <w:r>
        <w:rPr>
          <w:rFonts w:ascii="Arial" w:hAnsi="Arial" w:cs="Arial"/>
        </w:rPr>
        <w:t>, and</w:t>
      </w:r>
    </w:p>
    <w:p w14:paraId="2F09C541" w14:textId="77777777" w:rsidR="007C5FDD" w:rsidRPr="007C5FDD" w:rsidRDefault="007C5FDD" w:rsidP="007C5FDD">
      <w:pPr>
        <w:pStyle w:val="Body"/>
        <w:spacing w:after="0"/>
        <w:rPr>
          <w:rFonts w:ascii="Arial" w:hAnsi="Arial" w:cs="Arial"/>
        </w:rPr>
      </w:pPr>
    </w:p>
    <w:p w14:paraId="24E11739" w14:textId="178AE73A" w:rsidR="007C5FDD" w:rsidRPr="007C5FDD" w:rsidRDefault="007C5FDD" w:rsidP="007C5FDD">
      <w:pPr>
        <w:pStyle w:val="Body"/>
        <w:numPr>
          <w:ilvl w:val="0"/>
          <w:numId w:val="32"/>
        </w:numPr>
        <w:spacing w:after="0"/>
        <w:rPr>
          <w:rFonts w:ascii="Arial" w:hAnsi="Arial" w:cs="Arial"/>
        </w:rPr>
      </w:pPr>
      <w:r w:rsidRPr="007C5FDD">
        <w:rPr>
          <w:rFonts w:ascii="Arial" w:hAnsi="Arial" w:cs="Arial"/>
        </w:rPr>
        <w:t xml:space="preserve">Controls: </w:t>
      </w:r>
      <w:r>
        <w:rPr>
          <w:rFonts w:ascii="Arial" w:hAnsi="Arial" w:cs="Arial"/>
        </w:rPr>
        <w:t>p</w:t>
      </w:r>
      <w:r w:rsidRPr="007C5FDD">
        <w:rPr>
          <w:rFonts w:ascii="Arial" w:hAnsi="Arial" w:cs="Arial"/>
        </w:rPr>
        <w:t>atients who received only symptomatic management without antiviral treatment (</w:t>
      </w:r>
      <w:r>
        <w:rPr>
          <w:rFonts w:ascii="Arial" w:hAnsi="Arial" w:cs="Arial"/>
        </w:rPr>
        <w:t xml:space="preserve">except </w:t>
      </w:r>
      <w:r w:rsidRPr="007C5FDD">
        <w:rPr>
          <w:rFonts w:ascii="Arial" w:hAnsi="Arial" w:cs="Arial"/>
        </w:rPr>
        <w:t>31 patients treated with oseltamivir).</w:t>
      </w:r>
    </w:p>
    <w:p w14:paraId="6A44998E" w14:textId="77777777" w:rsidR="007C5FDD" w:rsidRDefault="007C5FDD" w:rsidP="007C5FDD">
      <w:pPr>
        <w:pStyle w:val="Body"/>
        <w:spacing w:after="0"/>
        <w:rPr>
          <w:rFonts w:ascii="Arial" w:hAnsi="Arial" w:cs="Arial"/>
        </w:rPr>
      </w:pPr>
    </w:p>
    <w:p w14:paraId="6594F159" w14:textId="4A41DA3F" w:rsidR="00D8176A" w:rsidRDefault="00D8176A" w:rsidP="007C5FDD">
      <w:pPr>
        <w:pStyle w:val="Body"/>
        <w:spacing w:after="0"/>
        <w:rPr>
          <w:rFonts w:ascii="Arial" w:hAnsi="Arial" w:cs="Arial"/>
        </w:rPr>
      </w:pPr>
      <w:r>
        <w:rPr>
          <w:rFonts w:ascii="Arial" w:hAnsi="Arial" w:cs="Arial"/>
        </w:rPr>
        <w:t xml:space="preserve">We included all patients treated with </w:t>
      </w:r>
      <w:r w:rsidRPr="007C5FDD">
        <w:rPr>
          <w:rFonts w:ascii="Arial" w:hAnsi="Arial" w:cs="Arial"/>
        </w:rPr>
        <w:t>nirmatrelvir/ritonavir</w:t>
      </w:r>
      <w:r>
        <w:rPr>
          <w:rFonts w:ascii="Arial" w:hAnsi="Arial" w:cs="Arial"/>
        </w:rPr>
        <w:t xml:space="preserve"> and three controls per case. </w:t>
      </w:r>
      <w:r w:rsidRPr="00D8176A">
        <w:rPr>
          <w:rFonts w:ascii="Arial" w:hAnsi="Arial" w:cs="Arial"/>
        </w:rPr>
        <w:t xml:space="preserve">The control group was selected using simple random sampling, ensuring that each eligible patient had an equal chance of being chosen. </w:t>
      </w:r>
      <w:r w:rsidR="00F71E4D">
        <w:rPr>
          <w:rFonts w:ascii="Arial" w:hAnsi="Arial" w:cs="Arial"/>
        </w:rPr>
        <w:t>Besides, r</w:t>
      </w:r>
      <w:r w:rsidRPr="00D8176A">
        <w:rPr>
          <w:rFonts w:ascii="Arial" w:hAnsi="Arial" w:cs="Arial"/>
        </w:rPr>
        <w:t>andom number generation was used to achieve an unbiased selection of patients into control group.</w:t>
      </w:r>
    </w:p>
    <w:p w14:paraId="3B5FA7BD" w14:textId="77777777" w:rsidR="00D8176A" w:rsidRPr="007C5FDD" w:rsidRDefault="00D8176A" w:rsidP="007C5FDD">
      <w:pPr>
        <w:pStyle w:val="Body"/>
        <w:spacing w:after="0"/>
        <w:rPr>
          <w:rFonts w:ascii="Arial" w:hAnsi="Arial" w:cs="Arial"/>
        </w:rPr>
      </w:pPr>
    </w:p>
    <w:p w14:paraId="64C3D119" w14:textId="133DF206" w:rsidR="007C5FDD" w:rsidRPr="007C5FDD" w:rsidRDefault="007C5FDD" w:rsidP="007C5FDD">
      <w:pPr>
        <w:pStyle w:val="Body"/>
        <w:spacing w:after="0"/>
        <w:rPr>
          <w:rFonts w:ascii="Arial" w:hAnsi="Arial" w:cs="Arial"/>
        </w:rPr>
      </w:pPr>
      <w:r w:rsidRPr="007C5FDD">
        <w:rPr>
          <w:rFonts w:ascii="Arial" w:hAnsi="Arial" w:cs="Arial"/>
        </w:rPr>
        <w:t>Inclusion criteria include: adult patients (≥18 years</w:t>
      </w:r>
      <w:r w:rsidR="00F71E4D">
        <w:rPr>
          <w:rFonts w:ascii="Arial" w:hAnsi="Arial" w:cs="Arial"/>
        </w:rPr>
        <w:t xml:space="preserve"> old</w:t>
      </w:r>
      <w:r w:rsidRPr="007C5FDD">
        <w:rPr>
          <w:rFonts w:ascii="Arial" w:hAnsi="Arial" w:cs="Arial"/>
        </w:rPr>
        <w:t>) with laboratory-confirmed COVID-19, and with documented clinical status at the time of diagnosis (mild, moderate, or severe disease).</w:t>
      </w:r>
      <w:r>
        <w:rPr>
          <w:rFonts w:ascii="Arial" w:hAnsi="Arial" w:cs="Arial"/>
        </w:rPr>
        <w:t xml:space="preserve"> </w:t>
      </w:r>
      <w:r w:rsidRPr="007C5FDD">
        <w:rPr>
          <w:rFonts w:ascii="Arial" w:hAnsi="Arial" w:cs="Arial"/>
        </w:rPr>
        <w:t xml:space="preserve">Patients treated in </w:t>
      </w:r>
      <w:r w:rsidR="00F71E4D">
        <w:rPr>
          <w:rFonts w:ascii="Arial" w:hAnsi="Arial" w:cs="Arial"/>
        </w:rPr>
        <w:t>outpatient or hospital settings with no</w:t>
      </w:r>
      <w:r w:rsidRPr="007C5FDD">
        <w:rPr>
          <w:rFonts w:ascii="Arial" w:hAnsi="Arial" w:cs="Arial"/>
        </w:rPr>
        <w:t xml:space="preserve"> prior use of antiviral therapy for the current infection.</w:t>
      </w:r>
    </w:p>
    <w:p w14:paraId="4739973B" w14:textId="77777777" w:rsidR="007C5FDD" w:rsidRPr="007C5FDD" w:rsidRDefault="007C5FDD" w:rsidP="007C5FDD">
      <w:pPr>
        <w:pStyle w:val="Body"/>
        <w:spacing w:after="0"/>
        <w:rPr>
          <w:rFonts w:ascii="Arial" w:hAnsi="Arial" w:cs="Arial"/>
        </w:rPr>
      </w:pPr>
    </w:p>
    <w:p w14:paraId="076B8289" w14:textId="3A859A3E" w:rsidR="007C5FDD" w:rsidRPr="007C5FDD" w:rsidRDefault="007C5FDD" w:rsidP="007C5FDD">
      <w:pPr>
        <w:pStyle w:val="Body"/>
        <w:spacing w:after="0"/>
        <w:rPr>
          <w:rFonts w:ascii="Arial" w:hAnsi="Arial" w:cs="Arial"/>
        </w:rPr>
      </w:pPr>
      <w:r w:rsidRPr="007C5FDD">
        <w:rPr>
          <w:rFonts w:ascii="Arial" w:hAnsi="Arial" w:cs="Arial"/>
        </w:rPr>
        <w:t>Exclusion criteria included: patients with contraindications to nirmatr</w:t>
      </w:r>
      <w:r w:rsidR="00F71E4D">
        <w:rPr>
          <w:rFonts w:ascii="Arial" w:hAnsi="Arial" w:cs="Arial"/>
        </w:rPr>
        <w:t>elvir/ritonavir or oseltamivir as well as i</w:t>
      </w:r>
      <w:r w:rsidRPr="007C5FDD">
        <w:rPr>
          <w:rFonts w:ascii="Arial" w:hAnsi="Arial" w:cs="Arial"/>
        </w:rPr>
        <w:t>ndividuals with incomplete medical records.</w:t>
      </w:r>
    </w:p>
    <w:p w14:paraId="427B7BEA" w14:textId="77777777" w:rsidR="007C5FDD" w:rsidRPr="007C5FDD" w:rsidRDefault="007C5FDD" w:rsidP="007C5FDD">
      <w:pPr>
        <w:pStyle w:val="Body"/>
        <w:spacing w:after="0"/>
        <w:rPr>
          <w:rFonts w:ascii="Arial" w:hAnsi="Arial" w:cs="Arial"/>
        </w:rPr>
      </w:pPr>
    </w:p>
    <w:p w14:paraId="332A0142" w14:textId="174769CB" w:rsidR="00C751D3" w:rsidRPr="008F39F5" w:rsidRDefault="007C5FDD" w:rsidP="007C5FDD">
      <w:pPr>
        <w:pStyle w:val="Body"/>
        <w:spacing w:after="0"/>
        <w:rPr>
          <w:rFonts w:ascii="Arial" w:hAnsi="Arial" w:cs="Arial"/>
        </w:rPr>
      </w:pPr>
      <w:r w:rsidRPr="007C5FDD">
        <w:rPr>
          <w:rFonts w:ascii="Arial" w:hAnsi="Arial" w:cs="Arial"/>
        </w:rPr>
        <w:t>Clinical and demographic data will be collected retrospectively from medical records, including:</w:t>
      </w:r>
      <w:r w:rsidR="00615779">
        <w:rPr>
          <w:rFonts w:ascii="Arial" w:hAnsi="Arial" w:cs="Arial"/>
        </w:rPr>
        <w:t xml:space="preserve"> a</w:t>
      </w:r>
      <w:r w:rsidRPr="007C5FDD">
        <w:rPr>
          <w:rFonts w:ascii="Arial" w:hAnsi="Arial" w:cs="Arial"/>
        </w:rPr>
        <w:t>ge, sex, comorbi</w:t>
      </w:r>
      <w:r w:rsidR="00542ED6">
        <w:rPr>
          <w:rFonts w:ascii="Arial" w:hAnsi="Arial" w:cs="Arial"/>
        </w:rPr>
        <w:t>dities, and vaccination status as well as s</w:t>
      </w:r>
      <w:r w:rsidR="00615779">
        <w:rPr>
          <w:rFonts w:ascii="Arial" w:hAnsi="Arial" w:cs="Arial"/>
        </w:rPr>
        <w:t xml:space="preserve">ign and symptoms, </w:t>
      </w:r>
      <w:r w:rsidRPr="007C5FDD">
        <w:rPr>
          <w:rFonts w:ascii="Arial" w:hAnsi="Arial" w:cs="Arial"/>
        </w:rPr>
        <w:t xml:space="preserve">Severity of </w:t>
      </w:r>
      <w:r w:rsidR="00615779">
        <w:rPr>
          <w:rFonts w:ascii="Arial" w:hAnsi="Arial" w:cs="Arial"/>
        </w:rPr>
        <w:t xml:space="preserve">COVID-19 </w:t>
      </w:r>
      <w:r w:rsidRPr="007C5FDD">
        <w:rPr>
          <w:rFonts w:ascii="Arial" w:hAnsi="Arial" w:cs="Arial"/>
        </w:rPr>
        <w:t xml:space="preserve">at diagnosis. </w:t>
      </w:r>
      <w:r w:rsidR="00542ED6">
        <w:rPr>
          <w:rFonts w:ascii="Arial" w:hAnsi="Arial" w:cs="Arial"/>
        </w:rPr>
        <w:t xml:space="preserve">The </w:t>
      </w:r>
      <w:r w:rsidRPr="007C5FDD">
        <w:rPr>
          <w:rFonts w:ascii="Arial" w:hAnsi="Arial" w:cs="Arial"/>
        </w:rPr>
        <w:t>Treatment received (</w:t>
      </w:r>
      <w:r w:rsidR="00615779" w:rsidRPr="007C5FDD">
        <w:rPr>
          <w:rFonts w:ascii="Arial" w:hAnsi="Arial" w:cs="Arial"/>
        </w:rPr>
        <w:t xml:space="preserve">nirmatrelvir/ritonavir </w:t>
      </w:r>
      <w:r w:rsidRPr="007C5FDD">
        <w:rPr>
          <w:rFonts w:ascii="Arial" w:hAnsi="Arial" w:cs="Arial"/>
        </w:rPr>
        <w:t xml:space="preserve">vs. symptomatic management). Clinical outcomes: </w:t>
      </w:r>
      <w:bookmarkStart w:id="0" w:name="_Hlk190373640"/>
      <w:r w:rsidRPr="007C5FDD">
        <w:rPr>
          <w:rFonts w:ascii="Arial" w:hAnsi="Arial" w:cs="Arial"/>
        </w:rPr>
        <w:t>mortality, hospital</w:t>
      </w:r>
      <w:r w:rsidR="00615779">
        <w:rPr>
          <w:rFonts w:ascii="Arial" w:hAnsi="Arial" w:cs="Arial"/>
        </w:rPr>
        <w:t xml:space="preserve"> admission</w:t>
      </w:r>
      <w:r w:rsidRPr="007C5FDD">
        <w:rPr>
          <w:rFonts w:ascii="Arial" w:hAnsi="Arial" w:cs="Arial"/>
        </w:rPr>
        <w:t>, disease progression to clinical improvement</w:t>
      </w:r>
      <w:bookmarkEnd w:id="0"/>
      <w:r w:rsidRPr="007C5FDD">
        <w:rPr>
          <w:rFonts w:ascii="Arial" w:hAnsi="Arial" w:cs="Arial"/>
        </w:rPr>
        <w:t>.</w:t>
      </w:r>
      <w:r w:rsidR="00615779">
        <w:rPr>
          <w:rFonts w:ascii="Arial" w:hAnsi="Arial" w:cs="Arial"/>
        </w:rPr>
        <w:t xml:space="preserve"> </w:t>
      </w:r>
      <w:r w:rsidR="00653EF8" w:rsidRPr="008F39F5">
        <w:rPr>
          <w:rFonts w:ascii="Arial" w:hAnsi="Arial" w:cs="Arial"/>
        </w:rPr>
        <w:t xml:space="preserve">The collected data was stored in an Excel workbook, which served as the statistical database for subsequent analysis. This procedure ensured the accuracy, quality, and reliability of the extracted data, </w:t>
      </w:r>
      <w:r w:rsidR="00542ED6">
        <w:rPr>
          <w:rFonts w:ascii="Arial" w:hAnsi="Arial" w:cs="Arial"/>
        </w:rPr>
        <w:t>in order to support</w:t>
      </w:r>
      <w:r w:rsidR="00653EF8" w:rsidRPr="008F39F5">
        <w:rPr>
          <w:rFonts w:ascii="Arial" w:hAnsi="Arial" w:cs="Arial"/>
        </w:rPr>
        <w:t xml:space="preserve"> the integrity of our study’s findings.</w:t>
      </w:r>
    </w:p>
    <w:p w14:paraId="03824599" w14:textId="77777777" w:rsidR="00C751D3" w:rsidRPr="008F39F5" w:rsidRDefault="00C751D3" w:rsidP="007C5FDD">
      <w:pPr>
        <w:pStyle w:val="Body"/>
        <w:spacing w:after="0"/>
        <w:rPr>
          <w:rFonts w:ascii="Arial" w:hAnsi="Arial" w:cs="Arial"/>
          <w:b/>
          <w:u w:val="single"/>
        </w:rPr>
      </w:pPr>
    </w:p>
    <w:p w14:paraId="6A17E490" w14:textId="42D51C3B" w:rsidR="00C751D3" w:rsidRPr="008F39F5" w:rsidRDefault="00C751D3" w:rsidP="007C5FDD">
      <w:pPr>
        <w:pStyle w:val="Body"/>
        <w:spacing w:after="0"/>
        <w:rPr>
          <w:rFonts w:ascii="Arial" w:hAnsi="Arial" w:cs="Arial"/>
          <w:b/>
          <w:caps/>
          <w:sz w:val="22"/>
        </w:rPr>
      </w:pPr>
      <w:r w:rsidRPr="008F39F5">
        <w:rPr>
          <w:rFonts w:ascii="Arial" w:hAnsi="Arial" w:cs="Arial"/>
          <w:b/>
          <w:caps/>
          <w:sz w:val="22"/>
        </w:rPr>
        <w:t>2.</w:t>
      </w:r>
      <w:r w:rsidR="00D43034" w:rsidRPr="008F39F5">
        <w:rPr>
          <w:rFonts w:ascii="Arial" w:hAnsi="Arial" w:cs="Arial"/>
          <w:b/>
          <w:caps/>
          <w:sz w:val="22"/>
        </w:rPr>
        <w:t>3</w:t>
      </w:r>
      <w:r w:rsidRPr="008F39F5">
        <w:rPr>
          <w:rFonts w:ascii="Arial" w:hAnsi="Arial" w:cs="Arial"/>
          <w:b/>
          <w:caps/>
          <w:sz w:val="22"/>
        </w:rPr>
        <w:t xml:space="preserve"> </w:t>
      </w:r>
      <w:r w:rsidR="00232064" w:rsidRPr="008F39F5">
        <w:rPr>
          <w:rFonts w:ascii="Arial" w:hAnsi="Arial" w:cs="Arial"/>
          <w:b/>
          <w:sz w:val="22"/>
        </w:rPr>
        <w:t>Statistical analysis.</w:t>
      </w:r>
    </w:p>
    <w:p w14:paraId="26CBD717" w14:textId="57004AB4" w:rsidR="00232064" w:rsidRDefault="00232064" w:rsidP="007C5FDD">
      <w:pPr>
        <w:pStyle w:val="Body"/>
        <w:spacing w:after="0"/>
        <w:rPr>
          <w:rFonts w:ascii="Arial" w:hAnsi="Arial" w:cs="Arial"/>
        </w:rPr>
      </w:pPr>
      <w:r w:rsidRPr="008F39F5">
        <w:rPr>
          <w:rFonts w:ascii="Arial" w:hAnsi="Arial" w:cs="Arial"/>
        </w:rPr>
        <w:t>The categorical variables are described as absolute frequency and percentage, and quantitative variables as mean, standard deviation (SD), and interquartile range (IQR). Confidence Interval 95% (CI95%) was included.</w:t>
      </w:r>
      <w:r w:rsidR="003C7465" w:rsidRPr="008F39F5">
        <w:t xml:space="preserve"> </w:t>
      </w:r>
      <w:r w:rsidR="003C7465" w:rsidRPr="008F39F5">
        <w:rPr>
          <w:rFonts w:ascii="Arial" w:hAnsi="Arial" w:cs="Arial"/>
        </w:rPr>
        <w:t>Categorical variables were compared using Yates' corrected chi-square (</w:t>
      </w:r>
      <w:r w:rsidR="003C7465" w:rsidRPr="008F39F5">
        <w:rPr>
          <w:rFonts w:ascii="Arial" w:hAnsi="Arial" w:cs="Arial"/>
          <w:i/>
          <w:iCs/>
        </w:rPr>
        <w:t>X</w:t>
      </w:r>
      <w:r w:rsidR="003C7465" w:rsidRPr="008F39F5">
        <w:rPr>
          <w:rFonts w:ascii="Arial" w:hAnsi="Arial" w:cs="Arial"/>
          <w:i/>
          <w:iCs/>
          <w:vertAlign w:val="superscript"/>
        </w:rPr>
        <w:t>2</w:t>
      </w:r>
      <w:r w:rsidR="003C7465" w:rsidRPr="008F39F5">
        <w:rPr>
          <w:rFonts w:ascii="Arial" w:hAnsi="Arial" w:cs="Arial"/>
        </w:rPr>
        <w:t xml:space="preserve">) test and likelihood ratio, as appropriate. Quantitative variables were compared using the Mann-Whitney U test or Student's T test as </w:t>
      </w:r>
      <w:bookmarkStart w:id="1" w:name="_Hlk190553935"/>
      <w:r w:rsidR="003C7465" w:rsidRPr="008F39F5">
        <w:rPr>
          <w:rFonts w:ascii="Arial" w:hAnsi="Arial" w:cs="Arial"/>
        </w:rPr>
        <w:t>appropriate</w:t>
      </w:r>
      <w:bookmarkEnd w:id="1"/>
      <w:r w:rsidR="003C7465" w:rsidRPr="008F39F5">
        <w:rPr>
          <w:rFonts w:ascii="Arial" w:hAnsi="Arial" w:cs="Arial"/>
        </w:rPr>
        <w:t>. A P value &lt; 0.05 (two-tailed test) was considered significant.</w:t>
      </w:r>
    </w:p>
    <w:p w14:paraId="1772D240" w14:textId="77777777" w:rsidR="00615A5E" w:rsidRDefault="00615A5E" w:rsidP="007C5FDD">
      <w:pPr>
        <w:pStyle w:val="Body"/>
        <w:spacing w:after="0"/>
        <w:rPr>
          <w:rFonts w:ascii="Arial" w:hAnsi="Arial" w:cs="Arial"/>
        </w:rPr>
      </w:pPr>
    </w:p>
    <w:p w14:paraId="7C4329FB" w14:textId="6E78FAE4" w:rsidR="00615A5E" w:rsidRPr="0054404D" w:rsidRDefault="00EF4025" w:rsidP="00615A5E">
      <w:pPr>
        <w:pStyle w:val="Body"/>
        <w:spacing w:after="0"/>
        <w:rPr>
          <w:rFonts w:ascii="Arial" w:hAnsi="Arial" w:cs="Arial"/>
        </w:rPr>
      </w:pPr>
      <w:r>
        <w:rPr>
          <w:rFonts w:ascii="Arial" w:hAnsi="Arial" w:cs="Arial"/>
        </w:rPr>
        <w:t>In order t</w:t>
      </w:r>
      <w:r w:rsidR="00615A5E" w:rsidRPr="00A22575">
        <w:rPr>
          <w:rFonts w:ascii="Arial" w:hAnsi="Arial" w:cs="Arial"/>
        </w:rPr>
        <w:t xml:space="preserve">o assess the association between </w:t>
      </w:r>
      <w:r w:rsidR="00615A5E">
        <w:rPr>
          <w:rFonts w:ascii="Arial" w:hAnsi="Arial" w:cs="Arial"/>
        </w:rPr>
        <w:t>clinical outcomes of COVID-19 (</w:t>
      </w:r>
      <w:r w:rsidR="00615A5E" w:rsidRPr="00615A5E">
        <w:rPr>
          <w:rFonts w:ascii="Arial" w:hAnsi="Arial" w:cs="Arial"/>
        </w:rPr>
        <w:t>mortality, hospital admission, disease progression to clinical improvement</w:t>
      </w:r>
      <w:r w:rsidR="00615A5E">
        <w:rPr>
          <w:rFonts w:ascii="Arial" w:hAnsi="Arial" w:cs="Arial"/>
        </w:rPr>
        <w:t xml:space="preserve">) and the efficacy of </w:t>
      </w:r>
      <w:r w:rsidR="00615A5E" w:rsidRPr="007C5FDD">
        <w:rPr>
          <w:rFonts w:ascii="Arial" w:hAnsi="Arial" w:cs="Arial"/>
        </w:rPr>
        <w:t>nirmatrelvir/ritonavir</w:t>
      </w:r>
      <w:r w:rsidR="00615A5E">
        <w:rPr>
          <w:rFonts w:ascii="Arial" w:hAnsi="Arial" w:cs="Arial"/>
        </w:rPr>
        <w:t xml:space="preserve"> treatment</w:t>
      </w:r>
      <w:r w:rsidR="00615A5E" w:rsidRPr="007C5FDD">
        <w:rPr>
          <w:rFonts w:ascii="Arial" w:hAnsi="Arial" w:cs="Arial"/>
        </w:rPr>
        <w:t xml:space="preserve"> v</w:t>
      </w:r>
      <w:r w:rsidR="00615A5E">
        <w:rPr>
          <w:rFonts w:ascii="Arial" w:hAnsi="Arial" w:cs="Arial"/>
        </w:rPr>
        <w:t>ersus</w:t>
      </w:r>
      <w:r w:rsidR="00615A5E" w:rsidRPr="007C5FDD">
        <w:rPr>
          <w:rFonts w:ascii="Arial" w:hAnsi="Arial" w:cs="Arial"/>
        </w:rPr>
        <w:t>. symptomatic management</w:t>
      </w:r>
      <w:r w:rsidR="00615A5E">
        <w:rPr>
          <w:rFonts w:ascii="Arial" w:hAnsi="Arial" w:cs="Arial"/>
        </w:rPr>
        <w:t xml:space="preserve"> logistic regression models</w:t>
      </w:r>
      <w:r>
        <w:rPr>
          <w:rFonts w:ascii="Arial" w:hAnsi="Arial" w:cs="Arial"/>
        </w:rPr>
        <w:t xml:space="preserve"> </w:t>
      </w:r>
      <w:r>
        <w:rPr>
          <w:rFonts w:ascii="Arial" w:hAnsi="Arial" w:cs="Arial"/>
        </w:rPr>
        <w:lastRenderedPageBreak/>
        <w:t>were calculated where r</w:t>
      </w:r>
      <w:r w:rsidR="00615A5E">
        <w:rPr>
          <w:rFonts w:ascii="Arial" w:hAnsi="Arial" w:cs="Arial"/>
        </w:rPr>
        <w:t xml:space="preserve">egression logistic models included numerical variables such as </w:t>
      </w:r>
      <w:r w:rsidR="00615A5E" w:rsidRPr="00A22575">
        <w:rPr>
          <w:rFonts w:ascii="Arial" w:hAnsi="Arial" w:cs="Arial"/>
        </w:rPr>
        <w:t xml:space="preserve">age and dichotomous </w:t>
      </w:r>
      <w:r w:rsidR="00615A5E">
        <w:rPr>
          <w:rFonts w:ascii="Arial" w:hAnsi="Arial" w:cs="Arial"/>
        </w:rPr>
        <w:t xml:space="preserve">variables </w:t>
      </w:r>
      <w:r w:rsidR="00615A5E" w:rsidRPr="00A22575">
        <w:rPr>
          <w:rFonts w:ascii="Arial" w:hAnsi="Arial" w:cs="Arial"/>
        </w:rPr>
        <w:t xml:space="preserve">(sex, </w:t>
      </w:r>
      <w:r w:rsidR="00615A5E">
        <w:rPr>
          <w:rFonts w:ascii="Arial" w:hAnsi="Arial" w:cs="Arial"/>
        </w:rPr>
        <w:t>co</w:t>
      </w:r>
      <w:r w:rsidR="00615A5E" w:rsidRPr="00A22575">
        <w:rPr>
          <w:rFonts w:ascii="Arial" w:hAnsi="Arial" w:cs="Arial"/>
        </w:rPr>
        <w:t>morbidities)</w:t>
      </w:r>
      <w:r w:rsidR="00615A5E">
        <w:rPr>
          <w:rFonts w:ascii="Arial" w:hAnsi="Arial" w:cs="Arial"/>
        </w:rPr>
        <w:t xml:space="preserve">. </w:t>
      </w:r>
      <w:r>
        <w:rPr>
          <w:rFonts w:ascii="Arial" w:hAnsi="Arial" w:cs="Arial"/>
        </w:rPr>
        <w:t>Therefore, w</w:t>
      </w:r>
      <w:r w:rsidR="00615A5E">
        <w:rPr>
          <w:rFonts w:ascii="Arial" w:hAnsi="Arial" w:cs="Arial"/>
        </w:rPr>
        <w:t>e</w:t>
      </w:r>
      <w:r w:rsidR="00615A5E" w:rsidRPr="00A22575">
        <w:rPr>
          <w:rFonts w:ascii="Arial" w:hAnsi="Arial" w:cs="Arial"/>
        </w:rPr>
        <w:t xml:space="preserve"> </w:t>
      </w:r>
      <w:r w:rsidR="00615A5E">
        <w:rPr>
          <w:rFonts w:ascii="Arial" w:hAnsi="Arial" w:cs="Arial"/>
        </w:rPr>
        <w:t>calculated</w:t>
      </w:r>
      <w:r w:rsidR="00615A5E" w:rsidRPr="00A22575">
        <w:rPr>
          <w:rFonts w:ascii="Arial" w:hAnsi="Arial" w:cs="Arial"/>
        </w:rPr>
        <w:t xml:space="preserve"> univariate and multivariate logistic regression models. </w:t>
      </w:r>
      <w:r>
        <w:rPr>
          <w:rFonts w:ascii="Arial" w:hAnsi="Arial" w:cs="Arial"/>
        </w:rPr>
        <w:t>An u</w:t>
      </w:r>
      <w:r w:rsidR="00615A5E" w:rsidRPr="00A22575">
        <w:rPr>
          <w:rFonts w:ascii="Arial" w:hAnsi="Arial" w:cs="Arial"/>
        </w:rPr>
        <w:t>nivariate analysis was performed</w:t>
      </w:r>
      <w:r>
        <w:rPr>
          <w:rFonts w:ascii="Arial" w:hAnsi="Arial" w:cs="Arial"/>
        </w:rPr>
        <w:t xml:space="preserve"> in order</w:t>
      </w:r>
      <w:r w:rsidR="00615A5E" w:rsidRPr="00A22575">
        <w:rPr>
          <w:rFonts w:ascii="Arial" w:hAnsi="Arial" w:cs="Arial"/>
        </w:rPr>
        <w:t xml:space="preserve"> to examine the relationship between individual variables (age, sex, </w:t>
      </w:r>
      <w:r w:rsidR="00615A5E">
        <w:rPr>
          <w:rFonts w:ascii="Arial" w:hAnsi="Arial" w:cs="Arial"/>
        </w:rPr>
        <w:t>co</w:t>
      </w:r>
      <w:r w:rsidR="00615A5E" w:rsidRPr="00A22575">
        <w:rPr>
          <w:rFonts w:ascii="Arial" w:hAnsi="Arial" w:cs="Arial"/>
        </w:rPr>
        <w:t>morbidities) and the presence of COVID-19</w:t>
      </w:r>
      <w:r w:rsidR="00615A5E">
        <w:rPr>
          <w:rFonts w:ascii="Arial" w:hAnsi="Arial" w:cs="Arial"/>
        </w:rPr>
        <w:t xml:space="preserve"> outcomes</w:t>
      </w:r>
      <w:r w:rsidR="00615A5E" w:rsidRPr="00A22575">
        <w:rPr>
          <w:rFonts w:ascii="Arial" w:hAnsi="Arial" w:cs="Arial"/>
        </w:rPr>
        <w:t xml:space="preserve">. </w:t>
      </w:r>
      <w:r w:rsidR="00B615D5" w:rsidRPr="00B615D5">
        <w:rPr>
          <w:rFonts w:ascii="Arial" w:hAnsi="Arial" w:cs="Arial"/>
          <w:highlight w:val="yellow"/>
        </w:rPr>
        <w:t>We included several known factors that have been associated with COVID-19, which have been</w:t>
      </w:r>
      <w:r>
        <w:rPr>
          <w:rFonts w:ascii="Arial" w:hAnsi="Arial" w:cs="Arial"/>
          <w:highlight w:val="yellow"/>
        </w:rPr>
        <w:t xml:space="preserve"> also</w:t>
      </w:r>
      <w:r w:rsidR="00B615D5" w:rsidRPr="00B615D5">
        <w:rPr>
          <w:rFonts w:ascii="Arial" w:hAnsi="Arial" w:cs="Arial"/>
          <w:highlight w:val="yellow"/>
        </w:rPr>
        <w:t xml:space="preserve"> documented in previous studies in different populations </w:t>
      </w:r>
      <w:r w:rsidR="00B615D5" w:rsidRPr="002D00F2">
        <w:rPr>
          <w:rFonts w:ascii="Arial" w:hAnsi="Arial" w:cs="Arial"/>
          <w:highlight w:val="yellow"/>
        </w:rPr>
        <w:t>worldwide.</w:t>
      </w:r>
      <w:r w:rsidR="00D06A13" w:rsidRPr="002D00F2">
        <w:rPr>
          <w:rFonts w:ascii="Arial" w:hAnsi="Arial" w:cs="Arial"/>
          <w:highlight w:val="yellow"/>
        </w:rPr>
        <w:t xml:space="preserve"> </w:t>
      </w:r>
      <w:r w:rsidR="00B615D5" w:rsidRPr="002D00F2">
        <w:rPr>
          <w:rFonts w:ascii="Arial" w:hAnsi="Arial" w:cs="Arial"/>
          <w:highlight w:val="yellow"/>
        </w:rPr>
        <w:t>In addition</w:t>
      </w:r>
      <w:r w:rsidR="00B615D5" w:rsidRPr="00B615D5">
        <w:rPr>
          <w:rFonts w:ascii="Arial" w:hAnsi="Arial" w:cs="Arial"/>
          <w:highlight w:val="yellow"/>
        </w:rPr>
        <w:t>, u</w:t>
      </w:r>
      <w:r w:rsidR="00615A5E" w:rsidRPr="00B615D5">
        <w:rPr>
          <w:rFonts w:ascii="Arial" w:hAnsi="Arial" w:cs="Arial"/>
          <w:highlight w:val="yellow"/>
        </w:rPr>
        <w:t>nivariate</w:t>
      </w:r>
      <w:r w:rsidR="00615A5E" w:rsidRPr="00A22575">
        <w:rPr>
          <w:rFonts w:ascii="Arial" w:hAnsi="Arial" w:cs="Arial"/>
        </w:rPr>
        <w:t xml:space="preserve"> analysis indicated which variables were significantly associated with COVID-19</w:t>
      </w:r>
      <w:r w:rsidR="00615A5E">
        <w:rPr>
          <w:rFonts w:ascii="Arial" w:hAnsi="Arial" w:cs="Arial"/>
        </w:rPr>
        <w:t xml:space="preserve"> outcomes</w:t>
      </w:r>
      <w:r w:rsidR="00615A5E" w:rsidRPr="00A22575">
        <w:rPr>
          <w:rFonts w:ascii="Arial" w:hAnsi="Arial" w:cs="Arial"/>
        </w:rPr>
        <w:t xml:space="preserve"> and provided initial information on potential</w:t>
      </w:r>
      <w:r>
        <w:rPr>
          <w:rFonts w:ascii="Arial" w:hAnsi="Arial" w:cs="Arial"/>
        </w:rPr>
        <w:t xml:space="preserve"> risk or protective factors, however they</w:t>
      </w:r>
      <w:r w:rsidR="00615A5E" w:rsidRPr="00A22575">
        <w:rPr>
          <w:rFonts w:ascii="Arial" w:hAnsi="Arial" w:cs="Arial"/>
        </w:rPr>
        <w:t xml:space="preserve"> did not account for confounding variables.</w:t>
      </w:r>
      <w:r>
        <w:rPr>
          <w:rFonts w:ascii="Arial" w:hAnsi="Arial" w:cs="Arial"/>
        </w:rPr>
        <w:t xml:space="preserve"> A  m</w:t>
      </w:r>
      <w:r w:rsidR="00615A5E" w:rsidRPr="00A22575">
        <w:rPr>
          <w:rFonts w:ascii="Arial" w:hAnsi="Arial" w:cs="Arial"/>
        </w:rPr>
        <w:t>ultivariate logistic regression analysis was performed to identify factors independent</w:t>
      </w:r>
      <w:r>
        <w:rPr>
          <w:rFonts w:ascii="Arial" w:hAnsi="Arial" w:cs="Arial"/>
        </w:rPr>
        <w:t xml:space="preserve">ly from </w:t>
      </w:r>
      <w:r w:rsidR="00615A5E" w:rsidRPr="00A22575">
        <w:rPr>
          <w:rFonts w:ascii="Arial" w:hAnsi="Arial" w:cs="Arial"/>
        </w:rPr>
        <w:t>COVID-19</w:t>
      </w:r>
      <w:r w:rsidR="00615A5E">
        <w:rPr>
          <w:rFonts w:ascii="Arial" w:hAnsi="Arial" w:cs="Arial"/>
        </w:rPr>
        <w:t xml:space="preserve"> outcomes</w:t>
      </w:r>
      <w:r w:rsidR="00615A5E" w:rsidRPr="00A22575">
        <w:rPr>
          <w:rFonts w:ascii="Arial" w:hAnsi="Arial" w:cs="Arial"/>
        </w:rPr>
        <w:t xml:space="preserve">. </w:t>
      </w:r>
      <w:r w:rsidRPr="00A22575">
        <w:rPr>
          <w:rFonts w:ascii="Arial" w:hAnsi="Arial" w:cs="Arial"/>
        </w:rPr>
        <w:t>S</w:t>
      </w:r>
      <w:r w:rsidR="00615A5E" w:rsidRPr="00A22575">
        <w:rPr>
          <w:rFonts w:ascii="Arial" w:hAnsi="Arial" w:cs="Arial"/>
        </w:rPr>
        <w:t>ignificant</w:t>
      </w:r>
      <w:r>
        <w:rPr>
          <w:rFonts w:ascii="Arial" w:hAnsi="Arial" w:cs="Arial"/>
        </w:rPr>
        <w:t xml:space="preserve"> variables</w:t>
      </w:r>
      <w:r w:rsidR="00615A5E" w:rsidRPr="00A22575">
        <w:rPr>
          <w:rFonts w:ascii="Arial" w:hAnsi="Arial" w:cs="Arial"/>
        </w:rPr>
        <w:t xml:space="preserve"> in the univariate analysis were included in the multivariate model. Odds ratios (ORs) and </w:t>
      </w:r>
      <w:r w:rsidR="00615A5E">
        <w:rPr>
          <w:rFonts w:ascii="Arial" w:hAnsi="Arial" w:cs="Arial"/>
        </w:rPr>
        <w:t>CI</w:t>
      </w:r>
      <w:r w:rsidR="00615A5E" w:rsidRPr="00A22575">
        <w:rPr>
          <w:rFonts w:ascii="Arial" w:hAnsi="Arial" w:cs="Arial"/>
        </w:rPr>
        <w:t>95%</w:t>
      </w:r>
      <w:r w:rsidR="00615A5E">
        <w:rPr>
          <w:rFonts w:ascii="Arial" w:hAnsi="Arial" w:cs="Arial"/>
        </w:rPr>
        <w:t xml:space="preserve"> </w:t>
      </w:r>
      <w:r w:rsidR="00615A5E" w:rsidRPr="00A22575">
        <w:rPr>
          <w:rFonts w:ascii="Arial" w:hAnsi="Arial" w:cs="Arial"/>
        </w:rPr>
        <w:t>were calculated to quantify the strength of the associations.</w:t>
      </w:r>
      <w:r>
        <w:rPr>
          <w:rFonts w:ascii="Arial" w:hAnsi="Arial" w:cs="Arial"/>
        </w:rPr>
        <w:t xml:space="preserve"> Thus, this</w:t>
      </w:r>
      <w:r w:rsidR="00615A5E" w:rsidRPr="00A22575">
        <w:rPr>
          <w:rFonts w:ascii="Arial" w:hAnsi="Arial" w:cs="Arial"/>
        </w:rPr>
        <w:t xml:space="preserve"> method allows adjustment for confounding variables and </w:t>
      </w:r>
      <w:r>
        <w:rPr>
          <w:rFonts w:ascii="Arial" w:hAnsi="Arial" w:cs="Arial"/>
        </w:rPr>
        <w:t xml:space="preserve">the </w:t>
      </w:r>
      <w:r w:rsidR="00615A5E" w:rsidRPr="00A22575">
        <w:rPr>
          <w:rFonts w:ascii="Arial" w:hAnsi="Arial" w:cs="Arial"/>
        </w:rPr>
        <w:t xml:space="preserve">identification of independent predictors. </w:t>
      </w:r>
      <w:r>
        <w:rPr>
          <w:rFonts w:ascii="Arial" w:hAnsi="Arial" w:cs="Arial"/>
          <w:highlight w:val="yellow"/>
        </w:rPr>
        <w:t>For this reason</w:t>
      </w:r>
      <w:r w:rsidR="00D06A13" w:rsidRPr="00D06A13">
        <w:rPr>
          <w:rFonts w:ascii="Arial" w:hAnsi="Arial" w:cs="Arial"/>
          <w:highlight w:val="yellow"/>
        </w:rPr>
        <w:t>, w</w:t>
      </w:r>
      <w:r w:rsidR="00720883" w:rsidRPr="00720883">
        <w:rPr>
          <w:rFonts w:ascii="Arial" w:hAnsi="Arial" w:cs="Arial"/>
          <w:highlight w:val="yellow"/>
        </w:rPr>
        <w:t>e adjusted</w:t>
      </w:r>
      <w:r>
        <w:rPr>
          <w:rFonts w:ascii="Arial" w:hAnsi="Arial" w:cs="Arial"/>
          <w:highlight w:val="yellow"/>
        </w:rPr>
        <w:t xml:space="preserve"> it</w:t>
      </w:r>
      <w:r w:rsidR="00720883" w:rsidRPr="00720883">
        <w:rPr>
          <w:rFonts w:ascii="Arial" w:hAnsi="Arial" w:cs="Arial"/>
          <w:highlight w:val="yellow"/>
        </w:rPr>
        <w:t xml:space="preserve"> for the confounding factors in all multivariate logistic regression models</w:t>
      </w:r>
      <w:r w:rsidR="00125785">
        <w:rPr>
          <w:rFonts w:ascii="Arial" w:hAnsi="Arial" w:cs="Arial"/>
          <w:highlight w:val="yellow"/>
        </w:rPr>
        <w:t xml:space="preserve"> </w:t>
      </w:r>
      <w:r w:rsidR="00125785" w:rsidRPr="00125785">
        <w:rPr>
          <w:rFonts w:ascii="Arial" w:hAnsi="Arial" w:cs="Arial"/>
          <w:highlight w:val="yellow"/>
        </w:rPr>
        <w:t>(Pearce 2016)</w:t>
      </w:r>
      <w:r w:rsidR="00720883" w:rsidRPr="00125785">
        <w:rPr>
          <w:rFonts w:ascii="Arial" w:hAnsi="Arial" w:cs="Arial"/>
          <w:highlight w:val="yellow"/>
        </w:rPr>
        <w:t>.</w:t>
      </w:r>
      <w:r w:rsidR="00720883">
        <w:rPr>
          <w:rFonts w:ascii="Arial" w:hAnsi="Arial" w:cs="Arial"/>
        </w:rPr>
        <w:t xml:space="preserve"> </w:t>
      </w:r>
      <w:r w:rsidR="00615A5E" w:rsidRPr="00A22575">
        <w:rPr>
          <w:rFonts w:ascii="Arial" w:hAnsi="Arial" w:cs="Arial"/>
        </w:rPr>
        <w:t>An OR greater than 1 indicated a higher likelihood of COVID-19</w:t>
      </w:r>
      <w:r w:rsidR="00615A5E">
        <w:rPr>
          <w:rFonts w:ascii="Arial" w:hAnsi="Arial" w:cs="Arial"/>
        </w:rPr>
        <w:t xml:space="preserve"> outcomes</w:t>
      </w:r>
      <w:r w:rsidR="00615A5E" w:rsidRPr="00A22575">
        <w:rPr>
          <w:rFonts w:ascii="Arial" w:hAnsi="Arial" w:cs="Arial"/>
        </w:rPr>
        <w:t>, while an OR less than 1 indicated a lower likelihood. The 95%</w:t>
      </w:r>
      <w:r w:rsidR="00615A5E">
        <w:rPr>
          <w:rFonts w:ascii="Arial" w:hAnsi="Arial" w:cs="Arial"/>
        </w:rPr>
        <w:t xml:space="preserve"> </w:t>
      </w:r>
      <w:r w:rsidR="00615A5E" w:rsidRPr="00A22575">
        <w:rPr>
          <w:rFonts w:ascii="Arial" w:hAnsi="Arial" w:cs="Arial"/>
        </w:rPr>
        <w:t>CI provided an estimate of the accuracy of the ORs.</w:t>
      </w:r>
      <w:r w:rsidR="00615A5E">
        <w:rPr>
          <w:rFonts w:ascii="Arial" w:hAnsi="Arial" w:cs="Arial"/>
        </w:rPr>
        <w:t xml:space="preserve"> </w:t>
      </w:r>
      <w:r w:rsidR="00615A5E" w:rsidRPr="0054404D">
        <w:rPr>
          <w:rFonts w:ascii="Arial" w:hAnsi="Arial" w:cs="Arial"/>
        </w:rPr>
        <w:t>A P value &lt; 0.05 (two-tailed test) was considered significant.</w:t>
      </w:r>
    </w:p>
    <w:p w14:paraId="6397E223" w14:textId="77777777" w:rsidR="00615A5E" w:rsidRPr="008F39F5" w:rsidRDefault="00615A5E" w:rsidP="007C5FDD">
      <w:pPr>
        <w:pStyle w:val="Body"/>
        <w:spacing w:after="0"/>
        <w:rPr>
          <w:rFonts w:ascii="Arial" w:hAnsi="Arial" w:cs="Arial"/>
        </w:rPr>
      </w:pPr>
    </w:p>
    <w:p w14:paraId="19491179" w14:textId="21371294" w:rsidR="00C751D3" w:rsidRPr="008F39F5" w:rsidRDefault="00C751D3" w:rsidP="00C751D3">
      <w:pPr>
        <w:pStyle w:val="Body"/>
        <w:spacing w:after="0"/>
        <w:rPr>
          <w:rFonts w:ascii="Arial" w:hAnsi="Arial" w:cs="Arial"/>
          <w:b/>
          <w:caps/>
          <w:sz w:val="22"/>
        </w:rPr>
      </w:pPr>
      <w:r w:rsidRPr="008F39F5">
        <w:rPr>
          <w:rFonts w:ascii="Arial" w:hAnsi="Arial" w:cs="Arial"/>
          <w:b/>
          <w:caps/>
          <w:sz w:val="22"/>
        </w:rPr>
        <w:t>2.</w:t>
      </w:r>
      <w:r w:rsidR="00D43034" w:rsidRPr="008F39F5">
        <w:rPr>
          <w:rFonts w:ascii="Arial" w:hAnsi="Arial" w:cs="Arial"/>
          <w:b/>
          <w:caps/>
          <w:sz w:val="22"/>
        </w:rPr>
        <w:t>4</w:t>
      </w:r>
      <w:r w:rsidRPr="008F39F5">
        <w:rPr>
          <w:rFonts w:ascii="Arial" w:hAnsi="Arial" w:cs="Arial"/>
          <w:b/>
          <w:caps/>
          <w:sz w:val="22"/>
        </w:rPr>
        <w:t xml:space="preserve"> </w:t>
      </w:r>
      <w:r w:rsidR="00232064" w:rsidRPr="008F39F5">
        <w:rPr>
          <w:rFonts w:ascii="Arial" w:hAnsi="Arial" w:cs="Arial"/>
          <w:b/>
          <w:sz w:val="22"/>
        </w:rPr>
        <w:t>Ethical Considerations.</w:t>
      </w:r>
    </w:p>
    <w:p w14:paraId="0D107208" w14:textId="1DAD47AC" w:rsidR="00232064" w:rsidRPr="008F39F5" w:rsidRDefault="00232064" w:rsidP="00232064">
      <w:pPr>
        <w:pStyle w:val="Body"/>
        <w:spacing w:after="0"/>
        <w:rPr>
          <w:rFonts w:ascii="Arial" w:hAnsi="Arial" w:cs="Arial"/>
        </w:rPr>
      </w:pPr>
      <w:r w:rsidRPr="008F39F5">
        <w:rPr>
          <w:rFonts w:ascii="Arial" w:hAnsi="Arial" w:cs="Arial"/>
        </w:rPr>
        <w:t xml:space="preserve">The study was conducted in accordance with the Good Clinical Practice Guidelines of our laws and the Declaration of Helsinki for human experiments. </w:t>
      </w:r>
      <w:r w:rsidR="00B04C47" w:rsidRPr="008F39F5">
        <w:rPr>
          <w:rFonts w:ascii="Arial" w:hAnsi="Arial" w:cs="Arial"/>
        </w:rPr>
        <w:t xml:space="preserve">The protocol was approved by The Local Committee of Health Research 2108 in Zone General Hospital number 20, IMSS (Instituto Mexicano del Seguro Social by its acronyms in Spanish). </w:t>
      </w:r>
      <w:r w:rsidR="004B33C9" w:rsidRPr="008F39F5">
        <w:rPr>
          <w:rFonts w:ascii="Arial" w:hAnsi="Arial" w:cs="Arial"/>
        </w:rPr>
        <w:t xml:space="preserve">COFEPRIS record 19 CI 21 114 054. CONBIOETICA record 21 CEI 001 20201117. </w:t>
      </w:r>
      <w:r w:rsidR="00B04C47" w:rsidRPr="008F39F5">
        <w:rPr>
          <w:rFonts w:ascii="Arial" w:hAnsi="Arial" w:cs="Arial"/>
        </w:rPr>
        <w:t xml:space="preserve">The Data was treated confidentially. Since this study utilized a secondary database, </w:t>
      </w:r>
      <w:r w:rsidR="00EF4025">
        <w:rPr>
          <w:rFonts w:ascii="Arial" w:hAnsi="Arial" w:cs="Arial"/>
        </w:rPr>
        <w:t xml:space="preserve">the </w:t>
      </w:r>
      <w:r w:rsidR="00B04C47" w:rsidRPr="008F39F5">
        <w:rPr>
          <w:rFonts w:ascii="Arial" w:hAnsi="Arial" w:cs="Arial"/>
        </w:rPr>
        <w:t>authorization was obtained from the relevant committee to ensure proper handling of the information in compliance with ethical guidelines.</w:t>
      </w:r>
      <w:r w:rsidR="00EF4025">
        <w:rPr>
          <w:rFonts w:ascii="Arial" w:hAnsi="Arial" w:cs="Arial"/>
        </w:rPr>
        <w:t xml:space="preserve"> In order t</w:t>
      </w:r>
      <w:r w:rsidR="00B04C47" w:rsidRPr="008F39F5">
        <w:rPr>
          <w:rFonts w:ascii="Arial" w:hAnsi="Arial" w:cs="Arial"/>
        </w:rPr>
        <w:t>o guarantee confidentiality, only the principal investigators had access to the complete dataset, including identifiable patient information (e.g., names). The patient names were replaced with unique identification numbers.</w:t>
      </w:r>
      <w:r w:rsidR="00EF4025">
        <w:rPr>
          <w:rFonts w:ascii="Arial" w:hAnsi="Arial" w:cs="Arial"/>
        </w:rPr>
        <w:t xml:space="preserve"> On the other hand, the</w:t>
      </w:r>
      <w:r w:rsidR="00B04C47" w:rsidRPr="008F39F5">
        <w:rPr>
          <w:rFonts w:ascii="Arial" w:hAnsi="Arial" w:cs="Arial"/>
        </w:rPr>
        <w:t xml:space="preserve"> assigned number allows the data to be linked to a specific individual without revealing the individual's identity. </w:t>
      </w:r>
      <w:r w:rsidR="00EF4025">
        <w:rPr>
          <w:rFonts w:ascii="Arial" w:hAnsi="Arial" w:cs="Arial"/>
        </w:rPr>
        <w:t>Thus t</w:t>
      </w:r>
      <w:r w:rsidR="00B04C47" w:rsidRPr="008F39F5">
        <w:rPr>
          <w:rFonts w:ascii="Arial" w:hAnsi="Arial" w:cs="Arial"/>
        </w:rPr>
        <w:t>his approach en</w:t>
      </w:r>
      <w:r w:rsidR="00EF4025">
        <w:rPr>
          <w:rFonts w:ascii="Arial" w:hAnsi="Arial" w:cs="Arial"/>
        </w:rPr>
        <w:t>sured that all patient data was</w:t>
      </w:r>
      <w:r w:rsidR="00B04C47" w:rsidRPr="008F39F5">
        <w:rPr>
          <w:rFonts w:ascii="Arial" w:hAnsi="Arial" w:cs="Arial"/>
        </w:rPr>
        <w:t xml:space="preserve"> handled under ethical standards and maintained the highest level of confidentiality throughout the study. This anonymization was conducted before sharing the dataset for statistical analysis with some researchers. After the statistical analysis, only the proce</w:t>
      </w:r>
      <w:r w:rsidR="00EF4025">
        <w:rPr>
          <w:rFonts w:ascii="Arial" w:hAnsi="Arial" w:cs="Arial"/>
        </w:rPr>
        <w:t>ssed statistical data was</w:t>
      </w:r>
      <w:r w:rsidR="00B04C47" w:rsidRPr="008F39F5">
        <w:rPr>
          <w:rFonts w:ascii="Arial" w:hAnsi="Arial" w:cs="Arial"/>
        </w:rPr>
        <w:t xml:space="preserve"> available to the rest of the research team.</w:t>
      </w:r>
    </w:p>
    <w:p w14:paraId="4B28D732" w14:textId="77777777" w:rsidR="00C751D3" w:rsidRPr="008F39F5" w:rsidRDefault="00C751D3" w:rsidP="00441B6F">
      <w:pPr>
        <w:pStyle w:val="Body"/>
        <w:spacing w:after="0"/>
        <w:rPr>
          <w:rFonts w:ascii="Arial" w:hAnsi="Arial" w:cs="Arial"/>
          <w:b/>
          <w:u w:val="single"/>
        </w:rPr>
      </w:pPr>
    </w:p>
    <w:p w14:paraId="5D6EE891" w14:textId="71B6F797" w:rsidR="00902823" w:rsidRPr="008F39F5" w:rsidRDefault="00000F8F" w:rsidP="00441B6F">
      <w:pPr>
        <w:pStyle w:val="Head1"/>
        <w:spacing w:after="0"/>
        <w:jc w:val="both"/>
        <w:rPr>
          <w:rFonts w:ascii="Arial" w:hAnsi="Arial" w:cs="Arial"/>
        </w:rPr>
      </w:pPr>
      <w:r w:rsidRPr="008F39F5">
        <w:rPr>
          <w:rFonts w:ascii="Arial" w:hAnsi="Arial" w:cs="Arial"/>
        </w:rPr>
        <w:t>3</w:t>
      </w:r>
      <w:r w:rsidR="00902823" w:rsidRPr="008F39F5">
        <w:rPr>
          <w:rFonts w:ascii="Arial" w:hAnsi="Arial" w:cs="Arial"/>
        </w:rPr>
        <w:t xml:space="preserve">. </w:t>
      </w:r>
      <w:r w:rsidRPr="008F39F5">
        <w:rPr>
          <w:rFonts w:ascii="Arial" w:hAnsi="Arial" w:cs="Arial"/>
        </w:rPr>
        <w:t>results and discussion</w:t>
      </w:r>
      <w:r w:rsidR="00034843" w:rsidRPr="008F39F5">
        <w:rPr>
          <w:rFonts w:ascii="Arial" w:hAnsi="Arial" w:cs="Arial"/>
        </w:rPr>
        <w:t>.</w:t>
      </w:r>
    </w:p>
    <w:p w14:paraId="373A8E3C" w14:textId="3B03208F" w:rsidR="00CB46CE" w:rsidRPr="008F39F5" w:rsidRDefault="00CB46CE" w:rsidP="00CB46CE">
      <w:pPr>
        <w:pStyle w:val="Body"/>
        <w:spacing w:after="0"/>
        <w:rPr>
          <w:rFonts w:ascii="Arial" w:hAnsi="Arial" w:cs="Arial"/>
        </w:rPr>
      </w:pPr>
      <w:r w:rsidRPr="008F39F5">
        <w:rPr>
          <w:rFonts w:ascii="Arial" w:hAnsi="Arial" w:cs="Arial"/>
          <w:b/>
          <w:caps/>
          <w:sz w:val="22"/>
        </w:rPr>
        <w:t xml:space="preserve">3.1 </w:t>
      </w:r>
      <w:r w:rsidR="002F0814" w:rsidRPr="008F39F5">
        <w:rPr>
          <w:rFonts w:ascii="Arial" w:hAnsi="Arial" w:cs="Arial"/>
          <w:b/>
          <w:sz w:val="22"/>
        </w:rPr>
        <w:t>Characteristics</w:t>
      </w:r>
      <w:r w:rsidR="002F0814" w:rsidRPr="008F39F5">
        <w:rPr>
          <w:rFonts w:ascii="Arial" w:hAnsi="Arial" w:cs="Arial"/>
          <w:b/>
          <w:caps/>
          <w:sz w:val="22"/>
        </w:rPr>
        <w:t xml:space="preserve"> </w:t>
      </w:r>
      <w:r w:rsidR="002F0814" w:rsidRPr="008F39F5">
        <w:rPr>
          <w:rFonts w:ascii="Arial" w:hAnsi="Arial" w:cs="Arial"/>
          <w:b/>
          <w:sz w:val="22"/>
        </w:rPr>
        <w:t>of</w:t>
      </w:r>
      <w:r w:rsidR="002F0814" w:rsidRPr="008F39F5">
        <w:rPr>
          <w:rFonts w:ascii="Arial" w:hAnsi="Arial" w:cs="Arial"/>
          <w:b/>
          <w:caps/>
          <w:sz w:val="22"/>
        </w:rPr>
        <w:t xml:space="preserve"> </w:t>
      </w:r>
      <w:r w:rsidRPr="008F39F5">
        <w:rPr>
          <w:rFonts w:ascii="Arial" w:hAnsi="Arial" w:cs="Arial"/>
          <w:b/>
          <w:sz w:val="22"/>
        </w:rPr>
        <w:t>the study population.</w:t>
      </w:r>
    </w:p>
    <w:p w14:paraId="10FDD49A" w14:textId="41F4CBC7" w:rsidR="004C0900" w:rsidRDefault="002F0814" w:rsidP="004C0900">
      <w:pPr>
        <w:pStyle w:val="Body"/>
        <w:spacing w:after="0"/>
        <w:rPr>
          <w:rFonts w:ascii="Arial" w:hAnsi="Arial" w:cs="Arial"/>
        </w:rPr>
      </w:pPr>
      <w:r w:rsidRPr="008F39F5">
        <w:rPr>
          <w:rFonts w:ascii="Arial" w:hAnsi="Arial" w:cs="Arial"/>
        </w:rPr>
        <w:t xml:space="preserve">We included </w:t>
      </w:r>
      <w:r w:rsidR="000D4C97" w:rsidRPr="000D4C97">
        <w:rPr>
          <w:rFonts w:ascii="Arial" w:hAnsi="Arial" w:cs="Arial"/>
        </w:rPr>
        <w:t>5,228</w:t>
      </w:r>
      <w:r w:rsidR="00DB60CE" w:rsidRPr="008F39F5">
        <w:rPr>
          <w:rFonts w:ascii="Arial" w:hAnsi="Arial" w:cs="Arial"/>
        </w:rPr>
        <w:t xml:space="preserve"> </w:t>
      </w:r>
      <w:r w:rsidR="00D25DAB" w:rsidRPr="008F39F5">
        <w:rPr>
          <w:rFonts w:ascii="Arial" w:hAnsi="Arial" w:cs="Arial"/>
        </w:rPr>
        <w:t>patients</w:t>
      </w:r>
      <w:r w:rsidR="00D159D0" w:rsidRPr="008F39F5">
        <w:t xml:space="preserve"> with COVID-19</w:t>
      </w:r>
      <w:r w:rsidRPr="008F39F5">
        <w:rPr>
          <w:rFonts w:ascii="Arial" w:hAnsi="Arial" w:cs="Arial"/>
        </w:rPr>
        <w:t xml:space="preserve">. </w:t>
      </w:r>
      <w:r w:rsidR="00D159D0" w:rsidRPr="008F39F5">
        <w:rPr>
          <w:rFonts w:ascii="Arial" w:hAnsi="Arial" w:cs="Arial"/>
        </w:rPr>
        <w:t>T</w:t>
      </w:r>
      <w:r w:rsidR="004A5D11" w:rsidRPr="008F39F5">
        <w:t>he average age was 4</w:t>
      </w:r>
      <w:r w:rsidR="000D4C97">
        <w:t>1</w:t>
      </w:r>
      <w:r w:rsidR="004A5D11" w:rsidRPr="008F39F5">
        <w:t>.</w:t>
      </w:r>
      <w:r w:rsidR="000D4C97">
        <w:t>19</w:t>
      </w:r>
      <w:r w:rsidR="004A5D11" w:rsidRPr="008F39F5">
        <w:t xml:space="preserve"> years old (SD=1</w:t>
      </w:r>
      <w:r w:rsidR="000D4C97">
        <w:t>5</w:t>
      </w:r>
      <w:r w:rsidR="004A5D11" w:rsidRPr="008F39F5">
        <w:t>.</w:t>
      </w:r>
      <w:r w:rsidR="000D4C97">
        <w:t>17</w:t>
      </w:r>
      <w:r w:rsidR="004A5D11" w:rsidRPr="008F39F5">
        <w:t>, range=</w:t>
      </w:r>
      <w:r w:rsidR="00320175" w:rsidRPr="008F39F5">
        <w:t>81</w:t>
      </w:r>
      <w:r w:rsidR="004A5D11" w:rsidRPr="008F39F5">
        <w:t>, minimum age=</w:t>
      </w:r>
      <w:r w:rsidR="00320175" w:rsidRPr="008F39F5">
        <w:t>18</w:t>
      </w:r>
      <w:r w:rsidR="004A5D11" w:rsidRPr="008F39F5">
        <w:t>, maximum age=</w:t>
      </w:r>
      <w:r w:rsidR="00320175" w:rsidRPr="008F39F5">
        <w:t>99</w:t>
      </w:r>
      <w:r w:rsidR="004A5D11" w:rsidRPr="008F39F5">
        <w:t xml:space="preserve"> years old, median age=</w:t>
      </w:r>
      <w:r w:rsidR="00320175" w:rsidRPr="008F39F5">
        <w:t>3</w:t>
      </w:r>
      <w:r w:rsidR="00AD02BB">
        <w:t>9</w:t>
      </w:r>
      <w:r w:rsidR="004A5D11" w:rsidRPr="008F39F5">
        <w:t xml:space="preserve"> [IQR=</w:t>
      </w:r>
      <w:r w:rsidR="00320175" w:rsidRPr="008F39F5">
        <w:t>2</w:t>
      </w:r>
      <w:r w:rsidR="00AD02BB">
        <w:t>9</w:t>
      </w:r>
      <w:r w:rsidR="004A5D11" w:rsidRPr="008F39F5">
        <w:t>-5</w:t>
      </w:r>
      <w:r w:rsidR="00AD02BB">
        <w:t>1</w:t>
      </w:r>
      <w:r w:rsidR="00D26D16" w:rsidRPr="008F39F5">
        <w:t>] years old</w:t>
      </w:r>
      <w:r w:rsidR="00383524">
        <w:t>)</w:t>
      </w:r>
      <w:r w:rsidR="004A5D11" w:rsidRPr="008F39F5">
        <w:t>.</w:t>
      </w:r>
      <w:r w:rsidR="00425788" w:rsidRPr="008F39F5">
        <w:t xml:space="preserve"> </w:t>
      </w:r>
      <w:r w:rsidR="00320175" w:rsidRPr="008F39F5">
        <w:t>T</w:t>
      </w:r>
      <w:r w:rsidR="004C0900" w:rsidRPr="008F39F5">
        <w:rPr>
          <w:rFonts w:ascii="Arial" w:hAnsi="Arial" w:cs="Arial"/>
        </w:rPr>
        <w:t xml:space="preserve">he median age was higher in </w:t>
      </w:r>
      <w:r w:rsidR="00AD02BB">
        <w:rPr>
          <w:rFonts w:ascii="Arial" w:hAnsi="Arial" w:cs="Arial"/>
        </w:rPr>
        <w:t>cases group</w:t>
      </w:r>
      <w:r w:rsidR="004C0900" w:rsidRPr="008F39F5">
        <w:rPr>
          <w:rFonts w:ascii="Arial" w:hAnsi="Arial" w:cs="Arial"/>
        </w:rPr>
        <w:t xml:space="preserve"> (</w:t>
      </w:r>
      <w:r w:rsidR="00AD02BB">
        <w:rPr>
          <w:rFonts w:ascii="Arial" w:hAnsi="Arial" w:cs="Arial"/>
        </w:rPr>
        <w:t>41</w:t>
      </w:r>
      <w:r w:rsidR="004C0900" w:rsidRPr="008F39F5">
        <w:rPr>
          <w:rFonts w:ascii="Arial" w:hAnsi="Arial" w:cs="Arial"/>
        </w:rPr>
        <w:t xml:space="preserve"> years old, IQR=</w:t>
      </w:r>
      <w:r w:rsidR="00AD02BB">
        <w:rPr>
          <w:rFonts w:ascii="Arial" w:hAnsi="Arial" w:cs="Arial"/>
        </w:rPr>
        <w:t>31</w:t>
      </w:r>
      <w:r w:rsidR="004C0900" w:rsidRPr="008F39F5">
        <w:rPr>
          <w:rFonts w:ascii="Arial" w:hAnsi="Arial" w:cs="Arial"/>
        </w:rPr>
        <w:t>-</w:t>
      </w:r>
      <w:r w:rsidR="00AB0D32" w:rsidRPr="008F39F5">
        <w:rPr>
          <w:rFonts w:ascii="Arial" w:hAnsi="Arial" w:cs="Arial"/>
        </w:rPr>
        <w:t>5</w:t>
      </w:r>
      <w:r w:rsidR="00AD02BB">
        <w:rPr>
          <w:rFonts w:ascii="Arial" w:hAnsi="Arial" w:cs="Arial"/>
        </w:rPr>
        <w:t>2</w:t>
      </w:r>
      <w:r w:rsidR="004C0900" w:rsidRPr="008F39F5">
        <w:rPr>
          <w:rFonts w:ascii="Arial" w:hAnsi="Arial" w:cs="Arial"/>
        </w:rPr>
        <w:t>, range=</w:t>
      </w:r>
      <w:r w:rsidR="00CF4C98" w:rsidRPr="008F39F5">
        <w:rPr>
          <w:rFonts w:ascii="Arial" w:hAnsi="Arial" w:cs="Arial"/>
        </w:rPr>
        <w:t>81</w:t>
      </w:r>
      <w:r w:rsidR="004C0900" w:rsidRPr="008F39F5">
        <w:rPr>
          <w:rFonts w:ascii="Arial" w:hAnsi="Arial" w:cs="Arial"/>
        </w:rPr>
        <w:t xml:space="preserve"> years old, minimum age=</w:t>
      </w:r>
      <w:r w:rsidR="00CF4C98" w:rsidRPr="008F39F5">
        <w:rPr>
          <w:rFonts w:ascii="Arial" w:hAnsi="Arial" w:cs="Arial"/>
        </w:rPr>
        <w:t>18</w:t>
      </w:r>
      <w:r w:rsidR="004C0900" w:rsidRPr="008F39F5">
        <w:rPr>
          <w:rFonts w:ascii="Arial" w:hAnsi="Arial" w:cs="Arial"/>
        </w:rPr>
        <w:t xml:space="preserve"> years old, maximum age=</w:t>
      </w:r>
      <w:r w:rsidR="00CF4C98" w:rsidRPr="008F39F5">
        <w:rPr>
          <w:rFonts w:ascii="Arial" w:hAnsi="Arial" w:cs="Arial"/>
        </w:rPr>
        <w:t>99</w:t>
      </w:r>
      <w:r w:rsidR="004C0900" w:rsidRPr="008F39F5">
        <w:rPr>
          <w:rFonts w:ascii="Arial" w:hAnsi="Arial" w:cs="Arial"/>
        </w:rPr>
        <w:t xml:space="preserve"> years old) compared to </w:t>
      </w:r>
      <w:r w:rsidR="00AD02BB">
        <w:rPr>
          <w:rFonts w:ascii="Arial" w:hAnsi="Arial" w:cs="Arial"/>
        </w:rPr>
        <w:t>control group</w:t>
      </w:r>
      <w:r w:rsidR="004C0900" w:rsidRPr="008F39F5">
        <w:rPr>
          <w:rFonts w:ascii="Arial" w:hAnsi="Arial" w:cs="Arial"/>
        </w:rPr>
        <w:t xml:space="preserve"> (</w:t>
      </w:r>
      <w:r w:rsidR="00CF4C98" w:rsidRPr="008F39F5">
        <w:rPr>
          <w:rFonts w:ascii="Arial" w:hAnsi="Arial" w:cs="Arial"/>
        </w:rPr>
        <w:t>3</w:t>
      </w:r>
      <w:r w:rsidR="00AD02BB">
        <w:rPr>
          <w:rFonts w:ascii="Arial" w:hAnsi="Arial" w:cs="Arial"/>
        </w:rPr>
        <w:t>8</w:t>
      </w:r>
      <w:r w:rsidR="004C0900" w:rsidRPr="008F39F5">
        <w:rPr>
          <w:rFonts w:ascii="Arial" w:hAnsi="Arial" w:cs="Arial"/>
        </w:rPr>
        <w:t>.00 years old, IQR=</w:t>
      </w:r>
      <w:r w:rsidR="00CF4C98" w:rsidRPr="008F39F5">
        <w:rPr>
          <w:rFonts w:ascii="Arial" w:hAnsi="Arial" w:cs="Arial"/>
        </w:rPr>
        <w:t>28</w:t>
      </w:r>
      <w:r w:rsidR="004C0900" w:rsidRPr="008F39F5">
        <w:rPr>
          <w:rFonts w:ascii="Arial" w:hAnsi="Arial" w:cs="Arial"/>
        </w:rPr>
        <w:t>-</w:t>
      </w:r>
      <w:r w:rsidR="00AD02BB">
        <w:rPr>
          <w:rFonts w:ascii="Arial" w:hAnsi="Arial" w:cs="Arial"/>
        </w:rPr>
        <w:t>50</w:t>
      </w:r>
      <w:r w:rsidR="004C0900" w:rsidRPr="008F39F5">
        <w:rPr>
          <w:rFonts w:ascii="Arial" w:hAnsi="Arial" w:cs="Arial"/>
        </w:rPr>
        <w:t>, range=</w:t>
      </w:r>
      <w:r w:rsidR="00AD02BB">
        <w:rPr>
          <w:rFonts w:ascii="Arial" w:hAnsi="Arial" w:cs="Arial"/>
        </w:rPr>
        <w:t>81</w:t>
      </w:r>
      <w:r w:rsidR="004C0900" w:rsidRPr="008F39F5">
        <w:rPr>
          <w:rFonts w:ascii="Arial" w:hAnsi="Arial" w:cs="Arial"/>
        </w:rPr>
        <w:t xml:space="preserve"> years old, minimum age=</w:t>
      </w:r>
      <w:r w:rsidR="00BD7D54" w:rsidRPr="008F39F5">
        <w:rPr>
          <w:rFonts w:ascii="Arial" w:hAnsi="Arial" w:cs="Arial"/>
        </w:rPr>
        <w:t>18-year-old</w:t>
      </w:r>
      <w:r w:rsidR="004C0900" w:rsidRPr="008F39F5">
        <w:rPr>
          <w:rFonts w:ascii="Arial" w:hAnsi="Arial" w:cs="Arial"/>
        </w:rPr>
        <w:t>, maximum age=</w:t>
      </w:r>
      <w:r w:rsidR="00AB0D32" w:rsidRPr="008F39F5">
        <w:rPr>
          <w:rFonts w:ascii="Arial" w:hAnsi="Arial" w:cs="Arial"/>
        </w:rPr>
        <w:t>9</w:t>
      </w:r>
      <w:r w:rsidR="00AD02BB">
        <w:rPr>
          <w:rFonts w:ascii="Arial" w:hAnsi="Arial" w:cs="Arial"/>
        </w:rPr>
        <w:t>9</w:t>
      </w:r>
      <w:r w:rsidR="004C0900" w:rsidRPr="008F39F5">
        <w:rPr>
          <w:rFonts w:ascii="Arial" w:hAnsi="Arial" w:cs="Arial"/>
        </w:rPr>
        <w:t xml:space="preserve"> years old; p</w:t>
      </w:r>
      <w:r w:rsidR="00CF4C98" w:rsidRPr="008F39F5">
        <w:rPr>
          <w:rFonts w:ascii="Arial" w:hAnsi="Arial" w:cs="Arial"/>
        </w:rPr>
        <w:t>&lt;</w:t>
      </w:r>
      <w:r w:rsidR="004C0900" w:rsidRPr="008F39F5">
        <w:rPr>
          <w:rFonts w:ascii="Arial" w:hAnsi="Arial" w:cs="Arial"/>
        </w:rPr>
        <w:t>0.00</w:t>
      </w:r>
      <w:r w:rsidR="00AB0D32" w:rsidRPr="008F39F5">
        <w:rPr>
          <w:rFonts w:ascii="Arial" w:hAnsi="Arial" w:cs="Arial"/>
        </w:rPr>
        <w:t>1</w:t>
      </w:r>
      <w:r w:rsidR="004C0900" w:rsidRPr="008F39F5">
        <w:rPr>
          <w:rFonts w:ascii="Arial" w:hAnsi="Arial" w:cs="Arial"/>
        </w:rPr>
        <w:t>, Median Test between independent groups).</w:t>
      </w:r>
    </w:p>
    <w:p w14:paraId="29A35D77" w14:textId="77777777" w:rsidR="000D4C97" w:rsidRDefault="000D4C97" w:rsidP="004C0900">
      <w:pPr>
        <w:pStyle w:val="Body"/>
        <w:spacing w:after="0"/>
        <w:rPr>
          <w:rFonts w:ascii="Arial" w:hAnsi="Arial" w:cs="Arial"/>
        </w:rPr>
      </w:pPr>
    </w:p>
    <w:p w14:paraId="4C525C13" w14:textId="5A1464C4" w:rsidR="000D4C97" w:rsidRDefault="000D4C97" w:rsidP="00873F35">
      <w:pPr>
        <w:pStyle w:val="Body"/>
        <w:spacing w:after="0"/>
        <w:rPr>
          <w:rFonts w:ascii="Arial" w:hAnsi="Arial" w:cs="Arial"/>
        </w:rPr>
      </w:pPr>
      <w:r w:rsidRPr="000D4C97">
        <w:rPr>
          <w:rFonts w:ascii="Arial" w:hAnsi="Arial" w:cs="Arial"/>
        </w:rPr>
        <w:t>The proportions of females and males are similar across both groups, indicating no significant difference in sex distribution between cases and controls. However, the employment rate is higher among cases than the control group.</w:t>
      </w:r>
      <w:r>
        <w:rPr>
          <w:rFonts w:ascii="Arial" w:hAnsi="Arial" w:cs="Arial"/>
        </w:rPr>
        <w:t xml:space="preserve"> </w:t>
      </w:r>
      <w:r w:rsidRPr="000D4C97">
        <w:rPr>
          <w:rFonts w:ascii="Arial" w:hAnsi="Arial" w:cs="Arial"/>
        </w:rPr>
        <w:t>Outpatient admission is the predominant mode of healthcare access. Over 90% of the total population receives ambulatory care, but this proportion is notably higher among cases than controls. In contrast, hospital admissions are generally low, yet significantly lower a</w:t>
      </w:r>
      <w:r w:rsidR="00097B24">
        <w:rPr>
          <w:rFonts w:ascii="Arial" w:hAnsi="Arial" w:cs="Arial"/>
        </w:rPr>
        <w:t>mong cases compared to controls where</w:t>
      </w:r>
      <w:r>
        <w:rPr>
          <w:rFonts w:ascii="Arial" w:hAnsi="Arial" w:cs="Arial"/>
        </w:rPr>
        <w:t xml:space="preserve"> </w:t>
      </w:r>
      <w:r w:rsidR="00097B24">
        <w:rPr>
          <w:rFonts w:ascii="Arial" w:hAnsi="Arial" w:cs="Arial"/>
        </w:rPr>
        <w:t>a</w:t>
      </w:r>
      <w:r w:rsidRPr="000D4C97">
        <w:rPr>
          <w:rFonts w:ascii="Arial" w:hAnsi="Arial" w:cs="Arial"/>
        </w:rPr>
        <w:t>t least 15% of the total population had a COVID-</w:t>
      </w:r>
      <w:r w:rsidR="00097B24" w:rsidRPr="000D4C97">
        <w:rPr>
          <w:rFonts w:ascii="Arial" w:hAnsi="Arial" w:cs="Arial"/>
        </w:rPr>
        <w:t xml:space="preserve">19 </w:t>
      </w:r>
      <w:r w:rsidR="00097B24">
        <w:rPr>
          <w:rFonts w:ascii="Arial" w:hAnsi="Arial" w:cs="Arial"/>
        </w:rPr>
        <w:t>vaccination history</w:t>
      </w:r>
      <w:r w:rsidRPr="000D4C97">
        <w:rPr>
          <w:rFonts w:ascii="Arial" w:hAnsi="Arial" w:cs="Arial"/>
        </w:rPr>
        <w:t xml:space="preserve">. Although this rate is slightly lower </w:t>
      </w:r>
      <w:r w:rsidRPr="000D4C97">
        <w:rPr>
          <w:rFonts w:ascii="Arial" w:hAnsi="Arial" w:cs="Arial"/>
        </w:rPr>
        <w:lastRenderedPageBreak/>
        <w:t>among cases than controls, the difference is minimal and not statistically significant.</w:t>
      </w:r>
      <w:r w:rsidR="00097B24">
        <w:rPr>
          <w:rFonts w:ascii="Arial" w:hAnsi="Arial" w:cs="Arial"/>
        </w:rPr>
        <w:t xml:space="preserve"> A voluntary</w:t>
      </w:r>
      <w:r w:rsidRPr="000D4C97">
        <w:rPr>
          <w:rFonts w:ascii="Arial" w:hAnsi="Arial" w:cs="Arial"/>
        </w:rPr>
        <w:t xml:space="preserve"> discharge is exceptionally rare (0.1%), with very few cases opting to leave medical care prematurely.</w:t>
      </w:r>
      <w:r>
        <w:rPr>
          <w:rFonts w:ascii="Arial" w:hAnsi="Arial" w:cs="Arial"/>
        </w:rPr>
        <w:t xml:space="preserve"> </w:t>
      </w:r>
      <w:r w:rsidR="00097B24">
        <w:rPr>
          <w:rFonts w:ascii="Arial" w:hAnsi="Arial" w:cs="Arial"/>
        </w:rPr>
        <w:t xml:space="preserve"> Thus, h</w:t>
      </w:r>
      <w:r w:rsidRPr="000D4C97">
        <w:rPr>
          <w:rFonts w:ascii="Arial" w:hAnsi="Arial" w:cs="Arial"/>
        </w:rPr>
        <w:t>ospital referrals were extremely rare in both groups, indicating that very few patients required escalation to a higher level of care</w:t>
      </w:r>
      <w:r w:rsidR="00E173DA">
        <w:rPr>
          <w:rFonts w:ascii="Arial" w:hAnsi="Arial" w:cs="Arial"/>
        </w:rPr>
        <w:t xml:space="preserve"> </w:t>
      </w:r>
      <w:r>
        <w:rPr>
          <w:rFonts w:ascii="Arial" w:hAnsi="Arial" w:cs="Arial"/>
        </w:rPr>
        <w:t>(table 2)</w:t>
      </w:r>
      <w:r w:rsidRPr="000D4C97">
        <w:rPr>
          <w:rFonts w:ascii="Arial" w:hAnsi="Arial" w:cs="Arial"/>
        </w:rPr>
        <w:t>.</w:t>
      </w:r>
    </w:p>
    <w:p w14:paraId="57478936" w14:textId="77777777" w:rsidR="002F5454" w:rsidRDefault="002F5454" w:rsidP="00873F35">
      <w:pPr>
        <w:pStyle w:val="Body"/>
        <w:spacing w:after="0"/>
        <w:rPr>
          <w:rFonts w:ascii="Arial" w:hAnsi="Arial" w:cs="Arial"/>
        </w:rPr>
      </w:pPr>
    </w:p>
    <w:p w14:paraId="743DF6FD" w14:textId="38E0B39C" w:rsidR="002F5454" w:rsidRPr="00873F35" w:rsidRDefault="002F5454" w:rsidP="00873F35">
      <w:pPr>
        <w:tabs>
          <w:tab w:val="left" w:pos="1080"/>
        </w:tabs>
        <w:jc w:val="both"/>
        <w:rPr>
          <w:rFonts w:ascii="Arial" w:hAnsi="Arial"/>
          <w:b/>
          <w:sz w:val="22"/>
          <w:szCs w:val="22"/>
        </w:rPr>
      </w:pPr>
      <w:r w:rsidRPr="00873F35">
        <w:rPr>
          <w:rFonts w:ascii="Arial" w:hAnsi="Arial"/>
          <w:b/>
          <w:sz w:val="22"/>
          <w:szCs w:val="22"/>
        </w:rPr>
        <w:t>Table 2.</w:t>
      </w:r>
      <w:r w:rsidRPr="00873F35">
        <w:rPr>
          <w:rFonts w:ascii="Arial" w:hAnsi="Arial"/>
          <w:b/>
          <w:sz w:val="22"/>
          <w:szCs w:val="22"/>
        </w:rPr>
        <w:tab/>
        <w:t>Sociodemographic</w:t>
      </w:r>
      <w:r w:rsidR="000D4C97" w:rsidRPr="00873F35">
        <w:rPr>
          <w:rFonts w:ascii="Arial" w:hAnsi="Arial"/>
          <w:b/>
          <w:sz w:val="22"/>
          <w:szCs w:val="22"/>
        </w:rPr>
        <w:t>,</w:t>
      </w:r>
      <w:r w:rsidRPr="00873F35">
        <w:rPr>
          <w:rFonts w:ascii="Arial" w:hAnsi="Arial"/>
          <w:b/>
          <w:sz w:val="22"/>
          <w:szCs w:val="22"/>
        </w:rPr>
        <w:t xml:space="preserve"> </w:t>
      </w:r>
      <w:r w:rsidR="000D4C97" w:rsidRPr="00873F35">
        <w:rPr>
          <w:rFonts w:ascii="Arial" w:hAnsi="Arial"/>
          <w:b/>
          <w:sz w:val="22"/>
          <w:szCs w:val="22"/>
        </w:rPr>
        <w:t>C</w:t>
      </w:r>
      <w:r w:rsidRPr="00873F35">
        <w:rPr>
          <w:rFonts w:ascii="Arial" w:hAnsi="Arial"/>
          <w:b/>
          <w:sz w:val="22"/>
          <w:szCs w:val="22"/>
        </w:rPr>
        <w:t xml:space="preserve">linical </w:t>
      </w:r>
      <w:r w:rsidR="000D4C97" w:rsidRPr="00873F35">
        <w:rPr>
          <w:rFonts w:ascii="Arial" w:hAnsi="Arial"/>
          <w:b/>
          <w:sz w:val="22"/>
          <w:szCs w:val="22"/>
        </w:rPr>
        <w:t>F</w:t>
      </w:r>
      <w:r w:rsidRPr="00873F35">
        <w:rPr>
          <w:rFonts w:ascii="Arial" w:hAnsi="Arial"/>
          <w:b/>
          <w:sz w:val="22"/>
          <w:szCs w:val="22"/>
        </w:rPr>
        <w:t xml:space="preserve">eatures </w:t>
      </w:r>
      <w:r w:rsidR="000D4C97" w:rsidRPr="00873F35">
        <w:rPr>
          <w:rFonts w:ascii="Arial" w:hAnsi="Arial"/>
          <w:b/>
          <w:sz w:val="22"/>
          <w:szCs w:val="22"/>
        </w:rPr>
        <w:t xml:space="preserve">and Healthcare Access Characteristics </w:t>
      </w:r>
      <w:r w:rsidRPr="00873F35">
        <w:rPr>
          <w:rFonts w:ascii="Arial" w:hAnsi="Arial"/>
          <w:b/>
          <w:sz w:val="22"/>
          <w:szCs w:val="22"/>
        </w:rPr>
        <w:t>of the study population</w:t>
      </w:r>
    </w:p>
    <w:tbl>
      <w:tblPr>
        <w:tblW w:w="0" w:type="auto"/>
        <w:tblCellSpacing w:w="15" w:type="dxa"/>
        <w:tblBorders>
          <w:top w:val="single" w:sz="4" w:space="0" w:color="auto"/>
          <w:bottom w:val="single" w:sz="4" w:space="0" w:color="auto"/>
        </w:tblBorders>
        <w:tblLook w:val="04A0" w:firstRow="1" w:lastRow="0" w:firstColumn="1" w:lastColumn="0" w:noHBand="0" w:noVBand="1"/>
      </w:tblPr>
      <w:tblGrid>
        <w:gridCol w:w="1560"/>
        <w:gridCol w:w="2126"/>
        <w:gridCol w:w="2126"/>
        <w:gridCol w:w="2396"/>
      </w:tblGrid>
      <w:tr w:rsidR="002F5454" w:rsidRPr="002F5454" w14:paraId="6DF69F59" w14:textId="77777777" w:rsidTr="002F5454">
        <w:trPr>
          <w:tblHeader/>
          <w:tblCellSpacing w:w="15" w:type="dxa"/>
        </w:trPr>
        <w:tc>
          <w:tcPr>
            <w:tcW w:w="1515" w:type="dxa"/>
            <w:tcMar>
              <w:top w:w="15" w:type="dxa"/>
              <w:left w:w="15" w:type="dxa"/>
              <w:bottom w:w="15" w:type="dxa"/>
              <w:right w:w="15" w:type="dxa"/>
            </w:tcMar>
            <w:vAlign w:val="center"/>
            <w:hideMark/>
          </w:tcPr>
          <w:p w14:paraId="6FC2FD68" w14:textId="77777777" w:rsidR="002F5454" w:rsidRPr="002F5454" w:rsidRDefault="002F5454" w:rsidP="002F5454">
            <w:pPr>
              <w:pStyle w:val="Body"/>
              <w:spacing w:after="0"/>
              <w:rPr>
                <w:rFonts w:ascii="Arial" w:hAnsi="Arial" w:cs="Arial"/>
              </w:rPr>
            </w:pPr>
            <w:bookmarkStart w:id="2" w:name="_Hlk190529832"/>
          </w:p>
        </w:tc>
        <w:tc>
          <w:tcPr>
            <w:tcW w:w="2096" w:type="dxa"/>
            <w:tcMar>
              <w:top w:w="15" w:type="dxa"/>
              <w:left w:w="15" w:type="dxa"/>
              <w:bottom w:w="15" w:type="dxa"/>
              <w:right w:w="15" w:type="dxa"/>
            </w:tcMar>
            <w:vAlign w:val="center"/>
            <w:hideMark/>
          </w:tcPr>
          <w:p w14:paraId="5905654E" w14:textId="77777777" w:rsidR="002F5454" w:rsidRDefault="002F5454" w:rsidP="002F5454">
            <w:pPr>
              <w:pStyle w:val="Body"/>
              <w:spacing w:after="0"/>
              <w:jc w:val="center"/>
              <w:rPr>
                <w:rFonts w:ascii="Arial" w:hAnsi="Arial" w:cs="Arial"/>
              </w:rPr>
            </w:pPr>
            <w:r w:rsidRPr="002F5454">
              <w:rPr>
                <w:rFonts w:ascii="Arial" w:hAnsi="Arial" w:cs="Arial"/>
              </w:rPr>
              <w:t>Total Population</w:t>
            </w:r>
          </w:p>
          <w:p w14:paraId="268064B0" w14:textId="3E6B4D86" w:rsidR="000D4C97" w:rsidRPr="002F5454" w:rsidRDefault="000D4C97" w:rsidP="002F5454">
            <w:pPr>
              <w:pStyle w:val="Body"/>
              <w:spacing w:after="0"/>
              <w:jc w:val="center"/>
              <w:rPr>
                <w:rFonts w:ascii="Arial" w:hAnsi="Arial" w:cs="Arial"/>
              </w:rPr>
            </w:pPr>
            <w:r>
              <w:rPr>
                <w:rFonts w:ascii="Arial" w:hAnsi="Arial" w:cs="Arial"/>
              </w:rPr>
              <w:t xml:space="preserve">N= </w:t>
            </w:r>
            <w:bookmarkStart w:id="3" w:name="_Hlk190530258"/>
            <w:r w:rsidRPr="000D4C97">
              <w:rPr>
                <w:rFonts w:ascii="Arial" w:hAnsi="Arial" w:cs="Arial"/>
              </w:rPr>
              <w:t>5</w:t>
            </w:r>
            <w:r>
              <w:rPr>
                <w:rFonts w:ascii="Arial" w:hAnsi="Arial" w:cs="Arial"/>
              </w:rPr>
              <w:t>,</w:t>
            </w:r>
            <w:r w:rsidRPr="000D4C97">
              <w:rPr>
                <w:rFonts w:ascii="Arial" w:hAnsi="Arial" w:cs="Arial"/>
              </w:rPr>
              <w:t>228</w:t>
            </w:r>
            <w:bookmarkEnd w:id="3"/>
          </w:p>
        </w:tc>
        <w:tc>
          <w:tcPr>
            <w:tcW w:w="2096" w:type="dxa"/>
            <w:tcMar>
              <w:top w:w="15" w:type="dxa"/>
              <w:left w:w="15" w:type="dxa"/>
              <w:bottom w:w="15" w:type="dxa"/>
              <w:right w:w="15" w:type="dxa"/>
            </w:tcMar>
            <w:vAlign w:val="center"/>
            <w:hideMark/>
          </w:tcPr>
          <w:p w14:paraId="517B173F" w14:textId="77777777" w:rsidR="002F5454" w:rsidRDefault="002F5454" w:rsidP="002F5454">
            <w:pPr>
              <w:pStyle w:val="Body"/>
              <w:spacing w:after="0"/>
              <w:jc w:val="center"/>
              <w:rPr>
                <w:rFonts w:ascii="Arial" w:hAnsi="Arial" w:cs="Arial"/>
              </w:rPr>
            </w:pPr>
            <w:r w:rsidRPr="002F5454">
              <w:rPr>
                <w:rFonts w:ascii="Arial" w:hAnsi="Arial" w:cs="Arial"/>
              </w:rPr>
              <w:t>Cases</w:t>
            </w:r>
          </w:p>
          <w:p w14:paraId="26A3689D" w14:textId="4B4D8DD1" w:rsidR="000D4C97" w:rsidRPr="002F5454" w:rsidRDefault="000D4C97" w:rsidP="002F5454">
            <w:pPr>
              <w:pStyle w:val="Body"/>
              <w:spacing w:after="0"/>
              <w:jc w:val="center"/>
              <w:rPr>
                <w:rFonts w:ascii="Arial" w:hAnsi="Arial" w:cs="Arial"/>
              </w:rPr>
            </w:pPr>
            <w:r>
              <w:rPr>
                <w:rFonts w:ascii="Arial" w:hAnsi="Arial" w:cs="Arial"/>
              </w:rPr>
              <w:t xml:space="preserve">n= </w:t>
            </w:r>
            <w:r w:rsidRPr="000D4C97">
              <w:rPr>
                <w:rFonts w:ascii="Arial" w:hAnsi="Arial" w:cs="Arial"/>
              </w:rPr>
              <w:t>1</w:t>
            </w:r>
            <w:r>
              <w:rPr>
                <w:rFonts w:ascii="Arial" w:hAnsi="Arial" w:cs="Arial"/>
              </w:rPr>
              <w:t>,</w:t>
            </w:r>
            <w:r w:rsidRPr="000D4C97">
              <w:rPr>
                <w:rFonts w:ascii="Arial" w:hAnsi="Arial" w:cs="Arial"/>
              </w:rPr>
              <w:t>307</w:t>
            </w:r>
          </w:p>
        </w:tc>
        <w:tc>
          <w:tcPr>
            <w:tcW w:w="2351" w:type="dxa"/>
            <w:tcMar>
              <w:top w:w="15" w:type="dxa"/>
              <w:left w:w="15" w:type="dxa"/>
              <w:bottom w:w="15" w:type="dxa"/>
              <w:right w:w="15" w:type="dxa"/>
            </w:tcMar>
            <w:vAlign w:val="center"/>
            <w:hideMark/>
          </w:tcPr>
          <w:p w14:paraId="3C3773E4" w14:textId="77777777" w:rsidR="002F5454" w:rsidRDefault="002F5454" w:rsidP="002F5454">
            <w:pPr>
              <w:pStyle w:val="Body"/>
              <w:spacing w:after="0"/>
              <w:jc w:val="center"/>
              <w:rPr>
                <w:rFonts w:ascii="Arial" w:hAnsi="Arial" w:cs="Arial"/>
              </w:rPr>
            </w:pPr>
            <w:r w:rsidRPr="002F5454">
              <w:rPr>
                <w:rFonts w:ascii="Arial" w:hAnsi="Arial" w:cs="Arial"/>
              </w:rPr>
              <w:t>Controls</w:t>
            </w:r>
          </w:p>
          <w:p w14:paraId="65F11D1C" w14:textId="3801F6F1" w:rsidR="000D4C97" w:rsidRPr="002F5454" w:rsidRDefault="000D4C97" w:rsidP="002F5454">
            <w:pPr>
              <w:pStyle w:val="Body"/>
              <w:spacing w:after="0"/>
              <w:jc w:val="center"/>
              <w:rPr>
                <w:rFonts w:ascii="Arial" w:hAnsi="Arial" w:cs="Arial"/>
              </w:rPr>
            </w:pPr>
            <w:r>
              <w:rPr>
                <w:rFonts w:ascii="Arial" w:hAnsi="Arial" w:cs="Arial"/>
              </w:rPr>
              <w:t xml:space="preserve">n= </w:t>
            </w:r>
            <w:r w:rsidRPr="000D4C97">
              <w:rPr>
                <w:rFonts w:ascii="Arial" w:hAnsi="Arial" w:cs="Arial"/>
              </w:rPr>
              <w:t>3</w:t>
            </w:r>
            <w:r>
              <w:rPr>
                <w:rFonts w:ascii="Arial" w:hAnsi="Arial" w:cs="Arial"/>
              </w:rPr>
              <w:t>,</w:t>
            </w:r>
            <w:r w:rsidRPr="000D4C97">
              <w:rPr>
                <w:rFonts w:ascii="Arial" w:hAnsi="Arial" w:cs="Arial"/>
              </w:rPr>
              <w:t>921</w:t>
            </w:r>
          </w:p>
        </w:tc>
      </w:tr>
      <w:tr w:rsidR="002F5454" w:rsidRPr="002F5454" w14:paraId="523C2DDF" w14:textId="77777777" w:rsidTr="002F5454">
        <w:trPr>
          <w:tblCellSpacing w:w="15" w:type="dxa"/>
        </w:trPr>
        <w:tc>
          <w:tcPr>
            <w:tcW w:w="1515" w:type="dxa"/>
            <w:tcBorders>
              <w:top w:val="single" w:sz="4" w:space="0" w:color="auto"/>
              <w:bottom w:val="nil"/>
            </w:tcBorders>
            <w:tcMar>
              <w:top w:w="15" w:type="dxa"/>
              <w:left w:w="15" w:type="dxa"/>
              <w:bottom w:w="15" w:type="dxa"/>
              <w:right w:w="15" w:type="dxa"/>
            </w:tcMar>
            <w:vAlign w:val="center"/>
            <w:hideMark/>
          </w:tcPr>
          <w:p w14:paraId="294C13EB" w14:textId="77777777" w:rsidR="002F5454" w:rsidRPr="002F5454" w:rsidRDefault="002F5454" w:rsidP="002F5454">
            <w:pPr>
              <w:pStyle w:val="Body"/>
              <w:spacing w:after="0"/>
              <w:rPr>
                <w:rFonts w:ascii="Arial" w:hAnsi="Arial" w:cs="Arial"/>
              </w:rPr>
            </w:pPr>
            <w:r w:rsidRPr="002F5454">
              <w:rPr>
                <w:rFonts w:ascii="Arial" w:hAnsi="Arial" w:cs="Arial"/>
              </w:rPr>
              <w:t>Male</w:t>
            </w:r>
          </w:p>
        </w:tc>
        <w:tc>
          <w:tcPr>
            <w:tcW w:w="2096" w:type="dxa"/>
            <w:tcBorders>
              <w:top w:val="single" w:sz="4" w:space="0" w:color="auto"/>
              <w:bottom w:val="nil"/>
            </w:tcBorders>
            <w:tcMar>
              <w:top w:w="15" w:type="dxa"/>
              <w:left w:w="15" w:type="dxa"/>
              <w:bottom w:w="15" w:type="dxa"/>
              <w:right w:w="15" w:type="dxa"/>
            </w:tcMar>
            <w:vAlign w:val="center"/>
            <w:hideMark/>
          </w:tcPr>
          <w:p w14:paraId="66A4D824" w14:textId="77777777" w:rsidR="002F5454" w:rsidRPr="002F5454" w:rsidRDefault="002F5454" w:rsidP="002F5454">
            <w:pPr>
              <w:pStyle w:val="Body"/>
              <w:spacing w:after="0"/>
              <w:jc w:val="center"/>
              <w:rPr>
                <w:rFonts w:ascii="Arial" w:hAnsi="Arial" w:cs="Arial"/>
              </w:rPr>
            </w:pPr>
            <w:r w:rsidRPr="002F5454">
              <w:rPr>
                <w:rFonts w:ascii="Arial" w:hAnsi="Arial" w:cs="Arial"/>
              </w:rPr>
              <w:t>2296, 43.9; (42.6-45.3)</w:t>
            </w:r>
          </w:p>
        </w:tc>
        <w:tc>
          <w:tcPr>
            <w:tcW w:w="2096" w:type="dxa"/>
            <w:tcBorders>
              <w:top w:val="single" w:sz="4" w:space="0" w:color="auto"/>
              <w:bottom w:val="nil"/>
            </w:tcBorders>
            <w:tcMar>
              <w:top w:w="15" w:type="dxa"/>
              <w:left w:w="15" w:type="dxa"/>
              <w:bottom w:w="15" w:type="dxa"/>
              <w:right w:w="15" w:type="dxa"/>
            </w:tcMar>
            <w:vAlign w:val="center"/>
            <w:hideMark/>
          </w:tcPr>
          <w:p w14:paraId="5D04B8A4" w14:textId="77777777" w:rsidR="002F5454" w:rsidRPr="002F5454" w:rsidRDefault="002F5454" w:rsidP="002F5454">
            <w:pPr>
              <w:pStyle w:val="Body"/>
              <w:spacing w:after="0"/>
              <w:jc w:val="center"/>
              <w:rPr>
                <w:rFonts w:ascii="Arial" w:hAnsi="Arial" w:cs="Arial"/>
              </w:rPr>
            </w:pPr>
            <w:r w:rsidRPr="002F5454">
              <w:rPr>
                <w:rFonts w:ascii="Arial" w:hAnsi="Arial" w:cs="Arial"/>
              </w:rPr>
              <w:t>574, 43.9; (41.4-46.4)</w:t>
            </w:r>
          </w:p>
        </w:tc>
        <w:tc>
          <w:tcPr>
            <w:tcW w:w="2351" w:type="dxa"/>
            <w:tcBorders>
              <w:top w:val="single" w:sz="4" w:space="0" w:color="auto"/>
              <w:bottom w:val="nil"/>
            </w:tcBorders>
            <w:tcMar>
              <w:top w:w="15" w:type="dxa"/>
              <w:left w:w="15" w:type="dxa"/>
              <w:bottom w:w="15" w:type="dxa"/>
              <w:right w:w="15" w:type="dxa"/>
            </w:tcMar>
            <w:vAlign w:val="center"/>
            <w:hideMark/>
          </w:tcPr>
          <w:p w14:paraId="192C4412" w14:textId="77777777" w:rsidR="002F5454" w:rsidRPr="002F5454" w:rsidRDefault="002F5454" w:rsidP="002F5454">
            <w:pPr>
              <w:pStyle w:val="Body"/>
              <w:spacing w:after="0"/>
              <w:jc w:val="center"/>
              <w:rPr>
                <w:rFonts w:ascii="Arial" w:hAnsi="Arial" w:cs="Arial"/>
              </w:rPr>
            </w:pPr>
            <w:r w:rsidRPr="002F5454">
              <w:rPr>
                <w:rFonts w:ascii="Arial" w:hAnsi="Arial" w:cs="Arial"/>
              </w:rPr>
              <w:t>1722, 43.9; (42.4-45.5)</w:t>
            </w:r>
          </w:p>
        </w:tc>
      </w:tr>
      <w:tr w:rsidR="002F5454" w:rsidRPr="002F5454" w14:paraId="46AE3CEA" w14:textId="77777777" w:rsidTr="002F5454">
        <w:trPr>
          <w:tblCellSpacing w:w="15" w:type="dxa"/>
        </w:trPr>
        <w:tc>
          <w:tcPr>
            <w:tcW w:w="1515" w:type="dxa"/>
            <w:tcMar>
              <w:top w:w="15" w:type="dxa"/>
              <w:left w:w="15" w:type="dxa"/>
              <w:bottom w:w="15" w:type="dxa"/>
              <w:right w:w="15" w:type="dxa"/>
            </w:tcMar>
            <w:vAlign w:val="center"/>
            <w:hideMark/>
          </w:tcPr>
          <w:p w14:paraId="69B89ADA" w14:textId="77777777" w:rsidR="002F5454" w:rsidRPr="002F5454" w:rsidRDefault="002F5454" w:rsidP="002F5454">
            <w:pPr>
              <w:pStyle w:val="Body"/>
              <w:spacing w:after="0"/>
              <w:rPr>
                <w:rFonts w:ascii="Arial" w:hAnsi="Arial" w:cs="Arial"/>
              </w:rPr>
            </w:pPr>
            <w:r w:rsidRPr="002F5454">
              <w:rPr>
                <w:rFonts w:ascii="Arial" w:hAnsi="Arial" w:cs="Arial"/>
              </w:rPr>
              <w:t>Female</w:t>
            </w:r>
          </w:p>
        </w:tc>
        <w:tc>
          <w:tcPr>
            <w:tcW w:w="2096" w:type="dxa"/>
            <w:tcMar>
              <w:top w:w="15" w:type="dxa"/>
              <w:left w:w="15" w:type="dxa"/>
              <w:bottom w:w="15" w:type="dxa"/>
              <w:right w:w="15" w:type="dxa"/>
            </w:tcMar>
            <w:vAlign w:val="center"/>
            <w:hideMark/>
          </w:tcPr>
          <w:p w14:paraId="6A198B0A" w14:textId="77777777" w:rsidR="002F5454" w:rsidRPr="002F5454" w:rsidRDefault="002F5454" w:rsidP="002F5454">
            <w:pPr>
              <w:pStyle w:val="Body"/>
              <w:spacing w:after="0"/>
              <w:jc w:val="center"/>
              <w:rPr>
                <w:rFonts w:ascii="Arial" w:hAnsi="Arial" w:cs="Arial"/>
              </w:rPr>
            </w:pPr>
            <w:r w:rsidRPr="002F5454">
              <w:rPr>
                <w:rFonts w:ascii="Arial" w:hAnsi="Arial" w:cs="Arial"/>
              </w:rPr>
              <w:t>2932, 56.1; (54.7-57.4)</w:t>
            </w:r>
          </w:p>
        </w:tc>
        <w:tc>
          <w:tcPr>
            <w:tcW w:w="2096" w:type="dxa"/>
            <w:tcMar>
              <w:top w:w="15" w:type="dxa"/>
              <w:left w:w="15" w:type="dxa"/>
              <w:bottom w:w="15" w:type="dxa"/>
              <w:right w:w="15" w:type="dxa"/>
            </w:tcMar>
            <w:vAlign w:val="center"/>
            <w:hideMark/>
          </w:tcPr>
          <w:p w14:paraId="70F7E369" w14:textId="77777777" w:rsidR="002F5454" w:rsidRPr="002F5454" w:rsidRDefault="002F5454" w:rsidP="002F5454">
            <w:pPr>
              <w:pStyle w:val="Body"/>
              <w:spacing w:after="0"/>
              <w:jc w:val="center"/>
              <w:rPr>
                <w:rFonts w:ascii="Arial" w:hAnsi="Arial" w:cs="Arial"/>
              </w:rPr>
            </w:pPr>
            <w:r w:rsidRPr="002F5454">
              <w:rPr>
                <w:rFonts w:ascii="Arial" w:hAnsi="Arial" w:cs="Arial"/>
              </w:rPr>
              <w:t>733, 56.1; (53.6-58.6)</w:t>
            </w:r>
          </w:p>
        </w:tc>
        <w:tc>
          <w:tcPr>
            <w:tcW w:w="2351" w:type="dxa"/>
            <w:tcMar>
              <w:top w:w="15" w:type="dxa"/>
              <w:left w:w="15" w:type="dxa"/>
              <w:bottom w:w="15" w:type="dxa"/>
              <w:right w:w="15" w:type="dxa"/>
            </w:tcMar>
            <w:vAlign w:val="center"/>
            <w:hideMark/>
          </w:tcPr>
          <w:p w14:paraId="70DC18BF" w14:textId="77777777" w:rsidR="002F5454" w:rsidRPr="002F5454" w:rsidRDefault="002F5454" w:rsidP="002F5454">
            <w:pPr>
              <w:pStyle w:val="Body"/>
              <w:spacing w:after="0"/>
              <w:jc w:val="center"/>
              <w:rPr>
                <w:rFonts w:ascii="Arial" w:hAnsi="Arial" w:cs="Arial"/>
              </w:rPr>
            </w:pPr>
            <w:r w:rsidRPr="002F5454">
              <w:rPr>
                <w:rFonts w:ascii="Arial" w:hAnsi="Arial" w:cs="Arial"/>
              </w:rPr>
              <w:t>2199, 56.1; (54.5-57.6)</w:t>
            </w:r>
          </w:p>
        </w:tc>
      </w:tr>
      <w:tr w:rsidR="002F5454" w:rsidRPr="002F5454" w14:paraId="0D269C59" w14:textId="77777777" w:rsidTr="002F5454">
        <w:trPr>
          <w:tblCellSpacing w:w="15" w:type="dxa"/>
        </w:trPr>
        <w:tc>
          <w:tcPr>
            <w:tcW w:w="1515" w:type="dxa"/>
            <w:tcMar>
              <w:top w:w="15" w:type="dxa"/>
              <w:left w:w="15" w:type="dxa"/>
              <w:bottom w:w="15" w:type="dxa"/>
              <w:right w:w="15" w:type="dxa"/>
            </w:tcMar>
            <w:vAlign w:val="center"/>
            <w:hideMark/>
          </w:tcPr>
          <w:p w14:paraId="2563BBA5" w14:textId="67A3DDCA" w:rsidR="002F5454" w:rsidRPr="002F5454" w:rsidRDefault="002F5454" w:rsidP="002F5454">
            <w:pPr>
              <w:pStyle w:val="Body"/>
              <w:spacing w:after="0"/>
              <w:rPr>
                <w:rFonts w:ascii="Arial" w:hAnsi="Arial" w:cs="Arial"/>
              </w:rPr>
            </w:pPr>
            <w:r w:rsidRPr="002F5454">
              <w:rPr>
                <w:rFonts w:ascii="Arial" w:hAnsi="Arial" w:cs="Arial"/>
              </w:rPr>
              <w:t>Employ</w:t>
            </w:r>
            <w:r w:rsidR="003E1B4F" w:rsidRPr="003E1B4F">
              <w:rPr>
                <w:rFonts w:ascii="Arial" w:hAnsi="Arial" w:cs="Arial"/>
                <w:highlight w:val="yellow"/>
              </w:rPr>
              <w:t>ment</w:t>
            </w:r>
            <w:r w:rsidR="00B74220">
              <w:rPr>
                <w:rFonts w:ascii="Arial" w:hAnsi="Arial" w:cs="Arial"/>
              </w:rPr>
              <w:t>*</w:t>
            </w:r>
          </w:p>
        </w:tc>
        <w:tc>
          <w:tcPr>
            <w:tcW w:w="2096" w:type="dxa"/>
            <w:tcMar>
              <w:top w:w="15" w:type="dxa"/>
              <w:left w:w="15" w:type="dxa"/>
              <w:bottom w:w="15" w:type="dxa"/>
              <w:right w:w="15" w:type="dxa"/>
            </w:tcMar>
            <w:vAlign w:val="center"/>
            <w:hideMark/>
          </w:tcPr>
          <w:p w14:paraId="7E226C39" w14:textId="77777777" w:rsidR="002F5454" w:rsidRPr="002F5454" w:rsidRDefault="002F5454" w:rsidP="002F5454">
            <w:pPr>
              <w:pStyle w:val="Body"/>
              <w:spacing w:after="0"/>
              <w:jc w:val="center"/>
              <w:rPr>
                <w:rFonts w:ascii="Arial" w:hAnsi="Arial" w:cs="Arial"/>
              </w:rPr>
            </w:pPr>
            <w:r w:rsidRPr="002F5454">
              <w:rPr>
                <w:rFonts w:ascii="Arial" w:hAnsi="Arial" w:cs="Arial"/>
              </w:rPr>
              <w:t>4330, 82.8; (81.8-83.8)</w:t>
            </w:r>
          </w:p>
        </w:tc>
        <w:tc>
          <w:tcPr>
            <w:tcW w:w="2096" w:type="dxa"/>
            <w:tcMar>
              <w:top w:w="15" w:type="dxa"/>
              <w:left w:w="15" w:type="dxa"/>
              <w:bottom w:w="15" w:type="dxa"/>
              <w:right w:w="15" w:type="dxa"/>
            </w:tcMar>
            <w:vAlign w:val="center"/>
            <w:hideMark/>
          </w:tcPr>
          <w:p w14:paraId="099ECB42" w14:textId="77777777" w:rsidR="002F5454" w:rsidRPr="002F5454" w:rsidRDefault="002F5454" w:rsidP="002F5454">
            <w:pPr>
              <w:pStyle w:val="Body"/>
              <w:spacing w:after="0"/>
              <w:jc w:val="center"/>
              <w:rPr>
                <w:rFonts w:ascii="Arial" w:hAnsi="Arial" w:cs="Arial"/>
              </w:rPr>
            </w:pPr>
            <w:r w:rsidRPr="002F5454">
              <w:rPr>
                <w:rFonts w:ascii="Arial" w:hAnsi="Arial" w:cs="Arial"/>
              </w:rPr>
              <w:t>1116, 85.4; (83.6-87.2)</w:t>
            </w:r>
          </w:p>
        </w:tc>
        <w:tc>
          <w:tcPr>
            <w:tcW w:w="2351" w:type="dxa"/>
            <w:tcMar>
              <w:top w:w="15" w:type="dxa"/>
              <w:left w:w="15" w:type="dxa"/>
              <w:bottom w:w="15" w:type="dxa"/>
              <w:right w:w="15" w:type="dxa"/>
            </w:tcMar>
            <w:vAlign w:val="center"/>
            <w:hideMark/>
          </w:tcPr>
          <w:p w14:paraId="2BE862E4" w14:textId="77777777" w:rsidR="002F5454" w:rsidRPr="002F5454" w:rsidRDefault="002F5454" w:rsidP="002F5454">
            <w:pPr>
              <w:pStyle w:val="Body"/>
              <w:spacing w:after="0"/>
              <w:jc w:val="center"/>
              <w:rPr>
                <w:rFonts w:ascii="Arial" w:hAnsi="Arial" w:cs="Arial"/>
              </w:rPr>
            </w:pPr>
            <w:r w:rsidRPr="002F5454">
              <w:rPr>
                <w:rFonts w:ascii="Arial" w:hAnsi="Arial" w:cs="Arial"/>
              </w:rPr>
              <w:t>3214, 82; (80.8-83.2)</w:t>
            </w:r>
          </w:p>
        </w:tc>
      </w:tr>
      <w:tr w:rsidR="002F5454" w:rsidRPr="002F5454" w14:paraId="657A5336" w14:textId="77777777" w:rsidTr="002F5454">
        <w:trPr>
          <w:tblCellSpacing w:w="15" w:type="dxa"/>
        </w:trPr>
        <w:tc>
          <w:tcPr>
            <w:tcW w:w="1515" w:type="dxa"/>
            <w:tcMar>
              <w:top w:w="15" w:type="dxa"/>
              <w:left w:w="15" w:type="dxa"/>
              <w:bottom w:w="15" w:type="dxa"/>
              <w:right w:w="15" w:type="dxa"/>
            </w:tcMar>
            <w:vAlign w:val="center"/>
            <w:hideMark/>
          </w:tcPr>
          <w:p w14:paraId="1D48BBCE" w14:textId="11BDC57B" w:rsidR="002F5454" w:rsidRPr="002F5454" w:rsidRDefault="002F5454" w:rsidP="002F5454">
            <w:pPr>
              <w:pStyle w:val="Body"/>
              <w:spacing w:after="0"/>
              <w:rPr>
                <w:rFonts w:ascii="Arial" w:hAnsi="Arial" w:cs="Arial"/>
              </w:rPr>
            </w:pPr>
            <w:r w:rsidRPr="002F5454">
              <w:rPr>
                <w:rFonts w:ascii="Arial" w:hAnsi="Arial" w:cs="Arial"/>
              </w:rPr>
              <w:t>O</w:t>
            </w:r>
            <w:r>
              <w:rPr>
                <w:rFonts w:ascii="Arial" w:hAnsi="Arial" w:cs="Arial"/>
              </w:rPr>
              <w:t>A</w:t>
            </w:r>
          </w:p>
        </w:tc>
        <w:tc>
          <w:tcPr>
            <w:tcW w:w="2096" w:type="dxa"/>
            <w:tcMar>
              <w:top w:w="15" w:type="dxa"/>
              <w:left w:w="15" w:type="dxa"/>
              <w:bottom w:w="15" w:type="dxa"/>
              <w:right w:w="15" w:type="dxa"/>
            </w:tcMar>
            <w:vAlign w:val="center"/>
            <w:hideMark/>
          </w:tcPr>
          <w:p w14:paraId="0A598D87" w14:textId="77777777" w:rsidR="002F5454" w:rsidRPr="002F5454" w:rsidRDefault="002F5454" w:rsidP="002F5454">
            <w:pPr>
              <w:pStyle w:val="Body"/>
              <w:spacing w:after="0"/>
              <w:jc w:val="center"/>
              <w:rPr>
                <w:rFonts w:ascii="Arial" w:hAnsi="Arial" w:cs="Arial"/>
              </w:rPr>
            </w:pPr>
            <w:r w:rsidRPr="002F5454">
              <w:rPr>
                <w:rFonts w:ascii="Arial" w:hAnsi="Arial" w:cs="Arial"/>
              </w:rPr>
              <w:t>4994, 95.5; (95-96.1)</w:t>
            </w:r>
          </w:p>
        </w:tc>
        <w:tc>
          <w:tcPr>
            <w:tcW w:w="2096" w:type="dxa"/>
            <w:tcMar>
              <w:top w:w="15" w:type="dxa"/>
              <w:left w:w="15" w:type="dxa"/>
              <w:bottom w:w="15" w:type="dxa"/>
              <w:right w:w="15" w:type="dxa"/>
            </w:tcMar>
            <w:vAlign w:val="center"/>
            <w:hideMark/>
          </w:tcPr>
          <w:p w14:paraId="289736A8" w14:textId="77777777" w:rsidR="002F5454" w:rsidRPr="002F5454" w:rsidRDefault="002F5454" w:rsidP="002F5454">
            <w:pPr>
              <w:pStyle w:val="Body"/>
              <w:spacing w:after="0"/>
              <w:jc w:val="center"/>
              <w:rPr>
                <w:rFonts w:ascii="Arial" w:hAnsi="Arial" w:cs="Arial"/>
              </w:rPr>
            </w:pPr>
            <w:r w:rsidRPr="002F5454">
              <w:rPr>
                <w:rFonts w:ascii="Arial" w:hAnsi="Arial" w:cs="Arial"/>
              </w:rPr>
              <w:t>1299, 99.4; (98.9-99.8)</w:t>
            </w:r>
          </w:p>
        </w:tc>
        <w:tc>
          <w:tcPr>
            <w:tcW w:w="2351" w:type="dxa"/>
            <w:tcMar>
              <w:top w:w="15" w:type="dxa"/>
              <w:left w:w="15" w:type="dxa"/>
              <w:bottom w:w="15" w:type="dxa"/>
              <w:right w:w="15" w:type="dxa"/>
            </w:tcMar>
            <w:vAlign w:val="center"/>
            <w:hideMark/>
          </w:tcPr>
          <w:p w14:paraId="4C1890DD" w14:textId="77777777" w:rsidR="002F5454" w:rsidRPr="002F5454" w:rsidRDefault="002F5454" w:rsidP="002F5454">
            <w:pPr>
              <w:pStyle w:val="Body"/>
              <w:spacing w:after="0"/>
              <w:jc w:val="center"/>
              <w:rPr>
                <w:rFonts w:ascii="Arial" w:hAnsi="Arial" w:cs="Arial"/>
              </w:rPr>
            </w:pPr>
            <w:r w:rsidRPr="002F5454">
              <w:rPr>
                <w:rFonts w:ascii="Arial" w:hAnsi="Arial" w:cs="Arial"/>
              </w:rPr>
              <w:t>3695, 94.2; (93.5-95)</w:t>
            </w:r>
          </w:p>
        </w:tc>
      </w:tr>
      <w:tr w:rsidR="002F5454" w:rsidRPr="002F5454" w14:paraId="1D66E8C9" w14:textId="77777777" w:rsidTr="002F5454">
        <w:trPr>
          <w:tblCellSpacing w:w="15" w:type="dxa"/>
        </w:trPr>
        <w:tc>
          <w:tcPr>
            <w:tcW w:w="1515" w:type="dxa"/>
            <w:tcMar>
              <w:top w:w="15" w:type="dxa"/>
              <w:left w:w="15" w:type="dxa"/>
              <w:bottom w:w="15" w:type="dxa"/>
              <w:right w:w="15" w:type="dxa"/>
            </w:tcMar>
            <w:vAlign w:val="center"/>
            <w:hideMark/>
          </w:tcPr>
          <w:p w14:paraId="20D73229" w14:textId="7A144510" w:rsidR="002F5454" w:rsidRPr="002F5454" w:rsidRDefault="002F5454" w:rsidP="002F5454">
            <w:pPr>
              <w:pStyle w:val="Body"/>
              <w:spacing w:after="0"/>
              <w:rPr>
                <w:rFonts w:ascii="Arial" w:hAnsi="Arial" w:cs="Arial"/>
              </w:rPr>
            </w:pPr>
            <w:r w:rsidRPr="002F5454">
              <w:rPr>
                <w:rFonts w:ascii="Arial" w:hAnsi="Arial" w:cs="Arial"/>
              </w:rPr>
              <w:t>H</w:t>
            </w:r>
            <w:r>
              <w:rPr>
                <w:rFonts w:ascii="Arial" w:hAnsi="Arial" w:cs="Arial"/>
              </w:rPr>
              <w:t>A</w:t>
            </w:r>
            <w:r w:rsidR="00B74220">
              <w:rPr>
                <w:rFonts w:ascii="Arial" w:hAnsi="Arial" w:cs="Arial"/>
              </w:rPr>
              <w:t>*</w:t>
            </w:r>
          </w:p>
        </w:tc>
        <w:tc>
          <w:tcPr>
            <w:tcW w:w="2096" w:type="dxa"/>
            <w:tcMar>
              <w:top w:w="15" w:type="dxa"/>
              <w:left w:w="15" w:type="dxa"/>
              <w:bottom w:w="15" w:type="dxa"/>
              <w:right w:w="15" w:type="dxa"/>
            </w:tcMar>
            <w:vAlign w:val="center"/>
            <w:hideMark/>
          </w:tcPr>
          <w:p w14:paraId="7AAC05D0" w14:textId="77777777" w:rsidR="002F5454" w:rsidRPr="002F5454" w:rsidRDefault="002F5454" w:rsidP="002F5454">
            <w:pPr>
              <w:pStyle w:val="Body"/>
              <w:spacing w:after="0"/>
              <w:jc w:val="center"/>
              <w:rPr>
                <w:rFonts w:ascii="Arial" w:hAnsi="Arial" w:cs="Arial"/>
              </w:rPr>
            </w:pPr>
            <w:r w:rsidRPr="002F5454">
              <w:rPr>
                <w:rFonts w:ascii="Arial" w:hAnsi="Arial" w:cs="Arial"/>
              </w:rPr>
              <w:t>234, 4.5; (3.9-5)</w:t>
            </w:r>
          </w:p>
        </w:tc>
        <w:tc>
          <w:tcPr>
            <w:tcW w:w="2096" w:type="dxa"/>
            <w:tcMar>
              <w:top w:w="15" w:type="dxa"/>
              <w:left w:w="15" w:type="dxa"/>
              <w:bottom w:w="15" w:type="dxa"/>
              <w:right w:w="15" w:type="dxa"/>
            </w:tcMar>
            <w:vAlign w:val="center"/>
            <w:hideMark/>
          </w:tcPr>
          <w:p w14:paraId="3468023C" w14:textId="77777777" w:rsidR="002F5454" w:rsidRPr="002F5454" w:rsidRDefault="002F5454" w:rsidP="002F5454">
            <w:pPr>
              <w:pStyle w:val="Body"/>
              <w:spacing w:after="0"/>
              <w:jc w:val="center"/>
              <w:rPr>
                <w:rFonts w:ascii="Arial" w:hAnsi="Arial" w:cs="Arial"/>
              </w:rPr>
            </w:pPr>
            <w:r w:rsidRPr="002F5454">
              <w:rPr>
                <w:rFonts w:ascii="Arial" w:hAnsi="Arial" w:cs="Arial"/>
              </w:rPr>
              <w:t>8, 0.6; (0.2-1.1)</w:t>
            </w:r>
          </w:p>
        </w:tc>
        <w:tc>
          <w:tcPr>
            <w:tcW w:w="2351" w:type="dxa"/>
            <w:tcMar>
              <w:top w:w="15" w:type="dxa"/>
              <w:left w:w="15" w:type="dxa"/>
              <w:bottom w:w="15" w:type="dxa"/>
              <w:right w:w="15" w:type="dxa"/>
            </w:tcMar>
            <w:vAlign w:val="center"/>
            <w:hideMark/>
          </w:tcPr>
          <w:p w14:paraId="152A9370" w14:textId="77777777" w:rsidR="002F5454" w:rsidRPr="002F5454" w:rsidRDefault="002F5454" w:rsidP="002F5454">
            <w:pPr>
              <w:pStyle w:val="Body"/>
              <w:spacing w:after="0"/>
              <w:jc w:val="center"/>
              <w:rPr>
                <w:rFonts w:ascii="Arial" w:hAnsi="Arial" w:cs="Arial"/>
              </w:rPr>
            </w:pPr>
            <w:r w:rsidRPr="002F5454">
              <w:rPr>
                <w:rFonts w:ascii="Arial" w:hAnsi="Arial" w:cs="Arial"/>
              </w:rPr>
              <w:t>226, 5.8; (5-6.5)</w:t>
            </w:r>
          </w:p>
        </w:tc>
      </w:tr>
      <w:tr w:rsidR="002F5454" w:rsidRPr="002F5454" w14:paraId="6AF394D0" w14:textId="77777777" w:rsidTr="002F5454">
        <w:trPr>
          <w:tblCellSpacing w:w="15" w:type="dxa"/>
        </w:trPr>
        <w:tc>
          <w:tcPr>
            <w:tcW w:w="1515" w:type="dxa"/>
            <w:tcMar>
              <w:top w:w="15" w:type="dxa"/>
              <w:left w:w="15" w:type="dxa"/>
              <w:bottom w:w="15" w:type="dxa"/>
              <w:right w:w="15" w:type="dxa"/>
            </w:tcMar>
            <w:vAlign w:val="center"/>
            <w:hideMark/>
          </w:tcPr>
          <w:p w14:paraId="0FFD2A3C" w14:textId="3128E253" w:rsidR="002F5454" w:rsidRPr="002F5454" w:rsidRDefault="002F5454" w:rsidP="002F5454">
            <w:pPr>
              <w:pStyle w:val="Body"/>
              <w:spacing w:after="0"/>
              <w:rPr>
                <w:rFonts w:ascii="Arial" w:hAnsi="Arial" w:cs="Arial"/>
              </w:rPr>
            </w:pPr>
            <w:r w:rsidRPr="002F5454">
              <w:rPr>
                <w:rFonts w:ascii="Arial" w:hAnsi="Arial" w:cs="Arial"/>
              </w:rPr>
              <w:t xml:space="preserve">COVID-19 </w:t>
            </w:r>
            <w:r>
              <w:rPr>
                <w:rFonts w:ascii="Arial" w:hAnsi="Arial" w:cs="Arial"/>
              </w:rPr>
              <w:t>VH</w:t>
            </w:r>
          </w:p>
        </w:tc>
        <w:tc>
          <w:tcPr>
            <w:tcW w:w="2096" w:type="dxa"/>
            <w:tcMar>
              <w:top w:w="15" w:type="dxa"/>
              <w:left w:w="15" w:type="dxa"/>
              <w:bottom w:w="15" w:type="dxa"/>
              <w:right w:w="15" w:type="dxa"/>
            </w:tcMar>
            <w:vAlign w:val="center"/>
            <w:hideMark/>
          </w:tcPr>
          <w:p w14:paraId="7E49F0A6" w14:textId="77777777" w:rsidR="002F5454" w:rsidRPr="002F5454" w:rsidRDefault="002F5454" w:rsidP="002F5454">
            <w:pPr>
              <w:pStyle w:val="Body"/>
              <w:spacing w:after="0"/>
              <w:jc w:val="center"/>
              <w:rPr>
                <w:rFonts w:ascii="Arial" w:hAnsi="Arial" w:cs="Arial"/>
              </w:rPr>
            </w:pPr>
            <w:r w:rsidRPr="002F5454">
              <w:rPr>
                <w:rFonts w:ascii="Arial" w:hAnsi="Arial" w:cs="Arial"/>
              </w:rPr>
              <w:t>800, 15.3; (14.3-16.4)</w:t>
            </w:r>
          </w:p>
        </w:tc>
        <w:tc>
          <w:tcPr>
            <w:tcW w:w="2096" w:type="dxa"/>
            <w:tcMar>
              <w:top w:w="15" w:type="dxa"/>
              <w:left w:w="15" w:type="dxa"/>
              <w:bottom w:w="15" w:type="dxa"/>
              <w:right w:w="15" w:type="dxa"/>
            </w:tcMar>
            <w:vAlign w:val="center"/>
            <w:hideMark/>
          </w:tcPr>
          <w:p w14:paraId="75A1FAA0" w14:textId="77777777" w:rsidR="002F5454" w:rsidRPr="002F5454" w:rsidRDefault="002F5454" w:rsidP="002F5454">
            <w:pPr>
              <w:pStyle w:val="Body"/>
              <w:spacing w:after="0"/>
              <w:jc w:val="center"/>
              <w:rPr>
                <w:rFonts w:ascii="Arial" w:hAnsi="Arial" w:cs="Arial"/>
              </w:rPr>
            </w:pPr>
            <w:r w:rsidRPr="002F5454">
              <w:rPr>
                <w:rFonts w:ascii="Arial" w:hAnsi="Arial" w:cs="Arial"/>
              </w:rPr>
              <w:t>197, 15.1; (13.3-17)</w:t>
            </w:r>
          </w:p>
        </w:tc>
        <w:tc>
          <w:tcPr>
            <w:tcW w:w="2351" w:type="dxa"/>
            <w:tcMar>
              <w:top w:w="15" w:type="dxa"/>
              <w:left w:w="15" w:type="dxa"/>
              <w:bottom w:w="15" w:type="dxa"/>
              <w:right w:w="15" w:type="dxa"/>
            </w:tcMar>
            <w:vAlign w:val="center"/>
            <w:hideMark/>
          </w:tcPr>
          <w:p w14:paraId="6218C2BC" w14:textId="77777777" w:rsidR="002F5454" w:rsidRPr="002F5454" w:rsidRDefault="002F5454" w:rsidP="002F5454">
            <w:pPr>
              <w:pStyle w:val="Body"/>
              <w:spacing w:after="0"/>
              <w:jc w:val="center"/>
              <w:rPr>
                <w:rFonts w:ascii="Arial" w:hAnsi="Arial" w:cs="Arial"/>
              </w:rPr>
            </w:pPr>
            <w:r w:rsidRPr="002F5454">
              <w:rPr>
                <w:rFonts w:ascii="Arial" w:hAnsi="Arial" w:cs="Arial"/>
              </w:rPr>
              <w:t>603, 15.4; (14.2-16.6)</w:t>
            </w:r>
          </w:p>
        </w:tc>
      </w:tr>
      <w:tr w:rsidR="002F5454" w:rsidRPr="002F5454" w14:paraId="42860C11" w14:textId="77777777" w:rsidTr="002F5454">
        <w:trPr>
          <w:tblCellSpacing w:w="15" w:type="dxa"/>
        </w:trPr>
        <w:tc>
          <w:tcPr>
            <w:tcW w:w="1515" w:type="dxa"/>
            <w:tcMar>
              <w:top w:w="15" w:type="dxa"/>
              <w:left w:w="15" w:type="dxa"/>
              <w:bottom w:w="15" w:type="dxa"/>
              <w:right w:w="15" w:type="dxa"/>
            </w:tcMar>
            <w:vAlign w:val="center"/>
            <w:hideMark/>
          </w:tcPr>
          <w:p w14:paraId="1DA0ECB2" w14:textId="30748575" w:rsidR="002F5454" w:rsidRPr="002F5454" w:rsidRDefault="002F5454" w:rsidP="002F5454">
            <w:pPr>
              <w:pStyle w:val="Body"/>
              <w:spacing w:after="0"/>
              <w:rPr>
                <w:rFonts w:ascii="Arial" w:hAnsi="Arial" w:cs="Arial"/>
              </w:rPr>
            </w:pPr>
            <w:r>
              <w:rPr>
                <w:rFonts w:ascii="Arial" w:hAnsi="Arial" w:cs="Arial"/>
              </w:rPr>
              <w:t>VD</w:t>
            </w:r>
            <w:r w:rsidR="00B74220">
              <w:rPr>
                <w:rFonts w:ascii="Arial" w:hAnsi="Arial" w:cs="Arial"/>
              </w:rPr>
              <w:t>*</w:t>
            </w:r>
          </w:p>
        </w:tc>
        <w:tc>
          <w:tcPr>
            <w:tcW w:w="2096" w:type="dxa"/>
            <w:tcMar>
              <w:top w:w="15" w:type="dxa"/>
              <w:left w:w="15" w:type="dxa"/>
              <w:bottom w:w="15" w:type="dxa"/>
              <w:right w:w="15" w:type="dxa"/>
            </w:tcMar>
            <w:vAlign w:val="center"/>
            <w:hideMark/>
          </w:tcPr>
          <w:p w14:paraId="41A52954" w14:textId="77777777" w:rsidR="002F5454" w:rsidRPr="002F5454" w:rsidRDefault="002F5454" w:rsidP="002F5454">
            <w:pPr>
              <w:pStyle w:val="Body"/>
              <w:spacing w:after="0"/>
              <w:jc w:val="center"/>
              <w:rPr>
                <w:rFonts w:ascii="Arial" w:hAnsi="Arial" w:cs="Arial"/>
              </w:rPr>
            </w:pPr>
            <w:r w:rsidRPr="002F5454">
              <w:rPr>
                <w:rFonts w:ascii="Arial" w:hAnsi="Arial" w:cs="Arial"/>
              </w:rPr>
              <w:t>6, 0.1; (0-0.2)</w:t>
            </w:r>
          </w:p>
        </w:tc>
        <w:tc>
          <w:tcPr>
            <w:tcW w:w="2096" w:type="dxa"/>
            <w:tcMar>
              <w:top w:w="15" w:type="dxa"/>
              <w:left w:w="15" w:type="dxa"/>
              <w:bottom w:w="15" w:type="dxa"/>
              <w:right w:w="15" w:type="dxa"/>
            </w:tcMar>
            <w:vAlign w:val="center"/>
            <w:hideMark/>
          </w:tcPr>
          <w:p w14:paraId="782F4BFC" w14:textId="77777777" w:rsidR="002F5454" w:rsidRPr="002F5454" w:rsidRDefault="002F5454" w:rsidP="002F5454">
            <w:pPr>
              <w:pStyle w:val="Body"/>
              <w:spacing w:after="0"/>
              <w:jc w:val="center"/>
              <w:rPr>
                <w:rFonts w:ascii="Arial" w:hAnsi="Arial" w:cs="Arial"/>
              </w:rPr>
            </w:pPr>
            <w:r w:rsidRPr="002F5454">
              <w:rPr>
                <w:rFonts w:ascii="Arial" w:hAnsi="Arial" w:cs="Arial"/>
              </w:rPr>
              <w:t>0, 0.0; (0.0-0.0)</w:t>
            </w:r>
          </w:p>
        </w:tc>
        <w:tc>
          <w:tcPr>
            <w:tcW w:w="2351" w:type="dxa"/>
            <w:tcMar>
              <w:top w:w="15" w:type="dxa"/>
              <w:left w:w="15" w:type="dxa"/>
              <w:bottom w:w="15" w:type="dxa"/>
              <w:right w:w="15" w:type="dxa"/>
            </w:tcMar>
            <w:vAlign w:val="center"/>
            <w:hideMark/>
          </w:tcPr>
          <w:p w14:paraId="498305E5" w14:textId="77777777" w:rsidR="002F5454" w:rsidRPr="002F5454" w:rsidRDefault="002F5454" w:rsidP="002F5454">
            <w:pPr>
              <w:pStyle w:val="Body"/>
              <w:spacing w:after="0"/>
              <w:jc w:val="center"/>
              <w:rPr>
                <w:rFonts w:ascii="Arial" w:hAnsi="Arial" w:cs="Arial"/>
              </w:rPr>
            </w:pPr>
            <w:r w:rsidRPr="002F5454">
              <w:rPr>
                <w:rFonts w:ascii="Arial" w:hAnsi="Arial" w:cs="Arial"/>
              </w:rPr>
              <w:t>6, 0.2; (0.1-0.3)</w:t>
            </w:r>
          </w:p>
        </w:tc>
      </w:tr>
      <w:tr w:rsidR="002F5454" w:rsidRPr="002F5454" w14:paraId="7CBFAC70" w14:textId="77777777" w:rsidTr="002F5454">
        <w:trPr>
          <w:tblCellSpacing w:w="15" w:type="dxa"/>
        </w:trPr>
        <w:tc>
          <w:tcPr>
            <w:tcW w:w="1515" w:type="dxa"/>
            <w:tcMar>
              <w:top w:w="15" w:type="dxa"/>
              <w:left w:w="15" w:type="dxa"/>
              <w:bottom w:w="15" w:type="dxa"/>
              <w:right w:w="15" w:type="dxa"/>
            </w:tcMar>
            <w:vAlign w:val="center"/>
            <w:hideMark/>
          </w:tcPr>
          <w:p w14:paraId="3D93D267" w14:textId="77777777" w:rsidR="002F5454" w:rsidRPr="002F5454" w:rsidRDefault="002F5454" w:rsidP="002F5454">
            <w:pPr>
              <w:pStyle w:val="Body"/>
              <w:spacing w:after="0"/>
              <w:rPr>
                <w:rFonts w:ascii="Arial" w:hAnsi="Arial" w:cs="Arial"/>
              </w:rPr>
            </w:pPr>
            <w:r w:rsidRPr="002F5454">
              <w:rPr>
                <w:rFonts w:ascii="Arial" w:hAnsi="Arial" w:cs="Arial"/>
              </w:rPr>
              <w:t>Hospital referral</w:t>
            </w:r>
          </w:p>
        </w:tc>
        <w:tc>
          <w:tcPr>
            <w:tcW w:w="2096" w:type="dxa"/>
            <w:tcMar>
              <w:top w:w="15" w:type="dxa"/>
              <w:left w:w="15" w:type="dxa"/>
              <w:bottom w:w="15" w:type="dxa"/>
              <w:right w:w="15" w:type="dxa"/>
            </w:tcMar>
            <w:vAlign w:val="center"/>
            <w:hideMark/>
          </w:tcPr>
          <w:p w14:paraId="6AFB938E" w14:textId="77777777" w:rsidR="002F5454" w:rsidRPr="002F5454" w:rsidRDefault="002F5454" w:rsidP="002F5454">
            <w:pPr>
              <w:pStyle w:val="Body"/>
              <w:spacing w:after="0"/>
              <w:jc w:val="center"/>
              <w:rPr>
                <w:rFonts w:ascii="Arial" w:hAnsi="Arial" w:cs="Arial"/>
              </w:rPr>
            </w:pPr>
            <w:r w:rsidRPr="002F5454">
              <w:rPr>
                <w:rFonts w:ascii="Arial" w:hAnsi="Arial" w:cs="Arial"/>
              </w:rPr>
              <w:t>5, 0.1; (0.0-0.2)</w:t>
            </w:r>
          </w:p>
        </w:tc>
        <w:tc>
          <w:tcPr>
            <w:tcW w:w="2096" w:type="dxa"/>
            <w:tcMar>
              <w:top w:w="15" w:type="dxa"/>
              <w:left w:w="15" w:type="dxa"/>
              <w:bottom w:w="15" w:type="dxa"/>
              <w:right w:w="15" w:type="dxa"/>
            </w:tcMar>
            <w:vAlign w:val="center"/>
            <w:hideMark/>
          </w:tcPr>
          <w:p w14:paraId="50589C21" w14:textId="77777777" w:rsidR="002F5454" w:rsidRPr="002F5454" w:rsidRDefault="002F5454" w:rsidP="002F5454">
            <w:pPr>
              <w:pStyle w:val="Body"/>
              <w:spacing w:after="0"/>
              <w:jc w:val="center"/>
              <w:rPr>
                <w:rFonts w:ascii="Arial" w:hAnsi="Arial" w:cs="Arial"/>
              </w:rPr>
            </w:pPr>
            <w:r w:rsidRPr="002F5454">
              <w:rPr>
                <w:rFonts w:ascii="Arial" w:hAnsi="Arial" w:cs="Arial"/>
              </w:rPr>
              <w:t>5, 0.1; (0.0-0.2)</w:t>
            </w:r>
          </w:p>
        </w:tc>
        <w:tc>
          <w:tcPr>
            <w:tcW w:w="2351" w:type="dxa"/>
            <w:tcMar>
              <w:top w:w="15" w:type="dxa"/>
              <w:left w:w="15" w:type="dxa"/>
              <w:bottom w:w="15" w:type="dxa"/>
              <w:right w:w="15" w:type="dxa"/>
            </w:tcMar>
            <w:vAlign w:val="center"/>
            <w:hideMark/>
          </w:tcPr>
          <w:p w14:paraId="726A8D67" w14:textId="77777777" w:rsidR="002F5454" w:rsidRPr="002F5454" w:rsidRDefault="002F5454" w:rsidP="002F5454">
            <w:pPr>
              <w:pStyle w:val="Body"/>
              <w:spacing w:after="0"/>
              <w:jc w:val="center"/>
              <w:rPr>
                <w:rFonts w:ascii="Arial" w:hAnsi="Arial" w:cs="Arial"/>
              </w:rPr>
            </w:pPr>
            <w:r w:rsidRPr="002F5454">
              <w:rPr>
                <w:rFonts w:ascii="Arial" w:hAnsi="Arial" w:cs="Arial"/>
              </w:rPr>
              <w:t>0, 0.0; (0.0-0.0)</w:t>
            </w:r>
          </w:p>
        </w:tc>
      </w:tr>
    </w:tbl>
    <w:bookmarkEnd w:id="2"/>
    <w:p w14:paraId="5476DC2F" w14:textId="309B8F24" w:rsidR="002F5454" w:rsidRPr="006F4089" w:rsidRDefault="006F4089" w:rsidP="006F4089">
      <w:pPr>
        <w:tabs>
          <w:tab w:val="left" w:pos="1080"/>
        </w:tabs>
        <w:jc w:val="both"/>
        <w:rPr>
          <w:rFonts w:ascii="Arial" w:hAnsi="Arial" w:cs="Arial"/>
          <w:sz w:val="18"/>
          <w:szCs w:val="18"/>
        </w:rPr>
      </w:pPr>
      <w:r w:rsidRPr="006F4089">
        <w:rPr>
          <w:rFonts w:ascii="Arial" w:hAnsi="Arial"/>
          <w:bCs/>
          <w:sz w:val="18"/>
          <w:szCs w:val="18"/>
        </w:rPr>
        <w:t>Source: Prepared by the authors using data from the SINOLAVE System,</w:t>
      </w:r>
      <w:r w:rsidR="00BF475F">
        <w:rPr>
          <w:rFonts w:ascii="Arial" w:hAnsi="Arial"/>
          <w:bCs/>
          <w:sz w:val="18"/>
          <w:szCs w:val="18"/>
        </w:rPr>
        <w:t xml:space="preserve"> from</w:t>
      </w:r>
      <w:r w:rsidRPr="006F4089">
        <w:rPr>
          <w:rFonts w:ascii="Arial" w:hAnsi="Arial"/>
          <w:bCs/>
          <w:sz w:val="18"/>
          <w:szCs w:val="18"/>
        </w:rPr>
        <w:t xml:space="preserve"> October 2022 to May 2023.</w:t>
      </w:r>
      <w:r>
        <w:rPr>
          <w:rFonts w:ascii="Arial" w:hAnsi="Arial"/>
          <w:bCs/>
          <w:sz w:val="18"/>
          <w:szCs w:val="18"/>
        </w:rPr>
        <w:t xml:space="preserve"> </w:t>
      </w:r>
      <w:r w:rsidR="002F5454" w:rsidRPr="006F4089">
        <w:rPr>
          <w:rFonts w:ascii="Arial" w:hAnsi="Arial" w:cs="Arial"/>
          <w:sz w:val="18"/>
          <w:szCs w:val="18"/>
        </w:rPr>
        <w:t>OA: Outpatient admission. HA: Hospital admission. VH: vaccination history. VD: Voluntary discharge. CI: Clinical improvement.</w:t>
      </w:r>
      <w:r w:rsidR="00B74220" w:rsidRPr="006F4089">
        <w:rPr>
          <w:rFonts w:ascii="Arial" w:hAnsi="Arial" w:cs="Arial"/>
          <w:sz w:val="18"/>
          <w:szCs w:val="18"/>
        </w:rPr>
        <w:t xml:space="preserve"> </w:t>
      </w:r>
      <w:r w:rsidR="009312B8" w:rsidRPr="006F4089">
        <w:rPr>
          <w:rFonts w:ascii="Arial" w:hAnsi="Arial" w:cs="Arial"/>
          <w:sz w:val="18"/>
          <w:szCs w:val="18"/>
        </w:rPr>
        <w:t>*</w:t>
      </w:r>
      <w:r w:rsidR="00B74220" w:rsidRPr="006F4089">
        <w:rPr>
          <w:rFonts w:ascii="Arial" w:hAnsi="Arial" w:cs="Arial"/>
          <w:sz w:val="18"/>
          <w:szCs w:val="18"/>
        </w:rPr>
        <w:t>P value &lt;0.001</w:t>
      </w:r>
      <w:r w:rsidR="00C02D10">
        <w:rPr>
          <w:rFonts w:ascii="Arial" w:hAnsi="Arial" w:cs="Arial"/>
          <w:sz w:val="18"/>
          <w:szCs w:val="18"/>
        </w:rPr>
        <w:t xml:space="preserve">. </w:t>
      </w:r>
      <w:r w:rsidR="00C02D10" w:rsidRPr="00C02D10">
        <w:rPr>
          <w:rFonts w:ascii="Arial" w:hAnsi="Arial" w:cs="Arial"/>
          <w:sz w:val="18"/>
          <w:szCs w:val="18"/>
        </w:rPr>
        <w:t>P value was calculated by Likelihood Ratio Chi-Square Test</w:t>
      </w:r>
      <w:r w:rsidR="00C02D10">
        <w:rPr>
          <w:rFonts w:ascii="Arial" w:hAnsi="Arial" w:cs="Arial"/>
          <w:sz w:val="18"/>
          <w:szCs w:val="18"/>
        </w:rPr>
        <w:t xml:space="preserve"> and </w:t>
      </w:r>
      <w:r w:rsidR="00C02D10" w:rsidRPr="00C02D10">
        <w:rPr>
          <w:rFonts w:ascii="Arial" w:hAnsi="Arial" w:cs="Arial"/>
          <w:sz w:val="18"/>
          <w:szCs w:val="18"/>
        </w:rPr>
        <w:t>Yates Corrected Chi-Square Test</w:t>
      </w:r>
      <w:r w:rsidR="007134DE">
        <w:rPr>
          <w:rFonts w:ascii="Arial" w:hAnsi="Arial" w:cs="Arial"/>
          <w:sz w:val="18"/>
          <w:szCs w:val="18"/>
        </w:rPr>
        <w:t xml:space="preserve">, as </w:t>
      </w:r>
      <w:r w:rsidR="007134DE" w:rsidRPr="007134DE">
        <w:rPr>
          <w:rFonts w:ascii="Arial" w:hAnsi="Arial" w:cs="Arial"/>
          <w:sz w:val="18"/>
          <w:szCs w:val="18"/>
        </w:rPr>
        <w:t>appropriate</w:t>
      </w:r>
      <w:r w:rsidR="00C02D10" w:rsidRPr="00C02D10">
        <w:rPr>
          <w:rFonts w:ascii="Arial" w:hAnsi="Arial" w:cs="Arial"/>
          <w:sz w:val="18"/>
          <w:szCs w:val="18"/>
        </w:rPr>
        <w:t>.</w:t>
      </w:r>
    </w:p>
    <w:p w14:paraId="7CF15A8D" w14:textId="77777777" w:rsidR="00B07EFA" w:rsidRDefault="00B07EFA" w:rsidP="00B07EFA">
      <w:pPr>
        <w:pStyle w:val="Body"/>
        <w:spacing w:after="0"/>
      </w:pPr>
    </w:p>
    <w:p w14:paraId="22A024FF" w14:textId="555408BD" w:rsidR="00EA2561" w:rsidRDefault="00B07EFA" w:rsidP="00B07EFA">
      <w:pPr>
        <w:pStyle w:val="Body"/>
        <w:spacing w:after="0"/>
      </w:pPr>
      <w:r>
        <w:t>The prevalence of signs and symptoms varies between patients in the case and control groups. Some symptoms are more frequent among cases, while others are more common in controls. The average number of signs and symptoms per person is slightly higher in cases than in controls, although the median remains the same.</w:t>
      </w:r>
      <w:r w:rsidR="00BF475F">
        <w:t xml:space="preserve"> Hence, </w:t>
      </w:r>
      <w:r w:rsidR="00097B24">
        <w:t>t</w:t>
      </w:r>
      <w:r>
        <w:t xml:space="preserve">he most frequently reported signs and symptoms in the total population were: cough (slightly more common in controls), headache (more frequent in cases), fever (predominantly in cases), and painful swallowing (similar in both groups). </w:t>
      </w:r>
      <w:r w:rsidR="00097B24">
        <w:t>In addition, s</w:t>
      </w:r>
      <w:r>
        <w:t xml:space="preserve">ystemic symptoms such as general malaise, myalgia, and arthralgia were more common in cases. However, rhinorrhoea, dyspnoea, anosmia, and dysgeusia were more frequently observed in controls. Cyanosis and polypnoea were absent in the case group but present in a very small proportion of controls. Signs and symptoms such as abdominal pain, diarrhoea, anosmia, dysgeusia, chest pain, and conjunctivitis were observed in less than 15% of the population. </w:t>
      </w:r>
      <w:r w:rsidR="00097B24">
        <w:t xml:space="preserve">On the other hand, </w:t>
      </w:r>
      <w:r>
        <w:t xml:space="preserve">Coryza, cyanosis, and polypnoea were rare overall, with coryza being slightly more frequent in controls. Cases appeared to have higher rates of systemic symptoms (malaise, fever, myalgia, arthralgia, headache), suggesting a more generalised inflammatory response. In contrast, controls exhibited higher rates of respiratory distress (dyspnoea, cyanosis, polypnoea) and sensory symptoms (anosmia, dysgeusia). </w:t>
      </w:r>
      <w:r w:rsidR="00097B24">
        <w:t>Accordingly, t</w:t>
      </w:r>
      <w:r>
        <w:t>hese differences may reflect variations in disease progression, severity, or the stage of illness at the time of evaluation (table 3).</w:t>
      </w:r>
    </w:p>
    <w:p w14:paraId="4E44DA69" w14:textId="77777777" w:rsidR="00B07EFA" w:rsidRDefault="00B07EFA" w:rsidP="00B07EFA">
      <w:pPr>
        <w:pStyle w:val="Body"/>
        <w:spacing w:after="0"/>
      </w:pPr>
    </w:p>
    <w:p w14:paraId="52A19AA3" w14:textId="6E55ABAF" w:rsidR="00873F35" w:rsidRPr="00873F35" w:rsidRDefault="00873F35" w:rsidP="00873F35">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3</w:t>
      </w:r>
      <w:r w:rsidRPr="00873F35">
        <w:rPr>
          <w:rFonts w:ascii="Arial" w:hAnsi="Arial"/>
          <w:b/>
          <w:sz w:val="22"/>
          <w:szCs w:val="22"/>
        </w:rPr>
        <w:t>.</w:t>
      </w:r>
      <w:r w:rsidRPr="00873F35">
        <w:rPr>
          <w:rFonts w:ascii="Arial" w:hAnsi="Arial"/>
          <w:b/>
          <w:sz w:val="22"/>
          <w:szCs w:val="22"/>
        </w:rPr>
        <w:tab/>
      </w:r>
      <w:r>
        <w:rPr>
          <w:rFonts w:ascii="Arial" w:hAnsi="Arial"/>
          <w:b/>
          <w:sz w:val="22"/>
          <w:szCs w:val="22"/>
        </w:rPr>
        <w:t>B</w:t>
      </w:r>
      <w:r w:rsidRPr="00873F35">
        <w:rPr>
          <w:rFonts w:ascii="Arial" w:hAnsi="Arial"/>
          <w:b/>
          <w:sz w:val="22"/>
          <w:szCs w:val="22"/>
        </w:rPr>
        <w:t>asal clinic characteristics of the study population</w:t>
      </w:r>
    </w:p>
    <w:tbl>
      <w:tblPr>
        <w:tblStyle w:val="TableGrid"/>
        <w:tblW w:w="83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2268"/>
        <w:gridCol w:w="2410"/>
      </w:tblGrid>
      <w:tr w:rsidR="00C66E58" w:rsidRPr="00B92DF2" w14:paraId="616E226D" w14:textId="77777777" w:rsidTr="00A679D5">
        <w:trPr>
          <w:trHeight w:val="288"/>
        </w:trPr>
        <w:tc>
          <w:tcPr>
            <w:tcW w:w="1413" w:type="dxa"/>
            <w:tcBorders>
              <w:bottom w:val="single" w:sz="4" w:space="0" w:color="auto"/>
            </w:tcBorders>
            <w:noWrap/>
            <w:vAlign w:val="center"/>
            <w:hideMark/>
          </w:tcPr>
          <w:p w14:paraId="7D65E681" w14:textId="77777777" w:rsidR="00C66E58" w:rsidRPr="00873F35" w:rsidRDefault="00C66E58" w:rsidP="00C66E58">
            <w:pPr>
              <w:pStyle w:val="Body"/>
              <w:spacing w:after="0"/>
              <w:rPr>
                <w:rFonts w:ascii="Arial" w:hAnsi="Arial" w:cs="Arial"/>
                <w:sz w:val="20"/>
                <w:szCs w:val="20"/>
                <w:lang w:val="en-US"/>
              </w:rPr>
            </w:pPr>
          </w:p>
        </w:tc>
        <w:tc>
          <w:tcPr>
            <w:tcW w:w="2268" w:type="dxa"/>
            <w:tcBorders>
              <w:bottom w:val="single" w:sz="4" w:space="0" w:color="auto"/>
            </w:tcBorders>
            <w:noWrap/>
            <w:vAlign w:val="center"/>
            <w:hideMark/>
          </w:tcPr>
          <w:p w14:paraId="5C1DBB04" w14:textId="77777777" w:rsidR="00C66E58" w:rsidRPr="00B92DF2" w:rsidRDefault="00C66E58" w:rsidP="00C66E58">
            <w:pPr>
              <w:pStyle w:val="Body"/>
              <w:spacing w:after="0"/>
              <w:jc w:val="center"/>
              <w:rPr>
                <w:rFonts w:ascii="Arial" w:hAnsi="Arial" w:cs="Arial"/>
                <w:sz w:val="20"/>
                <w:szCs w:val="20"/>
              </w:rPr>
            </w:pPr>
            <w:r w:rsidRPr="002F5454">
              <w:rPr>
                <w:rFonts w:ascii="Arial" w:hAnsi="Arial" w:cs="Arial"/>
                <w:sz w:val="20"/>
                <w:szCs w:val="20"/>
              </w:rPr>
              <w:t>Total Population</w:t>
            </w:r>
          </w:p>
          <w:p w14:paraId="4948CD7C" w14:textId="7B9C6A4F" w:rsidR="00C66E58" w:rsidRPr="00B92DF2" w:rsidRDefault="00C66E58" w:rsidP="00C66E58">
            <w:pPr>
              <w:pStyle w:val="Body"/>
              <w:spacing w:after="0"/>
              <w:jc w:val="center"/>
              <w:rPr>
                <w:rFonts w:ascii="Arial" w:hAnsi="Arial" w:cs="Arial"/>
                <w:sz w:val="20"/>
                <w:szCs w:val="20"/>
              </w:rPr>
            </w:pPr>
            <w:r w:rsidRPr="00B92DF2">
              <w:rPr>
                <w:rFonts w:ascii="Arial" w:hAnsi="Arial" w:cs="Arial"/>
                <w:sz w:val="20"/>
                <w:szCs w:val="20"/>
              </w:rPr>
              <w:t>N= 5,228</w:t>
            </w:r>
          </w:p>
        </w:tc>
        <w:tc>
          <w:tcPr>
            <w:tcW w:w="2268" w:type="dxa"/>
            <w:tcBorders>
              <w:bottom w:val="single" w:sz="4" w:space="0" w:color="auto"/>
            </w:tcBorders>
            <w:noWrap/>
            <w:vAlign w:val="center"/>
            <w:hideMark/>
          </w:tcPr>
          <w:p w14:paraId="4004D35C" w14:textId="77777777" w:rsidR="00C66E58" w:rsidRPr="00B92DF2" w:rsidRDefault="00C66E58" w:rsidP="00C66E58">
            <w:pPr>
              <w:pStyle w:val="Body"/>
              <w:spacing w:after="0"/>
              <w:jc w:val="center"/>
              <w:rPr>
                <w:rFonts w:ascii="Arial" w:hAnsi="Arial" w:cs="Arial"/>
                <w:sz w:val="20"/>
                <w:szCs w:val="20"/>
              </w:rPr>
            </w:pPr>
            <w:r w:rsidRPr="002F5454">
              <w:rPr>
                <w:rFonts w:ascii="Arial" w:hAnsi="Arial" w:cs="Arial"/>
                <w:sz w:val="20"/>
                <w:szCs w:val="20"/>
              </w:rPr>
              <w:t>Cases</w:t>
            </w:r>
          </w:p>
          <w:p w14:paraId="08FFFA2C" w14:textId="142D4133" w:rsidR="00C66E58" w:rsidRPr="00B92DF2" w:rsidRDefault="00C66E58" w:rsidP="00C66E58">
            <w:pPr>
              <w:pStyle w:val="Body"/>
              <w:spacing w:after="0"/>
              <w:jc w:val="center"/>
              <w:rPr>
                <w:rFonts w:ascii="Arial" w:hAnsi="Arial" w:cs="Arial"/>
                <w:sz w:val="20"/>
                <w:szCs w:val="20"/>
              </w:rPr>
            </w:pPr>
            <w:r w:rsidRPr="00B92DF2">
              <w:rPr>
                <w:rFonts w:ascii="Arial" w:hAnsi="Arial" w:cs="Arial"/>
                <w:sz w:val="20"/>
                <w:szCs w:val="20"/>
              </w:rPr>
              <w:t>n= 1,307</w:t>
            </w:r>
          </w:p>
        </w:tc>
        <w:tc>
          <w:tcPr>
            <w:tcW w:w="2410" w:type="dxa"/>
            <w:tcBorders>
              <w:bottom w:val="single" w:sz="4" w:space="0" w:color="auto"/>
            </w:tcBorders>
            <w:noWrap/>
            <w:vAlign w:val="center"/>
            <w:hideMark/>
          </w:tcPr>
          <w:p w14:paraId="34EC45B6" w14:textId="77777777" w:rsidR="00C66E58" w:rsidRPr="00B92DF2" w:rsidRDefault="00C66E58" w:rsidP="00C66E58">
            <w:pPr>
              <w:pStyle w:val="Body"/>
              <w:spacing w:after="0"/>
              <w:jc w:val="center"/>
              <w:rPr>
                <w:rFonts w:ascii="Arial" w:hAnsi="Arial" w:cs="Arial"/>
                <w:sz w:val="20"/>
                <w:szCs w:val="20"/>
              </w:rPr>
            </w:pPr>
            <w:r w:rsidRPr="002F5454">
              <w:rPr>
                <w:rFonts w:ascii="Arial" w:hAnsi="Arial" w:cs="Arial"/>
                <w:sz w:val="20"/>
                <w:szCs w:val="20"/>
              </w:rPr>
              <w:t>Controls</w:t>
            </w:r>
          </w:p>
          <w:p w14:paraId="5F2D2194" w14:textId="673B1E5F" w:rsidR="00C66E58" w:rsidRPr="00B92DF2" w:rsidRDefault="00C66E58" w:rsidP="00C66E58">
            <w:pPr>
              <w:pStyle w:val="Body"/>
              <w:spacing w:after="0"/>
              <w:jc w:val="center"/>
              <w:rPr>
                <w:rFonts w:ascii="Arial" w:hAnsi="Arial" w:cs="Arial"/>
                <w:sz w:val="20"/>
                <w:szCs w:val="20"/>
              </w:rPr>
            </w:pPr>
            <w:r w:rsidRPr="00B92DF2">
              <w:rPr>
                <w:rFonts w:ascii="Arial" w:hAnsi="Arial" w:cs="Arial"/>
                <w:sz w:val="20"/>
                <w:szCs w:val="20"/>
              </w:rPr>
              <w:t>n= 3,921</w:t>
            </w:r>
          </w:p>
        </w:tc>
      </w:tr>
      <w:tr w:rsidR="00C66E58" w:rsidRPr="00C66E58" w14:paraId="66F3D101" w14:textId="77777777" w:rsidTr="00A679D5">
        <w:trPr>
          <w:trHeight w:val="288"/>
        </w:trPr>
        <w:tc>
          <w:tcPr>
            <w:tcW w:w="1413" w:type="dxa"/>
            <w:tcBorders>
              <w:top w:val="single" w:sz="4" w:space="0" w:color="auto"/>
              <w:bottom w:val="nil"/>
            </w:tcBorders>
            <w:noWrap/>
            <w:vAlign w:val="center"/>
            <w:hideMark/>
          </w:tcPr>
          <w:p w14:paraId="592B8C82" w14:textId="2B98A103" w:rsidR="00C66E58" w:rsidRPr="00C66E58" w:rsidRDefault="00F424A8" w:rsidP="00C66E58">
            <w:pPr>
              <w:pStyle w:val="Body"/>
              <w:spacing w:after="0"/>
              <w:rPr>
                <w:rFonts w:ascii="Arial" w:hAnsi="Arial" w:cs="Arial"/>
                <w:sz w:val="20"/>
                <w:szCs w:val="20"/>
              </w:rPr>
            </w:pPr>
            <w:r>
              <w:rPr>
                <w:rFonts w:ascii="Arial" w:hAnsi="Arial" w:cs="Arial"/>
                <w:sz w:val="20"/>
                <w:szCs w:val="20"/>
              </w:rPr>
              <w:t>SO</w:t>
            </w:r>
            <w:r w:rsidR="009312B8">
              <w:rPr>
                <w:rFonts w:ascii="Arial" w:hAnsi="Arial" w:cs="Arial"/>
                <w:sz w:val="20"/>
                <w:szCs w:val="20"/>
              </w:rPr>
              <w:t>*</w:t>
            </w:r>
          </w:p>
        </w:tc>
        <w:tc>
          <w:tcPr>
            <w:tcW w:w="2268" w:type="dxa"/>
            <w:tcBorders>
              <w:top w:val="single" w:sz="4" w:space="0" w:color="auto"/>
              <w:bottom w:val="nil"/>
            </w:tcBorders>
            <w:noWrap/>
            <w:vAlign w:val="center"/>
            <w:hideMark/>
          </w:tcPr>
          <w:p w14:paraId="76BA3A0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1062, 20.3; (19.1-21.4)</w:t>
            </w:r>
          </w:p>
        </w:tc>
        <w:tc>
          <w:tcPr>
            <w:tcW w:w="2268" w:type="dxa"/>
            <w:tcBorders>
              <w:top w:val="single" w:sz="4" w:space="0" w:color="auto"/>
              <w:bottom w:val="nil"/>
            </w:tcBorders>
            <w:noWrap/>
            <w:vAlign w:val="center"/>
            <w:hideMark/>
          </w:tcPr>
          <w:p w14:paraId="61521B5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210, 16.1; (14.1-18.1)</w:t>
            </w:r>
          </w:p>
        </w:tc>
        <w:tc>
          <w:tcPr>
            <w:tcW w:w="2410" w:type="dxa"/>
            <w:tcBorders>
              <w:top w:val="single" w:sz="4" w:space="0" w:color="auto"/>
              <w:bottom w:val="nil"/>
            </w:tcBorders>
            <w:noWrap/>
            <w:vAlign w:val="center"/>
            <w:hideMark/>
          </w:tcPr>
          <w:p w14:paraId="25EF4341"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852, 21.7; (20.3-23)</w:t>
            </w:r>
          </w:p>
        </w:tc>
      </w:tr>
      <w:tr w:rsidR="00C66E58" w:rsidRPr="00C66E58" w14:paraId="3228302A" w14:textId="77777777" w:rsidTr="00A679D5">
        <w:trPr>
          <w:trHeight w:val="288"/>
        </w:trPr>
        <w:tc>
          <w:tcPr>
            <w:tcW w:w="1413" w:type="dxa"/>
            <w:tcBorders>
              <w:top w:val="nil"/>
            </w:tcBorders>
            <w:noWrap/>
            <w:vAlign w:val="center"/>
            <w:hideMark/>
          </w:tcPr>
          <w:p w14:paraId="32A5FCA3" w14:textId="1965B181"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Fever</w:t>
            </w:r>
            <w:r w:rsidR="009312B8">
              <w:rPr>
                <w:rFonts w:ascii="Arial" w:hAnsi="Arial" w:cs="Arial"/>
                <w:sz w:val="20"/>
                <w:szCs w:val="20"/>
                <w:lang w:val="en-US"/>
              </w:rPr>
              <w:t>*</w:t>
            </w:r>
          </w:p>
        </w:tc>
        <w:tc>
          <w:tcPr>
            <w:tcW w:w="2268" w:type="dxa"/>
            <w:tcBorders>
              <w:top w:val="nil"/>
            </w:tcBorders>
            <w:noWrap/>
            <w:vAlign w:val="center"/>
            <w:hideMark/>
          </w:tcPr>
          <w:p w14:paraId="24D9DAEC"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3884, 74.3; (73.1-75.5)</w:t>
            </w:r>
          </w:p>
        </w:tc>
        <w:tc>
          <w:tcPr>
            <w:tcW w:w="2268" w:type="dxa"/>
            <w:tcBorders>
              <w:top w:val="nil"/>
            </w:tcBorders>
            <w:noWrap/>
            <w:vAlign w:val="center"/>
            <w:hideMark/>
          </w:tcPr>
          <w:p w14:paraId="54B0642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1034, 79.1; (77-81.3)</w:t>
            </w:r>
          </w:p>
        </w:tc>
        <w:tc>
          <w:tcPr>
            <w:tcW w:w="2410" w:type="dxa"/>
            <w:tcBorders>
              <w:top w:val="nil"/>
            </w:tcBorders>
            <w:noWrap/>
            <w:vAlign w:val="center"/>
            <w:hideMark/>
          </w:tcPr>
          <w:p w14:paraId="0E00076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2850, 72.7; (71.3-74.1)</w:t>
            </w:r>
          </w:p>
        </w:tc>
      </w:tr>
      <w:tr w:rsidR="00C66E58" w:rsidRPr="00C66E58" w14:paraId="75149100" w14:textId="77777777" w:rsidTr="00A679D5">
        <w:trPr>
          <w:trHeight w:val="288"/>
        </w:trPr>
        <w:tc>
          <w:tcPr>
            <w:tcW w:w="1413" w:type="dxa"/>
            <w:noWrap/>
            <w:vAlign w:val="center"/>
            <w:hideMark/>
          </w:tcPr>
          <w:p w14:paraId="4ACC94DF" w14:textId="4DBBF662"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Cough</w:t>
            </w:r>
            <w:r w:rsidR="009312B8">
              <w:rPr>
                <w:rFonts w:ascii="Arial" w:hAnsi="Arial" w:cs="Arial"/>
                <w:sz w:val="20"/>
                <w:szCs w:val="20"/>
                <w:lang w:val="en-US"/>
              </w:rPr>
              <w:t>**</w:t>
            </w:r>
          </w:p>
        </w:tc>
        <w:tc>
          <w:tcPr>
            <w:tcW w:w="2268" w:type="dxa"/>
            <w:noWrap/>
            <w:vAlign w:val="center"/>
            <w:hideMark/>
          </w:tcPr>
          <w:p w14:paraId="25781225"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4590, 87.8; (86.9-88.7)</w:t>
            </w:r>
          </w:p>
        </w:tc>
        <w:tc>
          <w:tcPr>
            <w:tcW w:w="2268" w:type="dxa"/>
            <w:noWrap/>
            <w:vAlign w:val="center"/>
            <w:hideMark/>
          </w:tcPr>
          <w:p w14:paraId="0A5CD4D6"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1124, 86; (84-87.8)</w:t>
            </w:r>
          </w:p>
        </w:tc>
        <w:tc>
          <w:tcPr>
            <w:tcW w:w="2410" w:type="dxa"/>
            <w:noWrap/>
            <w:vAlign w:val="center"/>
            <w:hideMark/>
          </w:tcPr>
          <w:p w14:paraId="265DBC7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3466, 88.4; (87.4-89.4)</w:t>
            </w:r>
          </w:p>
        </w:tc>
      </w:tr>
      <w:tr w:rsidR="00C66E58" w:rsidRPr="00C66E58" w14:paraId="1015E4AA" w14:textId="77777777" w:rsidTr="00A679D5">
        <w:trPr>
          <w:trHeight w:val="288"/>
        </w:trPr>
        <w:tc>
          <w:tcPr>
            <w:tcW w:w="1413" w:type="dxa"/>
            <w:noWrap/>
            <w:vAlign w:val="center"/>
            <w:hideMark/>
          </w:tcPr>
          <w:p w14:paraId="310B906E" w14:textId="3EE7FB39"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Headache</w:t>
            </w:r>
            <w:r w:rsidR="009312B8">
              <w:rPr>
                <w:rFonts w:ascii="Arial" w:hAnsi="Arial" w:cs="Arial"/>
                <w:sz w:val="20"/>
                <w:szCs w:val="20"/>
                <w:lang w:val="en-US"/>
              </w:rPr>
              <w:t>*</w:t>
            </w:r>
          </w:p>
        </w:tc>
        <w:tc>
          <w:tcPr>
            <w:tcW w:w="2268" w:type="dxa"/>
            <w:noWrap/>
            <w:vAlign w:val="center"/>
            <w:hideMark/>
          </w:tcPr>
          <w:p w14:paraId="23B0A74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4609, 88.2; (87.2-89)</w:t>
            </w:r>
          </w:p>
        </w:tc>
        <w:tc>
          <w:tcPr>
            <w:tcW w:w="2268" w:type="dxa"/>
            <w:noWrap/>
            <w:vAlign w:val="center"/>
            <w:hideMark/>
          </w:tcPr>
          <w:p w14:paraId="4B0EF88F"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1198, 91.7; (90.1-93.1)</w:t>
            </w:r>
          </w:p>
        </w:tc>
        <w:tc>
          <w:tcPr>
            <w:tcW w:w="2410" w:type="dxa"/>
            <w:noWrap/>
            <w:vAlign w:val="center"/>
            <w:hideMark/>
          </w:tcPr>
          <w:p w14:paraId="186259A6"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3411, 87; (86-88.1)</w:t>
            </w:r>
          </w:p>
        </w:tc>
      </w:tr>
      <w:tr w:rsidR="00C66E58" w:rsidRPr="00C66E58" w14:paraId="4A8EF64E" w14:textId="77777777" w:rsidTr="00A679D5">
        <w:trPr>
          <w:trHeight w:val="288"/>
        </w:trPr>
        <w:tc>
          <w:tcPr>
            <w:tcW w:w="1413" w:type="dxa"/>
            <w:noWrap/>
            <w:vAlign w:val="center"/>
            <w:hideMark/>
          </w:tcPr>
          <w:p w14:paraId="32F1F971" w14:textId="609064F9" w:rsidR="00C66E58" w:rsidRPr="00C66E58" w:rsidRDefault="00F424A8" w:rsidP="00C66E58">
            <w:pPr>
              <w:pStyle w:val="Body"/>
              <w:spacing w:after="0"/>
              <w:rPr>
                <w:rFonts w:ascii="Arial" w:hAnsi="Arial" w:cs="Arial"/>
                <w:sz w:val="20"/>
                <w:szCs w:val="20"/>
              </w:rPr>
            </w:pPr>
            <w:r>
              <w:rPr>
                <w:rFonts w:ascii="Arial" w:hAnsi="Arial" w:cs="Arial"/>
                <w:sz w:val="20"/>
                <w:szCs w:val="20"/>
              </w:rPr>
              <w:t>PS</w:t>
            </w:r>
          </w:p>
        </w:tc>
        <w:tc>
          <w:tcPr>
            <w:tcW w:w="2268" w:type="dxa"/>
            <w:noWrap/>
            <w:vAlign w:val="center"/>
            <w:hideMark/>
          </w:tcPr>
          <w:p w14:paraId="07FB39EC"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4049, 77.4; (76.3-78.6)</w:t>
            </w:r>
          </w:p>
        </w:tc>
        <w:tc>
          <w:tcPr>
            <w:tcW w:w="2268" w:type="dxa"/>
            <w:noWrap/>
            <w:vAlign w:val="center"/>
            <w:hideMark/>
          </w:tcPr>
          <w:p w14:paraId="4BE9CC5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1026, 78.5; (76.2-80.6)</w:t>
            </w:r>
          </w:p>
        </w:tc>
        <w:tc>
          <w:tcPr>
            <w:tcW w:w="2410" w:type="dxa"/>
            <w:noWrap/>
            <w:vAlign w:val="center"/>
            <w:hideMark/>
          </w:tcPr>
          <w:p w14:paraId="63518CAF"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3023, 77.1; (75.7-78.3)</w:t>
            </w:r>
          </w:p>
        </w:tc>
      </w:tr>
      <w:tr w:rsidR="00C66E58" w:rsidRPr="00C66E58" w14:paraId="044D7D9C" w14:textId="77777777" w:rsidTr="00A679D5">
        <w:trPr>
          <w:trHeight w:val="288"/>
        </w:trPr>
        <w:tc>
          <w:tcPr>
            <w:tcW w:w="1413" w:type="dxa"/>
            <w:noWrap/>
            <w:vAlign w:val="center"/>
            <w:hideMark/>
          </w:tcPr>
          <w:p w14:paraId="698BFB48" w14:textId="649D8994" w:rsidR="00C66E58" w:rsidRPr="00C66E58" w:rsidRDefault="00F424A8" w:rsidP="00C66E58">
            <w:pPr>
              <w:pStyle w:val="Body"/>
              <w:spacing w:after="0"/>
              <w:rPr>
                <w:rFonts w:ascii="Arial" w:hAnsi="Arial" w:cs="Arial"/>
                <w:sz w:val="20"/>
                <w:szCs w:val="20"/>
              </w:rPr>
            </w:pPr>
            <w:r>
              <w:rPr>
                <w:rFonts w:ascii="Arial" w:hAnsi="Arial" w:cs="Arial"/>
                <w:sz w:val="20"/>
                <w:szCs w:val="20"/>
              </w:rPr>
              <w:lastRenderedPageBreak/>
              <w:t>GM</w:t>
            </w:r>
            <w:r w:rsidR="009312B8">
              <w:rPr>
                <w:rFonts w:ascii="Arial" w:hAnsi="Arial" w:cs="Arial"/>
                <w:sz w:val="20"/>
                <w:szCs w:val="20"/>
              </w:rPr>
              <w:t>*</w:t>
            </w:r>
          </w:p>
        </w:tc>
        <w:tc>
          <w:tcPr>
            <w:tcW w:w="2268" w:type="dxa"/>
            <w:noWrap/>
            <w:vAlign w:val="center"/>
            <w:hideMark/>
          </w:tcPr>
          <w:p w14:paraId="3A33D70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2659, 50.9; (49.5-52.1)</w:t>
            </w:r>
          </w:p>
        </w:tc>
        <w:tc>
          <w:tcPr>
            <w:tcW w:w="2268" w:type="dxa"/>
            <w:noWrap/>
            <w:vAlign w:val="center"/>
            <w:hideMark/>
          </w:tcPr>
          <w:p w14:paraId="71CD8B52"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819, 62.7; (60.1-65.1)</w:t>
            </w:r>
          </w:p>
        </w:tc>
        <w:tc>
          <w:tcPr>
            <w:tcW w:w="2410" w:type="dxa"/>
            <w:noWrap/>
            <w:vAlign w:val="center"/>
            <w:hideMark/>
          </w:tcPr>
          <w:p w14:paraId="7566D02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1840, 46.9; (45.3-48.5)</w:t>
            </w:r>
          </w:p>
        </w:tc>
      </w:tr>
      <w:tr w:rsidR="00C66E58" w:rsidRPr="00C66E58" w14:paraId="70F03227" w14:textId="77777777" w:rsidTr="00A679D5">
        <w:trPr>
          <w:trHeight w:val="288"/>
        </w:trPr>
        <w:tc>
          <w:tcPr>
            <w:tcW w:w="1413" w:type="dxa"/>
            <w:noWrap/>
            <w:vAlign w:val="center"/>
            <w:hideMark/>
          </w:tcPr>
          <w:p w14:paraId="2BD877C1" w14:textId="0AB3E4BC"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Myalgia</w:t>
            </w:r>
            <w:r w:rsidR="009312B8">
              <w:rPr>
                <w:rFonts w:ascii="Arial" w:hAnsi="Arial" w:cs="Arial"/>
                <w:sz w:val="20"/>
                <w:szCs w:val="20"/>
                <w:lang w:val="en-US"/>
              </w:rPr>
              <w:t>*</w:t>
            </w:r>
          </w:p>
        </w:tc>
        <w:tc>
          <w:tcPr>
            <w:tcW w:w="2268" w:type="dxa"/>
            <w:noWrap/>
            <w:vAlign w:val="center"/>
            <w:hideMark/>
          </w:tcPr>
          <w:p w14:paraId="2A76F5CA"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3550, 67.9; (66.6-69.2)</w:t>
            </w:r>
          </w:p>
        </w:tc>
        <w:tc>
          <w:tcPr>
            <w:tcW w:w="2268" w:type="dxa"/>
            <w:noWrap/>
            <w:vAlign w:val="center"/>
            <w:hideMark/>
          </w:tcPr>
          <w:p w14:paraId="30C01595"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937, 71.7; (69.2-74.1)</w:t>
            </w:r>
          </w:p>
        </w:tc>
        <w:tc>
          <w:tcPr>
            <w:tcW w:w="2410" w:type="dxa"/>
            <w:noWrap/>
            <w:vAlign w:val="center"/>
            <w:hideMark/>
          </w:tcPr>
          <w:p w14:paraId="5408CEB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2613, 66.6; (65.2-68.1)</w:t>
            </w:r>
          </w:p>
        </w:tc>
      </w:tr>
      <w:tr w:rsidR="00C66E58" w:rsidRPr="00C66E58" w14:paraId="450B1E68" w14:textId="77777777" w:rsidTr="00A679D5">
        <w:trPr>
          <w:trHeight w:val="288"/>
        </w:trPr>
        <w:tc>
          <w:tcPr>
            <w:tcW w:w="1413" w:type="dxa"/>
            <w:noWrap/>
            <w:vAlign w:val="center"/>
            <w:hideMark/>
          </w:tcPr>
          <w:p w14:paraId="49C0E7EC" w14:textId="325ABE5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Arthralgia</w:t>
            </w:r>
            <w:r w:rsidR="009312B8">
              <w:rPr>
                <w:rFonts w:ascii="Arial" w:hAnsi="Arial" w:cs="Arial"/>
                <w:sz w:val="20"/>
                <w:szCs w:val="20"/>
                <w:lang w:val="en-US"/>
              </w:rPr>
              <w:t>*</w:t>
            </w:r>
          </w:p>
        </w:tc>
        <w:tc>
          <w:tcPr>
            <w:tcW w:w="2268" w:type="dxa"/>
            <w:noWrap/>
            <w:vAlign w:val="center"/>
            <w:hideMark/>
          </w:tcPr>
          <w:p w14:paraId="088E15F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3084, 59; (57.6-60.4)</w:t>
            </w:r>
          </w:p>
        </w:tc>
        <w:tc>
          <w:tcPr>
            <w:tcW w:w="2268" w:type="dxa"/>
            <w:noWrap/>
            <w:vAlign w:val="center"/>
            <w:hideMark/>
          </w:tcPr>
          <w:p w14:paraId="4DEE48C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872, 66.7; (64-69.2)</w:t>
            </w:r>
          </w:p>
        </w:tc>
        <w:tc>
          <w:tcPr>
            <w:tcW w:w="2410" w:type="dxa"/>
            <w:noWrap/>
            <w:vAlign w:val="center"/>
            <w:hideMark/>
          </w:tcPr>
          <w:p w14:paraId="496BBBA9"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2212, 56.4; (54.8-58)</w:t>
            </w:r>
          </w:p>
        </w:tc>
      </w:tr>
      <w:tr w:rsidR="00C66E58" w:rsidRPr="00C66E58" w14:paraId="11C19CB6" w14:textId="77777777" w:rsidTr="00A679D5">
        <w:trPr>
          <w:trHeight w:val="288"/>
        </w:trPr>
        <w:tc>
          <w:tcPr>
            <w:tcW w:w="1413" w:type="dxa"/>
            <w:noWrap/>
            <w:vAlign w:val="center"/>
            <w:hideMark/>
          </w:tcPr>
          <w:p w14:paraId="569A57B8" w14:textId="0C64BDE1" w:rsidR="00C66E58" w:rsidRPr="00C66E58" w:rsidRDefault="00F424A8" w:rsidP="00C66E58">
            <w:pPr>
              <w:pStyle w:val="Body"/>
              <w:spacing w:after="0"/>
              <w:rPr>
                <w:rFonts w:ascii="Arial" w:hAnsi="Arial" w:cs="Arial"/>
                <w:sz w:val="20"/>
                <w:szCs w:val="20"/>
              </w:rPr>
            </w:pPr>
            <w:r>
              <w:rPr>
                <w:rFonts w:ascii="Arial" w:hAnsi="Arial" w:cs="Arial"/>
                <w:sz w:val="20"/>
                <w:szCs w:val="20"/>
              </w:rPr>
              <w:t>PW</w:t>
            </w:r>
          </w:p>
        </w:tc>
        <w:tc>
          <w:tcPr>
            <w:tcW w:w="2268" w:type="dxa"/>
            <w:noWrap/>
            <w:vAlign w:val="center"/>
            <w:hideMark/>
          </w:tcPr>
          <w:p w14:paraId="7A2402CF"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94, 1.8; (1.5-2.2)</w:t>
            </w:r>
          </w:p>
        </w:tc>
        <w:tc>
          <w:tcPr>
            <w:tcW w:w="2268" w:type="dxa"/>
            <w:noWrap/>
            <w:vAlign w:val="center"/>
            <w:hideMark/>
          </w:tcPr>
          <w:p w14:paraId="528CBEA7"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 2; (1.3-2.8)</w:t>
            </w:r>
          </w:p>
        </w:tc>
        <w:tc>
          <w:tcPr>
            <w:tcW w:w="2410" w:type="dxa"/>
            <w:noWrap/>
            <w:vAlign w:val="center"/>
            <w:hideMark/>
          </w:tcPr>
          <w:p w14:paraId="7C7AE57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68, 1.7; (1.3-2.2)</w:t>
            </w:r>
          </w:p>
        </w:tc>
      </w:tr>
      <w:tr w:rsidR="00C66E58" w:rsidRPr="00C66E58" w14:paraId="4D84A8C7" w14:textId="77777777" w:rsidTr="00A679D5">
        <w:trPr>
          <w:trHeight w:val="288"/>
        </w:trPr>
        <w:tc>
          <w:tcPr>
            <w:tcW w:w="1413" w:type="dxa"/>
            <w:noWrap/>
            <w:vAlign w:val="center"/>
            <w:hideMark/>
          </w:tcPr>
          <w:p w14:paraId="4BA5B879" w14:textId="5E44D25D"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Rhinorrhoea</w:t>
            </w:r>
            <w:r w:rsidR="009312B8">
              <w:rPr>
                <w:rFonts w:ascii="Arial" w:hAnsi="Arial" w:cs="Arial"/>
                <w:sz w:val="20"/>
                <w:szCs w:val="20"/>
                <w:lang w:val="en-US"/>
              </w:rPr>
              <w:t>*</w:t>
            </w:r>
          </w:p>
        </w:tc>
        <w:tc>
          <w:tcPr>
            <w:tcW w:w="2268" w:type="dxa"/>
            <w:noWrap/>
            <w:vAlign w:val="center"/>
            <w:hideMark/>
          </w:tcPr>
          <w:p w14:paraId="2FA2E94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3554, 68; (66.7-69.2)</w:t>
            </w:r>
          </w:p>
        </w:tc>
        <w:tc>
          <w:tcPr>
            <w:tcW w:w="2268" w:type="dxa"/>
            <w:noWrap/>
            <w:vAlign w:val="center"/>
            <w:hideMark/>
          </w:tcPr>
          <w:p w14:paraId="17DD05A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826, 63.2; (60.5-65.7)</w:t>
            </w:r>
          </w:p>
        </w:tc>
        <w:tc>
          <w:tcPr>
            <w:tcW w:w="2410" w:type="dxa"/>
            <w:noWrap/>
            <w:vAlign w:val="center"/>
            <w:hideMark/>
          </w:tcPr>
          <w:p w14:paraId="152F2AA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2728, 69.6; (68.2-71)</w:t>
            </w:r>
          </w:p>
        </w:tc>
      </w:tr>
      <w:tr w:rsidR="00C66E58" w:rsidRPr="00C66E58" w14:paraId="5A810175" w14:textId="77777777" w:rsidTr="00A679D5">
        <w:trPr>
          <w:trHeight w:val="288"/>
        </w:trPr>
        <w:tc>
          <w:tcPr>
            <w:tcW w:w="1413" w:type="dxa"/>
            <w:noWrap/>
            <w:vAlign w:val="center"/>
            <w:hideMark/>
          </w:tcPr>
          <w:p w14:paraId="754BBF25" w14:textId="7777777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Chills</w:t>
            </w:r>
          </w:p>
        </w:tc>
        <w:tc>
          <w:tcPr>
            <w:tcW w:w="2268" w:type="dxa"/>
            <w:noWrap/>
            <w:vAlign w:val="center"/>
            <w:hideMark/>
          </w:tcPr>
          <w:p w14:paraId="75F0DB02"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2434, 46.6; (45.2-48)</w:t>
            </w:r>
          </w:p>
        </w:tc>
        <w:tc>
          <w:tcPr>
            <w:tcW w:w="2268" w:type="dxa"/>
            <w:noWrap/>
            <w:vAlign w:val="center"/>
            <w:hideMark/>
          </w:tcPr>
          <w:p w14:paraId="340EE393"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578, 44.2; (41.6-46.9)</w:t>
            </w:r>
          </w:p>
        </w:tc>
        <w:tc>
          <w:tcPr>
            <w:tcW w:w="2410" w:type="dxa"/>
            <w:noWrap/>
            <w:vAlign w:val="center"/>
            <w:hideMark/>
          </w:tcPr>
          <w:p w14:paraId="3A3D3E0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1856, 47.3; (45.7-49)</w:t>
            </w:r>
          </w:p>
        </w:tc>
      </w:tr>
      <w:tr w:rsidR="00C66E58" w:rsidRPr="00C66E58" w14:paraId="2D5A503E" w14:textId="77777777" w:rsidTr="00A679D5">
        <w:trPr>
          <w:trHeight w:val="288"/>
        </w:trPr>
        <w:tc>
          <w:tcPr>
            <w:tcW w:w="1413" w:type="dxa"/>
            <w:noWrap/>
            <w:vAlign w:val="center"/>
            <w:hideMark/>
          </w:tcPr>
          <w:p w14:paraId="2221D5D3" w14:textId="1326B49A" w:rsidR="00C66E58" w:rsidRPr="00C66E58" w:rsidRDefault="00F424A8" w:rsidP="00C66E58">
            <w:pPr>
              <w:pStyle w:val="Body"/>
              <w:spacing w:after="0"/>
              <w:rPr>
                <w:rFonts w:ascii="Arial" w:hAnsi="Arial" w:cs="Arial"/>
                <w:sz w:val="20"/>
                <w:szCs w:val="20"/>
              </w:rPr>
            </w:pPr>
            <w:r>
              <w:rPr>
                <w:rFonts w:ascii="Arial" w:hAnsi="Arial" w:cs="Arial"/>
                <w:sz w:val="20"/>
                <w:szCs w:val="20"/>
              </w:rPr>
              <w:t>AP</w:t>
            </w:r>
          </w:p>
        </w:tc>
        <w:tc>
          <w:tcPr>
            <w:tcW w:w="2268" w:type="dxa"/>
            <w:noWrap/>
            <w:vAlign w:val="center"/>
            <w:hideMark/>
          </w:tcPr>
          <w:p w14:paraId="0714BDD9"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365, 7; (6.3-7.7)</w:t>
            </w:r>
          </w:p>
        </w:tc>
        <w:tc>
          <w:tcPr>
            <w:tcW w:w="2268" w:type="dxa"/>
            <w:noWrap/>
            <w:vAlign w:val="center"/>
            <w:hideMark/>
          </w:tcPr>
          <w:p w14:paraId="41C3D82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83, 6.4; (5-7.6)</w:t>
            </w:r>
          </w:p>
        </w:tc>
        <w:tc>
          <w:tcPr>
            <w:tcW w:w="2410" w:type="dxa"/>
            <w:noWrap/>
            <w:vAlign w:val="center"/>
            <w:hideMark/>
          </w:tcPr>
          <w:p w14:paraId="1148B527"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282, 7.2; (6.4-8)</w:t>
            </w:r>
          </w:p>
        </w:tc>
      </w:tr>
      <w:tr w:rsidR="00C66E58" w:rsidRPr="00C66E58" w14:paraId="28D70B29" w14:textId="77777777" w:rsidTr="00A679D5">
        <w:trPr>
          <w:trHeight w:val="288"/>
        </w:trPr>
        <w:tc>
          <w:tcPr>
            <w:tcW w:w="1413" w:type="dxa"/>
            <w:noWrap/>
            <w:vAlign w:val="center"/>
            <w:hideMark/>
          </w:tcPr>
          <w:p w14:paraId="7CC52167" w14:textId="7777777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Conjunctivitis</w:t>
            </w:r>
          </w:p>
        </w:tc>
        <w:tc>
          <w:tcPr>
            <w:tcW w:w="2268" w:type="dxa"/>
            <w:noWrap/>
            <w:vAlign w:val="center"/>
            <w:hideMark/>
          </w:tcPr>
          <w:p w14:paraId="319F662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766, 14.7; (13.7-15.6)</w:t>
            </w:r>
          </w:p>
        </w:tc>
        <w:tc>
          <w:tcPr>
            <w:tcW w:w="2268" w:type="dxa"/>
            <w:noWrap/>
            <w:vAlign w:val="center"/>
            <w:hideMark/>
          </w:tcPr>
          <w:p w14:paraId="4B1FACA1"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207, 15.8; (13.8-17.8)</w:t>
            </w:r>
          </w:p>
        </w:tc>
        <w:tc>
          <w:tcPr>
            <w:tcW w:w="2410" w:type="dxa"/>
            <w:noWrap/>
            <w:vAlign w:val="center"/>
            <w:hideMark/>
          </w:tcPr>
          <w:p w14:paraId="192E85F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559, 14.3; (13.1-15.4)</w:t>
            </w:r>
          </w:p>
        </w:tc>
      </w:tr>
      <w:tr w:rsidR="00C66E58" w:rsidRPr="00C66E58" w14:paraId="4715B6BB" w14:textId="77777777" w:rsidTr="00A679D5">
        <w:trPr>
          <w:trHeight w:val="288"/>
        </w:trPr>
        <w:tc>
          <w:tcPr>
            <w:tcW w:w="1413" w:type="dxa"/>
            <w:noWrap/>
            <w:vAlign w:val="center"/>
            <w:hideMark/>
          </w:tcPr>
          <w:p w14:paraId="5CD3EBF9" w14:textId="70DCEBDF"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Dyspnoea</w:t>
            </w:r>
            <w:r w:rsidR="009312B8">
              <w:rPr>
                <w:rFonts w:ascii="Arial" w:hAnsi="Arial" w:cs="Arial"/>
                <w:sz w:val="20"/>
                <w:szCs w:val="20"/>
                <w:lang w:val="en-US"/>
              </w:rPr>
              <w:t>*</w:t>
            </w:r>
          </w:p>
        </w:tc>
        <w:tc>
          <w:tcPr>
            <w:tcW w:w="2268" w:type="dxa"/>
            <w:noWrap/>
            <w:vAlign w:val="center"/>
            <w:hideMark/>
          </w:tcPr>
          <w:p w14:paraId="4910A59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265, 5.1; (4.5-5.7)</w:t>
            </w:r>
          </w:p>
        </w:tc>
        <w:tc>
          <w:tcPr>
            <w:tcW w:w="2268" w:type="dxa"/>
            <w:noWrap/>
            <w:vAlign w:val="center"/>
            <w:hideMark/>
          </w:tcPr>
          <w:p w14:paraId="1EAE8966"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1.1; (0.6-1.8)</w:t>
            </w:r>
          </w:p>
        </w:tc>
        <w:tc>
          <w:tcPr>
            <w:tcW w:w="2410" w:type="dxa"/>
            <w:noWrap/>
            <w:vAlign w:val="center"/>
            <w:hideMark/>
          </w:tcPr>
          <w:p w14:paraId="28D9D038"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250, 6.4; (5.6-7.2)</w:t>
            </w:r>
          </w:p>
        </w:tc>
      </w:tr>
      <w:tr w:rsidR="00C66E58" w:rsidRPr="00C66E58" w14:paraId="3DE08CCD" w14:textId="77777777" w:rsidTr="00A679D5">
        <w:trPr>
          <w:trHeight w:val="288"/>
        </w:trPr>
        <w:tc>
          <w:tcPr>
            <w:tcW w:w="1413" w:type="dxa"/>
            <w:noWrap/>
            <w:vAlign w:val="center"/>
            <w:hideMark/>
          </w:tcPr>
          <w:p w14:paraId="270FFB3A" w14:textId="6651ABA4"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Cyanosis</w:t>
            </w:r>
            <w:r w:rsidR="009312B8" w:rsidRPr="009312B8">
              <w:rPr>
                <w:rFonts w:ascii="Arial" w:hAnsi="Arial" w:cs="Arial"/>
                <w:sz w:val="20"/>
                <w:szCs w:val="20"/>
                <w:vertAlign w:val="superscript"/>
                <w:lang w:val="en-US"/>
              </w:rPr>
              <w:t>&amp;</w:t>
            </w:r>
          </w:p>
        </w:tc>
        <w:tc>
          <w:tcPr>
            <w:tcW w:w="2268" w:type="dxa"/>
            <w:noWrap/>
            <w:vAlign w:val="center"/>
            <w:hideMark/>
          </w:tcPr>
          <w:p w14:paraId="2B25AB00"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0.3; (0.2-0.4)</w:t>
            </w:r>
          </w:p>
        </w:tc>
        <w:tc>
          <w:tcPr>
            <w:tcW w:w="2268" w:type="dxa"/>
            <w:noWrap/>
            <w:vAlign w:val="center"/>
            <w:hideMark/>
          </w:tcPr>
          <w:p w14:paraId="5F1DEB0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0, 0.0; (0.0-0.0)</w:t>
            </w:r>
          </w:p>
        </w:tc>
        <w:tc>
          <w:tcPr>
            <w:tcW w:w="2410" w:type="dxa"/>
            <w:noWrap/>
            <w:vAlign w:val="center"/>
            <w:hideMark/>
          </w:tcPr>
          <w:p w14:paraId="19CF3993"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0.4; (0.2-0.6)</w:t>
            </w:r>
          </w:p>
        </w:tc>
      </w:tr>
      <w:tr w:rsidR="00C66E58" w:rsidRPr="00C66E58" w14:paraId="4E6BA631" w14:textId="77777777" w:rsidTr="00A679D5">
        <w:trPr>
          <w:trHeight w:val="288"/>
        </w:trPr>
        <w:tc>
          <w:tcPr>
            <w:tcW w:w="1413" w:type="dxa"/>
            <w:noWrap/>
            <w:vAlign w:val="center"/>
            <w:hideMark/>
          </w:tcPr>
          <w:p w14:paraId="6A866A7D" w14:textId="402A098A"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Diarrhoea</w:t>
            </w:r>
            <w:r w:rsidR="009312B8">
              <w:rPr>
                <w:rFonts w:ascii="Arial" w:hAnsi="Arial" w:cs="Arial"/>
                <w:sz w:val="20"/>
                <w:szCs w:val="20"/>
                <w:lang w:val="en-US"/>
              </w:rPr>
              <w:t>***</w:t>
            </w:r>
          </w:p>
        </w:tc>
        <w:tc>
          <w:tcPr>
            <w:tcW w:w="2268" w:type="dxa"/>
            <w:noWrap/>
            <w:vAlign w:val="center"/>
            <w:hideMark/>
          </w:tcPr>
          <w:p w14:paraId="41B02B55"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324, 6.2; (5.6-6.9)</w:t>
            </w:r>
          </w:p>
        </w:tc>
        <w:tc>
          <w:tcPr>
            <w:tcW w:w="2268" w:type="dxa"/>
            <w:noWrap/>
            <w:vAlign w:val="center"/>
            <w:hideMark/>
          </w:tcPr>
          <w:p w14:paraId="1E7B214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61, 4.7; (3.5-5.8)</w:t>
            </w:r>
          </w:p>
        </w:tc>
        <w:tc>
          <w:tcPr>
            <w:tcW w:w="2410" w:type="dxa"/>
            <w:noWrap/>
            <w:vAlign w:val="center"/>
            <w:hideMark/>
          </w:tcPr>
          <w:p w14:paraId="74B7E8D2"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263, 6.7; (5.9-7.5)</w:t>
            </w:r>
          </w:p>
        </w:tc>
      </w:tr>
      <w:tr w:rsidR="00C66E58" w:rsidRPr="00C66E58" w14:paraId="27E7F57F" w14:textId="77777777" w:rsidTr="00A679D5">
        <w:trPr>
          <w:trHeight w:val="288"/>
        </w:trPr>
        <w:tc>
          <w:tcPr>
            <w:tcW w:w="1413" w:type="dxa"/>
            <w:noWrap/>
            <w:vAlign w:val="center"/>
            <w:hideMark/>
          </w:tcPr>
          <w:p w14:paraId="12D380D7" w14:textId="7777777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Chest pain</w:t>
            </w:r>
          </w:p>
        </w:tc>
        <w:tc>
          <w:tcPr>
            <w:tcW w:w="2268" w:type="dxa"/>
            <w:noWrap/>
            <w:vAlign w:val="center"/>
            <w:hideMark/>
          </w:tcPr>
          <w:p w14:paraId="5702862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288, 5.5; (4.9-6.1)</w:t>
            </w:r>
          </w:p>
        </w:tc>
        <w:tc>
          <w:tcPr>
            <w:tcW w:w="2268" w:type="dxa"/>
            <w:noWrap/>
            <w:vAlign w:val="center"/>
            <w:hideMark/>
          </w:tcPr>
          <w:p w14:paraId="16E276E5"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61, 4.7; (3.5-5.9)</w:t>
            </w:r>
          </w:p>
        </w:tc>
        <w:tc>
          <w:tcPr>
            <w:tcW w:w="2410" w:type="dxa"/>
            <w:noWrap/>
            <w:vAlign w:val="center"/>
            <w:hideMark/>
          </w:tcPr>
          <w:p w14:paraId="08F7DD0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227, 5.8; (5.1-6.5)</w:t>
            </w:r>
          </w:p>
        </w:tc>
      </w:tr>
      <w:tr w:rsidR="00C66E58" w:rsidRPr="00C66E58" w14:paraId="6BF5CF6F" w14:textId="77777777" w:rsidTr="00A679D5">
        <w:trPr>
          <w:trHeight w:val="288"/>
        </w:trPr>
        <w:tc>
          <w:tcPr>
            <w:tcW w:w="1413" w:type="dxa"/>
            <w:noWrap/>
            <w:vAlign w:val="center"/>
            <w:hideMark/>
          </w:tcPr>
          <w:p w14:paraId="08C1BE57" w14:textId="27BCBDD7" w:rsidR="00C66E58" w:rsidRPr="00C66E58" w:rsidRDefault="008F7F74" w:rsidP="00C66E58">
            <w:pPr>
              <w:pStyle w:val="Body"/>
              <w:spacing w:after="0"/>
              <w:rPr>
                <w:rFonts w:ascii="Arial" w:hAnsi="Arial" w:cs="Arial"/>
                <w:sz w:val="20"/>
                <w:szCs w:val="20"/>
              </w:rPr>
            </w:pPr>
            <w:r w:rsidRPr="00C66E58">
              <w:rPr>
                <w:rFonts w:ascii="Arial" w:hAnsi="Arial" w:cs="Arial"/>
                <w:sz w:val="20"/>
                <w:szCs w:val="20"/>
                <w:lang w:val="en-US"/>
              </w:rPr>
              <w:t>Polypnea</w:t>
            </w:r>
            <w:r w:rsidR="009312B8" w:rsidRPr="009312B8">
              <w:rPr>
                <w:rFonts w:ascii="Arial" w:hAnsi="Arial" w:cs="Arial"/>
                <w:sz w:val="20"/>
                <w:szCs w:val="20"/>
                <w:vertAlign w:val="superscript"/>
                <w:lang w:val="en-US"/>
              </w:rPr>
              <w:t>&amp;</w:t>
            </w:r>
          </w:p>
        </w:tc>
        <w:tc>
          <w:tcPr>
            <w:tcW w:w="2268" w:type="dxa"/>
            <w:noWrap/>
            <w:vAlign w:val="center"/>
            <w:hideMark/>
          </w:tcPr>
          <w:p w14:paraId="0BAFC1BC"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0.3; (0.2-0.4)</w:t>
            </w:r>
          </w:p>
        </w:tc>
        <w:tc>
          <w:tcPr>
            <w:tcW w:w="2268" w:type="dxa"/>
            <w:noWrap/>
            <w:vAlign w:val="center"/>
            <w:hideMark/>
          </w:tcPr>
          <w:p w14:paraId="70A810A0"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0, 0.0; (0.0-0.0)</w:t>
            </w:r>
          </w:p>
        </w:tc>
        <w:tc>
          <w:tcPr>
            <w:tcW w:w="2410" w:type="dxa"/>
            <w:noWrap/>
            <w:vAlign w:val="center"/>
            <w:hideMark/>
          </w:tcPr>
          <w:p w14:paraId="7A92C75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0.4; (0.2-0.6)</w:t>
            </w:r>
          </w:p>
        </w:tc>
      </w:tr>
      <w:tr w:rsidR="00C66E58" w:rsidRPr="00C66E58" w14:paraId="0D466ED4" w14:textId="77777777" w:rsidTr="00A679D5">
        <w:trPr>
          <w:trHeight w:val="288"/>
        </w:trPr>
        <w:tc>
          <w:tcPr>
            <w:tcW w:w="1413" w:type="dxa"/>
            <w:noWrap/>
            <w:vAlign w:val="center"/>
            <w:hideMark/>
          </w:tcPr>
          <w:p w14:paraId="5023C125" w14:textId="339CC37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Coryza</w:t>
            </w:r>
            <w:r w:rsidR="009312B8">
              <w:rPr>
                <w:rFonts w:ascii="Arial" w:hAnsi="Arial" w:cs="Arial"/>
                <w:sz w:val="20"/>
                <w:szCs w:val="20"/>
                <w:lang w:val="en-US"/>
              </w:rPr>
              <w:t>**</w:t>
            </w:r>
          </w:p>
        </w:tc>
        <w:tc>
          <w:tcPr>
            <w:tcW w:w="2268" w:type="dxa"/>
            <w:noWrap/>
            <w:vAlign w:val="center"/>
            <w:hideMark/>
          </w:tcPr>
          <w:p w14:paraId="06B590F8"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60, 1.1; (0.9-1.4)</w:t>
            </w:r>
          </w:p>
        </w:tc>
        <w:tc>
          <w:tcPr>
            <w:tcW w:w="2268" w:type="dxa"/>
            <w:noWrap/>
            <w:vAlign w:val="center"/>
            <w:hideMark/>
          </w:tcPr>
          <w:p w14:paraId="7E873C7A"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7, 0.5; (0.2-1)</w:t>
            </w:r>
          </w:p>
        </w:tc>
        <w:tc>
          <w:tcPr>
            <w:tcW w:w="2410" w:type="dxa"/>
            <w:noWrap/>
            <w:vAlign w:val="center"/>
            <w:hideMark/>
          </w:tcPr>
          <w:p w14:paraId="252811FA"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53, 1.4; (1-1.8)</w:t>
            </w:r>
          </w:p>
        </w:tc>
      </w:tr>
      <w:tr w:rsidR="00C66E58" w:rsidRPr="00C66E58" w14:paraId="3EACA6FD" w14:textId="77777777" w:rsidTr="00A679D5">
        <w:trPr>
          <w:trHeight w:val="288"/>
        </w:trPr>
        <w:tc>
          <w:tcPr>
            <w:tcW w:w="1413" w:type="dxa"/>
            <w:noWrap/>
            <w:vAlign w:val="center"/>
            <w:hideMark/>
          </w:tcPr>
          <w:p w14:paraId="621667AC" w14:textId="2ECC4EDB"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Anosmia</w:t>
            </w:r>
            <w:r w:rsidR="009312B8">
              <w:rPr>
                <w:rFonts w:ascii="Arial" w:hAnsi="Arial" w:cs="Arial"/>
                <w:sz w:val="20"/>
                <w:szCs w:val="20"/>
                <w:lang w:val="en-US"/>
              </w:rPr>
              <w:t>***</w:t>
            </w:r>
          </w:p>
        </w:tc>
        <w:tc>
          <w:tcPr>
            <w:tcW w:w="2268" w:type="dxa"/>
            <w:noWrap/>
            <w:vAlign w:val="center"/>
            <w:hideMark/>
          </w:tcPr>
          <w:p w14:paraId="10941538"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338, 6.5; (5.8-7.1)</w:t>
            </w:r>
          </w:p>
        </w:tc>
        <w:tc>
          <w:tcPr>
            <w:tcW w:w="2268" w:type="dxa"/>
            <w:noWrap/>
            <w:vAlign w:val="center"/>
            <w:hideMark/>
          </w:tcPr>
          <w:p w14:paraId="1BFEAFC1"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62, 4.7; (3.6-6)</w:t>
            </w:r>
          </w:p>
        </w:tc>
        <w:tc>
          <w:tcPr>
            <w:tcW w:w="2410" w:type="dxa"/>
            <w:noWrap/>
            <w:vAlign w:val="center"/>
            <w:hideMark/>
          </w:tcPr>
          <w:p w14:paraId="14A9519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276, 7; (6.3-7.9)</w:t>
            </w:r>
          </w:p>
        </w:tc>
      </w:tr>
      <w:tr w:rsidR="00C66E58" w:rsidRPr="00C66E58" w14:paraId="532EA516" w14:textId="77777777" w:rsidTr="00A679D5">
        <w:trPr>
          <w:trHeight w:val="288"/>
        </w:trPr>
        <w:tc>
          <w:tcPr>
            <w:tcW w:w="1413" w:type="dxa"/>
            <w:noWrap/>
            <w:vAlign w:val="center"/>
            <w:hideMark/>
          </w:tcPr>
          <w:p w14:paraId="008EFF2C" w14:textId="26B638CA"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Dysgeusia</w:t>
            </w:r>
            <w:r w:rsidR="009312B8">
              <w:rPr>
                <w:rFonts w:ascii="Arial" w:hAnsi="Arial" w:cs="Arial"/>
                <w:sz w:val="20"/>
                <w:szCs w:val="20"/>
                <w:lang w:val="en-US"/>
              </w:rPr>
              <w:t>***</w:t>
            </w:r>
          </w:p>
        </w:tc>
        <w:tc>
          <w:tcPr>
            <w:tcW w:w="2268" w:type="dxa"/>
            <w:noWrap/>
            <w:vAlign w:val="center"/>
            <w:hideMark/>
          </w:tcPr>
          <w:p w14:paraId="08DFE480"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340, 6.5; (5.9-7.2)</w:t>
            </w:r>
          </w:p>
        </w:tc>
        <w:tc>
          <w:tcPr>
            <w:tcW w:w="2268" w:type="dxa"/>
            <w:noWrap/>
            <w:vAlign w:val="center"/>
            <w:hideMark/>
          </w:tcPr>
          <w:p w14:paraId="104DA7B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64, 4.9; (3.7-6)</w:t>
            </w:r>
          </w:p>
        </w:tc>
        <w:tc>
          <w:tcPr>
            <w:tcW w:w="2410" w:type="dxa"/>
            <w:noWrap/>
            <w:vAlign w:val="center"/>
            <w:hideMark/>
          </w:tcPr>
          <w:p w14:paraId="0E28ED92"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276, 7; (6.3-7.9)</w:t>
            </w:r>
          </w:p>
        </w:tc>
      </w:tr>
      <w:tr w:rsidR="00C66E58" w:rsidRPr="00B26844" w14:paraId="0820F949" w14:textId="77777777" w:rsidTr="00A679D5">
        <w:trPr>
          <w:trHeight w:val="288"/>
        </w:trPr>
        <w:tc>
          <w:tcPr>
            <w:tcW w:w="1413" w:type="dxa"/>
            <w:noWrap/>
            <w:vAlign w:val="center"/>
            <w:hideMark/>
          </w:tcPr>
          <w:p w14:paraId="3F80112D" w14:textId="77777777" w:rsidR="00C66E58" w:rsidRPr="00B26844" w:rsidRDefault="00C66E58" w:rsidP="00C66E58">
            <w:pPr>
              <w:pStyle w:val="Body"/>
              <w:spacing w:after="0"/>
              <w:rPr>
                <w:rFonts w:ascii="Arial" w:hAnsi="Arial" w:cs="Arial"/>
                <w:sz w:val="20"/>
                <w:szCs w:val="20"/>
              </w:rPr>
            </w:pPr>
            <w:r w:rsidRPr="00B26844">
              <w:rPr>
                <w:rFonts w:ascii="Arial" w:hAnsi="Arial" w:cs="Arial"/>
                <w:sz w:val="20"/>
                <w:szCs w:val="20"/>
                <w:lang w:val="en-US"/>
              </w:rPr>
              <w:t>Others</w:t>
            </w:r>
          </w:p>
        </w:tc>
        <w:tc>
          <w:tcPr>
            <w:tcW w:w="2268" w:type="dxa"/>
            <w:noWrap/>
            <w:vAlign w:val="center"/>
            <w:hideMark/>
          </w:tcPr>
          <w:p w14:paraId="2F1FB4C7" w14:textId="77777777" w:rsidR="00C66E58" w:rsidRPr="00B26844" w:rsidRDefault="00C66E58" w:rsidP="00C66E58">
            <w:pPr>
              <w:pStyle w:val="Body"/>
              <w:spacing w:after="0"/>
              <w:jc w:val="center"/>
              <w:rPr>
                <w:rFonts w:ascii="Arial" w:hAnsi="Arial" w:cs="Arial"/>
                <w:sz w:val="20"/>
                <w:szCs w:val="20"/>
              </w:rPr>
            </w:pPr>
            <w:r w:rsidRPr="00B26844">
              <w:rPr>
                <w:rFonts w:ascii="Arial" w:hAnsi="Arial" w:cs="Arial"/>
                <w:sz w:val="20"/>
                <w:szCs w:val="20"/>
              </w:rPr>
              <w:t>67, 1.3; (1-1.6)</w:t>
            </w:r>
          </w:p>
        </w:tc>
        <w:tc>
          <w:tcPr>
            <w:tcW w:w="2268" w:type="dxa"/>
            <w:noWrap/>
            <w:vAlign w:val="center"/>
            <w:hideMark/>
          </w:tcPr>
          <w:p w14:paraId="6E67106E" w14:textId="77777777" w:rsidR="00C66E58" w:rsidRPr="00B26844" w:rsidRDefault="00C66E58" w:rsidP="00C66E58">
            <w:pPr>
              <w:pStyle w:val="Body"/>
              <w:spacing w:after="0"/>
              <w:jc w:val="center"/>
              <w:rPr>
                <w:rFonts w:ascii="Arial" w:hAnsi="Arial" w:cs="Arial"/>
                <w:sz w:val="20"/>
                <w:szCs w:val="20"/>
              </w:rPr>
            </w:pPr>
            <w:r w:rsidRPr="00B26844">
              <w:rPr>
                <w:rFonts w:ascii="Arial" w:hAnsi="Arial" w:cs="Arial"/>
                <w:sz w:val="20"/>
                <w:szCs w:val="20"/>
              </w:rPr>
              <w:t>11, 0.8; (0.4-1.4)</w:t>
            </w:r>
          </w:p>
        </w:tc>
        <w:tc>
          <w:tcPr>
            <w:tcW w:w="2410" w:type="dxa"/>
            <w:noWrap/>
            <w:vAlign w:val="center"/>
            <w:hideMark/>
          </w:tcPr>
          <w:p w14:paraId="02EE3983" w14:textId="77777777" w:rsidR="00C66E58" w:rsidRPr="00B26844" w:rsidRDefault="00C66E58" w:rsidP="00C66E58">
            <w:pPr>
              <w:pStyle w:val="Body"/>
              <w:spacing w:after="0"/>
              <w:jc w:val="center"/>
              <w:rPr>
                <w:rFonts w:ascii="Arial" w:hAnsi="Arial" w:cs="Arial"/>
                <w:sz w:val="20"/>
                <w:szCs w:val="20"/>
              </w:rPr>
            </w:pPr>
            <w:r w:rsidRPr="00B26844">
              <w:rPr>
                <w:rFonts w:ascii="Arial" w:hAnsi="Arial" w:cs="Arial"/>
                <w:sz w:val="20"/>
                <w:szCs w:val="20"/>
              </w:rPr>
              <w:t>56, 1.4; (1.1-1.8)</w:t>
            </w:r>
          </w:p>
        </w:tc>
      </w:tr>
      <w:tr w:rsidR="00C66E58" w:rsidRPr="00F424A8" w14:paraId="4DBA27DE" w14:textId="77777777" w:rsidTr="00A679D5">
        <w:trPr>
          <w:trHeight w:val="288"/>
        </w:trPr>
        <w:tc>
          <w:tcPr>
            <w:tcW w:w="1413" w:type="dxa"/>
            <w:noWrap/>
            <w:vAlign w:val="center"/>
            <w:hideMark/>
          </w:tcPr>
          <w:p w14:paraId="74081CD1" w14:textId="7E38EC00" w:rsidR="00C66E58" w:rsidRPr="00F424A8" w:rsidRDefault="00F424A8" w:rsidP="00C66E58">
            <w:pPr>
              <w:pStyle w:val="Body"/>
              <w:spacing w:after="0"/>
              <w:rPr>
                <w:rFonts w:ascii="Arial" w:hAnsi="Arial" w:cs="Arial"/>
                <w:sz w:val="20"/>
                <w:szCs w:val="20"/>
              </w:rPr>
            </w:pPr>
            <w:r w:rsidRPr="00F424A8">
              <w:rPr>
                <w:rFonts w:ascii="Arial" w:hAnsi="Arial" w:cs="Arial"/>
                <w:sz w:val="20"/>
                <w:szCs w:val="20"/>
              </w:rPr>
              <w:t>TNS&amp;S</w:t>
            </w:r>
          </w:p>
        </w:tc>
        <w:tc>
          <w:tcPr>
            <w:tcW w:w="2268" w:type="dxa"/>
            <w:noWrap/>
            <w:vAlign w:val="center"/>
            <w:hideMark/>
          </w:tcPr>
          <w:p w14:paraId="764670B4" w14:textId="01A4B9C1" w:rsidR="00C66E58" w:rsidRPr="00F424A8" w:rsidRDefault="00C66E58" w:rsidP="00C66E58">
            <w:pPr>
              <w:pStyle w:val="Body"/>
              <w:spacing w:after="0"/>
              <w:jc w:val="center"/>
              <w:rPr>
                <w:rFonts w:ascii="Arial" w:hAnsi="Arial" w:cs="Arial"/>
                <w:sz w:val="20"/>
                <w:szCs w:val="20"/>
              </w:rPr>
            </w:pPr>
          </w:p>
        </w:tc>
        <w:tc>
          <w:tcPr>
            <w:tcW w:w="2268" w:type="dxa"/>
            <w:noWrap/>
            <w:vAlign w:val="center"/>
            <w:hideMark/>
          </w:tcPr>
          <w:p w14:paraId="075EA4F3" w14:textId="77777777" w:rsidR="00C66E58" w:rsidRPr="00F424A8" w:rsidRDefault="00C66E58" w:rsidP="00C66E58">
            <w:pPr>
              <w:pStyle w:val="Body"/>
              <w:spacing w:after="0"/>
              <w:jc w:val="center"/>
              <w:rPr>
                <w:rFonts w:ascii="Arial" w:hAnsi="Arial" w:cs="Arial"/>
                <w:sz w:val="20"/>
                <w:szCs w:val="20"/>
              </w:rPr>
            </w:pPr>
          </w:p>
        </w:tc>
        <w:tc>
          <w:tcPr>
            <w:tcW w:w="2410" w:type="dxa"/>
            <w:noWrap/>
            <w:vAlign w:val="center"/>
            <w:hideMark/>
          </w:tcPr>
          <w:p w14:paraId="54EAC5FC" w14:textId="77777777" w:rsidR="00C66E58" w:rsidRPr="00F424A8" w:rsidRDefault="00C66E58" w:rsidP="00C66E58">
            <w:pPr>
              <w:pStyle w:val="Body"/>
              <w:spacing w:after="0"/>
              <w:jc w:val="center"/>
              <w:rPr>
                <w:rFonts w:ascii="Arial" w:hAnsi="Arial" w:cs="Arial"/>
                <w:sz w:val="20"/>
                <w:szCs w:val="20"/>
              </w:rPr>
            </w:pPr>
          </w:p>
        </w:tc>
      </w:tr>
      <w:tr w:rsidR="00B26844" w:rsidRPr="00F424A8" w14:paraId="2E8A4961" w14:textId="77777777" w:rsidTr="00A679D5">
        <w:trPr>
          <w:trHeight w:val="288"/>
        </w:trPr>
        <w:tc>
          <w:tcPr>
            <w:tcW w:w="1413" w:type="dxa"/>
            <w:noWrap/>
            <w:vAlign w:val="center"/>
          </w:tcPr>
          <w:p w14:paraId="2C8EBF76" w14:textId="2A2BD5F1" w:rsidR="00B26844" w:rsidRPr="00B07EFA" w:rsidRDefault="00B26844" w:rsidP="00C66E58">
            <w:pPr>
              <w:pStyle w:val="Body"/>
              <w:spacing w:after="0"/>
              <w:rPr>
                <w:rFonts w:ascii="Arial" w:hAnsi="Arial" w:cs="Arial"/>
                <w:sz w:val="16"/>
                <w:szCs w:val="16"/>
              </w:rPr>
            </w:pPr>
            <w:r w:rsidRPr="00F424A8">
              <w:rPr>
                <w:rFonts w:ascii="Arial" w:hAnsi="Arial" w:cs="Arial"/>
                <w:sz w:val="20"/>
                <w:szCs w:val="20"/>
              </w:rPr>
              <w:t xml:space="preserve">   </w:t>
            </w:r>
            <w:r w:rsidRPr="00B07EFA">
              <w:rPr>
                <w:rFonts w:ascii="Arial" w:hAnsi="Arial" w:cs="Arial"/>
                <w:sz w:val="16"/>
                <w:szCs w:val="16"/>
              </w:rPr>
              <w:t>Average (SD)</w:t>
            </w:r>
          </w:p>
        </w:tc>
        <w:tc>
          <w:tcPr>
            <w:tcW w:w="2268" w:type="dxa"/>
            <w:noWrap/>
            <w:vAlign w:val="center"/>
          </w:tcPr>
          <w:p w14:paraId="7B53CC62" w14:textId="1E9D0CC7"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6.79 (2.02)</w:t>
            </w:r>
          </w:p>
        </w:tc>
        <w:tc>
          <w:tcPr>
            <w:tcW w:w="2268" w:type="dxa"/>
            <w:noWrap/>
            <w:vAlign w:val="center"/>
          </w:tcPr>
          <w:p w14:paraId="58D4C67C" w14:textId="2349A824"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6.92 (1.71)</w:t>
            </w:r>
          </w:p>
        </w:tc>
        <w:tc>
          <w:tcPr>
            <w:tcW w:w="2410" w:type="dxa"/>
            <w:noWrap/>
            <w:vAlign w:val="center"/>
          </w:tcPr>
          <w:p w14:paraId="75CF58B0" w14:textId="7D970341"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6.75 (2.12)</w:t>
            </w:r>
          </w:p>
        </w:tc>
      </w:tr>
      <w:tr w:rsidR="00B26844" w:rsidRPr="00F424A8" w14:paraId="1E94B594" w14:textId="77777777" w:rsidTr="00A679D5">
        <w:trPr>
          <w:trHeight w:val="288"/>
        </w:trPr>
        <w:tc>
          <w:tcPr>
            <w:tcW w:w="1413" w:type="dxa"/>
            <w:noWrap/>
            <w:vAlign w:val="center"/>
          </w:tcPr>
          <w:p w14:paraId="1C9FE25B" w14:textId="647DD375" w:rsidR="00B26844" w:rsidRPr="00B07EFA" w:rsidRDefault="00B26844" w:rsidP="00C66E58">
            <w:pPr>
              <w:pStyle w:val="Body"/>
              <w:spacing w:after="0"/>
              <w:rPr>
                <w:rFonts w:ascii="Arial" w:hAnsi="Arial" w:cs="Arial"/>
                <w:sz w:val="16"/>
                <w:szCs w:val="16"/>
              </w:rPr>
            </w:pPr>
            <w:r w:rsidRPr="00F424A8">
              <w:rPr>
                <w:rFonts w:ascii="Arial" w:hAnsi="Arial" w:cs="Arial"/>
                <w:sz w:val="20"/>
                <w:szCs w:val="20"/>
              </w:rPr>
              <w:t xml:space="preserve">   </w:t>
            </w:r>
            <w:r w:rsidRPr="00B07EFA">
              <w:rPr>
                <w:rFonts w:ascii="Arial" w:hAnsi="Arial" w:cs="Arial"/>
                <w:sz w:val="16"/>
                <w:szCs w:val="16"/>
              </w:rPr>
              <w:t>Me</w:t>
            </w:r>
            <w:r w:rsidR="00B07EFA">
              <w:rPr>
                <w:rFonts w:ascii="Arial" w:hAnsi="Arial" w:cs="Arial"/>
                <w:sz w:val="16"/>
                <w:szCs w:val="16"/>
              </w:rPr>
              <w:t>di</w:t>
            </w:r>
            <w:r w:rsidRPr="00B07EFA">
              <w:rPr>
                <w:rFonts w:ascii="Arial" w:hAnsi="Arial" w:cs="Arial"/>
                <w:sz w:val="16"/>
                <w:szCs w:val="16"/>
              </w:rPr>
              <w:t>an (IQR)</w:t>
            </w:r>
          </w:p>
        </w:tc>
        <w:tc>
          <w:tcPr>
            <w:tcW w:w="2268" w:type="dxa"/>
            <w:noWrap/>
            <w:vAlign w:val="center"/>
          </w:tcPr>
          <w:p w14:paraId="3CBB7C13" w14:textId="7AF5D593"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7 (5-8)</w:t>
            </w:r>
          </w:p>
        </w:tc>
        <w:tc>
          <w:tcPr>
            <w:tcW w:w="2268" w:type="dxa"/>
            <w:noWrap/>
            <w:vAlign w:val="center"/>
          </w:tcPr>
          <w:p w14:paraId="7F93B586" w14:textId="2D8DB954"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7 (6-8)</w:t>
            </w:r>
          </w:p>
        </w:tc>
        <w:tc>
          <w:tcPr>
            <w:tcW w:w="2410" w:type="dxa"/>
            <w:noWrap/>
            <w:vAlign w:val="center"/>
          </w:tcPr>
          <w:p w14:paraId="60A7C09A" w14:textId="39DEC02C"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7 (5-8)</w:t>
            </w:r>
          </w:p>
        </w:tc>
      </w:tr>
    </w:tbl>
    <w:p w14:paraId="50147860" w14:textId="4B373175" w:rsidR="009312B8" w:rsidRPr="006F4089" w:rsidRDefault="006F4089" w:rsidP="006F4089">
      <w:pPr>
        <w:tabs>
          <w:tab w:val="left" w:pos="1080"/>
        </w:tabs>
        <w:jc w:val="both"/>
        <w:rPr>
          <w:rFonts w:ascii="Arial" w:hAnsi="Arial" w:cs="Arial"/>
          <w:sz w:val="18"/>
          <w:szCs w:val="18"/>
        </w:rPr>
      </w:pPr>
      <w:r w:rsidRPr="008F39F5">
        <w:rPr>
          <w:rFonts w:ascii="Arial" w:hAnsi="Arial"/>
          <w:bCs/>
          <w:sz w:val="18"/>
          <w:szCs w:val="18"/>
        </w:rPr>
        <w:t xml:space="preserve">Source: Prepared by the authors using data from the SINOLAVE System, </w:t>
      </w:r>
      <w:r w:rsidR="00BF475F">
        <w:rPr>
          <w:rFonts w:ascii="Arial" w:hAnsi="Arial"/>
          <w:bCs/>
          <w:sz w:val="18"/>
          <w:szCs w:val="18"/>
        </w:rPr>
        <w:t xml:space="preserve"> from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00F424A8" w:rsidRPr="006F4089">
        <w:rPr>
          <w:rFonts w:ascii="Arial" w:hAnsi="Arial" w:cs="Arial"/>
          <w:sz w:val="18"/>
          <w:szCs w:val="18"/>
        </w:rPr>
        <w:t>SO: Sudden onset. PS: Painful swallowing. GM: General Malaise. PW: Profound weakness. AP: Abdominal pain. TNS&amp;S: Total number of sign and symptoms.</w:t>
      </w:r>
      <w:r>
        <w:rPr>
          <w:rFonts w:ascii="Arial" w:hAnsi="Arial" w:cs="Arial"/>
          <w:sz w:val="18"/>
          <w:szCs w:val="18"/>
        </w:rPr>
        <w:t xml:space="preserve"> </w:t>
      </w:r>
      <w:r w:rsidRPr="006F4089">
        <w:rPr>
          <w:rFonts w:ascii="Arial" w:hAnsi="Arial" w:cs="Arial"/>
          <w:sz w:val="18"/>
          <w:szCs w:val="18"/>
        </w:rPr>
        <w:t>SD=Standard deviation. IQR= Interquartile range.</w:t>
      </w:r>
      <w:r>
        <w:rPr>
          <w:rFonts w:ascii="Arial" w:hAnsi="Arial" w:cs="Arial"/>
          <w:sz w:val="18"/>
          <w:szCs w:val="18"/>
        </w:rPr>
        <w:t xml:space="preserve"> For categorical variables P value was </w:t>
      </w:r>
      <w:r w:rsidRPr="006F4089">
        <w:rPr>
          <w:rFonts w:ascii="Arial" w:hAnsi="Arial" w:cs="Arial"/>
          <w:sz w:val="18"/>
          <w:szCs w:val="18"/>
        </w:rPr>
        <w:t xml:space="preserve">calculated by </w:t>
      </w:r>
      <w:r>
        <w:rPr>
          <w:rFonts w:ascii="Arial" w:hAnsi="Arial" w:cs="Arial"/>
          <w:sz w:val="18"/>
          <w:szCs w:val="18"/>
        </w:rPr>
        <w:t>Yates C</w:t>
      </w:r>
      <w:r w:rsidRPr="006F4089">
        <w:rPr>
          <w:rFonts w:ascii="Arial" w:hAnsi="Arial" w:cs="Arial"/>
          <w:sz w:val="18"/>
          <w:szCs w:val="18"/>
        </w:rPr>
        <w:t>orrected</w:t>
      </w:r>
      <w:r>
        <w:rPr>
          <w:rFonts w:ascii="Arial" w:hAnsi="Arial" w:cs="Arial"/>
          <w:sz w:val="18"/>
          <w:szCs w:val="18"/>
        </w:rPr>
        <w:t xml:space="preserve"> </w:t>
      </w:r>
      <w:r w:rsidRPr="006F4089">
        <w:rPr>
          <w:rFonts w:ascii="Arial" w:hAnsi="Arial" w:cs="Arial"/>
          <w:sz w:val="18"/>
          <w:szCs w:val="18"/>
        </w:rPr>
        <w:t>Chi-Square Test.</w:t>
      </w:r>
      <w:r w:rsidR="009312B8" w:rsidRPr="006F4089">
        <w:rPr>
          <w:rFonts w:ascii="Arial" w:hAnsi="Arial" w:cs="Arial"/>
          <w:sz w:val="18"/>
          <w:szCs w:val="18"/>
        </w:rPr>
        <w:t xml:space="preserve"> *P value ≤0.001. **P value &lt;0.05. ***P value ≤0.01. </w:t>
      </w:r>
      <w:r w:rsidR="009312B8" w:rsidRPr="006F4089">
        <w:rPr>
          <w:rFonts w:ascii="Arial" w:hAnsi="Arial" w:cs="Arial"/>
          <w:sz w:val="18"/>
          <w:szCs w:val="18"/>
          <w:vertAlign w:val="superscript"/>
        </w:rPr>
        <w:t>&amp;</w:t>
      </w:r>
      <w:r w:rsidR="009312B8" w:rsidRPr="006F4089">
        <w:rPr>
          <w:rFonts w:ascii="Arial" w:hAnsi="Arial" w:cs="Arial"/>
          <w:sz w:val="18"/>
          <w:szCs w:val="18"/>
        </w:rPr>
        <w:t>P value calculated by Fisher exact test</w:t>
      </w:r>
      <w:r w:rsidR="00F71FE7" w:rsidRPr="006F4089">
        <w:rPr>
          <w:rFonts w:ascii="Arial" w:hAnsi="Arial" w:cs="Arial"/>
          <w:sz w:val="18"/>
          <w:szCs w:val="18"/>
        </w:rPr>
        <w:t xml:space="preserve"> (p</w:t>
      </w:r>
      <w:r w:rsidR="009312B8" w:rsidRPr="006F4089">
        <w:rPr>
          <w:rFonts w:ascii="Arial" w:hAnsi="Arial" w:cs="Arial"/>
          <w:sz w:val="18"/>
          <w:szCs w:val="18"/>
        </w:rPr>
        <w:t>=0.030</w:t>
      </w:r>
      <w:r w:rsidR="00F71FE7" w:rsidRPr="006F4089">
        <w:rPr>
          <w:rFonts w:ascii="Arial" w:hAnsi="Arial" w:cs="Arial"/>
          <w:sz w:val="18"/>
          <w:szCs w:val="18"/>
        </w:rPr>
        <w:t>)</w:t>
      </w:r>
    </w:p>
    <w:p w14:paraId="03E454A1" w14:textId="3C5AD6F6" w:rsidR="009312B8" w:rsidRDefault="009312B8" w:rsidP="00B81459">
      <w:pPr>
        <w:pStyle w:val="Body"/>
        <w:spacing w:after="0"/>
        <w:rPr>
          <w:rFonts w:ascii="Arial" w:hAnsi="Arial" w:cs="Arial"/>
        </w:rPr>
      </w:pPr>
    </w:p>
    <w:p w14:paraId="73DA8772" w14:textId="407C2CA0" w:rsidR="00D65FD8" w:rsidRDefault="00D65FD8" w:rsidP="00B81459">
      <w:pPr>
        <w:pStyle w:val="Body"/>
        <w:spacing w:after="0"/>
        <w:rPr>
          <w:rFonts w:ascii="Arial" w:hAnsi="Arial" w:cs="Arial"/>
        </w:rPr>
      </w:pPr>
      <w:r w:rsidRPr="00D65FD8">
        <w:rPr>
          <w:rFonts w:ascii="Arial" w:hAnsi="Arial" w:cs="Arial"/>
        </w:rPr>
        <w:t>Hypertension, Type 2 Diabetes, and Obesity were the most common conditions across both groups, with only slight variations. A history of smoking was significantly lower among cases compared to controls.</w:t>
      </w:r>
      <w:r w:rsidR="00DA1D15">
        <w:rPr>
          <w:rFonts w:ascii="Arial" w:hAnsi="Arial" w:cs="Arial"/>
        </w:rPr>
        <w:t xml:space="preserve"> p</w:t>
      </w:r>
      <w:r w:rsidRPr="00D65FD8">
        <w:rPr>
          <w:rFonts w:ascii="Arial" w:hAnsi="Arial" w:cs="Arial"/>
        </w:rPr>
        <w:t>regnancy was exclusively reported among controls. Additionally, chronic conditions such as chronic kidney disease, and cardiovascular disease, were significantly more prev</w:t>
      </w:r>
      <w:r w:rsidR="00DA1D15">
        <w:rPr>
          <w:rFonts w:ascii="Arial" w:hAnsi="Arial" w:cs="Arial"/>
        </w:rPr>
        <w:t xml:space="preserve">alent among controls than cases as well as </w:t>
      </w:r>
      <w:r w:rsidRPr="00D65FD8">
        <w:rPr>
          <w:rFonts w:ascii="Arial" w:hAnsi="Arial" w:cs="Arial"/>
        </w:rPr>
        <w:t xml:space="preserve"> , chronic obstructive pulmonary disease</w:t>
      </w:r>
      <w:r w:rsidR="00783E8F">
        <w:rPr>
          <w:rFonts w:ascii="Arial" w:hAnsi="Arial" w:cs="Arial"/>
        </w:rPr>
        <w:t xml:space="preserve"> (COPD)</w:t>
      </w:r>
      <w:r w:rsidRPr="00D65FD8">
        <w:rPr>
          <w:rFonts w:ascii="Arial" w:hAnsi="Arial" w:cs="Arial"/>
        </w:rPr>
        <w:t xml:space="preserve">, chronic liver disease, neurological disease, immunosuppression, asthma and cancer </w:t>
      </w:r>
      <w:r>
        <w:rPr>
          <w:rFonts w:ascii="Arial" w:hAnsi="Arial" w:cs="Arial"/>
        </w:rPr>
        <w:t>were</w:t>
      </w:r>
      <w:r w:rsidRPr="00D65FD8">
        <w:rPr>
          <w:rFonts w:ascii="Arial" w:hAnsi="Arial" w:cs="Arial"/>
        </w:rPr>
        <w:t xml:space="preserve"> slightly more commonplace in the control group</w:t>
      </w:r>
      <w:r>
        <w:rPr>
          <w:rFonts w:ascii="Arial" w:hAnsi="Arial" w:cs="Arial"/>
        </w:rPr>
        <w:t xml:space="preserve"> (table 4)</w:t>
      </w:r>
      <w:r w:rsidRPr="00D65FD8">
        <w:rPr>
          <w:rFonts w:ascii="Arial" w:hAnsi="Arial" w:cs="Arial"/>
        </w:rPr>
        <w:t>.</w:t>
      </w:r>
    </w:p>
    <w:p w14:paraId="640C5076" w14:textId="77777777" w:rsidR="00D65FD8" w:rsidRPr="00B81459" w:rsidRDefault="00D65FD8" w:rsidP="00B81459">
      <w:pPr>
        <w:pStyle w:val="Body"/>
        <w:spacing w:after="0"/>
        <w:rPr>
          <w:rFonts w:ascii="Arial" w:hAnsi="Arial" w:cs="Arial"/>
        </w:rPr>
      </w:pPr>
    </w:p>
    <w:p w14:paraId="072B8A66" w14:textId="54DDD64C" w:rsidR="00614C1C" w:rsidRPr="00873F35" w:rsidRDefault="00614C1C" w:rsidP="00614C1C">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4</w:t>
      </w:r>
      <w:r w:rsidRPr="00873F35">
        <w:rPr>
          <w:rFonts w:ascii="Arial" w:hAnsi="Arial"/>
          <w:b/>
          <w:sz w:val="22"/>
          <w:szCs w:val="22"/>
        </w:rPr>
        <w:t>.</w:t>
      </w:r>
      <w:r w:rsidRPr="00873F35">
        <w:rPr>
          <w:rFonts w:ascii="Arial" w:hAnsi="Arial"/>
          <w:b/>
          <w:sz w:val="22"/>
          <w:szCs w:val="22"/>
        </w:rPr>
        <w:tab/>
      </w:r>
      <w:r>
        <w:rPr>
          <w:rFonts w:ascii="Arial" w:hAnsi="Arial"/>
          <w:b/>
          <w:sz w:val="22"/>
          <w:szCs w:val="22"/>
        </w:rPr>
        <w:t>B</w:t>
      </w:r>
      <w:r w:rsidRPr="00873F35">
        <w:rPr>
          <w:rFonts w:ascii="Arial" w:hAnsi="Arial"/>
          <w:b/>
          <w:sz w:val="22"/>
          <w:szCs w:val="22"/>
        </w:rPr>
        <w:t>asal clinic characteristics of the study population</w:t>
      </w:r>
    </w:p>
    <w:tbl>
      <w:tblPr>
        <w:tblStyle w:val="TableGrid"/>
        <w:tblW w:w="87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2275"/>
        <w:gridCol w:w="2167"/>
        <w:gridCol w:w="2267"/>
      </w:tblGrid>
      <w:tr w:rsidR="00B81459" w:rsidRPr="00B81459" w14:paraId="35098392" w14:textId="77777777" w:rsidTr="00A679D5">
        <w:trPr>
          <w:trHeight w:val="288"/>
        </w:trPr>
        <w:tc>
          <w:tcPr>
            <w:tcW w:w="2017" w:type="dxa"/>
            <w:tcBorders>
              <w:bottom w:val="single" w:sz="4" w:space="0" w:color="auto"/>
            </w:tcBorders>
            <w:noWrap/>
            <w:vAlign w:val="center"/>
            <w:hideMark/>
          </w:tcPr>
          <w:p w14:paraId="048528B6" w14:textId="77777777" w:rsidR="00B81459" w:rsidRPr="00B81459" w:rsidRDefault="00B81459" w:rsidP="00B81459">
            <w:pPr>
              <w:pStyle w:val="Body"/>
              <w:spacing w:after="0"/>
              <w:rPr>
                <w:rFonts w:ascii="Arial" w:hAnsi="Arial" w:cs="Arial"/>
                <w:sz w:val="20"/>
                <w:szCs w:val="20"/>
                <w:lang w:val="en-US"/>
              </w:rPr>
            </w:pPr>
          </w:p>
        </w:tc>
        <w:tc>
          <w:tcPr>
            <w:tcW w:w="2275" w:type="dxa"/>
            <w:tcBorders>
              <w:bottom w:val="single" w:sz="4" w:space="0" w:color="auto"/>
            </w:tcBorders>
            <w:noWrap/>
            <w:vAlign w:val="center"/>
            <w:hideMark/>
          </w:tcPr>
          <w:p w14:paraId="6EAAAF3F" w14:textId="77777777" w:rsidR="00B81459" w:rsidRDefault="00B81459" w:rsidP="00B81459">
            <w:pPr>
              <w:pStyle w:val="Body"/>
              <w:spacing w:after="0"/>
              <w:jc w:val="center"/>
              <w:rPr>
                <w:rFonts w:ascii="Arial" w:hAnsi="Arial" w:cs="Arial"/>
                <w:sz w:val="20"/>
                <w:szCs w:val="20"/>
              </w:rPr>
            </w:pPr>
            <w:r w:rsidRPr="002F5454">
              <w:rPr>
                <w:rFonts w:ascii="Arial" w:hAnsi="Arial" w:cs="Arial"/>
                <w:sz w:val="20"/>
                <w:szCs w:val="20"/>
              </w:rPr>
              <w:t>Total Population</w:t>
            </w:r>
          </w:p>
          <w:p w14:paraId="03778199" w14:textId="40DEFDE5" w:rsidR="00B81459" w:rsidRPr="00B81459" w:rsidRDefault="00B81459" w:rsidP="00B81459">
            <w:pPr>
              <w:pStyle w:val="Body"/>
              <w:spacing w:after="0"/>
              <w:jc w:val="center"/>
              <w:rPr>
                <w:rFonts w:ascii="Arial" w:hAnsi="Arial" w:cs="Arial"/>
                <w:sz w:val="20"/>
                <w:szCs w:val="20"/>
              </w:rPr>
            </w:pPr>
            <w:r w:rsidRPr="00B92DF2">
              <w:rPr>
                <w:rFonts w:ascii="Arial" w:hAnsi="Arial" w:cs="Arial"/>
                <w:sz w:val="20"/>
                <w:szCs w:val="20"/>
              </w:rPr>
              <w:t>N= 5,228</w:t>
            </w:r>
          </w:p>
        </w:tc>
        <w:tc>
          <w:tcPr>
            <w:tcW w:w="2167" w:type="dxa"/>
            <w:tcBorders>
              <w:bottom w:val="single" w:sz="4" w:space="0" w:color="auto"/>
            </w:tcBorders>
            <w:noWrap/>
            <w:vAlign w:val="center"/>
            <w:hideMark/>
          </w:tcPr>
          <w:p w14:paraId="47255F6F" w14:textId="77777777" w:rsidR="00B81459" w:rsidRDefault="00B81459" w:rsidP="00B81459">
            <w:pPr>
              <w:pStyle w:val="Body"/>
              <w:spacing w:after="0"/>
              <w:jc w:val="center"/>
              <w:rPr>
                <w:rFonts w:ascii="Arial" w:hAnsi="Arial" w:cs="Arial"/>
                <w:sz w:val="20"/>
                <w:szCs w:val="20"/>
              </w:rPr>
            </w:pPr>
            <w:r w:rsidRPr="002F5454">
              <w:rPr>
                <w:rFonts w:ascii="Arial" w:hAnsi="Arial" w:cs="Arial"/>
                <w:sz w:val="20"/>
                <w:szCs w:val="20"/>
              </w:rPr>
              <w:t>Cases</w:t>
            </w:r>
          </w:p>
          <w:p w14:paraId="1AB375E5" w14:textId="645FB811" w:rsidR="00B81459" w:rsidRPr="00B81459" w:rsidRDefault="00B81459" w:rsidP="00B81459">
            <w:pPr>
              <w:pStyle w:val="Body"/>
              <w:spacing w:after="0"/>
              <w:jc w:val="center"/>
              <w:rPr>
                <w:rFonts w:ascii="Arial" w:hAnsi="Arial" w:cs="Arial"/>
                <w:sz w:val="20"/>
                <w:szCs w:val="20"/>
              </w:rPr>
            </w:pPr>
            <w:r w:rsidRPr="00B92DF2">
              <w:rPr>
                <w:rFonts w:ascii="Arial" w:hAnsi="Arial" w:cs="Arial"/>
                <w:sz w:val="20"/>
                <w:szCs w:val="20"/>
              </w:rPr>
              <w:t>n= 1,307</w:t>
            </w:r>
          </w:p>
        </w:tc>
        <w:tc>
          <w:tcPr>
            <w:tcW w:w="2267" w:type="dxa"/>
            <w:tcBorders>
              <w:bottom w:val="single" w:sz="4" w:space="0" w:color="auto"/>
            </w:tcBorders>
            <w:noWrap/>
            <w:vAlign w:val="center"/>
            <w:hideMark/>
          </w:tcPr>
          <w:p w14:paraId="4F8848DF" w14:textId="77777777" w:rsidR="00B81459" w:rsidRDefault="00B81459" w:rsidP="00B81459">
            <w:pPr>
              <w:pStyle w:val="Body"/>
              <w:spacing w:after="0"/>
              <w:jc w:val="center"/>
              <w:rPr>
                <w:rFonts w:ascii="Arial" w:hAnsi="Arial" w:cs="Arial"/>
                <w:sz w:val="20"/>
                <w:szCs w:val="20"/>
              </w:rPr>
            </w:pPr>
            <w:r w:rsidRPr="002F5454">
              <w:rPr>
                <w:rFonts w:ascii="Arial" w:hAnsi="Arial" w:cs="Arial"/>
                <w:sz w:val="20"/>
                <w:szCs w:val="20"/>
              </w:rPr>
              <w:t>Controls</w:t>
            </w:r>
          </w:p>
          <w:p w14:paraId="71BE8537" w14:textId="6069A268" w:rsidR="00B81459" w:rsidRPr="00B81459" w:rsidRDefault="00B81459" w:rsidP="00B81459">
            <w:pPr>
              <w:pStyle w:val="Body"/>
              <w:spacing w:after="0"/>
              <w:jc w:val="center"/>
              <w:rPr>
                <w:rFonts w:ascii="Arial" w:hAnsi="Arial" w:cs="Arial"/>
                <w:sz w:val="20"/>
                <w:szCs w:val="20"/>
              </w:rPr>
            </w:pPr>
            <w:r w:rsidRPr="00B92DF2">
              <w:rPr>
                <w:rFonts w:ascii="Arial" w:hAnsi="Arial" w:cs="Arial"/>
                <w:sz w:val="20"/>
                <w:szCs w:val="20"/>
              </w:rPr>
              <w:t>n= 3,921</w:t>
            </w:r>
          </w:p>
        </w:tc>
      </w:tr>
      <w:tr w:rsidR="007E7F04" w:rsidRPr="00B81459" w14:paraId="67638504" w14:textId="77777777" w:rsidTr="00A679D5">
        <w:trPr>
          <w:trHeight w:val="288"/>
        </w:trPr>
        <w:tc>
          <w:tcPr>
            <w:tcW w:w="2017" w:type="dxa"/>
            <w:tcBorders>
              <w:top w:val="single" w:sz="4" w:space="0" w:color="auto"/>
              <w:bottom w:val="nil"/>
            </w:tcBorders>
            <w:noWrap/>
            <w:vAlign w:val="center"/>
          </w:tcPr>
          <w:p w14:paraId="490943CB" w14:textId="3506675C" w:rsidR="007E7F04" w:rsidRPr="00B81459" w:rsidRDefault="007E7F04" w:rsidP="007E7F04">
            <w:pPr>
              <w:pStyle w:val="Body"/>
              <w:spacing w:after="0"/>
              <w:rPr>
                <w:rFonts w:ascii="Arial" w:hAnsi="Arial" w:cs="Arial"/>
                <w:sz w:val="20"/>
                <w:szCs w:val="20"/>
              </w:rPr>
            </w:pPr>
            <w:bookmarkStart w:id="4" w:name="_Hlk190628599"/>
            <w:r w:rsidRPr="00B81459">
              <w:rPr>
                <w:rFonts w:ascii="Arial" w:hAnsi="Arial" w:cs="Arial"/>
                <w:sz w:val="20"/>
                <w:szCs w:val="20"/>
              </w:rPr>
              <w:t>Hypertension</w:t>
            </w:r>
          </w:p>
        </w:tc>
        <w:tc>
          <w:tcPr>
            <w:tcW w:w="2275" w:type="dxa"/>
            <w:tcBorders>
              <w:top w:val="single" w:sz="4" w:space="0" w:color="auto"/>
              <w:bottom w:val="nil"/>
            </w:tcBorders>
            <w:noWrap/>
            <w:vAlign w:val="center"/>
          </w:tcPr>
          <w:p w14:paraId="037A8EBA" w14:textId="51B8147B"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600, 11.5; (10.6-12.3)</w:t>
            </w:r>
          </w:p>
        </w:tc>
        <w:tc>
          <w:tcPr>
            <w:tcW w:w="2167" w:type="dxa"/>
            <w:tcBorders>
              <w:top w:val="single" w:sz="4" w:space="0" w:color="auto"/>
              <w:bottom w:val="nil"/>
            </w:tcBorders>
            <w:noWrap/>
            <w:vAlign w:val="center"/>
          </w:tcPr>
          <w:p w14:paraId="0FC23018" w14:textId="1DF68748"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159, 12.2; (10.5-13.9)</w:t>
            </w:r>
          </w:p>
        </w:tc>
        <w:tc>
          <w:tcPr>
            <w:tcW w:w="2267" w:type="dxa"/>
            <w:tcBorders>
              <w:top w:val="single" w:sz="4" w:space="0" w:color="auto"/>
              <w:bottom w:val="nil"/>
            </w:tcBorders>
            <w:noWrap/>
            <w:vAlign w:val="center"/>
          </w:tcPr>
          <w:p w14:paraId="27BBB6E0" w14:textId="15B08B68"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441, 11.2; (10.3-12.3)</w:t>
            </w:r>
          </w:p>
        </w:tc>
      </w:tr>
      <w:bookmarkEnd w:id="4"/>
      <w:tr w:rsidR="007E7F04" w:rsidRPr="00B81459" w14:paraId="18ADE135" w14:textId="77777777" w:rsidTr="00A679D5">
        <w:trPr>
          <w:trHeight w:val="288"/>
        </w:trPr>
        <w:tc>
          <w:tcPr>
            <w:tcW w:w="2017" w:type="dxa"/>
            <w:tcBorders>
              <w:top w:val="nil"/>
            </w:tcBorders>
            <w:noWrap/>
            <w:vAlign w:val="center"/>
          </w:tcPr>
          <w:p w14:paraId="5060307D" w14:textId="30E0DBBD" w:rsidR="007E7F04" w:rsidRPr="00B81459" w:rsidRDefault="007E7F04" w:rsidP="007E7F04">
            <w:pPr>
              <w:pStyle w:val="Body"/>
              <w:spacing w:after="0"/>
              <w:rPr>
                <w:rFonts w:ascii="Arial" w:hAnsi="Arial" w:cs="Arial"/>
              </w:rPr>
            </w:pPr>
            <w:r w:rsidRPr="00B81459">
              <w:rPr>
                <w:rFonts w:ascii="Arial" w:hAnsi="Arial" w:cs="Arial"/>
                <w:sz w:val="20"/>
                <w:szCs w:val="20"/>
              </w:rPr>
              <w:t>Type 2 Diabetes</w:t>
            </w:r>
          </w:p>
        </w:tc>
        <w:tc>
          <w:tcPr>
            <w:tcW w:w="2275" w:type="dxa"/>
            <w:tcBorders>
              <w:top w:val="nil"/>
            </w:tcBorders>
            <w:noWrap/>
            <w:vAlign w:val="center"/>
          </w:tcPr>
          <w:p w14:paraId="15310973" w14:textId="3D5ABC06" w:rsidR="007E7F04" w:rsidRPr="00B81459" w:rsidRDefault="007E7F04" w:rsidP="007E7F04">
            <w:pPr>
              <w:pStyle w:val="Body"/>
              <w:spacing w:after="0"/>
              <w:jc w:val="center"/>
              <w:rPr>
                <w:rFonts w:ascii="Arial" w:hAnsi="Arial" w:cs="Arial"/>
              </w:rPr>
            </w:pPr>
            <w:r w:rsidRPr="00B81459">
              <w:rPr>
                <w:rFonts w:ascii="Arial" w:hAnsi="Arial" w:cs="Arial"/>
                <w:sz w:val="20"/>
                <w:szCs w:val="20"/>
              </w:rPr>
              <w:t>426, 8.1; (7.4-8.9)</w:t>
            </w:r>
          </w:p>
        </w:tc>
        <w:tc>
          <w:tcPr>
            <w:tcW w:w="2167" w:type="dxa"/>
            <w:tcBorders>
              <w:top w:val="nil"/>
            </w:tcBorders>
            <w:noWrap/>
            <w:vAlign w:val="center"/>
          </w:tcPr>
          <w:p w14:paraId="154432AF" w14:textId="5CEC0E44" w:rsidR="007E7F04" w:rsidRPr="00B81459" w:rsidRDefault="007E7F04" w:rsidP="007E7F04">
            <w:pPr>
              <w:pStyle w:val="Body"/>
              <w:spacing w:after="0"/>
              <w:jc w:val="center"/>
              <w:rPr>
                <w:rFonts w:ascii="Arial" w:hAnsi="Arial" w:cs="Arial"/>
              </w:rPr>
            </w:pPr>
            <w:r w:rsidRPr="00B81459">
              <w:rPr>
                <w:rFonts w:ascii="Arial" w:hAnsi="Arial" w:cs="Arial"/>
                <w:sz w:val="20"/>
                <w:szCs w:val="20"/>
              </w:rPr>
              <w:t>103, 7.9; (6.4-9.4)</w:t>
            </w:r>
          </w:p>
        </w:tc>
        <w:tc>
          <w:tcPr>
            <w:tcW w:w="2267" w:type="dxa"/>
            <w:tcBorders>
              <w:top w:val="nil"/>
            </w:tcBorders>
            <w:noWrap/>
            <w:vAlign w:val="center"/>
          </w:tcPr>
          <w:p w14:paraId="74591600" w14:textId="66EC299B" w:rsidR="007E7F04" w:rsidRPr="00B81459" w:rsidRDefault="007E7F04" w:rsidP="007E7F04">
            <w:pPr>
              <w:pStyle w:val="Body"/>
              <w:spacing w:after="0"/>
              <w:jc w:val="center"/>
              <w:rPr>
                <w:rFonts w:ascii="Arial" w:hAnsi="Arial" w:cs="Arial"/>
              </w:rPr>
            </w:pPr>
            <w:r w:rsidRPr="00B81459">
              <w:rPr>
                <w:rFonts w:ascii="Arial" w:hAnsi="Arial" w:cs="Arial"/>
                <w:sz w:val="20"/>
                <w:szCs w:val="20"/>
              </w:rPr>
              <w:t>323, 8.2; (7.4-9.1)</w:t>
            </w:r>
          </w:p>
        </w:tc>
      </w:tr>
      <w:tr w:rsidR="007E7F04" w:rsidRPr="00B81459" w14:paraId="7F90280D" w14:textId="77777777" w:rsidTr="00A679D5">
        <w:trPr>
          <w:trHeight w:val="288"/>
        </w:trPr>
        <w:tc>
          <w:tcPr>
            <w:tcW w:w="2017" w:type="dxa"/>
            <w:noWrap/>
            <w:vAlign w:val="center"/>
          </w:tcPr>
          <w:p w14:paraId="6FF2DBE4" w14:textId="0D051686"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Obesity</w:t>
            </w:r>
          </w:p>
        </w:tc>
        <w:tc>
          <w:tcPr>
            <w:tcW w:w="2275" w:type="dxa"/>
            <w:noWrap/>
            <w:vAlign w:val="center"/>
          </w:tcPr>
          <w:p w14:paraId="52EABA2E" w14:textId="173DC5C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370, 7.1; (6.4-7.8)</w:t>
            </w:r>
          </w:p>
        </w:tc>
        <w:tc>
          <w:tcPr>
            <w:tcW w:w="2167" w:type="dxa"/>
            <w:noWrap/>
            <w:vAlign w:val="center"/>
          </w:tcPr>
          <w:p w14:paraId="11F55666" w14:textId="37D95EDA"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98, 7.5; (6.1-8.9)</w:t>
            </w:r>
          </w:p>
        </w:tc>
        <w:tc>
          <w:tcPr>
            <w:tcW w:w="2267" w:type="dxa"/>
            <w:noWrap/>
            <w:vAlign w:val="center"/>
          </w:tcPr>
          <w:p w14:paraId="0C0038D0" w14:textId="291898D4"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272, 6.9; (6.1-7.8)</w:t>
            </w:r>
          </w:p>
        </w:tc>
      </w:tr>
      <w:tr w:rsidR="007E7F04" w:rsidRPr="00B81459" w14:paraId="47CA9C61" w14:textId="77777777" w:rsidTr="00A679D5">
        <w:trPr>
          <w:trHeight w:val="288"/>
        </w:trPr>
        <w:tc>
          <w:tcPr>
            <w:tcW w:w="2017" w:type="dxa"/>
            <w:noWrap/>
            <w:vAlign w:val="center"/>
          </w:tcPr>
          <w:p w14:paraId="585D662B" w14:textId="6B8CC7E3"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Smoking History</w:t>
            </w:r>
            <w:r w:rsidR="00F3717D">
              <w:rPr>
                <w:rFonts w:ascii="Arial" w:hAnsi="Arial" w:cs="Arial"/>
                <w:sz w:val="20"/>
                <w:szCs w:val="20"/>
              </w:rPr>
              <w:t>*</w:t>
            </w:r>
          </w:p>
        </w:tc>
        <w:tc>
          <w:tcPr>
            <w:tcW w:w="2275" w:type="dxa"/>
            <w:noWrap/>
            <w:vAlign w:val="center"/>
          </w:tcPr>
          <w:p w14:paraId="12256BBF" w14:textId="6C58F882"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158, 3; (2.6-3.5)</w:t>
            </w:r>
          </w:p>
        </w:tc>
        <w:tc>
          <w:tcPr>
            <w:tcW w:w="2167" w:type="dxa"/>
            <w:noWrap/>
            <w:vAlign w:val="center"/>
          </w:tcPr>
          <w:p w14:paraId="40A335FC" w14:textId="2C427981"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24, 1.8; (1.1-2.7)</w:t>
            </w:r>
          </w:p>
        </w:tc>
        <w:tc>
          <w:tcPr>
            <w:tcW w:w="2267" w:type="dxa"/>
            <w:noWrap/>
            <w:vAlign w:val="center"/>
          </w:tcPr>
          <w:p w14:paraId="505AD5D8" w14:textId="0D3C2175"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134, 3.4; (2.9-4)</w:t>
            </w:r>
          </w:p>
        </w:tc>
      </w:tr>
      <w:tr w:rsidR="007E7F04" w:rsidRPr="00B81459" w14:paraId="1D805CD4" w14:textId="77777777" w:rsidTr="00A679D5">
        <w:trPr>
          <w:trHeight w:val="288"/>
        </w:trPr>
        <w:tc>
          <w:tcPr>
            <w:tcW w:w="2017" w:type="dxa"/>
            <w:noWrap/>
            <w:vAlign w:val="center"/>
          </w:tcPr>
          <w:p w14:paraId="67F660ED" w14:textId="56DC45F1"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Pregnancy</w:t>
            </w:r>
          </w:p>
        </w:tc>
        <w:tc>
          <w:tcPr>
            <w:tcW w:w="2275" w:type="dxa"/>
            <w:noWrap/>
            <w:vAlign w:val="center"/>
          </w:tcPr>
          <w:p w14:paraId="71F14E1E" w14:textId="5B74107B"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56, 1.1; (0.8-1.4)</w:t>
            </w:r>
          </w:p>
        </w:tc>
        <w:tc>
          <w:tcPr>
            <w:tcW w:w="2167" w:type="dxa"/>
            <w:noWrap/>
            <w:vAlign w:val="center"/>
          </w:tcPr>
          <w:p w14:paraId="514ED5ED" w14:textId="0EA9280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0, 0.0; (0.0-0.0)</w:t>
            </w:r>
          </w:p>
        </w:tc>
        <w:tc>
          <w:tcPr>
            <w:tcW w:w="2267" w:type="dxa"/>
            <w:noWrap/>
            <w:vAlign w:val="center"/>
          </w:tcPr>
          <w:p w14:paraId="5871B6D8" w14:textId="0A71A396"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56, 1.4; (1-1.8)</w:t>
            </w:r>
          </w:p>
        </w:tc>
      </w:tr>
      <w:tr w:rsidR="007E7F04" w:rsidRPr="00B81459" w14:paraId="40009D01" w14:textId="77777777" w:rsidTr="00A679D5">
        <w:trPr>
          <w:trHeight w:val="288"/>
        </w:trPr>
        <w:tc>
          <w:tcPr>
            <w:tcW w:w="2017" w:type="dxa"/>
            <w:noWrap/>
            <w:vAlign w:val="center"/>
          </w:tcPr>
          <w:p w14:paraId="6075FB1E" w14:textId="449D5B74"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Asthma</w:t>
            </w:r>
          </w:p>
        </w:tc>
        <w:tc>
          <w:tcPr>
            <w:tcW w:w="2275" w:type="dxa"/>
            <w:noWrap/>
            <w:vAlign w:val="center"/>
          </w:tcPr>
          <w:p w14:paraId="292FA064" w14:textId="63CA4030"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48, 0.9; (0.7-1.2)</w:t>
            </w:r>
          </w:p>
        </w:tc>
        <w:tc>
          <w:tcPr>
            <w:tcW w:w="2167" w:type="dxa"/>
            <w:noWrap/>
            <w:vAlign w:val="center"/>
          </w:tcPr>
          <w:p w14:paraId="2328E4C9" w14:textId="610D637A"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13, 1; (0.5-1.6)</w:t>
            </w:r>
          </w:p>
        </w:tc>
        <w:tc>
          <w:tcPr>
            <w:tcW w:w="2267" w:type="dxa"/>
            <w:noWrap/>
            <w:vAlign w:val="center"/>
          </w:tcPr>
          <w:p w14:paraId="72DDBF4B" w14:textId="59AE2AB1"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35, 0.9; (0.6-1.2)</w:t>
            </w:r>
          </w:p>
        </w:tc>
      </w:tr>
      <w:tr w:rsidR="007E7F04" w:rsidRPr="00B81459" w14:paraId="592FC524" w14:textId="77777777" w:rsidTr="00A679D5">
        <w:trPr>
          <w:trHeight w:val="288"/>
        </w:trPr>
        <w:tc>
          <w:tcPr>
            <w:tcW w:w="2017" w:type="dxa"/>
            <w:noWrap/>
            <w:vAlign w:val="center"/>
          </w:tcPr>
          <w:p w14:paraId="7293F378" w14:textId="0CFE32ED"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CKD</w:t>
            </w:r>
            <w:r w:rsidR="00F3717D" w:rsidRPr="00F3717D">
              <w:rPr>
                <w:rFonts w:ascii="Arial" w:hAnsi="Arial" w:cs="Arial"/>
                <w:sz w:val="20"/>
                <w:szCs w:val="20"/>
                <w:vertAlign w:val="superscript"/>
              </w:rPr>
              <w:t>&amp;</w:t>
            </w:r>
            <w:r w:rsidR="00F3717D">
              <w:rPr>
                <w:rFonts w:ascii="Arial" w:hAnsi="Arial" w:cs="Arial"/>
                <w:sz w:val="20"/>
                <w:szCs w:val="20"/>
                <w:vertAlign w:val="superscript"/>
              </w:rPr>
              <w:t>*</w:t>
            </w:r>
          </w:p>
        </w:tc>
        <w:tc>
          <w:tcPr>
            <w:tcW w:w="2275" w:type="dxa"/>
            <w:noWrap/>
            <w:vAlign w:val="center"/>
          </w:tcPr>
          <w:p w14:paraId="30F04711" w14:textId="270D5D7B"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43, 0.8; (0.6-1.1)</w:t>
            </w:r>
          </w:p>
        </w:tc>
        <w:tc>
          <w:tcPr>
            <w:tcW w:w="2167" w:type="dxa"/>
            <w:noWrap/>
            <w:vAlign w:val="center"/>
          </w:tcPr>
          <w:p w14:paraId="0CE3366A" w14:textId="46C810D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4, 0.3; (0.1-0.6)</w:t>
            </w:r>
          </w:p>
        </w:tc>
        <w:tc>
          <w:tcPr>
            <w:tcW w:w="2267" w:type="dxa"/>
            <w:noWrap/>
            <w:vAlign w:val="center"/>
          </w:tcPr>
          <w:p w14:paraId="03AB2ED1" w14:textId="043B3485"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39, 1; (0.7-1.4)</w:t>
            </w:r>
          </w:p>
        </w:tc>
      </w:tr>
      <w:tr w:rsidR="007E7F04" w:rsidRPr="00B81459" w14:paraId="77949E4D" w14:textId="77777777" w:rsidTr="00A679D5">
        <w:trPr>
          <w:trHeight w:val="288"/>
        </w:trPr>
        <w:tc>
          <w:tcPr>
            <w:tcW w:w="2017" w:type="dxa"/>
            <w:noWrap/>
            <w:vAlign w:val="center"/>
          </w:tcPr>
          <w:p w14:paraId="42DE1812" w14:textId="0EF458BC" w:rsidR="007E7F04" w:rsidRPr="00B81459" w:rsidRDefault="007E7F04" w:rsidP="007E7F04">
            <w:pPr>
              <w:pStyle w:val="Body"/>
              <w:spacing w:after="0"/>
              <w:rPr>
                <w:rFonts w:ascii="Arial" w:hAnsi="Arial" w:cs="Arial"/>
                <w:sz w:val="20"/>
                <w:szCs w:val="20"/>
              </w:rPr>
            </w:pPr>
            <w:bookmarkStart w:id="5" w:name="_Hlk190628859"/>
            <w:r w:rsidRPr="00B81459">
              <w:rPr>
                <w:rFonts w:ascii="Arial" w:hAnsi="Arial" w:cs="Arial"/>
                <w:sz w:val="20"/>
                <w:szCs w:val="20"/>
              </w:rPr>
              <w:t>CD</w:t>
            </w:r>
            <w:bookmarkEnd w:id="5"/>
            <w:r w:rsidR="00F3717D" w:rsidRPr="00F3717D">
              <w:rPr>
                <w:rFonts w:ascii="Arial" w:hAnsi="Arial" w:cs="Arial"/>
                <w:sz w:val="20"/>
                <w:szCs w:val="20"/>
                <w:vertAlign w:val="superscript"/>
              </w:rPr>
              <w:t>&amp;</w:t>
            </w:r>
            <w:r w:rsidR="00F3717D">
              <w:rPr>
                <w:rFonts w:ascii="Arial" w:hAnsi="Arial" w:cs="Arial"/>
                <w:sz w:val="20"/>
                <w:szCs w:val="20"/>
                <w:vertAlign w:val="superscript"/>
              </w:rPr>
              <w:t>*</w:t>
            </w:r>
          </w:p>
        </w:tc>
        <w:tc>
          <w:tcPr>
            <w:tcW w:w="2275" w:type="dxa"/>
            <w:noWrap/>
            <w:vAlign w:val="center"/>
          </w:tcPr>
          <w:p w14:paraId="5D4E346B" w14:textId="21897165"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37, 0.7; (0.5-0.9)</w:t>
            </w:r>
          </w:p>
        </w:tc>
        <w:tc>
          <w:tcPr>
            <w:tcW w:w="2167" w:type="dxa"/>
            <w:noWrap/>
            <w:vAlign w:val="center"/>
          </w:tcPr>
          <w:p w14:paraId="1C3DCA76" w14:textId="30CFF4DA"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 0.2; (0-0.5)</w:t>
            </w:r>
          </w:p>
        </w:tc>
        <w:tc>
          <w:tcPr>
            <w:tcW w:w="2267" w:type="dxa"/>
            <w:noWrap/>
            <w:vAlign w:val="center"/>
          </w:tcPr>
          <w:p w14:paraId="098CBF54" w14:textId="34F11BC6"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34, 0.9; (0.6-1.2)</w:t>
            </w:r>
          </w:p>
        </w:tc>
      </w:tr>
      <w:tr w:rsidR="007E7F04" w:rsidRPr="00B81459" w14:paraId="6E1FE586" w14:textId="77777777" w:rsidTr="00A679D5">
        <w:trPr>
          <w:trHeight w:val="288"/>
        </w:trPr>
        <w:tc>
          <w:tcPr>
            <w:tcW w:w="2017" w:type="dxa"/>
            <w:noWrap/>
            <w:vAlign w:val="center"/>
          </w:tcPr>
          <w:p w14:paraId="59A35310" w14:textId="20C346D6"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lastRenderedPageBreak/>
              <w:t>Immunosuppression</w:t>
            </w:r>
          </w:p>
        </w:tc>
        <w:tc>
          <w:tcPr>
            <w:tcW w:w="2275" w:type="dxa"/>
            <w:noWrap/>
            <w:vAlign w:val="center"/>
          </w:tcPr>
          <w:p w14:paraId="69B678A2" w14:textId="7E81334A"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29, 0.6; (0.4-0.8)</w:t>
            </w:r>
          </w:p>
        </w:tc>
        <w:tc>
          <w:tcPr>
            <w:tcW w:w="2167" w:type="dxa"/>
            <w:noWrap/>
            <w:vAlign w:val="center"/>
          </w:tcPr>
          <w:p w14:paraId="183EC74E" w14:textId="3D999CE3"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6, 0.5; (0.1-0.9)</w:t>
            </w:r>
          </w:p>
        </w:tc>
        <w:tc>
          <w:tcPr>
            <w:tcW w:w="2267" w:type="dxa"/>
            <w:noWrap/>
            <w:vAlign w:val="center"/>
          </w:tcPr>
          <w:p w14:paraId="3B70B6C1" w14:textId="492485CF"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23, 0.6; (0.4-0.8)</w:t>
            </w:r>
          </w:p>
        </w:tc>
      </w:tr>
      <w:tr w:rsidR="007E7F04" w:rsidRPr="00B81459" w14:paraId="13D0FB36" w14:textId="77777777" w:rsidTr="00A679D5">
        <w:trPr>
          <w:trHeight w:val="288"/>
        </w:trPr>
        <w:tc>
          <w:tcPr>
            <w:tcW w:w="2017" w:type="dxa"/>
            <w:noWrap/>
            <w:vAlign w:val="center"/>
          </w:tcPr>
          <w:p w14:paraId="58B53698" w14:textId="192E2BC5"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HIV Infection</w:t>
            </w:r>
          </w:p>
        </w:tc>
        <w:tc>
          <w:tcPr>
            <w:tcW w:w="2275" w:type="dxa"/>
            <w:noWrap/>
            <w:vAlign w:val="center"/>
          </w:tcPr>
          <w:p w14:paraId="3AFC5B3B" w14:textId="1B51E8AE"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24, 0.5; (0.3-0.7)</w:t>
            </w:r>
          </w:p>
        </w:tc>
        <w:tc>
          <w:tcPr>
            <w:tcW w:w="2167" w:type="dxa"/>
            <w:noWrap/>
            <w:vAlign w:val="center"/>
          </w:tcPr>
          <w:p w14:paraId="7E44C37E" w14:textId="305812F5"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8, 0.6; (0.2-1.1)</w:t>
            </w:r>
          </w:p>
        </w:tc>
        <w:tc>
          <w:tcPr>
            <w:tcW w:w="2267" w:type="dxa"/>
            <w:noWrap/>
            <w:vAlign w:val="center"/>
          </w:tcPr>
          <w:p w14:paraId="2F0CA98B" w14:textId="3DDC203D"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16, 0.4; (0.2-0.6)</w:t>
            </w:r>
          </w:p>
        </w:tc>
      </w:tr>
      <w:tr w:rsidR="007E7F04" w:rsidRPr="00B81459" w14:paraId="29F1DBC0" w14:textId="77777777" w:rsidTr="00A679D5">
        <w:trPr>
          <w:trHeight w:val="288"/>
        </w:trPr>
        <w:tc>
          <w:tcPr>
            <w:tcW w:w="2017" w:type="dxa"/>
            <w:noWrap/>
            <w:vAlign w:val="center"/>
          </w:tcPr>
          <w:p w14:paraId="5342058E" w14:textId="40CD98D4"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COPD</w:t>
            </w:r>
          </w:p>
        </w:tc>
        <w:tc>
          <w:tcPr>
            <w:tcW w:w="2275" w:type="dxa"/>
            <w:noWrap/>
            <w:vAlign w:val="center"/>
          </w:tcPr>
          <w:p w14:paraId="26DC089B" w14:textId="2A6CE09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22, 0.4; (0.2-0.6)</w:t>
            </w:r>
          </w:p>
        </w:tc>
        <w:tc>
          <w:tcPr>
            <w:tcW w:w="2167" w:type="dxa"/>
            <w:noWrap/>
            <w:vAlign w:val="center"/>
          </w:tcPr>
          <w:p w14:paraId="6242EAFD" w14:textId="2DF1106B"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 0.2; (0-0.5)</w:t>
            </w:r>
          </w:p>
        </w:tc>
        <w:tc>
          <w:tcPr>
            <w:tcW w:w="2267" w:type="dxa"/>
            <w:noWrap/>
            <w:vAlign w:val="center"/>
          </w:tcPr>
          <w:p w14:paraId="3C3DCD18" w14:textId="140FB39D"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19, 0.5; (0.3-0.7)</w:t>
            </w:r>
          </w:p>
        </w:tc>
      </w:tr>
      <w:tr w:rsidR="007E7F04" w:rsidRPr="00B81459" w14:paraId="1938E723" w14:textId="77777777" w:rsidTr="00A679D5">
        <w:trPr>
          <w:trHeight w:val="288"/>
        </w:trPr>
        <w:tc>
          <w:tcPr>
            <w:tcW w:w="2017" w:type="dxa"/>
            <w:noWrap/>
            <w:vAlign w:val="center"/>
          </w:tcPr>
          <w:p w14:paraId="3E8819E9" w14:textId="7C65F27B"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Cancer</w:t>
            </w:r>
          </w:p>
        </w:tc>
        <w:tc>
          <w:tcPr>
            <w:tcW w:w="2275" w:type="dxa"/>
            <w:noWrap/>
            <w:vAlign w:val="center"/>
          </w:tcPr>
          <w:p w14:paraId="0656CC3A" w14:textId="6E14554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21, 0.4; (0.2-0.6)</w:t>
            </w:r>
          </w:p>
        </w:tc>
        <w:tc>
          <w:tcPr>
            <w:tcW w:w="2167" w:type="dxa"/>
            <w:noWrap/>
            <w:vAlign w:val="center"/>
          </w:tcPr>
          <w:p w14:paraId="4AE5729C" w14:textId="1D18D46C"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 0.2; (0-0.5)</w:t>
            </w:r>
          </w:p>
        </w:tc>
        <w:tc>
          <w:tcPr>
            <w:tcW w:w="2267" w:type="dxa"/>
            <w:noWrap/>
            <w:vAlign w:val="center"/>
          </w:tcPr>
          <w:p w14:paraId="5F6AA496" w14:textId="5C99F34C"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18, 0.5; (0.3-0.7)</w:t>
            </w:r>
          </w:p>
        </w:tc>
      </w:tr>
      <w:tr w:rsidR="007E7F04" w:rsidRPr="00B81459" w14:paraId="7A0B4931" w14:textId="77777777" w:rsidTr="00A679D5">
        <w:trPr>
          <w:trHeight w:val="288"/>
        </w:trPr>
        <w:tc>
          <w:tcPr>
            <w:tcW w:w="2017" w:type="dxa"/>
            <w:noWrap/>
            <w:vAlign w:val="center"/>
            <w:hideMark/>
          </w:tcPr>
          <w:p w14:paraId="3707D89F" w14:textId="62DD07E0"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CLD</w:t>
            </w:r>
          </w:p>
        </w:tc>
        <w:tc>
          <w:tcPr>
            <w:tcW w:w="2275" w:type="dxa"/>
            <w:noWrap/>
            <w:vAlign w:val="center"/>
            <w:hideMark/>
          </w:tcPr>
          <w:p w14:paraId="430E1A5D"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10, 0.2; (0.1-0.3)</w:t>
            </w:r>
          </w:p>
        </w:tc>
        <w:tc>
          <w:tcPr>
            <w:tcW w:w="2167" w:type="dxa"/>
            <w:noWrap/>
            <w:vAlign w:val="center"/>
            <w:hideMark/>
          </w:tcPr>
          <w:p w14:paraId="0F162A05"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0, 0.0; (0.0-0.0)</w:t>
            </w:r>
          </w:p>
        </w:tc>
        <w:tc>
          <w:tcPr>
            <w:tcW w:w="2267" w:type="dxa"/>
            <w:noWrap/>
            <w:vAlign w:val="center"/>
            <w:hideMark/>
          </w:tcPr>
          <w:p w14:paraId="6056B930"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10, 0.3; (0.1-0.4)</w:t>
            </w:r>
          </w:p>
        </w:tc>
      </w:tr>
      <w:tr w:rsidR="007E7F04" w:rsidRPr="00B81459" w14:paraId="7F1204CD" w14:textId="77777777" w:rsidTr="00A679D5">
        <w:trPr>
          <w:trHeight w:val="288"/>
        </w:trPr>
        <w:tc>
          <w:tcPr>
            <w:tcW w:w="2017" w:type="dxa"/>
            <w:noWrap/>
            <w:vAlign w:val="center"/>
            <w:hideMark/>
          </w:tcPr>
          <w:p w14:paraId="1E03C614" w14:textId="248688C4"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ND</w:t>
            </w:r>
          </w:p>
        </w:tc>
        <w:tc>
          <w:tcPr>
            <w:tcW w:w="2275" w:type="dxa"/>
            <w:noWrap/>
            <w:vAlign w:val="center"/>
            <w:hideMark/>
          </w:tcPr>
          <w:p w14:paraId="11D2A8B0"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 0.1; (0-0.2)</w:t>
            </w:r>
          </w:p>
        </w:tc>
        <w:tc>
          <w:tcPr>
            <w:tcW w:w="2167" w:type="dxa"/>
            <w:noWrap/>
            <w:vAlign w:val="center"/>
            <w:hideMark/>
          </w:tcPr>
          <w:p w14:paraId="599E1CFC"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0, 0.0; (0.0-0.0)</w:t>
            </w:r>
          </w:p>
        </w:tc>
        <w:tc>
          <w:tcPr>
            <w:tcW w:w="2267" w:type="dxa"/>
            <w:noWrap/>
            <w:vAlign w:val="center"/>
            <w:hideMark/>
          </w:tcPr>
          <w:p w14:paraId="21CAE077"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 0.1; (0-0.2)</w:t>
            </w:r>
          </w:p>
        </w:tc>
      </w:tr>
      <w:tr w:rsidR="007E7F04" w:rsidRPr="00B81459" w14:paraId="58FB8019" w14:textId="77777777" w:rsidTr="00A679D5">
        <w:trPr>
          <w:trHeight w:val="288"/>
        </w:trPr>
        <w:tc>
          <w:tcPr>
            <w:tcW w:w="2017" w:type="dxa"/>
            <w:noWrap/>
            <w:vAlign w:val="center"/>
            <w:hideMark/>
          </w:tcPr>
          <w:p w14:paraId="1901736B" w14:textId="77777777"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Other</w:t>
            </w:r>
          </w:p>
        </w:tc>
        <w:tc>
          <w:tcPr>
            <w:tcW w:w="2275" w:type="dxa"/>
            <w:noWrap/>
            <w:vAlign w:val="center"/>
            <w:hideMark/>
          </w:tcPr>
          <w:p w14:paraId="67B587B1"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243, 4.6; (4.1-5.2)</w:t>
            </w:r>
          </w:p>
        </w:tc>
        <w:tc>
          <w:tcPr>
            <w:tcW w:w="2167" w:type="dxa"/>
            <w:noWrap/>
            <w:vAlign w:val="center"/>
            <w:hideMark/>
          </w:tcPr>
          <w:p w14:paraId="3A237781"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52, 4; (3.1-5)</w:t>
            </w:r>
          </w:p>
        </w:tc>
        <w:tc>
          <w:tcPr>
            <w:tcW w:w="2267" w:type="dxa"/>
            <w:noWrap/>
            <w:vAlign w:val="center"/>
            <w:hideMark/>
          </w:tcPr>
          <w:p w14:paraId="7DAC6068"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191, 4.9; (4.2-5.6)</w:t>
            </w:r>
          </w:p>
        </w:tc>
      </w:tr>
    </w:tbl>
    <w:p w14:paraId="6AE0FC38" w14:textId="58A7C682" w:rsidR="00B81459" w:rsidRPr="006F4089" w:rsidRDefault="00B81459" w:rsidP="00B81459">
      <w:pPr>
        <w:tabs>
          <w:tab w:val="left" w:pos="1080"/>
        </w:tabs>
        <w:jc w:val="both"/>
        <w:rPr>
          <w:rFonts w:ascii="Arial" w:hAnsi="Arial" w:cs="Arial"/>
          <w:sz w:val="18"/>
          <w:szCs w:val="18"/>
        </w:rPr>
      </w:pPr>
      <w:r w:rsidRPr="008F39F5">
        <w:rPr>
          <w:rFonts w:ascii="Arial" w:hAnsi="Arial"/>
          <w:bCs/>
          <w:sz w:val="18"/>
          <w:szCs w:val="18"/>
        </w:rPr>
        <w:t>Source: Prepared by the authors using data from the SINOLAVE System,</w:t>
      </w:r>
      <w:r w:rsidR="00BF475F">
        <w:rPr>
          <w:rFonts w:ascii="Arial" w:hAnsi="Arial"/>
          <w:bCs/>
          <w:sz w:val="18"/>
          <w:szCs w:val="18"/>
        </w:rPr>
        <w:t xml:space="preserve"> from</w:t>
      </w:r>
      <w:r w:rsidRPr="008F39F5">
        <w:rPr>
          <w:rFonts w:ascii="Arial" w:hAnsi="Arial"/>
          <w:bCs/>
          <w:sz w:val="18"/>
          <w:szCs w:val="18"/>
        </w:rPr>
        <w:t xml:space="preserve">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Pr="00B81459">
        <w:rPr>
          <w:rFonts w:ascii="Arial" w:hAnsi="Arial"/>
          <w:bCs/>
          <w:sz w:val="18"/>
          <w:szCs w:val="18"/>
        </w:rPr>
        <w:t>COPD</w:t>
      </w:r>
      <w:r>
        <w:rPr>
          <w:rFonts w:ascii="Arial" w:hAnsi="Arial"/>
          <w:bCs/>
          <w:sz w:val="18"/>
          <w:szCs w:val="18"/>
        </w:rPr>
        <w:t>:</w:t>
      </w:r>
      <w:r w:rsidRPr="00B81459">
        <w:rPr>
          <w:rFonts w:ascii="Arial" w:hAnsi="Arial"/>
          <w:bCs/>
          <w:sz w:val="18"/>
          <w:szCs w:val="18"/>
        </w:rPr>
        <w:t xml:space="preserve"> Chronic Obstructive Pulmonary Disease</w:t>
      </w:r>
      <w:r>
        <w:rPr>
          <w:rFonts w:ascii="Arial" w:hAnsi="Arial"/>
          <w:bCs/>
          <w:sz w:val="18"/>
          <w:szCs w:val="18"/>
        </w:rPr>
        <w:t xml:space="preserve">. CD: </w:t>
      </w:r>
      <w:r w:rsidRPr="00B81459">
        <w:rPr>
          <w:rFonts w:ascii="Arial" w:hAnsi="Arial"/>
          <w:bCs/>
          <w:sz w:val="18"/>
          <w:szCs w:val="18"/>
        </w:rPr>
        <w:t>Cardiovascular Disease</w:t>
      </w:r>
      <w:r>
        <w:rPr>
          <w:rFonts w:ascii="Arial" w:hAnsi="Arial"/>
          <w:bCs/>
          <w:sz w:val="18"/>
          <w:szCs w:val="18"/>
        </w:rPr>
        <w:t>.</w:t>
      </w:r>
      <w:r w:rsidRPr="00B81459">
        <w:rPr>
          <w:rFonts w:ascii="Arial" w:hAnsi="Arial"/>
          <w:bCs/>
          <w:sz w:val="18"/>
          <w:szCs w:val="18"/>
        </w:rPr>
        <w:t xml:space="preserve"> </w:t>
      </w:r>
      <w:r>
        <w:rPr>
          <w:rFonts w:ascii="Arial" w:hAnsi="Arial"/>
          <w:bCs/>
          <w:sz w:val="18"/>
          <w:szCs w:val="18"/>
        </w:rPr>
        <w:t xml:space="preserve">CKD: </w:t>
      </w:r>
      <w:r w:rsidRPr="00B81459">
        <w:rPr>
          <w:rFonts w:ascii="Arial" w:hAnsi="Arial"/>
          <w:bCs/>
          <w:sz w:val="18"/>
          <w:szCs w:val="18"/>
        </w:rPr>
        <w:t>Chronic Kidney Disease</w:t>
      </w:r>
      <w:r>
        <w:rPr>
          <w:rFonts w:ascii="Arial" w:hAnsi="Arial"/>
          <w:bCs/>
          <w:sz w:val="18"/>
          <w:szCs w:val="18"/>
        </w:rPr>
        <w:t xml:space="preserve">. CLD: </w:t>
      </w:r>
      <w:r w:rsidRPr="00B81459">
        <w:rPr>
          <w:rFonts w:ascii="Arial" w:hAnsi="Arial"/>
          <w:bCs/>
          <w:sz w:val="18"/>
          <w:szCs w:val="18"/>
        </w:rPr>
        <w:t>Chronic Liver Disease</w:t>
      </w:r>
      <w:r>
        <w:rPr>
          <w:rFonts w:ascii="Arial" w:hAnsi="Arial"/>
          <w:bCs/>
          <w:sz w:val="18"/>
          <w:szCs w:val="18"/>
        </w:rPr>
        <w:t xml:space="preserve">. ND: </w:t>
      </w:r>
      <w:r w:rsidRPr="00B81459">
        <w:rPr>
          <w:rFonts w:ascii="Arial" w:hAnsi="Arial"/>
          <w:bCs/>
          <w:sz w:val="18"/>
          <w:szCs w:val="18"/>
        </w:rPr>
        <w:t>Neurological Disorder</w:t>
      </w:r>
      <w:r>
        <w:rPr>
          <w:rFonts w:ascii="Arial" w:hAnsi="Arial"/>
          <w:bCs/>
          <w:sz w:val="18"/>
          <w:szCs w:val="18"/>
        </w:rPr>
        <w:t xml:space="preserve">. </w:t>
      </w:r>
      <w:r>
        <w:rPr>
          <w:rFonts w:ascii="Arial" w:hAnsi="Arial" w:cs="Arial"/>
          <w:sz w:val="18"/>
          <w:szCs w:val="18"/>
        </w:rPr>
        <w:t xml:space="preserve">P value was </w:t>
      </w:r>
      <w:r w:rsidRPr="006F4089">
        <w:rPr>
          <w:rFonts w:ascii="Arial" w:hAnsi="Arial" w:cs="Arial"/>
          <w:sz w:val="18"/>
          <w:szCs w:val="18"/>
        </w:rPr>
        <w:t xml:space="preserve">calculated by </w:t>
      </w:r>
      <w:r>
        <w:rPr>
          <w:rFonts w:ascii="Arial" w:hAnsi="Arial" w:cs="Arial"/>
          <w:sz w:val="18"/>
          <w:szCs w:val="18"/>
        </w:rPr>
        <w:t>Yates C</w:t>
      </w:r>
      <w:r w:rsidRPr="006F4089">
        <w:rPr>
          <w:rFonts w:ascii="Arial" w:hAnsi="Arial" w:cs="Arial"/>
          <w:sz w:val="18"/>
          <w:szCs w:val="18"/>
        </w:rPr>
        <w:t>orrected</w:t>
      </w:r>
      <w:r>
        <w:rPr>
          <w:rFonts w:ascii="Arial" w:hAnsi="Arial" w:cs="Arial"/>
          <w:sz w:val="18"/>
          <w:szCs w:val="18"/>
        </w:rPr>
        <w:t xml:space="preserve"> </w:t>
      </w:r>
      <w:r w:rsidRPr="006F4089">
        <w:rPr>
          <w:rFonts w:ascii="Arial" w:hAnsi="Arial" w:cs="Arial"/>
          <w:sz w:val="18"/>
          <w:szCs w:val="18"/>
        </w:rPr>
        <w:t xml:space="preserve">Chi-Square Test. *P value ≤0.01. </w:t>
      </w:r>
      <w:r w:rsidRPr="006F4089">
        <w:rPr>
          <w:rFonts w:ascii="Arial" w:hAnsi="Arial" w:cs="Arial"/>
          <w:sz w:val="18"/>
          <w:szCs w:val="18"/>
          <w:vertAlign w:val="superscript"/>
        </w:rPr>
        <w:t>&amp;</w:t>
      </w:r>
      <w:r w:rsidRPr="006F4089">
        <w:rPr>
          <w:rFonts w:ascii="Arial" w:hAnsi="Arial" w:cs="Arial"/>
          <w:sz w:val="18"/>
          <w:szCs w:val="18"/>
        </w:rPr>
        <w:t>P value calculated by Fisher exact test (p=0.030)</w:t>
      </w:r>
    </w:p>
    <w:p w14:paraId="3F4E32A7" w14:textId="73253EB3" w:rsidR="00C66E58" w:rsidRPr="00B81459" w:rsidRDefault="00C66E58" w:rsidP="00B81459">
      <w:pPr>
        <w:pStyle w:val="Body"/>
        <w:spacing w:after="0"/>
        <w:rPr>
          <w:rFonts w:ascii="Arial" w:hAnsi="Arial" w:cs="Arial"/>
        </w:rPr>
      </w:pPr>
    </w:p>
    <w:p w14:paraId="648E487B" w14:textId="0D356373" w:rsidR="00F47FA4" w:rsidRDefault="00F47FA4" w:rsidP="0015255C">
      <w:pPr>
        <w:pStyle w:val="Body"/>
        <w:spacing w:after="0"/>
        <w:rPr>
          <w:rFonts w:ascii="Arial" w:hAnsi="Arial" w:cs="Arial"/>
          <w:b/>
          <w:sz w:val="22"/>
        </w:rPr>
      </w:pPr>
      <w:r w:rsidRPr="008F39F5">
        <w:rPr>
          <w:rFonts w:ascii="Arial" w:hAnsi="Arial" w:cs="Arial"/>
          <w:b/>
          <w:caps/>
          <w:sz w:val="22"/>
        </w:rPr>
        <w:t xml:space="preserve">3.2 </w:t>
      </w:r>
      <w:r w:rsidR="007A017B">
        <w:rPr>
          <w:rFonts w:ascii="Arial" w:hAnsi="Arial" w:cs="Arial"/>
          <w:b/>
          <w:caps/>
          <w:sz w:val="22"/>
        </w:rPr>
        <w:t>A</w:t>
      </w:r>
      <w:r w:rsidR="007A017B">
        <w:rPr>
          <w:rFonts w:ascii="Arial" w:hAnsi="Arial" w:cs="Arial"/>
          <w:b/>
          <w:sz w:val="22"/>
        </w:rPr>
        <w:t xml:space="preserve">nalysis of </w:t>
      </w:r>
      <w:r w:rsidR="008F0C48">
        <w:rPr>
          <w:rFonts w:ascii="Arial" w:hAnsi="Arial" w:cs="Arial"/>
          <w:b/>
          <w:sz w:val="22"/>
        </w:rPr>
        <w:t>adverse</w:t>
      </w:r>
      <w:r w:rsidR="007A017B" w:rsidRPr="007A017B">
        <w:rPr>
          <w:rFonts w:ascii="Arial" w:hAnsi="Arial" w:cs="Arial"/>
          <w:b/>
          <w:sz w:val="22"/>
        </w:rPr>
        <w:t xml:space="preserve"> </w:t>
      </w:r>
      <w:r w:rsidR="008F0C48">
        <w:rPr>
          <w:rFonts w:ascii="Arial" w:hAnsi="Arial" w:cs="Arial"/>
          <w:b/>
          <w:sz w:val="22"/>
        </w:rPr>
        <w:t xml:space="preserve">clinical </w:t>
      </w:r>
      <w:r w:rsidR="007A017B" w:rsidRPr="007A017B">
        <w:rPr>
          <w:rFonts w:ascii="Arial" w:hAnsi="Arial" w:cs="Arial"/>
          <w:b/>
          <w:sz w:val="22"/>
        </w:rPr>
        <w:t>outcomes</w:t>
      </w:r>
      <w:r w:rsidR="007A017B">
        <w:rPr>
          <w:rFonts w:ascii="Arial" w:hAnsi="Arial" w:cs="Arial"/>
          <w:b/>
          <w:sz w:val="22"/>
        </w:rPr>
        <w:t xml:space="preserve"> (</w:t>
      </w:r>
      <w:r w:rsidR="008F0C48">
        <w:rPr>
          <w:rFonts w:ascii="Arial" w:hAnsi="Arial" w:cs="Arial"/>
          <w:b/>
          <w:sz w:val="22"/>
        </w:rPr>
        <w:t>severity, mortality and clinical improvement) in</w:t>
      </w:r>
      <w:r w:rsidR="007A017B" w:rsidRPr="007A017B">
        <w:rPr>
          <w:rFonts w:ascii="Arial" w:hAnsi="Arial" w:cs="Arial"/>
          <w:b/>
          <w:sz w:val="22"/>
        </w:rPr>
        <w:t xml:space="preserve"> patients with COVID-19</w:t>
      </w:r>
    </w:p>
    <w:p w14:paraId="7FE57922" w14:textId="43B02AF0" w:rsidR="00181E21" w:rsidRDefault="00EA3B94" w:rsidP="00E173DA">
      <w:pPr>
        <w:pStyle w:val="Body"/>
        <w:spacing w:after="0" w:line="276" w:lineRule="auto"/>
        <w:rPr>
          <w:rFonts w:ascii="Arial" w:hAnsi="Arial" w:cs="Arial"/>
          <w:bCs/>
        </w:rPr>
      </w:pPr>
      <w:r w:rsidRPr="00EA3B94">
        <w:rPr>
          <w:rFonts w:ascii="Arial" w:hAnsi="Arial" w:cs="Arial"/>
          <w:bCs/>
        </w:rPr>
        <w:t>In terms of</w:t>
      </w:r>
      <w:r>
        <w:rPr>
          <w:rFonts w:ascii="Arial" w:hAnsi="Arial" w:cs="Arial"/>
          <w:bCs/>
        </w:rPr>
        <w:t xml:space="preserve"> clinical</w:t>
      </w:r>
      <w:r w:rsidRPr="00EA3B94">
        <w:rPr>
          <w:rFonts w:ascii="Arial" w:hAnsi="Arial" w:cs="Arial"/>
          <w:bCs/>
        </w:rPr>
        <w:t xml:space="preserve"> outcomes, mortality was observed in 1% of the total population</w:t>
      </w:r>
      <w:r>
        <w:rPr>
          <w:rFonts w:ascii="Arial" w:hAnsi="Arial" w:cs="Arial"/>
          <w:bCs/>
        </w:rPr>
        <w:t xml:space="preserve"> (N=</w:t>
      </w:r>
      <w:r w:rsidRPr="00EA3B94">
        <w:rPr>
          <w:rFonts w:ascii="Arial" w:hAnsi="Arial" w:cs="Arial"/>
          <w:bCs/>
        </w:rPr>
        <w:t xml:space="preserve">53, </w:t>
      </w:r>
      <w:r>
        <w:rPr>
          <w:rFonts w:ascii="Arial" w:hAnsi="Arial" w:cs="Arial"/>
          <w:bCs/>
        </w:rPr>
        <w:t>CI95%</w:t>
      </w:r>
      <w:r w:rsidRPr="00EA3B94">
        <w:rPr>
          <w:rFonts w:ascii="Arial" w:hAnsi="Arial" w:cs="Arial"/>
          <w:bCs/>
        </w:rPr>
        <w:t xml:space="preserve"> 0.7-1.3), with a lower rate in cases (</w:t>
      </w:r>
      <w:r>
        <w:rPr>
          <w:rFonts w:ascii="Arial" w:hAnsi="Arial" w:cs="Arial"/>
          <w:bCs/>
        </w:rPr>
        <w:t>n=</w:t>
      </w:r>
      <w:r w:rsidRPr="00EA3B94">
        <w:rPr>
          <w:rFonts w:ascii="Arial" w:hAnsi="Arial" w:cs="Arial"/>
          <w:bCs/>
        </w:rPr>
        <w:t>1, 0.1</w:t>
      </w:r>
      <w:r>
        <w:rPr>
          <w:rFonts w:ascii="Arial" w:hAnsi="Arial" w:cs="Arial"/>
          <w:bCs/>
        </w:rPr>
        <w:t>%</w:t>
      </w:r>
      <w:r w:rsidRPr="00EA3B94">
        <w:rPr>
          <w:rFonts w:ascii="Arial" w:hAnsi="Arial" w:cs="Arial"/>
          <w:bCs/>
        </w:rPr>
        <w:t xml:space="preserve">; </w:t>
      </w:r>
      <w:r>
        <w:rPr>
          <w:rFonts w:ascii="Arial" w:hAnsi="Arial" w:cs="Arial"/>
          <w:bCs/>
        </w:rPr>
        <w:t xml:space="preserve">CI95% </w:t>
      </w:r>
      <w:r w:rsidRPr="00EA3B94">
        <w:rPr>
          <w:rFonts w:ascii="Arial" w:hAnsi="Arial" w:cs="Arial"/>
          <w:bCs/>
        </w:rPr>
        <w:t>0-0.2) compared to controls (</w:t>
      </w:r>
      <w:r w:rsidR="00286D4D">
        <w:rPr>
          <w:rFonts w:ascii="Arial" w:hAnsi="Arial" w:cs="Arial"/>
          <w:bCs/>
        </w:rPr>
        <w:t>n=</w:t>
      </w:r>
      <w:r w:rsidR="00286D4D" w:rsidRPr="00286D4D">
        <w:rPr>
          <w:rFonts w:ascii="Arial" w:hAnsi="Arial" w:cs="Arial"/>
          <w:bCs/>
        </w:rPr>
        <w:t>52, 1.3</w:t>
      </w:r>
      <w:r w:rsidR="00286D4D">
        <w:rPr>
          <w:rFonts w:ascii="Arial" w:hAnsi="Arial" w:cs="Arial"/>
          <w:bCs/>
        </w:rPr>
        <w:t>%</w:t>
      </w:r>
      <w:r w:rsidR="00286D4D" w:rsidRPr="00286D4D">
        <w:rPr>
          <w:rFonts w:ascii="Arial" w:hAnsi="Arial" w:cs="Arial"/>
          <w:bCs/>
        </w:rPr>
        <w:t xml:space="preserve">; </w:t>
      </w:r>
      <w:r w:rsidR="00286D4D">
        <w:rPr>
          <w:rFonts w:ascii="Arial" w:hAnsi="Arial" w:cs="Arial"/>
          <w:bCs/>
        </w:rPr>
        <w:t xml:space="preserve">CI95% </w:t>
      </w:r>
      <w:r w:rsidR="00286D4D" w:rsidRPr="00286D4D">
        <w:rPr>
          <w:rFonts w:ascii="Arial" w:hAnsi="Arial" w:cs="Arial"/>
          <w:bCs/>
        </w:rPr>
        <w:t>1-1.7)</w:t>
      </w:r>
      <w:r w:rsidRPr="00EA3B94">
        <w:rPr>
          <w:rFonts w:ascii="Arial" w:hAnsi="Arial" w:cs="Arial"/>
          <w:bCs/>
        </w:rPr>
        <w:t xml:space="preserve">. Clinical improvement was reported in 98.8% </w:t>
      </w:r>
      <w:r w:rsidR="00286D4D">
        <w:rPr>
          <w:rFonts w:ascii="Arial" w:hAnsi="Arial" w:cs="Arial"/>
          <w:bCs/>
        </w:rPr>
        <w:t>(N=</w:t>
      </w:r>
      <w:r w:rsidR="00286D4D">
        <w:rPr>
          <w:rFonts w:ascii="Arial" w:hAnsi="Arial" w:cs="Arial"/>
          <w:kern w:val="2"/>
          <w14:ligatures w14:val="standardContextual"/>
        </w:rPr>
        <w:t>5,164/</w:t>
      </w:r>
      <w:r w:rsidR="00286D4D" w:rsidRPr="00B92DF2">
        <w:rPr>
          <w:rFonts w:ascii="Arial" w:hAnsi="Arial" w:cs="Arial"/>
        </w:rPr>
        <w:t>5,228</w:t>
      </w:r>
      <w:r w:rsidR="00286D4D">
        <w:rPr>
          <w:rFonts w:ascii="Arial" w:hAnsi="Arial" w:cs="Arial"/>
          <w:kern w:val="2"/>
          <w14:ligatures w14:val="standardContextual"/>
        </w:rPr>
        <w:t xml:space="preserve">; CI95% 98.5-99.1) </w:t>
      </w:r>
      <w:r w:rsidRPr="00EA3B94">
        <w:rPr>
          <w:rFonts w:ascii="Arial" w:hAnsi="Arial" w:cs="Arial"/>
          <w:bCs/>
        </w:rPr>
        <w:t>of the total population, with a slightly higher proportion among cases (</w:t>
      </w:r>
      <w:r w:rsidR="00286D4D">
        <w:rPr>
          <w:rFonts w:ascii="Arial" w:hAnsi="Arial" w:cs="Arial"/>
          <w:bCs/>
        </w:rPr>
        <w:t>n=</w:t>
      </w:r>
      <w:r w:rsidR="00286D4D" w:rsidRPr="00286D4D">
        <w:rPr>
          <w:rFonts w:ascii="Arial" w:hAnsi="Arial" w:cs="Arial"/>
          <w:bCs/>
        </w:rPr>
        <w:t>1</w:t>
      </w:r>
      <w:r w:rsidR="00286D4D">
        <w:rPr>
          <w:rFonts w:ascii="Arial" w:hAnsi="Arial" w:cs="Arial"/>
          <w:bCs/>
        </w:rPr>
        <w:t>,</w:t>
      </w:r>
      <w:r w:rsidR="00286D4D" w:rsidRPr="00286D4D">
        <w:rPr>
          <w:rFonts w:ascii="Arial" w:hAnsi="Arial" w:cs="Arial"/>
          <w:bCs/>
        </w:rPr>
        <w:t>306</w:t>
      </w:r>
      <w:r w:rsidR="00286D4D">
        <w:rPr>
          <w:rFonts w:ascii="Arial" w:hAnsi="Arial" w:cs="Arial"/>
          <w:bCs/>
        </w:rPr>
        <w:t>/1,307;</w:t>
      </w:r>
      <w:r w:rsidR="00286D4D" w:rsidRPr="00286D4D">
        <w:rPr>
          <w:rFonts w:ascii="Arial" w:hAnsi="Arial" w:cs="Arial"/>
          <w:bCs/>
        </w:rPr>
        <w:t xml:space="preserve"> 99.9</w:t>
      </w:r>
      <w:r w:rsidR="00286D4D">
        <w:rPr>
          <w:rFonts w:ascii="Arial" w:hAnsi="Arial" w:cs="Arial"/>
          <w:bCs/>
        </w:rPr>
        <w:t>%,</w:t>
      </w:r>
      <w:r w:rsidR="00286D4D" w:rsidRPr="00286D4D">
        <w:rPr>
          <w:rFonts w:ascii="Arial" w:hAnsi="Arial" w:cs="Arial"/>
          <w:bCs/>
        </w:rPr>
        <w:t xml:space="preserve"> </w:t>
      </w:r>
      <w:r w:rsidR="00286D4D">
        <w:rPr>
          <w:rFonts w:ascii="Arial" w:hAnsi="Arial" w:cs="Arial"/>
          <w:bCs/>
        </w:rPr>
        <w:t xml:space="preserve">CI95% </w:t>
      </w:r>
      <w:r w:rsidR="00286D4D" w:rsidRPr="00286D4D">
        <w:rPr>
          <w:rFonts w:ascii="Arial" w:hAnsi="Arial" w:cs="Arial"/>
          <w:bCs/>
        </w:rPr>
        <w:t>99.8-100)</w:t>
      </w:r>
      <w:r w:rsidRPr="00EA3B94">
        <w:rPr>
          <w:rFonts w:ascii="Arial" w:hAnsi="Arial" w:cs="Arial"/>
          <w:bCs/>
        </w:rPr>
        <w:t xml:space="preserve"> compared to controls (</w:t>
      </w:r>
      <w:r w:rsidR="00286D4D">
        <w:rPr>
          <w:rFonts w:ascii="Arial" w:hAnsi="Arial" w:cs="Arial"/>
          <w:bCs/>
        </w:rPr>
        <w:t>n=</w:t>
      </w:r>
      <w:r w:rsidR="00286D4D" w:rsidRPr="00286D4D">
        <w:rPr>
          <w:rFonts w:ascii="Arial" w:hAnsi="Arial" w:cs="Arial"/>
          <w:bCs/>
        </w:rPr>
        <w:t>3</w:t>
      </w:r>
      <w:r w:rsidR="00286D4D">
        <w:rPr>
          <w:rFonts w:ascii="Arial" w:hAnsi="Arial" w:cs="Arial"/>
          <w:bCs/>
        </w:rPr>
        <w:t>,</w:t>
      </w:r>
      <w:r w:rsidR="00286D4D" w:rsidRPr="00286D4D">
        <w:rPr>
          <w:rFonts w:ascii="Arial" w:hAnsi="Arial" w:cs="Arial"/>
          <w:bCs/>
        </w:rPr>
        <w:t>858</w:t>
      </w:r>
      <w:r w:rsidR="00286D4D">
        <w:rPr>
          <w:rFonts w:ascii="Arial" w:hAnsi="Arial" w:cs="Arial"/>
          <w:bCs/>
        </w:rPr>
        <w:t>/</w:t>
      </w:r>
      <w:r w:rsidR="00286D4D" w:rsidRPr="00B92DF2">
        <w:rPr>
          <w:rFonts w:ascii="Arial" w:hAnsi="Arial" w:cs="Arial"/>
        </w:rPr>
        <w:t>3,921</w:t>
      </w:r>
      <w:r w:rsidR="00286D4D">
        <w:rPr>
          <w:rFonts w:ascii="Arial" w:hAnsi="Arial" w:cs="Arial"/>
          <w:bCs/>
        </w:rPr>
        <w:t>;</w:t>
      </w:r>
      <w:r w:rsidR="00286D4D" w:rsidRPr="00286D4D">
        <w:rPr>
          <w:rFonts w:ascii="Arial" w:hAnsi="Arial" w:cs="Arial"/>
          <w:bCs/>
        </w:rPr>
        <w:t xml:space="preserve"> 98.4</w:t>
      </w:r>
      <w:r w:rsidR="00286D4D">
        <w:rPr>
          <w:rFonts w:ascii="Arial" w:hAnsi="Arial" w:cs="Arial"/>
          <w:bCs/>
        </w:rPr>
        <w:t>%,</w:t>
      </w:r>
      <w:r w:rsidR="00286D4D" w:rsidRPr="00286D4D">
        <w:rPr>
          <w:rFonts w:ascii="Arial" w:hAnsi="Arial" w:cs="Arial"/>
          <w:bCs/>
        </w:rPr>
        <w:t xml:space="preserve"> 98-98.8</w:t>
      </w:r>
      <w:r w:rsidRPr="00EA3B94">
        <w:rPr>
          <w:rFonts w:ascii="Arial" w:hAnsi="Arial" w:cs="Arial"/>
          <w:bCs/>
        </w:rPr>
        <w:t>).</w:t>
      </w:r>
      <w:r w:rsidR="00E173DA" w:rsidRPr="00E173DA">
        <w:t xml:space="preserve"> </w:t>
      </w:r>
      <w:r w:rsidR="00E173DA" w:rsidRPr="00E173DA">
        <w:rPr>
          <w:rFonts w:ascii="Arial" w:hAnsi="Arial" w:cs="Arial"/>
          <w:bCs/>
        </w:rPr>
        <w:t xml:space="preserve">Additionally, severe cases </w:t>
      </w:r>
      <w:r w:rsidR="00892D39">
        <w:rPr>
          <w:rFonts w:ascii="Arial" w:hAnsi="Arial" w:cs="Arial"/>
          <w:bCs/>
        </w:rPr>
        <w:t>(N=</w:t>
      </w:r>
      <w:r w:rsidR="00892D39" w:rsidRPr="00892D39">
        <w:rPr>
          <w:rFonts w:ascii="Arial" w:hAnsi="Arial" w:cs="Arial"/>
          <w:bCs/>
        </w:rPr>
        <w:t>230, 4.4</w:t>
      </w:r>
      <w:r w:rsidR="00892D39">
        <w:rPr>
          <w:rFonts w:ascii="Arial" w:hAnsi="Arial" w:cs="Arial"/>
          <w:bCs/>
        </w:rPr>
        <w:t>%</w:t>
      </w:r>
      <w:r w:rsidR="00892D39" w:rsidRPr="00892D39">
        <w:rPr>
          <w:rFonts w:ascii="Arial" w:hAnsi="Arial" w:cs="Arial"/>
          <w:bCs/>
        </w:rPr>
        <w:t xml:space="preserve"> </w:t>
      </w:r>
      <w:r w:rsidR="00892D39">
        <w:rPr>
          <w:rFonts w:ascii="Arial" w:hAnsi="Arial" w:cs="Arial"/>
          <w:bCs/>
        </w:rPr>
        <w:t xml:space="preserve">CI95% </w:t>
      </w:r>
      <w:r w:rsidR="00892D39" w:rsidRPr="00892D39">
        <w:rPr>
          <w:rFonts w:ascii="Arial" w:hAnsi="Arial" w:cs="Arial"/>
          <w:bCs/>
        </w:rPr>
        <w:t>3.9-5)</w:t>
      </w:r>
      <w:r w:rsidR="00892D39">
        <w:rPr>
          <w:rFonts w:ascii="Arial" w:hAnsi="Arial" w:cs="Arial"/>
          <w:bCs/>
        </w:rPr>
        <w:t xml:space="preserve"> </w:t>
      </w:r>
      <w:r w:rsidR="00E173DA" w:rsidRPr="00E173DA">
        <w:rPr>
          <w:rFonts w:ascii="Arial" w:hAnsi="Arial" w:cs="Arial"/>
          <w:bCs/>
        </w:rPr>
        <w:t xml:space="preserve">were </w:t>
      </w:r>
      <w:r w:rsidR="00892D39">
        <w:rPr>
          <w:rFonts w:ascii="Arial" w:hAnsi="Arial" w:cs="Arial"/>
          <w:bCs/>
        </w:rPr>
        <w:t xml:space="preserve">significantly (p&lt;0.001) </w:t>
      </w:r>
      <w:r w:rsidR="00E173DA" w:rsidRPr="00E173DA">
        <w:rPr>
          <w:rFonts w:ascii="Arial" w:hAnsi="Arial" w:cs="Arial"/>
          <w:bCs/>
        </w:rPr>
        <w:t xml:space="preserve">more prevalent among controls </w:t>
      </w:r>
      <w:r w:rsidR="00E173DA">
        <w:rPr>
          <w:rFonts w:ascii="Arial" w:hAnsi="Arial" w:cs="Arial"/>
          <w:bCs/>
        </w:rPr>
        <w:t>(n=</w:t>
      </w:r>
      <w:r w:rsidR="00E173DA" w:rsidRPr="00E173DA">
        <w:rPr>
          <w:rFonts w:ascii="Arial" w:hAnsi="Arial" w:cs="Arial"/>
          <w:bCs/>
        </w:rPr>
        <w:t>222, 5.7</w:t>
      </w:r>
      <w:r w:rsidR="00E173DA">
        <w:rPr>
          <w:rFonts w:ascii="Arial" w:hAnsi="Arial" w:cs="Arial"/>
          <w:bCs/>
        </w:rPr>
        <w:t>%</w:t>
      </w:r>
      <w:r w:rsidR="00E173DA" w:rsidRPr="00E173DA">
        <w:rPr>
          <w:rFonts w:ascii="Arial" w:hAnsi="Arial" w:cs="Arial"/>
          <w:bCs/>
        </w:rPr>
        <w:t xml:space="preserve">; </w:t>
      </w:r>
      <w:r w:rsidR="00E173DA">
        <w:rPr>
          <w:rFonts w:ascii="Arial" w:hAnsi="Arial" w:cs="Arial"/>
          <w:bCs/>
        </w:rPr>
        <w:t xml:space="preserve">CI95% </w:t>
      </w:r>
      <w:r w:rsidR="00E173DA" w:rsidRPr="00E173DA">
        <w:rPr>
          <w:rFonts w:ascii="Arial" w:hAnsi="Arial" w:cs="Arial"/>
          <w:bCs/>
        </w:rPr>
        <w:t>4.9-6.4)</w:t>
      </w:r>
      <w:r w:rsidR="00E173DA">
        <w:rPr>
          <w:rFonts w:ascii="Arial" w:hAnsi="Arial" w:cs="Arial"/>
          <w:bCs/>
        </w:rPr>
        <w:t xml:space="preserve"> </w:t>
      </w:r>
      <w:r w:rsidR="00E173DA" w:rsidRPr="00E173DA">
        <w:rPr>
          <w:rFonts w:ascii="Arial" w:hAnsi="Arial" w:cs="Arial"/>
          <w:bCs/>
        </w:rPr>
        <w:t>than cases</w:t>
      </w:r>
      <w:r w:rsidR="00E173DA">
        <w:rPr>
          <w:rFonts w:ascii="Arial" w:hAnsi="Arial" w:cs="Arial"/>
          <w:bCs/>
        </w:rPr>
        <w:t xml:space="preserve"> (</w:t>
      </w:r>
      <w:r w:rsidR="00123FC7">
        <w:rPr>
          <w:rFonts w:ascii="Arial" w:hAnsi="Arial" w:cs="Arial"/>
          <w:bCs/>
        </w:rPr>
        <w:t>n=</w:t>
      </w:r>
      <w:r w:rsidR="00123FC7" w:rsidRPr="00123FC7">
        <w:rPr>
          <w:rFonts w:ascii="Arial" w:hAnsi="Arial" w:cs="Arial"/>
          <w:bCs/>
        </w:rPr>
        <w:t>8, 0.6</w:t>
      </w:r>
      <w:r w:rsidR="00123FC7">
        <w:rPr>
          <w:rFonts w:ascii="Arial" w:hAnsi="Arial" w:cs="Arial"/>
          <w:bCs/>
        </w:rPr>
        <w:t>%</w:t>
      </w:r>
      <w:r w:rsidR="00123FC7" w:rsidRPr="00123FC7">
        <w:rPr>
          <w:rFonts w:ascii="Arial" w:hAnsi="Arial" w:cs="Arial"/>
          <w:bCs/>
        </w:rPr>
        <w:t xml:space="preserve">; </w:t>
      </w:r>
      <w:r w:rsidR="00123FC7">
        <w:rPr>
          <w:rFonts w:ascii="Arial" w:hAnsi="Arial" w:cs="Arial"/>
          <w:bCs/>
        </w:rPr>
        <w:t xml:space="preserve">CI95% </w:t>
      </w:r>
      <w:r w:rsidR="00123FC7" w:rsidRPr="00123FC7">
        <w:rPr>
          <w:rFonts w:ascii="Arial" w:hAnsi="Arial" w:cs="Arial"/>
          <w:bCs/>
        </w:rPr>
        <w:t>0.2-1.1)</w:t>
      </w:r>
      <w:r w:rsidR="00E173DA">
        <w:rPr>
          <w:rFonts w:ascii="Arial" w:hAnsi="Arial" w:cs="Arial"/>
          <w:bCs/>
        </w:rPr>
        <w:t>.</w:t>
      </w:r>
    </w:p>
    <w:p w14:paraId="23746BD3" w14:textId="77777777" w:rsidR="00181E21" w:rsidRDefault="00181E21" w:rsidP="0015255C">
      <w:pPr>
        <w:pStyle w:val="Body"/>
        <w:spacing w:after="0"/>
        <w:rPr>
          <w:rFonts w:ascii="Arial" w:hAnsi="Arial" w:cs="Arial"/>
          <w:bCs/>
        </w:rPr>
      </w:pPr>
    </w:p>
    <w:p w14:paraId="549FF9BA" w14:textId="1AD8123B" w:rsidR="00B33980" w:rsidRDefault="00DA1D15" w:rsidP="00B33980">
      <w:pPr>
        <w:pStyle w:val="Body"/>
        <w:spacing w:after="0"/>
        <w:rPr>
          <w:rFonts w:ascii="Arial" w:hAnsi="Arial" w:cs="Arial"/>
          <w:bCs/>
        </w:rPr>
      </w:pPr>
      <w:r>
        <w:rPr>
          <w:rFonts w:ascii="Arial" w:hAnsi="Arial" w:cs="Arial"/>
          <w:bCs/>
        </w:rPr>
        <w:t>On the other hand, t</w:t>
      </w:r>
      <w:r w:rsidR="00B33980" w:rsidRPr="00B33980">
        <w:rPr>
          <w:rFonts w:ascii="Arial" w:hAnsi="Arial" w:cs="Arial"/>
          <w:bCs/>
        </w:rPr>
        <w:t xml:space="preserve">he logistic regression analysis identified key factors associated with the three clinical outcomes. The same logistic regression model </w:t>
      </w:r>
      <w:r w:rsidR="00B33980">
        <w:rPr>
          <w:rFonts w:ascii="Arial" w:hAnsi="Arial" w:cs="Arial"/>
          <w:bCs/>
        </w:rPr>
        <w:t>(n</w:t>
      </w:r>
      <w:r w:rsidR="00B33980" w:rsidRPr="00B33980">
        <w:rPr>
          <w:rFonts w:ascii="Arial" w:hAnsi="Arial" w:cs="Arial"/>
          <w:bCs/>
        </w:rPr>
        <w:t xml:space="preserve">irmatrelvir/ritonavir </w:t>
      </w:r>
      <w:r w:rsidR="00B33980">
        <w:rPr>
          <w:rFonts w:ascii="Arial" w:hAnsi="Arial" w:cs="Arial"/>
          <w:bCs/>
        </w:rPr>
        <w:t>[presence=</w:t>
      </w:r>
      <w:r w:rsidR="00B33980" w:rsidRPr="00B33980">
        <w:rPr>
          <w:rFonts w:ascii="Arial" w:hAnsi="Arial" w:cs="Arial"/>
          <w:bCs/>
        </w:rPr>
        <w:t>1</w:t>
      </w:r>
      <w:r w:rsidR="00B33980">
        <w:rPr>
          <w:rFonts w:ascii="Arial" w:hAnsi="Arial" w:cs="Arial"/>
          <w:bCs/>
        </w:rPr>
        <w:t>], a</w:t>
      </w:r>
      <w:r w:rsidR="00B33980" w:rsidRPr="00B33980">
        <w:rPr>
          <w:rFonts w:ascii="Arial" w:hAnsi="Arial" w:cs="Arial"/>
          <w:bCs/>
        </w:rPr>
        <w:t>ge</w:t>
      </w:r>
      <w:r w:rsidR="00B33980">
        <w:rPr>
          <w:rFonts w:ascii="Arial" w:hAnsi="Arial" w:cs="Arial"/>
          <w:bCs/>
        </w:rPr>
        <w:t>, s</w:t>
      </w:r>
      <w:r w:rsidR="00B33980" w:rsidRPr="00B33980">
        <w:rPr>
          <w:rFonts w:ascii="Arial" w:hAnsi="Arial" w:cs="Arial"/>
          <w:bCs/>
        </w:rPr>
        <w:t xml:space="preserve">ex </w:t>
      </w:r>
      <w:r w:rsidR="00B33980">
        <w:rPr>
          <w:rFonts w:ascii="Arial" w:hAnsi="Arial" w:cs="Arial"/>
          <w:bCs/>
        </w:rPr>
        <w:t>[presence=</w:t>
      </w:r>
      <w:r w:rsidR="00B33980" w:rsidRPr="00B33980">
        <w:rPr>
          <w:rFonts w:ascii="Arial" w:hAnsi="Arial" w:cs="Arial"/>
          <w:bCs/>
        </w:rPr>
        <w:t>1</w:t>
      </w:r>
      <w:r w:rsidR="00B33980">
        <w:rPr>
          <w:rFonts w:ascii="Arial" w:hAnsi="Arial" w:cs="Arial"/>
          <w:bCs/>
        </w:rPr>
        <w:t>], e</w:t>
      </w:r>
      <w:r w:rsidR="00B33980" w:rsidRPr="00B33980">
        <w:rPr>
          <w:rFonts w:ascii="Arial" w:hAnsi="Arial" w:cs="Arial"/>
          <w:bCs/>
        </w:rPr>
        <w:t>mploy</w:t>
      </w:r>
      <w:r w:rsidR="0057192F" w:rsidRPr="0057192F">
        <w:rPr>
          <w:rFonts w:ascii="Arial" w:hAnsi="Arial" w:cs="Arial"/>
          <w:bCs/>
          <w:highlight w:val="yellow"/>
        </w:rPr>
        <w:t>m</w:t>
      </w:r>
      <w:r w:rsidR="00B33980" w:rsidRPr="0057192F">
        <w:rPr>
          <w:rFonts w:ascii="Arial" w:hAnsi="Arial" w:cs="Arial"/>
          <w:bCs/>
          <w:highlight w:val="yellow"/>
        </w:rPr>
        <w:t>e</w:t>
      </w:r>
      <w:r w:rsidR="0057192F" w:rsidRPr="0057192F">
        <w:rPr>
          <w:rFonts w:ascii="Arial" w:hAnsi="Arial" w:cs="Arial"/>
          <w:bCs/>
          <w:highlight w:val="yellow"/>
        </w:rPr>
        <w:t>nt</w:t>
      </w:r>
      <w:r w:rsidR="00B33980" w:rsidRPr="00B33980">
        <w:rPr>
          <w:rFonts w:ascii="Arial" w:hAnsi="Arial" w:cs="Arial"/>
          <w:bCs/>
        </w:rPr>
        <w:t xml:space="preserve"> </w:t>
      </w:r>
      <w:r w:rsidR="00B33980">
        <w:rPr>
          <w:rFonts w:ascii="Arial" w:hAnsi="Arial" w:cs="Arial"/>
          <w:bCs/>
        </w:rPr>
        <w:t>[presence=</w:t>
      </w:r>
      <w:r w:rsidR="00B33980" w:rsidRPr="00B33980">
        <w:rPr>
          <w:rFonts w:ascii="Arial" w:hAnsi="Arial" w:cs="Arial"/>
          <w:bCs/>
        </w:rPr>
        <w:t>1</w:t>
      </w:r>
      <w:r w:rsidR="00B33980">
        <w:rPr>
          <w:rFonts w:ascii="Arial" w:hAnsi="Arial" w:cs="Arial"/>
          <w:bCs/>
        </w:rPr>
        <w:t xml:space="preserve">]) </w:t>
      </w:r>
      <w:r w:rsidR="00B33980" w:rsidRPr="00B33980">
        <w:rPr>
          <w:rFonts w:ascii="Arial" w:hAnsi="Arial" w:cs="Arial"/>
          <w:bCs/>
        </w:rPr>
        <w:t>was found to be associated with all clinical outcomes</w:t>
      </w:r>
      <w:r w:rsidR="00B33980">
        <w:rPr>
          <w:rFonts w:ascii="Arial" w:hAnsi="Arial" w:cs="Arial"/>
          <w:bCs/>
        </w:rPr>
        <w:t xml:space="preserve"> (table 5)</w:t>
      </w:r>
      <w:r w:rsidR="00B33980" w:rsidRPr="00B33980">
        <w:rPr>
          <w:rFonts w:ascii="Arial" w:hAnsi="Arial" w:cs="Arial"/>
          <w:bCs/>
        </w:rPr>
        <w:t>.</w:t>
      </w:r>
    </w:p>
    <w:p w14:paraId="2DDECFE5" w14:textId="77777777" w:rsidR="00B33980" w:rsidRDefault="00B33980" w:rsidP="00B33980">
      <w:pPr>
        <w:pStyle w:val="Body"/>
        <w:spacing w:after="0"/>
        <w:rPr>
          <w:rFonts w:ascii="Arial" w:hAnsi="Arial" w:cs="Arial"/>
          <w:bCs/>
        </w:rPr>
      </w:pPr>
    </w:p>
    <w:p w14:paraId="7A05EAB3" w14:textId="26217FC9" w:rsidR="00B33980" w:rsidRDefault="00B33980" w:rsidP="00B33980">
      <w:pPr>
        <w:pStyle w:val="Body"/>
        <w:spacing w:after="0"/>
        <w:rPr>
          <w:rFonts w:ascii="Arial" w:hAnsi="Arial" w:cs="Arial"/>
          <w:bCs/>
        </w:rPr>
      </w:pPr>
      <w:r w:rsidRPr="00B33980">
        <w:rPr>
          <w:rFonts w:ascii="Arial" w:hAnsi="Arial" w:cs="Arial"/>
          <w:bCs/>
        </w:rPr>
        <w:t>The use of nirmatrelvir/ritonavir was significantly associated with reduced disease severity and a lower risk of mortality, but it was linked to a greater likelihood of clinical improvement</w:t>
      </w:r>
      <w:r>
        <w:rPr>
          <w:rFonts w:ascii="Arial" w:hAnsi="Arial" w:cs="Arial"/>
          <w:bCs/>
        </w:rPr>
        <w:t xml:space="preserve"> (table 5)</w:t>
      </w:r>
      <w:r w:rsidRPr="00B33980">
        <w:rPr>
          <w:rFonts w:ascii="Arial" w:hAnsi="Arial" w:cs="Arial"/>
          <w:bCs/>
        </w:rPr>
        <w:t>.</w:t>
      </w:r>
      <w:r w:rsidRPr="00B33980">
        <w:t xml:space="preserve"> </w:t>
      </w:r>
      <w:r w:rsidR="003E250A" w:rsidRPr="003E250A">
        <w:t>Age is associated with the severity and mortality of COVID-19.</w:t>
      </w:r>
      <w:r w:rsidR="00DA1D15">
        <w:t xml:space="preserve"> Thus, t</w:t>
      </w:r>
      <w:r w:rsidR="003E250A" w:rsidRPr="003E250A">
        <w:t>he model indicates that the likelihood of contracting COVID-19 increases with age.</w:t>
      </w:r>
      <w:r w:rsidR="00820900" w:rsidRPr="00820900">
        <w:t xml:space="preserve"> Regarding clinical improvement, age showed a protective effect. The probability of improvement was higher in younger patients.</w:t>
      </w:r>
      <w:r w:rsidR="007E1780" w:rsidRPr="007E1780">
        <w:t xml:space="preserve"> Male sex was associated with a higher risk of severe disease and a higher risk of mortality but with a lower likelihood of clinical improvement.</w:t>
      </w:r>
      <w:r w:rsidR="007E1780">
        <w:t xml:space="preserve"> </w:t>
      </w:r>
      <w:r w:rsidR="00DA1D15">
        <w:t>Finally, e</w:t>
      </w:r>
      <w:r w:rsidR="007E1780" w:rsidRPr="007E1780">
        <w:t>mployment status was a protective factor against severe disease and mortality as well as with a higher likelihood of clinical improvement</w:t>
      </w:r>
      <w:r w:rsidR="007E1780">
        <w:t xml:space="preserve"> (table 5)</w:t>
      </w:r>
      <w:r w:rsidR="007E1780" w:rsidRPr="007E1780">
        <w:t>.</w:t>
      </w:r>
    </w:p>
    <w:p w14:paraId="0D5EDE6A" w14:textId="77777777" w:rsidR="00B33980" w:rsidRPr="00181E21" w:rsidRDefault="00B33980" w:rsidP="00B33980">
      <w:pPr>
        <w:pStyle w:val="Body"/>
        <w:spacing w:after="0"/>
        <w:rPr>
          <w:rFonts w:ascii="Arial" w:hAnsi="Arial" w:cs="Arial"/>
          <w:bCs/>
        </w:rPr>
      </w:pPr>
    </w:p>
    <w:p w14:paraId="000C90AF" w14:textId="6014F1C5" w:rsidR="00181E21" w:rsidRPr="00873F35" w:rsidRDefault="00181E21" w:rsidP="00B33980">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5</w:t>
      </w:r>
      <w:r w:rsidRPr="00873F35">
        <w:rPr>
          <w:rFonts w:ascii="Arial" w:hAnsi="Arial"/>
          <w:b/>
          <w:sz w:val="22"/>
          <w:szCs w:val="22"/>
        </w:rPr>
        <w:t>.</w:t>
      </w:r>
      <w:r w:rsidRPr="00873F35">
        <w:rPr>
          <w:rFonts w:ascii="Arial" w:hAnsi="Arial"/>
          <w:b/>
          <w:sz w:val="22"/>
          <w:szCs w:val="22"/>
        </w:rPr>
        <w:tab/>
      </w:r>
      <w:r w:rsidR="005D5CB5">
        <w:rPr>
          <w:rFonts w:ascii="Arial" w:hAnsi="Arial"/>
          <w:b/>
          <w:sz w:val="22"/>
          <w:szCs w:val="22"/>
        </w:rPr>
        <w:t>Multivariat</w:t>
      </w:r>
      <w:r w:rsidR="009A70EA">
        <w:rPr>
          <w:rFonts w:ascii="Arial" w:hAnsi="Arial"/>
          <w:b/>
          <w:sz w:val="22"/>
          <w:szCs w:val="22"/>
        </w:rPr>
        <w:t>e</w:t>
      </w:r>
      <w:r w:rsidR="005D5CB5">
        <w:rPr>
          <w:rFonts w:ascii="Arial" w:hAnsi="Arial"/>
          <w:b/>
          <w:sz w:val="22"/>
          <w:szCs w:val="22"/>
        </w:rPr>
        <w:t xml:space="preserve"> logistic r</w:t>
      </w:r>
      <w:r>
        <w:rPr>
          <w:rFonts w:ascii="Arial" w:hAnsi="Arial"/>
          <w:b/>
          <w:sz w:val="22"/>
          <w:szCs w:val="22"/>
        </w:rPr>
        <w:t xml:space="preserve">egression </w:t>
      </w:r>
      <w:r w:rsidR="005D5CB5">
        <w:rPr>
          <w:rFonts w:ascii="Arial" w:hAnsi="Arial"/>
          <w:b/>
          <w:sz w:val="22"/>
          <w:szCs w:val="22"/>
        </w:rPr>
        <w:t>m</w:t>
      </w:r>
      <w:r>
        <w:rPr>
          <w:rFonts w:ascii="Arial" w:hAnsi="Arial"/>
          <w:b/>
          <w:sz w:val="22"/>
          <w:szCs w:val="22"/>
        </w:rPr>
        <w:t>odels associated to clinical outcomes</w:t>
      </w:r>
    </w:p>
    <w:tbl>
      <w:tblPr>
        <w:tblStyle w:val="TableGrid"/>
        <w:tblW w:w="869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984"/>
        <w:gridCol w:w="2230"/>
        <w:gridCol w:w="1933"/>
      </w:tblGrid>
      <w:tr w:rsidR="0015255C" w:rsidRPr="0015255C" w14:paraId="4F59768C" w14:textId="77777777" w:rsidTr="000C3FFA">
        <w:trPr>
          <w:trHeight w:val="312"/>
        </w:trPr>
        <w:tc>
          <w:tcPr>
            <w:tcW w:w="2547" w:type="dxa"/>
            <w:tcBorders>
              <w:bottom w:val="single" w:sz="4" w:space="0" w:color="auto"/>
            </w:tcBorders>
            <w:vAlign w:val="center"/>
            <w:hideMark/>
          </w:tcPr>
          <w:p w14:paraId="44C762EA" w14:textId="0B96EECB" w:rsidR="0015255C" w:rsidRPr="0015255C" w:rsidRDefault="00F36E68" w:rsidP="00B33980">
            <w:pPr>
              <w:pStyle w:val="Body"/>
              <w:spacing w:after="0"/>
              <w:rPr>
                <w:rFonts w:ascii="Arial" w:hAnsi="Arial" w:cs="Arial"/>
                <w:sz w:val="20"/>
                <w:szCs w:val="20"/>
                <w:lang w:val="en-US"/>
              </w:rPr>
            </w:pPr>
            <w:r>
              <w:rPr>
                <w:rFonts w:ascii="Arial" w:hAnsi="Arial" w:cs="Arial"/>
                <w:sz w:val="20"/>
                <w:szCs w:val="20"/>
                <w:lang w:val="en-US"/>
              </w:rPr>
              <w:t>Variables in the equations</w:t>
            </w:r>
          </w:p>
        </w:tc>
        <w:tc>
          <w:tcPr>
            <w:tcW w:w="1984" w:type="dxa"/>
            <w:tcBorders>
              <w:bottom w:val="single" w:sz="4" w:space="0" w:color="auto"/>
            </w:tcBorders>
            <w:noWrap/>
            <w:vAlign w:val="center"/>
            <w:hideMark/>
          </w:tcPr>
          <w:p w14:paraId="1289BBB1" w14:textId="77777777" w:rsidR="0015255C" w:rsidRDefault="0015255C" w:rsidP="000E115A">
            <w:pPr>
              <w:pStyle w:val="Body"/>
              <w:spacing w:after="0"/>
              <w:jc w:val="center"/>
              <w:rPr>
                <w:rFonts w:ascii="Arial" w:hAnsi="Arial" w:cs="Arial"/>
                <w:sz w:val="20"/>
                <w:szCs w:val="20"/>
              </w:rPr>
            </w:pPr>
            <w:r w:rsidRPr="0015255C">
              <w:rPr>
                <w:rFonts w:ascii="Arial" w:hAnsi="Arial" w:cs="Arial"/>
                <w:sz w:val="20"/>
                <w:szCs w:val="20"/>
              </w:rPr>
              <w:t>Severity case</w:t>
            </w:r>
          </w:p>
          <w:p w14:paraId="302A7CFB" w14:textId="568ED69B" w:rsidR="0015255C" w:rsidRPr="0015255C" w:rsidRDefault="0015255C" w:rsidP="000E115A">
            <w:pPr>
              <w:pStyle w:val="Body"/>
              <w:spacing w:after="0"/>
              <w:jc w:val="center"/>
              <w:rPr>
                <w:rFonts w:ascii="Arial" w:hAnsi="Arial" w:cs="Arial"/>
                <w:sz w:val="20"/>
                <w:szCs w:val="20"/>
              </w:rPr>
            </w:pPr>
            <w:r>
              <w:rPr>
                <w:rFonts w:ascii="Arial" w:hAnsi="Arial" w:cs="Arial"/>
                <w:sz w:val="20"/>
                <w:szCs w:val="20"/>
              </w:rPr>
              <w:t>Beta, OR (</w:t>
            </w:r>
            <w:r w:rsidR="0071376F">
              <w:rPr>
                <w:rFonts w:ascii="Arial" w:hAnsi="Arial" w:cs="Arial"/>
                <w:sz w:val="20"/>
                <w:szCs w:val="20"/>
              </w:rPr>
              <w:t>CI</w:t>
            </w:r>
            <w:r>
              <w:rPr>
                <w:rFonts w:ascii="Arial" w:hAnsi="Arial" w:cs="Arial"/>
                <w:sz w:val="20"/>
                <w:szCs w:val="20"/>
              </w:rPr>
              <w:t>95%)</w:t>
            </w:r>
          </w:p>
        </w:tc>
        <w:tc>
          <w:tcPr>
            <w:tcW w:w="2230" w:type="dxa"/>
            <w:tcBorders>
              <w:bottom w:val="single" w:sz="4" w:space="0" w:color="auto"/>
            </w:tcBorders>
            <w:noWrap/>
            <w:vAlign w:val="center"/>
            <w:hideMark/>
          </w:tcPr>
          <w:p w14:paraId="24AAE41F" w14:textId="77777777" w:rsidR="0015255C" w:rsidRDefault="0015255C" w:rsidP="000E115A">
            <w:pPr>
              <w:pStyle w:val="Body"/>
              <w:spacing w:after="0"/>
              <w:jc w:val="center"/>
              <w:rPr>
                <w:rFonts w:ascii="Arial" w:hAnsi="Arial" w:cs="Arial"/>
                <w:sz w:val="20"/>
                <w:szCs w:val="20"/>
              </w:rPr>
            </w:pPr>
            <w:r w:rsidRPr="0015255C">
              <w:rPr>
                <w:rFonts w:ascii="Arial" w:hAnsi="Arial" w:cs="Arial"/>
                <w:sz w:val="20"/>
                <w:szCs w:val="20"/>
              </w:rPr>
              <w:t>Clinical improvement</w:t>
            </w:r>
          </w:p>
          <w:p w14:paraId="69097815" w14:textId="40CBCE54" w:rsidR="0015255C" w:rsidRPr="0015255C" w:rsidRDefault="0015255C" w:rsidP="000E115A">
            <w:pPr>
              <w:pStyle w:val="Body"/>
              <w:spacing w:after="0"/>
              <w:jc w:val="center"/>
              <w:rPr>
                <w:rFonts w:ascii="Arial" w:hAnsi="Arial" w:cs="Arial"/>
                <w:sz w:val="20"/>
                <w:szCs w:val="20"/>
              </w:rPr>
            </w:pPr>
            <w:r>
              <w:rPr>
                <w:rFonts w:ascii="Arial" w:hAnsi="Arial" w:cs="Arial"/>
                <w:sz w:val="20"/>
                <w:szCs w:val="20"/>
              </w:rPr>
              <w:t>Beta, OR (</w:t>
            </w:r>
            <w:r w:rsidR="0071376F">
              <w:rPr>
                <w:rFonts w:ascii="Arial" w:hAnsi="Arial" w:cs="Arial"/>
                <w:sz w:val="20"/>
                <w:szCs w:val="20"/>
              </w:rPr>
              <w:t>CI</w:t>
            </w:r>
            <w:r>
              <w:rPr>
                <w:rFonts w:ascii="Arial" w:hAnsi="Arial" w:cs="Arial"/>
                <w:sz w:val="20"/>
                <w:szCs w:val="20"/>
              </w:rPr>
              <w:t>95%)</w:t>
            </w:r>
          </w:p>
        </w:tc>
        <w:tc>
          <w:tcPr>
            <w:tcW w:w="1933" w:type="dxa"/>
            <w:tcBorders>
              <w:bottom w:val="single" w:sz="4" w:space="0" w:color="auto"/>
            </w:tcBorders>
            <w:noWrap/>
            <w:vAlign w:val="center"/>
            <w:hideMark/>
          </w:tcPr>
          <w:p w14:paraId="6EDE4273" w14:textId="77777777" w:rsidR="0015255C" w:rsidRDefault="0015255C" w:rsidP="000E115A">
            <w:pPr>
              <w:pStyle w:val="Body"/>
              <w:spacing w:after="0"/>
              <w:jc w:val="center"/>
              <w:rPr>
                <w:rFonts w:ascii="Arial" w:hAnsi="Arial" w:cs="Arial"/>
                <w:sz w:val="20"/>
                <w:szCs w:val="20"/>
              </w:rPr>
            </w:pPr>
            <w:r w:rsidRPr="0015255C">
              <w:rPr>
                <w:rFonts w:ascii="Arial" w:hAnsi="Arial" w:cs="Arial"/>
                <w:sz w:val="20"/>
                <w:szCs w:val="20"/>
              </w:rPr>
              <w:t>Mortality</w:t>
            </w:r>
          </w:p>
          <w:p w14:paraId="2B50A1BC" w14:textId="65B73412" w:rsidR="0015255C" w:rsidRPr="0015255C" w:rsidRDefault="0015255C" w:rsidP="000E115A">
            <w:pPr>
              <w:pStyle w:val="Body"/>
              <w:spacing w:after="0"/>
              <w:jc w:val="center"/>
              <w:rPr>
                <w:rFonts w:ascii="Arial" w:hAnsi="Arial" w:cs="Arial"/>
                <w:sz w:val="20"/>
                <w:szCs w:val="20"/>
              </w:rPr>
            </w:pPr>
            <w:r>
              <w:rPr>
                <w:rFonts w:ascii="Arial" w:hAnsi="Arial" w:cs="Arial"/>
                <w:sz w:val="20"/>
                <w:szCs w:val="20"/>
              </w:rPr>
              <w:t>Beta, OR (</w:t>
            </w:r>
            <w:r w:rsidR="0071376F">
              <w:rPr>
                <w:rFonts w:ascii="Arial" w:hAnsi="Arial" w:cs="Arial"/>
                <w:sz w:val="20"/>
                <w:szCs w:val="20"/>
              </w:rPr>
              <w:t>CI</w:t>
            </w:r>
            <w:r>
              <w:rPr>
                <w:rFonts w:ascii="Arial" w:hAnsi="Arial" w:cs="Arial"/>
                <w:sz w:val="20"/>
                <w:szCs w:val="20"/>
              </w:rPr>
              <w:t>95%)</w:t>
            </w:r>
          </w:p>
        </w:tc>
      </w:tr>
      <w:tr w:rsidR="00EA3B94" w:rsidRPr="0015255C" w14:paraId="11362821" w14:textId="77777777" w:rsidTr="000C3FFA">
        <w:trPr>
          <w:trHeight w:val="300"/>
        </w:trPr>
        <w:tc>
          <w:tcPr>
            <w:tcW w:w="2547" w:type="dxa"/>
            <w:tcBorders>
              <w:top w:val="single" w:sz="4" w:space="0" w:color="auto"/>
              <w:bottom w:val="nil"/>
            </w:tcBorders>
            <w:vAlign w:val="center"/>
            <w:hideMark/>
          </w:tcPr>
          <w:p w14:paraId="3625BD1D" w14:textId="41818BD8"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t>Nirmatrelvir/ritonavir (1)</w:t>
            </w:r>
            <w:r w:rsidR="000E115A">
              <w:rPr>
                <w:rFonts w:ascii="Arial" w:hAnsi="Arial" w:cs="Arial"/>
                <w:sz w:val="20"/>
                <w:szCs w:val="20"/>
              </w:rPr>
              <w:t>*</w:t>
            </w:r>
          </w:p>
        </w:tc>
        <w:tc>
          <w:tcPr>
            <w:tcW w:w="1984" w:type="dxa"/>
            <w:tcBorders>
              <w:top w:val="single" w:sz="4" w:space="0" w:color="auto"/>
              <w:bottom w:val="nil"/>
            </w:tcBorders>
            <w:noWrap/>
            <w:vAlign w:val="center"/>
            <w:hideMark/>
          </w:tcPr>
          <w:p w14:paraId="4AB690A3"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-2.581, 0.076</w:t>
            </w:r>
          </w:p>
          <w:p w14:paraId="60D4DCB9" w14:textId="6FF5FB4C"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(0.036-0.158)</w:t>
            </w:r>
          </w:p>
        </w:tc>
        <w:tc>
          <w:tcPr>
            <w:tcW w:w="2230" w:type="dxa"/>
            <w:tcBorders>
              <w:top w:val="single" w:sz="4" w:space="0" w:color="auto"/>
              <w:bottom w:val="nil"/>
            </w:tcBorders>
            <w:noWrap/>
            <w:vAlign w:val="center"/>
          </w:tcPr>
          <w:p w14:paraId="59353EBB"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3.084, 21.851</w:t>
            </w:r>
          </w:p>
          <w:p w14:paraId="61248138" w14:textId="6AB45FED"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(2.991-159.611)</w:t>
            </w:r>
          </w:p>
        </w:tc>
        <w:tc>
          <w:tcPr>
            <w:tcW w:w="1933" w:type="dxa"/>
            <w:tcBorders>
              <w:top w:val="single" w:sz="4" w:space="0" w:color="auto"/>
              <w:bottom w:val="nil"/>
            </w:tcBorders>
            <w:noWrap/>
            <w:vAlign w:val="center"/>
          </w:tcPr>
          <w:p w14:paraId="5C517B8D"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-2.847, 0.058</w:t>
            </w:r>
          </w:p>
          <w:p w14:paraId="507E1D48" w14:textId="3CFDC749"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(0.008-0.425)</w:t>
            </w:r>
          </w:p>
        </w:tc>
      </w:tr>
      <w:tr w:rsidR="00EA3B94" w:rsidRPr="0015255C" w14:paraId="07E9E42A" w14:textId="77777777" w:rsidTr="000C3FFA">
        <w:trPr>
          <w:trHeight w:val="288"/>
        </w:trPr>
        <w:tc>
          <w:tcPr>
            <w:tcW w:w="2547" w:type="dxa"/>
            <w:tcBorders>
              <w:top w:val="nil"/>
            </w:tcBorders>
            <w:vAlign w:val="center"/>
            <w:hideMark/>
          </w:tcPr>
          <w:p w14:paraId="65AE2CB6" w14:textId="21DEB97C"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t>Age</w:t>
            </w:r>
            <w:r w:rsidR="000E115A">
              <w:rPr>
                <w:rFonts w:ascii="Arial" w:hAnsi="Arial" w:cs="Arial"/>
                <w:sz w:val="20"/>
                <w:szCs w:val="20"/>
              </w:rPr>
              <w:t>*</w:t>
            </w:r>
          </w:p>
        </w:tc>
        <w:tc>
          <w:tcPr>
            <w:tcW w:w="1984" w:type="dxa"/>
            <w:tcBorders>
              <w:top w:val="nil"/>
            </w:tcBorders>
            <w:noWrap/>
            <w:vAlign w:val="center"/>
            <w:hideMark/>
          </w:tcPr>
          <w:p w14:paraId="0F3EBA06"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0.081, 1.085</w:t>
            </w:r>
          </w:p>
          <w:p w14:paraId="65F64132" w14:textId="1CD41538"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(1.072-1.097)</w:t>
            </w:r>
          </w:p>
        </w:tc>
        <w:tc>
          <w:tcPr>
            <w:tcW w:w="2230" w:type="dxa"/>
            <w:tcBorders>
              <w:top w:val="nil"/>
            </w:tcBorders>
            <w:noWrap/>
            <w:vAlign w:val="center"/>
          </w:tcPr>
          <w:p w14:paraId="24D0F8B1"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-0.087, 0.917</w:t>
            </w:r>
          </w:p>
          <w:p w14:paraId="332FF767" w14:textId="7FE15FDC"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(0.898-0.936)</w:t>
            </w:r>
          </w:p>
        </w:tc>
        <w:tc>
          <w:tcPr>
            <w:tcW w:w="1933" w:type="dxa"/>
            <w:tcBorders>
              <w:top w:val="nil"/>
            </w:tcBorders>
            <w:noWrap/>
            <w:vAlign w:val="center"/>
          </w:tcPr>
          <w:p w14:paraId="6ED3070B"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0.083, 1.087</w:t>
            </w:r>
          </w:p>
          <w:p w14:paraId="5232F4E5" w14:textId="30C234CC"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(1.063-1.111)</w:t>
            </w:r>
          </w:p>
        </w:tc>
      </w:tr>
      <w:tr w:rsidR="00EA3B94" w:rsidRPr="0015255C" w14:paraId="64F03306" w14:textId="77777777" w:rsidTr="000C3FFA">
        <w:trPr>
          <w:trHeight w:val="288"/>
        </w:trPr>
        <w:tc>
          <w:tcPr>
            <w:tcW w:w="2547" w:type="dxa"/>
            <w:vAlign w:val="center"/>
            <w:hideMark/>
          </w:tcPr>
          <w:p w14:paraId="32E2D31C" w14:textId="787E7F9E"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t>Sex (1)</w:t>
            </w:r>
            <w:r w:rsidR="000E115A">
              <w:rPr>
                <w:rFonts w:ascii="Arial" w:hAnsi="Arial" w:cs="Arial"/>
                <w:sz w:val="20"/>
                <w:szCs w:val="20"/>
              </w:rPr>
              <w:t>*</w:t>
            </w:r>
          </w:p>
        </w:tc>
        <w:tc>
          <w:tcPr>
            <w:tcW w:w="1984" w:type="dxa"/>
            <w:noWrap/>
            <w:vAlign w:val="center"/>
            <w:hideMark/>
          </w:tcPr>
          <w:p w14:paraId="6F90BFAE"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0.791, 2.206</w:t>
            </w:r>
          </w:p>
          <w:p w14:paraId="42C9A752" w14:textId="6C3605FE"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(1.597-3.048)</w:t>
            </w:r>
          </w:p>
        </w:tc>
        <w:tc>
          <w:tcPr>
            <w:tcW w:w="2230" w:type="dxa"/>
            <w:noWrap/>
            <w:vAlign w:val="center"/>
          </w:tcPr>
          <w:p w14:paraId="042778A8"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-0.881, 0.414</w:t>
            </w:r>
          </w:p>
          <w:p w14:paraId="4D24DFF0" w14:textId="794C70B6"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(0.237-0.725)</w:t>
            </w:r>
          </w:p>
        </w:tc>
        <w:tc>
          <w:tcPr>
            <w:tcW w:w="1933" w:type="dxa"/>
            <w:noWrap/>
            <w:vAlign w:val="center"/>
          </w:tcPr>
          <w:p w14:paraId="25703D12"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0.98, 2.664</w:t>
            </w:r>
          </w:p>
          <w:p w14:paraId="1AAFCA4A" w14:textId="5DE38F8A"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(1.441-4.925)</w:t>
            </w:r>
          </w:p>
        </w:tc>
      </w:tr>
      <w:tr w:rsidR="00EA3B94" w:rsidRPr="0015255C" w14:paraId="3AEAACC8" w14:textId="77777777" w:rsidTr="000C3FFA">
        <w:trPr>
          <w:trHeight w:val="288"/>
        </w:trPr>
        <w:tc>
          <w:tcPr>
            <w:tcW w:w="2547" w:type="dxa"/>
            <w:vAlign w:val="center"/>
            <w:hideMark/>
          </w:tcPr>
          <w:p w14:paraId="6DE26B95" w14:textId="7E8A1A8D"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t>Employ</w:t>
            </w:r>
            <w:r w:rsidR="00946FEA" w:rsidRPr="00946FEA">
              <w:rPr>
                <w:rFonts w:ascii="Arial" w:hAnsi="Arial" w:cs="Arial"/>
                <w:sz w:val="20"/>
                <w:szCs w:val="20"/>
                <w:highlight w:val="yellow"/>
              </w:rPr>
              <w:t>m</w:t>
            </w:r>
            <w:r w:rsidRPr="00946FEA">
              <w:rPr>
                <w:rFonts w:ascii="Arial" w:hAnsi="Arial" w:cs="Arial"/>
                <w:sz w:val="20"/>
                <w:szCs w:val="20"/>
                <w:highlight w:val="yellow"/>
              </w:rPr>
              <w:t>e</w:t>
            </w:r>
            <w:r w:rsidR="00946FEA" w:rsidRPr="00946FEA">
              <w:rPr>
                <w:rFonts w:ascii="Arial" w:hAnsi="Arial" w:cs="Arial"/>
                <w:sz w:val="20"/>
                <w:szCs w:val="20"/>
                <w:highlight w:val="yellow"/>
              </w:rPr>
              <w:t>nt</w:t>
            </w:r>
            <w:r w:rsidRPr="0015255C">
              <w:rPr>
                <w:rFonts w:ascii="Arial" w:hAnsi="Arial" w:cs="Arial"/>
                <w:sz w:val="20"/>
                <w:szCs w:val="20"/>
              </w:rPr>
              <w:t xml:space="preserve"> (1)</w:t>
            </w:r>
            <w:r w:rsidR="000E115A">
              <w:rPr>
                <w:rFonts w:ascii="Arial" w:hAnsi="Arial" w:cs="Arial"/>
                <w:sz w:val="20"/>
                <w:szCs w:val="20"/>
              </w:rPr>
              <w:t>*</w:t>
            </w:r>
          </w:p>
        </w:tc>
        <w:tc>
          <w:tcPr>
            <w:tcW w:w="1984" w:type="dxa"/>
            <w:noWrap/>
            <w:vAlign w:val="center"/>
            <w:hideMark/>
          </w:tcPr>
          <w:p w14:paraId="3E22BC6C"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-1.151, 0.316</w:t>
            </w:r>
          </w:p>
          <w:p w14:paraId="22461D61" w14:textId="1D7F77C7"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(0.216-0.464)</w:t>
            </w:r>
          </w:p>
        </w:tc>
        <w:tc>
          <w:tcPr>
            <w:tcW w:w="2230" w:type="dxa"/>
            <w:noWrap/>
            <w:vAlign w:val="center"/>
          </w:tcPr>
          <w:p w14:paraId="048CF25A"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0.923, 2.517</w:t>
            </w:r>
          </w:p>
          <w:p w14:paraId="76E1DB97" w14:textId="2E3A2077"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(1.234-5.134)</w:t>
            </w:r>
          </w:p>
        </w:tc>
        <w:tc>
          <w:tcPr>
            <w:tcW w:w="1933" w:type="dxa"/>
            <w:noWrap/>
            <w:vAlign w:val="center"/>
          </w:tcPr>
          <w:p w14:paraId="7E067D37"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-1.086, 0.338</w:t>
            </w:r>
          </w:p>
          <w:p w14:paraId="51B22963" w14:textId="59FEB03F"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(0.153-0.747)</w:t>
            </w:r>
          </w:p>
        </w:tc>
      </w:tr>
      <w:tr w:rsidR="00EA3B94" w:rsidRPr="0015255C" w14:paraId="1FA6A1C7" w14:textId="77777777" w:rsidTr="000C3FFA">
        <w:trPr>
          <w:trHeight w:val="300"/>
        </w:trPr>
        <w:tc>
          <w:tcPr>
            <w:tcW w:w="2547" w:type="dxa"/>
            <w:vAlign w:val="center"/>
            <w:hideMark/>
          </w:tcPr>
          <w:p w14:paraId="57F34B1F" w14:textId="77777777"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lastRenderedPageBreak/>
              <w:t>Constant</w:t>
            </w:r>
          </w:p>
        </w:tc>
        <w:tc>
          <w:tcPr>
            <w:tcW w:w="1984" w:type="dxa"/>
            <w:noWrap/>
            <w:vAlign w:val="center"/>
            <w:hideMark/>
          </w:tcPr>
          <w:p w14:paraId="2B95D5A1" w14:textId="77777777"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-6.687</w:t>
            </w:r>
          </w:p>
        </w:tc>
        <w:tc>
          <w:tcPr>
            <w:tcW w:w="2230" w:type="dxa"/>
            <w:noWrap/>
            <w:vAlign w:val="center"/>
          </w:tcPr>
          <w:p w14:paraId="2E315483" w14:textId="06FC50CC"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-8.836</w:t>
            </w:r>
          </w:p>
        </w:tc>
        <w:tc>
          <w:tcPr>
            <w:tcW w:w="1933" w:type="dxa"/>
            <w:noWrap/>
            <w:vAlign w:val="center"/>
          </w:tcPr>
          <w:p w14:paraId="3583E2F5" w14:textId="1ABC581A"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8.843</w:t>
            </w:r>
          </w:p>
        </w:tc>
      </w:tr>
    </w:tbl>
    <w:p w14:paraId="76DE0DF9" w14:textId="3F8AC258" w:rsidR="00EA5ECD" w:rsidRPr="00BF2353" w:rsidRDefault="00BF2353" w:rsidP="00EA5ECD">
      <w:pPr>
        <w:pStyle w:val="Body"/>
        <w:spacing w:after="0"/>
        <w:rPr>
          <w:rFonts w:ascii="Arial" w:hAnsi="Arial" w:cs="Arial"/>
          <w:sz w:val="18"/>
          <w:szCs w:val="18"/>
        </w:rPr>
      </w:pPr>
      <w:r w:rsidRPr="008F39F5">
        <w:rPr>
          <w:rFonts w:ascii="Arial" w:hAnsi="Arial"/>
          <w:bCs/>
          <w:sz w:val="18"/>
          <w:szCs w:val="18"/>
        </w:rPr>
        <w:t xml:space="preserve">Source: Prepared by the authors using data from the SINOLAVE System, </w:t>
      </w:r>
      <w:r w:rsidR="00DA1D15">
        <w:rPr>
          <w:rFonts w:ascii="Arial" w:hAnsi="Arial"/>
          <w:bCs/>
          <w:sz w:val="18"/>
          <w:szCs w:val="18"/>
        </w:rPr>
        <w:t xml:space="preserve">from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Pr="00BF2353">
        <w:rPr>
          <w:rFonts w:ascii="Arial" w:hAnsi="Arial" w:cs="Arial"/>
          <w:sz w:val="18"/>
          <w:szCs w:val="18"/>
        </w:rPr>
        <w:t xml:space="preserve">OR: odds ratio. </w:t>
      </w:r>
      <w:r w:rsidR="00EA5ECD">
        <w:rPr>
          <w:rFonts w:ascii="Arial" w:hAnsi="Arial" w:cs="Arial"/>
          <w:sz w:val="18"/>
          <w:szCs w:val="18"/>
        </w:rPr>
        <w:t xml:space="preserve">CI95%: confidence interval 95%. </w:t>
      </w:r>
      <w:r w:rsidRPr="00BF2353">
        <w:rPr>
          <w:rFonts w:ascii="Arial" w:hAnsi="Arial" w:cs="Arial"/>
          <w:sz w:val="18"/>
          <w:szCs w:val="18"/>
        </w:rPr>
        <w:t>P values were calculated using the chi-square Wald test.</w:t>
      </w:r>
      <w:r w:rsidR="000E115A" w:rsidRPr="000E115A">
        <w:rPr>
          <w:rFonts w:ascii="Arial" w:hAnsi="Arial" w:cs="Arial"/>
          <w:sz w:val="18"/>
          <w:szCs w:val="18"/>
        </w:rPr>
        <w:t xml:space="preserve"> </w:t>
      </w:r>
      <w:r w:rsidR="000E115A" w:rsidRPr="006F4089">
        <w:rPr>
          <w:rFonts w:ascii="Arial" w:hAnsi="Arial" w:cs="Arial"/>
          <w:sz w:val="18"/>
          <w:szCs w:val="18"/>
        </w:rPr>
        <w:t>*</w:t>
      </w:r>
      <w:r w:rsidR="005D5CB5">
        <w:rPr>
          <w:rFonts w:ascii="Arial" w:hAnsi="Arial" w:cs="Arial"/>
          <w:sz w:val="18"/>
          <w:szCs w:val="18"/>
        </w:rPr>
        <w:t xml:space="preserve">Adjusted </w:t>
      </w:r>
      <w:r w:rsidR="000E115A" w:rsidRPr="006F4089">
        <w:rPr>
          <w:rFonts w:ascii="Arial" w:hAnsi="Arial" w:cs="Arial"/>
          <w:sz w:val="18"/>
          <w:szCs w:val="18"/>
        </w:rPr>
        <w:t>P value ≤0.0</w:t>
      </w:r>
      <w:r w:rsidR="000E115A">
        <w:rPr>
          <w:rFonts w:ascii="Arial" w:hAnsi="Arial" w:cs="Arial"/>
          <w:sz w:val="18"/>
          <w:szCs w:val="18"/>
        </w:rPr>
        <w:t>0</w:t>
      </w:r>
      <w:r w:rsidR="000E115A" w:rsidRPr="006F4089">
        <w:rPr>
          <w:rFonts w:ascii="Arial" w:hAnsi="Arial" w:cs="Arial"/>
          <w:sz w:val="18"/>
          <w:szCs w:val="18"/>
        </w:rPr>
        <w:t>1.</w:t>
      </w:r>
      <w:r w:rsidR="00DA1D15">
        <w:rPr>
          <w:rFonts w:ascii="Arial" w:hAnsi="Arial" w:cs="Arial"/>
          <w:sz w:val="18"/>
          <w:szCs w:val="18"/>
        </w:rPr>
        <w:t xml:space="preserve"> the</w:t>
      </w:r>
      <w:r w:rsidR="00EA5ECD">
        <w:rPr>
          <w:rFonts w:ascii="Arial" w:hAnsi="Arial" w:cs="Arial"/>
          <w:sz w:val="18"/>
          <w:szCs w:val="18"/>
        </w:rPr>
        <w:t xml:space="preserve"> </w:t>
      </w:r>
      <w:r w:rsidR="00DA1D15">
        <w:rPr>
          <w:rFonts w:ascii="Arial" w:hAnsi="Arial" w:cs="Arial"/>
          <w:sz w:val="18"/>
          <w:szCs w:val="18"/>
        </w:rPr>
        <w:t>v</w:t>
      </w:r>
      <w:r w:rsidR="00EA5ECD" w:rsidRPr="00AB1345">
        <w:rPr>
          <w:rFonts w:ascii="Arial" w:hAnsi="Arial" w:cs="Arial"/>
          <w:sz w:val="18"/>
          <w:szCs w:val="18"/>
        </w:rPr>
        <w:t xml:space="preserve">ariables introduced in the multivariate model: Nirmatrelvir/ritonavir </w:t>
      </w:r>
      <w:r w:rsidR="00EA5ECD">
        <w:rPr>
          <w:rFonts w:ascii="Arial" w:hAnsi="Arial" w:cs="Arial"/>
          <w:sz w:val="18"/>
          <w:szCs w:val="18"/>
        </w:rPr>
        <w:t>(</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xml:space="preserve">, age, </w:t>
      </w:r>
      <w:r w:rsidR="00EA5ECD">
        <w:rPr>
          <w:rFonts w:ascii="Arial" w:hAnsi="Arial" w:cs="Arial"/>
          <w:sz w:val="18"/>
          <w:szCs w:val="18"/>
        </w:rPr>
        <w:t>sex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xml:space="preserve">, </w:t>
      </w:r>
      <w:r w:rsidR="00EA5ECD">
        <w:rPr>
          <w:rFonts w:ascii="Arial" w:hAnsi="Arial" w:cs="Arial"/>
          <w:sz w:val="18"/>
          <w:szCs w:val="18"/>
        </w:rPr>
        <w:t>and employed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w:t>
      </w:r>
    </w:p>
    <w:p w14:paraId="29BB3903" w14:textId="77777777" w:rsidR="00B07EFA" w:rsidRDefault="00B07EFA" w:rsidP="0015255C">
      <w:pPr>
        <w:pStyle w:val="Body"/>
        <w:spacing w:after="0"/>
      </w:pPr>
    </w:p>
    <w:p w14:paraId="2E2FA4A2" w14:textId="59A71142" w:rsidR="0071376F" w:rsidRDefault="0065015C" w:rsidP="0015255C">
      <w:pPr>
        <w:pStyle w:val="Body"/>
        <w:spacing w:after="0"/>
      </w:pPr>
      <w:r>
        <w:t>In relationship to severity, t</w:t>
      </w:r>
      <w:r w:rsidR="004729A0" w:rsidRPr="004729A0">
        <w:t>he logistic regression analysis identified several factors associated with severe COVID-19 cases. The oral administration of nirmatrelvir/ritonavir was strongly associated with a lower likelihood of severe disease.</w:t>
      </w:r>
      <w:r w:rsidR="00E05C58">
        <w:t xml:space="preserve"> What is more, a</w:t>
      </w:r>
      <w:r w:rsidR="004729A0" w:rsidRPr="004729A0">
        <w:t xml:space="preserve">ge was a significant risk factor, with each additional year increasing the odds of severe disease. </w:t>
      </w:r>
      <w:r w:rsidR="00E05C58">
        <w:t>Therefore, t</w:t>
      </w:r>
      <w:r w:rsidR="004729A0" w:rsidRPr="004729A0">
        <w:t>he presence of headache and coryza also increased the risk of severe disease. Conversely, profound weakness and anosmia reduce the likelihood of severe COVID-19. Other factors associated with severe disease were dyspnoea and diabetes</w:t>
      </w:r>
      <w:r w:rsidR="004729A0">
        <w:t xml:space="preserve"> (table 6)</w:t>
      </w:r>
      <w:r w:rsidR="004729A0" w:rsidRPr="004729A0">
        <w:t>.</w:t>
      </w:r>
    </w:p>
    <w:p w14:paraId="77843EE6" w14:textId="77777777" w:rsidR="0071376F" w:rsidRDefault="0071376F" w:rsidP="0015255C">
      <w:pPr>
        <w:pStyle w:val="Body"/>
        <w:spacing w:after="0"/>
      </w:pPr>
    </w:p>
    <w:p w14:paraId="56ECA3DA" w14:textId="1D9F4BCF" w:rsidR="00AD235E" w:rsidRPr="00873F35" w:rsidRDefault="00AD235E" w:rsidP="00AD235E">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6</w:t>
      </w:r>
      <w:r w:rsidRPr="00873F35">
        <w:rPr>
          <w:rFonts w:ascii="Arial" w:hAnsi="Arial"/>
          <w:b/>
          <w:sz w:val="22"/>
          <w:szCs w:val="22"/>
        </w:rPr>
        <w:t>.</w:t>
      </w:r>
      <w:r w:rsidRPr="00873F35">
        <w:rPr>
          <w:rFonts w:ascii="Arial" w:hAnsi="Arial"/>
          <w:b/>
          <w:sz w:val="22"/>
          <w:szCs w:val="22"/>
        </w:rPr>
        <w:tab/>
      </w:r>
      <w:r>
        <w:rPr>
          <w:rFonts w:ascii="Arial" w:hAnsi="Arial"/>
          <w:b/>
          <w:sz w:val="22"/>
          <w:szCs w:val="22"/>
        </w:rPr>
        <w:t>Multivariat</w:t>
      </w:r>
      <w:r w:rsidR="009A70EA">
        <w:rPr>
          <w:rFonts w:ascii="Arial" w:hAnsi="Arial"/>
          <w:b/>
          <w:sz w:val="22"/>
          <w:szCs w:val="22"/>
        </w:rPr>
        <w:t>e</w:t>
      </w:r>
      <w:r>
        <w:rPr>
          <w:rFonts w:ascii="Arial" w:hAnsi="Arial"/>
          <w:b/>
          <w:sz w:val="22"/>
          <w:szCs w:val="22"/>
        </w:rPr>
        <w:t xml:space="preserve"> logistic regression model associated to </w:t>
      </w:r>
      <w:r w:rsidR="009A70EA">
        <w:rPr>
          <w:rFonts w:ascii="Arial" w:hAnsi="Arial"/>
          <w:b/>
          <w:sz w:val="22"/>
          <w:szCs w:val="22"/>
        </w:rPr>
        <w:t>C</w:t>
      </w:r>
      <w:r>
        <w:rPr>
          <w:rFonts w:ascii="Arial" w:hAnsi="Arial"/>
          <w:b/>
          <w:sz w:val="22"/>
          <w:szCs w:val="22"/>
        </w:rPr>
        <w:t>OVID-19 severe disease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912"/>
        <w:gridCol w:w="992"/>
        <w:gridCol w:w="1417"/>
        <w:gridCol w:w="1560"/>
        <w:gridCol w:w="973"/>
      </w:tblGrid>
      <w:tr w:rsidR="000655B7" w:rsidRPr="004729A0" w14:paraId="3FC73B4D" w14:textId="77777777" w:rsidTr="00BC0421">
        <w:trPr>
          <w:trHeight w:val="300"/>
        </w:trPr>
        <w:tc>
          <w:tcPr>
            <w:tcW w:w="2344" w:type="dxa"/>
            <w:tcBorders>
              <w:bottom w:val="single" w:sz="4" w:space="0" w:color="auto"/>
            </w:tcBorders>
            <w:noWrap/>
            <w:vAlign w:val="center"/>
            <w:hideMark/>
          </w:tcPr>
          <w:p w14:paraId="2EF4052C" w14:textId="27120519" w:rsidR="004729A0" w:rsidRPr="00AD235E" w:rsidRDefault="004729A0" w:rsidP="004729A0">
            <w:pPr>
              <w:pStyle w:val="Body"/>
              <w:spacing w:after="0"/>
              <w:rPr>
                <w:sz w:val="20"/>
                <w:szCs w:val="20"/>
                <w:lang w:val="en-US"/>
              </w:rPr>
            </w:pPr>
          </w:p>
        </w:tc>
        <w:tc>
          <w:tcPr>
            <w:tcW w:w="912" w:type="dxa"/>
            <w:tcBorders>
              <w:bottom w:val="single" w:sz="4" w:space="0" w:color="auto"/>
            </w:tcBorders>
            <w:noWrap/>
            <w:vAlign w:val="center"/>
            <w:hideMark/>
          </w:tcPr>
          <w:p w14:paraId="6277320A" w14:textId="3EDC460A" w:rsidR="004729A0" w:rsidRPr="004729A0" w:rsidRDefault="004729A0" w:rsidP="000655B7">
            <w:pPr>
              <w:pStyle w:val="Body"/>
              <w:spacing w:after="0"/>
              <w:jc w:val="center"/>
              <w:rPr>
                <w:sz w:val="20"/>
                <w:szCs w:val="20"/>
              </w:rPr>
            </w:pPr>
            <w:r w:rsidRPr="004729A0">
              <w:rPr>
                <w:sz w:val="20"/>
                <w:szCs w:val="20"/>
              </w:rPr>
              <w:t>B</w:t>
            </w:r>
            <w:r w:rsidR="00EA5ECD">
              <w:rPr>
                <w:sz w:val="20"/>
                <w:szCs w:val="20"/>
              </w:rPr>
              <w:t>eta</w:t>
            </w:r>
          </w:p>
        </w:tc>
        <w:tc>
          <w:tcPr>
            <w:tcW w:w="992" w:type="dxa"/>
            <w:tcBorders>
              <w:bottom w:val="single" w:sz="4" w:space="0" w:color="auto"/>
            </w:tcBorders>
            <w:noWrap/>
            <w:vAlign w:val="center"/>
            <w:hideMark/>
          </w:tcPr>
          <w:p w14:paraId="11C7874C" w14:textId="77777777" w:rsidR="004729A0" w:rsidRPr="004729A0" w:rsidRDefault="004729A0" w:rsidP="000655B7">
            <w:pPr>
              <w:pStyle w:val="Body"/>
              <w:spacing w:after="0"/>
              <w:jc w:val="center"/>
              <w:rPr>
                <w:sz w:val="20"/>
                <w:szCs w:val="20"/>
              </w:rPr>
            </w:pPr>
            <w:r w:rsidRPr="004729A0">
              <w:rPr>
                <w:sz w:val="20"/>
                <w:szCs w:val="20"/>
              </w:rPr>
              <w:t>OR</w:t>
            </w:r>
          </w:p>
        </w:tc>
        <w:tc>
          <w:tcPr>
            <w:tcW w:w="1417" w:type="dxa"/>
            <w:tcBorders>
              <w:bottom w:val="single" w:sz="4" w:space="0" w:color="auto"/>
            </w:tcBorders>
            <w:noWrap/>
            <w:vAlign w:val="center"/>
            <w:hideMark/>
          </w:tcPr>
          <w:p w14:paraId="2E9E2409" w14:textId="67998E84" w:rsidR="004729A0" w:rsidRPr="004729A0" w:rsidRDefault="004729A0" w:rsidP="000655B7">
            <w:pPr>
              <w:pStyle w:val="Body"/>
              <w:spacing w:after="0"/>
              <w:jc w:val="center"/>
              <w:rPr>
                <w:sz w:val="20"/>
                <w:szCs w:val="20"/>
              </w:rPr>
            </w:pPr>
            <w:r w:rsidRPr="004729A0">
              <w:rPr>
                <w:sz w:val="20"/>
                <w:szCs w:val="20"/>
              </w:rPr>
              <w:t>Lower CI95%</w:t>
            </w:r>
          </w:p>
        </w:tc>
        <w:tc>
          <w:tcPr>
            <w:tcW w:w="1560" w:type="dxa"/>
            <w:tcBorders>
              <w:bottom w:val="single" w:sz="4" w:space="0" w:color="auto"/>
            </w:tcBorders>
            <w:noWrap/>
            <w:vAlign w:val="center"/>
            <w:hideMark/>
          </w:tcPr>
          <w:p w14:paraId="03D9344E" w14:textId="1D65F914" w:rsidR="004729A0" w:rsidRPr="004729A0" w:rsidRDefault="004729A0" w:rsidP="000655B7">
            <w:pPr>
              <w:pStyle w:val="Body"/>
              <w:spacing w:after="0"/>
              <w:jc w:val="center"/>
              <w:rPr>
                <w:sz w:val="20"/>
                <w:szCs w:val="20"/>
              </w:rPr>
            </w:pPr>
            <w:r w:rsidRPr="004729A0">
              <w:rPr>
                <w:sz w:val="20"/>
                <w:szCs w:val="20"/>
              </w:rPr>
              <w:t>Upper CI95%</w:t>
            </w:r>
          </w:p>
        </w:tc>
        <w:tc>
          <w:tcPr>
            <w:tcW w:w="973" w:type="dxa"/>
            <w:tcBorders>
              <w:bottom w:val="single" w:sz="4" w:space="0" w:color="auto"/>
            </w:tcBorders>
            <w:noWrap/>
            <w:vAlign w:val="center"/>
            <w:hideMark/>
          </w:tcPr>
          <w:p w14:paraId="3EB84F4E" w14:textId="77777777" w:rsidR="004729A0" w:rsidRPr="004729A0" w:rsidRDefault="004729A0" w:rsidP="000655B7">
            <w:pPr>
              <w:pStyle w:val="Body"/>
              <w:spacing w:after="0"/>
              <w:jc w:val="center"/>
              <w:rPr>
                <w:sz w:val="20"/>
                <w:szCs w:val="20"/>
              </w:rPr>
            </w:pPr>
            <w:r w:rsidRPr="004729A0">
              <w:rPr>
                <w:sz w:val="20"/>
                <w:szCs w:val="20"/>
              </w:rPr>
              <w:t>P value</w:t>
            </w:r>
          </w:p>
        </w:tc>
      </w:tr>
      <w:tr w:rsidR="000655B7" w:rsidRPr="004729A0" w14:paraId="64AE05CD" w14:textId="77777777" w:rsidTr="00BC0421">
        <w:trPr>
          <w:trHeight w:val="300"/>
        </w:trPr>
        <w:tc>
          <w:tcPr>
            <w:tcW w:w="2344" w:type="dxa"/>
            <w:tcBorders>
              <w:top w:val="single" w:sz="4" w:space="0" w:color="auto"/>
              <w:bottom w:val="nil"/>
            </w:tcBorders>
            <w:noWrap/>
            <w:vAlign w:val="center"/>
            <w:hideMark/>
          </w:tcPr>
          <w:p w14:paraId="593ADC40" w14:textId="77777777" w:rsidR="004729A0" w:rsidRPr="004729A0" w:rsidRDefault="004729A0" w:rsidP="004729A0">
            <w:pPr>
              <w:pStyle w:val="Body"/>
              <w:spacing w:after="0"/>
              <w:rPr>
                <w:sz w:val="20"/>
                <w:szCs w:val="20"/>
              </w:rPr>
            </w:pPr>
            <w:r w:rsidRPr="004729A0">
              <w:rPr>
                <w:sz w:val="20"/>
                <w:szCs w:val="20"/>
              </w:rPr>
              <w:t>Nirmatrelvir/ritonavir (1)</w:t>
            </w:r>
          </w:p>
        </w:tc>
        <w:tc>
          <w:tcPr>
            <w:tcW w:w="912" w:type="dxa"/>
            <w:tcBorders>
              <w:top w:val="single" w:sz="4" w:space="0" w:color="auto"/>
              <w:bottom w:val="nil"/>
            </w:tcBorders>
            <w:noWrap/>
            <w:vAlign w:val="center"/>
            <w:hideMark/>
          </w:tcPr>
          <w:p w14:paraId="422076F1" w14:textId="77777777" w:rsidR="004729A0" w:rsidRPr="004729A0" w:rsidRDefault="004729A0" w:rsidP="000655B7">
            <w:pPr>
              <w:pStyle w:val="Body"/>
              <w:spacing w:after="0"/>
              <w:jc w:val="center"/>
              <w:rPr>
                <w:sz w:val="20"/>
                <w:szCs w:val="20"/>
              </w:rPr>
            </w:pPr>
            <w:r w:rsidRPr="004729A0">
              <w:rPr>
                <w:sz w:val="20"/>
                <w:szCs w:val="20"/>
              </w:rPr>
              <w:t>-2.520</w:t>
            </w:r>
          </w:p>
        </w:tc>
        <w:tc>
          <w:tcPr>
            <w:tcW w:w="992" w:type="dxa"/>
            <w:tcBorders>
              <w:top w:val="single" w:sz="4" w:space="0" w:color="auto"/>
              <w:bottom w:val="nil"/>
            </w:tcBorders>
            <w:noWrap/>
            <w:vAlign w:val="center"/>
            <w:hideMark/>
          </w:tcPr>
          <w:p w14:paraId="727FC068" w14:textId="6850CD13"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.080</w:t>
            </w:r>
          </w:p>
        </w:tc>
        <w:tc>
          <w:tcPr>
            <w:tcW w:w="1417" w:type="dxa"/>
            <w:tcBorders>
              <w:top w:val="single" w:sz="4" w:space="0" w:color="auto"/>
              <w:bottom w:val="nil"/>
            </w:tcBorders>
            <w:noWrap/>
            <w:vAlign w:val="center"/>
            <w:hideMark/>
          </w:tcPr>
          <w:p w14:paraId="2A055336" w14:textId="4B900DF8"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.019</w:t>
            </w:r>
          </w:p>
        </w:tc>
        <w:tc>
          <w:tcPr>
            <w:tcW w:w="1560" w:type="dxa"/>
            <w:tcBorders>
              <w:top w:val="single" w:sz="4" w:space="0" w:color="auto"/>
              <w:bottom w:val="nil"/>
            </w:tcBorders>
            <w:noWrap/>
            <w:vAlign w:val="center"/>
            <w:hideMark/>
          </w:tcPr>
          <w:p w14:paraId="29561B28" w14:textId="6C19370E"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.343</w:t>
            </w:r>
          </w:p>
        </w:tc>
        <w:tc>
          <w:tcPr>
            <w:tcW w:w="973" w:type="dxa"/>
            <w:tcBorders>
              <w:top w:val="single" w:sz="4" w:space="0" w:color="auto"/>
              <w:bottom w:val="nil"/>
            </w:tcBorders>
            <w:noWrap/>
            <w:vAlign w:val="center"/>
            <w:hideMark/>
          </w:tcPr>
          <w:p w14:paraId="675C8D85" w14:textId="49174EBC"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.001</w:t>
            </w:r>
          </w:p>
        </w:tc>
      </w:tr>
      <w:tr w:rsidR="000655B7" w:rsidRPr="004729A0" w14:paraId="6CE1AD2B" w14:textId="77777777" w:rsidTr="00BC0421">
        <w:trPr>
          <w:trHeight w:val="288"/>
        </w:trPr>
        <w:tc>
          <w:tcPr>
            <w:tcW w:w="2344" w:type="dxa"/>
            <w:tcBorders>
              <w:top w:val="nil"/>
            </w:tcBorders>
            <w:noWrap/>
            <w:vAlign w:val="center"/>
            <w:hideMark/>
          </w:tcPr>
          <w:p w14:paraId="03216530" w14:textId="77777777" w:rsidR="004729A0" w:rsidRPr="004729A0" w:rsidRDefault="004729A0" w:rsidP="004729A0">
            <w:pPr>
              <w:pStyle w:val="Body"/>
              <w:spacing w:after="0"/>
              <w:rPr>
                <w:sz w:val="20"/>
                <w:szCs w:val="20"/>
              </w:rPr>
            </w:pPr>
            <w:r w:rsidRPr="004729A0">
              <w:rPr>
                <w:sz w:val="20"/>
                <w:szCs w:val="20"/>
              </w:rPr>
              <w:t>Age</w:t>
            </w:r>
          </w:p>
        </w:tc>
        <w:tc>
          <w:tcPr>
            <w:tcW w:w="912" w:type="dxa"/>
            <w:tcBorders>
              <w:top w:val="nil"/>
            </w:tcBorders>
            <w:noWrap/>
            <w:vAlign w:val="center"/>
            <w:hideMark/>
          </w:tcPr>
          <w:p w14:paraId="3333A281" w14:textId="21373FB7"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.063</w:t>
            </w:r>
          </w:p>
        </w:tc>
        <w:tc>
          <w:tcPr>
            <w:tcW w:w="992" w:type="dxa"/>
            <w:tcBorders>
              <w:top w:val="nil"/>
            </w:tcBorders>
            <w:noWrap/>
            <w:vAlign w:val="center"/>
            <w:hideMark/>
          </w:tcPr>
          <w:p w14:paraId="5EEDEDF4" w14:textId="77777777" w:rsidR="004729A0" w:rsidRPr="004729A0" w:rsidRDefault="004729A0" w:rsidP="000655B7">
            <w:pPr>
              <w:pStyle w:val="Body"/>
              <w:spacing w:after="0"/>
              <w:jc w:val="center"/>
              <w:rPr>
                <w:sz w:val="20"/>
                <w:szCs w:val="20"/>
              </w:rPr>
            </w:pPr>
            <w:r w:rsidRPr="004729A0">
              <w:rPr>
                <w:sz w:val="20"/>
                <w:szCs w:val="20"/>
              </w:rPr>
              <w:t>1.065</w:t>
            </w:r>
          </w:p>
        </w:tc>
        <w:tc>
          <w:tcPr>
            <w:tcW w:w="1417" w:type="dxa"/>
            <w:tcBorders>
              <w:top w:val="nil"/>
            </w:tcBorders>
            <w:noWrap/>
            <w:vAlign w:val="center"/>
            <w:hideMark/>
          </w:tcPr>
          <w:p w14:paraId="68CE983C" w14:textId="77777777" w:rsidR="004729A0" w:rsidRPr="004729A0" w:rsidRDefault="004729A0" w:rsidP="000655B7">
            <w:pPr>
              <w:pStyle w:val="Body"/>
              <w:spacing w:after="0"/>
              <w:jc w:val="center"/>
              <w:rPr>
                <w:sz w:val="20"/>
                <w:szCs w:val="20"/>
              </w:rPr>
            </w:pPr>
            <w:r w:rsidRPr="004729A0">
              <w:rPr>
                <w:sz w:val="20"/>
                <w:szCs w:val="20"/>
              </w:rPr>
              <w:t>1.042</w:t>
            </w:r>
          </w:p>
        </w:tc>
        <w:tc>
          <w:tcPr>
            <w:tcW w:w="1560" w:type="dxa"/>
            <w:tcBorders>
              <w:top w:val="nil"/>
            </w:tcBorders>
            <w:noWrap/>
            <w:vAlign w:val="center"/>
            <w:hideMark/>
          </w:tcPr>
          <w:p w14:paraId="58B31388" w14:textId="77777777" w:rsidR="004729A0" w:rsidRPr="004729A0" w:rsidRDefault="004729A0" w:rsidP="000655B7">
            <w:pPr>
              <w:pStyle w:val="Body"/>
              <w:spacing w:after="0"/>
              <w:jc w:val="center"/>
              <w:rPr>
                <w:sz w:val="20"/>
                <w:szCs w:val="20"/>
              </w:rPr>
            </w:pPr>
            <w:r w:rsidRPr="004729A0">
              <w:rPr>
                <w:sz w:val="20"/>
                <w:szCs w:val="20"/>
              </w:rPr>
              <w:t>1.089</w:t>
            </w:r>
          </w:p>
        </w:tc>
        <w:tc>
          <w:tcPr>
            <w:tcW w:w="973" w:type="dxa"/>
            <w:tcBorders>
              <w:top w:val="nil"/>
            </w:tcBorders>
            <w:noWrap/>
            <w:vAlign w:val="center"/>
            <w:hideMark/>
          </w:tcPr>
          <w:p w14:paraId="69012B29" w14:textId="40B04777" w:rsidR="004729A0" w:rsidRPr="004729A0" w:rsidRDefault="000655B7" w:rsidP="000655B7">
            <w:pPr>
              <w:pStyle w:val="Body"/>
              <w:spacing w:after="0"/>
              <w:jc w:val="center"/>
              <w:rPr>
                <w:sz w:val="20"/>
                <w:szCs w:val="20"/>
              </w:rPr>
            </w:pPr>
            <w:r>
              <w:rPr>
                <w:sz w:val="20"/>
                <w:szCs w:val="20"/>
              </w:rPr>
              <w:t>&lt;0</w:t>
            </w:r>
            <w:r w:rsidR="004729A0" w:rsidRPr="004729A0">
              <w:rPr>
                <w:sz w:val="20"/>
                <w:szCs w:val="20"/>
              </w:rPr>
              <w:t>.00</w:t>
            </w:r>
            <w:r>
              <w:rPr>
                <w:sz w:val="20"/>
                <w:szCs w:val="20"/>
              </w:rPr>
              <w:t>1</w:t>
            </w:r>
          </w:p>
        </w:tc>
      </w:tr>
      <w:tr w:rsidR="000655B7" w:rsidRPr="004729A0" w14:paraId="4F54E864" w14:textId="77777777" w:rsidTr="00BC0421">
        <w:trPr>
          <w:trHeight w:val="288"/>
        </w:trPr>
        <w:tc>
          <w:tcPr>
            <w:tcW w:w="2344" w:type="dxa"/>
            <w:noWrap/>
            <w:vAlign w:val="center"/>
            <w:hideMark/>
          </w:tcPr>
          <w:p w14:paraId="28BD2C54" w14:textId="77777777" w:rsidR="004729A0" w:rsidRPr="004729A0" w:rsidRDefault="004729A0" w:rsidP="004729A0">
            <w:pPr>
              <w:pStyle w:val="Body"/>
              <w:spacing w:after="0"/>
              <w:rPr>
                <w:sz w:val="20"/>
                <w:szCs w:val="20"/>
              </w:rPr>
            </w:pPr>
            <w:r w:rsidRPr="004729A0">
              <w:rPr>
                <w:sz w:val="20"/>
                <w:szCs w:val="20"/>
              </w:rPr>
              <w:t>Headache (1)</w:t>
            </w:r>
          </w:p>
        </w:tc>
        <w:tc>
          <w:tcPr>
            <w:tcW w:w="912" w:type="dxa"/>
            <w:noWrap/>
            <w:vAlign w:val="center"/>
            <w:hideMark/>
          </w:tcPr>
          <w:p w14:paraId="7C5A66F5" w14:textId="77777777" w:rsidR="004729A0" w:rsidRPr="004729A0" w:rsidRDefault="004729A0" w:rsidP="000655B7">
            <w:pPr>
              <w:pStyle w:val="Body"/>
              <w:spacing w:after="0"/>
              <w:jc w:val="center"/>
              <w:rPr>
                <w:sz w:val="20"/>
                <w:szCs w:val="20"/>
              </w:rPr>
            </w:pPr>
            <w:r w:rsidRPr="004729A0">
              <w:rPr>
                <w:sz w:val="20"/>
                <w:szCs w:val="20"/>
              </w:rPr>
              <w:t>1.079</w:t>
            </w:r>
          </w:p>
        </w:tc>
        <w:tc>
          <w:tcPr>
            <w:tcW w:w="992" w:type="dxa"/>
            <w:noWrap/>
            <w:vAlign w:val="center"/>
            <w:hideMark/>
          </w:tcPr>
          <w:p w14:paraId="332CBA0B" w14:textId="77777777" w:rsidR="004729A0" w:rsidRPr="004729A0" w:rsidRDefault="004729A0" w:rsidP="000655B7">
            <w:pPr>
              <w:pStyle w:val="Body"/>
              <w:spacing w:after="0"/>
              <w:jc w:val="center"/>
              <w:rPr>
                <w:sz w:val="20"/>
                <w:szCs w:val="20"/>
              </w:rPr>
            </w:pPr>
            <w:r w:rsidRPr="004729A0">
              <w:rPr>
                <w:sz w:val="20"/>
                <w:szCs w:val="20"/>
              </w:rPr>
              <w:t>2.941</w:t>
            </w:r>
          </w:p>
        </w:tc>
        <w:tc>
          <w:tcPr>
            <w:tcW w:w="1417" w:type="dxa"/>
            <w:noWrap/>
            <w:vAlign w:val="center"/>
            <w:hideMark/>
          </w:tcPr>
          <w:p w14:paraId="55EA0758" w14:textId="77777777" w:rsidR="004729A0" w:rsidRPr="004729A0" w:rsidRDefault="004729A0" w:rsidP="000655B7">
            <w:pPr>
              <w:pStyle w:val="Body"/>
              <w:spacing w:after="0"/>
              <w:jc w:val="center"/>
              <w:rPr>
                <w:sz w:val="20"/>
                <w:szCs w:val="20"/>
              </w:rPr>
            </w:pPr>
            <w:r w:rsidRPr="004729A0">
              <w:rPr>
                <w:sz w:val="20"/>
                <w:szCs w:val="20"/>
              </w:rPr>
              <w:t>1.231</w:t>
            </w:r>
          </w:p>
        </w:tc>
        <w:tc>
          <w:tcPr>
            <w:tcW w:w="1560" w:type="dxa"/>
            <w:noWrap/>
            <w:vAlign w:val="center"/>
            <w:hideMark/>
          </w:tcPr>
          <w:p w14:paraId="0E28A286" w14:textId="77777777" w:rsidR="004729A0" w:rsidRPr="004729A0" w:rsidRDefault="004729A0" w:rsidP="000655B7">
            <w:pPr>
              <w:pStyle w:val="Body"/>
              <w:spacing w:after="0"/>
              <w:jc w:val="center"/>
              <w:rPr>
                <w:sz w:val="20"/>
                <w:szCs w:val="20"/>
              </w:rPr>
            </w:pPr>
            <w:r w:rsidRPr="004729A0">
              <w:rPr>
                <w:sz w:val="20"/>
                <w:szCs w:val="20"/>
              </w:rPr>
              <w:t>7.029</w:t>
            </w:r>
          </w:p>
        </w:tc>
        <w:tc>
          <w:tcPr>
            <w:tcW w:w="973" w:type="dxa"/>
            <w:noWrap/>
            <w:vAlign w:val="center"/>
            <w:hideMark/>
          </w:tcPr>
          <w:p w14:paraId="47EFA334" w14:textId="5C2C6073"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.015</w:t>
            </w:r>
          </w:p>
        </w:tc>
      </w:tr>
      <w:tr w:rsidR="000655B7" w:rsidRPr="004729A0" w14:paraId="698E10BF" w14:textId="77777777" w:rsidTr="00BC0421">
        <w:trPr>
          <w:trHeight w:val="288"/>
        </w:trPr>
        <w:tc>
          <w:tcPr>
            <w:tcW w:w="2344" w:type="dxa"/>
            <w:noWrap/>
            <w:vAlign w:val="center"/>
            <w:hideMark/>
          </w:tcPr>
          <w:p w14:paraId="076430C1" w14:textId="77777777" w:rsidR="004729A0" w:rsidRPr="004729A0" w:rsidRDefault="004729A0" w:rsidP="004729A0">
            <w:pPr>
              <w:pStyle w:val="Body"/>
              <w:spacing w:after="0"/>
              <w:rPr>
                <w:sz w:val="20"/>
                <w:szCs w:val="20"/>
              </w:rPr>
            </w:pPr>
            <w:r w:rsidRPr="004729A0">
              <w:rPr>
                <w:sz w:val="20"/>
                <w:szCs w:val="20"/>
              </w:rPr>
              <w:t>Profound weakness (1)</w:t>
            </w:r>
          </w:p>
        </w:tc>
        <w:tc>
          <w:tcPr>
            <w:tcW w:w="912" w:type="dxa"/>
            <w:noWrap/>
            <w:vAlign w:val="center"/>
            <w:hideMark/>
          </w:tcPr>
          <w:p w14:paraId="29AF0939" w14:textId="77777777" w:rsidR="004729A0" w:rsidRPr="004729A0" w:rsidRDefault="004729A0" w:rsidP="000655B7">
            <w:pPr>
              <w:pStyle w:val="Body"/>
              <w:spacing w:after="0"/>
              <w:jc w:val="center"/>
              <w:rPr>
                <w:sz w:val="20"/>
                <w:szCs w:val="20"/>
              </w:rPr>
            </w:pPr>
            <w:r w:rsidRPr="004729A0">
              <w:rPr>
                <w:sz w:val="20"/>
                <w:szCs w:val="20"/>
              </w:rPr>
              <w:t>-1.631</w:t>
            </w:r>
          </w:p>
        </w:tc>
        <w:tc>
          <w:tcPr>
            <w:tcW w:w="992" w:type="dxa"/>
            <w:noWrap/>
            <w:vAlign w:val="center"/>
            <w:hideMark/>
          </w:tcPr>
          <w:p w14:paraId="3B019085" w14:textId="7ED83D92"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.196</w:t>
            </w:r>
          </w:p>
        </w:tc>
        <w:tc>
          <w:tcPr>
            <w:tcW w:w="1417" w:type="dxa"/>
            <w:noWrap/>
            <w:vAlign w:val="center"/>
            <w:hideMark/>
          </w:tcPr>
          <w:p w14:paraId="46121CBA" w14:textId="7074C852"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.049</w:t>
            </w:r>
          </w:p>
        </w:tc>
        <w:tc>
          <w:tcPr>
            <w:tcW w:w="1560" w:type="dxa"/>
            <w:noWrap/>
            <w:vAlign w:val="center"/>
            <w:hideMark/>
          </w:tcPr>
          <w:p w14:paraId="3FE4E051" w14:textId="1E6202D5"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.784</w:t>
            </w:r>
          </w:p>
        </w:tc>
        <w:tc>
          <w:tcPr>
            <w:tcW w:w="973" w:type="dxa"/>
            <w:noWrap/>
            <w:vAlign w:val="center"/>
            <w:hideMark/>
          </w:tcPr>
          <w:p w14:paraId="4A7E479C" w14:textId="2D7D13BD"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.021</w:t>
            </w:r>
          </w:p>
        </w:tc>
      </w:tr>
      <w:tr w:rsidR="000655B7" w:rsidRPr="004729A0" w14:paraId="7C3FCA81" w14:textId="77777777" w:rsidTr="00BC0421">
        <w:trPr>
          <w:trHeight w:val="288"/>
        </w:trPr>
        <w:tc>
          <w:tcPr>
            <w:tcW w:w="2344" w:type="dxa"/>
            <w:noWrap/>
            <w:vAlign w:val="center"/>
            <w:hideMark/>
          </w:tcPr>
          <w:p w14:paraId="0A2570DE" w14:textId="77777777" w:rsidR="004729A0" w:rsidRPr="004729A0" w:rsidRDefault="004729A0" w:rsidP="004729A0">
            <w:pPr>
              <w:pStyle w:val="Body"/>
              <w:spacing w:after="0"/>
              <w:rPr>
                <w:sz w:val="20"/>
                <w:szCs w:val="20"/>
              </w:rPr>
            </w:pPr>
            <w:r w:rsidRPr="004729A0">
              <w:rPr>
                <w:sz w:val="20"/>
                <w:szCs w:val="20"/>
              </w:rPr>
              <w:t>Dyspnoea (1)</w:t>
            </w:r>
          </w:p>
        </w:tc>
        <w:tc>
          <w:tcPr>
            <w:tcW w:w="912" w:type="dxa"/>
            <w:noWrap/>
            <w:vAlign w:val="center"/>
            <w:hideMark/>
          </w:tcPr>
          <w:p w14:paraId="5967A354" w14:textId="77777777" w:rsidR="004729A0" w:rsidRPr="004729A0" w:rsidRDefault="004729A0" w:rsidP="000655B7">
            <w:pPr>
              <w:pStyle w:val="Body"/>
              <w:spacing w:after="0"/>
              <w:jc w:val="center"/>
              <w:rPr>
                <w:sz w:val="20"/>
                <w:szCs w:val="20"/>
              </w:rPr>
            </w:pPr>
            <w:r w:rsidRPr="004729A0">
              <w:rPr>
                <w:sz w:val="20"/>
                <w:szCs w:val="20"/>
              </w:rPr>
              <w:t>8.383</w:t>
            </w:r>
          </w:p>
        </w:tc>
        <w:tc>
          <w:tcPr>
            <w:tcW w:w="992" w:type="dxa"/>
            <w:noWrap/>
            <w:vAlign w:val="center"/>
            <w:hideMark/>
          </w:tcPr>
          <w:p w14:paraId="77F1AD92" w14:textId="24028CD6" w:rsidR="004729A0" w:rsidRPr="004729A0" w:rsidRDefault="004729A0" w:rsidP="000655B7">
            <w:pPr>
              <w:pStyle w:val="Body"/>
              <w:spacing w:after="0"/>
              <w:jc w:val="center"/>
              <w:rPr>
                <w:sz w:val="20"/>
                <w:szCs w:val="20"/>
              </w:rPr>
            </w:pPr>
            <w:r w:rsidRPr="004729A0">
              <w:rPr>
                <w:sz w:val="20"/>
                <w:szCs w:val="20"/>
              </w:rPr>
              <w:t>4372.92</w:t>
            </w:r>
          </w:p>
        </w:tc>
        <w:tc>
          <w:tcPr>
            <w:tcW w:w="1417" w:type="dxa"/>
            <w:noWrap/>
            <w:vAlign w:val="center"/>
            <w:hideMark/>
          </w:tcPr>
          <w:p w14:paraId="0D9CB500" w14:textId="77777777" w:rsidR="004729A0" w:rsidRPr="004729A0" w:rsidRDefault="004729A0" w:rsidP="000655B7">
            <w:pPr>
              <w:pStyle w:val="Body"/>
              <w:spacing w:after="0"/>
              <w:jc w:val="center"/>
              <w:rPr>
                <w:sz w:val="20"/>
                <w:szCs w:val="20"/>
              </w:rPr>
            </w:pPr>
            <w:r w:rsidRPr="004729A0">
              <w:rPr>
                <w:sz w:val="20"/>
                <w:szCs w:val="20"/>
              </w:rPr>
              <w:t>1522.538</w:t>
            </w:r>
          </w:p>
        </w:tc>
        <w:tc>
          <w:tcPr>
            <w:tcW w:w="1560" w:type="dxa"/>
            <w:noWrap/>
            <w:vAlign w:val="center"/>
            <w:hideMark/>
          </w:tcPr>
          <w:p w14:paraId="4FD87753" w14:textId="77777777" w:rsidR="004729A0" w:rsidRPr="004729A0" w:rsidRDefault="004729A0" w:rsidP="000655B7">
            <w:pPr>
              <w:pStyle w:val="Body"/>
              <w:spacing w:after="0"/>
              <w:jc w:val="center"/>
              <w:rPr>
                <w:sz w:val="20"/>
                <w:szCs w:val="20"/>
              </w:rPr>
            </w:pPr>
            <w:r w:rsidRPr="004729A0">
              <w:rPr>
                <w:sz w:val="20"/>
                <w:szCs w:val="20"/>
              </w:rPr>
              <w:t>12559.587</w:t>
            </w:r>
          </w:p>
        </w:tc>
        <w:tc>
          <w:tcPr>
            <w:tcW w:w="973" w:type="dxa"/>
            <w:noWrap/>
            <w:vAlign w:val="center"/>
            <w:hideMark/>
          </w:tcPr>
          <w:p w14:paraId="3E667914" w14:textId="1DFFB308" w:rsidR="004729A0" w:rsidRPr="004729A0" w:rsidRDefault="000655B7" w:rsidP="000655B7">
            <w:pPr>
              <w:pStyle w:val="Body"/>
              <w:spacing w:after="0"/>
              <w:jc w:val="center"/>
              <w:rPr>
                <w:sz w:val="20"/>
                <w:szCs w:val="20"/>
              </w:rPr>
            </w:pPr>
            <w:r>
              <w:rPr>
                <w:sz w:val="20"/>
                <w:szCs w:val="20"/>
              </w:rPr>
              <w:t>&lt;0</w:t>
            </w:r>
            <w:r w:rsidR="004729A0" w:rsidRPr="004729A0">
              <w:rPr>
                <w:sz w:val="20"/>
                <w:szCs w:val="20"/>
              </w:rPr>
              <w:t>.00</w:t>
            </w:r>
            <w:r>
              <w:rPr>
                <w:sz w:val="20"/>
                <w:szCs w:val="20"/>
              </w:rPr>
              <w:t>1</w:t>
            </w:r>
          </w:p>
        </w:tc>
      </w:tr>
      <w:tr w:rsidR="000655B7" w:rsidRPr="004729A0" w14:paraId="1A228421" w14:textId="77777777" w:rsidTr="00BC0421">
        <w:trPr>
          <w:trHeight w:val="288"/>
        </w:trPr>
        <w:tc>
          <w:tcPr>
            <w:tcW w:w="2344" w:type="dxa"/>
            <w:noWrap/>
            <w:vAlign w:val="center"/>
            <w:hideMark/>
          </w:tcPr>
          <w:p w14:paraId="3648B9B0" w14:textId="77777777" w:rsidR="004729A0" w:rsidRPr="004729A0" w:rsidRDefault="004729A0" w:rsidP="004729A0">
            <w:pPr>
              <w:pStyle w:val="Body"/>
              <w:spacing w:after="0"/>
              <w:rPr>
                <w:sz w:val="20"/>
                <w:szCs w:val="20"/>
              </w:rPr>
            </w:pPr>
            <w:r w:rsidRPr="004729A0">
              <w:rPr>
                <w:sz w:val="20"/>
                <w:szCs w:val="20"/>
              </w:rPr>
              <w:t>Coryza (1)</w:t>
            </w:r>
          </w:p>
        </w:tc>
        <w:tc>
          <w:tcPr>
            <w:tcW w:w="912" w:type="dxa"/>
            <w:noWrap/>
            <w:vAlign w:val="center"/>
            <w:hideMark/>
          </w:tcPr>
          <w:p w14:paraId="1F087479" w14:textId="77777777" w:rsidR="004729A0" w:rsidRPr="004729A0" w:rsidRDefault="004729A0" w:rsidP="000655B7">
            <w:pPr>
              <w:pStyle w:val="Body"/>
              <w:spacing w:after="0"/>
              <w:jc w:val="center"/>
              <w:rPr>
                <w:sz w:val="20"/>
                <w:szCs w:val="20"/>
              </w:rPr>
            </w:pPr>
            <w:r w:rsidRPr="004729A0">
              <w:rPr>
                <w:sz w:val="20"/>
                <w:szCs w:val="20"/>
              </w:rPr>
              <w:t>2.606</w:t>
            </w:r>
          </w:p>
        </w:tc>
        <w:tc>
          <w:tcPr>
            <w:tcW w:w="992" w:type="dxa"/>
            <w:noWrap/>
            <w:vAlign w:val="center"/>
            <w:hideMark/>
          </w:tcPr>
          <w:p w14:paraId="22691023" w14:textId="77777777" w:rsidR="004729A0" w:rsidRPr="004729A0" w:rsidRDefault="004729A0" w:rsidP="000655B7">
            <w:pPr>
              <w:pStyle w:val="Body"/>
              <w:spacing w:after="0"/>
              <w:jc w:val="center"/>
              <w:rPr>
                <w:sz w:val="20"/>
                <w:szCs w:val="20"/>
              </w:rPr>
            </w:pPr>
            <w:r w:rsidRPr="004729A0">
              <w:rPr>
                <w:sz w:val="20"/>
                <w:szCs w:val="20"/>
              </w:rPr>
              <w:t>13.539</w:t>
            </w:r>
          </w:p>
        </w:tc>
        <w:tc>
          <w:tcPr>
            <w:tcW w:w="1417" w:type="dxa"/>
            <w:noWrap/>
            <w:vAlign w:val="center"/>
            <w:hideMark/>
          </w:tcPr>
          <w:p w14:paraId="339CE1D0" w14:textId="77777777" w:rsidR="004729A0" w:rsidRPr="004729A0" w:rsidRDefault="004729A0" w:rsidP="000655B7">
            <w:pPr>
              <w:pStyle w:val="Body"/>
              <w:spacing w:after="0"/>
              <w:jc w:val="center"/>
              <w:rPr>
                <w:sz w:val="20"/>
                <w:szCs w:val="20"/>
              </w:rPr>
            </w:pPr>
            <w:r w:rsidRPr="004729A0">
              <w:rPr>
                <w:sz w:val="20"/>
                <w:szCs w:val="20"/>
              </w:rPr>
              <w:t>1.816</w:t>
            </w:r>
          </w:p>
        </w:tc>
        <w:tc>
          <w:tcPr>
            <w:tcW w:w="1560" w:type="dxa"/>
            <w:noWrap/>
            <w:vAlign w:val="center"/>
            <w:hideMark/>
          </w:tcPr>
          <w:p w14:paraId="248FACE6" w14:textId="77777777" w:rsidR="004729A0" w:rsidRPr="004729A0" w:rsidRDefault="004729A0" w:rsidP="000655B7">
            <w:pPr>
              <w:pStyle w:val="Body"/>
              <w:spacing w:after="0"/>
              <w:jc w:val="center"/>
              <w:rPr>
                <w:sz w:val="20"/>
                <w:szCs w:val="20"/>
              </w:rPr>
            </w:pPr>
            <w:r w:rsidRPr="004729A0">
              <w:rPr>
                <w:sz w:val="20"/>
                <w:szCs w:val="20"/>
              </w:rPr>
              <w:t>100.932</w:t>
            </w:r>
          </w:p>
        </w:tc>
        <w:tc>
          <w:tcPr>
            <w:tcW w:w="973" w:type="dxa"/>
            <w:noWrap/>
            <w:vAlign w:val="center"/>
            <w:hideMark/>
          </w:tcPr>
          <w:p w14:paraId="36E8C035" w14:textId="4FBB53F9"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.011</w:t>
            </w:r>
          </w:p>
        </w:tc>
      </w:tr>
      <w:tr w:rsidR="000655B7" w:rsidRPr="004729A0" w14:paraId="47002C87" w14:textId="77777777" w:rsidTr="00BC0421">
        <w:trPr>
          <w:trHeight w:val="288"/>
        </w:trPr>
        <w:tc>
          <w:tcPr>
            <w:tcW w:w="2344" w:type="dxa"/>
            <w:noWrap/>
            <w:vAlign w:val="center"/>
            <w:hideMark/>
          </w:tcPr>
          <w:p w14:paraId="3933956B" w14:textId="77777777" w:rsidR="004729A0" w:rsidRPr="004729A0" w:rsidRDefault="004729A0" w:rsidP="004729A0">
            <w:pPr>
              <w:pStyle w:val="Body"/>
              <w:spacing w:after="0"/>
              <w:rPr>
                <w:sz w:val="20"/>
                <w:szCs w:val="20"/>
              </w:rPr>
            </w:pPr>
            <w:r w:rsidRPr="004729A0">
              <w:rPr>
                <w:sz w:val="20"/>
                <w:szCs w:val="20"/>
              </w:rPr>
              <w:t>Anosmia (1)</w:t>
            </w:r>
          </w:p>
        </w:tc>
        <w:tc>
          <w:tcPr>
            <w:tcW w:w="912" w:type="dxa"/>
            <w:noWrap/>
            <w:vAlign w:val="center"/>
            <w:hideMark/>
          </w:tcPr>
          <w:p w14:paraId="0AF802E4" w14:textId="77777777" w:rsidR="004729A0" w:rsidRPr="004729A0" w:rsidRDefault="004729A0" w:rsidP="000655B7">
            <w:pPr>
              <w:pStyle w:val="Body"/>
              <w:spacing w:after="0"/>
              <w:jc w:val="center"/>
              <w:rPr>
                <w:sz w:val="20"/>
                <w:szCs w:val="20"/>
              </w:rPr>
            </w:pPr>
            <w:r w:rsidRPr="004729A0">
              <w:rPr>
                <w:sz w:val="20"/>
                <w:szCs w:val="20"/>
              </w:rPr>
              <w:t>-3.199</w:t>
            </w:r>
          </w:p>
        </w:tc>
        <w:tc>
          <w:tcPr>
            <w:tcW w:w="992" w:type="dxa"/>
            <w:noWrap/>
            <w:vAlign w:val="center"/>
            <w:hideMark/>
          </w:tcPr>
          <w:p w14:paraId="67939036" w14:textId="48BF1661"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.041</w:t>
            </w:r>
          </w:p>
        </w:tc>
        <w:tc>
          <w:tcPr>
            <w:tcW w:w="1417" w:type="dxa"/>
            <w:noWrap/>
            <w:vAlign w:val="center"/>
            <w:hideMark/>
          </w:tcPr>
          <w:p w14:paraId="231047FA" w14:textId="4B35DAD7"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.007</w:t>
            </w:r>
          </w:p>
        </w:tc>
        <w:tc>
          <w:tcPr>
            <w:tcW w:w="1560" w:type="dxa"/>
            <w:noWrap/>
            <w:vAlign w:val="center"/>
            <w:hideMark/>
          </w:tcPr>
          <w:p w14:paraId="42A60BED" w14:textId="31136AD7"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.253</w:t>
            </w:r>
          </w:p>
        </w:tc>
        <w:tc>
          <w:tcPr>
            <w:tcW w:w="973" w:type="dxa"/>
            <w:noWrap/>
            <w:vAlign w:val="center"/>
            <w:hideMark/>
          </w:tcPr>
          <w:p w14:paraId="77244F39" w14:textId="60916932"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.001</w:t>
            </w:r>
          </w:p>
        </w:tc>
      </w:tr>
      <w:tr w:rsidR="000655B7" w:rsidRPr="004729A0" w14:paraId="07B1E141" w14:textId="77777777" w:rsidTr="00BC0421">
        <w:trPr>
          <w:trHeight w:val="288"/>
        </w:trPr>
        <w:tc>
          <w:tcPr>
            <w:tcW w:w="2344" w:type="dxa"/>
            <w:noWrap/>
            <w:vAlign w:val="center"/>
            <w:hideMark/>
          </w:tcPr>
          <w:p w14:paraId="6CB90364" w14:textId="77777777" w:rsidR="004729A0" w:rsidRPr="004729A0" w:rsidRDefault="004729A0" w:rsidP="004729A0">
            <w:pPr>
              <w:pStyle w:val="Body"/>
              <w:spacing w:after="0"/>
              <w:rPr>
                <w:sz w:val="20"/>
                <w:szCs w:val="20"/>
              </w:rPr>
            </w:pPr>
            <w:r w:rsidRPr="004729A0">
              <w:rPr>
                <w:sz w:val="20"/>
                <w:szCs w:val="20"/>
              </w:rPr>
              <w:t>Diabetes (1)</w:t>
            </w:r>
          </w:p>
        </w:tc>
        <w:tc>
          <w:tcPr>
            <w:tcW w:w="912" w:type="dxa"/>
            <w:noWrap/>
            <w:vAlign w:val="center"/>
            <w:hideMark/>
          </w:tcPr>
          <w:p w14:paraId="10C4170E" w14:textId="77777777" w:rsidR="004729A0" w:rsidRPr="004729A0" w:rsidRDefault="004729A0" w:rsidP="000655B7">
            <w:pPr>
              <w:pStyle w:val="Body"/>
              <w:spacing w:after="0"/>
              <w:jc w:val="center"/>
              <w:rPr>
                <w:sz w:val="20"/>
                <w:szCs w:val="20"/>
              </w:rPr>
            </w:pPr>
            <w:r w:rsidRPr="004729A0">
              <w:rPr>
                <w:sz w:val="20"/>
                <w:szCs w:val="20"/>
              </w:rPr>
              <w:t>1.762</w:t>
            </w:r>
          </w:p>
        </w:tc>
        <w:tc>
          <w:tcPr>
            <w:tcW w:w="992" w:type="dxa"/>
            <w:noWrap/>
            <w:vAlign w:val="center"/>
            <w:hideMark/>
          </w:tcPr>
          <w:p w14:paraId="4DB53426" w14:textId="77777777" w:rsidR="004729A0" w:rsidRPr="004729A0" w:rsidRDefault="004729A0" w:rsidP="000655B7">
            <w:pPr>
              <w:pStyle w:val="Body"/>
              <w:spacing w:after="0"/>
              <w:jc w:val="center"/>
              <w:rPr>
                <w:sz w:val="20"/>
                <w:szCs w:val="20"/>
              </w:rPr>
            </w:pPr>
            <w:r w:rsidRPr="004729A0">
              <w:rPr>
                <w:sz w:val="20"/>
                <w:szCs w:val="20"/>
              </w:rPr>
              <w:t>5.823</w:t>
            </w:r>
          </w:p>
        </w:tc>
        <w:tc>
          <w:tcPr>
            <w:tcW w:w="1417" w:type="dxa"/>
            <w:noWrap/>
            <w:vAlign w:val="center"/>
            <w:hideMark/>
          </w:tcPr>
          <w:p w14:paraId="3B9E7B42" w14:textId="77777777" w:rsidR="004729A0" w:rsidRPr="004729A0" w:rsidRDefault="004729A0" w:rsidP="000655B7">
            <w:pPr>
              <w:pStyle w:val="Body"/>
              <w:spacing w:after="0"/>
              <w:jc w:val="center"/>
              <w:rPr>
                <w:sz w:val="20"/>
                <w:szCs w:val="20"/>
              </w:rPr>
            </w:pPr>
            <w:r w:rsidRPr="004729A0">
              <w:rPr>
                <w:sz w:val="20"/>
                <w:szCs w:val="20"/>
              </w:rPr>
              <w:t>2.091</w:t>
            </w:r>
          </w:p>
        </w:tc>
        <w:tc>
          <w:tcPr>
            <w:tcW w:w="1560" w:type="dxa"/>
            <w:noWrap/>
            <w:vAlign w:val="center"/>
            <w:hideMark/>
          </w:tcPr>
          <w:p w14:paraId="49EB6A91" w14:textId="77777777" w:rsidR="004729A0" w:rsidRPr="004729A0" w:rsidRDefault="004729A0" w:rsidP="000655B7">
            <w:pPr>
              <w:pStyle w:val="Body"/>
              <w:spacing w:after="0"/>
              <w:jc w:val="center"/>
              <w:rPr>
                <w:sz w:val="20"/>
                <w:szCs w:val="20"/>
              </w:rPr>
            </w:pPr>
            <w:r w:rsidRPr="004729A0">
              <w:rPr>
                <w:sz w:val="20"/>
                <w:szCs w:val="20"/>
              </w:rPr>
              <w:t>16.217</w:t>
            </w:r>
          </w:p>
        </w:tc>
        <w:tc>
          <w:tcPr>
            <w:tcW w:w="973" w:type="dxa"/>
            <w:noWrap/>
            <w:vAlign w:val="center"/>
            <w:hideMark/>
          </w:tcPr>
          <w:p w14:paraId="6764237A" w14:textId="457D9907"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.001</w:t>
            </w:r>
          </w:p>
        </w:tc>
      </w:tr>
      <w:tr w:rsidR="000655B7" w:rsidRPr="004729A0" w14:paraId="2DA79877" w14:textId="77777777" w:rsidTr="00BC0421">
        <w:trPr>
          <w:trHeight w:val="300"/>
        </w:trPr>
        <w:tc>
          <w:tcPr>
            <w:tcW w:w="2344" w:type="dxa"/>
            <w:noWrap/>
            <w:vAlign w:val="center"/>
            <w:hideMark/>
          </w:tcPr>
          <w:p w14:paraId="4E1B3D99" w14:textId="77777777" w:rsidR="004729A0" w:rsidRPr="004729A0" w:rsidRDefault="004729A0" w:rsidP="004729A0">
            <w:pPr>
              <w:pStyle w:val="Body"/>
              <w:spacing w:after="0"/>
              <w:rPr>
                <w:sz w:val="20"/>
                <w:szCs w:val="20"/>
              </w:rPr>
            </w:pPr>
            <w:r w:rsidRPr="004729A0">
              <w:rPr>
                <w:sz w:val="20"/>
                <w:szCs w:val="20"/>
              </w:rPr>
              <w:t>Constant</w:t>
            </w:r>
          </w:p>
        </w:tc>
        <w:tc>
          <w:tcPr>
            <w:tcW w:w="912" w:type="dxa"/>
            <w:noWrap/>
            <w:vAlign w:val="center"/>
            <w:hideMark/>
          </w:tcPr>
          <w:p w14:paraId="0616FF43" w14:textId="77777777" w:rsidR="004729A0" w:rsidRPr="004729A0" w:rsidRDefault="004729A0" w:rsidP="000655B7">
            <w:pPr>
              <w:pStyle w:val="Body"/>
              <w:spacing w:after="0"/>
              <w:jc w:val="center"/>
              <w:rPr>
                <w:sz w:val="20"/>
                <w:szCs w:val="20"/>
              </w:rPr>
            </w:pPr>
            <w:r w:rsidRPr="004729A0">
              <w:rPr>
                <w:sz w:val="20"/>
                <w:szCs w:val="20"/>
              </w:rPr>
              <w:t>-10.622</w:t>
            </w:r>
          </w:p>
        </w:tc>
        <w:tc>
          <w:tcPr>
            <w:tcW w:w="992" w:type="dxa"/>
            <w:noWrap/>
            <w:vAlign w:val="center"/>
            <w:hideMark/>
          </w:tcPr>
          <w:p w14:paraId="3B4B574D" w14:textId="65CA6951"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.000</w:t>
            </w:r>
          </w:p>
        </w:tc>
        <w:tc>
          <w:tcPr>
            <w:tcW w:w="1417" w:type="dxa"/>
            <w:noWrap/>
            <w:vAlign w:val="center"/>
            <w:hideMark/>
          </w:tcPr>
          <w:p w14:paraId="5460F405" w14:textId="4672307C" w:rsidR="004729A0" w:rsidRPr="004729A0" w:rsidRDefault="004729A0" w:rsidP="000655B7">
            <w:pPr>
              <w:pStyle w:val="Body"/>
              <w:spacing w:after="0"/>
              <w:jc w:val="center"/>
              <w:rPr>
                <w:sz w:val="20"/>
                <w:szCs w:val="20"/>
              </w:rPr>
            </w:pPr>
          </w:p>
        </w:tc>
        <w:tc>
          <w:tcPr>
            <w:tcW w:w="1560" w:type="dxa"/>
            <w:noWrap/>
            <w:vAlign w:val="center"/>
            <w:hideMark/>
          </w:tcPr>
          <w:p w14:paraId="267E55DC" w14:textId="25BAF07F" w:rsidR="004729A0" w:rsidRPr="004729A0" w:rsidRDefault="004729A0" w:rsidP="000655B7">
            <w:pPr>
              <w:pStyle w:val="Body"/>
              <w:spacing w:after="0"/>
              <w:jc w:val="center"/>
              <w:rPr>
                <w:sz w:val="20"/>
                <w:szCs w:val="20"/>
              </w:rPr>
            </w:pPr>
          </w:p>
        </w:tc>
        <w:tc>
          <w:tcPr>
            <w:tcW w:w="973" w:type="dxa"/>
            <w:noWrap/>
            <w:vAlign w:val="center"/>
            <w:hideMark/>
          </w:tcPr>
          <w:p w14:paraId="57B09DEE" w14:textId="0098285B" w:rsidR="004729A0" w:rsidRPr="004729A0" w:rsidRDefault="000655B7" w:rsidP="000655B7">
            <w:pPr>
              <w:pStyle w:val="Body"/>
              <w:spacing w:after="0"/>
              <w:jc w:val="center"/>
              <w:rPr>
                <w:sz w:val="20"/>
                <w:szCs w:val="20"/>
              </w:rPr>
            </w:pPr>
            <w:r>
              <w:rPr>
                <w:sz w:val="20"/>
                <w:szCs w:val="20"/>
              </w:rPr>
              <w:t>&lt;0</w:t>
            </w:r>
            <w:r w:rsidR="004729A0" w:rsidRPr="004729A0">
              <w:rPr>
                <w:sz w:val="20"/>
                <w:szCs w:val="20"/>
              </w:rPr>
              <w:t>.00</w:t>
            </w:r>
            <w:r>
              <w:rPr>
                <w:sz w:val="20"/>
                <w:szCs w:val="20"/>
              </w:rPr>
              <w:t>1</w:t>
            </w:r>
          </w:p>
        </w:tc>
      </w:tr>
    </w:tbl>
    <w:p w14:paraId="32FF2DF9" w14:textId="24AEF151" w:rsidR="00AD235E" w:rsidRPr="00BF2353" w:rsidRDefault="00AD235E" w:rsidP="00AD235E">
      <w:pPr>
        <w:pStyle w:val="Body"/>
        <w:spacing w:after="0"/>
        <w:rPr>
          <w:rFonts w:ascii="Arial" w:hAnsi="Arial" w:cs="Arial"/>
          <w:sz w:val="18"/>
          <w:szCs w:val="18"/>
        </w:rPr>
      </w:pPr>
      <w:r w:rsidRPr="008F39F5">
        <w:rPr>
          <w:rFonts w:ascii="Arial" w:hAnsi="Arial"/>
          <w:bCs/>
          <w:sz w:val="18"/>
          <w:szCs w:val="18"/>
        </w:rPr>
        <w:t>Source: Prepared by the authors using</w:t>
      </w:r>
      <w:r w:rsidR="00511784">
        <w:rPr>
          <w:rFonts w:ascii="Arial" w:hAnsi="Arial"/>
          <w:bCs/>
          <w:sz w:val="18"/>
          <w:szCs w:val="18"/>
        </w:rPr>
        <w:t xml:space="preserve"> data from the SINOLAVE System,</w:t>
      </w:r>
      <w:r w:rsidR="0086648F">
        <w:rPr>
          <w:rFonts w:ascii="Arial" w:hAnsi="Arial"/>
          <w:bCs/>
          <w:sz w:val="18"/>
          <w:szCs w:val="18"/>
        </w:rPr>
        <w:t xml:space="preserve"> from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Pr="00BF2353">
        <w:rPr>
          <w:rFonts w:ascii="Arial" w:hAnsi="Arial" w:cs="Arial"/>
          <w:sz w:val="18"/>
          <w:szCs w:val="18"/>
        </w:rPr>
        <w:t xml:space="preserve">OR: odds ratio. </w:t>
      </w:r>
      <w:r>
        <w:rPr>
          <w:rFonts w:ascii="Arial" w:hAnsi="Arial" w:cs="Arial"/>
          <w:sz w:val="18"/>
          <w:szCs w:val="18"/>
        </w:rPr>
        <w:t xml:space="preserve">CI95%: confidence interval 95%. </w:t>
      </w:r>
      <w:r w:rsidRPr="00BF2353">
        <w:rPr>
          <w:rFonts w:ascii="Arial" w:hAnsi="Arial" w:cs="Arial"/>
          <w:sz w:val="18"/>
          <w:szCs w:val="18"/>
        </w:rPr>
        <w:t>P values were calculated using the chi-square Wald test.</w:t>
      </w:r>
      <w:r w:rsidR="00AB1345" w:rsidRPr="00AB1345">
        <w:t xml:space="preserve"> </w:t>
      </w:r>
      <w:r w:rsidR="0086648F">
        <w:t xml:space="preserve">The </w:t>
      </w:r>
      <w:r w:rsidR="0086648F">
        <w:rPr>
          <w:rFonts w:ascii="Arial" w:hAnsi="Arial" w:cs="Arial"/>
          <w:sz w:val="18"/>
          <w:szCs w:val="18"/>
        </w:rPr>
        <w:t>v</w:t>
      </w:r>
      <w:r w:rsidR="00AB1345" w:rsidRPr="00AB1345">
        <w:rPr>
          <w:rFonts w:ascii="Arial" w:hAnsi="Arial" w:cs="Arial"/>
          <w:sz w:val="18"/>
          <w:szCs w:val="18"/>
        </w:rPr>
        <w:t xml:space="preserve">ariables introduced in the multivariate model: Nirmatrelvir/ritonavir </w:t>
      </w:r>
      <w:r w:rsidR="00AB1345">
        <w:rPr>
          <w:rFonts w:ascii="Arial" w:hAnsi="Arial" w:cs="Arial"/>
          <w:sz w:val="18"/>
          <w:szCs w:val="18"/>
        </w:rPr>
        <w:t>(</w:t>
      </w:r>
      <w:r w:rsidR="00AB1345" w:rsidRPr="00AB1345">
        <w:rPr>
          <w:rFonts w:ascii="Arial" w:hAnsi="Arial" w:cs="Arial"/>
          <w:sz w:val="18"/>
          <w:szCs w:val="18"/>
        </w:rPr>
        <w:t>presence=1, absence=0</w:t>
      </w:r>
      <w:r w:rsidR="00AB1345">
        <w:rPr>
          <w:rFonts w:ascii="Arial" w:hAnsi="Arial" w:cs="Arial"/>
          <w:sz w:val="18"/>
          <w:szCs w:val="18"/>
        </w:rPr>
        <w:t>)</w:t>
      </w:r>
      <w:r w:rsidR="00AB1345" w:rsidRPr="00AB1345">
        <w:rPr>
          <w:rFonts w:ascii="Arial" w:hAnsi="Arial" w:cs="Arial"/>
          <w:sz w:val="18"/>
          <w:szCs w:val="18"/>
        </w:rPr>
        <w:t xml:space="preserve">, </w:t>
      </w:r>
      <w:r w:rsidR="00EA5ECD" w:rsidRPr="00AB1345">
        <w:rPr>
          <w:rFonts w:ascii="Arial" w:hAnsi="Arial" w:cs="Arial"/>
          <w:sz w:val="18"/>
          <w:szCs w:val="18"/>
        </w:rPr>
        <w:t>age, headache</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xml:space="preserve">, </w:t>
      </w:r>
      <w:r w:rsidR="00EA5ECD">
        <w:rPr>
          <w:rFonts w:ascii="Arial" w:hAnsi="Arial" w:cs="Arial"/>
          <w:sz w:val="18"/>
          <w:szCs w:val="18"/>
        </w:rPr>
        <w:t>p</w:t>
      </w:r>
      <w:r w:rsidR="00EA5ECD" w:rsidRPr="00EA5ECD">
        <w:rPr>
          <w:rFonts w:ascii="Arial" w:hAnsi="Arial" w:cs="Arial"/>
          <w:sz w:val="18"/>
          <w:szCs w:val="18"/>
        </w:rPr>
        <w:t>rofound weakness</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dyspnoea</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coryza</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anosmia</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xml:space="preserve">, </w:t>
      </w:r>
      <w:r w:rsidR="00EA5ECD">
        <w:rPr>
          <w:rFonts w:ascii="Arial" w:hAnsi="Arial" w:cs="Arial"/>
          <w:sz w:val="18"/>
          <w:szCs w:val="18"/>
        </w:rPr>
        <w:t xml:space="preserve">and </w:t>
      </w:r>
      <w:r w:rsidR="00EA5ECD" w:rsidRPr="00AB1345">
        <w:rPr>
          <w:rFonts w:ascii="Arial" w:hAnsi="Arial" w:cs="Arial"/>
          <w:sz w:val="18"/>
          <w:szCs w:val="18"/>
        </w:rPr>
        <w:t>diabetes</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w:t>
      </w:r>
    </w:p>
    <w:p w14:paraId="7A7D291C" w14:textId="77777777" w:rsidR="0071376F" w:rsidRDefault="0071376F" w:rsidP="0015255C">
      <w:pPr>
        <w:pStyle w:val="Body"/>
        <w:spacing w:after="0"/>
      </w:pPr>
    </w:p>
    <w:p w14:paraId="60D1A3EC" w14:textId="55A6C121" w:rsidR="006F2F7C" w:rsidRDefault="00CE4FD9" w:rsidP="0015255C">
      <w:pPr>
        <w:pStyle w:val="Body"/>
        <w:spacing w:after="0"/>
      </w:pPr>
      <w:r w:rsidRPr="00CE4FD9">
        <w:t xml:space="preserve">Concerning clinical improvement, the multivariate logistic regression analysis identified several associated factors. The administration of nirmatrelvir/ritonavir was strongly linked to a higher likelihood of clinical improvement. However, age emerged as a significant negative factor, with each additional year reducing the </w:t>
      </w:r>
      <w:r>
        <w:t>likelihood</w:t>
      </w:r>
      <w:r w:rsidRPr="00CE4FD9">
        <w:t xml:space="preserve"> of clinical improvement. Similarly, male sex was associated with a lower likelihood of improvement. </w:t>
      </w:r>
      <w:r w:rsidR="0086648F">
        <w:t xml:space="preserve"> On the other hand, e</w:t>
      </w:r>
      <w:r w:rsidRPr="00CE4FD9">
        <w:t>mployment status indicates that an employed person had higher odds of clinical improvement. Regarding symptoms, sudden onset of illness reduces the likelihood of clinical improvement, whereas painful swallowing significantly increases the likelihood of recovery. Moreover, COPD decreases the odds of clinical improvement</w:t>
      </w:r>
      <w:r>
        <w:t xml:space="preserve"> (table 7)</w:t>
      </w:r>
      <w:r w:rsidRPr="00CE4FD9">
        <w:t>.</w:t>
      </w:r>
    </w:p>
    <w:p w14:paraId="1724BBAC" w14:textId="77777777" w:rsidR="006F2F7C" w:rsidRDefault="006F2F7C" w:rsidP="0015255C">
      <w:pPr>
        <w:pStyle w:val="Body"/>
        <w:spacing w:after="0"/>
      </w:pPr>
    </w:p>
    <w:p w14:paraId="37F80CDA" w14:textId="20C313B8" w:rsidR="009A70EA" w:rsidRPr="00873F35" w:rsidRDefault="009A70EA" w:rsidP="009A70EA">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7</w:t>
      </w:r>
      <w:r w:rsidRPr="00873F35">
        <w:rPr>
          <w:rFonts w:ascii="Arial" w:hAnsi="Arial"/>
          <w:b/>
          <w:sz w:val="22"/>
          <w:szCs w:val="22"/>
        </w:rPr>
        <w:t>.</w:t>
      </w:r>
      <w:r w:rsidRPr="00873F35">
        <w:rPr>
          <w:rFonts w:ascii="Arial" w:hAnsi="Arial"/>
          <w:b/>
          <w:sz w:val="22"/>
          <w:szCs w:val="22"/>
        </w:rPr>
        <w:tab/>
      </w:r>
      <w:r>
        <w:rPr>
          <w:rFonts w:ascii="Arial" w:hAnsi="Arial"/>
          <w:b/>
          <w:sz w:val="22"/>
          <w:szCs w:val="22"/>
        </w:rPr>
        <w:t>Multivariate logistic regression model associated to clinical improvement of COVID-19</w:t>
      </w:r>
    </w:p>
    <w:tbl>
      <w:tblPr>
        <w:tblW w:w="8294"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29"/>
        <w:gridCol w:w="1081"/>
        <w:gridCol w:w="1216"/>
        <w:gridCol w:w="1351"/>
        <w:gridCol w:w="1352"/>
        <w:gridCol w:w="865"/>
      </w:tblGrid>
      <w:tr w:rsidR="009A70EA" w:rsidRPr="009A70EA" w14:paraId="1EC20907" w14:textId="77777777" w:rsidTr="006F2F7C">
        <w:trPr>
          <w:trHeight w:val="316"/>
        </w:trPr>
        <w:tc>
          <w:tcPr>
            <w:tcW w:w="2429" w:type="dxa"/>
            <w:tcBorders>
              <w:bottom w:val="single" w:sz="4" w:space="0" w:color="auto"/>
            </w:tcBorders>
            <w:shd w:val="clear" w:color="auto" w:fill="auto"/>
            <w:noWrap/>
            <w:vAlign w:val="center"/>
            <w:hideMark/>
          </w:tcPr>
          <w:p w14:paraId="7D47BFD3" w14:textId="2846F509" w:rsidR="009A70EA" w:rsidRPr="009A70EA" w:rsidRDefault="009A70EA" w:rsidP="009A70EA">
            <w:pPr>
              <w:rPr>
                <w:rFonts w:ascii="Arial" w:hAnsi="Arial" w:cs="Arial"/>
                <w:color w:val="000000"/>
                <w:lang w:val="en-US" w:eastAsia="es-MX"/>
              </w:rPr>
            </w:pPr>
          </w:p>
        </w:tc>
        <w:tc>
          <w:tcPr>
            <w:tcW w:w="1081" w:type="dxa"/>
            <w:tcBorders>
              <w:bottom w:val="single" w:sz="4" w:space="0" w:color="auto"/>
            </w:tcBorders>
            <w:shd w:val="clear" w:color="auto" w:fill="auto"/>
            <w:noWrap/>
            <w:vAlign w:val="center"/>
            <w:hideMark/>
          </w:tcPr>
          <w:p w14:paraId="449700F5" w14:textId="4526EE9D"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B</w:t>
            </w:r>
            <w:r>
              <w:rPr>
                <w:rFonts w:ascii="Arial" w:hAnsi="Arial" w:cs="Arial"/>
                <w:color w:val="000000"/>
                <w:lang w:val="es-MX" w:eastAsia="es-MX"/>
              </w:rPr>
              <w:t>eta</w:t>
            </w:r>
          </w:p>
        </w:tc>
        <w:tc>
          <w:tcPr>
            <w:tcW w:w="1216" w:type="dxa"/>
            <w:tcBorders>
              <w:bottom w:val="single" w:sz="4" w:space="0" w:color="auto"/>
            </w:tcBorders>
            <w:shd w:val="clear" w:color="auto" w:fill="auto"/>
            <w:noWrap/>
            <w:vAlign w:val="center"/>
            <w:hideMark/>
          </w:tcPr>
          <w:p w14:paraId="700C81DB"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OR</w:t>
            </w:r>
          </w:p>
        </w:tc>
        <w:tc>
          <w:tcPr>
            <w:tcW w:w="1351" w:type="dxa"/>
            <w:tcBorders>
              <w:bottom w:val="single" w:sz="4" w:space="0" w:color="auto"/>
            </w:tcBorders>
            <w:shd w:val="clear" w:color="auto" w:fill="auto"/>
            <w:noWrap/>
            <w:vAlign w:val="center"/>
            <w:hideMark/>
          </w:tcPr>
          <w:p w14:paraId="2ADE9A02" w14:textId="341A7FC3"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Lower CI95%</w:t>
            </w:r>
          </w:p>
        </w:tc>
        <w:tc>
          <w:tcPr>
            <w:tcW w:w="1352" w:type="dxa"/>
            <w:tcBorders>
              <w:bottom w:val="single" w:sz="4" w:space="0" w:color="auto"/>
            </w:tcBorders>
            <w:shd w:val="clear" w:color="auto" w:fill="auto"/>
            <w:noWrap/>
            <w:vAlign w:val="center"/>
            <w:hideMark/>
          </w:tcPr>
          <w:p w14:paraId="38C7047C" w14:textId="77CB48A4"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Upper CI95%</w:t>
            </w:r>
          </w:p>
        </w:tc>
        <w:tc>
          <w:tcPr>
            <w:tcW w:w="865" w:type="dxa"/>
            <w:tcBorders>
              <w:bottom w:val="single" w:sz="4" w:space="0" w:color="auto"/>
            </w:tcBorders>
            <w:shd w:val="clear" w:color="auto" w:fill="auto"/>
            <w:noWrap/>
            <w:vAlign w:val="center"/>
            <w:hideMark/>
          </w:tcPr>
          <w:p w14:paraId="4603E702"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P value</w:t>
            </w:r>
          </w:p>
        </w:tc>
      </w:tr>
      <w:tr w:rsidR="009A70EA" w:rsidRPr="009A70EA" w14:paraId="57CC5C11" w14:textId="77777777" w:rsidTr="006F2F7C">
        <w:trPr>
          <w:trHeight w:val="316"/>
        </w:trPr>
        <w:tc>
          <w:tcPr>
            <w:tcW w:w="2429" w:type="dxa"/>
            <w:tcBorders>
              <w:top w:val="single" w:sz="4" w:space="0" w:color="auto"/>
              <w:bottom w:val="nil"/>
            </w:tcBorders>
            <w:shd w:val="clear" w:color="auto" w:fill="auto"/>
            <w:noWrap/>
            <w:vAlign w:val="center"/>
            <w:hideMark/>
          </w:tcPr>
          <w:p w14:paraId="14E10818"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Nirmatrelvir/ritonavir (1)</w:t>
            </w:r>
          </w:p>
        </w:tc>
        <w:tc>
          <w:tcPr>
            <w:tcW w:w="1081" w:type="dxa"/>
            <w:tcBorders>
              <w:top w:val="single" w:sz="4" w:space="0" w:color="auto"/>
              <w:bottom w:val="nil"/>
            </w:tcBorders>
            <w:shd w:val="clear" w:color="auto" w:fill="auto"/>
            <w:noWrap/>
            <w:vAlign w:val="center"/>
            <w:hideMark/>
          </w:tcPr>
          <w:p w14:paraId="18003D30"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2.801</w:t>
            </w:r>
          </w:p>
        </w:tc>
        <w:tc>
          <w:tcPr>
            <w:tcW w:w="1216" w:type="dxa"/>
            <w:tcBorders>
              <w:top w:val="single" w:sz="4" w:space="0" w:color="auto"/>
              <w:bottom w:val="nil"/>
            </w:tcBorders>
            <w:shd w:val="clear" w:color="auto" w:fill="auto"/>
            <w:noWrap/>
            <w:vAlign w:val="center"/>
            <w:hideMark/>
          </w:tcPr>
          <w:p w14:paraId="5C382451"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16.458</w:t>
            </w:r>
          </w:p>
        </w:tc>
        <w:tc>
          <w:tcPr>
            <w:tcW w:w="1351" w:type="dxa"/>
            <w:tcBorders>
              <w:top w:val="single" w:sz="4" w:space="0" w:color="auto"/>
              <w:bottom w:val="nil"/>
            </w:tcBorders>
            <w:shd w:val="clear" w:color="auto" w:fill="auto"/>
            <w:noWrap/>
            <w:vAlign w:val="center"/>
            <w:hideMark/>
          </w:tcPr>
          <w:p w14:paraId="70D61502"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2.221</w:t>
            </w:r>
          </w:p>
        </w:tc>
        <w:tc>
          <w:tcPr>
            <w:tcW w:w="1352" w:type="dxa"/>
            <w:tcBorders>
              <w:top w:val="single" w:sz="4" w:space="0" w:color="auto"/>
              <w:bottom w:val="nil"/>
            </w:tcBorders>
            <w:shd w:val="clear" w:color="auto" w:fill="auto"/>
            <w:noWrap/>
            <w:vAlign w:val="center"/>
            <w:hideMark/>
          </w:tcPr>
          <w:p w14:paraId="5FF0E8E8"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121.944</w:t>
            </w:r>
          </w:p>
        </w:tc>
        <w:tc>
          <w:tcPr>
            <w:tcW w:w="865" w:type="dxa"/>
            <w:tcBorders>
              <w:top w:val="single" w:sz="4" w:space="0" w:color="auto"/>
              <w:bottom w:val="nil"/>
            </w:tcBorders>
            <w:shd w:val="clear" w:color="auto" w:fill="auto"/>
            <w:noWrap/>
            <w:vAlign w:val="center"/>
            <w:hideMark/>
          </w:tcPr>
          <w:p w14:paraId="3823FDCC" w14:textId="103A1EB3"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.006</w:t>
            </w:r>
          </w:p>
        </w:tc>
      </w:tr>
      <w:tr w:rsidR="009A70EA" w:rsidRPr="009A70EA" w14:paraId="5B3B4E09" w14:textId="77777777" w:rsidTr="006F2F7C">
        <w:trPr>
          <w:trHeight w:val="303"/>
        </w:trPr>
        <w:tc>
          <w:tcPr>
            <w:tcW w:w="2429" w:type="dxa"/>
            <w:tcBorders>
              <w:top w:val="nil"/>
            </w:tcBorders>
            <w:shd w:val="clear" w:color="auto" w:fill="auto"/>
            <w:noWrap/>
            <w:vAlign w:val="center"/>
            <w:hideMark/>
          </w:tcPr>
          <w:p w14:paraId="55F4D3AA"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Age</w:t>
            </w:r>
          </w:p>
        </w:tc>
        <w:tc>
          <w:tcPr>
            <w:tcW w:w="1081" w:type="dxa"/>
            <w:tcBorders>
              <w:top w:val="nil"/>
            </w:tcBorders>
            <w:shd w:val="clear" w:color="auto" w:fill="auto"/>
            <w:noWrap/>
            <w:vAlign w:val="center"/>
            <w:hideMark/>
          </w:tcPr>
          <w:p w14:paraId="2C68F248" w14:textId="11FDF944"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w:t>
            </w:r>
            <w:r>
              <w:rPr>
                <w:rFonts w:ascii="Arial" w:hAnsi="Arial" w:cs="Arial"/>
                <w:color w:val="000000"/>
                <w:lang w:val="es-MX" w:eastAsia="es-MX"/>
              </w:rPr>
              <w:t>0</w:t>
            </w:r>
            <w:r w:rsidRPr="009A70EA">
              <w:rPr>
                <w:rFonts w:ascii="Arial" w:hAnsi="Arial" w:cs="Arial"/>
                <w:color w:val="000000"/>
                <w:lang w:val="es-MX" w:eastAsia="es-MX"/>
              </w:rPr>
              <w:t>.082</w:t>
            </w:r>
          </w:p>
        </w:tc>
        <w:tc>
          <w:tcPr>
            <w:tcW w:w="1216" w:type="dxa"/>
            <w:tcBorders>
              <w:top w:val="nil"/>
            </w:tcBorders>
            <w:shd w:val="clear" w:color="auto" w:fill="auto"/>
            <w:noWrap/>
            <w:vAlign w:val="center"/>
            <w:hideMark/>
          </w:tcPr>
          <w:p w14:paraId="51237F9C" w14:textId="190F9BB7"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.921</w:t>
            </w:r>
          </w:p>
        </w:tc>
        <w:tc>
          <w:tcPr>
            <w:tcW w:w="1351" w:type="dxa"/>
            <w:tcBorders>
              <w:top w:val="nil"/>
            </w:tcBorders>
            <w:shd w:val="clear" w:color="auto" w:fill="auto"/>
            <w:noWrap/>
            <w:vAlign w:val="center"/>
            <w:hideMark/>
          </w:tcPr>
          <w:p w14:paraId="59E35A23" w14:textId="53E2C168"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.901</w:t>
            </w:r>
          </w:p>
        </w:tc>
        <w:tc>
          <w:tcPr>
            <w:tcW w:w="1352" w:type="dxa"/>
            <w:tcBorders>
              <w:top w:val="nil"/>
            </w:tcBorders>
            <w:shd w:val="clear" w:color="auto" w:fill="auto"/>
            <w:noWrap/>
            <w:vAlign w:val="center"/>
            <w:hideMark/>
          </w:tcPr>
          <w:p w14:paraId="0205E216" w14:textId="3A44A780"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.941</w:t>
            </w:r>
          </w:p>
        </w:tc>
        <w:tc>
          <w:tcPr>
            <w:tcW w:w="865" w:type="dxa"/>
            <w:tcBorders>
              <w:top w:val="nil"/>
            </w:tcBorders>
            <w:shd w:val="clear" w:color="auto" w:fill="auto"/>
            <w:noWrap/>
            <w:vAlign w:val="center"/>
            <w:hideMark/>
          </w:tcPr>
          <w:p w14:paraId="36BF12A6" w14:textId="161062EF"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&lt;0</w:t>
            </w:r>
            <w:r w:rsidRPr="009A70EA">
              <w:rPr>
                <w:rFonts w:ascii="Arial" w:hAnsi="Arial" w:cs="Arial"/>
                <w:color w:val="000000"/>
                <w:lang w:val="es-MX" w:eastAsia="es-MX"/>
              </w:rPr>
              <w:t>.00</w:t>
            </w:r>
            <w:r>
              <w:rPr>
                <w:rFonts w:ascii="Arial" w:hAnsi="Arial" w:cs="Arial"/>
                <w:color w:val="000000"/>
                <w:lang w:val="es-MX" w:eastAsia="es-MX"/>
              </w:rPr>
              <w:t>1</w:t>
            </w:r>
          </w:p>
        </w:tc>
      </w:tr>
      <w:tr w:rsidR="009A70EA" w:rsidRPr="009A70EA" w14:paraId="6D4BC8B5" w14:textId="77777777" w:rsidTr="006F2F7C">
        <w:trPr>
          <w:trHeight w:val="303"/>
        </w:trPr>
        <w:tc>
          <w:tcPr>
            <w:tcW w:w="2429" w:type="dxa"/>
            <w:shd w:val="clear" w:color="auto" w:fill="auto"/>
            <w:noWrap/>
            <w:vAlign w:val="center"/>
            <w:hideMark/>
          </w:tcPr>
          <w:p w14:paraId="0D2D970C"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lastRenderedPageBreak/>
              <w:t>Sex (1)</w:t>
            </w:r>
          </w:p>
        </w:tc>
        <w:tc>
          <w:tcPr>
            <w:tcW w:w="1081" w:type="dxa"/>
            <w:shd w:val="clear" w:color="auto" w:fill="auto"/>
            <w:noWrap/>
            <w:vAlign w:val="center"/>
            <w:hideMark/>
          </w:tcPr>
          <w:p w14:paraId="290870CA" w14:textId="57505415"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w:t>
            </w:r>
            <w:r>
              <w:rPr>
                <w:rFonts w:ascii="Arial" w:hAnsi="Arial" w:cs="Arial"/>
                <w:color w:val="000000"/>
                <w:lang w:val="es-MX" w:eastAsia="es-MX"/>
              </w:rPr>
              <w:t>0</w:t>
            </w:r>
            <w:r w:rsidRPr="009A70EA">
              <w:rPr>
                <w:rFonts w:ascii="Arial" w:hAnsi="Arial" w:cs="Arial"/>
                <w:color w:val="000000"/>
                <w:lang w:val="es-MX" w:eastAsia="es-MX"/>
              </w:rPr>
              <w:t>.800</w:t>
            </w:r>
          </w:p>
        </w:tc>
        <w:tc>
          <w:tcPr>
            <w:tcW w:w="1216" w:type="dxa"/>
            <w:shd w:val="clear" w:color="auto" w:fill="auto"/>
            <w:noWrap/>
            <w:vAlign w:val="center"/>
            <w:hideMark/>
          </w:tcPr>
          <w:p w14:paraId="43DBCF86" w14:textId="06D56A2A"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.449</w:t>
            </w:r>
          </w:p>
        </w:tc>
        <w:tc>
          <w:tcPr>
            <w:tcW w:w="1351" w:type="dxa"/>
            <w:shd w:val="clear" w:color="auto" w:fill="auto"/>
            <w:noWrap/>
            <w:vAlign w:val="center"/>
            <w:hideMark/>
          </w:tcPr>
          <w:p w14:paraId="62B50EDC" w14:textId="3D22A01A"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.248</w:t>
            </w:r>
          </w:p>
        </w:tc>
        <w:tc>
          <w:tcPr>
            <w:tcW w:w="1352" w:type="dxa"/>
            <w:shd w:val="clear" w:color="auto" w:fill="auto"/>
            <w:noWrap/>
            <w:vAlign w:val="center"/>
            <w:hideMark/>
          </w:tcPr>
          <w:p w14:paraId="5707FD30" w14:textId="76DAB150"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.813</w:t>
            </w:r>
          </w:p>
        </w:tc>
        <w:tc>
          <w:tcPr>
            <w:tcW w:w="865" w:type="dxa"/>
            <w:shd w:val="clear" w:color="auto" w:fill="auto"/>
            <w:noWrap/>
            <w:vAlign w:val="center"/>
            <w:hideMark/>
          </w:tcPr>
          <w:p w14:paraId="68891086" w14:textId="0DB0287E"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.008</w:t>
            </w:r>
          </w:p>
        </w:tc>
      </w:tr>
      <w:tr w:rsidR="009A70EA" w:rsidRPr="009A70EA" w14:paraId="31923CBF" w14:textId="77777777" w:rsidTr="006F2F7C">
        <w:trPr>
          <w:trHeight w:val="303"/>
        </w:trPr>
        <w:tc>
          <w:tcPr>
            <w:tcW w:w="2429" w:type="dxa"/>
            <w:shd w:val="clear" w:color="auto" w:fill="auto"/>
            <w:noWrap/>
            <w:vAlign w:val="center"/>
            <w:hideMark/>
          </w:tcPr>
          <w:p w14:paraId="0F5FB467" w14:textId="01A765B5"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Employ</w:t>
            </w:r>
            <w:r w:rsidR="009B51FC" w:rsidRPr="009B51FC">
              <w:rPr>
                <w:rFonts w:ascii="Arial" w:hAnsi="Arial" w:cs="Arial"/>
                <w:color w:val="000000"/>
                <w:highlight w:val="yellow"/>
                <w:lang w:val="es-MX" w:eastAsia="es-MX"/>
              </w:rPr>
              <w:t>m</w:t>
            </w:r>
            <w:r w:rsidRPr="009B51FC">
              <w:rPr>
                <w:rFonts w:ascii="Arial" w:hAnsi="Arial" w:cs="Arial"/>
                <w:color w:val="000000"/>
                <w:highlight w:val="yellow"/>
                <w:lang w:val="es-MX" w:eastAsia="es-MX"/>
              </w:rPr>
              <w:t>e</w:t>
            </w:r>
            <w:r w:rsidR="009B51FC" w:rsidRPr="009B51FC">
              <w:rPr>
                <w:rFonts w:ascii="Arial" w:hAnsi="Arial" w:cs="Arial"/>
                <w:color w:val="000000"/>
                <w:highlight w:val="yellow"/>
                <w:lang w:val="es-MX" w:eastAsia="es-MX"/>
              </w:rPr>
              <w:t>nt</w:t>
            </w:r>
            <w:r w:rsidRPr="009A70EA">
              <w:rPr>
                <w:rFonts w:ascii="Arial" w:hAnsi="Arial" w:cs="Arial"/>
                <w:color w:val="000000"/>
                <w:lang w:val="es-MX" w:eastAsia="es-MX"/>
              </w:rPr>
              <w:t xml:space="preserve"> (1)</w:t>
            </w:r>
          </w:p>
        </w:tc>
        <w:tc>
          <w:tcPr>
            <w:tcW w:w="1081" w:type="dxa"/>
            <w:shd w:val="clear" w:color="auto" w:fill="auto"/>
            <w:noWrap/>
            <w:vAlign w:val="center"/>
            <w:hideMark/>
          </w:tcPr>
          <w:p w14:paraId="65989594" w14:textId="3FB6942D"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.888</w:t>
            </w:r>
          </w:p>
        </w:tc>
        <w:tc>
          <w:tcPr>
            <w:tcW w:w="1216" w:type="dxa"/>
            <w:shd w:val="clear" w:color="auto" w:fill="auto"/>
            <w:noWrap/>
            <w:vAlign w:val="center"/>
            <w:hideMark/>
          </w:tcPr>
          <w:p w14:paraId="29AF3784"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2.431</w:t>
            </w:r>
          </w:p>
        </w:tc>
        <w:tc>
          <w:tcPr>
            <w:tcW w:w="1351" w:type="dxa"/>
            <w:shd w:val="clear" w:color="auto" w:fill="auto"/>
            <w:noWrap/>
            <w:vAlign w:val="center"/>
            <w:hideMark/>
          </w:tcPr>
          <w:p w14:paraId="41F19A3F"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1.165</w:t>
            </w:r>
          </w:p>
        </w:tc>
        <w:tc>
          <w:tcPr>
            <w:tcW w:w="1352" w:type="dxa"/>
            <w:shd w:val="clear" w:color="auto" w:fill="auto"/>
            <w:noWrap/>
            <w:vAlign w:val="center"/>
            <w:hideMark/>
          </w:tcPr>
          <w:p w14:paraId="6CB72DD0"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5.073</w:t>
            </w:r>
          </w:p>
        </w:tc>
        <w:tc>
          <w:tcPr>
            <w:tcW w:w="865" w:type="dxa"/>
            <w:shd w:val="clear" w:color="auto" w:fill="auto"/>
            <w:noWrap/>
            <w:vAlign w:val="center"/>
            <w:hideMark/>
          </w:tcPr>
          <w:p w14:paraId="4A6576FA" w14:textId="3A0E300F"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.018</w:t>
            </w:r>
          </w:p>
        </w:tc>
      </w:tr>
      <w:tr w:rsidR="009A70EA" w:rsidRPr="009A70EA" w14:paraId="0C5725D1" w14:textId="77777777" w:rsidTr="006F2F7C">
        <w:trPr>
          <w:trHeight w:val="303"/>
        </w:trPr>
        <w:tc>
          <w:tcPr>
            <w:tcW w:w="2429" w:type="dxa"/>
            <w:shd w:val="clear" w:color="auto" w:fill="auto"/>
            <w:noWrap/>
            <w:vAlign w:val="center"/>
            <w:hideMark/>
          </w:tcPr>
          <w:p w14:paraId="523142C1"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Sudden onset (1)</w:t>
            </w:r>
          </w:p>
        </w:tc>
        <w:tc>
          <w:tcPr>
            <w:tcW w:w="1081" w:type="dxa"/>
            <w:shd w:val="clear" w:color="auto" w:fill="auto"/>
            <w:noWrap/>
            <w:vAlign w:val="center"/>
            <w:hideMark/>
          </w:tcPr>
          <w:p w14:paraId="46DAB803" w14:textId="5A5F676D"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w:t>
            </w:r>
            <w:r>
              <w:rPr>
                <w:rFonts w:ascii="Arial" w:hAnsi="Arial" w:cs="Arial"/>
                <w:color w:val="000000"/>
                <w:lang w:val="es-MX" w:eastAsia="es-MX"/>
              </w:rPr>
              <w:t>0</w:t>
            </w:r>
            <w:r w:rsidRPr="009A70EA">
              <w:rPr>
                <w:rFonts w:ascii="Arial" w:hAnsi="Arial" w:cs="Arial"/>
                <w:color w:val="000000"/>
                <w:lang w:val="es-MX" w:eastAsia="es-MX"/>
              </w:rPr>
              <w:t>.982</w:t>
            </w:r>
          </w:p>
        </w:tc>
        <w:tc>
          <w:tcPr>
            <w:tcW w:w="1216" w:type="dxa"/>
            <w:shd w:val="clear" w:color="auto" w:fill="auto"/>
            <w:noWrap/>
            <w:vAlign w:val="center"/>
            <w:hideMark/>
          </w:tcPr>
          <w:p w14:paraId="4FD21305" w14:textId="445686F4"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.374</w:t>
            </w:r>
          </w:p>
        </w:tc>
        <w:tc>
          <w:tcPr>
            <w:tcW w:w="1351" w:type="dxa"/>
            <w:shd w:val="clear" w:color="auto" w:fill="auto"/>
            <w:noWrap/>
            <w:vAlign w:val="center"/>
            <w:hideMark/>
          </w:tcPr>
          <w:p w14:paraId="49308F0B" w14:textId="7464DFCE"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.203</w:t>
            </w:r>
          </w:p>
        </w:tc>
        <w:tc>
          <w:tcPr>
            <w:tcW w:w="1352" w:type="dxa"/>
            <w:shd w:val="clear" w:color="auto" w:fill="auto"/>
            <w:noWrap/>
            <w:vAlign w:val="center"/>
            <w:hideMark/>
          </w:tcPr>
          <w:p w14:paraId="66EC65DF" w14:textId="3ED145C5"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.690</w:t>
            </w:r>
          </w:p>
        </w:tc>
        <w:tc>
          <w:tcPr>
            <w:tcW w:w="865" w:type="dxa"/>
            <w:shd w:val="clear" w:color="auto" w:fill="auto"/>
            <w:noWrap/>
            <w:vAlign w:val="center"/>
            <w:hideMark/>
          </w:tcPr>
          <w:p w14:paraId="160D03CA" w14:textId="4D567176"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.002</w:t>
            </w:r>
          </w:p>
        </w:tc>
      </w:tr>
      <w:tr w:rsidR="009A70EA" w:rsidRPr="009A70EA" w14:paraId="4DEA48EC" w14:textId="77777777" w:rsidTr="006F2F7C">
        <w:trPr>
          <w:trHeight w:val="303"/>
        </w:trPr>
        <w:tc>
          <w:tcPr>
            <w:tcW w:w="2429" w:type="dxa"/>
            <w:shd w:val="clear" w:color="auto" w:fill="auto"/>
            <w:noWrap/>
            <w:vAlign w:val="center"/>
            <w:hideMark/>
          </w:tcPr>
          <w:p w14:paraId="065276B5"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Painful swallowing (1)</w:t>
            </w:r>
          </w:p>
        </w:tc>
        <w:tc>
          <w:tcPr>
            <w:tcW w:w="1081" w:type="dxa"/>
            <w:shd w:val="clear" w:color="auto" w:fill="auto"/>
            <w:noWrap/>
            <w:vAlign w:val="center"/>
            <w:hideMark/>
          </w:tcPr>
          <w:p w14:paraId="24A09E93"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1.746</w:t>
            </w:r>
          </w:p>
        </w:tc>
        <w:tc>
          <w:tcPr>
            <w:tcW w:w="1216" w:type="dxa"/>
            <w:shd w:val="clear" w:color="auto" w:fill="auto"/>
            <w:noWrap/>
            <w:vAlign w:val="center"/>
            <w:hideMark/>
          </w:tcPr>
          <w:p w14:paraId="40F0364F"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5.733</w:t>
            </w:r>
          </w:p>
        </w:tc>
        <w:tc>
          <w:tcPr>
            <w:tcW w:w="1351" w:type="dxa"/>
            <w:shd w:val="clear" w:color="auto" w:fill="auto"/>
            <w:noWrap/>
            <w:vAlign w:val="center"/>
            <w:hideMark/>
          </w:tcPr>
          <w:p w14:paraId="5A60446C"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3.179</w:t>
            </w:r>
          </w:p>
        </w:tc>
        <w:tc>
          <w:tcPr>
            <w:tcW w:w="1352" w:type="dxa"/>
            <w:shd w:val="clear" w:color="auto" w:fill="auto"/>
            <w:noWrap/>
            <w:vAlign w:val="center"/>
            <w:hideMark/>
          </w:tcPr>
          <w:p w14:paraId="3A2DC744"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10.339</w:t>
            </w:r>
          </w:p>
        </w:tc>
        <w:tc>
          <w:tcPr>
            <w:tcW w:w="865" w:type="dxa"/>
            <w:shd w:val="clear" w:color="auto" w:fill="auto"/>
            <w:noWrap/>
            <w:vAlign w:val="center"/>
            <w:hideMark/>
          </w:tcPr>
          <w:p w14:paraId="094241FD" w14:textId="17ABA2C6"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&lt;0</w:t>
            </w:r>
            <w:r w:rsidRPr="009A70EA">
              <w:rPr>
                <w:rFonts w:ascii="Arial" w:hAnsi="Arial" w:cs="Arial"/>
                <w:color w:val="000000"/>
                <w:lang w:val="es-MX" w:eastAsia="es-MX"/>
              </w:rPr>
              <w:t>.00</w:t>
            </w:r>
            <w:r>
              <w:rPr>
                <w:rFonts w:ascii="Arial" w:hAnsi="Arial" w:cs="Arial"/>
                <w:color w:val="000000"/>
                <w:lang w:val="es-MX" w:eastAsia="es-MX"/>
              </w:rPr>
              <w:t>1</w:t>
            </w:r>
          </w:p>
        </w:tc>
      </w:tr>
      <w:tr w:rsidR="009A70EA" w:rsidRPr="009A70EA" w14:paraId="5A9BD7B5" w14:textId="77777777" w:rsidTr="006F2F7C">
        <w:trPr>
          <w:trHeight w:val="303"/>
        </w:trPr>
        <w:tc>
          <w:tcPr>
            <w:tcW w:w="2429" w:type="dxa"/>
            <w:shd w:val="clear" w:color="auto" w:fill="auto"/>
            <w:noWrap/>
            <w:vAlign w:val="center"/>
            <w:hideMark/>
          </w:tcPr>
          <w:p w14:paraId="2FFC608C"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COPD (1)</w:t>
            </w:r>
          </w:p>
        </w:tc>
        <w:tc>
          <w:tcPr>
            <w:tcW w:w="1081" w:type="dxa"/>
            <w:shd w:val="clear" w:color="auto" w:fill="auto"/>
            <w:noWrap/>
            <w:vAlign w:val="center"/>
            <w:hideMark/>
          </w:tcPr>
          <w:p w14:paraId="0010BA66"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-1.200</w:t>
            </w:r>
          </w:p>
        </w:tc>
        <w:tc>
          <w:tcPr>
            <w:tcW w:w="1216" w:type="dxa"/>
            <w:shd w:val="clear" w:color="auto" w:fill="auto"/>
            <w:noWrap/>
            <w:vAlign w:val="center"/>
            <w:hideMark/>
          </w:tcPr>
          <w:p w14:paraId="1CCB7EDF" w14:textId="4684133C"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.301</w:t>
            </w:r>
          </w:p>
        </w:tc>
        <w:tc>
          <w:tcPr>
            <w:tcW w:w="1351" w:type="dxa"/>
            <w:shd w:val="clear" w:color="auto" w:fill="auto"/>
            <w:noWrap/>
            <w:vAlign w:val="center"/>
            <w:hideMark/>
          </w:tcPr>
          <w:p w14:paraId="45CF041C" w14:textId="5CEAE449"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.100</w:t>
            </w:r>
          </w:p>
        </w:tc>
        <w:tc>
          <w:tcPr>
            <w:tcW w:w="1352" w:type="dxa"/>
            <w:shd w:val="clear" w:color="auto" w:fill="auto"/>
            <w:noWrap/>
            <w:vAlign w:val="center"/>
            <w:hideMark/>
          </w:tcPr>
          <w:p w14:paraId="31DD7825" w14:textId="7D6E6C35"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.908</w:t>
            </w:r>
          </w:p>
        </w:tc>
        <w:tc>
          <w:tcPr>
            <w:tcW w:w="865" w:type="dxa"/>
            <w:shd w:val="clear" w:color="auto" w:fill="auto"/>
            <w:noWrap/>
            <w:vAlign w:val="center"/>
            <w:hideMark/>
          </w:tcPr>
          <w:p w14:paraId="1856F258" w14:textId="2E904A57"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.033</w:t>
            </w:r>
          </w:p>
        </w:tc>
      </w:tr>
      <w:tr w:rsidR="009A70EA" w:rsidRPr="009A70EA" w14:paraId="0384A02C" w14:textId="77777777" w:rsidTr="006F2F7C">
        <w:trPr>
          <w:trHeight w:val="316"/>
        </w:trPr>
        <w:tc>
          <w:tcPr>
            <w:tcW w:w="2429" w:type="dxa"/>
            <w:shd w:val="clear" w:color="auto" w:fill="auto"/>
            <w:noWrap/>
            <w:vAlign w:val="center"/>
            <w:hideMark/>
          </w:tcPr>
          <w:p w14:paraId="27AF2E5F"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Constant</w:t>
            </w:r>
          </w:p>
        </w:tc>
        <w:tc>
          <w:tcPr>
            <w:tcW w:w="1081" w:type="dxa"/>
            <w:shd w:val="clear" w:color="auto" w:fill="auto"/>
            <w:noWrap/>
            <w:vAlign w:val="center"/>
            <w:hideMark/>
          </w:tcPr>
          <w:p w14:paraId="0692B068"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7.959</w:t>
            </w:r>
          </w:p>
        </w:tc>
        <w:tc>
          <w:tcPr>
            <w:tcW w:w="1216" w:type="dxa"/>
            <w:shd w:val="clear" w:color="auto" w:fill="auto"/>
            <w:noWrap/>
            <w:vAlign w:val="center"/>
            <w:hideMark/>
          </w:tcPr>
          <w:p w14:paraId="44863A9B"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2860.208</w:t>
            </w:r>
          </w:p>
        </w:tc>
        <w:tc>
          <w:tcPr>
            <w:tcW w:w="1351" w:type="dxa"/>
            <w:shd w:val="clear" w:color="auto" w:fill="auto"/>
            <w:noWrap/>
            <w:vAlign w:val="center"/>
            <w:hideMark/>
          </w:tcPr>
          <w:p w14:paraId="6C832851" w14:textId="72B214EB" w:rsidR="009A70EA" w:rsidRPr="009A70EA" w:rsidRDefault="009A70EA" w:rsidP="009A70EA">
            <w:pPr>
              <w:jc w:val="center"/>
              <w:rPr>
                <w:rFonts w:ascii="Arial" w:hAnsi="Arial" w:cs="Arial"/>
                <w:color w:val="000000"/>
                <w:lang w:val="es-MX" w:eastAsia="es-MX"/>
              </w:rPr>
            </w:pPr>
          </w:p>
        </w:tc>
        <w:tc>
          <w:tcPr>
            <w:tcW w:w="1352" w:type="dxa"/>
            <w:shd w:val="clear" w:color="auto" w:fill="auto"/>
            <w:noWrap/>
            <w:vAlign w:val="center"/>
            <w:hideMark/>
          </w:tcPr>
          <w:p w14:paraId="7EAEADB9" w14:textId="34D97FEC" w:rsidR="009A70EA" w:rsidRPr="009A70EA" w:rsidRDefault="009A70EA" w:rsidP="009A70EA">
            <w:pPr>
              <w:jc w:val="center"/>
              <w:rPr>
                <w:rFonts w:ascii="Arial" w:hAnsi="Arial" w:cs="Arial"/>
                <w:color w:val="000000"/>
                <w:lang w:val="es-MX" w:eastAsia="es-MX"/>
              </w:rPr>
            </w:pPr>
          </w:p>
        </w:tc>
        <w:tc>
          <w:tcPr>
            <w:tcW w:w="865" w:type="dxa"/>
            <w:shd w:val="clear" w:color="auto" w:fill="auto"/>
            <w:noWrap/>
            <w:vAlign w:val="center"/>
            <w:hideMark/>
          </w:tcPr>
          <w:p w14:paraId="0E4B8D9E" w14:textId="262D05DF"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&lt;0</w:t>
            </w:r>
            <w:r w:rsidRPr="009A70EA">
              <w:rPr>
                <w:rFonts w:ascii="Arial" w:hAnsi="Arial" w:cs="Arial"/>
                <w:color w:val="000000"/>
                <w:lang w:val="es-MX" w:eastAsia="es-MX"/>
              </w:rPr>
              <w:t>.00</w:t>
            </w:r>
            <w:r>
              <w:rPr>
                <w:rFonts w:ascii="Arial" w:hAnsi="Arial" w:cs="Arial"/>
                <w:color w:val="000000"/>
                <w:lang w:val="es-MX" w:eastAsia="es-MX"/>
              </w:rPr>
              <w:t>1</w:t>
            </w:r>
          </w:p>
        </w:tc>
      </w:tr>
    </w:tbl>
    <w:p w14:paraId="79B30766" w14:textId="3891CEF9" w:rsidR="009A70EA" w:rsidRPr="00BF2353" w:rsidRDefault="009A70EA" w:rsidP="009A70EA">
      <w:pPr>
        <w:pStyle w:val="Body"/>
        <w:spacing w:after="0"/>
        <w:rPr>
          <w:rFonts w:ascii="Arial" w:hAnsi="Arial" w:cs="Arial"/>
          <w:sz w:val="18"/>
          <w:szCs w:val="18"/>
        </w:rPr>
      </w:pPr>
      <w:r w:rsidRPr="008F39F5">
        <w:rPr>
          <w:rFonts w:ascii="Arial" w:hAnsi="Arial"/>
          <w:bCs/>
          <w:sz w:val="18"/>
          <w:szCs w:val="18"/>
        </w:rPr>
        <w:t>Source: Prepared by the authors using data from the SINOLAVE System,</w:t>
      </w:r>
      <w:r w:rsidR="0086648F">
        <w:rPr>
          <w:rFonts w:ascii="Arial" w:hAnsi="Arial"/>
          <w:bCs/>
          <w:sz w:val="18"/>
          <w:szCs w:val="18"/>
        </w:rPr>
        <w:t xml:space="preserve"> from</w:t>
      </w:r>
      <w:r w:rsidRPr="008F39F5">
        <w:rPr>
          <w:rFonts w:ascii="Arial" w:hAnsi="Arial"/>
          <w:bCs/>
          <w:sz w:val="18"/>
          <w:szCs w:val="18"/>
        </w:rPr>
        <w:t xml:space="preserve">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Pr="00BF2353">
        <w:rPr>
          <w:rFonts w:ascii="Arial" w:hAnsi="Arial" w:cs="Arial"/>
          <w:sz w:val="18"/>
          <w:szCs w:val="18"/>
        </w:rPr>
        <w:t xml:space="preserve">OR: odds ratio. </w:t>
      </w:r>
      <w:r>
        <w:rPr>
          <w:rFonts w:ascii="Arial" w:hAnsi="Arial" w:cs="Arial"/>
          <w:sz w:val="18"/>
          <w:szCs w:val="18"/>
        </w:rPr>
        <w:t xml:space="preserve">CI95%: confidence interval 95%. </w:t>
      </w:r>
      <w:r w:rsidR="006F2F7C" w:rsidRPr="00B81459">
        <w:rPr>
          <w:rFonts w:ascii="Arial" w:hAnsi="Arial"/>
          <w:bCs/>
          <w:sz w:val="18"/>
          <w:szCs w:val="18"/>
        </w:rPr>
        <w:t>COPD</w:t>
      </w:r>
      <w:r w:rsidR="006F2F7C">
        <w:rPr>
          <w:rFonts w:ascii="Arial" w:hAnsi="Arial"/>
          <w:bCs/>
          <w:sz w:val="18"/>
          <w:szCs w:val="18"/>
        </w:rPr>
        <w:t>:</w:t>
      </w:r>
      <w:r w:rsidR="006F2F7C" w:rsidRPr="00B81459">
        <w:rPr>
          <w:rFonts w:ascii="Arial" w:hAnsi="Arial"/>
          <w:bCs/>
          <w:sz w:val="18"/>
          <w:szCs w:val="18"/>
        </w:rPr>
        <w:t xml:space="preserve"> Chronic Obstructive Pulmonary Disease</w:t>
      </w:r>
      <w:r w:rsidR="006F2F7C">
        <w:rPr>
          <w:rFonts w:ascii="Arial" w:hAnsi="Arial"/>
          <w:bCs/>
          <w:sz w:val="18"/>
          <w:szCs w:val="18"/>
        </w:rPr>
        <w:t xml:space="preserve">. </w:t>
      </w:r>
      <w:r w:rsidRPr="00BF2353">
        <w:rPr>
          <w:rFonts w:ascii="Arial" w:hAnsi="Arial" w:cs="Arial"/>
          <w:sz w:val="18"/>
          <w:szCs w:val="18"/>
        </w:rPr>
        <w:t>P values were calculated using the chi-square Wald test.</w:t>
      </w:r>
      <w:r w:rsidRPr="00AB1345">
        <w:t xml:space="preserve"> </w:t>
      </w:r>
      <w:r w:rsidR="0086648F">
        <w:t xml:space="preserve">The </w:t>
      </w:r>
      <w:r w:rsidR="0086648F">
        <w:rPr>
          <w:rFonts w:ascii="Arial" w:hAnsi="Arial" w:cs="Arial"/>
          <w:sz w:val="18"/>
          <w:szCs w:val="18"/>
        </w:rPr>
        <w:t>v</w:t>
      </w:r>
      <w:r w:rsidRPr="00AB1345">
        <w:rPr>
          <w:rFonts w:ascii="Arial" w:hAnsi="Arial" w:cs="Arial"/>
          <w:sz w:val="18"/>
          <w:szCs w:val="18"/>
        </w:rPr>
        <w:t xml:space="preserve">ariables introduced in the multivariate model: Nirmatrelvir/ritonavir </w:t>
      </w:r>
      <w:r>
        <w:rPr>
          <w:rFonts w:ascii="Arial" w:hAnsi="Arial" w:cs="Arial"/>
          <w:sz w:val="18"/>
          <w:szCs w:val="18"/>
        </w:rPr>
        <w:t>(</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age, </w:t>
      </w:r>
      <w:r w:rsidR="006F2F7C">
        <w:rPr>
          <w:rFonts w:ascii="Arial" w:hAnsi="Arial" w:cs="Arial"/>
          <w:sz w:val="18"/>
          <w:szCs w:val="18"/>
        </w:rPr>
        <w:t>sex</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w:t>
      </w:r>
      <w:r w:rsidR="006F2F7C">
        <w:rPr>
          <w:rFonts w:ascii="Arial" w:hAnsi="Arial" w:cs="Arial"/>
          <w:sz w:val="18"/>
          <w:szCs w:val="18"/>
        </w:rPr>
        <w:t>employed</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w:t>
      </w:r>
      <w:r w:rsidR="006F2F7C">
        <w:rPr>
          <w:rFonts w:ascii="Arial" w:hAnsi="Arial" w:cs="Arial"/>
          <w:sz w:val="18"/>
          <w:szCs w:val="18"/>
        </w:rPr>
        <w:t>sudden onset</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w:t>
      </w:r>
      <w:r w:rsidR="006F2F7C">
        <w:rPr>
          <w:rFonts w:ascii="Arial" w:hAnsi="Arial" w:cs="Arial"/>
          <w:sz w:val="18"/>
          <w:szCs w:val="18"/>
        </w:rPr>
        <w:t>painful swallowing</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w:t>
      </w:r>
      <w:r w:rsidR="006F2F7C">
        <w:rPr>
          <w:rFonts w:ascii="Arial" w:hAnsi="Arial" w:cs="Arial"/>
          <w:sz w:val="18"/>
          <w:szCs w:val="18"/>
        </w:rPr>
        <w:t>and COPD</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w:t>
      </w:r>
    </w:p>
    <w:p w14:paraId="30F8047C" w14:textId="77777777" w:rsidR="009A70EA" w:rsidRDefault="009A70EA" w:rsidP="00D81186">
      <w:pPr>
        <w:pStyle w:val="Body"/>
        <w:spacing w:after="0"/>
        <w:rPr>
          <w:rFonts w:ascii="Arial" w:hAnsi="Arial" w:cs="Arial"/>
        </w:rPr>
      </w:pPr>
    </w:p>
    <w:p w14:paraId="1E513C91" w14:textId="27AC8AAD" w:rsidR="00034843" w:rsidRPr="008F39F5" w:rsidRDefault="00D25DAB" w:rsidP="00D25DAB">
      <w:pPr>
        <w:pStyle w:val="Body"/>
        <w:spacing w:after="0"/>
        <w:rPr>
          <w:rFonts w:ascii="Arial" w:hAnsi="Arial" w:cs="Arial"/>
          <w:b/>
          <w:sz w:val="22"/>
        </w:rPr>
      </w:pPr>
      <w:r w:rsidRPr="008F39F5">
        <w:rPr>
          <w:rFonts w:ascii="Arial" w:hAnsi="Arial" w:cs="Arial"/>
          <w:b/>
          <w:caps/>
          <w:sz w:val="22"/>
        </w:rPr>
        <w:t>3.</w:t>
      </w:r>
      <w:r w:rsidR="001F2314" w:rsidRPr="008F39F5">
        <w:rPr>
          <w:rFonts w:ascii="Arial" w:hAnsi="Arial" w:cs="Arial"/>
          <w:b/>
          <w:caps/>
          <w:sz w:val="22"/>
        </w:rPr>
        <w:t>5</w:t>
      </w:r>
      <w:r w:rsidRPr="008F39F5">
        <w:rPr>
          <w:rFonts w:ascii="Arial" w:hAnsi="Arial" w:cs="Arial"/>
          <w:b/>
          <w:caps/>
          <w:sz w:val="22"/>
        </w:rPr>
        <w:t xml:space="preserve"> </w:t>
      </w:r>
      <w:r w:rsidR="00034843" w:rsidRPr="008F39F5">
        <w:rPr>
          <w:rFonts w:ascii="Arial" w:hAnsi="Arial" w:cs="Arial"/>
          <w:b/>
          <w:sz w:val="22"/>
        </w:rPr>
        <w:t>Discussion.</w:t>
      </w:r>
    </w:p>
    <w:p w14:paraId="2E38BD6B" w14:textId="77777777" w:rsidR="00093F73" w:rsidRPr="008F39F5" w:rsidRDefault="00093F73" w:rsidP="00093F73">
      <w:pPr>
        <w:pStyle w:val="Body"/>
        <w:spacing w:after="0"/>
        <w:rPr>
          <w:rFonts w:ascii="Arial" w:hAnsi="Arial" w:cs="Arial"/>
          <w:b/>
          <w:bCs/>
          <w:sz w:val="22"/>
          <w:szCs w:val="22"/>
        </w:rPr>
      </w:pPr>
      <w:r w:rsidRPr="008F39F5">
        <w:rPr>
          <w:rFonts w:ascii="Arial" w:hAnsi="Arial" w:cs="Arial"/>
          <w:b/>
          <w:bCs/>
          <w:sz w:val="22"/>
          <w:szCs w:val="22"/>
        </w:rPr>
        <w:t>3.5.1 Study Population Characteristics</w:t>
      </w:r>
    </w:p>
    <w:p w14:paraId="6E33B7DA" w14:textId="4CB61369" w:rsidR="003436EF" w:rsidRDefault="006A6BE2" w:rsidP="003B4484">
      <w:pPr>
        <w:pStyle w:val="Body"/>
        <w:spacing w:after="0"/>
        <w:rPr>
          <w:rFonts w:ascii="Arial" w:hAnsi="Arial" w:cs="Arial"/>
        </w:rPr>
      </w:pPr>
      <w:r w:rsidRPr="006A6BE2">
        <w:rPr>
          <w:rFonts w:ascii="Arial" w:hAnsi="Arial" w:cs="Arial"/>
        </w:rPr>
        <w:t>Our findings align with previous studies examining COVID-19 demographics and clinical characteristics</w:t>
      </w:r>
      <w:r>
        <w:rPr>
          <w:rFonts w:ascii="Arial" w:hAnsi="Arial" w:cs="Arial"/>
        </w:rPr>
        <w:t xml:space="preserve"> (López-Hernández 2022, </w:t>
      </w:r>
      <w:r w:rsidR="00C22734" w:rsidRPr="008F39F5">
        <w:rPr>
          <w:rFonts w:ascii="Arial" w:hAnsi="Arial" w:cs="Arial"/>
        </w:rPr>
        <w:t>Alsaeed et al. 2023</w:t>
      </w:r>
      <w:r w:rsidR="00C22734">
        <w:rPr>
          <w:rFonts w:ascii="Arial" w:hAnsi="Arial" w:cs="Arial"/>
        </w:rPr>
        <w:t xml:space="preserve">, </w:t>
      </w:r>
      <w:r>
        <w:rPr>
          <w:rFonts w:ascii="Arial" w:hAnsi="Arial" w:cs="Arial"/>
        </w:rPr>
        <w:t>Anguiano-Velazquez et al. 20</w:t>
      </w:r>
      <w:r w:rsidR="00C22734">
        <w:rPr>
          <w:rFonts w:ascii="Arial" w:hAnsi="Arial" w:cs="Arial"/>
        </w:rPr>
        <w:t>24, López-Hernández et al. 2024, Castillo-Cruz et al. 2025)</w:t>
      </w:r>
      <w:r w:rsidR="00C83D23" w:rsidRPr="008F39F5">
        <w:rPr>
          <w:rFonts w:ascii="Arial" w:hAnsi="Arial" w:cs="Arial"/>
        </w:rPr>
        <w:t>.</w:t>
      </w:r>
      <w:r w:rsidR="00093F73">
        <w:rPr>
          <w:rFonts w:ascii="Arial" w:hAnsi="Arial" w:cs="Arial"/>
        </w:rPr>
        <w:t xml:space="preserve"> </w:t>
      </w:r>
      <w:r w:rsidR="00093F73" w:rsidRPr="00093F73">
        <w:rPr>
          <w:rFonts w:ascii="Arial" w:hAnsi="Arial" w:cs="Arial"/>
        </w:rPr>
        <w:t>The average age of our study population (41.19 years</w:t>
      </w:r>
      <w:r w:rsidR="0086648F">
        <w:rPr>
          <w:rFonts w:ascii="Arial" w:hAnsi="Arial" w:cs="Arial"/>
        </w:rPr>
        <w:t xml:space="preserve"> old</w:t>
      </w:r>
      <w:r w:rsidR="00093F73" w:rsidRPr="00093F73">
        <w:rPr>
          <w:rFonts w:ascii="Arial" w:hAnsi="Arial" w:cs="Arial"/>
        </w:rPr>
        <w:t xml:space="preserve">) is comparable to that reported in studies from similar settings, such as those conducted in Latin America </w:t>
      </w:r>
      <w:r w:rsidR="00E74100">
        <w:rPr>
          <w:rFonts w:ascii="Arial" w:hAnsi="Arial" w:cs="Arial"/>
        </w:rPr>
        <w:t>(</w:t>
      </w:r>
      <w:r w:rsidR="00E74100" w:rsidRPr="00E74100">
        <w:rPr>
          <w:rFonts w:ascii="Arial" w:hAnsi="Arial" w:cs="Arial"/>
        </w:rPr>
        <w:t>Ashktorab</w:t>
      </w:r>
      <w:r w:rsidR="00E74100">
        <w:rPr>
          <w:rFonts w:ascii="Arial" w:hAnsi="Arial" w:cs="Arial"/>
        </w:rPr>
        <w:t xml:space="preserve"> et al.</w:t>
      </w:r>
      <w:r w:rsidR="00E74100" w:rsidRPr="00E74100">
        <w:rPr>
          <w:rFonts w:ascii="Arial" w:hAnsi="Arial" w:cs="Arial"/>
        </w:rPr>
        <w:t xml:space="preserve"> 2021</w:t>
      </w:r>
      <w:r w:rsidR="00E74100">
        <w:rPr>
          <w:rFonts w:ascii="Arial" w:hAnsi="Arial" w:cs="Arial"/>
        </w:rPr>
        <w:t>)</w:t>
      </w:r>
      <w:r w:rsidR="008E5A0D">
        <w:rPr>
          <w:rFonts w:ascii="Arial" w:hAnsi="Arial" w:cs="Arial"/>
        </w:rPr>
        <w:t>, Asia</w:t>
      </w:r>
      <w:r w:rsidR="00E74100">
        <w:rPr>
          <w:rFonts w:ascii="Arial" w:hAnsi="Arial" w:cs="Arial"/>
        </w:rPr>
        <w:t xml:space="preserve"> </w:t>
      </w:r>
      <w:r w:rsidR="00093F73" w:rsidRPr="00093F73">
        <w:rPr>
          <w:rFonts w:ascii="Arial" w:hAnsi="Arial" w:cs="Arial"/>
        </w:rPr>
        <w:t xml:space="preserve">and </w:t>
      </w:r>
      <w:r w:rsidR="008E5A0D">
        <w:rPr>
          <w:rFonts w:ascii="Arial" w:hAnsi="Arial" w:cs="Arial"/>
        </w:rPr>
        <w:t>Europe (</w:t>
      </w:r>
      <w:r w:rsidR="008E5A0D" w:rsidRPr="008E5A0D">
        <w:rPr>
          <w:rFonts w:ascii="Arial" w:hAnsi="Arial" w:cs="Arial"/>
        </w:rPr>
        <w:t>Landoni</w:t>
      </w:r>
      <w:r w:rsidR="008E5A0D">
        <w:rPr>
          <w:rFonts w:ascii="Arial" w:hAnsi="Arial" w:cs="Arial"/>
        </w:rPr>
        <w:t xml:space="preserve"> et al. </w:t>
      </w:r>
      <w:r w:rsidR="008E5A0D" w:rsidRPr="008E5A0D">
        <w:rPr>
          <w:rFonts w:ascii="Arial" w:hAnsi="Arial" w:cs="Arial"/>
        </w:rPr>
        <w:t>2021</w:t>
      </w:r>
      <w:r w:rsidR="008E5A0D">
        <w:rPr>
          <w:rFonts w:ascii="Arial" w:hAnsi="Arial" w:cs="Arial"/>
        </w:rPr>
        <w:t>)</w:t>
      </w:r>
      <w:r w:rsidR="00093F73" w:rsidRPr="00093F73">
        <w:rPr>
          <w:rFonts w:ascii="Arial" w:hAnsi="Arial" w:cs="Arial"/>
        </w:rPr>
        <w:t>, where the mean age ranged between 3</w:t>
      </w:r>
      <w:r w:rsidR="008E5A0D">
        <w:rPr>
          <w:rFonts w:ascii="Arial" w:hAnsi="Arial" w:cs="Arial"/>
        </w:rPr>
        <w:t>1</w:t>
      </w:r>
      <w:r w:rsidR="00093F73" w:rsidRPr="00093F73">
        <w:rPr>
          <w:rFonts w:ascii="Arial" w:hAnsi="Arial" w:cs="Arial"/>
        </w:rPr>
        <w:t xml:space="preserve"> and 57 years</w:t>
      </w:r>
      <w:r w:rsidR="0086648F">
        <w:rPr>
          <w:rFonts w:ascii="Arial" w:hAnsi="Arial" w:cs="Arial"/>
        </w:rPr>
        <w:t xml:space="preserve"> old</w:t>
      </w:r>
      <w:r w:rsidR="00093F73" w:rsidRPr="00093F73">
        <w:rPr>
          <w:rFonts w:ascii="Arial" w:hAnsi="Arial" w:cs="Arial"/>
        </w:rPr>
        <w:t xml:space="preserve">. </w:t>
      </w:r>
      <w:r w:rsidR="0086648F">
        <w:rPr>
          <w:rFonts w:ascii="Arial" w:hAnsi="Arial" w:cs="Arial"/>
        </w:rPr>
        <w:t>Thus, o</w:t>
      </w:r>
      <w:r w:rsidR="00DF2964" w:rsidRPr="008F39F5">
        <w:rPr>
          <w:rFonts w:ascii="Arial" w:hAnsi="Arial" w:cs="Arial"/>
        </w:rPr>
        <w:t xml:space="preserve">ur study identified a </w:t>
      </w:r>
      <w:r w:rsidR="000B1137">
        <w:rPr>
          <w:rFonts w:ascii="Arial" w:hAnsi="Arial" w:cs="Arial"/>
        </w:rPr>
        <w:t>lower</w:t>
      </w:r>
      <w:r w:rsidR="008E5A0D">
        <w:rPr>
          <w:rFonts w:ascii="Arial" w:hAnsi="Arial" w:cs="Arial"/>
        </w:rPr>
        <w:t xml:space="preserve"> </w:t>
      </w:r>
      <w:r w:rsidR="00DB6541">
        <w:rPr>
          <w:rFonts w:ascii="Arial" w:hAnsi="Arial" w:cs="Arial"/>
        </w:rPr>
        <w:t>average</w:t>
      </w:r>
      <w:r w:rsidR="008E5A0D" w:rsidRPr="008F39F5">
        <w:rPr>
          <w:rFonts w:ascii="Arial" w:hAnsi="Arial" w:cs="Arial"/>
        </w:rPr>
        <w:t xml:space="preserve"> age</w:t>
      </w:r>
      <w:r w:rsidR="008E5A0D">
        <w:rPr>
          <w:rFonts w:ascii="Arial" w:hAnsi="Arial" w:cs="Arial"/>
        </w:rPr>
        <w:t xml:space="preserve"> </w:t>
      </w:r>
      <w:r w:rsidR="008E5A0D" w:rsidRPr="008F39F5">
        <w:rPr>
          <w:rFonts w:ascii="Arial" w:hAnsi="Arial" w:cs="Arial"/>
        </w:rPr>
        <w:t xml:space="preserve">compared to findings from other </w:t>
      </w:r>
      <w:r w:rsidR="003436EF">
        <w:rPr>
          <w:rFonts w:ascii="Arial" w:hAnsi="Arial" w:cs="Arial"/>
        </w:rPr>
        <w:t>countries such as Bolivia</w:t>
      </w:r>
      <w:r w:rsidR="00797B6D">
        <w:rPr>
          <w:rFonts w:ascii="Arial" w:hAnsi="Arial" w:cs="Arial"/>
        </w:rPr>
        <w:t xml:space="preserve"> (43.9 years</w:t>
      </w:r>
      <w:r w:rsidR="0086648F">
        <w:rPr>
          <w:rFonts w:ascii="Arial" w:hAnsi="Arial" w:cs="Arial"/>
        </w:rPr>
        <w:t xml:space="preserve"> old</w:t>
      </w:r>
      <w:r w:rsidR="00797B6D">
        <w:rPr>
          <w:rFonts w:ascii="Arial" w:hAnsi="Arial" w:cs="Arial"/>
        </w:rPr>
        <w:t>)</w:t>
      </w:r>
      <w:r w:rsidR="000B1137">
        <w:rPr>
          <w:rFonts w:ascii="Arial" w:hAnsi="Arial" w:cs="Arial"/>
        </w:rPr>
        <w:t xml:space="preserve">, </w:t>
      </w:r>
      <w:r w:rsidR="00797B6D">
        <w:rPr>
          <w:rFonts w:ascii="Arial" w:hAnsi="Arial" w:cs="Arial"/>
        </w:rPr>
        <w:t>Brazil (44.8 years</w:t>
      </w:r>
      <w:r w:rsidR="0086648F">
        <w:rPr>
          <w:rFonts w:ascii="Arial" w:hAnsi="Arial" w:cs="Arial"/>
        </w:rPr>
        <w:t xml:space="preserve"> old</w:t>
      </w:r>
      <w:r w:rsidR="00797B6D">
        <w:rPr>
          <w:rFonts w:ascii="Arial" w:hAnsi="Arial" w:cs="Arial"/>
        </w:rPr>
        <w:t xml:space="preserve">) and </w:t>
      </w:r>
      <w:r w:rsidR="000B1137">
        <w:rPr>
          <w:rFonts w:ascii="Arial" w:hAnsi="Arial" w:cs="Arial"/>
        </w:rPr>
        <w:t>Peru</w:t>
      </w:r>
      <w:r w:rsidR="00797B6D">
        <w:rPr>
          <w:rFonts w:ascii="Arial" w:hAnsi="Arial" w:cs="Arial"/>
        </w:rPr>
        <w:t xml:space="preserve"> (56.8 years</w:t>
      </w:r>
      <w:r w:rsidR="0086648F">
        <w:rPr>
          <w:rFonts w:ascii="Arial" w:hAnsi="Arial" w:cs="Arial"/>
        </w:rPr>
        <w:t xml:space="preserve"> old</w:t>
      </w:r>
      <w:r w:rsidR="00797B6D">
        <w:rPr>
          <w:rFonts w:ascii="Arial" w:hAnsi="Arial" w:cs="Arial"/>
        </w:rPr>
        <w:t>)</w:t>
      </w:r>
      <w:r w:rsidR="003436EF">
        <w:rPr>
          <w:rFonts w:ascii="Arial" w:hAnsi="Arial" w:cs="Arial"/>
        </w:rPr>
        <w:t xml:space="preserve"> (</w:t>
      </w:r>
      <w:r w:rsidR="000B1137" w:rsidRPr="000B1137">
        <w:rPr>
          <w:rFonts w:ascii="Arial" w:hAnsi="Arial" w:cs="Arial"/>
        </w:rPr>
        <w:t>Escalera-Antezana</w:t>
      </w:r>
      <w:r w:rsidR="000B1137">
        <w:rPr>
          <w:rFonts w:ascii="Arial" w:hAnsi="Arial" w:cs="Arial"/>
        </w:rPr>
        <w:t xml:space="preserve"> et al. </w:t>
      </w:r>
      <w:r w:rsidR="000B1137" w:rsidRPr="000B1137">
        <w:rPr>
          <w:rFonts w:ascii="Arial" w:hAnsi="Arial" w:cs="Arial"/>
        </w:rPr>
        <w:t>2020</w:t>
      </w:r>
      <w:r w:rsidR="000B1137">
        <w:rPr>
          <w:rFonts w:ascii="Arial" w:hAnsi="Arial" w:cs="Arial"/>
        </w:rPr>
        <w:t xml:space="preserve">, </w:t>
      </w:r>
      <w:r w:rsidR="00797B6D" w:rsidRPr="00797B6D">
        <w:rPr>
          <w:rFonts w:ascii="Arial" w:hAnsi="Arial" w:cs="Arial"/>
        </w:rPr>
        <w:t>Soares</w:t>
      </w:r>
      <w:r w:rsidR="00797B6D">
        <w:rPr>
          <w:rFonts w:ascii="Arial" w:hAnsi="Arial" w:cs="Arial"/>
        </w:rPr>
        <w:t xml:space="preserve"> et al</w:t>
      </w:r>
      <w:r w:rsidR="00797B6D" w:rsidRPr="00797B6D">
        <w:rPr>
          <w:rFonts w:ascii="Arial" w:hAnsi="Arial" w:cs="Arial"/>
        </w:rPr>
        <w:t>. 2020</w:t>
      </w:r>
      <w:r w:rsidR="00797B6D">
        <w:rPr>
          <w:rFonts w:ascii="Arial" w:hAnsi="Arial" w:cs="Arial"/>
        </w:rPr>
        <w:t xml:space="preserve">, </w:t>
      </w:r>
      <w:r w:rsidR="003436EF" w:rsidRPr="00E74100">
        <w:rPr>
          <w:rFonts w:ascii="Arial" w:hAnsi="Arial" w:cs="Arial"/>
        </w:rPr>
        <w:t>Ashktorab</w:t>
      </w:r>
      <w:r w:rsidR="003436EF">
        <w:rPr>
          <w:rFonts w:ascii="Arial" w:hAnsi="Arial" w:cs="Arial"/>
        </w:rPr>
        <w:t xml:space="preserve"> et al.</w:t>
      </w:r>
      <w:r w:rsidR="003436EF" w:rsidRPr="00E74100">
        <w:rPr>
          <w:rFonts w:ascii="Arial" w:hAnsi="Arial" w:cs="Arial"/>
        </w:rPr>
        <w:t xml:space="preserve"> 2021</w:t>
      </w:r>
      <w:r w:rsidR="003436EF">
        <w:rPr>
          <w:rFonts w:ascii="Arial" w:hAnsi="Arial" w:cs="Arial"/>
        </w:rPr>
        <w:t xml:space="preserve">), </w:t>
      </w:r>
      <w:r w:rsidR="00804989" w:rsidRPr="008F39F5">
        <w:rPr>
          <w:rFonts w:ascii="Arial" w:hAnsi="Arial" w:cs="Arial"/>
        </w:rPr>
        <w:t xml:space="preserve">including </w:t>
      </w:r>
      <w:r w:rsidR="00804989">
        <w:rPr>
          <w:rFonts w:ascii="Arial" w:hAnsi="Arial" w:cs="Arial"/>
        </w:rPr>
        <w:t>studies</w:t>
      </w:r>
      <w:r w:rsidR="00804989" w:rsidRPr="008F39F5">
        <w:rPr>
          <w:rFonts w:ascii="Arial" w:hAnsi="Arial" w:cs="Arial"/>
        </w:rPr>
        <w:t xml:space="preserve"> focused on the Mexican population (</w:t>
      </w:r>
      <w:r w:rsidR="00804989" w:rsidRPr="00E74100">
        <w:rPr>
          <w:rFonts w:ascii="Arial" w:hAnsi="Arial" w:cs="Arial"/>
        </w:rPr>
        <w:t>Ashktorab</w:t>
      </w:r>
      <w:r w:rsidR="00804989">
        <w:rPr>
          <w:rFonts w:ascii="Arial" w:hAnsi="Arial" w:cs="Arial"/>
        </w:rPr>
        <w:t xml:space="preserve"> et al.</w:t>
      </w:r>
      <w:r w:rsidR="00804989" w:rsidRPr="00E74100">
        <w:rPr>
          <w:rFonts w:ascii="Arial" w:hAnsi="Arial" w:cs="Arial"/>
        </w:rPr>
        <w:t xml:space="preserve"> 2021</w:t>
      </w:r>
      <w:r w:rsidR="004C6C55">
        <w:rPr>
          <w:rFonts w:ascii="Arial" w:hAnsi="Arial" w:cs="Arial"/>
        </w:rPr>
        <w:t>, López-Hernández 2022, López-Hernández et al 2024</w:t>
      </w:r>
      <w:r w:rsidR="00804989">
        <w:rPr>
          <w:rFonts w:ascii="Arial" w:hAnsi="Arial" w:cs="Arial"/>
        </w:rPr>
        <w:t xml:space="preserve">), </w:t>
      </w:r>
      <w:r w:rsidR="006777B7">
        <w:rPr>
          <w:rFonts w:ascii="Arial" w:hAnsi="Arial" w:cs="Arial"/>
        </w:rPr>
        <w:t xml:space="preserve">a </w:t>
      </w:r>
      <w:r w:rsidR="00804989">
        <w:rPr>
          <w:rFonts w:ascii="Arial" w:hAnsi="Arial" w:cs="Arial"/>
        </w:rPr>
        <w:t>similar</w:t>
      </w:r>
      <w:r w:rsidR="003436EF">
        <w:rPr>
          <w:rFonts w:ascii="Arial" w:hAnsi="Arial" w:cs="Arial"/>
        </w:rPr>
        <w:t xml:space="preserve"> </w:t>
      </w:r>
      <w:r w:rsidR="00DF2964" w:rsidRPr="008F39F5">
        <w:rPr>
          <w:rFonts w:ascii="Arial" w:hAnsi="Arial" w:cs="Arial"/>
        </w:rPr>
        <w:t xml:space="preserve">median age compared to </w:t>
      </w:r>
      <w:r w:rsidR="00797B6D">
        <w:rPr>
          <w:rFonts w:ascii="Arial" w:hAnsi="Arial" w:cs="Arial"/>
        </w:rPr>
        <w:t>Chilean</w:t>
      </w:r>
      <w:r w:rsidR="006777B7">
        <w:rPr>
          <w:rFonts w:ascii="Arial" w:hAnsi="Arial" w:cs="Arial"/>
        </w:rPr>
        <w:t xml:space="preserve"> (39)</w:t>
      </w:r>
      <w:r w:rsidR="003436EF">
        <w:rPr>
          <w:rFonts w:ascii="Arial" w:hAnsi="Arial" w:cs="Arial"/>
        </w:rPr>
        <w:t xml:space="preserve"> </w:t>
      </w:r>
      <w:r w:rsidR="00804989">
        <w:rPr>
          <w:rFonts w:ascii="Arial" w:hAnsi="Arial" w:cs="Arial"/>
        </w:rPr>
        <w:t xml:space="preserve">and </w:t>
      </w:r>
      <w:r w:rsidR="00804989" w:rsidRPr="00804989">
        <w:rPr>
          <w:rFonts w:ascii="Arial" w:hAnsi="Arial" w:cs="Arial"/>
        </w:rPr>
        <w:t>Ecuadorian</w:t>
      </w:r>
      <w:r w:rsidR="006777B7">
        <w:rPr>
          <w:rFonts w:ascii="Arial" w:hAnsi="Arial" w:cs="Arial"/>
        </w:rPr>
        <w:t xml:space="preserve"> (40)</w:t>
      </w:r>
      <w:r w:rsidR="00804989">
        <w:rPr>
          <w:rFonts w:ascii="Arial" w:hAnsi="Arial" w:cs="Arial"/>
        </w:rPr>
        <w:t xml:space="preserve"> </w:t>
      </w:r>
      <w:r w:rsidR="003436EF">
        <w:rPr>
          <w:rFonts w:ascii="Arial" w:hAnsi="Arial" w:cs="Arial"/>
        </w:rPr>
        <w:t>population</w:t>
      </w:r>
      <w:r w:rsidR="00804989">
        <w:rPr>
          <w:rFonts w:ascii="Arial" w:hAnsi="Arial" w:cs="Arial"/>
        </w:rPr>
        <w:t xml:space="preserve"> (</w:t>
      </w:r>
      <w:r w:rsidR="00804989" w:rsidRPr="00E74100">
        <w:rPr>
          <w:rFonts w:ascii="Arial" w:hAnsi="Arial" w:cs="Arial"/>
        </w:rPr>
        <w:t>Ashktorab</w:t>
      </w:r>
      <w:r w:rsidR="00804989">
        <w:rPr>
          <w:rFonts w:ascii="Arial" w:hAnsi="Arial" w:cs="Arial"/>
        </w:rPr>
        <w:t xml:space="preserve"> et al.</w:t>
      </w:r>
      <w:r w:rsidR="00804989" w:rsidRPr="00E74100">
        <w:rPr>
          <w:rFonts w:ascii="Arial" w:hAnsi="Arial" w:cs="Arial"/>
        </w:rPr>
        <w:t xml:space="preserve"> 2021</w:t>
      </w:r>
      <w:r w:rsidR="00804989">
        <w:rPr>
          <w:rFonts w:ascii="Arial" w:hAnsi="Arial" w:cs="Arial"/>
        </w:rPr>
        <w:t xml:space="preserve">, </w:t>
      </w:r>
      <w:r w:rsidR="00804989" w:rsidRPr="00804989">
        <w:rPr>
          <w:rFonts w:ascii="Arial" w:hAnsi="Arial" w:cs="Arial"/>
        </w:rPr>
        <w:t>Ortiz-Prado</w:t>
      </w:r>
      <w:r w:rsidR="00804989">
        <w:rPr>
          <w:rFonts w:ascii="Arial" w:hAnsi="Arial" w:cs="Arial"/>
        </w:rPr>
        <w:t xml:space="preserve"> et al. </w:t>
      </w:r>
      <w:r w:rsidR="00804989" w:rsidRPr="00804989">
        <w:rPr>
          <w:rFonts w:ascii="Arial" w:hAnsi="Arial" w:cs="Arial"/>
        </w:rPr>
        <w:t>2021</w:t>
      </w:r>
      <w:r w:rsidR="00804989">
        <w:rPr>
          <w:rFonts w:ascii="Arial" w:hAnsi="Arial" w:cs="Arial"/>
        </w:rPr>
        <w:t>)</w:t>
      </w:r>
      <w:r w:rsidR="004C6C55">
        <w:rPr>
          <w:rFonts w:ascii="Arial" w:hAnsi="Arial" w:cs="Arial"/>
        </w:rPr>
        <w:t xml:space="preserve">, and </w:t>
      </w:r>
      <w:r w:rsidR="006777B7">
        <w:rPr>
          <w:rFonts w:ascii="Arial" w:hAnsi="Arial" w:cs="Arial"/>
        </w:rPr>
        <w:t xml:space="preserve">a </w:t>
      </w:r>
      <w:r w:rsidR="004C6C55">
        <w:rPr>
          <w:rFonts w:ascii="Arial" w:hAnsi="Arial" w:cs="Arial"/>
        </w:rPr>
        <w:t>higher average age in previous study in Mexican population (Castillo-Cruz et al 2025)</w:t>
      </w:r>
      <w:r w:rsidR="001C7AB2">
        <w:rPr>
          <w:rFonts w:ascii="Arial" w:hAnsi="Arial" w:cs="Arial"/>
        </w:rPr>
        <w:t>.</w:t>
      </w:r>
      <w:r w:rsidR="00206560">
        <w:rPr>
          <w:rFonts w:ascii="Arial" w:hAnsi="Arial" w:cs="Arial"/>
        </w:rPr>
        <w:t xml:space="preserve"> </w:t>
      </w:r>
      <w:r w:rsidR="009A36E4">
        <w:rPr>
          <w:rFonts w:ascii="Arial" w:hAnsi="Arial" w:cs="Arial"/>
        </w:rPr>
        <w:t>In addition, t</w:t>
      </w:r>
      <w:r w:rsidR="009A36E4" w:rsidRPr="009A36E4">
        <w:rPr>
          <w:rFonts w:ascii="Arial" w:hAnsi="Arial" w:cs="Arial"/>
        </w:rPr>
        <w:t>he median age difference between severe cases and no severe cases of COVID-19 in our study population (68 vs 38 years</w:t>
      </w:r>
      <w:r w:rsidR="0086648F">
        <w:rPr>
          <w:rFonts w:ascii="Arial" w:hAnsi="Arial" w:cs="Arial"/>
        </w:rPr>
        <w:t xml:space="preserve"> old</w:t>
      </w:r>
      <w:r w:rsidR="009A36E4" w:rsidRPr="009A36E4">
        <w:rPr>
          <w:rFonts w:ascii="Arial" w:hAnsi="Arial" w:cs="Arial"/>
        </w:rPr>
        <w:t>, p&lt;0.001) indicates that severe cases tend to occur in older individuals,</w:t>
      </w:r>
      <w:r w:rsidR="0086648F">
        <w:rPr>
          <w:rFonts w:ascii="Arial" w:hAnsi="Arial" w:cs="Arial"/>
        </w:rPr>
        <w:t xml:space="preserve"> which is</w:t>
      </w:r>
      <w:r w:rsidR="009A36E4" w:rsidRPr="009A36E4">
        <w:rPr>
          <w:rFonts w:ascii="Arial" w:hAnsi="Arial" w:cs="Arial"/>
        </w:rPr>
        <w:t xml:space="preserve"> a trend widely documented in global literature.</w:t>
      </w:r>
      <w:r w:rsidR="009A36E4">
        <w:rPr>
          <w:rFonts w:ascii="Arial" w:hAnsi="Arial" w:cs="Arial"/>
        </w:rPr>
        <w:t xml:space="preserve"> </w:t>
      </w:r>
      <w:r w:rsidR="00206560" w:rsidRPr="00206560">
        <w:rPr>
          <w:rFonts w:ascii="Arial" w:hAnsi="Arial" w:cs="Arial"/>
        </w:rPr>
        <w:t>Moreover, the study highlights that the absolute number of COVID-19 cases was higher among females, aligning with findings from other research (</w:t>
      </w:r>
      <w:r w:rsidR="00547A33" w:rsidRPr="00E74100">
        <w:rPr>
          <w:rFonts w:ascii="Arial" w:hAnsi="Arial" w:cs="Arial"/>
        </w:rPr>
        <w:t>Ashktorab</w:t>
      </w:r>
      <w:r w:rsidR="00547A33">
        <w:rPr>
          <w:rFonts w:ascii="Arial" w:hAnsi="Arial" w:cs="Arial"/>
        </w:rPr>
        <w:t xml:space="preserve"> et al.</w:t>
      </w:r>
      <w:r w:rsidR="00547A33" w:rsidRPr="00E74100">
        <w:rPr>
          <w:rFonts w:ascii="Arial" w:hAnsi="Arial" w:cs="Arial"/>
        </w:rPr>
        <w:t xml:space="preserve"> 2021</w:t>
      </w:r>
      <w:r w:rsidR="00547A33">
        <w:rPr>
          <w:rFonts w:ascii="Arial" w:hAnsi="Arial" w:cs="Arial"/>
        </w:rPr>
        <w:t xml:space="preserve">, </w:t>
      </w:r>
      <w:r w:rsidR="00206560" w:rsidRPr="00206560">
        <w:rPr>
          <w:rFonts w:ascii="Arial" w:hAnsi="Arial" w:cs="Arial"/>
        </w:rPr>
        <w:t>Lopez-Hernandez et al. 2024</w:t>
      </w:r>
      <w:r w:rsidR="00206560">
        <w:rPr>
          <w:rFonts w:ascii="Arial" w:hAnsi="Arial" w:cs="Arial"/>
        </w:rPr>
        <w:t>, Castillo-Cruz et al 2025</w:t>
      </w:r>
      <w:r w:rsidR="00206560" w:rsidRPr="00206560">
        <w:rPr>
          <w:rFonts w:ascii="Arial" w:hAnsi="Arial" w:cs="Arial"/>
        </w:rPr>
        <w:t>) but contrasting with reports from several Asian countries (Chen et al. 2020</w:t>
      </w:r>
      <w:r w:rsidR="00206560">
        <w:rPr>
          <w:rFonts w:ascii="Arial" w:hAnsi="Arial" w:cs="Arial"/>
        </w:rPr>
        <w:t>,</w:t>
      </w:r>
      <w:r w:rsidR="00206560" w:rsidRPr="00206560">
        <w:rPr>
          <w:rFonts w:ascii="Arial" w:hAnsi="Arial" w:cs="Arial"/>
        </w:rPr>
        <w:t xml:space="preserve"> Guan et al. 2020; Mazumder et al. 2020; Nikpouraghdam et al. 2020; Wang et al. 2020) and the Americas (O’Brien et al. 2020</w:t>
      </w:r>
      <w:r w:rsidR="00206560">
        <w:rPr>
          <w:rFonts w:ascii="Arial" w:hAnsi="Arial" w:cs="Arial"/>
        </w:rPr>
        <w:t>,</w:t>
      </w:r>
      <w:r w:rsidR="00206560" w:rsidRPr="00206560">
        <w:rPr>
          <w:rFonts w:ascii="Arial" w:hAnsi="Arial" w:cs="Arial"/>
        </w:rPr>
        <w:t xml:space="preserve"> Kalyanaraman et al. 2020</w:t>
      </w:r>
      <w:r w:rsidR="00206560">
        <w:rPr>
          <w:rFonts w:ascii="Arial" w:hAnsi="Arial" w:cs="Arial"/>
        </w:rPr>
        <w:t>,</w:t>
      </w:r>
      <w:r w:rsidR="00206560" w:rsidRPr="00206560">
        <w:rPr>
          <w:rFonts w:ascii="Arial" w:hAnsi="Arial" w:cs="Arial"/>
        </w:rPr>
        <w:t xml:space="preserve"> Klein et al. 2020</w:t>
      </w:r>
      <w:r w:rsidR="002E43A5">
        <w:rPr>
          <w:rFonts w:ascii="Arial" w:hAnsi="Arial" w:cs="Arial"/>
        </w:rPr>
        <w:t xml:space="preserve">, </w:t>
      </w:r>
      <w:r w:rsidR="00547A33" w:rsidRPr="00E74100">
        <w:rPr>
          <w:rFonts w:ascii="Arial" w:hAnsi="Arial" w:cs="Arial"/>
        </w:rPr>
        <w:t>Ashktorab</w:t>
      </w:r>
      <w:r w:rsidR="00547A33">
        <w:rPr>
          <w:rFonts w:ascii="Arial" w:hAnsi="Arial" w:cs="Arial"/>
        </w:rPr>
        <w:t xml:space="preserve"> et al.</w:t>
      </w:r>
      <w:r w:rsidR="00547A33" w:rsidRPr="00E74100">
        <w:rPr>
          <w:rFonts w:ascii="Arial" w:hAnsi="Arial" w:cs="Arial"/>
        </w:rPr>
        <w:t xml:space="preserve"> 2021</w:t>
      </w:r>
      <w:r w:rsidR="00547A33">
        <w:rPr>
          <w:rFonts w:ascii="Arial" w:hAnsi="Arial" w:cs="Arial"/>
        </w:rPr>
        <w:t xml:space="preserve">, </w:t>
      </w:r>
      <w:r w:rsidR="002E43A5">
        <w:rPr>
          <w:rFonts w:ascii="Arial" w:hAnsi="Arial" w:cs="Arial"/>
        </w:rPr>
        <w:t>López-Hernández 2022</w:t>
      </w:r>
      <w:r w:rsidR="00206560" w:rsidRPr="00206560">
        <w:rPr>
          <w:rFonts w:ascii="Arial" w:hAnsi="Arial" w:cs="Arial"/>
        </w:rPr>
        <w:t xml:space="preserve">). </w:t>
      </w:r>
      <w:r w:rsidR="0086648F">
        <w:rPr>
          <w:rFonts w:ascii="Arial" w:hAnsi="Arial" w:cs="Arial"/>
        </w:rPr>
        <w:t>Besides that, i</w:t>
      </w:r>
      <w:r w:rsidR="00F22271">
        <w:rPr>
          <w:rFonts w:ascii="Arial" w:hAnsi="Arial" w:cs="Arial"/>
        </w:rPr>
        <w:t>n Latin America, t</w:t>
      </w:r>
      <w:r w:rsidR="00F22271" w:rsidRPr="00F22271">
        <w:rPr>
          <w:rFonts w:ascii="Arial" w:hAnsi="Arial" w:cs="Arial"/>
        </w:rPr>
        <w:t>he highest percentage of female COVID-19 patients was observed in Peru (56.8%) and Argentina (54%), while Venezuela having the lowest (43.3%). Conversely, Venezuela had the highest proportion of male COVID-19 patients (56.7%), followed by Ecuador (55.4%), Brazil (55.2%), Mexico (53.1%), Chile (51.6%), and Bolivia (51.4%)</w:t>
      </w:r>
      <w:r w:rsidR="00F22271">
        <w:rPr>
          <w:rFonts w:ascii="Arial" w:hAnsi="Arial" w:cs="Arial"/>
        </w:rPr>
        <w:t xml:space="preserve"> (</w:t>
      </w:r>
      <w:r w:rsidR="00F22271" w:rsidRPr="00E74100">
        <w:rPr>
          <w:rFonts w:ascii="Arial" w:hAnsi="Arial" w:cs="Arial"/>
        </w:rPr>
        <w:t>Ashktorab</w:t>
      </w:r>
      <w:r w:rsidR="00F22271">
        <w:rPr>
          <w:rFonts w:ascii="Arial" w:hAnsi="Arial" w:cs="Arial"/>
        </w:rPr>
        <w:t xml:space="preserve"> et al.</w:t>
      </w:r>
      <w:r w:rsidR="00F22271" w:rsidRPr="00E74100">
        <w:rPr>
          <w:rFonts w:ascii="Arial" w:hAnsi="Arial" w:cs="Arial"/>
        </w:rPr>
        <w:t xml:space="preserve"> 2021</w:t>
      </w:r>
      <w:r w:rsidR="00F22271">
        <w:rPr>
          <w:rFonts w:ascii="Arial" w:hAnsi="Arial" w:cs="Arial"/>
        </w:rPr>
        <w:t>)</w:t>
      </w:r>
      <w:r w:rsidR="00F22271" w:rsidRPr="00F22271">
        <w:rPr>
          <w:rFonts w:ascii="Arial" w:hAnsi="Arial" w:cs="Arial"/>
        </w:rPr>
        <w:t xml:space="preserve">. </w:t>
      </w:r>
      <w:r w:rsidR="00F22271">
        <w:rPr>
          <w:rFonts w:ascii="Arial" w:hAnsi="Arial" w:cs="Arial"/>
        </w:rPr>
        <w:t xml:space="preserve">Similarly, </w:t>
      </w:r>
      <w:r w:rsidR="00F22271" w:rsidRPr="00F22271">
        <w:rPr>
          <w:rFonts w:ascii="Arial" w:hAnsi="Arial" w:cs="Arial"/>
        </w:rPr>
        <w:t>Peru reported the lowest percentage of male COVID-19 patients at 43.2%</w:t>
      </w:r>
      <w:r w:rsidR="00F22271">
        <w:rPr>
          <w:rFonts w:ascii="Arial" w:hAnsi="Arial" w:cs="Arial"/>
        </w:rPr>
        <w:t xml:space="preserve"> (</w:t>
      </w:r>
      <w:r w:rsidR="00F22271" w:rsidRPr="00E74100">
        <w:rPr>
          <w:rFonts w:ascii="Arial" w:hAnsi="Arial" w:cs="Arial"/>
        </w:rPr>
        <w:t>Ashktorab</w:t>
      </w:r>
      <w:r w:rsidR="00F22271">
        <w:rPr>
          <w:rFonts w:ascii="Arial" w:hAnsi="Arial" w:cs="Arial"/>
        </w:rPr>
        <w:t xml:space="preserve"> et al.</w:t>
      </w:r>
      <w:r w:rsidR="00F22271" w:rsidRPr="00E74100">
        <w:rPr>
          <w:rFonts w:ascii="Arial" w:hAnsi="Arial" w:cs="Arial"/>
        </w:rPr>
        <w:t xml:space="preserve"> 2021</w:t>
      </w:r>
      <w:r w:rsidR="00F22271">
        <w:rPr>
          <w:rFonts w:ascii="Arial" w:hAnsi="Arial" w:cs="Arial"/>
        </w:rPr>
        <w:t>)</w:t>
      </w:r>
      <w:r w:rsidR="00F22271" w:rsidRPr="00F22271">
        <w:rPr>
          <w:rFonts w:ascii="Arial" w:hAnsi="Arial" w:cs="Arial"/>
        </w:rPr>
        <w:t>.</w:t>
      </w:r>
      <w:r w:rsidR="00FF3C2F">
        <w:rPr>
          <w:rFonts w:ascii="Arial" w:hAnsi="Arial" w:cs="Arial"/>
        </w:rPr>
        <w:t xml:space="preserve"> </w:t>
      </w:r>
      <w:r w:rsidR="00206560" w:rsidRPr="00206560">
        <w:rPr>
          <w:rFonts w:ascii="Arial" w:hAnsi="Arial" w:cs="Arial"/>
        </w:rPr>
        <w:t>This trend may be explained by the higher representation of females in frontline occupations, such as healthcare and caregiving roles, which increases their risk of exposure to the virus (Vargese et al. 2022</w:t>
      </w:r>
      <w:r w:rsidR="00206560">
        <w:rPr>
          <w:rFonts w:ascii="Arial" w:hAnsi="Arial" w:cs="Arial"/>
        </w:rPr>
        <w:t xml:space="preserve">, </w:t>
      </w:r>
      <w:r w:rsidR="00206560" w:rsidRPr="00206560">
        <w:rPr>
          <w:rFonts w:ascii="Arial" w:hAnsi="Arial" w:cs="Arial"/>
        </w:rPr>
        <w:t>Henneberger &amp; Cox-Ganser 2024).</w:t>
      </w:r>
      <w:r w:rsidR="006138E3">
        <w:rPr>
          <w:rFonts w:ascii="Arial" w:hAnsi="Arial" w:cs="Arial"/>
        </w:rPr>
        <w:t xml:space="preserve"> On the other hand, a</w:t>
      </w:r>
      <w:r w:rsidR="006138E3" w:rsidRPr="006138E3">
        <w:rPr>
          <w:rFonts w:ascii="Arial" w:hAnsi="Arial" w:cs="Arial"/>
        </w:rPr>
        <w:t xml:space="preserve">ccording to Ashktorab et al., the most common symptoms reported in their study </w:t>
      </w:r>
      <w:r w:rsidR="0086648F">
        <w:rPr>
          <w:rFonts w:ascii="Arial" w:hAnsi="Arial" w:cs="Arial"/>
        </w:rPr>
        <w:t>analysed</w:t>
      </w:r>
      <w:r w:rsidR="006138E3" w:rsidRPr="006138E3">
        <w:rPr>
          <w:rFonts w:ascii="Arial" w:hAnsi="Arial" w:cs="Arial"/>
        </w:rPr>
        <w:t xml:space="preserve"> eight Latin American countries for positive cases of SARS-CoV-2 </w:t>
      </w:r>
      <w:r w:rsidR="00DE51F5" w:rsidRPr="006138E3">
        <w:rPr>
          <w:rFonts w:ascii="Arial" w:hAnsi="Arial" w:cs="Arial"/>
        </w:rPr>
        <w:t xml:space="preserve">infection </w:t>
      </w:r>
      <w:r w:rsidR="00DE51F5">
        <w:rPr>
          <w:rFonts w:ascii="Arial" w:hAnsi="Arial" w:cs="Arial"/>
        </w:rPr>
        <w:t>whose</w:t>
      </w:r>
      <w:r w:rsidR="0086648F">
        <w:rPr>
          <w:rFonts w:ascii="Arial" w:hAnsi="Arial" w:cs="Arial"/>
        </w:rPr>
        <w:t xml:space="preserve"> symptoms </w:t>
      </w:r>
      <w:r w:rsidR="006138E3" w:rsidRPr="006138E3">
        <w:rPr>
          <w:rFonts w:ascii="Arial" w:hAnsi="Arial" w:cs="Arial"/>
        </w:rPr>
        <w:t>were cough (60.1%), fatigue/tiredness (52.0%), sore throat (50.3%), and fever (44.2%)</w:t>
      </w:r>
      <w:r w:rsidR="006138E3">
        <w:rPr>
          <w:rFonts w:ascii="Arial" w:hAnsi="Arial" w:cs="Arial"/>
        </w:rPr>
        <w:t xml:space="preserve"> (</w:t>
      </w:r>
      <w:r w:rsidR="006138E3" w:rsidRPr="00E74100">
        <w:rPr>
          <w:rFonts w:ascii="Arial" w:hAnsi="Arial" w:cs="Arial"/>
        </w:rPr>
        <w:t>Ashktorab</w:t>
      </w:r>
      <w:r w:rsidR="006138E3">
        <w:rPr>
          <w:rFonts w:ascii="Arial" w:hAnsi="Arial" w:cs="Arial"/>
        </w:rPr>
        <w:t xml:space="preserve"> et al.</w:t>
      </w:r>
      <w:r w:rsidR="006138E3" w:rsidRPr="00E74100">
        <w:rPr>
          <w:rFonts w:ascii="Arial" w:hAnsi="Arial" w:cs="Arial"/>
        </w:rPr>
        <w:t xml:space="preserve"> 2021</w:t>
      </w:r>
      <w:r w:rsidR="006138E3">
        <w:rPr>
          <w:rFonts w:ascii="Arial" w:hAnsi="Arial" w:cs="Arial"/>
        </w:rPr>
        <w:t>)</w:t>
      </w:r>
      <w:r w:rsidR="006138E3" w:rsidRPr="006138E3">
        <w:rPr>
          <w:rFonts w:ascii="Arial" w:hAnsi="Arial" w:cs="Arial"/>
        </w:rPr>
        <w:t xml:space="preserve">, different from what was observed in our data. </w:t>
      </w:r>
      <w:r w:rsidR="0086648F">
        <w:rPr>
          <w:rFonts w:ascii="Arial" w:hAnsi="Arial" w:cs="Arial"/>
        </w:rPr>
        <w:t xml:space="preserve"> Furthermore, </w:t>
      </w:r>
      <w:r w:rsidR="00DE51F5">
        <w:rPr>
          <w:rFonts w:ascii="Arial" w:hAnsi="Arial" w:cs="Arial"/>
        </w:rPr>
        <w:t>i</w:t>
      </w:r>
      <w:r w:rsidR="006138E3" w:rsidRPr="006138E3">
        <w:rPr>
          <w:rFonts w:ascii="Arial" w:hAnsi="Arial" w:cs="Arial"/>
        </w:rPr>
        <w:t xml:space="preserve">n our study population, we found that the most common symptoms were headache (88.2%), cough (87.8%), painful swallowing (77.4%) and fever (74.3%). Bolivia was the country that reported the highest positivity for cough (78.8%); </w:t>
      </w:r>
      <w:r w:rsidR="006138E3" w:rsidRPr="006138E3">
        <w:rPr>
          <w:rFonts w:ascii="Arial" w:hAnsi="Arial" w:cs="Arial"/>
        </w:rPr>
        <w:lastRenderedPageBreak/>
        <w:t>followed up by Mexico.</w:t>
      </w:r>
      <w:r w:rsidR="00DE51F5">
        <w:rPr>
          <w:rFonts w:ascii="Arial" w:hAnsi="Arial" w:cs="Arial"/>
        </w:rPr>
        <w:t xml:space="preserve"> In contrast with</w:t>
      </w:r>
      <w:r w:rsidR="006138E3" w:rsidRPr="006138E3">
        <w:rPr>
          <w:rFonts w:ascii="Arial" w:hAnsi="Arial" w:cs="Arial"/>
        </w:rPr>
        <w:t xml:space="preserve"> Ecuador</w:t>
      </w:r>
      <w:r w:rsidR="00DE51F5">
        <w:rPr>
          <w:rFonts w:ascii="Arial" w:hAnsi="Arial" w:cs="Arial"/>
        </w:rPr>
        <w:t xml:space="preserve"> which</w:t>
      </w:r>
      <w:r w:rsidR="006138E3" w:rsidRPr="006138E3">
        <w:rPr>
          <w:rFonts w:ascii="Arial" w:hAnsi="Arial" w:cs="Arial"/>
        </w:rPr>
        <w:t xml:space="preserve"> reported the highest prevalence of fatigue followed by Peru and Bolivia with 52% and 51.5%, respectively</w:t>
      </w:r>
      <w:r w:rsidR="006138E3">
        <w:rPr>
          <w:rFonts w:ascii="Arial" w:hAnsi="Arial" w:cs="Arial"/>
        </w:rPr>
        <w:t xml:space="preserve"> (</w:t>
      </w:r>
      <w:r w:rsidR="006138E3" w:rsidRPr="00E74100">
        <w:rPr>
          <w:rFonts w:ascii="Arial" w:hAnsi="Arial" w:cs="Arial"/>
        </w:rPr>
        <w:t>Ashktorab</w:t>
      </w:r>
      <w:r w:rsidR="006138E3">
        <w:rPr>
          <w:rFonts w:ascii="Arial" w:hAnsi="Arial" w:cs="Arial"/>
        </w:rPr>
        <w:t xml:space="preserve"> et al.</w:t>
      </w:r>
      <w:r w:rsidR="006138E3" w:rsidRPr="00E74100">
        <w:rPr>
          <w:rFonts w:ascii="Arial" w:hAnsi="Arial" w:cs="Arial"/>
        </w:rPr>
        <w:t xml:space="preserve"> 2021</w:t>
      </w:r>
      <w:r w:rsidR="006138E3">
        <w:rPr>
          <w:rFonts w:ascii="Arial" w:hAnsi="Arial" w:cs="Arial"/>
        </w:rPr>
        <w:t>)</w:t>
      </w:r>
      <w:r w:rsidR="006138E3" w:rsidRPr="006138E3">
        <w:rPr>
          <w:rFonts w:ascii="Arial" w:hAnsi="Arial" w:cs="Arial"/>
        </w:rPr>
        <w:t>.</w:t>
      </w:r>
    </w:p>
    <w:p w14:paraId="0344DE3C" w14:textId="77777777" w:rsidR="003436EF" w:rsidRDefault="003436EF" w:rsidP="003B4484">
      <w:pPr>
        <w:pStyle w:val="Body"/>
        <w:spacing w:after="0"/>
        <w:rPr>
          <w:rFonts w:ascii="Arial" w:hAnsi="Arial" w:cs="Arial"/>
        </w:rPr>
      </w:pPr>
    </w:p>
    <w:p w14:paraId="40B86EF9" w14:textId="6266DE4F" w:rsidR="00893E8A" w:rsidRPr="008F39F5" w:rsidRDefault="005E50CF" w:rsidP="00555112">
      <w:pPr>
        <w:pStyle w:val="Body"/>
        <w:spacing w:after="0"/>
        <w:rPr>
          <w:rFonts w:ascii="Arial" w:hAnsi="Arial" w:cs="Arial"/>
          <w:b/>
          <w:bCs/>
          <w:sz w:val="22"/>
          <w:szCs w:val="22"/>
        </w:rPr>
      </w:pPr>
      <w:r w:rsidRPr="008F39F5">
        <w:rPr>
          <w:rFonts w:ascii="Arial" w:hAnsi="Arial" w:cs="Arial"/>
          <w:b/>
          <w:bCs/>
          <w:sz w:val="22"/>
          <w:szCs w:val="22"/>
        </w:rPr>
        <w:t>3.</w:t>
      </w:r>
      <w:r w:rsidR="001F2314" w:rsidRPr="008F39F5">
        <w:rPr>
          <w:rFonts w:ascii="Arial" w:hAnsi="Arial" w:cs="Arial"/>
          <w:b/>
          <w:bCs/>
          <w:sz w:val="22"/>
          <w:szCs w:val="22"/>
        </w:rPr>
        <w:t>5</w:t>
      </w:r>
      <w:r w:rsidRPr="008F39F5">
        <w:rPr>
          <w:rFonts w:ascii="Arial" w:hAnsi="Arial" w:cs="Arial"/>
          <w:b/>
          <w:bCs/>
          <w:sz w:val="22"/>
          <w:szCs w:val="22"/>
        </w:rPr>
        <w:t>.</w:t>
      </w:r>
      <w:r w:rsidR="00C74112">
        <w:rPr>
          <w:rFonts w:ascii="Arial" w:hAnsi="Arial" w:cs="Arial"/>
          <w:b/>
          <w:bCs/>
          <w:sz w:val="22"/>
          <w:szCs w:val="22"/>
        </w:rPr>
        <w:t>2</w:t>
      </w:r>
      <w:r w:rsidRPr="008F39F5">
        <w:rPr>
          <w:rFonts w:ascii="Arial" w:hAnsi="Arial" w:cs="Arial"/>
          <w:b/>
          <w:bCs/>
          <w:sz w:val="22"/>
          <w:szCs w:val="22"/>
        </w:rPr>
        <w:t xml:space="preserve"> </w:t>
      </w:r>
      <w:r w:rsidR="00147007" w:rsidRPr="008F39F5">
        <w:rPr>
          <w:rFonts w:ascii="Arial" w:hAnsi="Arial" w:cs="Arial"/>
          <w:b/>
          <w:bCs/>
          <w:sz w:val="22"/>
          <w:szCs w:val="22"/>
        </w:rPr>
        <w:t>Sex Differences in Comorbidities</w:t>
      </w:r>
      <w:r w:rsidR="00C74112">
        <w:rPr>
          <w:rFonts w:ascii="Arial" w:hAnsi="Arial" w:cs="Arial"/>
          <w:b/>
          <w:bCs/>
          <w:sz w:val="22"/>
          <w:szCs w:val="22"/>
        </w:rPr>
        <w:t xml:space="preserve"> and Associated Factors to adverse outcomes of COVID-19</w:t>
      </w:r>
    </w:p>
    <w:p w14:paraId="2DA321A0" w14:textId="5C12F4DA" w:rsidR="00CE7693" w:rsidRDefault="00795B14" w:rsidP="00DA4A7C">
      <w:pPr>
        <w:pStyle w:val="Body"/>
        <w:spacing w:after="0"/>
        <w:rPr>
          <w:rFonts w:ascii="Arial" w:hAnsi="Arial" w:cs="Arial"/>
        </w:rPr>
      </w:pPr>
      <w:r w:rsidRPr="008F39F5">
        <w:rPr>
          <w:rFonts w:ascii="Arial" w:hAnsi="Arial" w:cs="Arial"/>
        </w:rPr>
        <w:t>In Mexico City</w:t>
      </w:r>
      <w:r w:rsidR="00AC3548">
        <w:rPr>
          <w:rFonts w:ascii="Arial" w:hAnsi="Arial" w:cs="Arial"/>
        </w:rPr>
        <w:t xml:space="preserve"> </w:t>
      </w:r>
      <w:r w:rsidR="00F5084E" w:rsidRPr="00F5084E">
        <w:rPr>
          <w:rFonts w:ascii="Arial" w:hAnsi="Arial" w:cs="Arial"/>
          <w:highlight w:val="yellow"/>
        </w:rPr>
        <w:t>(Anguiano-Velazquez et al 2024, Lopez-Hernandez et al. 2024)</w:t>
      </w:r>
      <w:r w:rsidR="00F5084E">
        <w:rPr>
          <w:rFonts w:ascii="Arial" w:hAnsi="Arial" w:cs="Arial"/>
        </w:rPr>
        <w:t xml:space="preserve"> </w:t>
      </w:r>
      <w:r w:rsidR="00AC3548">
        <w:rPr>
          <w:rFonts w:ascii="Arial" w:hAnsi="Arial" w:cs="Arial"/>
        </w:rPr>
        <w:t>and Puebla State</w:t>
      </w:r>
      <w:r w:rsidR="00F5084E">
        <w:rPr>
          <w:rFonts w:ascii="Arial" w:hAnsi="Arial" w:cs="Arial"/>
        </w:rPr>
        <w:t xml:space="preserve"> </w:t>
      </w:r>
      <w:r w:rsidR="00F5084E" w:rsidRPr="00F5084E">
        <w:rPr>
          <w:rFonts w:ascii="Arial" w:hAnsi="Arial" w:cs="Arial"/>
          <w:highlight w:val="yellow"/>
        </w:rPr>
        <w:t>(Castillo-Cruz et al. 2025)</w:t>
      </w:r>
      <w:r w:rsidRPr="008F39F5">
        <w:rPr>
          <w:rFonts w:ascii="Arial" w:hAnsi="Arial" w:cs="Arial"/>
        </w:rPr>
        <w:t xml:space="preserve">, </w:t>
      </w:r>
      <w:r w:rsidR="00AC3548">
        <w:rPr>
          <w:rFonts w:ascii="Arial" w:hAnsi="Arial" w:cs="Arial"/>
        </w:rPr>
        <w:t xml:space="preserve">our </w:t>
      </w:r>
      <w:r w:rsidRPr="008F39F5">
        <w:rPr>
          <w:rFonts w:ascii="Arial" w:hAnsi="Arial" w:cs="Arial"/>
        </w:rPr>
        <w:t xml:space="preserve">previous studies show that </w:t>
      </w:r>
      <w:r w:rsidR="003829AB" w:rsidRPr="008F39F5">
        <w:rPr>
          <w:rFonts w:ascii="Arial" w:hAnsi="Arial" w:cs="Arial"/>
        </w:rPr>
        <w:t>in</w:t>
      </w:r>
      <w:r w:rsidR="00893E8A" w:rsidRPr="008F39F5">
        <w:rPr>
          <w:rFonts w:ascii="Arial" w:hAnsi="Arial" w:cs="Arial"/>
        </w:rPr>
        <w:t xml:space="preserve"> mature adults and elderly</w:t>
      </w:r>
      <w:r w:rsidR="00C74112">
        <w:rPr>
          <w:rFonts w:ascii="Arial" w:hAnsi="Arial" w:cs="Arial"/>
        </w:rPr>
        <w:t xml:space="preserve"> population</w:t>
      </w:r>
      <w:r w:rsidR="00893E8A" w:rsidRPr="008F39F5">
        <w:rPr>
          <w:rFonts w:ascii="Arial" w:hAnsi="Arial" w:cs="Arial"/>
        </w:rPr>
        <w:t xml:space="preserve">, the top three comorbidities </w:t>
      </w:r>
      <w:r w:rsidRPr="008F39F5">
        <w:rPr>
          <w:rFonts w:ascii="Arial" w:hAnsi="Arial" w:cs="Arial"/>
        </w:rPr>
        <w:t>in patients with COVID-19</w:t>
      </w:r>
      <w:r w:rsidR="003829AB" w:rsidRPr="008F39F5">
        <w:rPr>
          <w:rFonts w:ascii="Arial" w:hAnsi="Arial" w:cs="Arial"/>
        </w:rPr>
        <w:t xml:space="preserve"> are hypertension, diabetes and obesity</w:t>
      </w:r>
      <w:r w:rsidR="006C17C9">
        <w:rPr>
          <w:rFonts w:ascii="Arial" w:hAnsi="Arial" w:cs="Arial"/>
        </w:rPr>
        <w:t xml:space="preserve">, </w:t>
      </w:r>
      <w:r w:rsidR="006C17C9" w:rsidRPr="006C17C9">
        <w:rPr>
          <w:rFonts w:ascii="Arial" w:hAnsi="Arial" w:cs="Arial"/>
          <w:highlight w:val="yellow"/>
        </w:rPr>
        <w:t>similar to a national reported general-based population study</w:t>
      </w:r>
      <w:r w:rsidR="003829AB" w:rsidRPr="008F39F5">
        <w:rPr>
          <w:rFonts w:ascii="Arial" w:hAnsi="Arial" w:cs="Arial"/>
        </w:rPr>
        <w:t xml:space="preserve"> (</w:t>
      </w:r>
      <w:r w:rsidR="00AC3548">
        <w:rPr>
          <w:rFonts w:ascii="Arial" w:hAnsi="Arial" w:cs="Arial"/>
        </w:rPr>
        <w:t>López-Hernández 2022</w:t>
      </w:r>
      <w:r w:rsidR="003829AB" w:rsidRPr="008F39F5">
        <w:rPr>
          <w:rFonts w:ascii="Arial" w:hAnsi="Arial" w:cs="Arial"/>
        </w:rPr>
        <w:t xml:space="preserve">). </w:t>
      </w:r>
      <w:r w:rsidR="00C74112">
        <w:rPr>
          <w:rFonts w:ascii="Arial" w:hAnsi="Arial" w:cs="Arial"/>
        </w:rPr>
        <w:t>Additionally, s</w:t>
      </w:r>
      <w:r w:rsidR="00C74112" w:rsidRPr="00C74112">
        <w:rPr>
          <w:rFonts w:ascii="Arial" w:hAnsi="Arial" w:cs="Arial"/>
        </w:rPr>
        <w:t>everal studies have identified particular comorbidities that are risk factors for COVID-19 and associated adverse outcomes specifically within the Latin American population</w:t>
      </w:r>
      <w:r w:rsidR="00C74112">
        <w:rPr>
          <w:rFonts w:ascii="Arial" w:hAnsi="Arial" w:cs="Arial"/>
        </w:rPr>
        <w:t xml:space="preserve"> (</w:t>
      </w:r>
      <w:r w:rsidR="00C74112" w:rsidRPr="00C74112">
        <w:rPr>
          <w:rFonts w:ascii="Arial" w:hAnsi="Arial" w:cs="Arial"/>
        </w:rPr>
        <w:t>LaRotta</w:t>
      </w:r>
      <w:r w:rsidR="00C74112">
        <w:rPr>
          <w:rFonts w:ascii="Arial" w:hAnsi="Arial" w:cs="Arial"/>
        </w:rPr>
        <w:t xml:space="preserve"> et al. </w:t>
      </w:r>
      <w:r w:rsidR="00C74112" w:rsidRPr="00C74112">
        <w:rPr>
          <w:rFonts w:ascii="Arial" w:hAnsi="Arial" w:cs="Arial"/>
        </w:rPr>
        <w:t>2023</w:t>
      </w:r>
      <w:r w:rsidR="00C74112">
        <w:rPr>
          <w:rFonts w:ascii="Arial" w:hAnsi="Arial" w:cs="Arial"/>
        </w:rPr>
        <w:t>)</w:t>
      </w:r>
      <w:r w:rsidR="00C74112" w:rsidRPr="00C74112">
        <w:rPr>
          <w:rFonts w:ascii="Arial" w:hAnsi="Arial" w:cs="Arial"/>
        </w:rPr>
        <w:t xml:space="preserve">. </w:t>
      </w:r>
      <w:r w:rsidR="00AB062A" w:rsidRPr="00AB062A">
        <w:rPr>
          <w:rFonts w:ascii="Arial" w:hAnsi="Arial" w:cs="Arial"/>
        </w:rPr>
        <w:t xml:space="preserve">A systematic review and meta-analysis found that individuals in Latin America with diabetes mellitus, cardiovascular disease, obesity, lung disease, chronic kidney disease, and liver disease had different fatality rates from COVID-19 compared with regions from Asia, Europe and the United States of America (Thakur et al. 2021, LaRotta et al. 2023). </w:t>
      </w:r>
      <w:r w:rsidR="00912E19" w:rsidRPr="00912E19">
        <w:rPr>
          <w:rFonts w:ascii="Arial" w:hAnsi="Arial" w:cs="Arial"/>
        </w:rPr>
        <w:t xml:space="preserve">In addition, </w:t>
      </w:r>
      <w:r w:rsidR="00912E19" w:rsidRPr="00F5084E">
        <w:rPr>
          <w:rFonts w:ascii="Arial" w:hAnsi="Arial" w:cs="Arial"/>
          <w:highlight w:val="yellow"/>
        </w:rPr>
        <w:t xml:space="preserve">dementia </w:t>
      </w:r>
      <w:r w:rsidR="00F5084E" w:rsidRPr="00F5084E">
        <w:rPr>
          <w:rFonts w:ascii="Arial" w:hAnsi="Arial" w:cs="Arial"/>
          <w:highlight w:val="yellow"/>
        </w:rPr>
        <w:t xml:space="preserve">also </w:t>
      </w:r>
      <w:r w:rsidR="00912E19" w:rsidRPr="00F5084E">
        <w:rPr>
          <w:rFonts w:ascii="Arial" w:hAnsi="Arial" w:cs="Arial"/>
          <w:highlight w:val="yellow"/>
        </w:rPr>
        <w:t>w</w:t>
      </w:r>
      <w:r w:rsidR="00F5084E">
        <w:rPr>
          <w:rFonts w:ascii="Arial" w:hAnsi="Arial" w:cs="Arial"/>
          <w:highlight w:val="yellow"/>
        </w:rPr>
        <w:t>as</w:t>
      </w:r>
      <w:r w:rsidR="00912E19" w:rsidRPr="00912E19">
        <w:rPr>
          <w:rFonts w:ascii="Arial" w:hAnsi="Arial" w:cs="Arial"/>
        </w:rPr>
        <w:t xml:space="preserve"> associated with fatal COVID-19 in different world regions (Europe, Africa, North America, Western Pacific regions, Eastern Mediterranean region and Latin America),</w:t>
      </w:r>
      <w:r w:rsidR="00D9097F">
        <w:rPr>
          <w:rFonts w:ascii="Arial" w:hAnsi="Arial" w:cs="Arial"/>
        </w:rPr>
        <w:t xml:space="preserve"> although the estimates varied e</w:t>
      </w:r>
      <w:r w:rsidR="00912E19" w:rsidRPr="00912E19">
        <w:rPr>
          <w:rFonts w:ascii="Arial" w:hAnsi="Arial" w:cs="Arial"/>
        </w:rPr>
        <w:t xml:space="preserve">vidence from Europe and North America </w:t>
      </w:r>
      <w:r w:rsidR="00D9097F">
        <w:rPr>
          <w:rFonts w:ascii="Arial" w:hAnsi="Arial" w:cs="Arial"/>
        </w:rPr>
        <w:t xml:space="preserve"> that </w:t>
      </w:r>
      <w:r w:rsidR="00912E19" w:rsidRPr="00912E19">
        <w:rPr>
          <w:rFonts w:ascii="Arial" w:hAnsi="Arial" w:cs="Arial"/>
        </w:rPr>
        <w:t xml:space="preserve">showed that liver cirrhosis and cancer were also associated with an increased risk of death. </w:t>
      </w:r>
      <w:r w:rsidR="00D9097F">
        <w:rPr>
          <w:rFonts w:ascii="Arial" w:hAnsi="Arial" w:cs="Arial"/>
        </w:rPr>
        <w:t xml:space="preserve"> On the other hand, t</w:t>
      </w:r>
      <w:r w:rsidR="00912E19" w:rsidRPr="00912E19">
        <w:rPr>
          <w:rFonts w:ascii="Arial" w:hAnsi="Arial" w:cs="Arial"/>
        </w:rPr>
        <w:t>he association between HIV and COVID-19 showed an increased risk of death in Africa</w:t>
      </w:r>
      <w:r w:rsidR="00912E19">
        <w:rPr>
          <w:rFonts w:ascii="Arial" w:hAnsi="Arial" w:cs="Arial"/>
        </w:rPr>
        <w:t xml:space="preserve"> (</w:t>
      </w:r>
      <w:r w:rsidR="00912E19" w:rsidRPr="00912E19">
        <w:rPr>
          <w:rFonts w:ascii="Arial" w:hAnsi="Arial" w:cs="Arial"/>
        </w:rPr>
        <w:t>Treskova-Schwarzbach</w:t>
      </w:r>
      <w:r w:rsidR="00912E19">
        <w:rPr>
          <w:rFonts w:ascii="Arial" w:hAnsi="Arial" w:cs="Arial"/>
        </w:rPr>
        <w:t xml:space="preserve"> et al. </w:t>
      </w:r>
      <w:r w:rsidR="00912E19" w:rsidRPr="00912E19">
        <w:rPr>
          <w:rFonts w:ascii="Arial" w:hAnsi="Arial" w:cs="Arial"/>
        </w:rPr>
        <w:t>2021</w:t>
      </w:r>
      <w:r w:rsidR="00912E19">
        <w:rPr>
          <w:rFonts w:ascii="Arial" w:hAnsi="Arial" w:cs="Arial"/>
        </w:rPr>
        <w:t>)</w:t>
      </w:r>
      <w:r w:rsidR="00912E19" w:rsidRPr="00912E19">
        <w:rPr>
          <w:rFonts w:ascii="Arial" w:hAnsi="Arial" w:cs="Arial"/>
        </w:rPr>
        <w:t>.</w:t>
      </w:r>
      <w:r w:rsidR="00D9097F">
        <w:rPr>
          <w:rFonts w:ascii="Arial" w:hAnsi="Arial" w:cs="Arial"/>
        </w:rPr>
        <w:t xml:space="preserve"> That is more, </w:t>
      </w:r>
      <w:r w:rsidR="000471B4">
        <w:rPr>
          <w:rFonts w:ascii="Arial" w:hAnsi="Arial" w:cs="Arial"/>
        </w:rPr>
        <w:t xml:space="preserve"> </w:t>
      </w:r>
      <w:r w:rsidR="00D9097F">
        <w:rPr>
          <w:rFonts w:ascii="Arial" w:hAnsi="Arial" w:cs="Arial"/>
        </w:rPr>
        <w:t>i</w:t>
      </w:r>
      <w:r w:rsidR="000471B4" w:rsidRPr="000471B4">
        <w:rPr>
          <w:rFonts w:ascii="Arial" w:hAnsi="Arial" w:cs="Arial"/>
        </w:rPr>
        <w:t xml:space="preserve">n the same meta-analysis of global data, which examined risk factors at a regional level, pre-existing conditions associated with adverse COVID-19 outcomes in Latin America included diabetes (associated with </w:t>
      </w:r>
      <w:r w:rsidR="00603F40" w:rsidRPr="00603F40">
        <w:rPr>
          <w:rFonts w:ascii="Arial" w:hAnsi="Arial" w:cs="Arial"/>
          <w:highlight w:val="yellow"/>
        </w:rPr>
        <w:t>Intensive Care Unit</w:t>
      </w:r>
      <w:r w:rsidR="00603F40">
        <w:rPr>
          <w:rFonts w:ascii="Arial" w:hAnsi="Arial" w:cs="Arial"/>
        </w:rPr>
        <w:t xml:space="preserve"> [</w:t>
      </w:r>
      <w:r w:rsidR="000471B4" w:rsidRPr="000471B4">
        <w:rPr>
          <w:rFonts w:ascii="Arial" w:hAnsi="Arial" w:cs="Arial"/>
        </w:rPr>
        <w:t>ICU</w:t>
      </w:r>
      <w:r w:rsidR="00603F40">
        <w:rPr>
          <w:rFonts w:ascii="Arial" w:hAnsi="Arial" w:cs="Arial"/>
        </w:rPr>
        <w:t>]</w:t>
      </w:r>
      <w:r w:rsidR="000471B4" w:rsidRPr="000471B4">
        <w:rPr>
          <w:rFonts w:ascii="Arial" w:hAnsi="Arial" w:cs="Arial"/>
        </w:rPr>
        <w:t xml:space="preserve"> admission and death), chronic kidney disease (hospitalisation), </w:t>
      </w:r>
      <w:r w:rsidR="00373B00" w:rsidRPr="00783E8F">
        <w:rPr>
          <w:rFonts w:ascii="Arial" w:hAnsi="Arial" w:cs="Arial"/>
          <w:highlight w:val="yellow"/>
        </w:rPr>
        <w:t>COPD</w:t>
      </w:r>
      <w:r w:rsidR="00373B00">
        <w:rPr>
          <w:rFonts w:ascii="Arial" w:hAnsi="Arial" w:cs="Arial"/>
        </w:rPr>
        <w:t xml:space="preserve"> </w:t>
      </w:r>
      <w:r w:rsidR="000471B4" w:rsidRPr="000471B4">
        <w:rPr>
          <w:rFonts w:ascii="Arial" w:hAnsi="Arial" w:cs="Arial"/>
        </w:rPr>
        <w:t xml:space="preserve">(hospitalisation and death), respiratory disease (hospitalisation), hypertension (ICU admission), obesity (ICU admission and death), immunosuppression (hospitalisation and death), and neurological disease (death) </w:t>
      </w:r>
      <w:r w:rsidR="000471B4">
        <w:rPr>
          <w:rFonts w:ascii="Arial" w:hAnsi="Arial" w:cs="Arial"/>
        </w:rPr>
        <w:t>(</w:t>
      </w:r>
      <w:r w:rsidR="000471B4" w:rsidRPr="00912E19">
        <w:rPr>
          <w:rFonts w:ascii="Arial" w:hAnsi="Arial" w:cs="Arial"/>
        </w:rPr>
        <w:t>Treskova-Schwarzbach</w:t>
      </w:r>
      <w:r w:rsidR="000471B4">
        <w:rPr>
          <w:rFonts w:ascii="Arial" w:hAnsi="Arial" w:cs="Arial"/>
        </w:rPr>
        <w:t xml:space="preserve"> et al. </w:t>
      </w:r>
      <w:r w:rsidR="000471B4" w:rsidRPr="00912E19">
        <w:rPr>
          <w:rFonts w:ascii="Arial" w:hAnsi="Arial" w:cs="Arial"/>
        </w:rPr>
        <w:t>2021</w:t>
      </w:r>
      <w:r w:rsidR="000471B4">
        <w:rPr>
          <w:rFonts w:ascii="Arial" w:hAnsi="Arial" w:cs="Arial"/>
        </w:rPr>
        <w:t>, LaRotta et al. 2023)</w:t>
      </w:r>
      <w:r w:rsidR="000471B4" w:rsidRPr="000471B4">
        <w:rPr>
          <w:rFonts w:ascii="Arial" w:hAnsi="Arial" w:cs="Arial"/>
        </w:rPr>
        <w:t>.</w:t>
      </w:r>
      <w:r w:rsidR="006A71B1">
        <w:rPr>
          <w:rFonts w:ascii="Arial" w:hAnsi="Arial" w:cs="Arial"/>
        </w:rPr>
        <w:t xml:space="preserve"> </w:t>
      </w:r>
      <w:r w:rsidR="006A71B1" w:rsidRPr="00C74112">
        <w:rPr>
          <w:rFonts w:ascii="Arial" w:hAnsi="Arial" w:cs="Arial"/>
        </w:rPr>
        <w:t>Furthermore</w:t>
      </w:r>
      <w:r w:rsidR="00C74112" w:rsidRPr="00C74112">
        <w:rPr>
          <w:rFonts w:ascii="Arial" w:hAnsi="Arial" w:cs="Arial"/>
        </w:rPr>
        <w:t xml:space="preserve">, a single-centre study in Peru found that the most frequent comorbidities identified among SARS-CoV-2–positive patients were hypertension, obesity, and diabetes </w:t>
      </w:r>
      <w:r w:rsidR="006A71B1">
        <w:rPr>
          <w:rFonts w:ascii="Arial" w:hAnsi="Arial" w:cs="Arial"/>
        </w:rPr>
        <w:t>(</w:t>
      </w:r>
      <w:r w:rsidR="006A71B1" w:rsidRPr="006A71B1">
        <w:rPr>
          <w:rFonts w:ascii="Arial" w:hAnsi="Arial" w:cs="Arial"/>
        </w:rPr>
        <w:t xml:space="preserve">Tejada-López </w:t>
      </w:r>
      <w:r w:rsidR="006A71B1">
        <w:rPr>
          <w:rFonts w:ascii="Arial" w:hAnsi="Arial" w:cs="Arial"/>
        </w:rPr>
        <w:t xml:space="preserve">et al. </w:t>
      </w:r>
      <w:r w:rsidR="006A71B1" w:rsidRPr="006A71B1">
        <w:rPr>
          <w:rFonts w:ascii="Arial" w:hAnsi="Arial" w:cs="Arial"/>
        </w:rPr>
        <w:t>2021</w:t>
      </w:r>
      <w:r w:rsidR="004A10BF">
        <w:rPr>
          <w:rFonts w:ascii="Arial" w:hAnsi="Arial" w:cs="Arial"/>
        </w:rPr>
        <w:t>, LaRotta et al. 2023</w:t>
      </w:r>
      <w:r w:rsidR="006A71B1">
        <w:rPr>
          <w:rFonts w:ascii="Arial" w:hAnsi="Arial" w:cs="Arial"/>
        </w:rPr>
        <w:t>)</w:t>
      </w:r>
      <w:r w:rsidR="00E80965">
        <w:rPr>
          <w:rFonts w:ascii="Arial" w:hAnsi="Arial" w:cs="Arial"/>
        </w:rPr>
        <w:t xml:space="preserve">, </w:t>
      </w:r>
      <w:r w:rsidR="00E80965" w:rsidRPr="00983F50">
        <w:rPr>
          <w:rFonts w:ascii="Arial" w:hAnsi="Arial" w:cs="Arial"/>
          <w:highlight w:val="yellow"/>
        </w:rPr>
        <w:t>similarly to a multicentre cohort study from China</w:t>
      </w:r>
      <w:r w:rsidR="00983F50" w:rsidRPr="00983F50">
        <w:rPr>
          <w:rFonts w:ascii="Arial" w:hAnsi="Arial" w:cs="Arial"/>
          <w:highlight w:val="yellow"/>
        </w:rPr>
        <w:t xml:space="preserve"> where the most common comorbidities in COVID-19 patients are hypertension, diabetes, and coronary heart disease</w:t>
      </w:r>
      <w:r w:rsidR="00983F50">
        <w:rPr>
          <w:rFonts w:ascii="Arial" w:hAnsi="Arial" w:cs="Arial"/>
          <w:highlight w:val="yellow"/>
        </w:rPr>
        <w:t xml:space="preserve"> </w:t>
      </w:r>
      <w:r w:rsidR="00983F50" w:rsidRPr="00BD6878">
        <w:rPr>
          <w:rFonts w:ascii="Arial" w:hAnsi="Arial" w:cs="Arial"/>
          <w:highlight w:val="yellow"/>
        </w:rPr>
        <w:t>(</w:t>
      </w:r>
      <w:r w:rsidR="00BD6878" w:rsidRPr="00BD6878">
        <w:rPr>
          <w:rFonts w:ascii="Arial" w:hAnsi="Arial" w:cs="Arial"/>
          <w:highlight w:val="yellow"/>
        </w:rPr>
        <w:t>Zhou et al. 2020)</w:t>
      </w:r>
      <w:r w:rsidR="00983F50" w:rsidRPr="00BD6878">
        <w:rPr>
          <w:rFonts w:ascii="Arial" w:hAnsi="Arial" w:cs="Arial"/>
          <w:highlight w:val="yellow"/>
        </w:rPr>
        <w:t>. T</w:t>
      </w:r>
      <w:r w:rsidR="00760853" w:rsidRPr="00BD6878">
        <w:rPr>
          <w:rFonts w:ascii="Arial" w:hAnsi="Arial" w:cs="Arial"/>
          <w:highlight w:val="yellow"/>
        </w:rPr>
        <w:t>hese</w:t>
      </w:r>
      <w:r w:rsidR="00760853" w:rsidRPr="00760853">
        <w:rPr>
          <w:rFonts w:ascii="Arial" w:hAnsi="Arial" w:cs="Arial"/>
        </w:rPr>
        <w:t xml:space="preserve"> comorbidities were also identified as risk factors for mortality in COVID-19 patients in eight Latin American countries</w:t>
      </w:r>
      <w:r w:rsidR="00760853">
        <w:rPr>
          <w:rFonts w:ascii="Arial" w:hAnsi="Arial" w:cs="Arial"/>
        </w:rPr>
        <w:t xml:space="preserve"> (</w:t>
      </w:r>
      <w:r w:rsidR="00760853" w:rsidRPr="00E74100">
        <w:rPr>
          <w:rFonts w:ascii="Arial" w:hAnsi="Arial" w:cs="Arial"/>
        </w:rPr>
        <w:t>Ashktorab</w:t>
      </w:r>
      <w:r w:rsidR="00760853">
        <w:rPr>
          <w:rFonts w:ascii="Arial" w:hAnsi="Arial" w:cs="Arial"/>
        </w:rPr>
        <w:t xml:space="preserve"> et al.</w:t>
      </w:r>
      <w:r w:rsidR="00760853" w:rsidRPr="00E74100">
        <w:rPr>
          <w:rFonts w:ascii="Arial" w:hAnsi="Arial" w:cs="Arial"/>
        </w:rPr>
        <w:t xml:space="preserve"> 2021</w:t>
      </w:r>
      <w:r w:rsidR="00760853">
        <w:rPr>
          <w:rFonts w:ascii="Arial" w:hAnsi="Arial" w:cs="Arial"/>
        </w:rPr>
        <w:t>).</w:t>
      </w:r>
      <w:r w:rsidR="002F6FE0">
        <w:rPr>
          <w:rFonts w:ascii="Arial" w:hAnsi="Arial" w:cs="Arial"/>
        </w:rPr>
        <w:t xml:space="preserve"> </w:t>
      </w:r>
      <w:r w:rsidR="00D9097F">
        <w:rPr>
          <w:rFonts w:ascii="Arial" w:hAnsi="Arial" w:cs="Arial"/>
        </w:rPr>
        <w:t xml:space="preserve">Thus, </w:t>
      </w:r>
      <w:r w:rsidR="00D9097F">
        <w:rPr>
          <w:rFonts w:ascii="Arial" w:hAnsi="Arial" w:cs="Arial"/>
          <w:highlight w:val="yellow"/>
        </w:rPr>
        <w:t>o</w:t>
      </w:r>
      <w:r w:rsidR="00BD6878" w:rsidRPr="00BD6878">
        <w:rPr>
          <w:rFonts w:ascii="Arial" w:hAnsi="Arial" w:cs="Arial"/>
          <w:highlight w:val="yellow"/>
        </w:rPr>
        <w:t>ur previous studies found hypertension, diabetes, cancer, neurodegenerative diseases, cardiovascular diseases, obesity, and kidney diseases to be the most common comorbidities in COVID-19 patients (Lopez-Hernandez, 2022; Lopez-Hernandez et al</w:t>
      </w:r>
      <w:r w:rsidR="00BD6878" w:rsidRPr="001F1B9A">
        <w:rPr>
          <w:rFonts w:ascii="Arial" w:hAnsi="Arial" w:cs="Arial"/>
          <w:highlight w:val="yellow"/>
        </w:rPr>
        <w:t>., 2024).</w:t>
      </w:r>
      <w:r w:rsidR="00D9097F">
        <w:rPr>
          <w:rFonts w:ascii="Arial" w:hAnsi="Arial" w:cs="Arial"/>
          <w:highlight w:val="yellow"/>
        </w:rPr>
        <w:t>in contrast, i</w:t>
      </w:r>
      <w:r w:rsidR="001F1B9A" w:rsidRPr="001F1B9A">
        <w:rPr>
          <w:rFonts w:ascii="Arial" w:hAnsi="Arial" w:cs="Arial"/>
          <w:highlight w:val="yellow"/>
        </w:rPr>
        <w:t>n the United States, the most prevalent comorbidities among COVID-19 patients are hypertension (56%), obesity (42%), and diabetes (34%), though their ranking differs from other populations (Kammar-García et al., 2020). Similarly, in Mexico, diabetes, hypertension, and obesity are the primary comorbidities, consistently identified as key risk factors (Kammar-García et al., 2020; Lopez-Hernandez, 2022). In China, the most prevalent comorbidity among COVID-19 patients is hypertension (30%), followed by diabetes (19%) and coronary heart disease (8%) (Zhou et al., 2020).</w:t>
      </w:r>
      <w:r w:rsidR="001F1B9A">
        <w:rPr>
          <w:rFonts w:ascii="Arial" w:hAnsi="Arial" w:cs="Arial"/>
        </w:rPr>
        <w:t xml:space="preserve"> </w:t>
      </w:r>
      <w:r w:rsidR="008F0C48" w:rsidRPr="008F0C48">
        <w:rPr>
          <w:rFonts w:ascii="Arial" w:hAnsi="Arial" w:cs="Arial"/>
        </w:rPr>
        <w:t xml:space="preserve">Likewise, in patients from Puebla, Mexico, hypertension and type 2 diabetes were common in both sexes, whereas obesity was significantly more prevalent in males. </w:t>
      </w:r>
      <w:r w:rsidR="00D9097F">
        <w:rPr>
          <w:rFonts w:ascii="Arial" w:hAnsi="Arial" w:cs="Arial"/>
        </w:rPr>
        <w:t>Accordingly, t</w:t>
      </w:r>
      <w:r w:rsidR="008F0C48" w:rsidRPr="008F0C48">
        <w:rPr>
          <w:rFonts w:ascii="Arial" w:hAnsi="Arial" w:cs="Arial"/>
        </w:rPr>
        <w:t>hese findings contrast with data from the Mexican population in Mexico City, suggesting potential differences influenced by lifestyle factors (Lopez-Hernandez et al., 2024).</w:t>
      </w:r>
      <w:r w:rsidR="008F0C48">
        <w:rPr>
          <w:rFonts w:ascii="Arial" w:hAnsi="Arial" w:cs="Arial"/>
        </w:rPr>
        <w:t xml:space="preserve"> Moreover, our data reported that </w:t>
      </w:r>
      <w:r w:rsidR="00373B00">
        <w:rPr>
          <w:rFonts w:ascii="Arial" w:hAnsi="Arial" w:cs="Arial"/>
        </w:rPr>
        <w:t xml:space="preserve">diabetes increases the risk of severe COVID-19, and </w:t>
      </w:r>
      <w:r w:rsidR="00373B00" w:rsidRPr="00201CE1">
        <w:rPr>
          <w:rFonts w:ascii="Arial" w:hAnsi="Arial" w:cs="Arial"/>
          <w:highlight w:val="yellow"/>
        </w:rPr>
        <w:t>COPD</w:t>
      </w:r>
      <w:r w:rsidR="00373B00">
        <w:rPr>
          <w:rFonts w:ascii="Arial" w:hAnsi="Arial" w:cs="Arial"/>
        </w:rPr>
        <w:t xml:space="preserve"> reduces the likelihood of clinical improvement of COVID-19.</w:t>
      </w:r>
      <w:r w:rsidR="00787EB8">
        <w:rPr>
          <w:rFonts w:ascii="Arial" w:hAnsi="Arial" w:cs="Arial"/>
        </w:rPr>
        <w:t xml:space="preserve"> Other indicators of severity in our study population were a</w:t>
      </w:r>
      <w:r w:rsidR="00787EB8" w:rsidRPr="00787EB8">
        <w:rPr>
          <w:rFonts w:ascii="Arial" w:hAnsi="Arial" w:cs="Arial"/>
        </w:rPr>
        <w:t>ge</w:t>
      </w:r>
      <w:r w:rsidR="00787EB8">
        <w:rPr>
          <w:rFonts w:ascii="Arial" w:hAnsi="Arial" w:cs="Arial"/>
        </w:rPr>
        <w:t>, h</w:t>
      </w:r>
      <w:r w:rsidR="00787EB8" w:rsidRPr="00787EB8">
        <w:rPr>
          <w:rFonts w:ascii="Arial" w:hAnsi="Arial" w:cs="Arial"/>
        </w:rPr>
        <w:t>eadache</w:t>
      </w:r>
      <w:r w:rsidR="00787EB8">
        <w:rPr>
          <w:rFonts w:ascii="Arial" w:hAnsi="Arial" w:cs="Arial"/>
        </w:rPr>
        <w:t>, d</w:t>
      </w:r>
      <w:r w:rsidR="00787EB8" w:rsidRPr="00787EB8">
        <w:rPr>
          <w:rFonts w:ascii="Arial" w:hAnsi="Arial" w:cs="Arial"/>
        </w:rPr>
        <w:t>yspnoea</w:t>
      </w:r>
      <w:r w:rsidR="00787EB8">
        <w:rPr>
          <w:rFonts w:ascii="Arial" w:hAnsi="Arial" w:cs="Arial"/>
        </w:rPr>
        <w:t>, and c</w:t>
      </w:r>
      <w:r w:rsidR="00787EB8" w:rsidRPr="00787EB8">
        <w:rPr>
          <w:rFonts w:ascii="Arial" w:hAnsi="Arial" w:cs="Arial"/>
        </w:rPr>
        <w:t>oryza</w:t>
      </w:r>
      <w:r w:rsidR="00787EB8">
        <w:rPr>
          <w:rFonts w:ascii="Arial" w:hAnsi="Arial" w:cs="Arial"/>
        </w:rPr>
        <w:t xml:space="preserve">. </w:t>
      </w:r>
      <w:r w:rsidR="002D5B1B" w:rsidRPr="002D5B1B">
        <w:rPr>
          <w:rFonts w:ascii="Arial" w:hAnsi="Arial" w:cs="Arial"/>
        </w:rPr>
        <w:t xml:space="preserve">Conversely, the use of nirmatrelvir/ritonavir was significantly associated with a reduction in the severity and mortality of COVID-19, alongside enhanced clinical improvement. Nirmatrelvir-ritonavir is the only authorised oral therapy for COVID-19 and is advised for treating mild to moderate SARS-CoV-2 infections in individuals </w:t>
      </w:r>
      <w:r w:rsidR="002D5B1B" w:rsidRPr="002D5B1B">
        <w:rPr>
          <w:rFonts w:ascii="Arial" w:hAnsi="Arial" w:cs="Arial"/>
        </w:rPr>
        <w:lastRenderedPageBreak/>
        <w:t>at high risk of progression to severe disease. This encompasses individuals aged 50 years</w:t>
      </w:r>
      <w:r w:rsidR="00D9097F">
        <w:rPr>
          <w:rFonts w:ascii="Arial" w:hAnsi="Arial" w:cs="Arial"/>
        </w:rPr>
        <w:t xml:space="preserve"> old</w:t>
      </w:r>
      <w:r w:rsidR="002D5B1B" w:rsidRPr="002D5B1B">
        <w:rPr>
          <w:rFonts w:ascii="Arial" w:hAnsi="Arial" w:cs="Arial"/>
        </w:rPr>
        <w:t xml:space="preserve"> or older, particularly those aged 65 years </w:t>
      </w:r>
      <w:r w:rsidR="00406E73">
        <w:rPr>
          <w:rFonts w:ascii="Arial" w:hAnsi="Arial" w:cs="Arial"/>
        </w:rPr>
        <w:t xml:space="preserve">old </w:t>
      </w:r>
      <w:r w:rsidR="002D5B1B" w:rsidRPr="002D5B1B">
        <w:rPr>
          <w:rFonts w:ascii="Arial" w:hAnsi="Arial" w:cs="Arial"/>
        </w:rPr>
        <w:t>and above, as well as younger individuals who have any of a lengthy list of comorbidities that heighten the risk of severe COVID-19</w:t>
      </w:r>
      <w:r w:rsidR="002D5B1B">
        <w:rPr>
          <w:rFonts w:ascii="Arial" w:hAnsi="Arial" w:cs="Arial"/>
        </w:rPr>
        <w:t xml:space="preserve"> (</w:t>
      </w:r>
      <w:r w:rsidR="002D5B1B" w:rsidRPr="002D5B1B">
        <w:rPr>
          <w:rFonts w:ascii="Arial" w:hAnsi="Arial" w:cs="Arial"/>
        </w:rPr>
        <w:t xml:space="preserve">Rubin </w:t>
      </w:r>
      <w:r w:rsidR="002D5B1B">
        <w:rPr>
          <w:rFonts w:ascii="Arial" w:hAnsi="Arial" w:cs="Arial"/>
        </w:rPr>
        <w:t>2024)</w:t>
      </w:r>
      <w:r w:rsidR="002D5B1B" w:rsidRPr="002D5B1B">
        <w:rPr>
          <w:rFonts w:ascii="Arial" w:hAnsi="Arial" w:cs="Arial"/>
        </w:rPr>
        <w:t>.</w:t>
      </w:r>
      <w:r w:rsidR="00055970" w:rsidRPr="00055970">
        <w:t xml:space="preserve"> </w:t>
      </w:r>
      <w:r w:rsidR="00406E73">
        <w:t xml:space="preserve">Hence, </w:t>
      </w:r>
      <w:r w:rsidR="00406E73">
        <w:rPr>
          <w:rFonts w:ascii="Arial" w:hAnsi="Arial" w:cs="Arial"/>
        </w:rPr>
        <w:t>t</w:t>
      </w:r>
      <w:r w:rsidR="00055970" w:rsidRPr="00055970">
        <w:rPr>
          <w:rFonts w:ascii="Arial" w:hAnsi="Arial" w:cs="Arial"/>
        </w:rPr>
        <w:t>he results observed in a systematic review and meta-analysis are consistent with our findings. The meta-analysis indicated that compared to standard treatment without antivirals, nirmatrelvir-ritonavir reduced the risk of death by 59% (OR=0.41; 95% CI 0.35–0.52)</w:t>
      </w:r>
      <w:r w:rsidR="00055970">
        <w:rPr>
          <w:rFonts w:ascii="Arial" w:hAnsi="Arial" w:cs="Arial"/>
        </w:rPr>
        <w:t xml:space="preserve"> (</w:t>
      </w:r>
      <w:r w:rsidR="00055970" w:rsidRPr="00055970">
        <w:rPr>
          <w:rFonts w:ascii="Arial" w:hAnsi="Arial" w:cs="Arial"/>
        </w:rPr>
        <w:t>Souza</w:t>
      </w:r>
      <w:r w:rsidR="00055970">
        <w:rPr>
          <w:rFonts w:ascii="Arial" w:hAnsi="Arial" w:cs="Arial"/>
        </w:rPr>
        <w:t xml:space="preserve"> et al. </w:t>
      </w:r>
      <w:r w:rsidR="00055970" w:rsidRPr="00055970">
        <w:rPr>
          <w:rFonts w:ascii="Arial" w:hAnsi="Arial" w:cs="Arial"/>
        </w:rPr>
        <w:t>2023</w:t>
      </w:r>
      <w:r w:rsidR="00055970">
        <w:rPr>
          <w:rFonts w:ascii="Arial" w:hAnsi="Arial" w:cs="Arial"/>
        </w:rPr>
        <w:t>)</w:t>
      </w:r>
      <w:r w:rsidR="00055970" w:rsidRPr="00055970">
        <w:rPr>
          <w:rFonts w:ascii="Arial" w:hAnsi="Arial" w:cs="Arial"/>
        </w:rPr>
        <w:t>, which aligns with our findings (OR=0.058; 95% CI 0.008-0.425). Furthermore, there was a 53% reduction in hospital admission</w:t>
      </w:r>
      <w:r w:rsidR="00406E73">
        <w:rPr>
          <w:rFonts w:ascii="Arial" w:hAnsi="Arial" w:cs="Arial"/>
        </w:rPr>
        <w:t xml:space="preserve"> risk </w:t>
      </w:r>
      <w:r w:rsidR="00055970" w:rsidRPr="00055970">
        <w:rPr>
          <w:rFonts w:ascii="Arial" w:hAnsi="Arial" w:cs="Arial"/>
        </w:rPr>
        <w:t xml:space="preserve"> (OR=0.47; 95% CI 0.36–0.60). Regarding the composite outcome of hospitalisation and/or mortality, there was a 56% risk reduction (OR = 0.44; 95% CI: 0.31–0.64)</w:t>
      </w:r>
      <w:r w:rsidR="00055970">
        <w:rPr>
          <w:rFonts w:ascii="Arial" w:hAnsi="Arial" w:cs="Arial"/>
        </w:rPr>
        <w:t xml:space="preserve"> (</w:t>
      </w:r>
      <w:r w:rsidR="00055970" w:rsidRPr="00055970">
        <w:rPr>
          <w:rFonts w:ascii="Arial" w:hAnsi="Arial" w:cs="Arial"/>
        </w:rPr>
        <w:t>Souza</w:t>
      </w:r>
      <w:r w:rsidR="00055970">
        <w:rPr>
          <w:rFonts w:ascii="Arial" w:hAnsi="Arial" w:cs="Arial"/>
        </w:rPr>
        <w:t xml:space="preserve"> et al. </w:t>
      </w:r>
      <w:r w:rsidR="00055970" w:rsidRPr="00055970">
        <w:rPr>
          <w:rFonts w:ascii="Arial" w:hAnsi="Arial" w:cs="Arial"/>
        </w:rPr>
        <w:t>2023</w:t>
      </w:r>
      <w:r w:rsidR="00055970">
        <w:rPr>
          <w:rFonts w:ascii="Arial" w:hAnsi="Arial" w:cs="Arial"/>
        </w:rPr>
        <w:t>)</w:t>
      </w:r>
      <w:r w:rsidR="00055970" w:rsidRPr="00055970">
        <w:rPr>
          <w:rFonts w:ascii="Arial" w:hAnsi="Arial" w:cs="Arial"/>
        </w:rPr>
        <w:t>.</w:t>
      </w:r>
      <w:r w:rsidR="00F46E98">
        <w:rPr>
          <w:rFonts w:ascii="Arial" w:hAnsi="Arial" w:cs="Arial"/>
        </w:rPr>
        <w:t xml:space="preserve"> </w:t>
      </w:r>
      <w:r w:rsidR="00C5405C" w:rsidRPr="00C5405C">
        <w:rPr>
          <w:rFonts w:ascii="Arial" w:hAnsi="Arial" w:cs="Arial"/>
        </w:rPr>
        <w:t>Moreover, an observational retrospective study conducted in Israel found that among patients aged 65 and older, those who received nirmatrelvir had significantly lower rates of hospitalisation and mortality due to COVID-19 compared to those who did not</w:t>
      </w:r>
      <w:r w:rsidR="00C5405C">
        <w:rPr>
          <w:rFonts w:ascii="Arial" w:hAnsi="Arial" w:cs="Arial"/>
        </w:rPr>
        <w:t xml:space="preserve"> (</w:t>
      </w:r>
      <w:r w:rsidR="00C5405C" w:rsidRPr="00C5405C">
        <w:rPr>
          <w:rFonts w:ascii="Arial" w:hAnsi="Arial" w:cs="Arial"/>
        </w:rPr>
        <w:t>Arbel</w:t>
      </w:r>
      <w:r w:rsidR="00C5405C">
        <w:rPr>
          <w:rFonts w:ascii="Arial" w:hAnsi="Arial" w:cs="Arial"/>
        </w:rPr>
        <w:t xml:space="preserve"> et al. </w:t>
      </w:r>
      <w:r w:rsidR="00C5405C" w:rsidRPr="00C5405C">
        <w:rPr>
          <w:rFonts w:ascii="Arial" w:hAnsi="Arial" w:cs="Arial"/>
        </w:rPr>
        <w:t>2022</w:t>
      </w:r>
      <w:r w:rsidR="00C5405C">
        <w:rPr>
          <w:rFonts w:ascii="Arial" w:hAnsi="Arial" w:cs="Arial"/>
        </w:rPr>
        <w:t>)</w:t>
      </w:r>
      <w:r w:rsidR="00C5405C" w:rsidRPr="00C5405C">
        <w:rPr>
          <w:rFonts w:ascii="Arial" w:hAnsi="Arial" w:cs="Arial"/>
        </w:rPr>
        <w:t>.</w:t>
      </w:r>
      <w:r w:rsidR="005F33D7" w:rsidRPr="005F33D7">
        <w:t xml:space="preserve"> </w:t>
      </w:r>
      <w:r w:rsidR="005F33D7">
        <w:t xml:space="preserve">In addition, </w:t>
      </w:r>
      <w:r w:rsidR="005F33D7" w:rsidRPr="005F33D7">
        <w:rPr>
          <w:rFonts w:ascii="Arial" w:hAnsi="Arial" w:cs="Arial"/>
        </w:rPr>
        <w:t>Bhatia et al.</w:t>
      </w:r>
      <w:r w:rsidR="005F33D7">
        <w:rPr>
          <w:rFonts w:ascii="Arial" w:hAnsi="Arial" w:cs="Arial"/>
        </w:rPr>
        <w:t>,</w:t>
      </w:r>
      <w:r w:rsidR="005F33D7" w:rsidRPr="005F33D7">
        <w:rPr>
          <w:rFonts w:ascii="Arial" w:hAnsi="Arial" w:cs="Arial"/>
        </w:rPr>
        <w:t xml:space="preserve"> estimated a 65% reduction in the odds of hospitalisation among patients treated with Paxlovid over a 28-day follow-up period, with this effect remaining consistent regardless of vaccination status</w:t>
      </w:r>
      <w:r w:rsidR="005F33D7">
        <w:rPr>
          <w:rFonts w:ascii="Arial" w:hAnsi="Arial" w:cs="Arial"/>
        </w:rPr>
        <w:t xml:space="preserve"> (</w:t>
      </w:r>
      <w:r w:rsidR="005F33D7" w:rsidRPr="005F33D7">
        <w:rPr>
          <w:rFonts w:ascii="Arial" w:hAnsi="Arial" w:cs="Arial"/>
        </w:rPr>
        <w:t>Bhatia et al.</w:t>
      </w:r>
      <w:r w:rsidR="005F33D7">
        <w:rPr>
          <w:rFonts w:ascii="Arial" w:hAnsi="Arial" w:cs="Arial"/>
        </w:rPr>
        <w:t xml:space="preserve"> 2023)</w:t>
      </w:r>
      <w:r w:rsidR="005F33D7" w:rsidRPr="005F33D7">
        <w:rPr>
          <w:rFonts w:ascii="Arial" w:hAnsi="Arial" w:cs="Arial"/>
        </w:rPr>
        <w:t>.</w:t>
      </w:r>
      <w:r w:rsidR="001F1B9A">
        <w:rPr>
          <w:rFonts w:ascii="Arial" w:hAnsi="Arial" w:cs="Arial"/>
        </w:rPr>
        <w:t xml:space="preserve"> </w:t>
      </w:r>
      <w:r w:rsidR="001F1B9A" w:rsidRPr="001F1B9A">
        <w:rPr>
          <w:rFonts w:ascii="Arial" w:hAnsi="Arial" w:cs="Arial"/>
          <w:highlight w:val="yellow"/>
        </w:rPr>
        <w:t>Hammond et al. demonstrated that treatment with nirmatrelvir plus ritonavir reduced the risk of progression to severe COVID-19 by 89% compared to placebo</w:t>
      </w:r>
      <w:r w:rsidR="001F1B9A" w:rsidRPr="0048303E">
        <w:rPr>
          <w:rFonts w:ascii="Arial" w:hAnsi="Arial" w:cs="Arial"/>
          <w:highlight w:val="yellow"/>
        </w:rPr>
        <w:t>.</w:t>
      </w:r>
      <w:r w:rsidR="0048303E" w:rsidRPr="0048303E">
        <w:rPr>
          <w:rFonts w:ascii="Arial" w:hAnsi="Arial" w:cs="Arial"/>
          <w:highlight w:val="yellow"/>
        </w:rPr>
        <w:t xml:space="preserve"> Meanwhile, Dryden-Peterson et al. reported that recipients of nirmatrelvir plus ritonavir had a lower risk of death (adjusted risk ratio: 0.29 [CI, 0.12–0.71])</w:t>
      </w:r>
      <w:r w:rsidR="0048303E">
        <w:rPr>
          <w:rFonts w:ascii="Arial" w:hAnsi="Arial" w:cs="Arial"/>
          <w:highlight w:val="yellow"/>
        </w:rPr>
        <w:t xml:space="preserve"> and a reduce risk of </w:t>
      </w:r>
      <w:r w:rsidR="0048303E" w:rsidRPr="0048303E">
        <w:rPr>
          <w:rFonts w:ascii="Arial" w:hAnsi="Arial" w:cs="Arial"/>
          <w:highlight w:val="yellow"/>
        </w:rPr>
        <w:t>hospitalisation (adjusted risk ratio: 0.60 [CI, 0.44–0.81])</w:t>
      </w:r>
      <w:r w:rsidR="0048303E">
        <w:rPr>
          <w:rFonts w:ascii="Arial" w:hAnsi="Arial" w:cs="Arial"/>
          <w:highlight w:val="yellow"/>
        </w:rPr>
        <w:t xml:space="preserve"> </w:t>
      </w:r>
      <w:r w:rsidR="0048303E" w:rsidRPr="0048303E">
        <w:rPr>
          <w:rFonts w:ascii="Arial" w:hAnsi="Arial" w:cs="Arial"/>
          <w:highlight w:val="yellow"/>
        </w:rPr>
        <w:t xml:space="preserve">compared with those who did not receive the treatment. </w:t>
      </w:r>
      <w:r w:rsidR="00406E73">
        <w:rPr>
          <w:rFonts w:ascii="Arial" w:hAnsi="Arial" w:cs="Arial"/>
          <w:highlight w:val="yellow"/>
        </w:rPr>
        <w:t>Hence, s</w:t>
      </w:r>
      <w:r w:rsidR="0048303E" w:rsidRPr="0048303E">
        <w:rPr>
          <w:rFonts w:ascii="Arial" w:hAnsi="Arial" w:cs="Arial"/>
          <w:highlight w:val="yellow"/>
        </w:rPr>
        <w:t>imilar results were observed by Wong et al. in an Asian population.</w:t>
      </w:r>
      <w:r w:rsidR="00125785">
        <w:rPr>
          <w:rFonts w:ascii="Arial" w:hAnsi="Arial" w:cs="Arial"/>
        </w:rPr>
        <w:t xml:space="preserve"> </w:t>
      </w:r>
      <w:r w:rsidR="005F33D7" w:rsidRPr="005F33D7">
        <w:rPr>
          <w:rFonts w:ascii="Arial" w:hAnsi="Arial" w:cs="Arial"/>
        </w:rPr>
        <w:t>However, notable disparities were observed in Paxlovid treatment, with lower prescription rates am</w:t>
      </w:r>
      <w:r w:rsidR="00406E73">
        <w:rPr>
          <w:rFonts w:ascii="Arial" w:hAnsi="Arial" w:cs="Arial"/>
        </w:rPr>
        <w:t>ong Black and Hispanic or Latin</w:t>
      </w:r>
      <w:r w:rsidR="005F33D7" w:rsidRPr="005F33D7">
        <w:rPr>
          <w:rFonts w:ascii="Arial" w:hAnsi="Arial" w:cs="Arial"/>
        </w:rPr>
        <w:t xml:space="preserve"> patients, as well as in socially vulnerable communities</w:t>
      </w:r>
      <w:r w:rsidR="005F33D7">
        <w:rPr>
          <w:rFonts w:ascii="Arial" w:hAnsi="Arial" w:cs="Arial"/>
        </w:rPr>
        <w:t xml:space="preserve"> (</w:t>
      </w:r>
      <w:r w:rsidR="005F33D7" w:rsidRPr="005F33D7">
        <w:rPr>
          <w:rFonts w:ascii="Arial" w:hAnsi="Arial" w:cs="Arial"/>
        </w:rPr>
        <w:t>Bhatia et al.</w:t>
      </w:r>
      <w:r w:rsidR="005F33D7">
        <w:rPr>
          <w:rFonts w:ascii="Arial" w:hAnsi="Arial" w:cs="Arial"/>
        </w:rPr>
        <w:t xml:space="preserve"> 2023)</w:t>
      </w:r>
      <w:r w:rsidR="005F33D7" w:rsidRPr="005F33D7">
        <w:rPr>
          <w:rFonts w:ascii="Arial" w:hAnsi="Arial" w:cs="Arial"/>
        </w:rPr>
        <w:t>.</w:t>
      </w:r>
      <w:r w:rsidR="001A5D0D" w:rsidRPr="001A5D0D">
        <w:t xml:space="preserve"> </w:t>
      </w:r>
      <w:r w:rsidR="001A5D0D" w:rsidRPr="001A5D0D">
        <w:rPr>
          <w:rFonts w:ascii="Arial" w:hAnsi="Arial" w:cs="Arial"/>
        </w:rPr>
        <w:t xml:space="preserve">However, some studies have found no clinical benefit of nirmatrelvir/ritonavir in improving COVID-19 outcomes. </w:t>
      </w:r>
      <w:r w:rsidR="00406E73">
        <w:rPr>
          <w:rFonts w:ascii="Arial" w:hAnsi="Arial" w:cs="Arial"/>
        </w:rPr>
        <w:t>Moreover, a</w:t>
      </w:r>
      <w:r w:rsidR="001A5D0D" w:rsidRPr="001A5D0D">
        <w:rPr>
          <w:rFonts w:ascii="Arial" w:hAnsi="Arial" w:cs="Arial"/>
        </w:rPr>
        <w:t xml:space="preserve"> randomised clinical trial evaluating a 15-day course of nirmatrelvir/ritonavir in patients with post-acute sequelae of SARS-CoV-2 infection (PASC) reported that while the treatment was generally safe, it did not significantly improve selected PASC symptoms in a predominantly vaccinated cohort with prolonged symptom duration</w:t>
      </w:r>
      <w:r w:rsidR="001A5D0D">
        <w:rPr>
          <w:rFonts w:ascii="Arial" w:hAnsi="Arial" w:cs="Arial"/>
        </w:rPr>
        <w:t xml:space="preserve"> (</w:t>
      </w:r>
      <w:r w:rsidR="001A5D0D" w:rsidRPr="001A5D0D">
        <w:rPr>
          <w:rFonts w:ascii="Arial" w:hAnsi="Arial" w:cs="Arial"/>
        </w:rPr>
        <w:t>Geng et al. 2024</w:t>
      </w:r>
      <w:r w:rsidR="001A5D0D">
        <w:rPr>
          <w:rFonts w:ascii="Arial" w:hAnsi="Arial" w:cs="Arial"/>
        </w:rPr>
        <w:t>)</w:t>
      </w:r>
      <w:r w:rsidR="001A5D0D" w:rsidRPr="001A5D0D">
        <w:rPr>
          <w:rFonts w:ascii="Arial" w:hAnsi="Arial" w:cs="Arial"/>
        </w:rPr>
        <w:t xml:space="preserve">. </w:t>
      </w:r>
      <w:r w:rsidR="00406E73">
        <w:rPr>
          <w:rFonts w:ascii="Arial" w:hAnsi="Arial" w:cs="Arial"/>
        </w:rPr>
        <w:t>Eventually, t</w:t>
      </w:r>
      <w:r w:rsidR="001A5D0D" w:rsidRPr="001A5D0D">
        <w:rPr>
          <w:rFonts w:ascii="Arial" w:hAnsi="Arial" w:cs="Arial"/>
        </w:rPr>
        <w:t>he authors concluded that further research is needed to clarify the role of antivirals in the treatment of PASC.</w:t>
      </w:r>
      <w:r w:rsidR="00406E73">
        <w:rPr>
          <w:rFonts w:ascii="Arial" w:hAnsi="Arial" w:cs="Arial"/>
        </w:rPr>
        <w:t>in contrast, a</w:t>
      </w:r>
      <w:r w:rsidR="00F64856">
        <w:rPr>
          <w:rFonts w:ascii="Arial" w:hAnsi="Arial" w:cs="Arial"/>
        </w:rPr>
        <w:t>nother study showed that n</w:t>
      </w:r>
      <w:r w:rsidR="00F64856" w:rsidRPr="00F64856">
        <w:rPr>
          <w:rFonts w:ascii="Arial" w:hAnsi="Arial" w:cs="Arial"/>
        </w:rPr>
        <w:t>irmatrelvir/ritonavir can significantly reduce the risk of 28-day mortality in the overall population and patients with severe disease, who benefit more from treatment</w:t>
      </w:r>
      <w:r w:rsidR="00F64856">
        <w:rPr>
          <w:rFonts w:ascii="Arial" w:hAnsi="Arial" w:cs="Arial"/>
        </w:rPr>
        <w:t xml:space="preserve"> (</w:t>
      </w:r>
      <w:r w:rsidR="00F64856" w:rsidRPr="00F64856">
        <w:rPr>
          <w:rFonts w:ascii="Arial" w:hAnsi="Arial" w:cs="Arial"/>
        </w:rPr>
        <w:t>Zong</w:t>
      </w:r>
      <w:r w:rsidR="00F64856">
        <w:rPr>
          <w:rFonts w:ascii="Arial" w:hAnsi="Arial" w:cs="Arial"/>
        </w:rPr>
        <w:t xml:space="preserve"> et al. </w:t>
      </w:r>
      <w:r w:rsidR="00F64856" w:rsidRPr="00F64856">
        <w:rPr>
          <w:rFonts w:ascii="Arial" w:hAnsi="Arial" w:cs="Arial"/>
        </w:rPr>
        <w:t>2024</w:t>
      </w:r>
      <w:r w:rsidR="00F64856">
        <w:rPr>
          <w:rFonts w:ascii="Arial" w:hAnsi="Arial" w:cs="Arial"/>
        </w:rPr>
        <w:t>)</w:t>
      </w:r>
      <w:r w:rsidR="00F64856" w:rsidRPr="00F64856">
        <w:rPr>
          <w:rFonts w:ascii="Arial" w:hAnsi="Arial" w:cs="Arial"/>
        </w:rPr>
        <w:t>.</w:t>
      </w:r>
    </w:p>
    <w:p w14:paraId="527C60E1" w14:textId="77777777" w:rsidR="008F0C48" w:rsidRPr="008F39F5" w:rsidRDefault="008F0C48" w:rsidP="00DA4A7C">
      <w:pPr>
        <w:pStyle w:val="Body"/>
        <w:spacing w:after="0"/>
        <w:rPr>
          <w:rFonts w:ascii="Arial" w:hAnsi="Arial" w:cs="Arial"/>
        </w:rPr>
      </w:pPr>
    </w:p>
    <w:p w14:paraId="54ACF471" w14:textId="576839F3" w:rsidR="00D25DAB" w:rsidRPr="008F39F5" w:rsidRDefault="00D25DAB" w:rsidP="00DA4A7C">
      <w:pPr>
        <w:pStyle w:val="Body"/>
        <w:spacing w:after="0"/>
        <w:rPr>
          <w:rFonts w:ascii="Arial" w:hAnsi="Arial" w:cs="Arial"/>
        </w:rPr>
      </w:pPr>
      <w:r w:rsidRPr="008F39F5">
        <w:rPr>
          <w:rFonts w:ascii="Arial" w:hAnsi="Arial" w:cs="Arial"/>
          <w:b/>
          <w:caps/>
          <w:sz w:val="22"/>
        </w:rPr>
        <w:t>3.</w:t>
      </w:r>
      <w:r w:rsidR="001F2314" w:rsidRPr="008F39F5">
        <w:rPr>
          <w:rFonts w:ascii="Arial" w:hAnsi="Arial" w:cs="Arial"/>
          <w:b/>
          <w:caps/>
          <w:sz w:val="22"/>
        </w:rPr>
        <w:t>6</w:t>
      </w:r>
      <w:r w:rsidRPr="008F39F5">
        <w:rPr>
          <w:rFonts w:ascii="Arial" w:hAnsi="Arial" w:cs="Arial"/>
          <w:b/>
          <w:caps/>
          <w:sz w:val="22"/>
        </w:rPr>
        <w:t xml:space="preserve"> </w:t>
      </w:r>
      <w:r w:rsidR="006D74DF" w:rsidRPr="008F39F5">
        <w:rPr>
          <w:rFonts w:ascii="Arial" w:hAnsi="Arial" w:cs="Arial"/>
          <w:b/>
          <w:sz w:val="22"/>
        </w:rPr>
        <w:t>Limit</w:t>
      </w:r>
      <w:r w:rsidR="00FB1E3E" w:rsidRPr="008F39F5">
        <w:rPr>
          <w:rFonts w:ascii="Arial" w:hAnsi="Arial" w:cs="Arial"/>
          <w:b/>
          <w:sz w:val="22"/>
        </w:rPr>
        <w:t>ation</w:t>
      </w:r>
      <w:r w:rsidR="006D74DF" w:rsidRPr="008F39F5">
        <w:rPr>
          <w:rFonts w:ascii="Arial" w:hAnsi="Arial" w:cs="Arial"/>
          <w:b/>
          <w:sz w:val="22"/>
        </w:rPr>
        <w:t>s</w:t>
      </w:r>
      <w:r w:rsidR="00FB1E3E" w:rsidRPr="008F39F5">
        <w:rPr>
          <w:rFonts w:ascii="Arial" w:hAnsi="Arial" w:cs="Arial"/>
          <w:b/>
          <w:sz w:val="22"/>
        </w:rPr>
        <w:t xml:space="preserve"> and applications</w:t>
      </w:r>
      <w:r w:rsidR="006B5904" w:rsidRPr="008F39F5">
        <w:rPr>
          <w:rFonts w:ascii="Arial" w:hAnsi="Arial" w:cs="Arial"/>
          <w:b/>
          <w:sz w:val="22"/>
        </w:rPr>
        <w:t>.</w:t>
      </w:r>
    </w:p>
    <w:p w14:paraId="46EA0B36" w14:textId="513E3079" w:rsidR="007B01AE" w:rsidRDefault="00F56792" w:rsidP="00CE7693">
      <w:pPr>
        <w:pStyle w:val="Body"/>
        <w:spacing w:after="0"/>
        <w:rPr>
          <w:rFonts w:ascii="Arial" w:hAnsi="Arial" w:cs="Arial"/>
        </w:rPr>
      </w:pPr>
      <w:r w:rsidRPr="00F56792">
        <w:rPr>
          <w:rFonts w:ascii="Arial" w:hAnsi="Arial" w:cs="Arial"/>
        </w:rPr>
        <w:t>This study has several limitations. First, the data did not provide detailed information on the dosage received throughout the study period (Paxlovid is typically administered orally twice daily for five days). As a result, we assumed full adherence to treatment and no loss to follow-up, treating the intention-to-treat effect as equivalent to the per-protocol effect. Second,</w:t>
      </w:r>
      <w:r w:rsidR="00A3531F">
        <w:rPr>
          <w:rFonts w:ascii="Arial" w:hAnsi="Arial" w:cs="Arial"/>
        </w:rPr>
        <w:t xml:space="preserve"> a</w:t>
      </w:r>
      <w:r w:rsidR="00A3531F" w:rsidRPr="00A3531F">
        <w:rPr>
          <w:rFonts w:ascii="Arial" w:hAnsi="Arial" w:cs="Arial"/>
        </w:rPr>
        <w:t xml:space="preserve"> retrospective</w:t>
      </w:r>
      <w:r w:rsidR="00A3531F">
        <w:rPr>
          <w:rFonts w:ascii="Arial" w:hAnsi="Arial" w:cs="Arial"/>
        </w:rPr>
        <w:t>, and</w:t>
      </w:r>
      <w:r w:rsidR="00A3531F" w:rsidRPr="00A3531F">
        <w:rPr>
          <w:rFonts w:ascii="Arial" w:hAnsi="Arial" w:cs="Arial"/>
        </w:rPr>
        <w:t xml:space="preserve"> case-control study was conducted. However, </w:t>
      </w:r>
      <w:r w:rsidR="00A3531F">
        <w:rPr>
          <w:rFonts w:ascii="Arial" w:hAnsi="Arial" w:cs="Arial"/>
        </w:rPr>
        <w:t>t</w:t>
      </w:r>
      <w:r w:rsidR="00A3531F" w:rsidRPr="00A3531F">
        <w:rPr>
          <w:rFonts w:ascii="Arial" w:hAnsi="Arial" w:cs="Arial"/>
        </w:rPr>
        <w:t>he strengths of this study to mitigate the effects of information and selection biases</w:t>
      </w:r>
      <w:r w:rsidR="00A3531F">
        <w:rPr>
          <w:rFonts w:ascii="Arial" w:hAnsi="Arial" w:cs="Arial"/>
        </w:rPr>
        <w:t xml:space="preserve"> </w:t>
      </w:r>
      <w:r w:rsidR="00A3531F" w:rsidRPr="00A3531F">
        <w:rPr>
          <w:rFonts w:ascii="Arial" w:hAnsi="Arial" w:cs="Arial"/>
        </w:rPr>
        <w:t>include three controls for each c</w:t>
      </w:r>
      <w:r w:rsidR="00406E73">
        <w:rPr>
          <w:rFonts w:ascii="Arial" w:hAnsi="Arial" w:cs="Arial"/>
        </w:rPr>
        <w:t>ase. Additionally, the data was</w:t>
      </w:r>
      <w:r w:rsidR="00A3531F" w:rsidRPr="00A3531F">
        <w:rPr>
          <w:rFonts w:ascii="Arial" w:hAnsi="Arial" w:cs="Arial"/>
        </w:rPr>
        <w:t xml:space="preserve"> obtained from medical consultations in both outpatient and hospital units across the state of Puebla</w:t>
      </w:r>
      <w:r w:rsidR="00A3531F">
        <w:rPr>
          <w:rFonts w:ascii="Arial" w:hAnsi="Arial" w:cs="Arial"/>
        </w:rPr>
        <w:t xml:space="preserve"> in </w:t>
      </w:r>
      <w:r w:rsidR="00A3531F" w:rsidRPr="00A3531F">
        <w:rPr>
          <w:rFonts w:ascii="Arial" w:hAnsi="Arial" w:cs="Arial"/>
        </w:rPr>
        <w:t>a multicentre study that is representative of the state's population.</w:t>
      </w:r>
    </w:p>
    <w:p w14:paraId="28C40383" w14:textId="77777777" w:rsidR="007B01AE" w:rsidRDefault="007B01AE" w:rsidP="00CE7693">
      <w:pPr>
        <w:pStyle w:val="Body"/>
        <w:spacing w:after="0"/>
        <w:rPr>
          <w:rFonts w:ascii="Arial" w:hAnsi="Arial" w:cs="Arial"/>
        </w:rPr>
      </w:pPr>
    </w:p>
    <w:p w14:paraId="31761BA2" w14:textId="12826B8B" w:rsidR="00893E8A" w:rsidRPr="008F39F5" w:rsidRDefault="007B01AE" w:rsidP="00CE7693">
      <w:pPr>
        <w:pStyle w:val="Body"/>
        <w:spacing w:after="0"/>
        <w:rPr>
          <w:rFonts w:ascii="Arial" w:hAnsi="Arial" w:cs="Arial"/>
        </w:rPr>
      </w:pPr>
      <w:r w:rsidRPr="007B01AE">
        <w:rPr>
          <w:rFonts w:ascii="Arial" w:hAnsi="Arial" w:cs="Arial"/>
        </w:rPr>
        <w:t xml:space="preserve">Overall, our findings reinforce existing knowledge of COVID-19 epidemiology while highlighting distinct patterns that merit further investigation. Variations in symptom presentation, comorbidity prevalence, and healthcare access may be influenced by regional factors, healthcare infrastructure, and public health interventions. </w:t>
      </w:r>
      <w:r w:rsidR="00406E73">
        <w:rPr>
          <w:rFonts w:ascii="Arial" w:hAnsi="Arial" w:cs="Arial"/>
        </w:rPr>
        <w:t>Thus, t</w:t>
      </w:r>
      <w:r w:rsidRPr="007B01AE">
        <w:rPr>
          <w:rFonts w:ascii="Arial" w:hAnsi="Arial" w:cs="Arial"/>
        </w:rPr>
        <w:t>hese findings emphasise the importance of context-specific approaches to optimising medical care and resource allocation.</w:t>
      </w:r>
    </w:p>
    <w:p w14:paraId="185D3D89" w14:textId="77777777" w:rsidR="00CE7693" w:rsidRPr="008F39F5" w:rsidRDefault="00CE7693" w:rsidP="00CE7693">
      <w:pPr>
        <w:pStyle w:val="Body"/>
        <w:spacing w:after="0"/>
        <w:rPr>
          <w:rFonts w:ascii="Arial" w:hAnsi="Arial" w:cs="Arial"/>
        </w:rPr>
      </w:pPr>
    </w:p>
    <w:p w14:paraId="100F902E" w14:textId="77777777" w:rsidR="00113660" w:rsidRPr="008F39F5" w:rsidRDefault="00000F8F" w:rsidP="00CE7693">
      <w:pPr>
        <w:pStyle w:val="ConcHead"/>
        <w:spacing w:after="0"/>
        <w:jc w:val="both"/>
        <w:rPr>
          <w:rFonts w:ascii="Arial" w:hAnsi="Arial" w:cs="Arial"/>
        </w:rPr>
      </w:pPr>
      <w:r w:rsidRPr="008F39F5">
        <w:rPr>
          <w:rFonts w:ascii="Arial" w:hAnsi="Arial" w:cs="Arial"/>
        </w:rPr>
        <w:lastRenderedPageBreak/>
        <w:t xml:space="preserve">4. </w:t>
      </w:r>
      <w:r w:rsidR="00B01FCD" w:rsidRPr="008F39F5">
        <w:rPr>
          <w:rFonts w:ascii="Arial" w:hAnsi="Arial" w:cs="Arial"/>
        </w:rPr>
        <w:t>Conclusion</w:t>
      </w:r>
      <w:r w:rsidR="006B5904" w:rsidRPr="008F39F5">
        <w:rPr>
          <w:rFonts w:ascii="Arial" w:hAnsi="Arial" w:cs="Arial"/>
        </w:rPr>
        <w:t>.</w:t>
      </w:r>
    </w:p>
    <w:p w14:paraId="6B711AC2" w14:textId="30646254" w:rsidR="00113660" w:rsidRPr="008F39F5" w:rsidRDefault="00CE7693" w:rsidP="00CE7693">
      <w:pPr>
        <w:pStyle w:val="AcknHead"/>
        <w:spacing w:after="0"/>
        <w:jc w:val="both"/>
        <w:rPr>
          <w:rFonts w:ascii="Arial" w:hAnsi="Arial" w:cs="Arial"/>
          <w:b w:val="0"/>
          <w:caps w:val="0"/>
          <w:sz w:val="20"/>
        </w:rPr>
      </w:pPr>
      <w:r w:rsidRPr="008F39F5">
        <w:rPr>
          <w:rFonts w:ascii="Arial" w:hAnsi="Arial" w:cs="Arial"/>
          <w:b w:val="0"/>
          <w:caps w:val="0"/>
          <w:sz w:val="20"/>
        </w:rPr>
        <w:t xml:space="preserve">In conclusion, </w:t>
      </w:r>
      <w:r w:rsidR="00DA4A7C" w:rsidRPr="00DA4A7C">
        <w:rPr>
          <w:rFonts w:ascii="Arial" w:hAnsi="Arial" w:cs="Arial"/>
          <w:b w:val="0"/>
          <w:caps w:val="0"/>
          <w:sz w:val="20"/>
        </w:rPr>
        <w:t>our data indicates that nirmatrelvir/ritonavir can significantly reduce the risk of mortality and severity of COVID-19, and increase</w:t>
      </w:r>
      <w:r w:rsidR="00406E73">
        <w:rPr>
          <w:rFonts w:ascii="Arial" w:hAnsi="Arial" w:cs="Arial"/>
          <w:b w:val="0"/>
          <w:caps w:val="0"/>
          <w:sz w:val="20"/>
        </w:rPr>
        <w:t>s</w:t>
      </w:r>
      <w:r w:rsidR="00DA4A7C" w:rsidRPr="00DA4A7C">
        <w:rPr>
          <w:rFonts w:ascii="Arial" w:hAnsi="Arial" w:cs="Arial"/>
          <w:b w:val="0"/>
          <w:caps w:val="0"/>
          <w:sz w:val="20"/>
        </w:rPr>
        <w:t xml:space="preserve"> the clinical improvement in patients with COVID-19. These findings validated the effect of treating patients with COVID-19 in the clinical and primary healthcare setting. However, more clinical trials and future research are needed.</w:t>
      </w:r>
    </w:p>
    <w:p w14:paraId="3C3E9CDD" w14:textId="77777777" w:rsidR="00CE7693" w:rsidRPr="008F39F5" w:rsidRDefault="00CE7693" w:rsidP="00441B6F">
      <w:pPr>
        <w:pStyle w:val="AcknHead"/>
        <w:spacing w:after="0"/>
        <w:jc w:val="both"/>
        <w:rPr>
          <w:rFonts w:ascii="Arial" w:hAnsi="Arial" w:cs="Arial"/>
        </w:rPr>
      </w:pPr>
    </w:p>
    <w:p w14:paraId="72C4C215" w14:textId="7FA6CC31" w:rsidR="00B65AF6" w:rsidRPr="008F39F5" w:rsidRDefault="00B65AF6" w:rsidP="00B65AF6">
      <w:pPr>
        <w:pStyle w:val="AcknHead"/>
        <w:spacing w:after="0"/>
        <w:jc w:val="both"/>
        <w:rPr>
          <w:rFonts w:ascii="Arial" w:hAnsi="Arial" w:cs="Arial"/>
        </w:rPr>
      </w:pPr>
      <w:r w:rsidRPr="008F39F5">
        <w:rPr>
          <w:rFonts w:ascii="Arial" w:hAnsi="Arial" w:cs="Arial"/>
        </w:rPr>
        <w:t>DISCLAIMER</w:t>
      </w:r>
      <w:r w:rsidR="006B5904" w:rsidRPr="008F39F5">
        <w:rPr>
          <w:rFonts w:ascii="Arial" w:hAnsi="Arial" w:cs="Arial"/>
        </w:rPr>
        <w:t>.</w:t>
      </w:r>
    </w:p>
    <w:p w14:paraId="725E4A36" w14:textId="77777777" w:rsidR="00B65AF6" w:rsidRPr="008F39F5" w:rsidRDefault="00B65AF6" w:rsidP="00B65AF6">
      <w:pPr>
        <w:pStyle w:val="AcknHead"/>
        <w:spacing w:after="0"/>
        <w:jc w:val="both"/>
        <w:rPr>
          <w:rFonts w:ascii="Arial" w:hAnsi="Arial" w:cs="Arial"/>
          <w:b w:val="0"/>
          <w:bCs/>
        </w:rPr>
      </w:pPr>
      <w:r w:rsidRPr="008F39F5">
        <w:rPr>
          <w:rFonts w:ascii="Arial" w:hAnsi="Arial" w:cs="Arial"/>
          <w:b w:val="0"/>
          <w:bCs/>
          <w:caps w:val="0"/>
        </w:rPr>
        <w:t>Authors hereby declare that NO generative AI technologies such as Large Language Models (ChatGPT, COPILOT, etc) and text-to-image generators have been used during writing or editing of manuscripts.</w:t>
      </w:r>
    </w:p>
    <w:p w14:paraId="2651E884" w14:textId="77777777" w:rsidR="00B65AF6" w:rsidRPr="008F39F5" w:rsidRDefault="00B65AF6" w:rsidP="00B65AF6">
      <w:pPr>
        <w:pStyle w:val="ReferHead"/>
        <w:spacing w:after="0"/>
        <w:jc w:val="both"/>
        <w:rPr>
          <w:rFonts w:ascii="Arial" w:hAnsi="Arial" w:cs="Arial"/>
          <w:b w:val="0"/>
          <w:caps w:val="0"/>
          <w:sz w:val="20"/>
        </w:rPr>
      </w:pPr>
    </w:p>
    <w:p w14:paraId="6A95C57F" w14:textId="6E7C72F1" w:rsidR="00B65AF6" w:rsidRPr="008F39F5" w:rsidRDefault="00B65AF6" w:rsidP="00B65AF6">
      <w:pPr>
        <w:pStyle w:val="ReferHead"/>
        <w:spacing w:after="0"/>
        <w:jc w:val="both"/>
        <w:rPr>
          <w:rFonts w:ascii="Arial" w:hAnsi="Arial" w:cs="Arial"/>
          <w:bCs/>
        </w:rPr>
      </w:pPr>
      <w:r w:rsidRPr="008F39F5">
        <w:rPr>
          <w:rFonts w:ascii="Arial" w:hAnsi="Arial" w:cs="Arial"/>
          <w:bCs/>
        </w:rPr>
        <w:t>Consent</w:t>
      </w:r>
      <w:r w:rsidR="006B5904" w:rsidRPr="008F39F5">
        <w:rPr>
          <w:rFonts w:ascii="Arial" w:hAnsi="Arial" w:cs="Arial"/>
          <w:bCs/>
        </w:rPr>
        <w:t>.</w:t>
      </w:r>
    </w:p>
    <w:p w14:paraId="74572BE1" w14:textId="5AFB4C73" w:rsidR="00B65AF6" w:rsidRPr="008F39F5" w:rsidRDefault="00B65AF6" w:rsidP="00B65AF6">
      <w:pPr>
        <w:pStyle w:val="ReferHead"/>
        <w:spacing w:after="0"/>
        <w:jc w:val="both"/>
        <w:rPr>
          <w:rFonts w:ascii="Arial" w:hAnsi="Arial" w:cs="Arial"/>
          <w:b w:val="0"/>
          <w:caps w:val="0"/>
          <w:sz w:val="20"/>
        </w:rPr>
      </w:pPr>
      <w:r w:rsidRPr="008F39F5">
        <w:rPr>
          <w:rFonts w:ascii="Arial" w:hAnsi="Arial" w:cs="Arial"/>
          <w:b w:val="0"/>
          <w:caps w:val="0"/>
          <w:sz w:val="20"/>
        </w:rPr>
        <w:t xml:space="preserve">A medical professional informed all participants about the study's objective, its benefits, and potential adverse events. After providing a clear explanation, </w:t>
      </w:r>
      <w:r w:rsidR="005C1C3E" w:rsidRPr="008F39F5">
        <w:rPr>
          <w:rFonts w:ascii="Arial" w:hAnsi="Arial" w:cs="Arial"/>
          <w:b w:val="0"/>
          <w:caps w:val="0"/>
          <w:sz w:val="20"/>
        </w:rPr>
        <w:t xml:space="preserve">the collection of </w:t>
      </w:r>
      <w:r w:rsidRPr="008F39F5">
        <w:rPr>
          <w:rFonts w:ascii="Arial" w:hAnsi="Arial" w:cs="Arial"/>
          <w:b w:val="0"/>
          <w:caps w:val="0"/>
          <w:sz w:val="20"/>
        </w:rPr>
        <w:t>the signatures of those who voluntarily decided to participate in the study, ensuring that participants had sufficient time to read and sign the corresponding informed consent form.</w:t>
      </w:r>
    </w:p>
    <w:p w14:paraId="4F3B3D77" w14:textId="77777777" w:rsidR="00B65AF6" w:rsidRPr="008F39F5" w:rsidRDefault="00B65AF6" w:rsidP="00B65AF6">
      <w:pPr>
        <w:pStyle w:val="ReferHead"/>
        <w:spacing w:after="0"/>
        <w:jc w:val="both"/>
        <w:rPr>
          <w:rFonts w:ascii="Arial" w:hAnsi="Arial" w:cs="Arial"/>
          <w:b w:val="0"/>
          <w:caps w:val="0"/>
          <w:sz w:val="20"/>
        </w:rPr>
      </w:pPr>
    </w:p>
    <w:p w14:paraId="64AE3444" w14:textId="03F65CAE" w:rsidR="005C784C" w:rsidRPr="008F39F5" w:rsidRDefault="005C784C" w:rsidP="00441B6F">
      <w:pPr>
        <w:pStyle w:val="ReferHead"/>
        <w:spacing w:after="0"/>
        <w:jc w:val="both"/>
        <w:rPr>
          <w:rFonts w:ascii="Arial" w:hAnsi="Arial" w:cs="Arial"/>
          <w:bCs/>
        </w:rPr>
      </w:pPr>
      <w:r w:rsidRPr="008F39F5">
        <w:rPr>
          <w:rFonts w:ascii="Arial" w:hAnsi="Arial" w:cs="Arial"/>
          <w:bCs/>
        </w:rPr>
        <w:t>Ethical approval</w:t>
      </w:r>
      <w:r w:rsidR="006B5904" w:rsidRPr="008F39F5">
        <w:rPr>
          <w:rFonts w:ascii="Arial" w:hAnsi="Arial" w:cs="Arial"/>
          <w:bCs/>
        </w:rPr>
        <w:t>.</w:t>
      </w:r>
    </w:p>
    <w:p w14:paraId="0A18028D" w14:textId="3413979B" w:rsidR="005C784C" w:rsidRDefault="004B33C9" w:rsidP="00441B6F">
      <w:pPr>
        <w:pStyle w:val="ReferHead"/>
        <w:spacing w:after="0"/>
        <w:jc w:val="both"/>
        <w:rPr>
          <w:rFonts w:ascii="Arial" w:hAnsi="Arial" w:cs="Arial"/>
          <w:b w:val="0"/>
          <w:caps w:val="0"/>
          <w:sz w:val="20"/>
        </w:rPr>
      </w:pPr>
      <w:r w:rsidRPr="008F39F5">
        <w:rPr>
          <w:rFonts w:ascii="Arial" w:hAnsi="Arial" w:cs="Arial"/>
          <w:b w:val="0"/>
          <w:caps w:val="0"/>
          <w:sz w:val="20"/>
        </w:rPr>
        <w:t>The protocol was approved by The Local Committee of Health Research 2108 in Zone General Hospital number 20, IMSS (Instituto Mexicano del Seguro Social by its acronyms in Spanish). COFEPRIS record 19 CI 21 114 054. CONBIOETICA record 21 CEI 001 20201117.</w:t>
      </w:r>
    </w:p>
    <w:p w14:paraId="6EABD3F2" w14:textId="33F93037" w:rsidR="003E0570" w:rsidRDefault="003E0570" w:rsidP="00441B6F">
      <w:pPr>
        <w:pStyle w:val="ReferHead"/>
        <w:spacing w:after="0"/>
        <w:jc w:val="both"/>
        <w:rPr>
          <w:rFonts w:ascii="Arial" w:hAnsi="Arial" w:cs="Arial"/>
          <w:b w:val="0"/>
          <w:caps w:val="0"/>
          <w:sz w:val="20"/>
        </w:rPr>
      </w:pPr>
    </w:p>
    <w:p w14:paraId="2A6A822D" w14:textId="77777777" w:rsidR="003E0570" w:rsidRPr="003E0570" w:rsidRDefault="003E0570" w:rsidP="003E0570">
      <w:pPr>
        <w:jc w:val="both"/>
        <w:rPr>
          <w:rFonts w:ascii="Arial" w:hAnsi="Arial" w:cs="Arial"/>
          <w:b/>
          <w:bCs/>
        </w:rPr>
      </w:pPr>
      <w:r w:rsidRPr="003E0570">
        <w:rPr>
          <w:rFonts w:ascii="Arial" w:hAnsi="Arial" w:cs="Arial"/>
          <w:b/>
          <w:bCs/>
        </w:rPr>
        <w:t>COMPETING INTERESTS DISCLAIMER:</w:t>
      </w:r>
    </w:p>
    <w:p w14:paraId="5310BC88" w14:textId="77777777" w:rsidR="003E0570" w:rsidRPr="003E0570" w:rsidRDefault="003E0570" w:rsidP="003E0570">
      <w:pPr>
        <w:jc w:val="both"/>
        <w:rPr>
          <w:rFonts w:ascii="Arial" w:hAnsi="Arial" w:cs="Arial"/>
          <w:b/>
          <w:bCs/>
        </w:rPr>
      </w:pPr>
    </w:p>
    <w:p w14:paraId="441D927C" w14:textId="77777777" w:rsidR="003E0570" w:rsidRDefault="003E0570" w:rsidP="003E0570">
      <w:pPr>
        <w:jc w:val="both"/>
        <w:rPr>
          <w:rFonts w:ascii="Arial" w:hAnsi="Arial" w:cs="Arial"/>
          <w:bCs/>
        </w:rPr>
      </w:pPr>
      <w:r w:rsidRPr="003E0570">
        <w:rPr>
          <w:rFonts w:ascii="Arial" w:hAnsi="Arial" w:cs="Arial"/>
          <w:b/>
          <w:bCs/>
        </w:rPr>
        <w:t>Authors have declared that they have no known competing financial interests OR non-financial interests OR personal relationships that could have appeared to influence the work reported in this paper.</w:t>
      </w:r>
    </w:p>
    <w:p w14:paraId="79BB88B7" w14:textId="77777777" w:rsidR="003E0570" w:rsidRPr="008F39F5" w:rsidRDefault="003E0570" w:rsidP="00441B6F">
      <w:pPr>
        <w:pStyle w:val="ReferHead"/>
        <w:spacing w:after="0"/>
        <w:jc w:val="both"/>
        <w:rPr>
          <w:rFonts w:ascii="Arial" w:hAnsi="Arial" w:cs="Arial"/>
          <w:b w:val="0"/>
          <w:caps w:val="0"/>
          <w:sz w:val="20"/>
        </w:rPr>
      </w:pPr>
    </w:p>
    <w:p w14:paraId="52E7997B" w14:textId="77777777" w:rsidR="00860000" w:rsidRPr="008F39F5" w:rsidRDefault="00860000" w:rsidP="00441B6F">
      <w:pPr>
        <w:pStyle w:val="ReferHead"/>
        <w:spacing w:after="0"/>
        <w:jc w:val="both"/>
        <w:rPr>
          <w:rFonts w:ascii="Arial" w:hAnsi="Arial" w:cs="Arial"/>
        </w:rPr>
      </w:pPr>
    </w:p>
    <w:p w14:paraId="19F7E77E" w14:textId="77777777" w:rsidR="00B01FCD" w:rsidRPr="008F39F5" w:rsidRDefault="00B01FCD" w:rsidP="00441B6F">
      <w:pPr>
        <w:pStyle w:val="ReferHead"/>
        <w:spacing w:after="0"/>
        <w:jc w:val="both"/>
        <w:rPr>
          <w:rFonts w:ascii="Arial" w:hAnsi="Arial" w:cs="Arial"/>
        </w:rPr>
      </w:pPr>
      <w:r w:rsidRPr="008F39F5">
        <w:rPr>
          <w:rFonts w:ascii="Arial" w:hAnsi="Arial" w:cs="Arial"/>
        </w:rPr>
        <w:t>References</w:t>
      </w:r>
    </w:p>
    <w:p w14:paraId="74106E92" w14:textId="5494D020" w:rsidR="006F2133" w:rsidRPr="008F39F5" w:rsidRDefault="006F2133" w:rsidP="0032794D">
      <w:pPr>
        <w:pStyle w:val="ListParagraph"/>
        <w:numPr>
          <w:ilvl w:val="0"/>
          <w:numId w:val="31"/>
        </w:numPr>
        <w:spacing w:after="0" w:line="240" w:lineRule="auto"/>
        <w:jc w:val="both"/>
        <w:rPr>
          <w:rFonts w:ascii="Arial" w:hAnsi="Arial" w:cs="Arial"/>
          <w:sz w:val="20"/>
          <w:szCs w:val="20"/>
          <w:lang w:val="en-GB"/>
        </w:rPr>
      </w:pPr>
      <w:r w:rsidRPr="008F39F5">
        <w:rPr>
          <w:rFonts w:ascii="Arial" w:hAnsi="Arial" w:cs="Arial"/>
          <w:sz w:val="20"/>
          <w:szCs w:val="20"/>
          <w:lang w:val="en-GB"/>
        </w:rPr>
        <w:t xml:space="preserve">Alsaeed, A., Alkhalaf, A., Alomran, A., Alsfyani, W., Alhaddad, F., &amp; Alhaddad, M. J. (2023). Paxlovid for Treating COVID-19 Patients: A Case-Control Study From Two Hospitals in the Eastern Province of Saudi Arabia. Cureus, 15(5), e39234. </w:t>
      </w:r>
      <w:hyperlink r:id="rId14" w:history="1">
        <w:r w:rsidRPr="008F39F5">
          <w:rPr>
            <w:rStyle w:val="Hyperlink"/>
            <w:rFonts w:ascii="Arial" w:hAnsi="Arial" w:cs="Arial"/>
            <w:sz w:val="20"/>
            <w:szCs w:val="20"/>
            <w:lang w:val="en-GB"/>
          </w:rPr>
          <w:t>https://doi.org/10.7759/cureus.39234</w:t>
        </w:r>
      </w:hyperlink>
      <w:r w:rsidRPr="008F39F5">
        <w:rPr>
          <w:rFonts w:ascii="Arial" w:hAnsi="Arial" w:cs="Arial"/>
          <w:sz w:val="20"/>
          <w:szCs w:val="20"/>
          <w:lang w:val="en-GB"/>
        </w:rPr>
        <w:t xml:space="preserve"> </w:t>
      </w:r>
    </w:p>
    <w:p w14:paraId="14326225" w14:textId="68A61176" w:rsidR="006F2133" w:rsidRPr="008F39F5" w:rsidRDefault="006F2133" w:rsidP="0032794D">
      <w:pPr>
        <w:pStyle w:val="ListParagraph"/>
        <w:numPr>
          <w:ilvl w:val="0"/>
          <w:numId w:val="31"/>
        </w:numPr>
        <w:spacing w:after="0" w:line="240" w:lineRule="auto"/>
        <w:jc w:val="both"/>
        <w:rPr>
          <w:rFonts w:ascii="Arial" w:hAnsi="Arial" w:cs="Arial"/>
          <w:sz w:val="20"/>
          <w:szCs w:val="20"/>
          <w:lang w:val="en-GB"/>
        </w:rPr>
      </w:pPr>
      <w:r w:rsidRPr="002F5454">
        <w:rPr>
          <w:rFonts w:ascii="Arial" w:hAnsi="Arial" w:cs="Arial"/>
          <w:sz w:val="20"/>
          <w:szCs w:val="20"/>
        </w:rPr>
        <w:t xml:space="preserve">Anguiano-Velazquez, T.G., Granados-Kraulles, J.A., Santiago-Sanchez, B., Salcedo-Vargas M., Delgadillo-Urban Y.M., Herrerias-Colin, L.A., et al. </w:t>
      </w:r>
      <w:r w:rsidRPr="00804989">
        <w:rPr>
          <w:rFonts w:ascii="Arial" w:hAnsi="Arial" w:cs="Arial"/>
          <w:sz w:val="20"/>
          <w:szCs w:val="20"/>
          <w:lang w:val="en-US"/>
        </w:rPr>
        <w:t xml:space="preserve">(2024). </w:t>
      </w:r>
      <w:r w:rsidRPr="008F39F5">
        <w:rPr>
          <w:rFonts w:ascii="Arial" w:hAnsi="Arial" w:cs="Arial"/>
          <w:sz w:val="20"/>
          <w:szCs w:val="20"/>
          <w:lang w:val="en-GB"/>
        </w:rPr>
        <w:t>Risk Factors Associated With COVID-19 and Gastrointestinal Manifestations in Older Adult Patients. Curr. J. Appl. Sci. Technol, 43(6):178-86.</w:t>
      </w:r>
    </w:p>
    <w:p w14:paraId="23EA45C3" w14:textId="73F503AE" w:rsidR="00C5405C" w:rsidRDefault="00C5405C" w:rsidP="00C5405C">
      <w:pPr>
        <w:pStyle w:val="ListParagraph"/>
        <w:numPr>
          <w:ilvl w:val="0"/>
          <w:numId w:val="31"/>
        </w:numPr>
        <w:spacing w:after="0" w:line="240" w:lineRule="auto"/>
        <w:jc w:val="both"/>
        <w:rPr>
          <w:rFonts w:ascii="Arial" w:hAnsi="Arial" w:cs="Arial"/>
          <w:sz w:val="20"/>
          <w:szCs w:val="20"/>
          <w:lang w:val="en-GB"/>
        </w:rPr>
      </w:pPr>
      <w:r w:rsidRPr="00C5405C">
        <w:rPr>
          <w:rFonts w:ascii="Arial" w:hAnsi="Arial" w:cs="Arial"/>
          <w:sz w:val="20"/>
          <w:szCs w:val="20"/>
          <w:lang w:val="nb-NO"/>
        </w:rPr>
        <w:t xml:space="preserve">Arbel, R., Sagy, Y. W., Hoshen, M., Battat, E., Lavie, G., Sergienko, R., et al. </w:t>
      </w:r>
      <w:r w:rsidRPr="00C5405C">
        <w:rPr>
          <w:rFonts w:ascii="Arial" w:hAnsi="Arial" w:cs="Arial"/>
          <w:sz w:val="20"/>
          <w:szCs w:val="20"/>
          <w:lang w:val="en-GB"/>
        </w:rPr>
        <w:t xml:space="preserve">(2022). Nirmatrelvir Use and Severe Covid-19 Outcomes during the Omicron Surge. The New England Journal of Medicine, NEJMoa2204919. </w:t>
      </w:r>
      <w:hyperlink r:id="rId15" w:history="1">
        <w:r w:rsidRPr="00D93CAE">
          <w:rPr>
            <w:rStyle w:val="Hyperlink"/>
            <w:rFonts w:ascii="Arial" w:hAnsi="Arial" w:cs="Arial"/>
            <w:sz w:val="20"/>
            <w:szCs w:val="20"/>
            <w:lang w:val="en-GB"/>
          </w:rPr>
          <w:t>https://doi.org/10.1056/NEJMoa2204919</w:t>
        </w:r>
      </w:hyperlink>
      <w:r>
        <w:rPr>
          <w:rFonts w:ascii="Arial" w:hAnsi="Arial" w:cs="Arial"/>
          <w:sz w:val="20"/>
          <w:szCs w:val="20"/>
          <w:lang w:val="en-GB"/>
        </w:rPr>
        <w:t xml:space="preserve"> </w:t>
      </w:r>
    </w:p>
    <w:p w14:paraId="1335057F" w14:textId="6B6F3251" w:rsidR="00C5405C" w:rsidRDefault="00C5405C" w:rsidP="00C5405C">
      <w:pPr>
        <w:pStyle w:val="ListParagraph"/>
        <w:numPr>
          <w:ilvl w:val="0"/>
          <w:numId w:val="31"/>
        </w:numPr>
        <w:spacing w:after="0" w:line="240" w:lineRule="auto"/>
        <w:jc w:val="both"/>
        <w:rPr>
          <w:rFonts w:ascii="Arial" w:hAnsi="Arial" w:cs="Arial"/>
          <w:sz w:val="20"/>
          <w:szCs w:val="20"/>
          <w:lang w:val="en-GB"/>
        </w:rPr>
      </w:pPr>
      <w:r w:rsidRPr="00D40E69">
        <w:rPr>
          <w:rFonts w:ascii="Arial" w:hAnsi="Arial" w:cs="Arial"/>
          <w:sz w:val="20"/>
          <w:szCs w:val="20"/>
          <w:lang w:val="en-GB"/>
        </w:rPr>
        <w:t xml:space="preserve">Ashktorab, H., Pizuorno, A., Fierro, N. A., Villagrana, E. D. C., Solis, M. E. H., Cardenas, G., Alvarez, D. Z., Oskrochi, G., Adeleye, F., Dalivand, M. M., Laiyemo, A. O., Aduli, F., Sherif, Z. A., &amp; Brim, H. (2021). A Comprehensive Meta-Analysis of COVID-19 in Latin America. SOJ microbiology &amp; infectious diseases, 8(1), 1–11. </w:t>
      </w:r>
      <w:hyperlink r:id="rId16" w:history="1">
        <w:r w:rsidRPr="00D93CAE">
          <w:rPr>
            <w:rStyle w:val="Hyperlink"/>
            <w:rFonts w:ascii="Arial" w:hAnsi="Arial" w:cs="Arial"/>
            <w:sz w:val="20"/>
            <w:szCs w:val="20"/>
            <w:lang w:val="en-GB"/>
          </w:rPr>
          <w:t>https://doi.org/10.15226/sojmid/8/1/001108</w:t>
        </w:r>
      </w:hyperlink>
      <w:r>
        <w:rPr>
          <w:rFonts w:ascii="Arial" w:hAnsi="Arial" w:cs="Arial"/>
          <w:sz w:val="20"/>
          <w:szCs w:val="20"/>
          <w:lang w:val="en-GB"/>
        </w:rPr>
        <w:t xml:space="preserve"> </w:t>
      </w:r>
    </w:p>
    <w:p w14:paraId="382F0646" w14:textId="293A7341" w:rsidR="00FB7E9A" w:rsidRPr="008F39F5" w:rsidRDefault="00FB7E9A" w:rsidP="00A972C7">
      <w:pPr>
        <w:pStyle w:val="ListParagraph"/>
        <w:numPr>
          <w:ilvl w:val="0"/>
          <w:numId w:val="31"/>
        </w:numPr>
        <w:jc w:val="both"/>
        <w:rPr>
          <w:rFonts w:ascii="Arial" w:hAnsi="Arial" w:cs="Arial"/>
          <w:sz w:val="20"/>
          <w:szCs w:val="20"/>
          <w:lang w:val="en-GB"/>
        </w:rPr>
      </w:pPr>
      <w:r w:rsidRPr="00F71E4D">
        <w:rPr>
          <w:rFonts w:ascii="Arial" w:hAnsi="Arial" w:cs="Arial"/>
          <w:sz w:val="20"/>
          <w:szCs w:val="20"/>
          <w:lang w:val="fr-FR"/>
        </w:rPr>
        <w:t xml:space="preserve">Bai, Y., Du, Z., Wang, L., Lau, E., Fung, I., Holme, P., et al. </w:t>
      </w:r>
      <w:r w:rsidRPr="008F39F5">
        <w:rPr>
          <w:rFonts w:ascii="Arial" w:hAnsi="Arial" w:cs="Arial"/>
          <w:sz w:val="20"/>
          <w:szCs w:val="20"/>
          <w:lang w:val="en-GB"/>
        </w:rPr>
        <w:t xml:space="preserve">(2024). Public Health Impact of Paxlovid as Treatment for COVID-19, United States. Emerging Infectious Diseases, 30(2), 262-269. </w:t>
      </w:r>
      <w:hyperlink r:id="rId17" w:history="1">
        <w:r w:rsidRPr="008F39F5">
          <w:rPr>
            <w:rStyle w:val="Hyperlink"/>
            <w:rFonts w:ascii="Arial" w:hAnsi="Arial" w:cs="Arial"/>
            <w:sz w:val="20"/>
            <w:szCs w:val="20"/>
            <w:lang w:val="en-GB"/>
          </w:rPr>
          <w:t>https://doi.org/10.3201/eid3002.230835</w:t>
        </w:r>
      </w:hyperlink>
      <w:r w:rsidRPr="008F39F5">
        <w:rPr>
          <w:rFonts w:ascii="Arial" w:hAnsi="Arial" w:cs="Arial"/>
          <w:sz w:val="20"/>
          <w:szCs w:val="20"/>
          <w:lang w:val="en-GB"/>
        </w:rPr>
        <w:t xml:space="preserve">. </w:t>
      </w:r>
    </w:p>
    <w:p w14:paraId="3DD136D4" w14:textId="03EF3E63" w:rsidR="005F33D7" w:rsidRPr="005F33D7" w:rsidRDefault="005F33D7" w:rsidP="00A972C7">
      <w:pPr>
        <w:pStyle w:val="ListParagraph"/>
        <w:numPr>
          <w:ilvl w:val="0"/>
          <w:numId w:val="31"/>
        </w:numPr>
        <w:jc w:val="both"/>
        <w:rPr>
          <w:rFonts w:ascii="Arial" w:hAnsi="Arial" w:cs="Arial"/>
          <w:sz w:val="20"/>
          <w:szCs w:val="20"/>
          <w:lang w:val="en-GB"/>
        </w:rPr>
      </w:pPr>
      <w:r w:rsidRPr="005F33D7">
        <w:rPr>
          <w:rFonts w:ascii="Arial" w:hAnsi="Arial" w:cs="Arial"/>
          <w:sz w:val="20"/>
          <w:szCs w:val="20"/>
          <w:lang w:val="en-GB"/>
        </w:rPr>
        <w:t xml:space="preserve">Bhatia, A., Preiss, A. J., Xiao, X., Brannock, M. D., Alexander, G. C., Chew, R. F., </w:t>
      </w:r>
      <w:r>
        <w:rPr>
          <w:rFonts w:ascii="Arial" w:hAnsi="Arial" w:cs="Arial"/>
          <w:sz w:val="20"/>
          <w:szCs w:val="20"/>
          <w:lang w:val="en-GB"/>
        </w:rPr>
        <w:t>et al</w:t>
      </w:r>
      <w:r w:rsidRPr="005F33D7">
        <w:rPr>
          <w:rFonts w:ascii="Arial" w:hAnsi="Arial" w:cs="Arial"/>
          <w:sz w:val="20"/>
          <w:szCs w:val="20"/>
          <w:lang w:val="en-GB"/>
        </w:rPr>
        <w:t xml:space="preserve">. (2023). Effect of Nirmatrelvir/Ritonavir (Paxlovid) on Hospitalization among Adults </w:t>
      </w:r>
      <w:r w:rsidRPr="005F33D7">
        <w:rPr>
          <w:rFonts w:ascii="Arial" w:hAnsi="Arial" w:cs="Arial"/>
          <w:sz w:val="20"/>
          <w:szCs w:val="20"/>
          <w:lang w:val="en-GB"/>
        </w:rPr>
        <w:lastRenderedPageBreak/>
        <w:t xml:space="preserve">with COVID-19: An EHR-based Target Trial Emulation from N3C. MedRxiv, 2023.05.03.23289084. </w:t>
      </w:r>
      <w:hyperlink r:id="rId18" w:history="1">
        <w:r w:rsidRPr="00D93CAE">
          <w:rPr>
            <w:rStyle w:val="Hyperlink"/>
            <w:rFonts w:ascii="Arial" w:hAnsi="Arial" w:cs="Arial"/>
            <w:sz w:val="20"/>
            <w:szCs w:val="20"/>
            <w:lang w:val="en-GB"/>
          </w:rPr>
          <w:t>https://doi.org/10.1101/2023.05.03.23289084</w:t>
        </w:r>
      </w:hyperlink>
      <w:r>
        <w:rPr>
          <w:rFonts w:ascii="Arial" w:hAnsi="Arial" w:cs="Arial"/>
          <w:sz w:val="20"/>
          <w:szCs w:val="20"/>
          <w:lang w:val="en-GB"/>
        </w:rPr>
        <w:t xml:space="preserve"> </w:t>
      </w:r>
    </w:p>
    <w:p w14:paraId="7E2943D0" w14:textId="546B921D" w:rsidR="00A972C7" w:rsidRPr="008F39F5" w:rsidRDefault="00A972C7" w:rsidP="00A972C7">
      <w:pPr>
        <w:pStyle w:val="ListParagraph"/>
        <w:numPr>
          <w:ilvl w:val="0"/>
          <w:numId w:val="31"/>
        </w:numPr>
        <w:jc w:val="both"/>
        <w:rPr>
          <w:rFonts w:ascii="Arial" w:hAnsi="Arial" w:cs="Arial"/>
          <w:sz w:val="20"/>
          <w:szCs w:val="20"/>
          <w:lang w:val="en-GB"/>
        </w:rPr>
      </w:pPr>
      <w:r w:rsidRPr="002F5454">
        <w:rPr>
          <w:rFonts w:ascii="Arial" w:hAnsi="Arial" w:cs="Arial"/>
          <w:sz w:val="20"/>
          <w:szCs w:val="20"/>
        </w:rPr>
        <w:t xml:space="preserve">Castillo-Cruz, T., Lopez-Hernandez, D., Mayoral-Ortiz, A., Brito-Aranda, L., Blanco-Osorio, N., Castro-Diaz, A.M., et al. </w:t>
      </w:r>
      <w:r w:rsidRPr="008F39F5">
        <w:rPr>
          <w:rFonts w:ascii="Arial" w:hAnsi="Arial" w:cs="Arial"/>
          <w:sz w:val="20"/>
          <w:szCs w:val="20"/>
          <w:lang w:val="en-GB"/>
        </w:rPr>
        <w:t xml:space="preserve">(2025). Analytical Study of the Geographical Distribution and Seasonality Patterns of COVID-19 Cases in Primary Care Units: A Descriptive Analytical Study. Current Journal of Applied Science and Technology 44 (2):23-37. </w:t>
      </w:r>
      <w:hyperlink r:id="rId19" w:history="1">
        <w:r w:rsidRPr="008F39F5">
          <w:rPr>
            <w:rStyle w:val="Hyperlink"/>
            <w:rFonts w:ascii="Arial" w:hAnsi="Arial" w:cs="Arial"/>
            <w:sz w:val="20"/>
            <w:szCs w:val="20"/>
            <w:lang w:val="en-GB"/>
          </w:rPr>
          <w:t>https://doi.org/10.9734/cjast/2025/v44i24481</w:t>
        </w:r>
      </w:hyperlink>
      <w:r w:rsidRPr="008F39F5">
        <w:rPr>
          <w:rFonts w:ascii="Arial" w:hAnsi="Arial" w:cs="Arial"/>
          <w:sz w:val="20"/>
          <w:szCs w:val="20"/>
          <w:lang w:val="en-GB"/>
        </w:rPr>
        <w:t xml:space="preserve"> </w:t>
      </w:r>
    </w:p>
    <w:p w14:paraId="65F0BEA1" w14:textId="77777777" w:rsidR="002E43A5" w:rsidRPr="002E43A5" w:rsidRDefault="002E43A5" w:rsidP="002E43A5">
      <w:pPr>
        <w:pStyle w:val="ListParagraph"/>
        <w:numPr>
          <w:ilvl w:val="0"/>
          <w:numId w:val="31"/>
        </w:numPr>
        <w:rPr>
          <w:rFonts w:ascii="Arial" w:hAnsi="Arial" w:cs="Arial"/>
          <w:sz w:val="20"/>
          <w:szCs w:val="20"/>
          <w:lang w:val="en-GB"/>
        </w:rPr>
      </w:pPr>
      <w:r w:rsidRPr="00F71E4D">
        <w:rPr>
          <w:rFonts w:ascii="Arial" w:hAnsi="Arial" w:cs="Arial"/>
          <w:sz w:val="20"/>
          <w:szCs w:val="20"/>
          <w:lang w:val="fr-FR"/>
        </w:rPr>
        <w:t xml:space="preserve">Chen, N., Zhou, M., Dong, X., Qu, J., Gong, F., Han Y., et al. </w:t>
      </w:r>
      <w:r w:rsidRPr="002E43A5">
        <w:rPr>
          <w:rFonts w:ascii="Arial" w:hAnsi="Arial" w:cs="Arial"/>
          <w:sz w:val="20"/>
          <w:szCs w:val="20"/>
          <w:lang w:val="en-GB"/>
        </w:rPr>
        <w:t>(2020). Epidemiological and clinical characteristics of 99 cases of 2019 novel coronavirus pneumonia in Wuhan, China: a descriptive study. Lancet, 395(10223):507–13.</w:t>
      </w:r>
    </w:p>
    <w:p w14:paraId="0D65B382" w14:textId="6EE4373D" w:rsidR="0031719D" w:rsidRPr="009957B0" w:rsidRDefault="0031719D" w:rsidP="00DA1D15">
      <w:pPr>
        <w:pStyle w:val="ListParagraph"/>
        <w:numPr>
          <w:ilvl w:val="0"/>
          <w:numId w:val="31"/>
        </w:numPr>
        <w:jc w:val="both"/>
        <w:rPr>
          <w:rFonts w:ascii="Arial" w:hAnsi="Arial" w:cs="Arial"/>
          <w:sz w:val="20"/>
          <w:szCs w:val="20"/>
          <w:highlight w:val="yellow"/>
          <w:lang w:val="en-GB"/>
        </w:rPr>
      </w:pPr>
      <w:r w:rsidRPr="00F71E4D">
        <w:rPr>
          <w:rFonts w:ascii="Arial" w:hAnsi="Arial" w:cs="Arial"/>
          <w:sz w:val="20"/>
          <w:szCs w:val="20"/>
          <w:highlight w:val="yellow"/>
          <w:lang w:val="fr-FR"/>
        </w:rPr>
        <w:t xml:space="preserve">Dryden-Peterson, S., Kim, A., Kim, A. Y., Caniglia, E. C., Lennes, I. T., Patel, R., et al. </w:t>
      </w:r>
      <w:r w:rsidRPr="009957B0">
        <w:rPr>
          <w:rFonts w:ascii="Arial" w:hAnsi="Arial" w:cs="Arial"/>
          <w:sz w:val="20"/>
          <w:szCs w:val="20"/>
          <w:highlight w:val="yellow"/>
          <w:lang w:val="en-GB"/>
        </w:rPr>
        <w:t xml:space="preserve">(2023). Nirmatrelvir Plus Ritonavir for Early COVID-19 in a Large U.S. Health System: A Population-Based Cohort Study. Annals of internal medicine, 176(1), 77–84. </w:t>
      </w:r>
      <w:hyperlink r:id="rId20" w:history="1">
        <w:r w:rsidRPr="009957B0">
          <w:rPr>
            <w:rStyle w:val="Hyperlink"/>
            <w:rFonts w:ascii="Arial" w:hAnsi="Arial" w:cs="Arial"/>
            <w:sz w:val="20"/>
            <w:szCs w:val="20"/>
            <w:highlight w:val="yellow"/>
            <w:lang w:val="en-GB"/>
          </w:rPr>
          <w:t>https://doi.org/10.7326/M22-2141</w:t>
        </w:r>
      </w:hyperlink>
      <w:r w:rsidRPr="009957B0">
        <w:rPr>
          <w:rFonts w:ascii="Arial" w:hAnsi="Arial" w:cs="Arial"/>
          <w:sz w:val="20"/>
          <w:szCs w:val="20"/>
          <w:highlight w:val="yellow"/>
          <w:lang w:val="en-GB"/>
        </w:rPr>
        <w:t xml:space="preserve"> </w:t>
      </w:r>
    </w:p>
    <w:p w14:paraId="15E4AB11" w14:textId="2E5BA8C1" w:rsidR="00797B6D" w:rsidRDefault="00797B6D" w:rsidP="00DA1D15">
      <w:pPr>
        <w:pStyle w:val="ListParagraph"/>
        <w:numPr>
          <w:ilvl w:val="0"/>
          <w:numId w:val="31"/>
        </w:numPr>
        <w:jc w:val="both"/>
        <w:rPr>
          <w:rFonts w:ascii="Arial" w:hAnsi="Arial" w:cs="Arial"/>
          <w:sz w:val="20"/>
          <w:szCs w:val="20"/>
          <w:lang w:val="en-GB"/>
        </w:rPr>
      </w:pPr>
      <w:r w:rsidRPr="00797B6D">
        <w:rPr>
          <w:rFonts w:ascii="Arial" w:hAnsi="Arial" w:cs="Arial"/>
          <w:sz w:val="20"/>
          <w:szCs w:val="20"/>
        </w:rPr>
        <w:t xml:space="preserve">Escalera-Antezana, J. P., Lizon-Ferrufino, N. F., Maldonado-Alanoca, A., Alarcon-De-la-Vega, G., Alvarado-Arnez, L. E., Balderrama-Saavedra, M. A., </w:t>
      </w:r>
      <w:r>
        <w:rPr>
          <w:rFonts w:ascii="Arial" w:hAnsi="Arial" w:cs="Arial"/>
          <w:sz w:val="20"/>
          <w:szCs w:val="20"/>
        </w:rPr>
        <w:t>et al</w:t>
      </w:r>
      <w:r w:rsidRPr="00797B6D">
        <w:rPr>
          <w:rFonts w:ascii="Arial" w:hAnsi="Arial" w:cs="Arial"/>
          <w:sz w:val="20"/>
          <w:szCs w:val="20"/>
        </w:rPr>
        <w:t xml:space="preserve">. </w:t>
      </w:r>
      <w:r w:rsidRPr="00804989">
        <w:rPr>
          <w:rFonts w:ascii="Arial" w:hAnsi="Arial" w:cs="Arial"/>
          <w:sz w:val="20"/>
          <w:szCs w:val="20"/>
          <w:lang w:val="en-US"/>
        </w:rPr>
        <w:t xml:space="preserve">(2020). </w:t>
      </w:r>
      <w:r w:rsidRPr="00797B6D">
        <w:rPr>
          <w:rFonts w:ascii="Arial" w:hAnsi="Arial" w:cs="Arial"/>
          <w:sz w:val="20"/>
          <w:szCs w:val="20"/>
          <w:lang w:val="en-GB"/>
        </w:rPr>
        <w:t>Risk factors for mortality in patients with Coronavirus Disease 2019 (COVID-19) in Bolivia: An analysis of the first 107 confirmed cases. Le infezioni in medicina, 28(2), 238–242.</w:t>
      </w:r>
      <w:r>
        <w:rPr>
          <w:rFonts w:ascii="Arial" w:hAnsi="Arial" w:cs="Arial"/>
          <w:sz w:val="20"/>
          <w:szCs w:val="20"/>
          <w:lang w:val="en-GB"/>
        </w:rPr>
        <w:t xml:space="preserve"> </w:t>
      </w:r>
    </w:p>
    <w:p w14:paraId="4A3E1EF5" w14:textId="3C28DC9C" w:rsidR="001A5D0D" w:rsidRDefault="001A5D0D" w:rsidP="002269D9">
      <w:pPr>
        <w:pStyle w:val="ListParagraph"/>
        <w:numPr>
          <w:ilvl w:val="0"/>
          <w:numId w:val="31"/>
        </w:numPr>
        <w:rPr>
          <w:rFonts w:ascii="Arial" w:hAnsi="Arial" w:cs="Arial"/>
          <w:sz w:val="20"/>
          <w:szCs w:val="20"/>
          <w:lang w:val="en-GB"/>
        </w:rPr>
      </w:pPr>
      <w:r w:rsidRPr="001A5D0D">
        <w:rPr>
          <w:rFonts w:ascii="Arial" w:hAnsi="Arial" w:cs="Arial"/>
          <w:sz w:val="20"/>
          <w:szCs w:val="20"/>
          <w:lang w:val="en-GB"/>
        </w:rPr>
        <w:t>Geng, L. N., Bonilla, H., Hedlin, H., Jacobson, K. B., Tian, L., Jagannathan, P., et al. (2</w:t>
      </w:r>
      <w:r>
        <w:rPr>
          <w:rFonts w:ascii="Arial" w:hAnsi="Arial" w:cs="Arial"/>
          <w:sz w:val="20"/>
          <w:szCs w:val="20"/>
          <w:lang w:val="en-GB"/>
        </w:rPr>
        <w:t xml:space="preserve">024). </w:t>
      </w:r>
      <w:r w:rsidRPr="001A5D0D">
        <w:rPr>
          <w:rFonts w:ascii="Arial" w:hAnsi="Arial" w:cs="Arial"/>
          <w:sz w:val="20"/>
          <w:szCs w:val="20"/>
          <w:lang w:val="en-GB"/>
        </w:rPr>
        <w:t xml:space="preserve">Nirmatrelvir-Ritonavir and Symptoms in Adults With Postacute Sequelae of SARS-CoV-2 Infection: The STOP-PASC Randomized Clinical Trial. JAMA internal medicine, 184(9), 1024–1034. </w:t>
      </w:r>
      <w:hyperlink r:id="rId21" w:history="1">
        <w:r w:rsidRPr="00D93CAE">
          <w:rPr>
            <w:rStyle w:val="Hyperlink"/>
            <w:rFonts w:ascii="Arial" w:hAnsi="Arial" w:cs="Arial"/>
            <w:sz w:val="20"/>
            <w:szCs w:val="20"/>
            <w:lang w:val="en-GB"/>
          </w:rPr>
          <w:t>https://doi.org/10.1001/jamainternmed.2024.2007</w:t>
        </w:r>
      </w:hyperlink>
      <w:r>
        <w:rPr>
          <w:rFonts w:ascii="Arial" w:hAnsi="Arial" w:cs="Arial"/>
          <w:sz w:val="20"/>
          <w:szCs w:val="20"/>
          <w:lang w:val="en-GB"/>
        </w:rPr>
        <w:t xml:space="preserve"> </w:t>
      </w:r>
    </w:p>
    <w:p w14:paraId="3AE3C047" w14:textId="2666A113" w:rsidR="002269D9" w:rsidRPr="002269D9" w:rsidRDefault="002269D9" w:rsidP="002269D9">
      <w:pPr>
        <w:pStyle w:val="ListParagraph"/>
        <w:numPr>
          <w:ilvl w:val="0"/>
          <w:numId w:val="31"/>
        </w:numPr>
        <w:rPr>
          <w:rFonts w:ascii="Arial" w:hAnsi="Arial" w:cs="Arial"/>
          <w:sz w:val="20"/>
          <w:szCs w:val="20"/>
          <w:lang w:val="en-GB"/>
        </w:rPr>
      </w:pPr>
      <w:r w:rsidRPr="002269D9">
        <w:rPr>
          <w:rFonts w:ascii="Arial" w:hAnsi="Arial" w:cs="Arial"/>
          <w:sz w:val="20"/>
          <w:szCs w:val="20"/>
          <w:lang w:val="en-GB"/>
        </w:rPr>
        <w:t>Guan, W.J., Ni, Z.Y., Hu, Y., Liang, W.H., Ou, C.Q., He, J.X., et al. (2020). Clinical characteristics of coronavirus disease 2019 in China. N Engl J Med, 382(18):1708–20.</w:t>
      </w:r>
    </w:p>
    <w:p w14:paraId="7F367CCF" w14:textId="548357EF" w:rsidR="00446D99" w:rsidRDefault="00446D99" w:rsidP="00DA1D15">
      <w:pPr>
        <w:pStyle w:val="ListParagraph"/>
        <w:numPr>
          <w:ilvl w:val="0"/>
          <w:numId w:val="31"/>
        </w:numPr>
        <w:jc w:val="both"/>
        <w:rPr>
          <w:rFonts w:ascii="Arial" w:hAnsi="Arial" w:cs="Arial"/>
          <w:sz w:val="20"/>
          <w:szCs w:val="20"/>
          <w:lang w:val="en-GB"/>
        </w:rPr>
      </w:pPr>
      <w:r w:rsidRPr="00446D99">
        <w:rPr>
          <w:rFonts w:ascii="Arial" w:hAnsi="Arial" w:cs="Arial"/>
          <w:sz w:val="20"/>
          <w:szCs w:val="20"/>
          <w:lang w:val="nb-NO"/>
        </w:rPr>
        <w:t xml:space="preserve">Henneberger, P. K., &amp; Cox-Ganser, J. M. (2024). </w:t>
      </w:r>
      <w:r w:rsidRPr="00446D99">
        <w:rPr>
          <w:rFonts w:ascii="Arial" w:hAnsi="Arial" w:cs="Arial"/>
          <w:sz w:val="20"/>
          <w:szCs w:val="20"/>
          <w:lang w:val="en-GB"/>
        </w:rPr>
        <w:t>Occupation and COVID-19: Lessons</w:t>
      </w:r>
      <w:r>
        <w:rPr>
          <w:rFonts w:ascii="Arial" w:hAnsi="Arial" w:cs="Arial"/>
          <w:sz w:val="20"/>
          <w:szCs w:val="20"/>
          <w:lang w:val="en-GB"/>
        </w:rPr>
        <w:t xml:space="preserve"> </w:t>
      </w:r>
      <w:r w:rsidRPr="00446D99">
        <w:rPr>
          <w:rFonts w:ascii="Arial" w:hAnsi="Arial" w:cs="Arial"/>
          <w:sz w:val="20"/>
          <w:szCs w:val="20"/>
          <w:lang w:val="en-GB"/>
        </w:rPr>
        <w:t xml:space="preserve">From the Pandemic. The Journal of Allergy and Clinical Immunology. In Practice, 12(8), 1997–2007.e2. </w:t>
      </w:r>
      <w:hyperlink r:id="rId22" w:history="1">
        <w:r w:rsidRPr="00D93CAE">
          <w:rPr>
            <w:rStyle w:val="Hyperlink"/>
            <w:rFonts w:ascii="Arial" w:hAnsi="Arial" w:cs="Arial"/>
            <w:sz w:val="20"/>
            <w:szCs w:val="20"/>
            <w:lang w:val="en-GB"/>
          </w:rPr>
          <w:t>https://doi.org/10.1016/j.jaip.2024.04.022</w:t>
        </w:r>
      </w:hyperlink>
      <w:r>
        <w:rPr>
          <w:rFonts w:ascii="Arial" w:hAnsi="Arial" w:cs="Arial"/>
          <w:sz w:val="20"/>
          <w:szCs w:val="20"/>
          <w:lang w:val="en-GB"/>
        </w:rPr>
        <w:t xml:space="preserve"> </w:t>
      </w:r>
    </w:p>
    <w:p w14:paraId="55AE3349" w14:textId="087A89A1" w:rsidR="0031719D" w:rsidRPr="0031719D" w:rsidRDefault="0031719D" w:rsidP="00DA1D15">
      <w:pPr>
        <w:pStyle w:val="ListParagraph"/>
        <w:numPr>
          <w:ilvl w:val="0"/>
          <w:numId w:val="31"/>
        </w:numPr>
        <w:jc w:val="both"/>
        <w:rPr>
          <w:rFonts w:ascii="Arial" w:hAnsi="Arial" w:cs="Arial"/>
          <w:sz w:val="20"/>
          <w:szCs w:val="20"/>
          <w:highlight w:val="yellow"/>
          <w:lang w:val="en-GB"/>
        </w:rPr>
      </w:pPr>
      <w:r w:rsidRPr="0031719D">
        <w:rPr>
          <w:rFonts w:ascii="Arial" w:hAnsi="Arial" w:cs="Arial"/>
          <w:sz w:val="20"/>
          <w:szCs w:val="20"/>
          <w:highlight w:val="yellow"/>
          <w:lang w:val="nb-NO"/>
        </w:rPr>
        <w:t xml:space="preserve">Hammond, J., Leister-Tebbe, H., Gardner, A., Abreu, P., Bao, W., Wisemandle, W., et al. </w:t>
      </w:r>
      <w:r w:rsidRPr="0031719D">
        <w:rPr>
          <w:rFonts w:ascii="Arial" w:hAnsi="Arial" w:cs="Arial"/>
          <w:sz w:val="20"/>
          <w:szCs w:val="20"/>
          <w:highlight w:val="yellow"/>
          <w:lang w:val="en-GB"/>
        </w:rPr>
        <w:t xml:space="preserve">(2022). Oral Nirmatrelvir for High-Risk, Nonhospitalized Adults with Covid-19. The New England journal of medicine, 386(15), 1397–1408. </w:t>
      </w:r>
      <w:hyperlink r:id="rId23" w:history="1">
        <w:r w:rsidRPr="0031719D">
          <w:rPr>
            <w:rStyle w:val="Hyperlink"/>
            <w:rFonts w:ascii="Arial" w:hAnsi="Arial" w:cs="Arial"/>
            <w:sz w:val="20"/>
            <w:szCs w:val="20"/>
            <w:highlight w:val="yellow"/>
            <w:lang w:val="en-GB"/>
          </w:rPr>
          <w:t>https://doi.org/10.1056/NEJMoa2118542</w:t>
        </w:r>
      </w:hyperlink>
      <w:r w:rsidRPr="0031719D">
        <w:rPr>
          <w:rFonts w:ascii="Arial" w:hAnsi="Arial" w:cs="Arial"/>
          <w:sz w:val="20"/>
          <w:szCs w:val="20"/>
          <w:highlight w:val="yellow"/>
          <w:lang w:val="en-GB"/>
        </w:rPr>
        <w:t xml:space="preserve"> </w:t>
      </w:r>
    </w:p>
    <w:p w14:paraId="330F8A40" w14:textId="320DC793" w:rsidR="0048499D" w:rsidRPr="008F39F5" w:rsidRDefault="0048499D" w:rsidP="00DA1D15">
      <w:pPr>
        <w:pStyle w:val="ListParagraph"/>
        <w:numPr>
          <w:ilvl w:val="0"/>
          <w:numId w:val="31"/>
        </w:numPr>
        <w:jc w:val="both"/>
        <w:rPr>
          <w:rFonts w:ascii="Arial" w:hAnsi="Arial" w:cs="Arial"/>
          <w:sz w:val="20"/>
          <w:szCs w:val="20"/>
          <w:lang w:val="en-GB"/>
        </w:rPr>
      </w:pPr>
      <w:r w:rsidRPr="008F39F5">
        <w:rPr>
          <w:rFonts w:ascii="Arial" w:hAnsi="Arial" w:cs="Arial"/>
          <w:sz w:val="20"/>
          <w:szCs w:val="20"/>
          <w:lang w:val="en-GB"/>
        </w:rPr>
        <w:t xml:space="preserve">Infectious Diseases Society of America, IDSA, (2024). IDSA Guidelines on the Treatment and Management of Patients with COVID-19. Published by IDSA, 5/27/2021. Last updated, 8/12/2024 </w:t>
      </w:r>
      <w:hyperlink r:id="rId24" w:history="1">
        <w:r w:rsidRPr="008F39F5">
          <w:rPr>
            <w:rStyle w:val="Hyperlink"/>
            <w:rFonts w:ascii="Arial" w:hAnsi="Arial" w:cs="Arial"/>
            <w:sz w:val="20"/>
            <w:szCs w:val="20"/>
            <w:lang w:val="en-GB"/>
          </w:rPr>
          <w:t>https://www.idsociety.org/practice-guideline/covid-19-guideline-treatment-and-management/</w:t>
        </w:r>
      </w:hyperlink>
      <w:r w:rsidRPr="008F39F5">
        <w:rPr>
          <w:rFonts w:ascii="Arial" w:hAnsi="Arial" w:cs="Arial"/>
          <w:sz w:val="20"/>
          <w:szCs w:val="20"/>
          <w:lang w:val="en-GB"/>
        </w:rPr>
        <w:t xml:space="preserve"> </w:t>
      </w:r>
    </w:p>
    <w:p w14:paraId="565B0BC3" w14:textId="77777777" w:rsidR="00446D99" w:rsidRPr="00446D99" w:rsidRDefault="00446D99" w:rsidP="00446D99">
      <w:pPr>
        <w:pStyle w:val="ListParagraph"/>
        <w:numPr>
          <w:ilvl w:val="0"/>
          <w:numId w:val="31"/>
        </w:numPr>
        <w:rPr>
          <w:rFonts w:ascii="Arial" w:hAnsi="Arial" w:cs="Arial"/>
          <w:sz w:val="20"/>
          <w:szCs w:val="20"/>
          <w:lang w:val="en-GB"/>
        </w:rPr>
      </w:pPr>
      <w:r w:rsidRPr="00F71E4D">
        <w:rPr>
          <w:rFonts w:ascii="Arial" w:hAnsi="Arial" w:cs="Arial"/>
          <w:sz w:val="20"/>
          <w:szCs w:val="20"/>
          <w:lang w:val="fr-FR"/>
        </w:rPr>
        <w:t xml:space="preserve">Kalyanaraman, M.R., Dolle, J., Grami, S., Adule, R., Li, Z., Tatem, K., et al. </w:t>
      </w:r>
      <w:r w:rsidRPr="00446D99">
        <w:rPr>
          <w:rFonts w:ascii="Arial" w:hAnsi="Arial" w:cs="Arial"/>
          <w:sz w:val="20"/>
          <w:szCs w:val="20"/>
          <w:lang w:val="en-GB"/>
        </w:rPr>
        <w:t>(2020). Characteristics and Outcomes of COVID-19 Patients in New York City's Public Hospital System. medRxiv.</w:t>
      </w:r>
    </w:p>
    <w:p w14:paraId="052ACE1F" w14:textId="0D30E48F"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en-GB"/>
        </w:rPr>
        <w:t>Klein, S.L., Dhakal, S., Ursin, R.L., Deshpande, S., Sandberg, K., &amp; Mauvais-Jarvis, F. (2020). Biological sex impacts COVID-19 outcomes. PLoS Pathog,</w:t>
      </w:r>
      <w:r>
        <w:rPr>
          <w:rFonts w:ascii="Arial" w:hAnsi="Arial" w:cs="Arial"/>
          <w:sz w:val="20"/>
          <w:szCs w:val="20"/>
          <w:lang w:val="en-GB"/>
        </w:rPr>
        <w:t xml:space="preserve"> </w:t>
      </w:r>
      <w:r w:rsidRPr="00446D99">
        <w:rPr>
          <w:rFonts w:ascii="Arial" w:hAnsi="Arial" w:cs="Arial"/>
          <w:sz w:val="20"/>
          <w:szCs w:val="20"/>
          <w:lang w:val="en-GB"/>
        </w:rPr>
        <w:t>16(6):e1008570.</w:t>
      </w:r>
    </w:p>
    <w:p w14:paraId="2739BF22" w14:textId="51154A24" w:rsidR="000B1137" w:rsidRDefault="000B1137" w:rsidP="00A972C7">
      <w:pPr>
        <w:pStyle w:val="ListParagraph"/>
        <w:numPr>
          <w:ilvl w:val="0"/>
          <w:numId w:val="31"/>
        </w:numPr>
        <w:jc w:val="both"/>
        <w:rPr>
          <w:rFonts w:ascii="Arial" w:hAnsi="Arial" w:cs="Arial"/>
          <w:sz w:val="20"/>
          <w:szCs w:val="20"/>
          <w:lang w:val="en-GB"/>
        </w:rPr>
      </w:pPr>
      <w:r w:rsidRPr="00797B6D">
        <w:rPr>
          <w:rFonts w:ascii="Arial" w:hAnsi="Arial" w:cs="Arial"/>
          <w:sz w:val="20"/>
          <w:szCs w:val="20"/>
          <w:lang w:val="nb-NO"/>
        </w:rPr>
        <w:t xml:space="preserve">Landoni, G., Maimeri, N., Fedrizzi, M., Fresilli, S., Kuzovlev, A., Likhvantsev, V., et al. </w:t>
      </w:r>
      <w:r w:rsidRPr="000B1137">
        <w:rPr>
          <w:rFonts w:ascii="Arial" w:hAnsi="Arial" w:cs="Arial"/>
          <w:sz w:val="20"/>
          <w:szCs w:val="20"/>
          <w:lang w:val="en-GB"/>
        </w:rPr>
        <w:t xml:space="preserve">(2020). Why are Asian countries outperforming the Western world in controlling COVID-19 pandemic? Pathogens and Global Health, 115(1), 70. </w:t>
      </w:r>
      <w:hyperlink r:id="rId25" w:history="1">
        <w:r w:rsidRPr="00D93CAE">
          <w:rPr>
            <w:rStyle w:val="Hyperlink"/>
            <w:rFonts w:ascii="Arial" w:hAnsi="Arial" w:cs="Arial"/>
            <w:sz w:val="20"/>
            <w:szCs w:val="20"/>
            <w:lang w:val="en-GB"/>
          </w:rPr>
          <w:t>https://doi.org/10.1080/20477724.2020.1850982</w:t>
        </w:r>
      </w:hyperlink>
      <w:r>
        <w:rPr>
          <w:rFonts w:ascii="Arial" w:hAnsi="Arial" w:cs="Arial"/>
          <w:sz w:val="20"/>
          <w:szCs w:val="20"/>
          <w:lang w:val="en-GB"/>
        </w:rPr>
        <w:t xml:space="preserve"> </w:t>
      </w:r>
    </w:p>
    <w:p w14:paraId="5B2E349B" w14:textId="78947EB0" w:rsidR="00C74112" w:rsidRDefault="00C74112" w:rsidP="00A972C7">
      <w:pPr>
        <w:pStyle w:val="ListParagraph"/>
        <w:numPr>
          <w:ilvl w:val="0"/>
          <w:numId w:val="31"/>
        </w:numPr>
        <w:jc w:val="both"/>
        <w:rPr>
          <w:rFonts w:ascii="Arial" w:hAnsi="Arial" w:cs="Arial"/>
          <w:sz w:val="20"/>
          <w:szCs w:val="20"/>
          <w:lang w:val="en-GB"/>
        </w:rPr>
      </w:pPr>
      <w:r w:rsidRPr="00C74112">
        <w:rPr>
          <w:rFonts w:ascii="Arial" w:hAnsi="Arial" w:cs="Arial"/>
          <w:sz w:val="20"/>
          <w:szCs w:val="20"/>
        </w:rPr>
        <w:t xml:space="preserve">LaRotta, J., Escobar, O., Ávila-Aguero, M. L., Torres, J. P., Morales, C., &amp; Srivastava, A. (2023). </w:t>
      </w:r>
      <w:r w:rsidRPr="00C74112">
        <w:rPr>
          <w:rFonts w:ascii="Arial" w:hAnsi="Arial" w:cs="Arial"/>
          <w:sz w:val="20"/>
          <w:szCs w:val="20"/>
          <w:lang w:val="en-GB"/>
        </w:rPr>
        <w:t xml:space="preserve">COVID-19 in Latin America: A Snapshot in Time and the Road Ahead. </w:t>
      </w:r>
      <w:r w:rsidRPr="00C74112">
        <w:rPr>
          <w:rFonts w:ascii="Arial" w:hAnsi="Arial" w:cs="Arial"/>
          <w:sz w:val="20"/>
          <w:szCs w:val="20"/>
          <w:lang w:val="en-GB"/>
        </w:rPr>
        <w:lastRenderedPageBreak/>
        <w:t xml:space="preserve">Infectious Diseases and Therapy, 12(2), 389. </w:t>
      </w:r>
      <w:hyperlink r:id="rId26" w:history="1">
        <w:r w:rsidRPr="00D93CAE">
          <w:rPr>
            <w:rStyle w:val="Hyperlink"/>
            <w:rFonts w:ascii="Arial" w:hAnsi="Arial" w:cs="Arial"/>
            <w:sz w:val="20"/>
            <w:szCs w:val="20"/>
            <w:lang w:val="en-GB"/>
          </w:rPr>
          <w:t>https://doi.org/10.1007/s40121-022-00748-z</w:t>
        </w:r>
      </w:hyperlink>
      <w:r>
        <w:rPr>
          <w:rFonts w:ascii="Arial" w:hAnsi="Arial" w:cs="Arial"/>
          <w:sz w:val="20"/>
          <w:szCs w:val="20"/>
          <w:lang w:val="en-GB"/>
        </w:rPr>
        <w:t xml:space="preserve"> </w:t>
      </w:r>
    </w:p>
    <w:p w14:paraId="07465BB9" w14:textId="408576E0" w:rsidR="00A972C7" w:rsidRPr="008F39F5" w:rsidRDefault="00A972C7" w:rsidP="00A972C7">
      <w:pPr>
        <w:pStyle w:val="ListParagraph"/>
        <w:numPr>
          <w:ilvl w:val="0"/>
          <w:numId w:val="31"/>
        </w:numPr>
        <w:jc w:val="both"/>
        <w:rPr>
          <w:rFonts w:ascii="Arial" w:hAnsi="Arial" w:cs="Arial"/>
          <w:sz w:val="20"/>
          <w:szCs w:val="20"/>
          <w:lang w:val="en-GB"/>
        </w:rPr>
      </w:pPr>
      <w:r w:rsidRPr="008F39F5">
        <w:rPr>
          <w:rFonts w:ascii="Arial" w:hAnsi="Arial" w:cs="Arial"/>
          <w:sz w:val="20"/>
          <w:szCs w:val="20"/>
          <w:lang w:val="en-GB"/>
        </w:rPr>
        <w:t>López-Hernández D. (2022). Clinical Presentation and Factors Associated to COVID-19 Disease in Mexican Patients. Curr. J. Appl. Sci. Technol. 41(1):40-58.</w:t>
      </w:r>
    </w:p>
    <w:p w14:paraId="2DB37828" w14:textId="77777777" w:rsidR="00A972C7" w:rsidRPr="008F39F5" w:rsidRDefault="00A972C7" w:rsidP="00A972C7">
      <w:pPr>
        <w:pStyle w:val="ListParagraph"/>
        <w:numPr>
          <w:ilvl w:val="0"/>
          <w:numId w:val="31"/>
        </w:numPr>
        <w:jc w:val="both"/>
        <w:rPr>
          <w:rFonts w:ascii="Arial" w:hAnsi="Arial" w:cs="Arial"/>
          <w:sz w:val="20"/>
          <w:szCs w:val="20"/>
          <w:lang w:val="en-GB"/>
        </w:rPr>
      </w:pPr>
      <w:r w:rsidRPr="002F5454">
        <w:rPr>
          <w:rFonts w:ascii="Arial" w:hAnsi="Arial" w:cs="Arial"/>
          <w:sz w:val="20"/>
          <w:szCs w:val="20"/>
        </w:rPr>
        <w:t xml:space="preserve">Lopez-Hernandez, D., Melgarejo-Estefan, E., Brito-Aranda, L., Torres-García, E.E., Vazquez-Sanchez, A., Jimenez-Hernandez, R.L., et al. </w:t>
      </w:r>
      <w:r w:rsidRPr="008F39F5">
        <w:rPr>
          <w:rFonts w:ascii="Arial" w:hAnsi="Arial" w:cs="Arial"/>
          <w:sz w:val="20"/>
          <w:szCs w:val="20"/>
          <w:lang w:val="en-GB"/>
        </w:rPr>
        <w:t>(2024). Seasonal Trends and Epidemiological Characteristics of COVID-19 in Mexico City Primary Care Facilities: A Descriptive Study. Curr. J. Appl. Sci. Technol, 43(12):149-63.</w:t>
      </w:r>
    </w:p>
    <w:p w14:paraId="57DE9785" w14:textId="77777777" w:rsidR="002269D9" w:rsidRPr="002269D9" w:rsidRDefault="002269D9" w:rsidP="002269D9">
      <w:pPr>
        <w:pStyle w:val="ListParagraph"/>
        <w:numPr>
          <w:ilvl w:val="0"/>
          <w:numId w:val="31"/>
        </w:numPr>
        <w:rPr>
          <w:rFonts w:ascii="Arial" w:hAnsi="Arial" w:cs="Arial"/>
          <w:sz w:val="20"/>
          <w:szCs w:val="20"/>
          <w:lang w:val="en-GB"/>
        </w:rPr>
      </w:pPr>
      <w:r w:rsidRPr="00F71E4D">
        <w:rPr>
          <w:rFonts w:ascii="Arial" w:hAnsi="Arial" w:cs="Arial"/>
          <w:sz w:val="20"/>
          <w:szCs w:val="20"/>
          <w:lang w:val="en-US"/>
        </w:rPr>
        <w:t xml:space="preserve">Mazumder, A., Arora, M., Bharadiya, V., Berry, P., Agarwal, M., Behera, P., et al. </w:t>
      </w:r>
      <w:r w:rsidRPr="002269D9">
        <w:rPr>
          <w:rFonts w:ascii="Arial" w:hAnsi="Arial" w:cs="Arial"/>
          <w:sz w:val="20"/>
          <w:szCs w:val="20"/>
          <w:lang w:val="en-GB"/>
        </w:rPr>
        <w:t>(2020). SARS-CoV-2 epidemic in India: epidemiological features and in silico analysis of the effect of interventions. F1000Res, 9:315.</w:t>
      </w:r>
    </w:p>
    <w:p w14:paraId="6963C0F0" w14:textId="0474B2EE" w:rsidR="00665C8D" w:rsidRPr="008F39F5" w:rsidRDefault="00665C8D" w:rsidP="006C1ED3">
      <w:pPr>
        <w:pStyle w:val="ListParagraph"/>
        <w:numPr>
          <w:ilvl w:val="0"/>
          <w:numId w:val="31"/>
        </w:numPr>
        <w:rPr>
          <w:rFonts w:ascii="Arial" w:hAnsi="Arial" w:cs="Arial"/>
          <w:sz w:val="20"/>
          <w:szCs w:val="20"/>
          <w:lang w:val="en-GB"/>
        </w:rPr>
      </w:pPr>
      <w:r w:rsidRPr="008F39F5">
        <w:rPr>
          <w:rFonts w:ascii="Arial" w:hAnsi="Arial" w:cs="Arial"/>
          <w:sz w:val="20"/>
          <w:szCs w:val="20"/>
          <w:lang w:val="en-GB"/>
        </w:rPr>
        <w:t xml:space="preserve">McFee, D. R. (2020). COVID-19 medical management including World Health Organization (WHO) suggested management strategies. Disease-A-Month, 66(9), 101068. </w:t>
      </w:r>
      <w:hyperlink r:id="rId27" w:history="1">
        <w:r w:rsidRPr="008F39F5">
          <w:rPr>
            <w:rStyle w:val="Hyperlink"/>
            <w:rFonts w:ascii="Arial" w:hAnsi="Arial" w:cs="Arial"/>
            <w:sz w:val="20"/>
            <w:szCs w:val="20"/>
            <w:lang w:val="en-GB"/>
          </w:rPr>
          <w:t>https://doi.org/10.1016/j.disamonth.2020.101068</w:t>
        </w:r>
      </w:hyperlink>
      <w:r w:rsidRPr="008F39F5">
        <w:rPr>
          <w:rFonts w:ascii="Arial" w:hAnsi="Arial" w:cs="Arial"/>
          <w:sz w:val="20"/>
          <w:szCs w:val="20"/>
          <w:lang w:val="en-GB"/>
        </w:rPr>
        <w:t xml:space="preserve"> </w:t>
      </w:r>
    </w:p>
    <w:p w14:paraId="77A77CFB" w14:textId="7296AB5F"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en-GB"/>
        </w:rPr>
        <w:t>Nikpouraghdam, M., Jalali Farahani, A., Alishiri, G., Heydari, S., Ebrahimnia, M., Samadinia, H., et al. (2020). Epidemiological characteristics of coronavirus disease 2019 (COVID-19) patients in IRAN: A single center study. Journal of clinical virology: the official publication of the Pan American Society for Clinical Virology, 127, 104378. https://doi.org/10.1016/j.jcv.2020.104378.</w:t>
      </w:r>
    </w:p>
    <w:p w14:paraId="0A1646AD" w14:textId="77777777"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nb-NO"/>
        </w:rPr>
        <w:t xml:space="preserve">O’Brien, J., Du, K.Y. &amp; Peng, C. (2020). </w:t>
      </w:r>
      <w:r w:rsidRPr="00446D99">
        <w:rPr>
          <w:rFonts w:ascii="Arial" w:hAnsi="Arial" w:cs="Arial"/>
          <w:sz w:val="20"/>
          <w:szCs w:val="20"/>
          <w:lang w:val="en-GB"/>
        </w:rPr>
        <w:t>Incidence, clinical features, and outcomes of COVID-19 in Canada: impact of sex and age. J Ovarian Res 13, 137.</w:t>
      </w:r>
    </w:p>
    <w:p w14:paraId="52AB6BC7" w14:textId="5D5A25D7" w:rsidR="006C1ED3" w:rsidRPr="008F39F5" w:rsidRDefault="00A972C7" w:rsidP="006C1ED3">
      <w:pPr>
        <w:pStyle w:val="ListParagraph"/>
        <w:numPr>
          <w:ilvl w:val="0"/>
          <w:numId w:val="31"/>
        </w:numPr>
        <w:rPr>
          <w:rFonts w:ascii="Arial" w:hAnsi="Arial" w:cs="Arial"/>
          <w:sz w:val="20"/>
          <w:szCs w:val="20"/>
          <w:lang w:val="en-GB"/>
        </w:rPr>
      </w:pPr>
      <w:r w:rsidRPr="00F71E4D">
        <w:rPr>
          <w:rFonts w:ascii="Arial" w:hAnsi="Arial" w:cs="Arial"/>
          <w:sz w:val="20"/>
          <w:szCs w:val="20"/>
          <w:lang w:val="fr-FR"/>
        </w:rPr>
        <w:t xml:space="preserve">Osuchowski, M. F., Aletti, F., Cavaillon, M., Flohé, S. B., Giamarellos-Bourboulis, E. J., Huber-Lang, M., et al. </w:t>
      </w:r>
      <w:r w:rsidRPr="008F39F5">
        <w:rPr>
          <w:rFonts w:ascii="Arial" w:hAnsi="Arial" w:cs="Arial"/>
          <w:sz w:val="20"/>
          <w:szCs w:val="20"/>
          <w:lang w:val="en-GB"/>
        </w:rPr>
        <w:t xml:space="preserve">(2020). SARS-CoV-2/COVID-19: Evolving Reality, Global Response, Knowledge Gaps, and Opportunities. Shock (Augusta, Ga.), 10.1097/SHK.0000000000001565. </w:t>
      </w:r>
      <w:hyperlink r:id="rId28" w:history="1">
        <w:r w:rsidRPr="008F39F5">
          <w:rPr>
            <w:rStyle w:val="Hyperlink"/>
            <w:rFonts w:ascii="Arial" w:hAnsi="Arial" w:cs="Arial"/>
            <w:sz w:val="20"/>
            <w:szCs w:val="20"/>
            <w:lang w:val="en-GB"/>
          </w:rPr>
          <w:t>https://doi.org/10.1097/SHK.0000000000001565</w:t>
        </w:r>
      </w:hyperlink>
    </w:p>
    <w:p w14:paraId="3A026421" w14:textId="2D5F98AF" w:rsidR="00F7684F" w:rsidRPr="00F7684F" w:rsidRDefault="00F7684F" w:rsidP="0067238B">
      <w:pPr>
        <w:pStyle w:val="ListParagraph"/>
        <w:numPr>
          <w:ilvl w:val="0"/>
          <w:numId w:val="31"/>
        </w:numPr>
        <w:jc w:val="both"/>
        <w:rPr>
          <w:rFonts w:ascii="Arial" w:hAnsi="Arial" w:cs="Arial"/>
          <w:sz w:val="20"/>
          <w:szCs w:val="20"/>
          <w:highlight w:val="yellow"/>
          <w:lang w:val="en-GB"/>
        </w:rPr>
      </w:pPr>
      <w:r w:rsidRPr="00F7684F">
        <w:rPr>
          <w:rFonts w:ascii="Arial" w:hAnsi="Arial" w:cs="Arial"/>
          <w:sz w:val="20"/>
          <w:szCs w:val="20"/>
          <w:highlight w:val="yellow"/>
          <w:lang w:val="en-GB"/>
        </w:rPr>
        <w:t xml:space="preserve">Pearce N. (2016). Analysis of matched case-control studies. BMJ (Clinical research ed.), 352, i969. </w:t>
      </w:r>
      <w:hyperlink r:id="rId29" w:history="1">
        <w:r w:rsidRPr="00F7684F">
          <w:rPr>
            <w:rStyle w:val="Hyperlink"/>
            <w:rFonts w:ascii="Arial" w:hAnsi="Arial" w:cs="Arial"/>
            <w:sz w:val="20"/>
            <w:szCs w:val="20"/>
            <w:highlight w:val="yellow"/>
            <w:lang w:val="en-GB"/>
          </w:rPr>
          <w:t>https://doi.org/10.1136/bmj.i969</w:t>
        </w:r>
      </w:hyperlink>
      <w:r w:rsidRPr="00F7684F">
        <w:rPr>
          <w:rFonts w:ascii="Arial" w:hAnsi="Arial" w:cs="Arial"/>
          <w:sz w:val="20"/>
          <w:szCs w:val="20"/>
          <w:highlight w:val="yellow"/>
          <w:lang w:val="en-GB"/>
        </w:rPr>
        <w:t xml:space="preserve"> </w:t>
      </w:r>
    </w:p>
    <w:p w14:paraId="0183655D" w14:textId="7C5A9490" w:rsidR="00A972C7" w:rsidRPr="008F39F5" w:rsidRDefault="006C1ED3" w:rsidP="0067238B">
      <w:pPr>
        <w:pStyle w:val="ListParagraph"/>
        <w:numPr>
          <w:ilvl w:val="0"/>
          <w:numId w:val="31"/>
        </w:numPr>
        <w:jc w:val="both"/>
        <w:rPr>
          <w:rFonts w:ascii="Arial" w:hAnsi="Arial" w:cs="Arial"/>
          <w:sz w:val="20"/>
          <w:szCs w:val="20"/>
          <w:lang w:val="en-GB"/>
        </w:rPr>
      </w:pPr>
      <w:r w:rsidRPr="008F39F5">
        <w:rPr>
          <w:rFonts w:ascii="Arial" w:hAnsi="Arial" w:cs="Arial"/>
          <w:sz w:val="20"/>
          <w:szCs w:val="20"/>
          <w:lang w:val="en-GB"/>
        </w:rPr>
        <w:t xml:space="preserve">Reza Hashemian, S. M., Sheida, A., Taghizadieh, M., Memar, M. Y., Hamblin, M. R., Baghi, H. B., </w:t>
      </w:r>
      <w:r w:rsidR="0067238B" w:rsidRPr="008F39F5">
        <w:rPr>
          <w:rFonts w:ascii="Arial" w:hAnsi="Arial" w:cs="Arial"/>
          <w:sz w:val="20"/>
          <w:szCs w:val="20"/>
          <w:lang w:val="en-GB"/>
        </w:rPr>
        <w:t>et al</w:t>
      </w:r>
      <w:r w:rsidRPr="008F39F5">
        <w:rPr>
          <w:rFonts w:ascii="Arial" w:hAnsi="Arial" w:cs="Arial"/>
          <w:sz w:val="20"/>
          <w:szCs w:val="20"/>
          <w:lang w:val="en-GB"/>
        </w:rPr>
        <w:t xml:space="preserve">. (2023). Paxlovid (Nirmatrelvir/Ritonavir): A new approach to Covid-19 therapy? Biomedicine &amp; Pharmacotherapy, 162, 114367. </w:t>
      </w:r>
      <w:hyperlink r:id="rId30" w:history="1">
        <w:r w:rsidRPr="008F39F5">
          <w:rPr>
            <w:rStyle w:val="Hyperlink"/>
            <w:rFonts w:ascii="Arial" w:hAnsi="Arial" w:cs="Arial"/>
            <w:sz w:val="20"/>
            <w:szCs w:val="20"/>
            <w:lang w:val="en-GB"/>
          </w:rPr>
          <w:t>https://doi.org/10.1016/j.biopha.2023.114367</w:t>
        </w:r>
      </w:hyperlink>
      <w:r w:rsidRPr="008F39F5">
        <w:rPr>
          <w:rFonts w:ascii="Arial" w:hAnsi="Arial" w:cs="Arial"/>
          <w:sz w:val="20"/>
          <w:szCs w:val="20"/>
          <w:lang w:val="en-GB"/>
        </w:rPr>
        <w:t xml:space="preserve"> </w:t>
      </w:r>
    </w:p>
    <w:p w14:paraId="48C4BB76" w14:textId="46ECE9AA" w:rsidR="002D5B1B" w:rsidRDefault="002D5B1B" w:rsidP="00446D99">
      <w:pPr>
        <w:pStyle w:val="ListParagraph"/>
        <w:numPr>
          <w:ilvl w:val="0"/>
          <w:numId w:val="31"/>
        </w:numPr>
        <w:rPr>
          <w:rFonts w:ascii="Arial" w:hAnsi="Arial" w:cs="Arial"/>
          <w:sz w:val="20"/>
          <w:szCs w:val="20"/>
          <w:lang w:val="en-GB"/>
        </w:rPr>
      </w:pPr>
      <w:r w:rsidRPr="002D5B1B">
        <w:rPr>
          <w:rFonts w:ascii="Arial" w:hAnsi="Arial" w:cs="Arial"/>
          <w:sz w:val="20"/>
          <w:szCs w:val="20"/>
          <w:lang w:val="en-GB"/>
        </w:rPr>
        <w:t xml:space="preserve">Rubin R. </w:t>
      </w:r>
      <w:r>
        <w:rPr>
          <w:rFonts w:ascii="Arial" w:hAnsi="Arial" w:cs="Arial"/>
          <w:sz w:val="20"/>
          <w:szCs w:val="20"/>
          <w:lang w:val="en-GB"/>
        </w:rPr>
        <w:t xml:space="preserve">(2024). </w:t>
      </w:r>
      <w:r w:rsidRPr="002D5B1B">
        <w:rPr>
          <w:rFonts w:ascii="Arial" w:hAnsi="Arial" w:cs="Arial"/>
          <w:sz w:val="20"/>
          <w:szCs w:val="20"/>
          <w:lang w:val="en-GB"/>
        </w:rPr>
        <w:t>The Latest Research About Paxlovid: Effectiveness, Access, and Possible Long COVID Benefits. JAMA</w:t>
      </w:r>
      <w:r>
        <w:rPr>
          <w:rFonts w:ascii="Arial" w:hAnsi="Arial" w:cs="Arial"/>
          <w:sz w:val="20"/>
          <w:szCs w:val="20"/>
          <w:lang w:val="en-GB"/>
        </w:rPr>
        <w:t>,</w:t>
      </w:r>
      <w:r w:rsidRPr="002D5B1B">
        <w:rPr>
          <w:rFonts w:ascii="Arial" w:hAnsi="Arial" w:cs="Arial"/>
          <w:sz w:val="20"/>
          <w:szCs w:val="20"/>
          <w:lang w:val="en-GB"/>
        </w:rPr>
        <w:t>332(13):1040–1042. doi:10.1001/jama.2024.16432</w:t>
      </w:r>
      <w:r>
        <w:rPr>
          <w:rFonts w:ascii="Arial" w:hAnsi="Arial" w:cs="Arial"/>
          <w:sz w:val="20"/>
          <w:szCs w:val="20"/>
          <w:lang w:val="en-GB"/>
        </w:rPr>
        <w:t xml:space="preserve"> </w:t>
      </w:r>
    </w:p>
    <w:p w14:paraId="51B0FE44" w14:textId="7E777B5E" w:rsidR="004A10BF" w:rsidRPr="007526F0" w:rsidRDefault="004A10BF" w:rsidP="00446D99">
      <w:pPr>
        <w:pStyle w:val="ListParagraph"/>
        <w:numPr>
          <w:ilvl w:val="0"/>
          <w:numId w:val="31"/>
        </w:numPr>
        <w:rPr>
          <w:rFonts w:ascii="Arial" w:hAnsi="Arial" w:cs="Arial"/>
          <w:sz w:val="20"/>
          <w:szCs w:val="20"/>
        </w:rPr>
      </w:pPr>
      <w:r w:rsidRPr="004A10BF">
        <w:rPr>
          <w:rFonts w:ascii="Arial" w:hAnsi="Arial" w:cs="Arial"/>
          <w:sz w:val="20"/>
          <w:szCs w:val="20"/>
          <w:lang w:val="en-GB"/>
        </w:rPr>
        <w:t>Tejada-López, Y.G.-R, del Socorro Goicochea-Ríos, E., Guzmán-Aybar, O.Y. (</w:t>
      </w:r>
      <w:r>
        <w:rPr>
          <w:rFonts w:ascii="Arial" w:hAnsi="Arial" w:cs="Arial"/>
          <w:sz w:val="20"/>
          <w:szCs w:val="20"/>
          <w:lang w:val="en-GB"/>
        </w:rPr>
        <w:t xml:space="preserve">2021) </w:t>
      </w:r>
      <w:r w:rsidRPr="004A10BF">
        <w:rPr>
          <w:rFonts w:ascii="Arial" w:hAnsi="Arial" w:cs="Arial"/>
          <w:sz w:val="20"/>
          <w:szCs w:val="20"/>
          <w:lang w:val="en-GB"/>
        </w:rPr>
        <w:t xml:space="preserve">Clinical epidemiological characteristics of patients diagnosed with SARS-CoV-2. </w:t>
      </w:r>
      <w:r w:rsidRPr="007526F0">
        <w:rPr>
          <w:rFonts w:ascii="Arial" w:hAnsi="Arial" w:cs="Arial"/>
          <w:sz w:val="20"/>
          <w:szCs w:val="20"/>
        </w:rPr>
        <w:t>Hospital I Florencia de Mora Essalud—La Libertad, 2020. Rev Fac Med Hum 21:714–21.</w:t>
      </w:r>
    </w:p>
    <w:p w14:paraId="6BB5DF4A" w14:textId="6712A781" w:rsidR="0040301C" w:rsidRDefault="0040301C" w:rsidP="00446D99">
      <w:pPr>
        <w:pStyle w:val="ListParagraph"/>
        <w:numPr>
          <w:ilvl w:val="0"/>
          <w:numId w:val="31"/>
        </w:numPr>
        <w:rPr>
          <w:rFonts w:ascii="Arial" w:hAnsi="Arial" w:cs="Arial"/>
          <w:sz w:val="20"/>
          <w:szCs w:val="20"/>
          <w:lang w:val="en-GB"/>
        </w:rPr>
      </w:pPr>
      <w:r w:rsidRPr="0040301C">
        <w:rPr>
          <w:rFonts w:ascii="Arial" w:hAnsi="Arial" w:cs="Arial"/>
          <w:sz w:val="20"/>
          <w:szCs w:val="20"/>
          <w:lang w:val="en-GB"/>
        </w:rPr>
        <w:t xml:space="preserve">Thakur, B., Dubey, P., Benitez, J., Torres, J. P., Reddy, S., Shokar, N., </w:t>
      </w:r>
      <w:r>
        <w:rPr>
          <w:rFonts w:ascii="Arial" w:hAnsi="Arial" w:cs="Arial"/>
          <w:sz w:val="20"/>
          <w:szCs w:val="20"/>
          <w:lang w:val="en-GB"/>
        </w:rPr>
        <w:t>et al</w:t>
      </w:r>
      <w:r w:rsidRPr="0040301C">
        <w:rPr>
          <w:rFonts w:ascii="Arial" w:hAnsi="Arial" w:cs="Arial"/>
          <w:sz w:val="20"/>
          <w:szCs w:val="20"/>
          <w:lang w:val="en-GB"/>
        </w:rPr>
        <w:t xml:space="preserve">. (2021). A systematic review and meta-analysis of geographic differences in comorbidities and associated severity and mortality among individuals with COVID-19. Scientific reports, 11(1), 8562. </w:t>
      </w:r>
      <w:hyperlink r:id="rId31" w:history="1">
        <w:r w:rsidRPr="00D93CAE">
          <w:rPr>
            <w:rStyle w:val="Hyperlink"/>
            <w:rFonts w:ascii="Arial" w:hAnsi="Arial" w:cs="Arial"/>
            <w:sz w:val="20"/>
            <w:szCs w:val="20"/>
            <w:lang w:val="en-GB"/>
          </w:rPr>
          <w:t>https://doi.org/10.1038/s41598-021-88130-w</w:t>
        </w:r>
      </w:hyperlink>
      <w:r>
        <w:rPr>
          <w:rFonts w:ascii="Arial" w:hAnsi="Arial" w:cs="Arial"/>
          <w:sz w:val="20"/>
          <w:szCs w:val="20"/>
          <w:lang w:val="en-GB"/>
        </w:rPr>
        <w:t xml:space="preserve"> </w:t>
      </w:r>
    </w:p>
    <w:p w14:paraId="5CA1973C" w14:textId="130853EA" w:rsidR="00912E19" w:rsidRDefault="00912E19" w:rsidP="00446D99">
      <w:pPr>
        <w:pStyle w:val="ListParagraph"/>
        <w:numPr>
          <w:ilvl w:val="0"/>
          <w:numId w:val="31"/>
        </w:numPr>
        <w:rPr>
          <w:rFonts w:ascii="Arial" w:hAnsi="Arial" w:cs="Arial"/>
          <w:sz w:val="20"/>
          <w:szCs w:val="20"/>
          <w:lang w:val="en-GB"/>
        </w:rPr>
      </w:pPr>
      <w:r w:rsidRPr="00F71E4D">
        <w:rPr>
          <w:rFonts w:ascii="Arial" w:hAnsi="Arial" w:cs="Arial"/>
          <w:sz w:val="20"/>
          <w:szCs w:val="20"/>
          <w:lang w:val="de-DE"/>
        </w:rPr>
        <w:t xml:space="preserve">Treskova-Schwarzbach, M., Haas, L., Reda, S., Pilic, A., Borodova, A., Karimi, K., et al. </w:t>
      </w:r>
      <w:r w:rsidRPr="00912E19">
        <w:rPr>
          <w:rFonts w:ascii="Arial" w:hAnsi="Arial" w:cs="Arial"/>
          <w:sz w:val="20"/>
          <w:szCs w:val="20"/>
          <w:lang w:val="en-GB"/>
        </w:rPr>
        <w:t xml:space="preserve">(2021). Pre-existing health conditions and severe COVID-19 outcomes: An umbrella review approach and meta-analysis of global evidence. BMC Medicine, 19, 212. </w:t>
      </w:r>
      <w:hyperlink r:id="rId32" w:history="1">
        <w:r w:rsidRPr="00D93CAE">
          <w:rPr>
            <w:rStyle w:val="Hyperlink"/>
            <w:rFonts w:ascii="Arial" w:hAnsi="Arial" w:cs="Arial"/>
            <w:sz w:val="20"/>
            <w:szCs w:val="20"/>
            <w:lang w:val="en-GB"/>
          </w:rPr>
          <w:t>https://doi.org/10.1186/s12916-021-02058-6</w:t>
        </w:r>
      </w:hyperlink>
      <w:r>
        <w:rPr>
          <w:rFonts w:ascii="Arial" w:hAnsi="Arial" w:cs="Arial"/>
          <w:sz w:val="20"/>
          <w:szCs w:val="20"/>
          <w:lang w:val="en-GB"/>
        </w:rPr>
        <w:t xml:space="preserve"> </w:t>
      </w:r>
    </w:p>
    <w:p w14:paraId="3B609295" w14:textId="719AD9C7"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en-GB"/>
        </w:rPr>
        <w:t xml:space="preserve">Vargese, S. S., Dev, S. S., Soman A, S., Kurian, N., Varghese V, A., &amp; Mathew, E. (2022). Exposure risk and COVID-19 infection among frontline health-care workers: </w:t>
      </w:r>
      <w:r w:rsidRPr="00446D99">
        <w:rPr>
          <w:rFonts w:ascii="Arial" w:hAnsi="Arial" w:cs="Arial"/>
          <w:sz w:val="20"/>
          <w:szCs w:val="20"/>
          <w:lang w:val="en-GB"/>
        </w:rPr>
        <w:lastRenderedPageBreak/>
        <w:t xml:space="preserve">A single tertiary care centre experience. Clinical epidemiology and global health, 13, 100933. </w:t>
      </w:r>
      <w:hyperlink r:id="rId33" w:history="1">
        <w:r w:rsidRPr="00D93CAE">
          <w:rPr>
            <w:rStyle w:val="Hyperlink"/>
            <w:rFonts w:ascii="Arial" w:hAnsi="Arial" w:cs="Arial"/>
            <w:sz w:val="20"/>
            <w:szCs w:val="20"/>
            <w:lang w:val="en-GB"/>
          </w:rPr>
          <w:t>https://doi.org/10.1016/j.cegh.2021.100933</w:t>
        </w:r>
      </w:hyperlink>
      <w:r>
        <w:rPr>
          <w:rFonts w:ascii="Arial" w:hAnsi="Arial" w:cs="Arial"/>
          <w:sz w:val="20"/>
          <w:szCs w:val="20"/>
          <w:lang w:val="en-GB"/>
        </w:rPr>
        <w:t xml:space="preserve"> </w:t>
      </w:r>
    </w:p>
    <w:p w14:paraId="2779274F" w14:textId="5DE1D2CB" w:rsidR="00446D99" w:rsidRPr="00446D99" w:rsidRDefault="00446D99" w:rsidP="00446D99">
      <w:pPr>
        <w:pStyle w:val="ListParagraph"/>
        <w:numPr>
          <w:ilvl w:val="0"/>
          <w:numId w:val="31"/>
        </w:numPr>
        <w:rPr>
          <w:rFonts w:ascii="Arial" w:hAnsi="Arial" w:cs="Arial"/>
          <w:sz w:val="20"/>
          <w:szCs w:val="20"/>
          <w:lang w:val="en-GB"/>
        </w:rPr>
      </w:pPr>
      <w:r w:rsidRPr="00F71E4D">
        <w:rPr>
          <w:rFonts w:ascii="Arial" w:hAnsi="Arial" w:cs="Arial"/>
          <w:sz w:val="20"/>
          <w:szCs w:val="20"/>
          <w:lang w:val="en-US"/>
        </w:rPr>
        <w:t xml:space="preserve">Wang, D., Yin, Y., Hu, C., Liu, X., Zhang, X., Zhou, S., et al. </w:t>
      </w:r>
      <w:r w:rsidRPr="00446D99">
        <w:rPr>
          <w:rFonts w:ascii="Arial" w:hAnsi="Arial" w:cs="Arial"/>
          <w:sz w:val="20"/>
          <w:szCs w:val="20"/>
          <w:lang w:val="en-GB"/>
        </w:rPr>
        <w:t>(2020). Clinical course and outcome of 107 patients infected with the novel coronavirus, SARS-CoV-2, discharged from two hospitals in Wuhan. China Crit Care, 24(1):188.</w:t>
      </w:r>
    </w:p>
    <w:p w14:paraId="7FADDF3A" w14:textId="7D9C3DCA" w:rsidR="00031702" w:rsidRPr="007B5B52" w:rsidRDefault="00031702" w:rsidP="00DA1D15">
      <w:pPr>
        <w:pStyle w:val="ListParagraph"/>
        <w:numPr>
          <w:ilvl w:val="0"/>
          <w:numId w:val="31"/>
        </w:numPr>
        <w:jc w:val="both"/>
        <w:rPr>
          <w:rFonts w:ascii="Arial" w:hAnsi="Arial" w:cs="Arial"/>
          <w:highlight w:val="yellow"/>
        </w:rPr>
      </w:pPr>
      <w:r w:rsidRPr="00F71E4D">
        <w:rPr>
          <w:rFonts w:ascii="Arial" w:hAnsi="Arial" w:cs="Arial"/>
          <w:highlight w:val="yellow"/>
          <w:lang w:val="en-GB"/>
        </w:rPr>
        <w:t xml:space="preserve">Wong, C. K. H., Au, I. C. H., Lau, K. T. K., Lau, E. H. Y., Cowling, B. J., &amp; Leung, G. M. (2022). </w:t>
      </w:r>
      <w:r w:rsidRPr="007B5B52">
        <w:rPr>
          <w:rFonts w:ascii="Arial" w:hAnsi="Arial" w:cs="Arial"/>
          <w:highlight w:val="yellow"/>
          <w:lang w:val="en-US"/>
        </w:rPr>
        <w:t xml:space="preserve">Real-world effectiveness of molnupiravir and nirmatrelvir plus ritonavir against mortality, hospitalisation, and in-hospital outcomes among community-dwelling, ambulatory patients with confirmed SARS-CoV-2 infection during the omicron wave in Hong Kong: an observational study. </w:t>
      </w:r>
      <w:r w:rsidRPr="007B5B52">
        <w:rPr>
          <w:rFonts w:ascii="Arial" w:hAnsi="Arial" w:cs="Arial"/>
          <w:highlight w:val="yellow"/>
        </w:rPr>
        <w:t xml:space="preserve">Lancet (London, England), 400(10359), 1213–1222. </w:t>
      </w:r>
      <w:hyperlink r:id="rId34" w:history="1">
        <w:r w:rsidRPr="007B5B52">
          <w:rPr>
            <w:rStyle w:val="Hyperlink"/>
            <w:rFonts w:ascii="Arial" w:hAnsi="Arial" w:cs="Arial"/>
            <w:highlight w:val="yellow"/>
          </w:rPr>
          <w:t>https://doi.org/10.1016/S0140-6736(22)01586-0</w:t>
        </w:r>
      </w:hyperlink>
      <w:r w:rsidRPr="007B5B52">
        <w:rPr>
          <w:rFonts w:ascii="Arial" w:hAnsi="Arial" w:cs="Arial"/>
          <w:highlight w:val="yellow"/>
        </w:rPr>
        <w:t xml:space="preserve"> </w:t>
      </w:r>
    </w:p>
    <w:p w14:paraId="70C6AB92" w14:textId="37A63E39" w:rsidR="00A972C7" w:rsidRPr="00983F50" w:rsidRDefault="00F64856" w:rsidP="00DA1D15">
      <w:pPr>
        <w:pStyle w:val="ListParagraph"/>
        <w:numPr>
          <w:ilvl w:val="0"/>
          <w:numId w:val="31"/>
        </w:numPr>
        <w:jc w:val="both"/>
        <w:rPr>
          <w:rFonts w:ascii="Arial" w:hAnsi="Arial" w:cs="Arial"/>
        </w:rPr>
      </w:pPr>
      <w:r w:rsidRPr="00DA4A7C">
        <w:rPr>
          <w:rFonts w:ascii="Arial" w:hAnsi="Arial" w:cs="Arial"/>
          <w:sz w:val="20"/>
          <w:szCs w:val="20"/>
          <w:lang w:val="fr-FR"/>
        </w:rPr>
        <w:t xml:space="preserve">Zong, K., Xu, L., Luo, C., Luo, C., Liu, B., Chen, J., et al. </w:t>
      </w:r>
      <w:r w:rsidRPr="00DA4A7C">
        <w:rPr>
          <w:rFonts w:ascii="Arial" w:hAnsi="Arial" w:cs="Arial"/>
          <w:sz w:val="20"/>
          <w:szCs w:val="20"/>
          <w:lang w:val="en-GB"/>
        </w:rPr>
        <w:t xml:space="preserve">(2024). Paxlovid reduces the 28-day mortality of patients with COVID-19: a retrospective cohort study. BMC infectious diseases, 24(1), 767. </w:t>
      </w:r>
      <w:hyperlink r:id="rId35" w:history="1">
        <w:r w:rsidRPr="00DA4A7C">
          <w:rPr>
            <w:rStyle w:val="Hyperlink"/>
            <w:rFonts w:ascii="Arial" w:hAnsi="Arial" w:cs="Arial"/>
            <w:sz w:val="20"/>
            <w:szCs w:val="20"/>
            <w:lang w:val="en-GB"/>
          </w:rPr>
          <w:t>https://doi.org/10.1186/s12879-024-09482-y</w:t>
        </w:r>
      </w:hyperlink>
      <w:r w:rsidRPr="00DA4A7C">
        <w:rPr>
          <w:rFonts w:ascii="Arial" w:hAnsi="Arial" w:cs="Arial"/>
          <w:sz w:val="20"/>
          <w:szCs w:val="20"/>
          <w:lang w:val="en-GB"/>
        </w:rPr>
        <w:t xml:space="preserve"> </w:t>
      </w:r>
    </w:p>
    <w:p w14:paraId="51DA0A13" w14:textId="7CF97093" w:rsidR="00983F50" w:rsidRPr="00983F50" w:rsidRDefault="00983F50" w:rsidP="00DA1D15">
      <w:pPr>
        <w:pStyle w:val="ListParagraph"/>
        <w:numPr>
          <w:ilvl w:val="0"/>
          <w:numId w:val="31"/>
        </w:numPr>
        <w:jc w:val="both"/>
        <w:rPr>
          <w:rFonts w:ascii="Arial" w:hAnsi="Arial" w:cs="Arial"/>
          <w:highlight w:val="yellow"/>
        </w:rPr>
      </w:pPr>
      <w:r w:rsidRPr="00983F50">
        <w:rPr>
          <w:rFonts w:ascii="Arial" w:hAnsi="Arial" w:cs="Arial"/>
          <w:highlight w:val="yellow"/>
          <w:lang w:val="fr-FR"/>
        </w:rPr>
        <w:t xml:space="preserve">Zhou, F., Yu, T., Du, R., Fan, G., Liu, Y., Liu, Z., et al. </w:t>
      </w:r>
      <w:r w:rsidRPr="00F71E4D">
        <w:rPr>
          <w:rFonts w:ascii="Arial" w:hAnsi="Arial" w:cs="Arial"/>
          <w:highlight w:val="yellow"/>
          <w:lang w:val="en-US"/>
        </w:rPr>
        <w:t xml:space="preserve">(2020). </w:t>
      </w:r>
      <w:r w:rsidRPr="00983F50">
        <w:rPr>
          <w:rFonts w:ascii="Arial" w:hAnsi="Arial" w:cs="Arial"/>
          <w:highlight w:val="yellow"/>
          <w:lang w:val="en-US"/>
        </w:rPr>
        <w:t xml:space="preserve">Clinical course and risk factors for mortality of adult inpatients with COVID-19 in Wuhan, China: a retrospective cohort study. </w:t>
      </w:r>
      <w:r w:rsidRPr="00983F50">
        <w:rPr>
          <w:rFonts w:ascii="Arial" w:hAnsi="Arial" w:cs="Arial"/>
          <w:highlight w:val="yellow"/>
        </w:rPr>
        <w:t xml:space="preserve">Lancet (London, England), 395(10229), 1054–1062. </w:t>
      </w:r>
      <w:hyperlink r:id="rId36" w:history="1">
        <w:r w:rsidRPr="00983F50">
          <w:rPr>
            <w:rStyle w:val="Hyperlink"/>
            <w:rFonts w:ascii="Arial" w:hAnsi="Arial" w:cs="Arial"/>
            <w:highlight w:val="yellow"/>
          </w:rPr>
          <w:t>https://doi.org/10.1016/S0140-6736(20)30566-3</w:t>
        </w:r>
      </w:hyperlink>
      <w:r w:rsidRPr="00983F50">
        <w:rPr>
          <w:rFonts w:ascii="Arial" w:hAnsi="Arial" w:cs="Arial"/>
          <w:highlight w:val="yellow"/>
        </w:rPr>
        <w:t xml:space="preserve"> </w:t>
      </w:r>
    </w:p>
    <w:p w14:paraId="222118A9" w14:textId="77777777" w:rsidR="008E51E8" w:rsidRPr="002F5454" w:rsidRDefault="008E51E8" w:rsidP="00441B6F">
      <w:pPr>
        <w:pStyle w:val="Appendix"/>
        <w:spacing w:after="0"/>
        <w:jc w:val="both"/>
        <w:rPr>
          <w:rFonts w:ascii="Arial" w:hAnsi="Arial" w:cs="Arial"/>
          <w:b w:val="0"/>
          <w:lang w:val="es-MX"/>
        </w:rPr>
      </w:pPr>
    </w:p>
    <w:p w14:paraId="7337E483" w14:textId="284B1EDF" w:rsidR="00455515" w:rsidRPr="002F5454" w:rsidRDefault="00455515" w:rsidP="00441B6F">
      <w:pPr>
        <w:pStyle w:val="Appendix"/>
        <w:spacing w:after="0"/>
        <w:jc w:val="both"/>
        <w:rPr>
          <w:rFonts w:ascii="Arial" w:hAnsi="Arial" w:cs="Arial"/>
          <w:b w:val="0"/>
          <w:lang w:val="es-MX"/>
        </w:rPr>
        <w:sectPr w:rsidR="00455515" w:rsidRPr="002F5454" w:rsidSect="00846918">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42466ED3" w14:textId="77777777" w:rsidR="00B01FCD" w:rsidRPr="002F5454" w:rsidRDefault="00B01FCD" w:rsidP="00441B6F">
      <w:pPr>
        <w:pStyle w:val="Appendix"/>
        <w:spacing w:after="0"/>
        <w:jc w:val="both"/>
        <w:rPr>
          <w:rFonts w:ascii="Arial" w:hAnsi="Arial" w:cs="Arial"/>
          <w:b w:val="0"/>
          <w:lang w:val="es-MX"/>
        </w:rPr>
      </w:pPr>
    </w:p>
    <w:sectPr w:rsidR="00B01FCD" w:rsidRPr="002F5454" w:rsidSect="008469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D984C" w14:textId="77777777" w:rsidR="00061635" w:rsidRPr="0054404D" w:rsidRDefault="00061635" w:rsidP="00C37E61">
      <w:r w:rsidRPr="0054404D">
        <w:separator/>
      </w:r>
    </w:p>
  </w:endnote>
  <w:endnote w:type="continuationSeparator" w:id="0">
    <w:p w14:paraId="4692F843" w14:textId="77777777" w:rsidR="00061635" w:rsidRPr="0054404D" w:rsidRDefault="00061635" w:rsidP="00C37E61">
      <w:r w:rsidRPr="005440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956F" w14:textId="77777777" w:rsidR="00DA1D15" w:rsidRDefault="00DA1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6C66" w14:textId="77777777" w:rsidR="00DA1D15" w:rsidRDefault="00DA1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8F40" w14:textId="5ED78DDC" w:rsidR="00DA1D15" w:rsidRPr="00846918" w:rsidRDefault="00DA1D15" w:rsidP="008469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4746" w14:textId="77777777" w:rsidR="00DA1D15" w:rsidRPr="0054404D" w:rsidRDefault="00DA1D1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6911" w14:textId="77777777" w:rsidR="00061635" w:rsidRPr="0054404D" w:rsidRDefault="00061635" w:rsidP="00C37E61">
      <w:r w:rsidRPr="0054404D">
        <w:separator/>
      </w:r>
    </w:p>
  </w:footnote>
  <w:footnote w:type="continuationSeparator" w:id="0">
    <w:p w14:paraId="71AD2527" w14:textId="77777777" w:rsidR="00061635" w:rsidRPr="0054404D" w:rsidRDefault="00061635" w:rsidP="00C37E61">
      <w:r w:rsidRPr="005440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65E4" w14:textId="36EE2CE8" w:rsidR="00DA1D15" w:rsidRDefault="00000000">
    <w:pPr>
      <w:pStyle w:val="Header"/>
    </w:pPr>
    <w:r>
      <w:rPr>
        <w:noProof/>
      </w:rPr>
      <w:pict w14:anchorId="5A02C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3" o:spid="_x0000_s1030" type="#_x0000_t136" style="position:absolute;margin-left:0;margin-top:0;width:249.9pt;height:27.7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E515" w14:textId="29E3742E" w:rsidR="00DA1D15" w:rsidRDefault="00000000">
    <w:pPr>
      <w:pStyle w:val="Header"/>
    </w:pPr>
    <w:r>
      <w:rPr>
        <w:noProof/>
      </w:rPr>
      <w:pict w14:anchorId="2DA83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4" o:spid="_x0000_s1029" type="#_x0000_t136" style="position:absolute;margin-left:0;margin-top:0;width:249.9pt;height:27.7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75BF" w14:textId="3793D228" w:rsidR="00DA1D15" w:rsidRPr="0054404D" w:rsidRDefault="00000000" w:rsidP="00296529">
    <w:pPr>
      <w:ind w:left="2160"/>
      <w:jc w:val="center"/>
      <w:rPr>
        <w:rFonts w:ascii="Times New Roman" w:eastAsia="Calibri" w:hAnsi="Times New Roman"/>
        <w:i/>
        <w:sz w:val="18"/>
        <w:szCs w:val="22"/>
      </w:rPr>
    </w:pPr>
    <w:r>
      <w:rPr>
        <w:noProof/>
      </w:rPr>
      <w:pict w14:anchorId="1B982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2" o:spid="_x0000_s1028" type="#_x0000_t136" style="position:absolute;left:0;text-align:left;margin-left:0;margin-top:0;width:249.9pt;height:27.7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82CDB9" w14:textId="77777777" w:rsidR="00DA1D15" w:rsidRPr="0054404D" w:rsidRDefault="00DA1D15" w:rsidP="00296529">
    <w:pPr>
      <w:ind w:left="4320"/>
      <w:rPr>
        <w:rFonts w:ascii="Times New Roman" w:eastAsia="Calibri" w:hAnsi="Times New Roman"/>
        <w:i/>
        <w:sz w:val="18"/>
        <w:szCs w:val="22"/>
      </w:rPr>
    </w:pPr>
    <w:r w:rsidRPr="0054404D">
      <w:rPr>
        <w:rFonts w:ascii="Times New Roman" w:eastAsia="Calibri" w:hAnsi="Times New Roman"/>
        <w:i/>
        <w:sz w:val="18"/>
        <w:szCs w:val="22"/>
      </w:rPr>
      <w:t xml:space="preserve">.     </w:t>
    </w:r>
  </w:p>
  <w:p w14:paraId="271AE190" w14:textId="77777777" w:rsidR="00DA1D15" w:rsidRPr="0054404D" w:rsidRDefault="00DA1D15" w:rsidP="00296529">
    <w:pPr>
      <w:jc w:val="center"/>
      <w:rPr>
        <w:rFonts w:ascii="Times New Roman" w:eastAsia="Calibri" w:hAnsi="Times New Roman"/>
        <w:i/>
        <w:sz w:val="18"/>
        <w:szCs w:val="22"/>
      </w:rPr>
    </w:pPr>
    <w:r w:rsidRPr="0054404D">
      <w:rPr>
        <w:rFonts w:ascii="Times New Roman" w:eastAsia="Calibri" w:hAnsi="Times New Roman"/>
        <w:i/>
        <w:sz w:val="18"/>
        <w:szCs w:val="22"/>
      </w:rPr>
      <w:t>.</w:t>
    </w:r>
  </w:p>
  <w:p w14:paraId="4D4C235C" w14:textId="77777777" w:rsidR="00DA1D15" w:rsidRPr="0054404D" w:rsidRDefault="00DA1D15" w:rsidP="00296529">
    <w:pPr>
      <w:spacing w:after="200"/>
      <w:jc w:val="center"/>
      <w:rPr>
        <w:rFonts w:ascii="Times New Roman" w:eastAsia="Calibri" w:hAnsi="Times New Roman"/>
        <w:b/>
        <w:i/>
        <w:sz w:val="32"/>
        <w:szCs w:val="22"/>
      </w:rPr>
    </w:pPr>
    <w:r w:rsidRPr="0054404D">
      <w:rPr>
        <w:rFonts w:ascii="Times New Roman" w:eastAsia="Calibri" w:hAnsi="Times New Roman"/>
        <w:b/>
        <w:i/>
        <w:sz w:val="32"/>
        <w:szCs w:val="22"/>
      </w:rPr>
      <w:t xml:space="preserve">              . </w:t>
    </w:r>
  </w:p>
  <w:p w14:paraId="7CF55649" w14:textId="77777777" w:rsidR="00DA1D15" w:rsidRPr="0054404D" w:rsidRDefault="00DA1D15" w:rsidP="00296529">
    <w:pPr>
      <w:jc w:val="center"/>
      <w:rPr>
        <w:rFonts w:ascii="Times New Roman" w:eastAsia="Calibri" w:hAnsi="Times New Roman"/>
        <w:i/>
        <w:sz w:val="18"/>
        <w:szCs w:val="22"/>
      </w:rPr>
    </w:pPr>
    <w:r w:rsidRPr="0054404D">
      <w:rPr>
        <w:rFonts w:ascii="Times New Roman" w:eastAsia="Calibri" w:hAnsi="Times New Roman"/>
        <w:i/>
        <w:sz w:val="18"/>
        <w:szCs w:val="22"/>
      </w:rPr>
      <w:t xml:space="preserve">                     </w:t>
    </w:r>
  </w:p>
  <w:p w14:paraId="6AFC34DD" w14:textId="77777777" w:rsidR="00DA1D15" w:rsidRPr="0054404D" w:rsidRDefault="00DA1D15" w:rsidP="00296529">
    <w:pPr>
      <w:tabs>
        <w:tab w:val="left" w:pos="2145"/>
      </w:tabs>
      <w:rPr>
        <w:rFonts w:ascii="Times New Roman" w:eastAsia="Calibri" w:hAnsi="Times New Roman"/>
        <w:i/>
        <w:sz w:val="18"/>
        <w:szCs w:val="22"/>
      </w:rPr>
    </w:pPr>
    <w:r w:rsidRPr="0054404D">
      <w:rPr>
        <w:rFonts w:ascii="Times New Roman" w:eastAsia="Calibri" w:hAnsi="Times New Roman"/>
        <w:i/>
        <w:sz w:val="18"/>
        <w:szCs w:val="22"/>
      </w:rPr>
      <w:tab/>
      <w:t>.</w:t>
    </w:r>
  </w:p>
  <w:p w14:paraId="6884F659" w14:textId="77777777" w:rsidR="00DA1D15" w:rsidRPr="0054404D" w:rsidRDefault="00DA1D15">
    <w:pPr>
      <w:pStyle w:val="Header"/>
    </w:pPr>
    <w:r w:rsidRPr="0054404D">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CCCE" w14:textId="14BFA10C" w:rsidR="00DA1D15" w:rsidRDefault="00000000">
    <w:pPr>
      <w:pStyle w:val="Header"/>
    </w:pPr>
    <w:r>
      <w:rPr>
        <w:noProof/>
      </w:rPr>
      <w:pict w14:anchorId="104DD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6" o:spid="_x0000_s1027" type="#_x0000_t136" style="position:absolute;margin-left:0;margin-top:0;width:249.9pt;height:27.7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578F" w14:textId="358BB644" w:rsidR="00DA1D15" w:rsidRDefault="00000000">
    <w:pPr>
      <w:pStyle w:val="Header"/>
    </w:pPr>
    <w:r>
      <w:rPr>
        <w:noProof/>
      </w:rPr>
      <w:pict w14:anchorId="361DE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7" o:spid="_x0000_s1026" type="#_x0000_t136" style="position:absolute;margin-left:0;margin-top:0;width:249.9pt;height:27.7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AD7C" w14:textId="4E5F3B17" w:rsidR="00DA1D15" w:rsidRDefault="00000000">
    <w:pPr>
      <w:pStyle w:val="Header"/>
    </w:pPr>
    <w:r>
      <w:rPr>
        <w:noProof/>
      </w:rPr>
      <w:pict w14:anchorId="750B5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5" o:spid="_x0000_s1025" type="#_x0000_t136" style="position:absolute;margin-left:0;margin-top:0;width:249.9pt;height:27.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D4626E"/>
    <w:multiLevelType w:val="hybridMultilevel"/>
    <w:tmpl w:val="D9AADC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9E36F6"/>
    <w:multiLevelType w:val="hybridMultilevel"/>
    <w:tmpl w:val="5DA87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42903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4652082">
    <w:abstractNumId w:val="16"/>
  </w:num>
  <w:num w:numId="3" w16cid:durableId="1058162294">
    <w:abstractNumId w:val="25"/>
  </w:num>
  <w:num w:numId="4" w16cid:durableId="5006614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34145273">
    <w:abstractNumId w:val="7"/>
  </w:num>
  <w:num w:numId="6" w16cid:durableId="558901277">
    <w:abstractNumId w:val="6"/>
  </w:num>
  <w:num w:numId="7" w16cid:durableId="104424607">
    <w:abstractNumId w:val="1"/>
  </w:num>
  <w:num w:numId="8" w16cid:durableId="1792624501">
    <w:abstractNumId w:val="12"/>
  </w:num>
  <w:num w:numId="9" w16cid:durableId="1511988680">
    <w:abstractNumId w:val="27"/>
  </w:num>
  <w:num w:numId="10" w16cid:durableId="1156726287">
    <w:abstractNumId w:val="2"/>
  </w:num>
  <w:num w:numId="11" w16cid:durableId="1730417261">
    <w:abstractNumId w:val="19"/>
  </w:num>
  <w:num w:numId="12" w16cid:durableId="1419138072">
    <w:abstractNumId w:val="3"/>
  </w:num>
  <w:num w:numId="13" w16cid:durableId="1692146010">
    <w:abstractNumId w:val="18"/>
  </w:num>
  <w:num w:numId="14" w16cid:durableId="2126267267">
    <w:abstractNumId w:val="8"/>
  </w:num>
  <w:num w:numId="15" w16cid:durableId="43410089">
    <w:abstractNumId w:val="23"/>
  </w:num>
  <w:num w:numId="16" w16cid:durableId="1528103792">
    <w:abstractNumId w:val="5"/>
  </w:num>
  <w:num w:numId="17" w16cid:durableId="1872373591">
    <w:abstractNumId w:val="24"/>
  </w:num>
  <w:num w:numId="18" w16cid:durableId="124199266">
    <w:abstractNumId w:val="14"/>
  </w:num>
  <w:num w:numId="19" w16cid:durableId="605188066">
    <w:abstractNumId w:val="30"/>
  </w:num>
  <w:num w:numId="20" w16cid:durableId="1850556685">
    <w:abstractNumId w:val="11"/>
  </w:num>
  <w:num w:numId="21" w16cid:durableId="1202746601">
    <w:abstractNumId w:val="9"/>
  </w:num>
  <w:num w:numId="22" w16cid:durableId="431318437">
    <w:abstractNumId w:val="13"/>
  </w:num>
  <w:num w:numId="23" w16cid:durableId="987634088">
    <w:abstractNumId w:val="21"/>
  </w:num>
  <w:num w:numId="24" w16cid:durableId="1804033171">
    <w:abstractNumId w:val="28"/>
  </w:num>
  <w:num w:numId="25" w16cid:durableId="608121171">
    <w:abstractNumId w:val="4"/>
  </w:num>
  <w:num w:numId="26" w16cid:durableId="1139299174">
    <w:abstractNumId w:val="17"/>
  </w:num>
  <w:num w:numId="27" w16cid:durableId="1875582048">
    <w:abstractNumId w:val="22"/>
  </w:num>
  <w:num w:numId="28" w16cid:durableId="534151052">
    <w:abstractNumId w:val="29"/>
  </w:num>
  <w:num w:numId="29" w16cid:durableId="2053651492">
    <w:abstractNumId w:val="26"/>
  </w:num>
  <w:num w:numId="30" w16cid:durableId="1431052053">
    <w:abstractNumId w:val="10"/>
  </w:num>
  <w:num w:numId="31" w16cid:durableId="1381128034">
    <w:abstractNumId w:val="15"/>
  </w:num>
  <w:num w:numId="32" w16cid:durableId="3156530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370"/>
    <w:rsid w:val="0000289E"/>
    <w:rsid w:val="000059B9"/>
    <w:rsid w:val="000132A4"/>
    <w:rsid w:val="00020DFD"/>
    <w:rsid w:val="00022946"/>
    <w:rsid w:val="000252CC"/>
    <w:rsid w:val="00026694"/>
    <w:rsid w:val="00030174"/>
    <w:rsid w:val="000302ED"/>
    <w:rsid w:val="00031702"/>
    <w:rsid w:val="00034843"/>
    <w:rsid w:val="0003511C"/>
    <w:rsid w:val="000361A4"/>
    <w:rsid w:val="000375EE"/>
    <w:rsid w:val="000429A3"/>
    <w:rsid w:val="0004579C"/>
    <w:rsid w:val="000471B4"/>
    <w:rsid w:val="000526E9"/>
    <w:rsid w:val="00054C46"/>
    <w:rsid w:val="000554BF"/>
    <w:rsid w:val="00055970"/>
    <w:rsid w:val="00056815"/>
    <w:rsid w:val="00061635"/>
    <w:rsid w:val="000632C6"/>
    <w:rsid w:val="00065358"/>
    <w:rsid w:val="000655B7"/>
    <w:rsid w:val="00065A5B"/>
    <w:rsid w:val="00070926"/>
    <w:rsid w:val="0007598E"/>
    <w:rsid w:val="0007780E"/>
    <w:rsid w:val="00084A11"/>
    <w:rsid w:val="000858B9"/>
    <w:rsid w:val="00087168"/>
    <w:rsid w:val="00087F81"/>
    <w:rsid w:val="00093F73"/>
    <w:rsid w:val="00094BC9"/>
    <w:rsid w:val="00097B24"/>
    <w:rsid w:val="000A2143"/>
    <w:rsid w:val="000A21EE"/>
    <w:rsid w:val="000A47FA"/>
    <w:rsid w:val="000A65D3"/>
    <w:rsid w:val="000B1137"/>
    <w:rsid w:val="000B1E33"/>
    <w:rsid w:val="000C190A"/>
    <w:rsid w:val="000C3FFA"/>
    <w:rsid w:val="000C6330"/>
    <w:rsid w:val="000D38D3"/>
    <w:rsid w:val="000D4C97"/>
    <w:rsid w:val="000D689F"/>
    <w:rsid w:val="000E115A"/>
    <w:rsid w:val="000E1B92"/>
    <w:rsid w:val="000E1FC0"/>
    <w:rsid w:val="000E7B7B"/>
    <w:rsid w:val="000E7D62"/>
    <w:rsid w:val="000F0C18"/>
    <w:rsid w:val="000F3CBF"/>
    <w:rsid w:val="000F7B09"/>
    <w:rsid w:val="001007F6"/>
    <w:rsid w:val="00102245"/>
    <w:rsid w:val="00102B74"/>
    <w:rsid w:val="00103357"/>
    <w:rsid w:val="0010368D"/>
    <w:rsid w:val="00107359"/>
    <w:rsid w:val="001135E3"/>
    <w:rsid w:val="00113660"/>
    <w:rsid w:val="00115D19"/>
    <w:rsid w:val="0012309D"/>
    <w:rsid w:val="00123C9F"/>
    <w:rsid w:val="00123E6B"/>
    <w:rsid w:val="00123FC7"/>
    <w:rsid w:val="00124DFD"/>
    <w:rsid w:val="0012524D"/>
    <w:rsid w:val="00125785"/>
    <w:rsid w:val="00126190"/>
    <w:rsid w:val="001274FA"/>
    <w:rsid w:val="00130F17"/>
    <w:rsid w:val="001310CA"/>
    <w:rsid w:val="001320BF"/>
    <w:rsid w:val="00133E95"/>
    <w:rsid w:val="001378DA"/>
    <w:rsid w:val="00147007"/>
    <w:rsid w:val="00150C62"/>
    <w:rsid w:val="0015182C"/>
    <w:rsid w:val="0015186F"/>
    <w:rsid w:val="0015255C"/>
    <w:rsid w:val="00152E32"/>
    <w:rsid w:val="00154391"/>
    <w:rsid w:val="00155A5A"/>
    <w:rsid w:val="00155BE4"/>
    <w:rsid w:val="00161EE6"/>
    <w:rsid w:val="00163BC4"/>
    <w:rsid w:val="00167606"/>
    <w:rsid w:val="001700F7"/>
    <w:rsid w:val="001702AB"/>
    <w:rsid w:val="00174AC1"/>
    <w:rsid w:val="00180638"/>
    <w:rsid w:val="00181945"/>
    <w:rsid w:val="00181E21"/>
    <w:rsid w:val="0018332E"/>
    <w:rsid w:val="0018432A"/>
    <w:rsid w:val="00184CA1"/>
    <w:rsid w:val="001856A5"/>
    <w:rsid w:val="001859F3"/>
    <w:rsid w:val="00191062"/>
    <w:rsid w:val="00192B72"/>
    <w:rsid w:val="00196DAA"/>
    <w:rsid w:val="001A29D8"/>
    <w:rsid w:val="001A3FC1"/>
    <w:rsid w:val="001A4CC4"/>
    <w:rsid w:val="001A5CAA"/>
    <w:rsid w:val="001A5D0D"/>
    <w:rsid w:val="001A7925"/>
    <w:rsid w:val="001B0427"/>
    <w:rsid w:val="001B309C"/>
    <w:rsid w:val="001B4179"/>
    <w:rsid w:val="001B7F21"/>
    <w:rsid w:val="001C3C28"/>
    <w:rsid w:val="001C45F2"/>
    <w:rsid w:val="001C7AB2"/>
    <w:rsid w:val="001D1C0A"/>
    <w:rsid w:val="001D22F8"/>
    <w:rsid w:val="001D2F33"/>
    <w:rsid w:val="001D3519"/>
    <w:rsid w:val="001D3A51"/>
    <w:rsid w:val="001D71B0"/>
    <w:rsid w:val="001E10D2"/>
    <w:rsid w:val="001E25B4"/>
    <w:rsid w:val="001E44FE"/>
    <w:rsid w:val="001F09D0"/>
    <w:rsid w:val="001F18FC"/>
    <w:rsid w:val="001F1B9A"/>
    <w:rsid w:val="001F2314"/>
    <w:rsid w:val="001F2A7C"/>
    <w:rsid w:val="001F57C5"/>
    <w:rsid w:val="00200595"/>
    <w:rsid w:val="00200FD9"/>
    <w:rsid w:val="00201CE1"/>
    <w:rsid w:val="0020350E"/>
    <w:rsid w:val="00204835"/>
    <w:rsid w:val="00206560"/>
    <w:rsid w:val="002108D0"/>
    <w:rsid w:val="0021345D"/>
    <w:rsid w:val="0021534C"/>
    <w:rsid w:val="0021706F"/>
    <w:rsid w:val="00225D3C"/>
    <w:rsid w:val="002269D9"/>
    <w:rsid w:val="00227DE4"/>
    <w:rsid w:val="00231920"/>
    <w:rsid w:val="0023195C"/>
    <w:rsid w:val="00232064"/>
    <w:rsid w:val="002346B5"/>
    <w:rsid w:val="00234856"/>
    <w:rsid w:val="00234C6B"/>
    <w:rsid w:val="00236B03"/>
    <w:rsid w:val="002370CA"/>
    <w:rsid w:val="00237968"/>
    <w:rsid w:val="0024282C"/>
    <w:rsid w:val="002456DE"/>
    <w:rsid w:val="002460DC"/>
    <w:rsid w:val="00246461"/>
    <w:rsid w:val="00250985"/>
    <w:rsid w:val="002510E2"/>
    <w:rsid w:val="002520DE"/>
    <w:rsid w:val="00252288"/>
    <w:rsid w:val="00253BC6"/>
    <w:rsid w:val="002556F6"/>
    <w:rsid w:val="002603DA"/>
    <w:rsid w:val="002630C9"/>
    <w:rsid w:val="00271BAB"/>
    <w:rsid w:val="00272A65"/>
    <w:rsid w:val="00273038"/>
    <w:rsid w:val="00275439"/>
    <w:rsid w:val="00283105"/>
    <w:rsid w:val="00284497"/>
    <w:rsid w:val="00284C4C"/>
    <w:rsid w:val="00286D4D"/>
    <w:rsid w:val="00287E68"/>
    <w:rsid w:val="00291903"/>
    <w:rsid w:val="002955E3"/>
    <w:rsid w:val="00296529"/>
    <w:rsid w:val="00297E5B"/>
    <w:rsid w:val="002A27C5"/>
    <w:rsid w:val="002A3B84"/>
    <w:rsid w:val="002A418B"/>
    <w:rsid w:val="002A67EA"/>
    <w:rsid w:val="002B02B2"/>
    <w:rsid w:val="002B0BEF"/>
    <w:rsid w:val="002B27FB"/>
    <w:rsid w:val="002B685A"/>
    <w:rsid w:val="002C10DD"/>
    <w:rsid w:val="002C3523"/>
    <w:rsid w:val="002C366A"/>
    <w:rsid w:val="002C57D2"/>
    <w:rsid w:val="002D00F2"/>
    <w:rsid w:val="002D383A"/>
    <w:rsid w:val="002D3907"/>
    <w:rsid w:val="002D5B1B"/>
    <w:rsid w:val="002D6B2B"/>
    <w:rsid w:val="002E0D56"/>
    <w:rsid w:val="002E0F31"/>
    <w:rsid w:val="002E43A5"/>
    <w:rsid w:val="002E5A4F"/>
    <w:rsid w:val="002E5C8E"/>
    <w:rsid w:val="002F039B"/>
    <w:rsid w:val="002F04AF"/>
    <w:rsid w:val="002F0814"/>
    <w:rsid w:val="002F1716"/>
    <w:rsid w:val="002F3313"/>
    <w:rsid w:val="002F5367"/>
    <w:rsid w:val="002F5454"/>
    <w:rsid w:val="002F592D"/>
    <w:rsid w:val="002F644E"/>
    <w:rsid w:val="002F6FE0"/>
    <w:rsid w:val="003025D1"/>
    <w:rsid w:val="00305A1B"/>
    <w:rsid w:val="00310013"/>
    <w:rsid w:val="0031076F"/>
    <w:rsid w:val="00310BD1"/>
    <w:rsid w:val="00311EE5"/>
    <w:rsid w:val="00313B9C"/>
    <w:rsid w:val="00315186"/>
    <w:rsid w:val="00316002"/>
    <w:rsid w:val="0031719D"/>
    <w:rsid w:val="00320175"/>
    <w:rsid w:val="00324B27"/>
    <w:rsid w:val="00325841"/>
    <w:rsid w:val="0032794D"/>
    <w:rsid w:val="00331BE1"/>
    <w:rsid w:val="0033343E"/>
    <w:rsid w:val="003436EF"/>
    <w:rsid w:val="0034440F"/>
    <w:rsid w:val="0034793D"/>
    <w:rsid w:val="00350D83"/>
    <w:rsid w:val="003512C2"/>
    <w:rsid w:val="00351B1C"/>
    <w:rsid w:val="003568E1"/>
    <w:rsid w:val="00360388"/>
    <w:rsid w:val="0036208B"/>
    <w:rsid w:val="003639D4"/>
    <w:rsid w:val="00367FF0"/>
    <w:rsid w:val="00371FB6"/>
    <w:rsid w:val="00373B00"/>
    <w:rsid w:val="003763C1"/>
    <w:rsid w:val="00376BBE"/>
    <w:rsid w:val="003772F4"/>
    <w:rsid w:val="003829AB"/>
    <w:rsid w:val="00383524"/>
    <w:rsid w:val="00383B36"/>
    <w:rsid w:val="003872A1"/>
    <w:rsid w:val="0039224F"/>
    <w:rsid w:val="00394E78"/>
    <w:rsid w:val="003953A8"/>
    <w:rsid w:val="00396E29"/>
    <w:rsid w:val="003A016A"/>
    <w:rsid w:val="003A43A4"/>
    <w:rsid w:val="003A5E45"/>
    <w:rsid w:val="003A7E18"/>
    <w:rsid w:val="003B142F"/>
    <w:rsid w:val="003B370E"/>
    <w:rsid w:val="003B4484"/>
    <w:rsid w:val="003B5368"/>
    <w:rsid w:val="003C15C5"/>
    <w:rsid w:val="003C2328"/>
    <w:rsid w:val="003C499B"/>
    <w:rsid w:val="003C4C86"/>
    <w:rsid w:val="003C4D5D"/>
    <w:rsid w:val="003C6258"/>
    <w:rsid w:val="003C67BB"/>
    <w:rsid w:val="003C7465"/>
    <w:rsid w:val="003D19BA"/>
    <w:rsid w:val="003D224B"/>
    <w:rsid w:val="003E0570"/>
    <w:rsid w:val="003E0BA8"/>
    <w:rsid w:val="003E1B4F"/>
    <w:rsid w:val="003E250A"/>
    <w:rsid w:val="003E2904"/>
    <w:rsid w:val="003E3775"/>
    <w:rsid w:val="003E37BB"/>
    <w:rsid w:val="003E4483"/>
    <w:rsid w:val="003E5443"/>
    <w:rsid w:val="003E57BD"/>
    <w:rsid w:val="003E7BA8"/>
    <w:rsid w:val="003E7D4C"/>
    <w:rsid w:val="003F24A4"/>
    <w:rsid w:val="003F4927"/>
    <w:rsid w:val="00400F85"/>
    <w:rsid w:val="00401927"/>
    <w:rsid w:val="0040278D"/>
    <w:rsid w:val="0040301C"/>
    <w:rsid w:val="00406E73"/>
    <w:rsid w:val="00407B5E"/>
    <w:rsid w:val="0041027F"/>
    <w:rsid w:val="00411BC4"/>
    <w:rsid w:val="00412475"/>
    <w:rsid w:val="00415D84"/>
    <w:rsid w:val="00415E51"/>
    <w:rsid w:val="00423789"/>
    <w:rsid w:val="00423BF0"/>
    <w:rsid w:val="00425788"/>
    <w:rsid w:val="00425A91"/>
    <w:rsid w:val="00426317"/>
    <w:rsid w:val="00426610"/>
    <w:rsid w:val="0042796D"/>
    <w:rsid w:val="00434C43"/>
    <w:rsid w:val="00435FE5"/>
    <w:rsid w:val="00440D9B"/>
    <w:rsid w:val="00440F43"/>
    <w:rsid w:val="00441278"/>
    <w:rsid w:val="00441B6F"/>
    <w:rsid w:val="00446221"/>
    <w:rsid w:val="00446636"/>
    <w:rsid w:val="00446D99"/>
    <w:rsid w:val="00450E62"/>
    <w:rsid w:val="004539DB"/>
    <w:rsid w:val="00453B98"/>
    <w:rsid w:val="00454703"/>
    <w:rsid w:val="00455515"/>
    <w:rsid w:val="00456291"/>
    <w:rsid w:val="004578E9"/>
    <w:rsid w:val="004614A6"/>
    <w:rsid w:val="004620A2"/>
    <w:rsid w:val="004675AD"/>
    <w:rsid w:val="00471A80"/>
    <w:rsid w:val="004729A0"/>
    <w:rsid w:val="00474AD0"/>
    <w:rsid w:val="00480B29"/>
    <w:rsid w:val="004828FD"/>
    <w:rsid w:val="0048303E"/>
    <w:rsid w:val="0048344C"/>
    <w:rsid w:val="00484845"/>
    <w:rsid w:val="0048499D"/>
    <w:rsid w:val="00491795"/>
    <w:rsid w:val="0049684C"/>
    <w:rsid w:val="004978D8"/>
    <w:rsid w:val="004A10BF"/>
    <w:rsid w:val="004A5D11"/>
    <w:rsid w:val="004A695A"/>
    <w:rsid w:val="004B1535"/>
    <w:rsid w:val="004B1D49"/>
    <w:rsid w:val="004B33C9"/>
    <w:rsid w:val="004B3E3A"/>
    <w:rsid w:val="004B41CE"/>
    <w:rsid w:val="004B435E"/>
    <w:rsid w:val="004B78E9"/>
    <w:rsid w:val="004C0900"/>
    <w:rsid w:val="004C2C99"/>
    <w:rsid w:val="004C36BD"/>
    <w:rsid w:val="004C4070"/>
    <w:rsid w:val="004C6C55"/>
    <w:rsid w:val="004D2E83"/>
    <w:rsid w:val="004D305E"/>
    <w:rsid w:val="004D4277"/>
    <w:rsid w:val="004D452B"/>
    <w:rsid w:val="004E14BA"/>
    <w:rsid w:val="004E40E0"/>
    <w:rsid w:val="004F0740"/>
    <w:rsid w:val="004F0F0F"/>
    <w:rsid w:val="004F2964"/>
    <w:rsid w:val="004F66EB"/>
    <w:rsid w:val="004F68CA"/>
    <w:rsid w:val="004F6DC1"/>
    <w:rsid w:val="004F6F8D"/>
    <w:rsid w:val="00500E60"/>
    <w:rsid w:val="00500FDB"/>
    <w:rsid w:val="00501747"/>
    <w:rsid w:val="00502516"/>
    <w:rsid w:val="00505F06"/>
    <w:rsid w:val="00506828"/>
    <w:rsid w:val="00506E06"/>
    <w:rsid w:val="00511784"/>
    <w:rsid w:val="0051387D"/>
    <w:rsid w:val="00520940"/>
    <w:rsid w:val="0052425A"/>
    <w:rsid w:val="0053056E"/>
    <w:rsid w:val="0053637F"/>
    <w:rsid w:val="00537310"/>
    <w:rsid w:val="00537B8F"/>
    <w:rsid w:val="005424D1"/>
    <w:rsid w:val="00542CC2"/>
    <w:rsid w:val="00542ED6"/>
    <w:rsid w:val="0054404D"/>
    <w:rsid w:val="00545392"/>
    <w:rsid w:val="00547A33"/>
    <w:rsid w:val="00547D0C"/>
    <w:rsid w:val="00554FDA"/>
    <w:rsid w:val="00555112"/>
    <w:rsid w:val="005573BE"/>
    <w:rsid w:val="00563143"/>
    <w:rsid w:val="0057192F"/>
    <w:rsid w:val="00571D7A"/>
    <w:rsid w:val="0057376E"/>
    <w:rsid w:val="00574AD2"/>
    <w:rsid w:val="00585059"/>
    <w:rsid w:val="005854BB"/>
    <w:rsid w:val="00592403"/>
    <w:rsid w:val="0059323C"/>
    <w:rsid w:val="005A2470"/>
    <w:rsid w:val="005A313E"/>
    <w:rsid w:val="005B1496"/>
    <w:rsid w:val="005B404C"/>
    <w:rsid w:val="005B5919"/>
    <w:rsid w:val="005C1C3E"/>
    <w:rsid w:val="005C784C"/>
    <w:rsid w:val="005D17F6"/>
    <w:rsid w:val="005D5CB5"/>
    <w:rsid w:val="005D67D6"/>
    <w:rsid w:val="005D6FD6"/>
    <w:rsid w:val="005D7291"/>
    <w:rsid w:val="005E2727"/>
    <w:rsid w:val="005E3C7B"/>
    <w:rsid w:val="005E50CF"/>
    <w:rsid w:val="005E5539"/>
    <w:rsid w:val="005F2C54"/>
    <w:rsid w:val="005F33D7"/>
    <w:rsid w:val="00602BF5"/>
    <w:rsid w:val="00603909"/>
    <w:rsid w:val="00603F40"/>
    <w:rsid w:val="00605F3B"/>
    <w:rsid w:val="00606976"/>
    <w:rsid w:val="00606EB6"/>
    <w:rsid w:val="00610753"/>
    <w:rsid w:val="006138E3"/>
    <w:rsid w:val="00614C1C"/>
    <w:rsid w:val="00615779"/>
    <w:rsid w:val="00615A5E"/>
    <w:rsid w:val="00617FDD"/>
    <w:rsid w:val="0062345B"/>
    <w:rsid w:val="00623569"/>
    <w:rsid w:val="00623968"/>
    <w:rsid w:val="00623976"/>
    <w:rsid w:val="00633614"/>
    <w:rsid w:val="00633F68"/>
    <w:rsid w:val="006349F4"/>
    <w:rsid w:val="00636E56"/>
    <w:rsid w:val="00636EB2"/>
    <w:rsid w:val="006375B8"/>
    <w:rsid w:val="0064399E"/>
    <w:rsid w:val="0065015C"/>
    <w:rsid w:val="00650880"/>
    <w:rsid w:val="006515F1"/>
    <w:rsid w:val="00653EF8"/>
    <w:rsid w:val="00653FFB"/>
    <w:rsid w:val="00656A8C"/>
    <w:rsid w:val="00660550"/>
    <w:rsid w:val="00661DF9"/>
    <w:rsid w:val="00662AD3"/>
    <w:rsid w:val="00663E83"/>
    <w:rsid w:val="006648AE"/>
    <w:rsid w:val="0066510A"/>
    <w:rsid w:val="00665C8D"/>
    <w:rsid w:val="006701D2"/>
    <w:rsid w:val="0067033C"/>
    <w:rsid w:val="0067238B"/>
    <w:rsid w:val="00673F9F"/>
    <w:rsid w:val="006777B7"/>
    <w:rsid w:val="0068020E"/>
    <w:rsid w:val="00680985"/>
    <w:rsid w:val="00683132"/>
    <w:rsid w:val="00686953"/>
    <w:rsid w:val="00687DEA"/>
    <w:rsid w:val="00687E67"/>
    <w:rsid w:val="006967F7"/>
    <w:rsid w:val="006A0556"/>
    <w:rsid w:val="006A250C"/>
    <w:rsid w:val="006A3491"/>
    <w:rsid w:val="006A5A83"/>
    <w:rsid w:val="006A647E"/>
    <w:rsid w:val="006A6BE2"/>
    <w:rsid w:val="006A71B1"/>
    <w:rsid w:val="006B21D3"/>
    <w:rsid w:val="006B3937"/>
    <w:rsid w:val="006B57D0"/>
    <w:rsid w:val="006B5904"/>
    <w:rsid w:val="006C17C9"/>
    <w:rsid w:val="006C1ED3"/>
    <w:rsid w:val="006C4657"/>
    <w:rsid w:val="006C5188"/>
    <w:rsid w:val="006C7BE1"/>
    <w:rsid w:val="006D0677"/>
    <w:rsid w:val="006D2495"/>
    <w:rsid w:val="006D30FF"/>
    <w:rsid w:val="006D6940"/>
    <w:rsid w:val="006D72CC"/>
    <w:rsid w:val="006D74DF"/>
    <w:rsid w:val="006E0245"/>
    <w:rsid w:val="006E7273"/>
    <w:rsid w:val="006F11EC"/>
    <w:rsid w:val="006F2133"/>
    <w:rsid w:val="006F2F7C"/>
    <w:rsid w:val="006F4089"/>
    <w:rsid w:val="006F5022"/>
    <w:rsid w:val="006F56B1"/>
    <w:rsid w:val="006F5A74"/>
    <w:rsid w:val="006F5B86"/>
    <w:rsid w:val="0070082C"/>
    <w:rsid w:val="00701BF9"/>
    <w:rsid w:val="007061FC"/>
    <w:rsid w:val="00712246"/>
    <w:rsid w:val="007134DE"/>
    <w:rsid w:val="0071376F"/>
    <w:rsid w:val="00713C50"/>
    <w:rsid w:val="00720883"/>
    <w:rsid w:val="007210A9"/>
    <w:rsid w:val="00721267"/>
    <w:rsid w:val="0072358B"/>
    <w:rsid w:val="00726FD2"/>
    <w:rsid w:val="007369E6"/>
    <w:rsid w:val="00742443"/>
    <w:rsid w:val="00746E59"/>
    <w:rsid w:val="007526F0"/>
    <w:rsid w:val="00754C9A"/>
    <w:rsid w:val="0075599A"/>
    <w:rsid w:val="00760142"/>
    <w:rsid w:val="00760853"/>
    <w:rsid w:val="00761816"/>
    <w:rsid w:val="0076181E"/>
    <w:rsid w:val="00761D52"/>
    <w:rsid w:val="007627CF"/>
    <w:rsid w:val="0076502E"/>
    <w:rsid w:val="00765A2B"/>
    <w:rsid w:val="00765BAD"/>
    <w:rsid w:val="00767718"/>
    <w:rsid w:val="00771CF1"/>
    <w:rsid w:val="00773678"/>
    <w:rsid w:val="00776307"/>
    <w:rsid w:val="0077749E"/>
    <w:rsid w:val="007805E2"/>
    <w:rsid w:val="007831D9"/>
    <w:rsid w:val="00783E8F"/>
    <w:rsid w:val="00787EB8"/>
    <w:rsid w:val="00790ADA"/>
    <w:rsid w:val="007939A6"/>
    <w:rsid w:val="00795B14"/>
    <w:rsid w:val="00796CF8"/>
    <w:rsid w:val="00796D46"/>
    <w:rsid w:val="00797B6D"/>
    <w:rsid w:val="007A017B"/>
    <w:rsid w:val="007B01AE"/>
    <w:rsid w:val="007B101D"/>
    <w:rsid w:val="007B396F"/>
    <w:rsid w:val="007B5B52"/>
    <w:rsid w:val="007C5FDD"/>
    <w:rsid w:val="007D1CA0"/>
    <w:rsid w:val="007D2288"/>
    <w:rsid w:val="007D30C0"/>
    <w:rsid w:val="007D6478"/>
    <w:rsid w:val="007D78B1"/>
    <w:rsid w:val="007E03B8"/>
    <w:rsid w:val="007E088F"/>
    <w:rsid w:val="007E1780"/>
    <w:rsid w:val="007E38FA"/>
    <w:rsid w:val="007E4412"/>
    <w:rsid w:val="007E54C8"/>
    <w:rsid w:val="007E7F04"/>
    <w:rsid w:val="007F1B0E"/>
    <w:rsid w:val="007F7B32"/>
    <w:rsid w:val="00800012"/>
    <w:rsid w:val="00804241"/>
    <w:rsid w:val="00804989"/>
    <w:rsid w:val="00804BC2"/>
    <w:rsid w:val="0081431A"/>
    <w:rsid w:val="008162B5"/>
    <w:rsid w:val="00820900"/>
    <w:rsid w:val="00822522"/>
    <w:rsid w:val="00824226"/>
    <w:rsid w:val="00824674"/>
    <w:rsid w:val="008268A7"/>
    <w:rsid w:val="00827EC4"/>
    <w:rsid w:val="0083216F"/>
    <w:rsid w:val="00834052"/>
    <w:rsid w:val="00834714"/>
    <w:rsid w:val="008437B2"/>
    <w:rsid w:val="00846918"/>
    <w:rsid w:val="00846D11"/>
    <w:rsid w:val="00855FEC"/>
    <w:rsid w:val="00860000"/>
    <w:rsid w:val="008601DC"/>
    <w:rsid w:val="008609D7"/>
    <w:rsid w:val="00860B4B"/>
    <w:rsid w:val="0086141A"/>
    <w:rsid w:val="008629F7"/>
    <w:rsid w:val="00863BD3"/>
    <w:rsid w:val="008641ED"/>
    <w:rsid w:val="00864A71"/>
    <w:rsid w:val="0086648F"/>
    <w:rsid w:val="00866D66"/>
    <w:rsid w:val="008671C6"/>
    <w:rsid w:val="00870FC9"/>
    <w:rsid w:val="00872A1C"/>
    <w:rsid w:val="00873F35"/>
    <w:rsid w:val="00874F7B"/>
    <w:rsid w:val="00875803"/>
    <w:rsid w:val="00876975"/>
    <w:rsid w:val="00881E22"/>
    <w:rsid w:val="00885756"/>
    <w:rsid w:val="0088650A"/>
    <w:rsid w:val="00892D39"/>
    <w:rsid w:val="00893E8A"/>
    <w:rsid w:val="00896F28"/>
    <w:rsid w:val="00897FEC"/>
    <w:rsid w:val="008A06EF"/>
    <w:rsid w:val="008A259A"/>
    <w:rsid w:val="008A3058"/>
    <w:rsid w:val="008A55C4"/>
    <w:rsid w:val="008A755B"/>
    <w:rsid w:val="008B459E"/>
    <w:rsid w:val="008B75FD"/>
    <w:rsid w:val="008C1F30"/>
    <w:rsid w:val="008C6C92"/>
    <w:rsid w:val="008D6293"/>
    <w:rsid w:val="008E00E1"/>
    <w:rsid w:val="008E13AE"/>
    <w:rsid w:val="008E1506"/>
    <w:rsid w:val="008E27B1"/>
    <w:rsid w:val="008E4170"/>
    <w:rsid w:val="008E51E8"/>
    <w:rsid w:val="008E5A0D"/>
    <w:rsid w:val="008E5B53"/>
    <w:rsid w:val="008E710C"/>
    <w:rsid w:val="008F0C48"/>
    <w:rsid w:val="008F39F5"/>
    <w:rsid w:val="008F69D6"/>
    <w:rsid w:val="008F7F74"/>
    <w:rsid w:val="009001E3"/>
    <w:rsid w:val="00902823"/>
    <w:rsid w:val="009044E4"/>
    <w:rsid w:val="00912E19"/>
    <w:rsid w:val="00915CA6"/>
    <w:rsid w:val="009168C5"/>
    <w:rsid w:val="00920F35"/>
    <w:rsid w:val="0092203B"/>
    <w:rsid w:val="0092647D"/>
    <w:rsid w:val="009268CE"/>
    <w:rsid w:val="00927834"/>
    <w:rsid w:val="0093050F"/>
    <w:rsid w:val="00930E88"/>
    <w:rsid w:val="009312B8"/>
    <w:rsid w:val="0093359B"/>
    <w:rsid w:val="00941636"/>
    <w:rsid w:val="00946FEA"/>
    <w:rsid w:val="009475BD"/>
    <w:rsid w:val="009500A6"/>
    <w:rsid w:val="009518D6"/>
    <w:rsid w:val="009544C0"/>
    <w:rsid w:val="00956970"/>
    <w:rsid w:val="00957C18"/>
    <w:rsid w:val="00960A6A"/>
    <w:rsid w:val="00961DA2"/>
    <w:rsid w:val="0096397B"/>
    <w:rsid w:val="00965559"/>
    <w:rsid w:val="009659BA"/>
    <w:rsid w:val="00970D49"/>
    <w:rsid w:val="0097299C"/>
    <w:rsid w:val="009745F2"/>
    <w:rsid w:val="00983040"/>
    <w:rsid w:val="00983F50"/>
    <w:rsid w:val="009857F3"/>
    <w:rsid w:val="00987417"/>
    <w:rsid w:val="009915C5"/>
    <w:rsid w:val="00993550"/>
    <w:rsid w:val="00993BBC"/>
    <w:rsid w:val="009957B0"/>
    <w:rsid w:val="00996363"/>
    <w:rsid w:val="00996569"/>
    <w:rsid w:val="009A00E1"/>
    <w:rsid w:val="009A28D2"/>
    <w:rsid w:val="009A2958"/>
    <w:rsid w:val="009A36E4"/>
    <w:rsid w:val="009A3E4A"/>
    <w:rsid w:val="009A70EA"/>
    <w:rsid w:val="009B003A"/>
    <w:rsid w:val="009B164B"/>
    <w:rsid w:val="009B1C0A"/>
    <w:rsid w:val="009B20AE"/>
    <w:rsid w:val="009B2ADB"/>
    <w:rsid w:val="009B3613"/>
    <w:rsid w:val="009B3FB9"/>
    <w:rsid w:val="009B427A"/>
    <w:rsid w:val="009B51FC"/>
    <w:rsid w:val="009B7793"/>
    <w:rsid w:val="009C2465"/>
    <w:rsid w:val="009D042C"/>
    <w:rsid w:val="009D35A0"/>
    <w:rsid w:val="009D6332"/>
    <w:rsid w:val="009D7EB7"/>
    <w:rsid w:val="009E048A"/>
    <w:rsid w:val="009E08E9"/>
    <w:rsid w:val="009E10E5"/>
    <w:rsid w:val="009E2081"/>
    <w:rsid w:val="009E2E36"/>
    <w:rsid w:val="009E32DB"/>
    <w:rsid w:val="009E3DB9"/>
    <w:rsid w:val="009E4487"/>
    <w:rsid w:val="009E6E35"/>
    <w:rsid w:val="009F0EDA"/>
    <w:rsid w:val="009F43DD"/>
    <w:rsid w:val="00A03B96"/>
    <w:rsid w:val="00A04951"/>
    <w:rsid w:val="00A05B19"/>
    <w:rsid w:val="00A1134E"/>
    <w:rsid w:val="00A11B9F"/>
    <w:rsid w:val="00A13056"/>
    <w:rsid w:val="00A14788"/>
    <w:rsid w:val="00A16BE1"/>
    <w:rsid w:val="00A22C84"/>
    <w:rsid w:val="00A24365"/>
    <w:rsid w:val="00A24E7E"/>
    <w:rsid w:val="00A258C3"/>
    <w:rsid w:val="00A27614"/>
    <w:rsid w:val="00A31430"/>
    <w:rsid w:val="00A330EB"/>
    <w:rsid w:val="00A3404D"/>
    <w:rsid w:val="00A347C0"/>
    <w:rsid w:val="00A34E54"/>
    <w:rsid w:val="00A3531F"/>
    <w:rsid w:val="00A51431"/>
    <w:rsid w:val="00A539AD"/>
    <w:rsid w:val="00A566FF"/>
    <w:rsid w:val="00A57B20"/>
    <w:rsid w:val="00A6291A"/>
    <w:rsid w:val="00A64E76"/>
    <w:rsid w:val="00A679D5"/>
    <w:rsid w:val="00A74237"/>
    <w:rsid w:val="00A747D4"/>
    <w:rsid w:val="00A80E00"/>
    <w:rsid w:val="00A81295"/>
    <w:rsid w:val="00A813E9"/>
    <w:rsid w:val="00A86C67"/>
    <w:rsid w:val="00A94063"/>
    <w:rsid w:val="00A95C1F"/>
    <w:rsid w:val="00A972C7"/>
    <w:rsid w:val="00AA4694"/>
    <w:rsid w:val="00AA540F"/>
    <w:rsid w:val="00AA574D"/>
    <w:rsid w:val="00AA6219"/>
    <w:rsid w:val="00AA6B04"/>
    <w:rsid w:val="00AA74E0"/>
    <w:rsid w:val="00AB062A"/>
    <w:rsid w:val="00AB0D32"/>
    <w:rsid w:val="00AB1345"/>
    <w:rsid w:val="00AB38CB"/>
    <w:rsid w:val="00AB5827"/>
    <w:rsid w:val="00AB703F"/>
    <w:rsid w:val="00AC10BD"/>
    <w:rsid w:val="00AC1ABC"/>
    <w:rsid w:val="00AC2139"/>
    <w:rsid w:val="00AC3548"/>
    <w:rsid w:val="00AC6BB8"/>
    <w:rsid w:val="00AC6F5E"/>
    <w:rsid w:val="00AD02BB"/>
    <w:rsid w:val="00AD235E"/>
    <w:rsid w:val="00AE008F"/>
    <w:rsid w:val="00AE244A"/>
    <w:rsid w:val="00AF6C32"/>
    <w:rsid w:val="00B00258"/>
    <w:rsid w:val="00B01FCD"/>
    <w:rsid w:val="00B0382C"/>
    <w:rsid w:val="00B04C47"/>
    <w:rsid w:val="00B05A75"/>
    <w:rsid w:val="00B07EFA"/>
    <w:rsid w:val="00B13AD2"/>
    <w:rsid w:val="00B15FF9"/>
    <w:rsid w:val="00B1776C"/>
    <w:rsid w:val="00B17CC2"/>
    <w:rsid w:val="00B200F0"/>
    <w:rsid w:val="00B209D8"/>
    <w:rsid w:val="00B21771"/>
    <w:rsid w:val="00B21854"/>
    <w:rsid w:val="00B2465C"/>
    <w:rsid w:val="00B24950"/>
    <w:rsid w:val="00B263A7"/>
    <w:rsid w:val="00B26844"/>
    <w:rsid w:val="00B33980"/>
    <w:rsid w:val="00B364B9"/>
    <w:rsid w:val="00B40197"/>
    <w:rsid w:val="00B44D08"/>
    <w:rsid w:val="00B460F8"/>
    <w:rsid w:val="00B52583"/>
    <w:rsid w:val="00B52896"/>
    <w:rsid w:val="00B601E3"/>
    <w:rsid w:val="00B60ECD"/>
    <w:rsid w:val="00B615D5"/>
    <w:rsid w:val="00B65AF6"/>
    <w:rsid w:val="00B6629A"/>
    <w:rsid w:val="00B71A1B"/>
    <w:rsid w:val="00B7224F"/>
    <w:rsid w:val="00B74220"/>
    <w:rsid w:val="00B76AFE"/>
    <w:rsid w:val="00B775B7"/>
    <w:rsid w:val="00B80059"/>
    <w:rsid w:val="00B81459"/>
    <w:rsid w:val="00B91C07"/>
    <w:rsid w:val="00B92685"/>
    <w:rsid w:val="00B92DF2"/>
    <w:rsid w:val="00B94584"/>
    <w:rsid w:val="00B950DB"/>
    <w:rsid w:val="00B95236"/>
    <w:rsid w:val="00B96BD9"/>
    <w:rsid w:val="00BA1B01"/>
    <w:rsid w:val="00BA2228"/>
    <w:rsid w:val="00BA2641"/>
    <w:rsid w:val="00BA47AA"/>
    <w:rsid w:val="00BA6D90"/>
    <w:rsid w:val="00BB07E9"/>
    <w:rsid w:val="00BB0E00"/>
    <w:rsid w:val="00BB37AA"/>
    <w:rsid w:val="00BB6822"/>
    <w:rsid w:val="00BC0421"/>
    <w:rsid w:val="00BC14F3"/>
    <w:rsid w:val="00BC39F3"/>
    <w:rsid w:val="00BC3FC9"/>
    <w:rsid w:val="00BC4492"/>
    <w:rsid w:val="00BC49FD"/>
    <w:rsid w:val="00BC53A0"/>
    <w:rsid w:val="00BC5E05"/>
    <w:rsid w:val="00BC6420"/>
    <w:rsid w:val="00BD1A31"/>
    <w:rsid w:val="00BD6878"/>
    <w:rsid w:val="00BD7D54"/>
    <w:rsid w:val="00BD7D73"/>
    <w:rsid w:val="00BE5101"/>
    <w:rsid w:val="00BE62AD"/>
    <w:rsid w:val="00BF0DEF"/>
    <w:rsid w:val="00BF121F"/>
    <w:rsid w:val="00BF1F80"/>
    <w:rsid w:val="00BF2353"/>
    <w:rsid w:val="00BF3CE9"/>
    <w:rsid w:val="00BF475F"/>
    <w:rsid w:val="00BF5632"/>
    <w:rsid w:val="00BF7522"/>
    <w:rsid w:val="00C01BF6"/>
    <w:rsid w:val="00C01FF7"/>
    <w:rsid w:val="00C02D10"/>
    <w:rsid w:val="00C02EAD"/>
    <w:rsid w:val="00C07E47"/>
    <w:rsid w:val="00C101A5"/>
    <w:rsid w:val="00C126A7"/>
    <w:rsid w:val="00C166EF"/>
    <w:rsid w:val="00C17EB0"/>
    <w:rsid w:val="00C219A3"/>
    <w:rsid w:val="00C21ABE"/>
    <w:rsid w:val="00C21D2E"/>
    <w:rsid w:val="00C22734"/>
    <w:rsid w:val="00C27F5F"/>
    <w:rsid w:val="00C303FA"/>
    <w:rsid w:val="00C30A0F"/>
    <w:rsid w:val="00C35CBC"/>
    <w:rsid w:val="00C37E61"/>
    <w:rsid w:val="00C40661"/>
    <w:rsid w:val="00C4542B"/>
    <w:rsid w:val="00C46840"/>
    <w:rsid w:val="00C504A4"/>
    <w:rsid w:val="00C5405C"/>
    <w:rsid w:val="00C567AC"/>
    <w:rsid w:val="00C57FAD"/>
    <w:rsid w:val="00C61FE7"/>
    <w:rsid w:val="00C65C2E"/>
    <w:rsid w:val="00C66E58"/>
    <w:rsid w:val="00C70F1B"/>
    <w:rsid w:val="00C71249"/>
    <w:rsid w:val="00C71A47"/>
    <w:rsid w:val="00C73B52"/>
    <w:rsid w:val="00C74112"/>
    <w:rsid w:val="00C7464C"/>
    <w:rsid w:val="00C751D3"/>
    <w:rsid w:val="00C77249"/>
    <w:rsid w:val="00C83D23"/>
    <w:rsid w:val="00C841E9"/>
    <w:rsid w:val="00C85588"/>
    <w:rsid w:val="00C927FD"/>
    <w:rsid w:val="00C94427"/>
    <w:rsid w:val="00C969CA"/>
    <w:rsid w:val="00C96F81"/>
    <w:rsid w:val="00CA1F20"/>
    <w:rsid w:val="00CA59B1"/>
    <w:rsid w:val="00CA6FAB"/>
    <w:rsid w:val="00CB1605"/>
    <w:rsid w:val="00CB3221"/>
    <w:rsid w:val="00CB42B7"/>
    <w:rsid w:val="00CB46CE"/>
    <w:rsid w:val="00CB60DE"/>
    <w:rsid w:val="00CB69C9"/>
    <w:rsid w:val="00CC0047"/>
    <w:rsid w:val="00CC4C1F"/>
    <w:rsid w:val="00CC7335"/>
    <w:rsid w:val="00CC7C1D"/>
    <w:rsid w:val="00CD04B3"/>
    <w:rsid w:val="00CD2549"/>
    <w:rsid w:val="00CD25AE"/>
    <w:rsid w:val="00CD27ED"/>
    <w:rsid w:val="00CD6755"/>
    <w:rsid w:val="00CD6856"/>
    <w:rsid w:val="00CD6C87"/>
    <w:rsid w:val="00CD6D9A"/>
    <w:rsid w:val="00CE0089"/>
    <w:rsid w:val="00CE158A"/>
    <w:rsid w:val="00CE22D5"/>
    <w:rsid w:val="00CE4FD9"/>
    <w:rsid w:val="00CE5705"/>
    <w:rsid w:val="00CE7693"/>
    <w:rsid w:val="00CE793C"/>
    <w:rsid w:val="00CF193C"/>
    <w:rsid w:val="00CF1E0B"/>
    <w:rsid w:val="00CF288E"/>
    <w:rsid w:val="00CF4C98"/>
    <w:rsid w:val="00CF7FC4"/>
    <w:rsid w:val="00D012C8"/>
    <w:rsid w:val="00D04C04"/>
    <w:rsid w:val="00D04F09"/>
    <w:rsid w:val="00D0566D"/>
    <w:rsid w:val="00D060E4"/>
    <w:rsid w:val="00D06A13"/>
    <w:rsid w:val="00D13C83"/>
    <w:rsid w:val="00D159D0"/>
    <w:rsid w:val="00D173F1"/>
    <w:rsid w:val="00D20FE6"/>
    <w:rsid w:val="00D218AF"/>
    <w:rsid w:val="00D2240F"/>
    <w:rsid w:val="00D256B6"/>
    <w:rsid w:val="00D25DAB"/>
    <w:rsid w:val="00D26D16"/>
    <w:rsid w:val="00D275F6"/>
    <w:rsid w:val="00D40E69"/>
    <w:rsid w:val="00D43034"/>
    <w:rsid w:val="00D43114"/>
    <w:rsid w:val="00D4470F"/>
    <w:rsid w:val="00D5085A"/>
    <w:rsid w:val="00D52256"/>
    <w:rsid w:val="00D5628C"/>
    <w:rsid w:val="00D56A94"/>
    <w:rsid w:val="00D61574"/>
    <w:rsid w:val="00D6405B"/>
    <w:rsid w:val="00D65FD8"/>
    <w:rsid w:val="00D70609"/>
    <w:rsid w:val="00D7387F"/>
    <w:rsid w:val="00D74C2D"/>
    <w:rsid w:val="00D74CB0"/>
    <w:rsid w:val="00D74D86"/>
    <w:rsid w:val="00D802E7"/>
    <w:rsid w:val="00D81186"/>
    <w:rsid w:val="00D8176A"/>
    <w:rsid w:val="00D8295D"/>
    <w:rsid w:val="00D873F5"/>
    <w:rsid w:val="00D87463"/>
    <w:rsid w:val="00D9097F"/>
    <w:rsid w:val="00D9319C"/>
    <w:rsid w:val="00DA03EC"/>
    <w:rsid w:val="00DA1D15"/>
    <w:rsid w:val="00DA4A7C"/>
    <w:rsid w:val="00DA5537"/>
    <w:rsid w:val="00DA6738"/>
    <w:rsid w:val="00DA6CCA"/>
    <w:rsid w:val="00DA76F5"/>
    <w:rsid w:val="00DA7ECE"/>
    <w:rsid w:val="00DB1603"/>
    <w:rsid w:val="00DB58D8"/>
    <w:rsid w:val="00DB60CE"/>
    <w:rsid w:val="00DB6541"/>
    <w:rsid w:val="00DC13D1"/>
    <w:rsid w:val="00DC2A65"/>
    <w:rsid w:val="00DC6B9A"/>
    <w:rsid w:val="00DD1571"/>
    <w:rsid w:val="00DD4A33"/>
    <w:rsid w:val="00DE0B36"/>
    <w:rsid w:val="00DE15F0"/>
    <w:rsid w:val="00DE4FD7"/>
    <w:rsid w:val="00DE51F5"/>
    <w:rsid w:val="00DE5663"/>
    <w:rsid w:val="00DE78AA"/>
    <w:rsid w:val="00DE7E24"/>
    <w:rsid w:val="00DF1A7F"/>
    <w:rsid w:val="00DF2964"/>
    <w:rsid w:val="00DF472A"/>
    <w:rsid w:val="00DF696D"/>
    <w:rsid w:val="00E00935"/>
    <w:rsid w:val="00E022C7"/>
    <w:rsid w:val="00E0528E"/>
    <w:rsid w:val="00E053D0"/>
    <w:rsid w:val="00E05C58"/>
    <w:rsid w:val="00E0733D"/>
    <w:rsid w:val="00E07410"/>
    <w:rsid w:val="00E135DB"/>
    <w:rsid w:val="00E14264"/>
    <w:rsid w:val="00E15994"/>
    <w:rsid w:val="00E173DA"/>
    <w:rsid w:val="00E31065"/>
    <w:rsid w:val="00E3114E"/>
    <w:rsid w:val="00E31258"/>
    <w:rsid w:val="00E31A70"/>
    <w:rsid w:val="00E333C9"/>
    <w:rsid w:val="00E353C6"/>
    <w:rsid w:val="00E35B02"/>
    <w:rsid w:val="00E4071D"/>
    <w:rsid w:val="00E41774"/>
    <w:rsid w:val="00E41AF9"/>
    <w:rsid w:val="00E443E0"/>
    <w:rsid w:val="00E460A2"/>
    <w:rsid w:val="00E507E8"/>
    <w:rsid w:val="00E5289C"/>
    <w:rsid w:val="00E5367B"/>
    <w:rsid w:val="00E560CD"/>
    <w:rsid w:val="00E65A0F"/>
    <w:rsid w:val="00E66496"/>
    <w:rsid w:val="00E665EE"/>
    <w:rsid w:val="00E66B35"/>
    <w:rsid w:val="00E66E10"/>
    <w:rsid w:val="00E70431"/>
    <w:rsid w:val="00E74100"/>
    <w:rsid w:val="00E74C99"/>
    <w:rsid w:val="00E75F19"/>
    <w:rsid w:val="00E769F6"/>
    <w:rsid w:val="00E806A2"/>
    <w:rsid w:val="00E80965"/>
    <w:rsid w:val="00E82427"/>
    <w:rsid w:val="00E82C17"/>
    <w:rsid w:val="00E83D71"/>
    <w:rsid w:val="00E8407C"/>
    <w:rsid w:val="00E84F3C"/>
    <w:rsid w:val="00EA012C"/>
    <w:rsid w:val="00EA2561"/>
    <w:rsid w:val="00EA2878"/>
    <w:rsid w:val="00EA361C"/>
    <w:rsid w:val="00EA3B94"/>
    <w:rsid w:val="00EA5ECD"/>
    <w:rsid w:val="00EB7E4D"/>
    <w:rsid w:val="00EC485D"/>
    <w:rsid w:val="00EC6A55"/>
    <w:rsid w:val="00EC7194"/>
    <w:rsid w:val="00ED0288"/>
    <w:rsid w:val="00ED0F8B"/>
    <w:rsid w:val="00ED45B4"/>
    <w:rsid w:val="00ED624E"/>
    <w:rsid w:val="00ED62AD"/>
    <w:rsid w:val="00EE2DEB"/>
    <w:rsid w:val="00EE4E26"/>
    <w:rsid w:val="00EE52CB"/>
    <w:rsid w:val="00EE5DCF"/>
    <w:rsid w:val="00EF4025"/>
    <w:rsid w:val="00EF581D"/>
    <w:rsid w:val="00EF6E23"/>
    <w:rsid w:val="00EF7FD8"/>
    <w:rsid w:val="00EF7FE4"/>
    <w:rsid w:val="00F040B4"/>
    <w:rsid w:val="00F06F59"/>
    <w:rsid w:val="00F17988"/>
    <w:rsid w:val="00F22271"/>
    <w:rsid w:val="00F273E4"/>
    <w:rsid w:val="00F30D73"/>
    <w:rsid w:val="00F30F21"/>
    <w:rsid w:val="00F36DF6"/>
    <w:rsid w:val="00F36E68"/>
    <w:rsid w:val="00F3717D"/>
    <w:rsid w:val="00F375D8"/>
    <w:rsid w:val="00F4013A"/>
    <w:rsid w:val="00F4041F"/>
    <w:rsid w:val="00F424A8"/>
    <w:rsid w:val="00F468E0"/>
    <w:rsid w:val="00F469F0"/>
    <w:rsid w:val="00F46E98"/>
    <w:rsid w:val="00F47FA4"/>
    <w:rsid w:val="00F5084E"/>
    <w:rsid w:val="00F520AA"/>
    <w:rsid w:val="00F53273"/>
    <w:rsid w:val="00F56272"/>
    <w:rsid w:val="00F56792"/>
    <w:rsid w:val="00F56EB8"/>
    <w:rsid w:val="00F60C92"/>
    <w:rsid w:val="00F64856"/>
    <w:rsid w:val="00F706EE"/>
    <w:rsid w:val="00F70EFC"/>
    <w:rsid w:val="00F71E4D"/>
    <w:rsid w:val="00F71FE7"/>
    <w:rsid w:val="00F755E4"/>
    <w:rsid w:val="00F7684F"/>
    <w:rsid w:val="00F76C64"/>
    <w:rsid w:val="00F77D02"/>
    <w:rsid w:val="00F81EB2"/>
    <w:rsid w:val="00F916AB"/>
    <w:rsid w:val="00F96D9A"/>
    <w:rsid w:val="00FA2280"/>
    <w:rsid w:val="00FA74F8"/>
    <w:rsid w:val="00FB1998"/>
    <w:rsid w:val="00FB1E3E"/>
    <w:rsid w:val="00FB3A86"/>
    <w:rsid w:val="00FB3EA3"/>
    <w:rsid w:val="00FB46E0"/>
    <w:rsid w:val="00FB7E9A"/>
    <w:rsid w:val="00FC218E"/>
    <w:rsid w:val="00FC226A"/>
    <w:rsid w:val="00FC2D93"/>
    <w:rsid w:val="00FC5A6B"/>
    <w:rsid w:val="00FD36C8"/>
    <w:rsid w:val="00FD4DC1"/>
    <w:rsid w:val="00FD52F6"/>
    <w:rsid w:val="00FD6EF7"/>
    <w:rsid w:val="00FE2AF0"/>
    <w:rsid w:val="00FE7C5E"/>
    <w:rsid w:val="00FF0095"/>
    <w:rsid w:val="00FF3C2F"/>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30A07"/>
  <w15:docId w15:val="{DA0C6436-E0E0-4090-AA6B-07E123DC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cinsinresolver1">
    <w:name w:val="Mención sin resolver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C6B9A"/>
    <w:pPr>
      <w:spacing w:after="160" w:line="259" w:lineRule="auto"/>
      <w:ind w:left="720"/>
      <w:contextualSpacing/>
    </w:pPr>
    <w:rPr>
      <w:rFonts w:asciiTheme="minorHAnsi" w:eastAsiaTheme="minorHAnsi" w:hAnsiTheme="minorHAnsi" w:cstheme="minorBidi"/>
      <w:kern w:val="2"/>
      <w:sz w:val="22"/>
      <w:szCs w:val="22"/>
      <w:lang w:val="es-MX"/>
    </w:rPr>
  </w:style>
  <w:style w:type="character" w:customStyle="1" w:styleId="Mencinsinresolver2">
    <w:name w:val="Mención sin resolver2"/>
    <w:basedOn w:val="DefaultParagraphFont"/>
    <w:uiPriority w:val="99"/>
    <w:semiHidden/>
    <w:unhideWhenUsed/>
    <w:rsid w:val="009B1C0A"/>
    <w:rPr>
      <w:color w:val="605E5C"/>
      <w:shd w:val="clear" w:color="auto" w:fill="E1DFDD"/>
    </w:rPr>
  </w:style>
  <w:style w:type="character" w:customStyle="1" w:styleId="Mencinsinresolver3">
    <w:name w:val="Mención sin resolver3"/>
    <w:basedOn w:val="DefaultParagraphFont"/>
    <w:uiPriority w:val="99"/>
    <w:semiHidden/>
    <w:unhideWhenUsed/>
    <w:rsid w:val="00CD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3695455">
      <w:bodyDiv w:val="1"/>
      <w:marLeft w:val="0"/>
      <w:marRight w:val="0"/>
      <w:marTop w:val="0"/>
      <w:marBottom w:val="0"/>
      <w:divBdr>
        <w:top w:val="none" w:sz="0" w:space="0" w:color="auto"/>
        <w:left w:val="none" w:sz="0" w:space="0" w:color="auto"/>
        <w:bottom w:val="none" w:sz="0" w:space="0" w:color="auto"/>
        <w:right w:val="none" w:sz="0" w:space="0" w:color="auto"/>
      </w:divBdr>
    </w:div>
    <w:div w:id="1369945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072398">
      <w:bodyDiv w:val="1"/>
      <w:marLeft w:val="0"/>
      <w:marRight w:val="0"/>
      <w:marTop w:val="0"/>
      <w:marBottom w:val="0"/>
      <w:divBdr>
        <w:top w:val="none" w:sz="0" w:space="0" w:color="auto"/>
        <w:left w:val="none" w:sz="0" w:space="0" w:color="auto"/>
        <w:bottom w:val="none" w:sz="0" w:space="0" w:color="auto"/>
        <w:right w:val="none" w:sz="0" w:space="0" w:color="auto"/>
      </w:divBdr>
    </w:div>
    <w:div w:id="530265329">
      <w:bodyDiv w:val="1"/>
      <w:marLeft w:val="0"/>
      <w:marRight w:val="0"/>
      <w:marTop w:val="0"/>
      <w:marBottom w:val="0"/>
      <w:divBdr>
        <w:top w:val="none" w:sz="0" w:space="0" w:color="auto"/>
        <w:left w:val="none" w:sz="0" w:space="0" w:color="auto"/>
        <w:bottom w:val="none" w:sz="0" w:space="0" w:color="auto"/>
        <w:right w:val="none" w:sz="0" w:space="0" w:color="auto"/>
      </w:divBdr>
    </w:div>
    <w:div w:id="5678088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467264">
      <w:bodyDiv w:val="1"/>
      <w:marLeft w:val="0"/>
      <w:marRight w:val="0"/>
      <w:marTop w:val="0"/>
      <w:marBottom w:val="0"/>
      <w:divBdr>
        <w:top w:val="none" w:sz="0" w:space="0" w:color="auto"/>
        <w:left w:val="none" w:sz="0" w:space="0" w:color="auto"/>
        <w:bottom w:val="none" w:sz="0" w:space="0" w:color="auto"/>
        <w:right w:val="none" w:sz="0" w:space="0" w:color="auto"/>
      </w:divBdr>
    </w:div>
    <w:div w:id="706641064">
      <w:bodyDiv w:val="1"/>
      <w:marLeft w:val="0"/>
      <w:marRight w:val="0"/>
      <w:marTop w:val="0"/>
      <w:marBottom w:val="0"/>
      <w:divBdr>
        <w:top w:val="none" w:sz="0" w:space="0" w:color="auto"/>
        <w:left w:val="none" w:sz="0" w:space="0" w:color="auto"/>
        <w:bottom w:val="none" w:sz="0" w:space="0" w:color="auto"/>
        <w:right w:val="none" w:sz="0" w:space="0" w:color="auto"/>
      </w:divBdr>
    </w:div>
    <w:div w:id="897743321">
      <w:bodyDiv w:val="1"/>
      <w:marLeft w:val="0"/>
      <w:marRight w:val="0"/>
      <w:marTop w:val="0"/>
      <w:marBottom w:val="0"/>
      <w:divBdr>
        <w:top w:val="none" w:sz="0" w:space="0" w:color="auto"/>
        <w:left w:val="none" w:sz="0" w:space="0" w:color="auto"/>
        <w:bottom w:val="none" w:sz="0" w:space="0" w:color="auto"/>
        <w:right w:val="none" w:sz="0" w:space="0" w:color="auto"/>
      </w:divBdr>
    </w:div>
    <w:div w:id="9414969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1394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5628378">
      <w:bodyDiv w:val="1"/>
      <w:marLeft w:val="0"/>
      <w:marRight w:val="0"/>
      <w:marTop w:val="0"/>
      <w:marBottom w:val="0"/>
      <w:divBdr>
        <w:top w:val="none" w:sz="0" w:space="0" w:color="auto"/>
        <w:left w:val="none" w:sz="0" w:space="0" w:color="auto"/>
        <w:bottom w:val="none" w:sz="0" w:space="0" w:color="auto"/>
        <w:right w:val="none" w:sz="0" w:space="0" w:color="auto"/>
      </w:divBdr>
    </w:div>
    <w:div w:id="1251812545">
      <w:bodyDiv w:val="1"/>
      <w:marLeft w:val="0"/>
      <w:marRight w:val="0"/>
      <w:marTop w:val="0"/>
      <w:marBottom w:val="0"/>
      <w:divBdr>
        <w:top w:val="none" w:sz="0" w:space="0" w:color="auto"/>
        <w:left w:val="none" w:sz="0" w:space="0" w:color="auto"/>
        <w:bottom w:val="none" w:sz="0" w:space="0" w:color="auto"/>
        <w:right w:val="none" w:sz="0" w:space="0" w:color="auto"/>
      </w:divBdr>
    </w:div>
    <w:div w:id="1350178019">
      <w:bodyDiv w:val="1"/>
      <w:marLeft w:val="0"/>
      <w:marRight w:val="0"/>
      <w:marTop w:val="0"/>
      <w:marBottom w:val="0"/>
      <w:divBdr>
        <w:top w:val="none" w:sz="0" w:space="0" w:color="auto"/>
        <w:left w:val="none" w:sz="0" w:space="0" w:color="auto"/>
        <w:bottom w:val="none" w:sz="0" w:space="0" w:color="auto"/>
        <w:right w:val="none" w:sz="0" w:space="0" w:color="auto"/>
      </w:divBdr>
    </w:div>
    <w:div w:id="14525569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5995548">
      <w:bodyDiv w:val="1"/>
      <w:marLeft w:val="0"/>
      <w:marRight w:val="0"/>
      <w:marTop w:val="0"/>
      <w:marBottom w:val="0"/>
      <w:divBdr>
        <w:top w:val="none" w:sz="0" w:space="0" w:color="auto"/>
        <w:left w:val="none" w:sz="0" w:space="0" w:color="auto"/>
        <w:bottom w:val="none" w:sz="0" w:space="0" w:color="auto"/>
        <w:right w:val="none" w:sz="0" w:space="0" w:color="auto"/>
      </w:divBdr>
    </w:div>
    <w:div w:id="1898667418">
      <w:bodyDiv w:val="1"/>
      <w:marLeft w:val="0"/>
      <w:marRight w:val="0"/>
      <w:marTop w:val="0"/>
      <w:marBottom w:val="0"/>
      <w:divBdr>
        <w:top w:val="none" w:sz="0" w:space="0" w:color="auto"/>
        <w:left w:val="none" w:sz="0" w:space="0" w:color="auto"/>
        <w:bottom w:val="none" w:sz="0" w:space="0" w:color="auto"/>
        <w:right w:val="none" w:sz="0" w:space="0" w:color="auto"/>
      </w:divBdr>
    </w:div>
    <w:div w:id="19720555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 w:id="20847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1/2023.05.03.23289084" TargetMode="External"/><Relationship Id="rId26" Type="http://schemas.openxmlformats.org/officeDocument/2006/relationships/hyperlink" Target="https://doi.org/10.1007/s40121-022-00748-z" TargetMode="External"/><Relationship Id="rId39" Type="http://schemas.openxmlformats.org/officeDocument/2006/relationships/footer" Target="footer4.xml"/><Relationship Id="rId21" Type="http://schemas.openxmlformats.org/officeDocument/2006/relationships/hyperlink" Target="https://doi.org/10.1001/jamainternmed.2024.2007" TargetMode="External"/><Relationship Id="rId34" Type="http://schemas.openxmlformats.org/officeDocument/2006/relationships/hyperlink" Target="https://doi.org/10.1016/S0140-6736(22)01586-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226/sojmid/8/1/001108" TargetMode="External"/><Relationship Id="rId20" Type="http://schemas.openxmlformats.org/officeDocument/2006/relationships/hyperlink" Target="https://doi.org/10.7326/M22-2141" TargetMode="External"/><Relationship Id="rId29" Type="http://schemas.openxmlformats.org/officeDocument/2006/relationships/hyperlink" Target="https://doi.org/10.1136/bmj.i96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dsociety.org/practice-guideline/covid-19-guideline-treatment-and-management/" TargetMode="External"/><Relationship Id="rId32" Type="http://schemas.openxmlformats.org/officeDocument/2006/relationships/hyperlink" Target="https://doi.org/10.1186/s12916-021-02058-6"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56/NEJMoa2204919" TargetMode="External"/><Relationship Id="rId23" Type="http://schemas.openxmlformats.org/officeDocument/2006/relationships/hyperlink" Target="https://doi.org/10.1056/NEJMoa2118542" TargetMode="External"/><Relationship Id="rId28" Type="http://schemas.openxmlformats.org/officeDocument/2006/relationships/hyperlink" Target="https://doi.org/10.1097/SHK.0000000000001565" TargetMode="External"/><Relationship Id="rId36" Type="http://schemas.openxmlformats.org/officeDocument/2006/relationships/hyperlink" Target="https://doi.org/10.1016/S0140-6736(20)30566-3" TargetMode="External"/><Relationship Id="rId10" Type="http://schemas.openxmlformats.org/officeDocument/2006/relationships/footer" Target="footer1.xml"/><Relationship Id="rId19" Type="http://schemas.openxmlformats.org/officeDocument/2006/relationships/hyperlink" Target="https://doi.org/10.9734/cjast/2025/v44i24481" TargetMode="External"/><Relationship Id="rId31" Type="http://schemas.openxmlformats.org/officeDocument/2006/relationships/hyperlink" Target="https://doi.org/10.1038/s41598-021-88130-w"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7759/cureus.39234" TargetMode="External"/><Relationship Id="rId22" Type="http://schemas.openxmlformats.org/officeDocument/2006/relationships/hyperlink" Target="https://doi.org/10.1016/j.jaip.2024.04.022" TargetMode="External"/><Relationship Id="rId27" Type="http://schemas.openxmlformats.org/officeDocument/2006/relationships/hyperlink" Target="https://doi.org/10.1016/j.disamonth.2020.101068" TargetMode="External"/><Relationship Id="rId30" Type="http://schemas.openxmlformats.org/officeDocument/2006/relationships/hyperlink" Target="https://doi.org/10.1016/j.biopha.2023.114367" TargetMode="External"/><Relationship Id="rId35" Type="http://schemas.openxmlformats.org/officeDocument/2006/relationships/hyperlink" Target="https://doi.org/10.1186/s12879-024-09482-y"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201/eid3002.230835" TargetMode="External"/><Relationship Id="rId25" Type="http://schemas.openxmlformats.org/officeDocument/2006/relationships/hyperlink" Target="https://doi.org/10.1080/20477724.2020.1850982" TargetMode="External"/><Relationship Id="rId33" Type="http://schemas.openxmlformats.org/officeDocument/2006/relationships/hyperlink" Target="https://doi.org/10.1016/j.cegh.2021.100933"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CD0B-C30A-470E-9ED9-A16905CD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16</Pages>
  <Words>8327</Words>
  <Characters>47466</Characters>
  <Application>Microsoft Office Word</Application>
  <DocSecurity>0</DocSecurity>
  <Lines>395</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55682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cp:lastModifiedBy>
  <cp:revision>3</cp:revision>
  <cp:lastPrinted>1999-07-06T11:00:00Z</cp:lastPrinted>
  <dcterms:created xsi:type="dcterms:W3CDTF">2025-03-03T17:21:00Z</dcterms:created>
  <dcterms:modified xsi:type="dcterms:W3CDTF">2025-03-04T07:38:00Z</dcterms:modified>
</cp:coreProperties>
</file>