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C4BAA" w14:textId="493D078C" w:rsidR="00A05777" w:rsidRPr="00DA4F60" w:rsidRDefault="00A05777" w:rsidP="00A05777">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Apoptosis Mechanisms: Role of Anti-Apoptotic Proteins, Cancer Hallmarks and Tumor Microenvironment in Cancer Cell Survival</w:t>
      </w:r>
    </w:p>
    <w:p w14:paraId="0000000E" w14:textId="77777777" w:rsidR="00C14A47" w:rsidRPr="00DA4F60" w:rsidRDefault="00C14A47" w:rsidP="0031131F">
      <w:pPr>
        <w:spacing w:line="360" w:lineRule="auto"/>
        <w:ind w:right="-46"/>
        <w:jc w:val="both"/>
        <w:rPr>
          <w:rFonts w:ascii="Times New Roman" w:eastAsia="Times New Roman" w:hAnsi="Times New Roman" w:cs="Times New Roman"/>
          <w:b/>
          <w:sz w:val="24"/>
          <w:szCs w:val="24"/>
        </w:rPr>
      </w:pPr>
    </w:p>
    <w:p w14:paraId="0000000F" w14:textId="77777777" w:rsidR="00C14A47" w:rsidRPr="00DA4F60" w:rsidRDefault="00BF4936"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Abstract</w:t>
      </w:r>
    </w:p>
    <w:p w14:paraId="26C01F39" w14:textId="3923CE5E" w:rsidR="001A2D4E" w:rsidRPr="00BF0E85" w:rsidRDefault="001A2D4E" w:rsidP="001A2D4E">
      <w:pPr>
        <w:spacing w:after="0" w:line="360" w:lineRule="auto"/>
        <w:jc w:val="both"/>
        <w:rPr>
          <w:rFonts w:ascii="Times New Roman" w:hAnsi="Times New Roman" w:cs="Times New Roman"/>
          <w:sz w:val="24"/>
          <w:szCs w:val="24"/>
        </w:rPr>
      </w:pPr>
      <w:r w:rsidRPr="00BF0E85">
        <w:rPr>
          <w:rFonts w:ascii="Times New Roman" w:eastAsia="Times New Roman" w:hAnsi="Times New Roman" w:cs="Times New Roman"/>
          <w:sz w:val="24"/>
          <w:szCs w:val="24"/>
          <w:highlight w:val="yellow"/>
        </w:rPr>
        <w:t xml:space="preserve">Apoptosis, or programmed cell death, is the result of signaling pathways being activated when cells experience irreversible alterations </w:t>
      </w:r>
      <w:r>
        <w:rPr>
          <w:rFonts w:ascii="Times New Roman" w:eastAsia="Times New Roman" w:hAnsi="Times New Roman" w:cs="Times New Roman"/>
          <w:sz w:val="24"/>
          <w:szCs w:val="24"/>
          <w:highlight w:val="yellow"/>
        </w:rPr>
        <w:t>due to</w:t>
      </w:r>
      <w:r w:rsidRPr="00BF0E85">
        <w:rPr>
          <w:rFonts w:ascii="Times New Roman" w:eastAsia="Times New Roman" w:hAnsi="Times New Roman" w:cs="Times New Roman"/>
          <w:sz w:val="24"/>
          <w:szCs w:val="24"/>
          <w:highlight w:val="yellow"/>
        </w:rPr>
        <w:t xml:space="preserve"> internal or external stress. </w:t>
      </w:r>
      <w:r w:rsidRPr="00005B44">
        <w:rPr>
          <w:rFonts w:ascii="Times New Roman" w:eastAsia="Times New Roman" w:hAnsi="Times New Roman" w:cs="Times New Roman"/>
          <w:sz w:val="24"/>
          <w:szCs w:val="24"/>
          <w:highlight w:val="yellow"/>
        </w:rPr>
        <w:t>To</w:t>
      </w:r>
      <w:r w:rsidRPr="00BF0E85">
        <w:rPr>
          <w:rFonts w:ascii="Times New Roman" w:eastAsia="Times New Roman" w:hAnsi="Times New Roman" w:cs="Times New Roman"/>
          <w:sz w:val="24"/>
          <w:szCs w:val="24"/>
          <w:highlight w:val="yellow"/>
        </w:rPr>
        <w:t xml:space="preserve"> stop cancer from developing, this procedure is crucial for getting rid of potentially dangerous cells that have accumulated genetic damage. Nevertheless, a lot of cancer cells create </w:t>
      </w:r>
      <w:proofErr w:type="spellStart"/>
      <w:r w:rsidRPr="00BF0E85">
        <w:rPr>
          <w:rFonts w:ascii="Times New Roman" w:eastAsia="Times New Roman" w:hAnsi="Times New Roman" w:cs="Times New Roman"/>
          <w:sz w:val="24"/>
          <w:szCs w:val="24"/>
          <w:highlight w:val="yellow"/>
        </w:rPr>
        <w:t>defenses</w:t>
      </w:r>
      <w:proofErr w:type="spellEnd"/>
      <w:r w:rsidRPr="00BF0E85">
        <w:rPr>
          <w:rFonts w:ascii="Times New Roman" w:eastAsia="Times New Roman" w:hAnsi="Times New Roman" w:cs="Times New Roman"/>
          <w:sz w:val="24"/>
          <w:szCs w:val="24"/>
          <w:highlight w:val="yellow"/>
        </w:rPr>
        <w:t xml:space="preserve"> against death, which aids in the growth of tumors and treatment resistance.</w:t>
      </w:r>
      <w:r w:rsidRPr="00005B44">
        <w:rPr>
          <w:rFonts w:ascii="Times New Roman" w:eastAsia="Times New Roman" w:hAnsi="Times New Roman" w:cs="Times New Roman"/>
          <w:sz w:val="24"/>
          <w:szCs w:val="24"/>
          <w:highlight w:val="yellow"/>
        </w:rPr>
        <w:t xml:space="preserve"> </w:t>
      </w:r>
      <w:r w:rsidRPr="00005B44">
        <w:rPr>
          <w:rFonts w:ascii="Times New Roman" w:hAnsi="Times New Roman" w:cs="Times New Roman"/>
          <w:sz w:val="24"/>
          <w:szCs w:val="24"/>
          <w:highlight w:val="yellow"/>
        </w:rPr>
        <w:t xml:space="preserve">Certain intracellular proteins play a key role in blocking apoptosis by interfering with specific stages of the cell death process. Among these, members of the Bcl-2 family such as Bcl-2 and </w:t>
      </w:r>
      <w:proofErr w:type="spellStart"/>
      <w:r w:rsidRPr="00005B44">
        <w:rPr>
          <w:rFonts w:ascii="Times New Roman" w:hAnsi="Times New Roman" w:cs="Times New Roman"/>
          <w:sz w:val="24"/>
          <w:szCs w:val="24"/>
          <w:highlight w:val="yellow"/>
        </w:rPr>
        <w:t>Bcl-xL</w:t>
      </w:r>
      <w:proofErr w:type="spellEnd"/>
      <w:r w:rsidRPr="00005B44">
        <w:rPr>
          <w:rFonts w:ascii="Times New Roman" w:hAnsi="Times New Roman" w:cs="Times New Roman"/>
          <w:sz w:val="24"/>
          <w:szCs w:val="24"/>
          <w:highlight w:val="yellow"/>
        </w:rPr>
        <w:t xml:space="preserve"> help maintain the integrity of cellular membranes, including those of the plasma membrane, endoplasmic reticulum, and mitochondria. Additionally, Bcl-2 is believed to exhibit inherent antioxidant properties. The transition from normal cells to malignant tumors involves the acquisition of distinct functional traits, often referred to as the hallmarks of cancer. The tumor microenvironment (TME) plays a critical role in this transformation, facilitating tumor growth by providing essential nutrients and interacting dynamically with cancer cells. This paper focuses on the role of Inhibitor of Apoptosis Proteins (IAPs) and anti-apoptotic proteins like Bcl-2, both of which contribute to cancer progression by preventing cell death. Their ability to enhance cell survival promotes tumor growth and resistance to treatment. Additionally, the review underscores the </w:t>
      </w:r>
      <w:r>
        <w:rPr>
          <w:rFonts w:ascii="Times New Roman" w:hAnsi="Times New Roman" w:cs="Times New Roman"/>
          <w:sz w:val="24"/>
          <w:szCs w:val="24"/>
          <w:highlight w:val="yellow"/>
        </w:rPr>
        <w:t>TME's significance, including the microbiome's influence</w:t>
      </w:r>
      <w:r w:rsidRPr="00005B44">
        <w:rPr>
          <w:rFonts w:ascii="Times New Roman" w:hAnsi="Times New Roman" w:cs="Times New Roman"/>
          <w:sz w:val="24"/>
          <w:szCs w:val="24"/>
          <w:highlight w:val="yellow"/>
        </w:rPr>
        <w:t xml:space="preserve"> in modulating apoptosis and shaping </w:t>
      </w:r>
      <w:proofErr w:type="spellStart"/>
      <w:r w:rsidRPr="00005B44">
        <w:rPr>
          <w:rFonts w:ascii="Times New Roman" w:hAnsi="Times New Roman" w:cs="Times New Roman"/>
          <w:sz w:val="24"/>
          <w:szCs w:val="24"/>
          <w:highlight w:val="yellow"/>
        </w:rPr>
        <w:t>tumor</w:t>
      </w:r>
      <w:proofErr w:type="spellEnd"/>
      <w:r w:rsidRPr="00005B44">
        <w:rPr>
          <w:rFonts w:ascii="Times New Roman" w:hAnsi="Times New Roman" w:cs="Times New Roman"/>
          <w:sz w:val="24"/>
          <w:szCs w:val="24"/>
          <w:highlight w:val="yellow"/>
        </w:rPr>
        <w:t xml:space="preserve"> </w:t>
      </w:r>
      <w:proofErr w:type="spellStart"/>
      <w:r w:rsidRPr="00005B44">
        <w:rPr>
          <w:rFonts w:ascii="Times New Roman" w:hAnsi="Times New Roman" w:cs="Times New Roman"/>
          <w:sz w:val="24"/>
          <w:szCs w:val="24"/>
          <w:highlight w:val="yellow"/>
        </w:rPr>
        <w:t>behavior</w:t>
      </w:r>
      <w:proofErr w:type="spellEnd"/>
      <w:r w:rsidRPr="00005B44">
        <w:rPr>
          <w:rFonts w:ascii="Times New Roman" w:hAnsi="Times New Roman" w:cs="Times New Roman"/>
          <w:sz w:val="24"/>
          <w:szCs w:val="24"/>
          <w:highlight w:val="yellow"/>
        </w:rPr>
        <w:t>. Targeting elements of the TME could improve therapeutic strategies and enhance treatment efficacy.</w:t>
      </w:r>
    </w:p>
    <w:p w14:paraId="00000012" w14:textId="1498C30E" w:rsidR="00C14A47" w:rsidRPr="00DA4F60" w:rsidRDefault="00BF4936"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 xml:space="preserve">Keywords: </w:t>
      </w:r>
      <w:r w:rsidRPr="00DA4F60">
        <w:rPr>
          <w:rFonts w:ascii="Times New Roman" w:eastAsia="Times New Roman" w:hAnsi="Times New Roman" w:cs="Times New Roman"/>
          <w:sz w:val="24"/>
          <w:szCs w:val="24"/>
        </w:rPr>
        <w:t>Apoptotic pathways,</w:t>
      </w:r>
      <w:r w:rsidR="00BF50F0">
        <w:rPr>
          <w:rFonts w:ascii="Times New Roman" w:eastAsia="Times New Roman" w:hAnsi="Times New Roman" w:cs="Times New Roman"/>
          <w:sz w:val="24"/>
          <w:szCs w:val="24"/>
        </w:rPr>
        <w:t xml:space="preserve"> </w:t>
      </w:r>
      <w:r w:rsidR="00BF50F0" w:rsidRPr="00DA4F60">
        <w:rPr>
          <w:rFonts w:ascii="Times New Roman" w:eastAsia="Times New Roman" w:hAnsi="Times New Roman" w:cs="Times New Roman"/>
          <w:sz w:val="24"/>
          <w:szCs w:val="24"/>
        </w:rPr>
        <w:t xml:space="preserve">BCL-2, Cancer, </w:t>
      </w:r>
      <w:r w:rsidRPr="00DA4F60">
        <w:rPr>
          <w:rFonts w:ascii="Times New Roman" w:eastAsia="Times New Roman" w:hAnsi="Times New Roman" w:cs="Times New Roman"/>
          <w:sz w:val="24"/>
          <w:szCs w:val="24"/>
        </w:rPr>
        <w:t>Caspase, Tumor Microenvironment</w:t>
      </w:r>
      <w:r w:rsidR="00BF50F0">
        <w:rPr>
          <w:rFonts w:ascii="Times New Roman" w:eastAsia="Times New Roman" w:hAnsi="Times New Roman" w:cs="Times New Roman"/>
          <w:sz w:val="24"/>
          <w:szCs w:val="24"/>
        </w:rPr>
        <w:t>.</w:t>
      </w:r>
    </w:p>
    <w:p w14:paraId="00000013"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4"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5"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6"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7"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8"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9"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A"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B"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1E" w14:textId="77777777" w:rsidR="00C14A47" w:rsidRPr="00DA4F60" w:rsidRDefault="00BF4936"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1. Introduction to Apoptosis and Cancer Overview</w:t>
      </w:r>
    </w:p>
    <w:p w14:paraId="0000001F" w14:textId="090F3ADF" w:rsidR="00C14A47" w:rsidRPr="00DA4F60" w:rsidRDefault="00BF4936" w:rsidP="0031131F">
      <w:pPr>
        <w:tabs>
          <w:tab w:val="left" w:pos="8505"/>
        </w:tabs>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Various signaling pathways that eventually result in cell death, are triggered when living cells encounter irreversible changes in their internal or external surroundings. This process is known as r</w:t>
      </w:r>
      <w:r w:rsidRPr="00DA4F60">
        <w:rPr>
          <w:rFonts w:ascii="Times New Roman" w:eastAsia="Times New Roman" w:hAnsi="Times New Roman" w:cs="Times New Roman"/>
          <w:sz w:val="24"/>
          <w:szCs w:val="24"/>
        </w:rPr>
        <w:t>egulated cell death (RCD) or programmed cell death and is driven by interconnected complex molecular mechanisms</w:t>
      </w:r>
      <w:r w:rsidR="002B1310">
        <w:rPr>
          <w:rFonts w:ascii="Times New Roman" w:eastAsia="Times New Roman" w:hAnsi="Times New Roman" w:cs="Times New Roman"/>
          <w:sz w:val="24"/>
          <w:szCs w:val="24"/>
        </w:rPr>
        <w:t xml:space="preserve"> </w:t>
      </w:r>
      <w:r w:rsidR="002B1310" w:rsidRPr="002B1310">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{"citationID":"vXHDEdrM","properties":{"formattedCitation":"(Peng et al., 2022)","plainCitation":"(Peng et al., 2022)","noteIndex":0},"citationItems":[{"id":331,"uris":["http://zotero.org/users/15444919/items/K84VVLMR"],"itemData":{"id":331,"type":"article-journal","abstract":"Regulated cell death (RCD), also well-known as programmed cell death (PCD), refers to the form of cell death that can be regulated by a variety of biomacromolecules, which is distinctive from accidental cell death (ACD). Accumulating evidence has revealed that RCD subroutines are the key features of tumorigenesis, which may ultimately lead to the establishment of different potential therapeutic strategies. Hitherto, targeting the subroutines of RCD with pharmacological small-molecule compounds has been emerging as a promising therapeutic avenue, which has rapidly progressed in many types of human cancers. Thus, in this review, we focus on summarizing not only the key apoptotic and autophagy-dependent cell death signaling pathways, but the crucial pathways of other RCD subroutines, including necroptosis, pyroptosis, ferroptosis, parthanatos, entosis, NETosis and lysosome-dependent cell death (LCD) in cancer. Moreover, we further discuss the current situation of several small-molecule compounds targeting the different RCD subroutines to improve cancer treatment, such as single-target, dual or multiple-target small-molecule compounds, drug combinations, and some new emerging therapeutic strategies that would together shed new light on future directions to attack cancer cell vulnerabilities with small-molecule drugs targeting RCD for therapeutic purposes.","container-title":"Signal Transduction and Targeted Therapy","DOI":"10.1038/s41392-022-01110-y","ISSN":"2059-3635","issue":"1","journalAbbreviation":"Signal Transduct Target Ther","language":"eng","note":"PMID: 35963853\nPMCID: PMC9376115","page":"286","source":"PubMed","title":"Regulated cell death (RCD) in cancer: key pathways and targeted therapies","title-short":"Regulated cell death (RCD) in cancer","volume":"7","author":[{"family":"Peng","given":"Fu"},{"family":"Liao","given":"Minru"},{"family":"Qin","given":"Rui"},{"family":"Zhu","given":"Shiou"},{"family":"Peng","given":"Cheng"},{"family":"Fu","given":"Leilei"},{"family":"Chen","given":"Yi"},{"family":"Han","given":"Bo"}],"issued":{"date-parts":[["2022",8,13]]}}}],"schema":"https://github.com/citation-style-language/schema/raw/master/csl-citation.json"} </w:instrText>
      </w:r>
      <w:r w:rsidR="002B1310" w:rsidRPr="002B1310">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highlight w:val="yellow"/>
        </w:rPr>
        <w:t>(Peng et al., 2022)</w:t>
      </w:r>
      <w:r w:rsidR="002B1310" w:rsidRPr="002B1310">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These mechanisms are tightly regulated for cellular development, maintenance, and elimination of unwanted cells. Maintaining a balance between cell proliferation and cell d</w:t>
      </w:r>
      <w:r w:rsidRPr="00DA4F60">
        <w:rPr>
          <w:rFonts w:ascii="Times New Roman" w:eastAsia="Times New Roman" w:hAnsi="Times New Roman" w:cs="Times New Roman"/>
          <w:sz w:val="24"/>
          <w:szCs w:val="24"/>
        </w:rPr>
        <w:t xml:space="preserve">eath is crucial to control cell numbers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{"citationID":"voE1wB6H","properties":{"formattedCitation":"(Mustafa et al., 2024)","plainCitation":"(Mustafa et al., 2024)","noteIndex":0},"citationItems":[{"id":177,"uris":["http://zotero.org/users/15444919/items/TELDHZ2L"],"itemData":{"id":177,"type":"article-journal","abstract":"Cell survival and death are intricately governed by apoptosis, a meticulously controlled programmed cell death. Apoptosis is vital in facilitating embryonic development and maintaining tissue homeostasis and immunological functioning. It is a complex interplay of intrinsic and extrinsic signaling pathways that ultimately converges on executing the apoptotic program. The extrinsic pathway is initiated by the binding of death ligands such as TNF-α and Fas to their respective receptors on the cell surface. In contrast, the intrinsic pathway leads to increased permeability of the outer mitochondrial membrane and the release of apoptogenic factors like cytochrome c, which is regulated by the Bcl-2 family of proteins. Once activated, these pathways lead to a cascade of biochemical events, including caspase activation, DNA fragmentation, and the dismantling of cellular components. Dysregulation of apoptosis is implicated in various disorders, such as cancer, autoimmune diseases, neurodegenerative disorders, and cardiovascular diseases. This article focuses on elucidating the molecular mechanisms underlying apoptosis regulation, to develop targeted therapeutic strategies. Modulating apoptotic pathways holds immense potential in cancer treatment, where promoting apoptosis in malignant cells could lead to tumor regression. This article demonstrates the therapeutic potential of targeting apoptosis, providing options for treating cancer and neurological illnesses. The safety and effectiveness of apoptosis-targeting drugs are being assessed in ongoing preclinical and clinical trials (phase I–III), opening the door for more effective therapeutic approaches and better patient outcomes.","container-title":"Cells","DOI":"10.3390/cells13221838","ISSN":"2073-4409","issue":"22","journalAbbreviation":"Cells","note":"PMID: 39594587\nPMCID: PMC11592877","page":"1838","source":"PubMed Central","title":"Apoptosis: A Comprehensive Overview of Signaling Pathways, Morphological Changes, and Physiological Significance and Therapeutic Implications","title-short":"Apoptosis","volume":"13","author":[{"family":"Mustafa","given":"Mohd"},{"family":"Ahmad","given":"Rizwan"},{"family":"Tantry","given":"Irfan Qadir"},{"family":"Ahmad","given":"Waleem"},{"family":"Siddiqui","given":"Sana"},{"family":"Alam","given":"Mudassir"},{"family":"Abbas","given":"Kashif"},{"family":"Moinuddin","given":""},{"family":"Hassan","given":"Md. Imtaiyaz"},{"family":"Habib","given":"Safia"},{"family":"Islam","given":"Sidra"}],"issued":{"date-parts":[["2024",11,6]]}}}],"schema":"https://github.com/citation-style-language/schema/raw/master/csl-citation.json"}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(Mustafa et al., 2024)</w:t>
      </w:r>
      <w:r w:rsidR="003D4B1C">
        <w:rPr>
          <w:rFonts w:ascii="Times New Roman" w:eastAsia="Times New Roman" w:hAnsi="Times New Roman" w:cs="Times New Roman"/>
          <w:sz w:val="24"/>
          <w:szCs w:val="24"/>
        </w:rPr>
        <w:fldChar w:fldCharType="end"/>
      </w:r>
      <w:r w:rsidR="001A2D4E">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Cell death can be classified based on observable morphological changes into Apoptosis and Necrosis. Morphologically, apoptosis is distinct from necrosis and both processes are independent </w:t>
      </w:r>
      <w:r w:rsidR="00A61871">
        <w:rPr>
          <w:rFonts w:ascii="Times New Roman" w:eastAsia="Times New Roman" w:hAnsi="Times New Roman" w:cs="Times New Roman"/>
          <w:sz w:val="24"/>
          <w:szCs w:val="24"/>
        </w:rPr>
        <w:t>of</w:t>
      </w:r>
      <w:r w:rsidRPr="00DA4F60">
        <w:rPr>
          <w:rFonts w:ascii="Times New Roman" w:eastAsia="Times New Roman" w:hAnsi="Times New Roman" w:cs="Times New Roman"/>
          <w:sz w:val="24"/>
          <w:szCs w:val="24"/>
        </w:rPr>
        <w:t xml:space="preserve"> each other; it is characterized by cell and nucleus shrinkage and</w:t>
      </w:r>
      <w:r w:rsidRPr="00DA4F60">
        <w:rPr>
          <w:rFonts w:ascii="Times New Roman" w:eastAsia="Times New Roman" w:hAnsi="Times New Roman" w:cs="Times New Roman"/>
          <w:sz w:val="24"/>
          <w:szCs w:val="24"/>
        </w:rPr>
        <w:t xml:space="preserve"> fragmentation, all occurring without the rupture of the cellular membrane</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{"citationID":"a8hmQw9a","properties":{"formattedCitation":"(D\\uc0\\u8217{}Arcy, 2019)","plainCitation":"(D’Arcy, 2019)","noteIndex":0},"citationItems":[{"id":286,"uris":["http://zotero.org/users/15444919/items/ZGCVDRP2"],"itemData":{"id":286,"type":"article-journal","abstract":"Cell death was once believed to be the result of one of two distinct processes, apoptosis (also known as programmed cell death) or necrosis (uncontrolled cell death); in recent years, however, several other forms of cell death have been discovered highlighting that a cell can die via a number of differing pathways. Apoptosis is characterised by a number of characteristic morphological changes in the structure of the cell, together with a number of enzyme-dependent biochemical processes. The result being the clearance of cells from the body, with minimal damage to surrounding tissues. Necrosis, however, is generally characterised to be the uncontrolled death of the cell, usually following a severe insult, resulting in spillage of the contents of the cell into surrounding tissues and subsequent damage thereof. Failure of apoptosis and the resultant accumulation of damaged cells in the body can result in various forms of cancer. An understanding of the pathways is therefore important in developing efficient chemotherapeutics. It has recently become clear that there exists a number of subtypes of apoptosis and that there is an overlap between apoptosis, necrosis and autophagy. The goal of this review is to provide a general overview of the current knowledge relating to the various forms of cell death, including apoptosis, necrosis, oncosis, pyroptosis and autophagy. This will provide researchers with a summary of the major forms of cell death and allow them to compare and contrast between them.","container-title":"Cell Biology International","DOI":"10.1002/cbin.11137","ISSN":"1095-8355","issue":"6","journalAbbreviation":"Cell Biol Int","language":"eng","note":"PMID: 30958602","page":"582-592","source":"PubMed","title":"Cell death: a review of the major forms of apoptosis, necrosis and autophagy","title-short":"Cell death","volume":"43","author":[{"family":"D'Arcy","given":"Mark S."}],"issued":{"date-parts":[["2019",6]]}}}],"schema":"https://github.com/citation-style-language/schema/raw/master/csl-citation.json"}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(D’Arcy, 2019)</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While necrosis is </w:t>
      </w:r>
      <w:r w:rsidR="00BF50F0">
        <w:rPr>
          <w:rFonts w:ascii="Times New Roman" w:eastAsia="Times New Roman" w:hAnsi="Times New Roman" w:cs="Times New Roman"/>
          <w:sz w:val="24"/>
          <w:szCs w:val="24"/>
        </w:rPr>
        <w:t>characterized</w:t>
      </w:r>
      <w:r w:rsidRPr="00DA4F60">
        <w:rPr>
          <w:rFonts w:ascii="Times New Roman" w:eastAsia="Times New Roman" w:hAnsi="Times New Roman" w:cs="Times New Roman"/>
          <w:sz w:val="24"/>
          <w:szCs w:val="24"/>
        </w:rPr>
        <w:t xml:space="preserve"> by cell </w:t>
      </w:r>
      <w:r w:rsidR="00A61871">
        <w:rPr>
          <w:rFonts w:ascii="Times New Roman" w:eastAsia="Times New Roman" w:hAnsi="Times New Roman" w:cs="Times New Roman"/>
          <w:sz w:val="24"/>
          <w:szCs w:val="24"/>
        </w:rPr>
        <w:t>swelling</w:t>
      </w:r>
      <w:r w:rsidRPr="00DA4F60">
        <w:rPr>
          <w:rFonts w:ascii="Times New Roman" w:eastAsia="Times New Roman" w:hAnsi="Times New Roman" w:cs="Times New Roman"/>
          <w:sz w:val="24"/>
          <w:szCs w:val="24"/>
        </w:rPr>
        <w:t>, membrane rupture</w:t>
      </w:r>
      <w:r w:rsidR="00A61871">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and cytoplasmic content </w:t>
      </w:r>
      <w:r w:rsidR="00A61871">
        <w:rPr>
          <w:rFonts w:ascii="Times New Roman" w:eastAsia="Times New Roman" w:hAnsi="Times New Roman" w:cs="Times New Roman"/>
          <w:sz w:val="24"/>
          <w:szCs w:val="24"/>
        </w:rPr>
        <w:t>leaking</w:t>
      </w:r>
      <w:r w:rsidRPr="00DA4F60">
        <w:rPr>
          <w:rFonts w:ascii="Times New Roman" w:eastAsia="Times New Roman" w:hAnsi="Times New Roman" w:cs="Times New Roman"/>
          <w:sz w:val="24"/>
          <w:szCs w:val="24"/>
        </w:rPr>
        <w:t xml:space="preserve"> out. This</w:t>
      </w:r>
      <w:r w:rsidRPr="00DA4F60">
        <w:rPr>
          <w:rFonts w:ascii="Times New Roman" w:eastAsia="Times New Roman" w:hAnsi="Times New Roman" w:cs="Times New Roman"/>
          <w:sz w:val="24"/>
          <w:szCs w:val="24"/>
        </w:rPr>
        <w:t xml:space="preserve"> characteristic of apoptosis helps to prevent inflammation in surrounding tissues</w:t>
      </w:r>
      <w:r w:rsidR="002B1310">
        <w:rPr>
          <w:rFonts w:ascii="Times New Roman" w:eastAsia="Times New Roman" w:hAnsi="Times New Roman" w:cs="Times New Roman"/>
          <w:sz w:val="24"/>
          <w:szCs w:val="24"/>
        </w:rPr>
        <w:t xml:space="preserve"> </w:t>
      </w:r>
      <w:r w:rsidR="002B1310" w:rsidRPr="002B1310">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{"citationID":"vwIKApA2","properties":{"formattedCitation":"(Costigan et al., 2023)","plainCitation":"(Costigan et al., 2023)","noteIndex":0},"citationItems":[{"id":334,"uris":["http://zotero.org/users/15444919/items/I3EP2679"],"itemData":{"id":334,"type":"article-journal","abstract":"Apoptosis is a mode of programmed cell death that plays important roles in tissue sculpting during development, in the maintenance of tissue homeostasis in the adult, and in the eradication of injured or infected cells during pathological processes. Numerous physiological as well as pathological stimuli trigger apoptosis, such as engagement of plasma-membrane-associated Fas, TRAIL, or TNF receptors, growth factor deprivation, hypoxia, radiation, and exposure to diverse cytotoxic drugs. Apoptosis is coordinated by members of the caspase family of cysteine proteases, which, upon activation, trigger a series of dramatic morphological and biochemical changes including retraction from the substratum, cell shrinkage, extensive and protracted plasma membrane blebbing, chromatin condensation, DNA hydrolysis, nuclear fragmentation, and proteolytic cleavage of numerous caspase substrates. These dramatic structural and biochemical alterations result not only in the controlled dismantling of the cell, but also in the rapid recognition and removal of apoptotic cells by phagocytes through the cell surface display of phagocytotic triggers such as phosphatidylserine. Necrosis, which is typically nonprogrammed or imposed upon the cell by overwhelming membrane or organelle damage, is characterized by high-amplitude cell swelling, followed by rapid plasma membrane rupture and release of cellular contents into the extracellular space. Necrosis is often provoked by infectious agents or severe departure from physiological conditions due to toxins, temperature extremes, or physical injury. However, forms of programmed necrosis (necroptosis, pyroptosis, ferroptosis) can also occur in specific circumstances. Nonprogrammed and programmed necrosis can be distinguished from apoptosis by morphological features, based on the rapid uptake of vital dyes, and through the application of specific inhibitors of key molecules associated with the latter modes of cell death. This unit describes protocols for the measurement of apoptosis and necrosis and for distinguishing apoptosis from programmed as well as conventional necrosis. © 2023 The Authors. Current Protocols published by Wiley Periodicals LLC. Basic Protocol 1: Analysis of cell morphology by phase-contrast microscopy Alternative Protocol 1: Assessment of morphological changes using eosin-methylene blue staining Alternative Protocol 2: Analysis of nuclear morphology by fluorescence microscopy Support Protocol: Preparation of cytospins Basic Protocol 2: Measurement of plasma membrane composition with annexin V and propidium iodide Basic Protocol 3: Measurement of DNA fragmentation by flow cytometry Alternative Protocol 3: Analysis of DNA fragmentation by the TUNEL assay Basic Protocol 4: Measurement of caspase activation by flow cytometry Basic Protocol 5: Discriminating between apoptosis, necrosis, necroptosis, and ferroptosis.","container-title":"Current Protocols","DOI":"10.1002/cpz1.951","ISSN":"2691-1299","issue":"12","journalAbbreviation":"Curr Protoc","language":"eng","note":"PMID: 38112058","page":"e951","source":"PubMed","title":"Discriminating Between Apoptosis, Necrosis, Necroptosis, and Ferroptosis by Microscopy and Flow Cytometry","volume":"3","author":[{"family":"Costigan","given":"Aoife"},{"family":"Hollville","given":"Emilie"},{"family":"Martin","given":"Seamus J."}],"issued":{"date-parts":[["2023",12]]}}}],"schema":"https://github.com/citation-style-language/schema/raw/master/csl-citation.json"} </w:instrText>
      </w:r>
      <w:r w:rsidR="002B1310" w:rsidRPr="002B1310">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(Costigan et al., 2023)</w:t>
      </w:r>
      <w:r w:rsidR="002B1310" w:rsidRPr="002B1310">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These processes</w:t>
      </w:r>
      <w:r w:rsidR="00A61871">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apoptosis and necrosis</w:t>
      </w:r>
      <w:r w:rsidR="00A61871">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are independent of one another, the type and intensity of stimuli determine whether a cell will undergo apoptosis or necrosis. Stimuli such as hypoxia, radiation, heat, and low to controlled doses of cytotoxic chemicals can induce apoptosis </w:t>
      </w:r>
      <w:r w:rsidR="000F0E8F" w:rsidRPr="000F0E8F">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{"citationID":"O9CXUyO1","properties":{"formattedCitation":"(Kashyap et al., 2021)","plainCitation":"(Kashyap et al., 2021)","noteIndex":0},"citationItems":[{"id":341,"uris":["http://zotero.org/users/15444919/items/SA5JPLST"],"itemData":{"id":341,"type":"chapter","abstract":"Apoptosis, also named programmed cell death, is a fundament process required for morphogenetic homeostasis during early development and in pathophysiological conditions. It is come into existence in 1972 by work of Kerr, Wyllie and Currie and later on investigated during the research on development of the C. elegans. Trigger by several stimuli, apoptosis is necessary during the embryonic development and aging as homeostatic mechanism to control the cell population and also play a key role as defense mechanism against the immune responses and elimination of damaged cells. Cancer, a genetic disease, is a growing burden on the health and economy of both developing and developed countries. Every year there is tremendously increasing in the number of new cancer cases and mortality rate. Although, there is a significant improvement have been made in biotechnological and bioinformatic fields however, the therapeutic advantages and cancer etiology is still under explored. Several studies determined the deregulation of different apoptotic components during the cancer development and progression. Apoptosis relies on activation of distinct signaling pathways that are often deregulated in cancer. Thus, exploring the single or more than one apoptotic component underlying their expression in carcinogenesis could help to track the disease progression. Current book chapter will provide the several evidences supporting the use of different apoptotic components as prognosis and prediction markers in various human cancer types.","collection-title":"Apoptosis in Health and Disease - Part A","container-title":"Advances in Protein Chemistry and Structural Biology","note":"DOI: 10.1016/bs.apcsb.2021.01.003","page":"73-120","publisher":"Academic Press","source":"ScienceDirect","title":"Chapter Four - Intrinsic and extrinsic pathways of apoptosis: Role in cancer development and prognosis","title-short":"Chapter Four - Intrinsic and extrinsic pathways of apoptosis","URL":"https://www.sciencedirect.com/science/article/pii/S1876162321000134","volume":"125","author":[{"family":"Kashyap","given":"Dharambir"},{"family":"Garg","given":"Vivek Kumar"},{"family":"Goel","given":"Neelam"}],"editor":[{"family":"Donev","given":"Rossen"}],"accessed":{"date-parts":[["2025",3,13]]},"issued":{"date-parts":[["2021",1,1]]}}}],"schema":"https://github.com/citation-style-language/schema/raw/master/csl-citation.json"} </w:instrText>
      </w:r>
      <w:r w:rsidR="000F0E8F" w:rsidRPr="000F0E8F">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(Kashyap et al., 2021)</w:t>
      </w:r>
      <w:r w:rsidR="000F0E8F" w:rsidRPr="000F0E8F">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In contrast, high or intense doses of these stimuli lead to the activation of nec</w:t>
      </w:r>
      <w:r w:rsidRPr="00DA4F60">
        <w:rPr>
          <w:rFonts w:ascii="Times New Roman" w:eastAsia="Times New Roman" w:hAnsi="Times New Roman" w:cs="Times New Roman"/>
          <w:sz w:val="24"/>
          <w:szCs w:val="24"/>
        </w:rPr>
        <w:t>rosis. Apoptosis is crucial for preventing cancer by removing damaged or potentially harmful cells</w:t>
      </w:r>
      <w:r w:rsidR="002B1310">
        <w:rPr>
          <w:rFonts w:ascii="Times New Roman" w:eastAsia="Times New Roman" w:hAnsi="Times New Roman" w:cs="Times New Roman"/>
          <w:sz w:val="24"/>
          <w:szCs w:val="24"/>
        </w:rPr>
        <w:t xml:space="preserve"> </w:t>
      </w:r>
      <w:r w:rsidR="002B1310" w:rsidRPr="002B1310">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{"citationID":"JyFsGLyI","properties":{"formattedCitation":"(Jan &amp; Chaudhry, 2019)","plainCitation":"(Jan &amp; Chaudhry, 2019)","noteIndex":0},"citationItems":[{"id":337,"uris":["http://zotero.org/users/15444919/items/XIL8KMFG"],"itemData":{"id":337,"type":"article-journal","abstract":"Various physiological processes involve appropriate tissue developmental process and homeostasis - the pathogenesis of several diseases connected with deregulatory apoptosis process. Apoptosis plays a crucial role in maintaining a balance between cell death and division, evasion of apoptosis results in the uncontrolled multiplication of cells leading to different diseases such as cancer. Currently, the development of apoptosis targeting anticancer drugs has gained much interest since cell death induced by apoptosis causes minimal inflammation. The understanding of complexities of apoptosis mechanism and how apoptosis is evolved by tumor cells to oppose cell death has focused research into the new strategies designed to induce apoptosis in cancer cells. This review focused on the underlying mechanism of apoptosis and the dysregulation of apoptosis modulators involved in the extrinsic and intrinsic apoptotic pathway, which include death receptors (DRs) proteins, cellular FLICE inhibitory proteins (c-FLIP), anti-apoptotic Bcl-2 proteins, inhibitors of apoptosis proteins (IAPs), tumor suppressor (p53) in cancer cells along with various current clinical approaches aimed to selectively induce apoptosis in cancer cells.","container-title":"Advanced Pharmaceutical Bulletin","DOI":"10.15171/apb.2019.024","ISSN":"2228-5881","issue":"2","journalAbbreviation":"Adv Pharm Bull","note":"PMID: 31380246\nPMCID: PMC6664112","page":"205-218","source":"PubMed Central","title":"Understanding Apoptosis and Apoptotic Pathways Targeted Cancer Therapeutics","volume":"9","author":[{"family":"Jan","given":"Rehmat"},{"family":"Chaudhry","given":"Gul-e-Saba"}],"issued":{"date-parts":[["2019",6]]}}}],"schema":"https://github.com/citation-style-language/schema/raw/master/csl-citation.json"} </w:instrText>
      </w:r>
      <w:r w:rsidR="002B1310" w:rsidRPr="002B1310">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(Jan &amp; Chaudhry, 2019)</w:t>
      </w:r>
      <w:r w:rsidR="002B1310" w:rsidRPr="002B1310">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However, many cancer cells develop mechanisms to evade apoptosis, allow</w:t>
      </w:r>
      <w:r w:rsidRPr="00DA4F60">
        <w:rPr>
          <w:rFonts w:ascii="Times New Roman" w:eastAsia="Times New Roman" w:hAnsi="Times New Roman" w:cs="Times New Roman"/>
          <w:sz w:val="24"/>
          <w:szCs w:val="24"/>
        </w:rPr>
        <w:t>ing them to survive and proliferate despite genetic damage or stress from treatment. Apoptosis is a key biological process that contributes to maintaining cellular homeostasis and eliminating unwanted cells</w:t>
      </w:r>
      <w:r w:rsidR="000F0E8F">
        <w:rPr>
          <w:rFonts w:ascii="Times New Roman" w:eastAsia="Times New Roman" w:hAnsi="Times New Roman" w:cs="Times New Roman"/>
          <w:sz w:val="24"/>
          <w:szCs w:val="24"/>
        </w:rPr>
        <w:t xml:space="preserve"> </w:t>
      </w:r>
      <w:r w:rsidR="000F0E8F" w:rsidRPr="000F0E8F">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{"citationID":"vnSuOLvR","properties":{"formattedCitation":"(Akhtar &amp; Bokhari, 2025)","plainCitation":"(Akhtar &amp; Bokhari, 2025)","noteIndex":0},"citationItems":[{"id":343,"uris":["http://zotero.org/users/15444919/items/U2X8V5WL"],"itemData":{"id":343,"type":"chapter","abstract":"First identified in the 1970s, apoptosis was considered parallel to mitosis. Many years later, apoptosis is defined as the ATP-dependent, enzyme-mediated, genetically programmed death of cells that are either no longer required or pose a threat to the organism. Apoptosis results when the cytoskeleton (by proteases) and DNA (by endonucleases) break down through several pathways that are homeostatic or pathological. The process maintains homeostasis when cells compromise the organism's survival, but apoptosis does not occur at the appropriate rate or in the correct sequence when the process is no longer regulated. Caspases mediate the process through the downstream effects of the upstream activation by intrinsic and extrinsic pathways, either working separately or simultaneously.  This topic highlights the physiological process of apoptosis from the cellular to the systemic level, with clinical correlations to pathological conditions, incorporating current evidence-based literature. The mechanisms of apoptosis are differentiated from necroptosis, pyroptosis, and ferroptosis. In the past few decades, extensive research studies have continued to elucidate the role of apoptosis in regulating cell death and its implications for many recognized medical conditions.","call-number":"NBK499821","container-title":"StatPearls","event-place":"Treasure Island (FL)","language":"eng","license":"Copyright © 2025, StatPearls Publishing LLC.","note":"PMID: 29762996","publisher":"StatPearls Publishing","publisher-place":"Treasure Island (FL)","source":"PubMed","title":"Apoptosis","URL":"http://www.ncbi.nlm.nih.gov/books/NBK499821/","author":[{"family":"Akhtar","given":"Faisal"},{"family":"Bokhari","given":"Syed Rizwan A."}],"accessed":{"date-parts":[["2025",3,13]]},"issued":{"date-parts":[["2025"]]}}}],"schema":"https://github.com/citation-style-language/schema/raw/master/csl-citation.json"} </w:instrText>
      </w:r>
      <w:r w:rsidR="000F0E8F" w:rsidRPr="000F0E8F">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(Akhtar &amp; Bokhari, 2025)</w:t>
      </w:r>
      <w:r w:rsidR="000F0E8F" w:rsidRPr="000F0E8F">
        <w:rPr>
          <w:rFonts w:ascii="Times New Roman" w:eastAsia="Times New Roman" w:hAnsi="Times New Roman" w:cs="Times New Roman"/>
          <w:sz w:val="24"/>
          <w:szCs w:val="24"/>
          <w:highlight w:val="yellow"/>
        </w:rPr>
        <w:fldChar w:fldCharType="end"/>
      </w:r>
      <w:r w:rsidR="000F0E8F" w:rsidRPr="000F0E8F">
        <w:rPr>
          <w:rFonts w:ascii="Times New Roman" w:eastAsia="Times New Roman" w:hAnsi="Times New Roman" w:cs="Times New Roman"/>
          <w:sz w:val="24"/>
          <w:szCs w:val="24"/>
          <w:highlight w:val="yellow"/>
        </w:rPr>
        <w:t>.</w:t>
      </w:r>
    </w:p>
    <w:p w14:paraId="00000020" w14:textId="0B72B8F5" w:rsidR="00C14A47" w:rsidRPr="00DA4F60" w:rsidRDefault="00BF4936"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Various research has shown that alterations in apoptotic pathways are common in the development of cancer. T</w:t>
      </w:r>
      <w:r w:rsidRPr="00DA4F60">
        <w:rPr>
          <w:rFonts w:ascii="Times New Roman" w:eastAsia="Times New Roman" w:hAnsi="Times New Roman" w:cs="Times New Roman"/>
          <w:sz w:val="24"/>
          <w:szCs w:val="24"/>
        </w:rPr>
        <w:t>hese alterations can result in resistance to various treatment strategies that aim to induce apoptosis in cancer cells</w:t>
      </w:r>
      <w:r w:rsidR="000F0E8F">
        <w:rPr>
          <w:rFonts w:ascii="Times New Roman" w:eastAsia="Times New Roman" w:hAnsi="Times New Roman" w:cs="Times New Roman"/>
          <w:sz w:val="24"/>
          <w:szCs w:val="24"/>
        </w:rPr>
        <w:t xml:space="preserve"> </w:t>
      </w:r>
      <w:r w:rsidR="000F0E8F" w:rsidRPr="000F0E8F">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{"citationID":"CRjywDI6","properties":{"formattedCitation":"(Vesela et al., 2022)","plainCitation":"(Vesela et al., 2022)","noteIndex":0},"citationItems":[{"id":350,"uris":["http://zotero.org/users/15444919/items/9KZULGG9"],"itemData":{"id":350,"type":"article-journal","abstract":"Caspase-8 is the key component of the receptor-mediated (extrinsic) apoptotic pathway. Immunological localization of active caspase-8 showed its presence in osteoblasts, including non-apoptotic ones. Further in vivo exploration of caspase-8 functions in the bone is hindered by the fact that the caspase-8 knock-out is lethal prenatally. Examinations were thus performed using individual cell populations in vitro. In this study, caspase-8 was eliminated by the CRISPR/cas9 technology in MC3T3-E1 cells, the most common in vitro model of osteoblastic populations. The aim of the work was to specify the consequences of caspase-8 deficiency on non-apoptotic pathways. The impact on the osteogenic gene expression of the osteoblastic cells along with alterations in proliferation, caspase cascades and rapamycin induced autophagy response were evaluated. Osteogenic differentiation of caspase-8 deficient cells was inhibited as these cells displayed a decreased level of mineralization and lower activity of alkaline phosphatase. Among affected osteogenic genes, based on the PCR Array, major changes were observed for Ctsk, as down-regulated, and Gdf10, as up-regulated. Other significantly down-regulated genes included those coding osteocalcin, bone morphogenetic proteins (-3, -4 and -7), collagens (-1a1, -14a1) or Phex. The formation of autophagosomes was not altered in rapamycin-treated caspase-8 deficient cells, but expression of some autophagy-related genes, including Tnfsf10, Cxcr4, Dapk1 and Igf1, was significantly downregulated. These data provide new insight into the effects of caspase-8 on non-apoptotic osteogenic pathways.","container-title":"Frontiers in Cell and Developmental Biology","DOI":"10.3389/fcell.2022.794407","ISSN":"2296-634X","journalAbbreviation":"Front Cell Dev Biol","language":"eng","note":"PMID: 35372363\nPMCID: PMC8964645","page":"794407","source":"PubMed","title":"Caspase-8 Deficient Osteoblastic Cells Display Alterations in Non-Apoptotic Pathways","volume":"10","author":[{"family":"Vesela","given":"Barbora"},{"family":"Killinger","given":"Michael"},{"family":"Rihova","given":"Kamila"},{"family":"Benes","given":"Petr"},{"family":"Svandová","given":"Eva"},{"family":"Kratochvilová","given":"Adela"},{"family":"Trcka","given":"Filip"},{"family":"Kleparnik","given":"Karel"},{"family":"Matalova","given":"Eva"}],"issued":{"date-parts":[["2022"]]}}}],"schema":"https://github.com/citation-style-language/schema/raw/master/csl-citation.json"} </w:instrText>
      </w:r>
      <w:r w:rsidR="000F0E8F" w:rsidRPr="000F0E8F">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(Vesela et al., 2022)</w:t>
      </w:r>
      <w:r w:rsidR="000F0E8F" w:rsidRPr="000F0E8F">
        <w:rPr>
          <w:rFonts w:ascii="Times New Roman" w:eastAsia="Times New Roman" w:hAnsi="Times New Roman" w:cs="Times New Roman"/>
          <w:sz w:val="24"/>
          <w:szCs w:val="24"/>
          <w:highlight w:val="yellow"/>
        </w:rPr>
        <w:fldChar w:fldCharType="end"/>
      </w:r>
      <w:r w:rsidRPr="000F0E8F">
        <w:rPr>
          <w:rFonts w:ascii="Times New Roman" w:eastAsia="Times New Roman" w:hAnsi="Times New Roman" w:cs="Times New Roman"/>
          <w:sz w:val="24"/>
          <w:szCs w:val="24"/>
          <w:highlight w:val="yellow"/>
        </w:rPr>
        <w:t>.</w:t>
      </w:r>
      <w:r w:rsidRPr="00DA4F60">
        <w:rPr>
          <w:rFonts w:ascii="Times New Roman" w:eastAsia="Times New Roman" w:hAnsi="Times New Roman" w:cs="Times New Roman"/>
          <w:sz w:val="24"/>
          <w:szCs w:val="24"/>
        </w:rPr>
        <w:t xml:space="preserve"> Understanding these pathways is essential for developing effective therapies, currently, numerous strategies have been created to target apoptosis in cancer cells, including the use of small-molecule compounds that either promote apoptosis or restore the </w:t>
      </w:r>
      <w:r w:rsidRPr="00DA4F60">
        <w:rPr>
          <w:rFonts w:ascii="Times New Roman" w:eastAsia="Times New Roman" w:hAnsi="Times New Roman" w:cs="Times New Roman"/>
          <w:sz w:val="24"/>
          <w:szCs w:val="24"/>
        </w:rPr>
        <w:t>often-disrupted apoptotic pathways in cancer</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{"citationID":"tzbpjjhI","properties":{"formattedCitation":"(Carneiro &amp; El-Deiry, 2020)","plainCitation":"(Carneiro &amp; El-Deiry, 2020)","noteIndex":0},"citationItems":[{"id":155,"uris":["http://zotero.org/users/15444919/items/K82YFRXX"],"itemData":{"id":155,"type":"article-journal","abstract":"Effective elimination of cancer cells by programmed cell death or apoptosis has been a mainstay and goal of clinical cancer therapy for over 3 decades. Clinical translation of effective proapoptotic agents includes drug discovery, bioavailability and stability, tumor penetration, acute or chronic normal tissue toxicity, drug interactions, off-target effects, tumor heterogeneity and evolution with emergence of resistant clones. The pathways of apoptosis include cell intrinsic and extrinsic processes triggered by cellular stress, DNA damage, and immune surveillance mechanisms. While tumor cell death can lead to therapy response, the selection, growth and dissemination of therapyresistant cells makes tumors lethal, leading to patient mortality. We focus on apoptosis pathways, signaling pathways that impact on them as well as molecular targets, strategies, therapeutics in clinical translation and known resistance mechanisms.","container-title":"Nature Reviews Clinical Oncology","DOI":"10.1038/s41571-020-0341-y","ISSN":"1759-4774, 1759-4782","issue":"7","journalAbbreviation":"Nat Rev Clin Oncol","language":"en","page":"395-417","source":"DOI.org (Crossref)","title":"Targeting apoptosis in cancer therapy","volume":"17","author":[{"family":"Carneiro","given":"Benedito A."},{"family":"El-Deiry","given":"Wafik S."}],"issued":{"date-parts":[["2020",7]]}}}],"schema":"https://github.com/citation-style-language/schema/raw/master/csl-citation.json"}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(Carneiro &amp; El-Deiry, 2020)</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w:t>
      </w:r>
    </w:p>
    <w:p w14:paraId="00000021" w14:textId="77777777" w:rsidR="00C14A47" w:rsidRPr="00DA4F60" w:rsidRDefault="00BF4936"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lastRenderedPageBreak/>
        <w:t>2.</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Molecular Mechanisms of Apoptosis in Cancer Cells</w:t>
      </w:r>
    </w:p>
    <w:p w14:paraId="409E1FEA" w14:textId="77777777" w:rsidR="001A2D4E" w:rsidRDefault="00BF4936" w:rsidP="001A2D4E">
      <w:pPr>
        <w:spacing w:after="0"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Programmed cell death</w:t>
      </w:r>
      <w:r w:rsidR="001A2D4E">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also known as apoptosis, is a tightly regulated process essential for maintaining cellular homeostasis and el</w:t>
      </w:r>
      <w:r w:rsidRPr="00DA4F60">
        <w:rPr>
          <w:rFonts w:ascii="Times New Roman" w:eastAsia="Times New Roman" w:hAnsi="Times New Roman" w:cs="Times New Roman"/>
          <w:sz w:val="24"/>
          <w:szCs w:val="24"/>
        </w:rPr>
        <w:t>iminating harmful or unwanted cells</w:t>
      </w:r>
      <w:r w:rsidR="0064114F">
        <w:rPr>
          <w:rFonts w:ascii="Times New Roman" w:eastAsia="Times New Roman" w:hAnsi="Times New Roman" w:cs="Times New Roman"/>
          <w:sz w:val="24"/>
          <w:szCs w:val="24"/>
        </w:rPr>
        <w:t xml:space="preserve"> </w:t>
      </w:r>
      <w:r w:rsidR="0064114F" w:rsidRPr="0064114F">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{"citationID":"i1frXweQ","properties":{"formattedCitation":"(Qian et al., 2024)","plainCitation":"(Qian et al., 2024)","noteIndex":0},"citationItems":[{"id":354,"uris":["http://zotero.org/users/15444919/items/CQKMQ3J4"],"itemData":{"id":354,"type":"article-journal","abstract":"Programmed cell death represents a precisely regulated and active cellular demise, governed by a complex network of specific genes and proteins. The identification of multiple forms of programmed cell death has significantly advanced the understanding of its intricate mechanisms, as demonstrated in recent studies. A thorough grasp of these processes is essential across various biological disciplines and in the study of diseases. Nonetheless, despite notable progress, the exploration of the relationship between programmed cell death and disease, as well as its clinical application, are still in a nascent stage. Therefore, further exploration of programmed cell death and the development of corresponding therapeutic methods and strategies holds substantial potential. Our review provides a detailed examination of the primary mechanisms behind apoptosis, autophagy, necroptosis, pyroptosis, and ferroptosis. Following this, the discussion delves into biological functions and diseases associated dysregulated programmed cell death. Finally, we highlight existing and potential therapeutic targets and strategies focused on cancers and neurodegenerative diseases. This review aims to summarize the latest insights on programmed cell death from mechanisms to diseases and provides a more reliable approach for clinical transformation., Programmed cell death is a type of autonomic and orderly cell death mode controlled by genes. We reviewed molecular mechanisms of five programmed cell death, including apoptosis, autophagy, pyroptosis, necroptosis, and ferroptosis. Programmed cell death is widely involved in the normal physiological process of the organism. We described the normal biological functions of programmed cell death from four perspectives like development and tissue homeostasis, immune regulation, response to cellular stress, and elimination of damaged or infected cells. Conversely, dysregulated PCD is implicated in the occurrence and progression of numerous diseases. Relevant progressions of programmed cell death observed in cancer, neurodegenerative diseases, and autoimmune disorders were summarized. Based on these, key proteins in each pathway thus become important regulatory targets. PCD‐based therapies, including small molecule drugs, cannot be ignored.","container-title":"MedComm","DOI":"10.1002/mco2.70024","ISSN":"2688-2663","issue":"12","journalAbbreviation":"MedComm (2020)","note":"PMID: 39619229\nPMCID: PMC11604731","page":"e70024","source":"PubMed Central","title":"Programmed cell death: molecular mechanisms, biological functions, diseases, and therapeutic targets","title-short":"Programmed cell death","volume":"5","author":[{"family":"Qian","given":"Shen'er"},{"family":"Long","given":"Yao"},{"family":"Tan","given":"Guolin"},{"family":"Li","given":"Xiaoguang"},{"family":"Xiang","given":"Bo"},{"family":"Tao","given":"Yongguang"},{"family":"Xie","given":"Zuozhong"},{"family":"Zhang","given":"Xiaowei"}],"issued":{"date-parts":[["2024",11,28]]}}}],"schema":"https://github.com/citation-style-language/schema/raw/master/csl-citation.json"} </w:instrText>
      </w:r>
      <w:r w:rsidR="0064114F" w:rsidRPr="0064114F">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(Qian et al., 2024)</w:t>
      </w:r>
      <w:r w:rsidR="0064114F" w:rsidRPr="0064114F">
        <w:rPr>
          <w:rFonts w:ascii="Times New Roman" w:eastAsia="Times New Roman" w:hAnsi="Times New Roman" w:cs="Times New Roman"/>
          <w:sz w:val="24"/>
          <w:szCs w:val="24"/>
          <w:highlight w:val="yellow"/>
        </w:rPr>
        <w:fldChar w:fldCharType="end"/>
      </w:r>
      <w:r w:rsidRPr="0064114F">
        <w:rPr>
          <w:rFonts w:ascii="Times New Roman" w:eastAsia="Times New Roman" w:hAnsi="Times New Roman" w:cs="Times New Roman"/>
          <w:sz w:val="24"/>
          <w:szCs w:val="24"/>
          <w:highlight w:val="yellow"/>
        </w:rPr>
        <w:t>.</w:t>
      </w:r>
      <w:r w:rsidRPr="00DA4F60">
        <w:rPr>
          <w:rFonts w:ascii="Times New Roman" w:eastAsia="Times New Roman" w:hAnsi="Times New Roman" w:cs="Times New Roman"/>
          <w:sz w:val="24"/>
          <w:szCs w:val="24"/>
        </w:rPr>
        <w:t xml:space="preserve"> Two main pathways that regulate apoptosis are the intrinsic pathway (IP) and the extrinsic pathway (EP)</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{"citationID":"JG0pqGiv","properties":{"formattedCitation":"(Saleem, 2021)","plainCitation":"(Saleem, 2021)","noteIndex":0},"citationItems":[{"id":298,"uris":["http://zotero.org/users/15444919/items/UL2ZN74W"],"itemData":{"id":298,"type":"article-journal","abstract":"The progression of neurodegenerative disorders is mainly characterized by immense neuron loss and death of glial cells. The mechanisms which are active and regulate neuronal cell death are namely necrosis, necroptosis, autophagy and apoptosis. These death paradigms are governed by a set of molecular determinants that are pivotal in their performance and also exhibit remarkable overlapping functional pathways. A large number of such molecules have been demonstrated to be involved in the switching of death paradigms in various neurodegenerative diseases. In this review, we discuss various molecules and the concurrent crosstalk mediated by them. According to our present knowledge and research in neurodegeneration, molecules like Atg1, Beclin1, LC3, p53, TRB3, RIPK1 play switching roles toggling from one death mechanism to another. In addition, the review also focuses on the exorbitant number of newer molecules with the potential to cross communicate between death pathways and create a complex cell death scenario. This review highlights recent studies on the inter-dependent regulation of cell death paradigms in neurodegeneration, mediated by cross-communication between pathways. This will help in identifying potential targets for therapeutic intervention in neurodegenerative diseases.","container-title":"Neuroscience","DOI":"10.1016/j.neuroscience.2021.06.023","ISSN":"1873-7544","journalAbbreviation":"Neuroscience","language":"eng","note":"PMID: 34166763","page":"162-174","source":"PubMed","title":"Apoptosis, Autophagy, Necrosis and Their Multi Galore Crosstalk in Neurodegeneration","volume":"469","author":[{"family":"Saleem","given":"Suraiya"}],"issued":{"date-parts":[["2021",8,10]]}}}],"schema":"https://github.com/citation-style-language/schema/raw/master/csl-citation.json"}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(Saleem, 2021)</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Signs generated within stressed cells, activate the intrinsic pathway and depend on the mitochondria’s intermembrane space to release proteins such as cytochrome c. The extrinsic pa</w:t>
      </w:r>
      <w:r w:rsidRPr="00DA4F60">
        <w:rPr>
          <w:rFonts w:ascii="Times New Roman" w:eastAsia="Times New Roman" w:hAnsi="Times New Roman" w:cs="Times New Roman"/>
          <w:sz w:val="24"/>
          <w:szCs w:val="24"/>
        </w:rPr>
        <w:t>thway is triggered when a ligand binds to cell surface receptors, leading to the formation of a death-inducing signaling complex (DISC)</w:t>
      </w:r>
      <w:r w:rsidR="0064114F">
        <w:rPr>
          <w:rFonts w:ascii="Times New Roman" w:eastAsia="Times New Roman" w:hAnsi="Times New Roman" w:cs="Times New Roman"/>
          <w:sz w:val="24"/>
          <w:szCs w:val="24"/>
        </w:rPr>
        <w:t xml:space="preserve"> </w:t>
      </w:r>
      <w:r w:rsidR="0064114F" w:rsidRPr="0064114F">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{"citationID":"n2CDWyfT","properties":{"formattedCitation":"(Newton et al., 2024)","plainCitation":"(Newton et al., 2024)","noteIndex":0},"citationItems":[{"id":364,"uris":["http://zotero.org/users/15444919/items/BUPPRIEC"],"itemData":{"id":364,"type":"article-journal","container-title":"Cell","DOI":"10.1016/j.cell.2023.11.044","ISSN":"0092-8674, 1097-4172","issue":"2","journalAbbreviation":"Cell","language":"English","note":"publisher: Elsevier\nPMID: 38242081","page":"235-256","source":"www.cell.com","title":"Cell death","volume":"187","author":[{"family":"Newton","given":"Kim"},{"family":"Strasser","given":"Andreas"},{"family":"Kayagaki","given":"Nobuhiko"},{"family":"Dixit","given":"Vishva M."}],"issued":{"date-parts":[["2024",1,18]]}}}],"schema":"https://github.com/citation-style-language/schema/raw/master/csl-citation.json"} </w:instrText>
      </w:r>
      <w:r w:rsidR="0064114F" w:rsidRPr="0064114F">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(Newton et al., 2024)</w:t>
      </w:r>
      <w:r w:rsidR="0064114F" w:rsidRPr="0064114F">
        <w:rPr>
          <w:rFonts w:ascii="Times New Roman" w:eastAsia="Times New Roman" w:hAnsi="Times New Roman" w:cs="Times New Roman"/>
          <w:sz w:val="24"/>
          <w:szCs w:val="24"/>
          <w:highlight w:val="yellow"/>
        </w:rPr>
        <w:fldChar w:fldCharType="end"/>
      </w:r>
      <w:r w:rsidRPr="0064114F">
        <w:rPr>
          <w:rFonts w:ascii="Times New Roman" w:eastAsia="Times New Roman" w:hAnsi="Times New Roman" w:cs="Times New Roman"/>
          <w:sz w:val="24"/>
          <w:szCs w:val="24"/>
          <w:highlight w:val="yellow"/>
        </w:rPr>
        <w:t>.</w:t>
      </w:r>
      <w:r w:rsidRPr="00DA4F60">
        <w:rPr>
          <w:rFonts w:ascii="Times New Roman" w:eastAsia="Times New Roman" w:hAnsi="Times New Roman" w:cs="Times New Roman"/>
          <w:sz w:val="24"/>
          <w:szCs w:val="24"/>
        </w:rPr>
        <w:t xml:space="preserve"> Both pathways IP and EP converge at the activation of caspase-3 and caspase-7</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{"citationID":"5hAIzdLn","properties":{"formattedCitation":"(Mosadegh et al., 2025a)","plainCitation":"(Mosadegh et al., 2025a)","noteIndex":0},"citationItems":[{"id":203,"uris":["http://zotero.org/users/15444919/items/EBDP8EIS"],"itemData":{"id":203,"type":"article-journal","abstract":"Apoptosis, or programmed cell death, is a fundamental biological process essential for maintaining tissue homeostasis. Dysregulation of apoptosis is implicated in a variety of diseases, including cancer, neurodegenerative disorders, and autoimmune conditions. This review provides an in-depth insight into the molecular mechanisms and signaling pathways that regulate apoptosis, highlighting both intrinsic and extrinsic pathways. Additionally, the review explains the tumor microenvironment’s influence on apoptosis and its implications for cancer therapy resistance. Understanding the complex interplay between apoptotic signaling and cellular responses is crucial for developing targeted therapies that can effectively manage diseases associated with apoptosis dysregulation. The effects of conventional therapeutics and alternative substances with natural sources such as herbal compounds, alongside vitamins, minerals, and trace elements on cellular homeostasis and disease pathogenesis have been thoroughly investigated. Moreover, recent advances in therapeutic strategies aimed at modulating apoptosis are discussed, with a focus on novel interventions such as nutrition bio shield dietary supplement. These emerging approaches offer potential benefits beyond conventional treatments by selectively targeting apoptotic pathways to inhibit cancer progression and metastasis. By integrating insights from recent studies, this review aims to enhance our understanding of apoptosis and guide future research in developing innovative therapeutic approaches.","container-title":"Cancer Investigation","DOI":"10.1080/07357907.2024.2445528","ISSN":"0735-7907","issue":"1","note":"publisher: Taylor &amp; Francis\n_eprint: https://doi.org/10.1080/07357907.2024.2445528\nPMID: 39760426","page":"33-58","source":"Taylor and Francis+NEJM","title":"A Comprehensive Insight into Apoptosis: Molecular Mechanisms, Signaling Pathways, and Modulating Therapeutics","title-short":"A Comprehensive Insight into Apoptosis","volume":"43","author":[{"family":"Mosadegh","given":"Mehrdad"},{"family":"Noori Goodarzi","given":"Narjes"},{"family":"Erfani","given":"Yousef"}],"issued":{"date-parts":[["2025",1,2]]}}}],"schema":"https://github.com/citation-style-language/schema/raw/master/csl-citation.json"}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(Mosadegh et al., 2025a)</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Dysregulation of these apoptotic pathways is frequently observed in cancer, which allows ca</w:t>
      </w:r>
      <w:r w:rsidRPr="00DA4F60">
        <w:rPr>
          <w:rFonts w:ascii="Times New Roman" w:eastAsia="Times New Roman" w:hAnsi="Times New Roman" w:cs="Times New Roman"/>
          <w:sz w:val="24"/>
          <w:szCs w:val="24"/>
        </w:rPr>
        <w:t>ncerous cells to evade cell death and promotes uncontrolled growth. Understanding the molecular mechanisms underlying apoptosis is crucial for developing tailored treatment approaches</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{"citationID":"YXDxhf45","properties":{"formattedCitation":"(Jan &amp; Chaudhry, 2019)","plainCitation":"(Jan &amp; Chaudhry, 2019)","noteIndex":0},"citationItems":[{"id":337,"uris":["http://zotero.org/users/15444919/items/XIL8KMFG"],"itemData":{"id":337,"type":"article-journal","abstract":"Various physiological processes involve appropriate tissue developmental process and homeostasis - the pathogenesis of several diseases connected with deregulatory apoptosis process. Apoptosis plays a crucial role in maintaining a balance between cell death and division, evasion of apoptosis results in the uncontrolled multiplication of cells leading to different diseases such as cancer. Currently, the development of apoptosis targeting anticancer drugs has gained much interest since cell death induced by apoptosis causes minimal inflammation. The understanding of complexities of apoptosis mechanism and how apoptosis is evolved by tumor cells to oppose cell death has focused research into the new strategies designed to induce apoptosis in cancer cells. This review focused on the underlying mechanism of apoptosis and the dysregulation of apoptosis modulators involved in the extrinsic and intrinsic apoptotic pathway, which include death receptors (DRs) proteins, cellular FLICE inhibitory proteins (c-FLIP), anti-apoptotic Bcl-2 proteins, inhibitors of apoptosis proteins (IAPs), tumor suppressor (p53) in cancer cells along with various current clinical approaches aimed to selectively induce apoptosis in cancer cells.","container-title":"Advanced Pharmaceutical Bulletin","DOI":"10.15171/apb.2019.024","ISSN":"2228-5881","issue":"2","journalAbbreviation":"Adv Pharm Bull","note":"PMID: 31380246\nPMCID: PMC6664112","page":"205-218","source":"PubMed Central","title":"Understanding Apoptosis and Apoptotic Pathways Targeted Cancer Therapeutics","volume":"9","author":[{"family":"Jan","given":"Rehmat"},{"family":"Chaudhry","given":"Gul-e-Saba"}],"issued":{"date-parts":[["2019",6]]}}}],"schema":"https://github.com/citation-style-language/schema/raw/master/csl-citation.json"}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(Jan &amp; Chaudhry, 2019)</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w:t>
      </w:r>
    </w:p>
    <w:p w14:paraId="00000023" w14:textId="30BF9404" w:rsidR="00C14A47" w:rsidRPr="00DA4F60" w:rsidRDefault="00E2213F" w:rsidP="001A2D4E">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 </w:t>
      </w:r>
      <w:r w:rsidR="00E9533F"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noProof/>
          <w:sz w:val="24"/>
          <w:szCs w:val="24"/>
        </w:rPr>
        <w:drawing>
          <wp:inline distT="0" distB="0" distL="0" distR="0" wp14:anchorId="21521765" wp14:editId="031DF2E3">
            <wp:extent cx="5783580" cy="4024630"/>
            <wp:effectExtent l="0" t="0" r="7620" b="0"/>
            <wp:docPr id="1857856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6968" name="Picture 1857856968"/>
                    <pic:cNvPicPr/>
                  </pic:nvPicPr>
                  <pic:blipFill>
                    <a:blip r:embed="rId8">
                      <a:extLst>
                        <a:ext uri="{28A0092B-C50C-407E-A947-70E740481C1C}">
                          <a14:useLocalDpi xmlns:a14="http://schemas.microsoft.com/office/drawing/2010/main" val="0"/>
                        </a:ext>
                      </a:extLst>
                    </a:blip>
                    <a:stretch>
                      <a:fillRect/>
                    </a:stretch>
                  </pic:blipFill>
                  <pic:spPr>
                    <a:xfrm>
                      <a:off x="0" y="0"/>
                      <a:ext cx="5829730" cy="4056744"/>
                    </a:xfrm>
                    <a:prstGeom prst="rect">
                      <a:avLst/>
                    </a:prstGeom>
                  </pic:spPr>
                </pic:pic>
              </a:graphicData>
            </a:graphic>
          </wp:inline>
        </w:drawing>
      </w:r>
    </w:p>
    <w:p w14:paraId="2272F555" w14:textId="359E6BF4" w:rsidR="00E2213F" w:rsidRPr="00DA4F60" w:rsidRDefault="00E9533F" w:rsidP="00E9533F">
      <w:pPr>
        <w:spacing w:line="240" w:lineRule="auto"/>
        <w:ind w:right="-46"/>
        <w:jc w:val="both"/>
        <w:rPr>
          <w:rFonts w:ascii="Times New Roman" w:hAnsi="Times New Roman" w:cs="Times New Roman"/>
          <w:sz w:val="24"/>
          <w:szCs w:val="24"/>
        </w:rPr>
      </w:pPr>
      <w:r w:rsidRPr="00DA4F60">
        <w:rPr>
          <w:rFonts w:ascii="Times New Roman" w:hAnsi="Times New Roman" w:cs="Times New Roman"/>
          <w:b/>
          <w:bCs/>
          <w:sz w:val="20"/>
          <w:szCs w:val="20"/>
        </w:rPr>
        <w:t>Fig</w:t>
      </w:r>
      <w:r w:rsidR="001A2D4E">
        <w:rPr>
          <w:rFonts w:ascii="Times New Roman" w:hAnsi="Times New Roman" w:cs="Times New Roman"/>
          <w:b/>
          <w:bCs/>
          <w:sz w:val="20"/>
          <w:szCs w:val="20"/>
        </w:rPr>
        <w:t>ure</w:t>
      </w:r>
      <w:r w:rsidRPr="00DA4F60">
        <w:rPr>
          <w:rFonts w:ascii="Times New Roman" w:hAnsi="Times New Roman" w:cs="Times New Roman"/>
          <w:b/>
          <w:bCs/>
          <w:sz w:val="20"/>
          <w:szCs w:val="20"/>
        </w:rPr>
        <w:t xml:space="preserve"> 1. </w:t>
      </w:r>
      <w:r w:rsidRPr="00DA4F60">
        <w:rPr>
          <w:rFonts w:ascii="Times New Roman" w:hAnsi="Times New Roman" w:cs="Times New Roman"/>
          <w:sz w:val="20"/>
          <w:szCs w:val="20"/>
        </w:rPr>
        <w:t>Representation of molecular mechanism of intrinsic and extrinsic pathways of programmed cell death. Both these pathways depend on specific signals to initiate a cascade of molecular events, thereby activating initiator caspases, which ultimately leads to the activation of executioner caspase-3 and, representation of IAPs and BCL-2 protein to inhibit apoptotic pathways</w:t>
      </w:r>
      <w:r w:rsidRPr="00DA4F60">
        <w:rPr>
          <w:rFonts w:ascii="Times New Roman" w:hAnsi="Times New Roman" w:cs="Times New Roman"/>
          <w:sz w:val="24"/>
          <w:szCs w:val="24"/>
        </w:rPr>
        <w:t>.</w:t>
      </w:r>
      <w:r w:rsidR="00501EAB" w:rsidRPr="00DA4F60">
        <w:rPr>
          <w:rFonts w:ascii="Times New Roman" w:hAnsi="Times New Roman" w:cs="Times New Roman"/>
          <w:sz w:val="24"/>
          <w:szCs w:val="24"/>
        </w:rPr>
        <w:t xml:space="preserve"> </w:t>
      </w:r>
    </w:p>
    <w:p w14:paraId="00000024" w14:textId="77777777" w:rsidR="00C14A47" w:rsidRPr="00DA4F60" w:rsidRDefault="00BF4936" w:rsidP="0031131F">
      <w:pPr>
        <w:numPr>
          <w:ilvl w:val="1"/>
          <w:numId w:val="1"/>
        </w:numPr>
        <w:pBdr>
          <w:top w:val="nil"/>
          <w:left w:val="nil"/>
          <w:bottom w:val="nil"/>
          <w:right w:val="nil"/>
          <w:between w:val="nil"/>
        </w:pBdr>
        <w:spacing w:line="360" w:lineRule="auto"/>
        <w:ind w:right="-46"/>
        <w:jc w:val="both"/>
        <w:rPr>
          <w:rFonts w:ascii="Times New Roman" w:eastAsia="Times New Roman" w:hAnsi="Times New Roman" w:cs="Times New Roman"/>
          <w:b/>
          <w:color w:val="000000"/>
          <w:sz w:val="24"/>
          <w:szCs w:val="24"/>
        </w:rPr>
      </w:pPr>
      <w:r w:rsidRPr="00DA4F60">
        <w:rPr>
          <w:rFonts w:ascii="Times New Roman" w:eastAsia="Times New Roman" w:hAnsi="Times New Roman" w:cs="Times New Roman"/>
          <w:b/>
          <w:color w:val="000000"/>
          <w:sz w:val="24"/>
          <w:szCs w:val="24"/>
        </w:rPr>
        <w:lastRenderedPageBreak/>
        <w:t>Intrinsic Apoptosis</w:t>
      </w:r>
    </w:p>
    <w:p w14:paraId="553F5645" w14:textId="6285C4F0" w:rsidR="002C2535" w:rsidRPr="00DA4F60" w:rsidRDefault="00BF4936" w:rsidP="001A2D4E">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The intrinsic apoptosis pathway, also known as the mitochondrial pathway, is a crucial </w:t>
      </w:r>
      <w:r w:rsidRPr="00DA4F60">
        <w:rPr>
          <w:rFonts w:ascii="Times New Roman" w:eastAsia="Times New Roman" w:hAnsi="Times New Roman" w:cs="Times New Roman"/>
          <w:sz w:val="24"/>
          <w:szCs w:val="24"/>
        </w:rPr>
        <w:t>mechanism of regulated cell death</w:t>
      </w:r>
      <w:r w:rsidR="00D51619">
        <w:rPr>
          <w:rFonts w:ascii="Times New Roman" w:eastAsia="Times New Roman" w:hAnsi="Times New Roman" w:cs="Times New Roman"/>
          <w:sz w:val="24"/>
          <w:szCs w:val="24"/>
        </w:rPr>
        <w:t xml:space="preserve"> </w:t>
      </w:r>
      <w:r w:rsidR="00551C46" w:rsidRPr="00551C46">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{"citationID":"umLGGbAl","properties":{"formattedCitation":"(Moyer et al., 2025)","plainCitation":"(Moyer et al., 2025)","noteIndex":0},"citationItems":[{"id":457,"uris":["http://zotero.org/users/15444919/items/9EPXMCDV"],"itemData":{"id":457,"type":"article-journal","abstract":"Since its inception, the study of apoptosis has been intricately linked to the field of cancer. The term apoptosis was coined more than five decades ago following its identification in both healthy tissues and malignant neoplasms. The subsequent elucidation of its molecular mechanisms has significantly enhanced our understanding of how cancer cells hijack physiological processes to evade cell death. Moreover, it has shed light on the pathways through which most anticancer therapeutics induce tumor cell death, including targeted therapy and immunotherapy. These mechanistic studies have paved the way for the development of therapeutics directly targeting either pro- or antiapoptotic proteins. Notably, the US Food and Drug Administration (FDA) approved the BCL-2 inhibitor venetoclax in 2016, with additional agents currently undergoing clinical trials. Recent research has brought to the forefront both the anti- and proinflammatory effects of individual apoptotic pathways. This underscores the ongoing imperative to deepen our comprehension of apoptosis, particularly as we navigate the evolving landscape of immunotherapy.","container-title":"Annual Review of Pathology","DOI":"10.1146/annurev-pathmechdis-051222-115023","ISSN":"1553-4014","issue":"1","journalAbbreviation":"Annu Rev Pathol","language":"eng","note":"PMID: 39854189","page":"303-328","source":"PubMed","title":"Apoptosis in Cancer Biology and Therapy","volume":"20","author":[{"family":"Moyer","given":"Allison"},{"family":"Tanaka","given":"Kosuke"},{"family":"Cheng","given":"Emily H."}],"issued":{"date-parts":[["2025",1]]}}}],"schema":"https://github.com/citation-style-language/schema/raw/master/csl-citation.json"} </w:instrText>
      </w:r>
      <w:r w:rsidR="00551C46" w:rsidRPr="00551C46">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(Moyer et al., 2025)</w:t>
      </w:r>
      <w:r w:rsidR="00551C46" w:rsidRPr="00551C46">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It plays an essential role in maintaining cellular homeostasis and is triggered by various internal signals, including UV radiation, depletion of survival factors, viral factors, DNA-damaging agents, and the activation of specific oncog</w:t>
      </w:r>
      <w:r w:rsidRPr="00DA4F60">
        <w:rPr>
          <w:rFonts w:ascii="Times New Roman" w:eastAsia="Times New Roman" w:hAnsi="Times New Roman" w:cs="Times New Roman"/>
          <w:sz w:val="24"/>
          <w:szCs w:val="24"/>
        </w:rPr>
        <w:t>enic factors. Stress signals, such as DNA damage caused by radiation, activate the tumor suppressor protein p53</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{"citationID":"DirSEPOf","properties":{"formattedCitation":"(He et al., 2024)","plainCitation":"(He et al., 2024)","noteIndex":0},"citationItems":[{"id":394,"uris":["http://zotero.org/users/15444919/items/2X3QDUNV"],"itemData":{"id":394,"type":"article-journal","abstract":"Cell death is a fundamental part of life for metazoans. To maintain the balance between cell proliferation and metabolism of human bodies, a certain number of cells need to be removed regularly. Hence, the mechanisms of cell death have been preserved during the evolution of multicellular organisms. Tumorigenesis is closely related with exceptional inhibition of cell death. Mutations or defects in cell death-related genes block the elimination of abnormal cells and enhance the resistance of malignant cells to chemotherapy. Therefore, the investigation of cell death mechanisms enables the development of drugs that directly induce tumor cell death. In the guidelines updated by the Cell Death Nomenclature Committee (NCCD) in 2018, cell death was classified into 12 types according to morphological, biochemical and functional classification, including intrinsic apoptosis, extrinsic apoptosis, mitochondrial permeability transition (MPT)-driven necrosis, necroptosis, ferroptosis, pyroptosis, PARP-1 parthanatos, entotic cell death, NETotic cell death, lysosome-dependent cell death, autophagy-dependent cell death, immunogenic cell death, cellular senescence and mitotic catastrophe. The mechanistic relationships between epigenetic controls and cell death in cancer progression were previously unclear. In this review, we will summarize the mechanisms of cell death pathways and corresponding epigenetic regulations. Also, we will explore the extensive interactions between these pathways and discuss the mechanisms of cell death in epigenetics which bring benefits to tumor therapy.","container-title":"Molecular Cancer","DOI":"10.1186/s12943-024-02172-y","ISSN":"1476-4598","issue":"1","journalAbbreviation":"Molecular Cancer","page":"267","source":"BioMed Central","title":"Mechanisms and cross-talk of regulated cell death and their epigenetic modifications in tumor progression","volume":"23","author":[{"family":"He","given":"Ruimin"},{"family":"Liu","given":"Yifan"},{"family":"Fu","given":"Weijie"},{"family":"He","given":"Xuan"},{"family":"Liu","given":"Shuang"},{"family":"Xiao","given":"Desheng"},{"family":"Tao","given":"Yongguang"}],"issued":{"date-parts":[["2024",11,29]]}}}],"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(He et al., 2024)</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w:t>
      </w:r>
      <w:r w:rsidR="00BF50F0">
        <w:rPr>
          <w:rFonts w:ascii="Times New Roman" w:eastAsia="Times New Roman" w:hAnsi="Times New Roman" w:cs="Times New Roman"/>
          <w:sz w:val="24"/>
          <w:szCs w:val="24"/>
        </w:rPr>
        <w:t>The pro- and anti-apoptotic members of the BCL-2 protein family regulate this pathway</w:t>
      </w:r>
      <w:r w:rsidR="002C2535" w:rsidRPr="00DA4F60">
        <w:rPr>
          <w:rFonts w:ascii="Times New Roman" w:eastAsia="Times New Roman" w:hAnsi="Times New Roman" w:cs="Times New Roman"/>
          <w:sz w:val="24"/>
          <w:szCs w:val="24"/>
        </w:rPr>
        <w:t xml:space="preserve">. </w:t>
      </w:r>
      <w:r w:rsidR="00F565EE" w:rsidRPr="00DA4F60">
        <w:rPr>
          <w:rFonts w:ascii="Times New Roman" w:eastAsia="Times New Roman" w:hAnsi="Times New Roman" w:cs="Times New Roman"/>
          <w:sz w:val="24"/>
          <w:szCs w:val="24"/>
        </w:rPr>
        <w:t>A</w:t>
      </w:r>
      <w:r w:rsidR="002C2535" w:rsidRPr="00DA4F60">
        <w:rPr>
          <w:rFonts w:ascii="Times New Roman" w:eastAsia="Times New Roman" w:hAnsi="Times New Roman" w:cs="Times New Roman"/>
          <w:sz w:val="24"/>
          <w:szCs w:val="24"/>
        </w:rPr>
        <w:t>nti-apoptotic proteins are inhibited by pro-apoptotic proteins, which are divided into activators and sensitizers</w:t>
      </w:r>
      <w:r w:rsidR="00D809B2">
        <w:rPr>
          <w:rFonts w:ascii="Times New Roman" w:eastAsia="Times New Roman" w:hAnsi="Times New Roman" w:cs="Times New Roman"/>
          <w:sz w:val="24"/>
          <w:szCs w:val="24"/>
        </w:rPr>
        <w:t xml:space="preserve"> </w:t>
      </w:r>
      <w:r w:rsidR="00D809B2" w:rsidRPr="00D809B2">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{"citationID":"1qkj4wHG","properties":{"formattedCitation":"(Czabotar &amp; Garcia-Saez, 2023)","plainCitation":"(Czabotar &amp; Garcia-Saez, 2023)","noteIndex":0},"citationItems":[{"id":374,"uris":["http://zotero.org/users/15444919/items/VI9BVCLB"],"itemData":{"id":374,"type":"article-journal","abstract":"The proteins of the BCL-2 family are key regulators of mitochondrial apoptosis, acting as either promoters or inhibitors of cell death. The functional interplay and balance between the opposing BCL-2 family members control permeabilization of the outer mitochondrial membrane, leading to the release of activators of the caspase cascade into the cytosol and ultimately resulting in cell death. Despite considerable research, our knowledge about the mechanisms of the BCL-2 family of proteins remains insufficient, which complicates cell fate predictions and does not allow us to fully exploit these proteins as targets for drug discovery. Detailed understanding of the formation and molecular architecture of the apoptotic pore in the outer mitochondrial membrane remains a holy grail in the field, but new studies allow us to begin constructing a structural model of its arrangement. Recent literature has also revealed unexpected activities for several BCL-2 family members that challenge established concepts of how they regulate mitochondrial permeabilization. In this Review, we revisit the most important advances in the field and integrate them into a new structure–function-based classification of the BCL-2 family members that intends to provide a comprehensive model for BCL-2 action in apoptosis. We close this Review by discussing the potential of drugging the BCL-2 family in diseases characterized by aberrant apoptosis.","container-title":"Nature Reviews Molecular Cell Biology","DOI":"10.1038/s41580-023-00629-4","ISSN":"1471-0080","issue":"10","journalAbbreviation":"Nat Rev Mol Cell Biol","language":"en","license":"2023 Springer Nature Limited","note":"publisher: Nature Publishing Group","page":"732-748","source":"www.nature.com","title":"Mechanisms of BCL-2 family proteins in mitochondrial apoptosis","volume":"24","author":[{"family":"Czabotar","given":"Peter E."},{"family":"Garcia-Saez","given":"Ana J."}],"issued":{"date-parts":[["2023",10]]}}}],"schema":"https://github.com/citation-style-language/schema/raw/master/csl-citation.json"} </w:instrText>
      </w:r>
      <w:r w:rsidR="00D809B2" w:rsidRPr="00D809B2">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(Czabotar &amp; Garcia-Saez, 2023)</w:t>
      </w:r>
      <w:r w:rsidR="00D809B2" w:rsidRPr="00D809B2">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Cellular stress (DNA damage, UV radiation, oxidative stress, and oncogenic factors) activates pro-apoptotic proteins, such as BAX and BAK, which alter conformation and translocate to the outer mitochondrial membrane</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{"citationID":"ra9OzzzG","properties":{"formattedCitation":"(Shamas-Din et al., 2013)","plainCitation":"(Shamas-Din et al., 2013)","noteIndex":0},"citationItems":[{"id":216,"uris":["http://zotero.org/users/15444919/items/ZBSAKLV8"],"itemData":{"id":216,"type":"article-journal","abstract":"The Bcl-2 family of proteins controls a critical step in commitment to apoptosis by regulating permeabilization of the mitochondrial outer membrane (MOM). The family is divided into three classes: multiregion proapoptotic proteins that directly permeabilize the MOM; BH3 proteins that directly or indirectly activate the pore-forming class members; and the antiapoptotic proteins that inhibit this process at several steps. Different experimental approaches have led to several models, each proposed to explain the interactions between Bcl-2 family proteins. The discovery that many of these interactions occur at or in membranes as well as in the cytoplasm, and are governed by the concentrations and relative binding affinities of the proteins, provides a new basis for rationalizing these models. Furthermore, these dynamic interactions cause conformational changes in the Bcl-2 proteins that modulate their apoptotic function, providing additional potential modes of regulation., Three groups of Bcl-2 family proteins regulate apoptosis: executioner proteins (e.g., Bax or Bak), their activators (the BH3 proteins), and inhibitors (e.g., Bcl-2). Several models propose how they interact.","container-title":"Cold Spring Harbor Perspectives in Biology","DOI":"10.1101/cshperspect.a008714","ISSN":"1943-0264","issue":"4","journalAbbreviation":"Cold Spring Harb Perspect Biol","note":"PMID: 23545417\nPMCID: PMC3683897","page":"a008714","source":"PubMed Central","title":"Mechanisms of Action of Bcl-2 Family Proteins","volume":"5","author":[{"family":"Shamas-Din","given":"Aisha"},{"family":"Kale","given":"Justin"},{"family":"Leber","given":"Brian"},{"family":"Andrews","given":"David W."}],"issued":{"date-parts":[["2013",4]]}}}],"schema":"https://github.com/citation-style-language/schema/raw/master/csl-citation.json"}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(Shamas-Din et al., 2013)</w:t>
      </w:r>
      <w:r w:rsidR="003D4B1C">
        <w:rPr>
          <w:rFonts w:ascii="Times New Roman" w:eastAsia="Times New Roman" w:hAnsi="Times New Roman" w:cs="Times New Roman"/>
          <w:sz w:val="24"/>
          <w:szCs w:val="24"/>
        </w:rPr>
        <w:fldChar w:fldCharType="end"/>
      </w:r>
      <w:r w:rsidR="002C2535" w:rsidRPr="00DA4F60">
        <w:rPr>
          <w:rFonts w:ascii="Times New Roman" w:eastAsia="Times New Roman" w:hAnsi="Times New Roman" w:cs="Times New Roman"/>
          <w:sz w:val="24"/>
          <w:szCs w:val="24"/>
        </w:rPr>
        <w:t xml:space="preserve">. </w:t>
      </w:r>
    </w:p>
    <w:p w14:paraId="0F3C5196" w14:textId="50F13893" w:rsidR="001A2D4E" w:rsidRPr="001A2D4E" w:rsidRDefault="00BF4936" w:rsidP="001A2D4E">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Pro-apoptotic proteins at OMM are oligo</w:t>
      </w:r>
      <w:r w:rsidRPr="00DA4F60">
        <w:rPr>
          <w:rFonts w:ascii="Times New Roman" w:eastAsia="Times New Roman" w:hAnsi="Times New Roman" w:cs="Times New Roman"/>
          <w:sz w:val="24"/>
          <w:szCs w:val="24"/>
        </w:rPr>
        <w:t xml:space="preserve">merized and form pores in the OMM. </w:t>
      </w:r>
      <w:r w:rsidR="002C2535" w:rsidRPr="00DA4F60">
        <w:rPr>
          <w:rFonts w:ascii="Times New Roman" w:eastAsia="Times New Roman" w:hAnsi="Times New Roman" w:cs="Times New Roman"/>
          <w:sz w:val="24"/>
          <w:szCs w:val="24"/>
        </w:rPr>
        <w:t xml:space="preserve">This process results in mitochondrial outer membrane permeabilization (MOMP), which is widely regarded as the "point of no return" in cellular death. BAX and BAK generate pores in the OMM, </w:t>
      </w:r>
      <w:r w:rsidR="00BF50F0">
        <w:rPr>
          <w:rFonts w:ascii="Times New Roman" w:eastAsia="Times New Roman" w:hAnsi="Times New Roman" w:cs="Times New Roman"/>
          <w:sz w:val="24"/>
          <w:szCs w:val="24"/>
        </w:rPr>
        <w:t>releasing</w:t>
      </w:r>
      <w:r w:rsidR="002C2535" w:rsidRPr="00DA4F60">
        <w:rPr>
          <w:rFonts w:ascii="Times New Roman" w:eastAsia="Times New Roman" w:hAnsi="Times New Roman" w:cs="Times New Roman"/>
          <w:sz w:val="24"/>
          <w:szCs w:val="24"/>
        </w:rPr>
        <w:t xml:space="preserve"> cytochrome C and other</w:t>
      </w:r>
      <w:r w:rsidR="002033C4" w:rsidRP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apoptogenic</w:t>
      </w:r>
      <w:r w:rsid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substances</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{"citationID":"OJLw58CX","properties":{"formattedCitation":"(Peng et al., 2022)","plainCitation":"(Peng et al., 2022)","noteIndex":0},"citationItems":[{"id":331,"uris":["http://zotero.org/users/15444919/items/K84VVLMR"],"itemData":{"id":331,"type":"article-journal","abstract":"Regulated cell death (RCD), also well-known as programmed cell death (PCD), refers to the form of cell death that can be regulated by a variety of biomacromolecules, which is distinctive from accidental cell death (ACD). Accumulating evidence has revealed that RCD subroutines are the key features of tumorigenesis, which may ultimately lead to the establishment of different potential therapeutic strategies. Hitherto, targeting the subroutines of RCD with pharmacological small-molecule compounds has been emerging as a promising therapeutic avenue, which has rapidly progressed in many types of human cancers. Thus, in this review, we focus on summarizing not only the key apoptotic and autophagy-dependent cell death signaling pathways, but the crucial pathways of other RCD subroutines, including necroptosis, pyroptosis, ferroptosis, parthanatos, entosis, NETosis and lysosome-dependent cell death (LCD) in cancer. Moreover, we further discuss the current situation of several small-molecule compounds targeting the different RCD subroutines to improve cancer treatment, such as single-target, dual or multiple-target small-molecule compounds, drug combinations, and some new emerging therapeutic strategies that would together shed new light on future directions to attack cancer cell vulnerabilities with small-molecule drugs targeting RCD for therapeutic purposes.","container-title":"Signal Transduction and Targeted Therapy","DOI":"10.1038/s41392-022-01110-y","ISSN":"2059-3635","issue":"1","journalAbbreviation":"Signal Transduct Target Ther","language":"eng","note":"PMID: 35963853\nPMCID: PMC9376115","page":"286","source":"PubMed","title":"Regulated cell death (RCD) in cancer: key pathways and targeted therapies","title-short":"Regulated cell death (RCD) in cancer","volume":"7","author":[{"family":"Peng","given":"Fu"},{"family":"Liao","given":"Minru"},{"family":"Qin","given":"Rui"},{"family":"Zhu","given":"Shiou"},{"family":"Peng","given":"Cheng"},{"family":"Fu","given":"Leilei"},{"family":"Chen","given":"Yi"},{"family":"Han","given":"Bo"}],"issued":{"date-parts":[["2022",8,13]]}}}],"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(Peng et al., 2022)</w:t>
      </w:r>
      <w:r w:rsidR="003D4B1C">
        <w:rPr>
          <w:rFonts w:ascii="Times New Roman" w:eastAsia="Times New Roman" w:hAnsi="Times New Roman" w:cs="Times New Roman"/>
          <w:sz w:val="24"/>
          <w:szCs w:val="24"/>
        </w:rPr>
        <w:fldChar w:fldCharType="end"/>
      </w:r>
      <w:r w:rsidR="003D4B1C">
        <w:rPr>
          <w:rFonts w:ascii="Times New Roman" w:eastAsia="Times New Roman" w:hAnsi="Times New Roman" w:cs="Times New Roman"/>
          <w:sz w:val="24"/>
          <w:szCs w:val="24"/>
        </w:rPr>
        <w:t>.</w:t>
      </w:r>
      <w:r w:rsidR="002033C4" w:rsidRPr="00DA4F60">
        <w:rPr>
          <w:rFonts w:ascii="Times New Roman" w:eastAsia="Times New Roman" w:hAnsi="Times New Roman" w:cs="Times New Roman"/>
          <w:sz w:val="24"/>
          <w:szCs w:val="24"/>
        </w:rPr>
        <w:t xml:space="preserve"> Once released into the cytosol, cytochrome C interacts </w:t>
      </w:r>
      <w:r w:rsidR="00BF50F0">
        <w:rPr>
          <w:rFonts w:ascii="Times New Roman" w:eastAsia="Times New Roman" w:hAnsi="Times New Roman" w:cs="Times New Roman"/>
          <w:sz w:val="24"/>
          <w:szCs w:val="24"/>
        </w:rPr>
        <w:t>with</w:t>
      </w:r>
      <w:r w:rsidR="002033C4" w:rsidRPr="00DA4F60">
        <w:rPr>
          <w:rFonts w:ascii="Times New Roman" w:eastAsia="Times New Roman" w:hAnsi="Times New Roman" w:cs="Times New Roman"/>
          <w:sz w:val="24"/>
          <w:szCs w:val="24"/>
        </w:rPr>
        <w:t xml:space="preserve"> Apaf-1 (apoptotic protease-activating factor-1) in the presence of ATP. This binding causes Apaf-1 to oligomerize and form a wheel-like structure known as the </w:t>
      </w:r>
      <w:r w:rsidR="00D809B2" w:rsidRPr="00DA4F60">
        <w:rPr>
          <w:rFonts w:ascii="Times New Roman" w:eastAsia="Times New Roman" w:hAnsi="Times New Roman" w:cs="Times New Roman"/>
          <w:sz w:val="24"/>
          <w:szCs w:val="24"/>
        </w:rPr>
        <w:t>apoptosome</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{"citationID":"MPUR4eDS","properties":{"formattedCitation":"(Annibaldi &amp; Walczak, 2020)","plainCitation":"(Annibaldi &amp; Walczak, 2020)","noteIndex":0},"citationItems":[{"id":238,"uris":["http://zotero.org/users/15444919/items/V37H7DPP"],"itemData":{"id":238,"type":"article-journal","abstract":"On binding to their cognate ligands, death receptors can initiate a cascade of events that can result in two distinct outcomes: gene expression and cell death. The study of three different death receptor-ligand systems, the tumor necrosis factor (TNF)-TNF receptor 1 (TNFR1), the CD95L-CD95, and the TNF-related apoptosis-inducing ligand (TRAIL)-TRAIL-R1/2 system, has drawn the attention of generations of scientists over the past 50 years. This scientific journey, as often happens in science, has been anything but a straight line to success and discoveries in this field were often made by serendipity, catching the scientists by surprise. However, as Louis Pasteur pointed out, luck prefers the prepared mind. It is therefore not surprising that the most impactful discovery of the field to date, the fact that TNF inhibition serves as an effective treatment for several inflammatory and autoimmune diseases, has been like this. Luckily, the scientists who made this discovery were prepared and, most importantly, determined to harness their discovery for therapeutic benefit. Today's research on these death receptor-ligand systems has led to the discovery of a causal link between cell death induced by a variety of these systems and inflammation. In this review, we explain why we predict that therapeutic exploitation of this discovery may profoundly impact the future treatment of inflammatory disease and cancer.","container-title":"Cold Spring Harbor Perspectives in Biology","DOI":"10.1101/cshperspect.a036384","ISSN":"1943-0264","issue":"9","journalAbbreviation":"Cold Spring Harb Perspect Biol","language":"eng","note":"PMID: 31988141\nPMCID: PMC7461759","page":"a036384","source":"PubMed","title":"Death Receptors and Their Ligands in Inflammatory Disease and Cancer","volume":"12","author":[{"family":"Annibaldi","given":"Alessandro"},{"family":"Walczak","given":"Henning"}],"issued":{"date-parts":[["2020",9,1]]}}}],"schema":"https://github.com/citation-style-language/schema/raw/master/csl-citation.json"}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(Annibaldi &amp; Walczak, 2020)</w:t>
      </w:r>
      <w:r w:rsidR="003D4B1C">
        <w:rPr>
          <w:rFonts w:ascii="Times New Roman" w:eastAsia="Times New Roman" w:hAnsi="Times New Roman" w:cs="Times New Roman"/>
          <w:sz w:val="24"/>
          <w:szCs w:val="24"/>
        </w:rPr>
        <w:fldChar w:fldCharType="end"/>
      </w:r>
      <w:r w:rsidR="00D809B2">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The apoptosome then recruits and activates procaspase-9, which subsequently activates executioner caspases, such as caspase-3 and caspase-7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{"citationID":"TzVWRJk2","properties":{"formattedCitation":"(Shakeri et al., 2017)","plainCitation":"(Shakeri et al., 2017)","noteIndex":0},"citationItems":[{"id":229,"uris":["http://zotero.org/users/15444919/items/4635ZXMW"],"itemData":{"id":229,"type":"article-journal","abstract":"Apoptosis, a form of programmed cell death, is responsible for eliminating damaged or unnecessary cells in multicellular organisms. Various types of intracellular stress trigger apoptosis by induction of cytochrome c release from mitochondria into the cytosol. Apoptotic protease activating factor-1 (Apaf-1) is a key molecule in the intrinsic or mitochondrial pathway of apoptosis, which oligomerizes in response to cytochrome c release and forms a large complex known as apoptosome. Procaspase-9, an initiator caspase in the mitochondrial pathway, is recruited and activated by the apoptosome leading to downstream caspase-3 processing. Various cellular proteins and small molecules can modulate apoptosome formation and function directly or indirectly. Despite recent progress in understanding the mitochondrial pathway of apoptosis, numerous questions such as the molecular mechanism of Apaf-1 oligomerization and caspase-9 activation remain poorly understood. In addition, reports have emerged showing nonapoptotic functions for Apaf-1. The current review summarizes the latest ﬁndings regarding structurefunction relationship of Apaf-1 as well as its modiﬁers.","container-title":"Biochimie","DOI":"10.1016/j.biochi.2017.02.001","ISSN":"03009084","journalAbbreviation":"Biochimie","language":"en","page":"111-125","source":"DOI.org (Crossref)","title":"Apaf-1: Regulation and function in cell death","title-short":"Apaf-1","volume":"135","author":[{"family":"Shakeri","given":"Raheleh"},{"family":"Kheirollahi","given":"Asma"},{"family":"Davoodi","given":"Jamshid"}],"issued":{"date-parts":[["2017",4]]}}}],"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(Shakeri et al., 2017)</w:t>
      </w:r>
      <w:r w:rsidR="003D4B1C">
        <w:rPr>
          <w:rFonts w:ascii="Times New Roman" w:eastAsia="Times New Roman" w:hAnsi="Times New Roman" w:cs="Times New Roman"/>
          <w:sz w:val="24"/>
          <w:szCs w:val="24"/>
        </w:rPr>
        <w:fldChar w:fldCharType="end"/>
      </w:r>
      <w:r w:rsidR="003D4B1C">
        <w:rPr>
          <w:rFonts w:ascii="Times New Roman" w:eastAsia="Times New Roman" w:hAnsi="Times New Roman" w:cs="Times New Roman"/>
          <w:sz w:val="24"/>
          <w:szCs w:val="24"/>
        </w:rPr>
        <w:t xml:space="preserve">. </w:t>
      </w:r>
      <w:r w:rsidR="001A2D4E" w:rsidRPr="001A2D4E">
        <w:rPr>
          <w:rFonts w:ascii="Times New Roman" w:eastAsia="Times New Roman" w:hAnsi="Times New Roman" w:cs="Times New Roman"/>
          <w:sz w:val="24"/>
          <w:szCs w:val="24"/>
        </w:rPr>
        <w:t xml:space="preserve">As seen in </w:t>
      </w:r>
      <w:r w:rsidR="001A2D4E" w:rsidRPr="001A2D4E">
        <w:rPr>
          <w:rFonts w:ascii="Times New Roman" w:eastAsia="Times New Roman" w:hAnsi="Times New Roman" w:cs="Times New Roman"/>
          <w:b/>
          <w:bCs/>
          <w:sz w:val="24"/>
          <w:szCs w:val="24"/>
        </w:rPr>
        <w:t>Figure 1</w:t>
      </w:r>
      <w:r w:rsidR="001A2D4E" w:rsidRPr="001A2D4E">
        <w:rPr>
          <w:rFonts w:ascii="Times New Roman" w:eastAsia="Times New Roman" w:hAnsi="Times New Roman" w:cs="Times New Roman"/>
          <w:sz w:val="24"/>
          <w:szCs w:val="24"/>
        </w:rPr>
        <w:t xml:space="preserve">, these executioner caspases cause the morphological and biochemical signs of apoptosis, including DNA fragmentation, membrane blebbing, cell shrinkage, and the formation of apoptotic bodies, by breaking a variety of cellular substrates (Sun, 2024). </w:t>
      </w:r>
    </w:p>
    <w:p w14:paraId="00000026" w14:textId="18129EA4" w:rsidR="00C14A47" w:rsidRPr="00DA4F60" w:rsidRDefault="00BF4936" w:rsidP="001A2D4E">
      <w:pPr>
        <w:spacing w:line="360" w:lineRule="auto"/>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2.2 E</w:t>
      </w:r>
      <w:r w:rsidRPr="00DA4F60">
        <w:rPr>
          <w:rFonts w:ascii="Times New Roman" w:eastAsia="Times New Roman" w:hAnsi="Times New Roman" w:cs="Times New Roman"/>
          <w:b/>
          <w:sz w:val="24"/>
          <w:szCs w:val="24"/>
        </w:rPr>
        <w:t>xtrinsic apoptosis</w:t>
      </w:r>
    </w:p>
    <w:p w14:paraId="28AAEAC4" w14:textId="11AABCC5" w:rsidR="001A2D4E" w:rsidRPr="001A2D4E" w:rsidRDefault="00E477EB" w:rsidP="001A2D4E">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The extrinsic apoptosis pathway (EP), also known as the death receptor pathway, is a type of programmed cell death triggered by external cues</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{"citationID":"okTGdRJO","properties":{"formattedCitation":"(Lossi, 2022)","plainCitation":"(Lossi, 2022)","noteIndex":0},"citationItems":[{"id":300,"uris":["http://zotero.org/users/15444919/items/I8ZYBJI4"],"itemData":{"id":300,"type":"article-journal","abstract":"Regulated cell death is a vital and dynamic process in multicellular organisms that maintains tissue homeostasis and eliminates potentially dangerous cells. Apoptosis, one of the better-known forms of regulated cell death, is activated when cell-surface death receptors like Fas are engaged by their ligands (the extrinsic pathway) or when BCL-2-family pro-apoptotic proteins cause the permeabilization of the mitochondrial outer membrane (the intrinsic pathway). Both the intrinsic and extrinsic pathways of apoptosis lead to the activation of a family of proteases, the caspases, which are responsible for the final cell demise in the so-called execution phase of apoptosis. In this review, I will first discuss the most common types of regulated cell death on a morphological basis. I will then consider in detail the molecular pathways of intrinsic and extrinsic apoptosis, discussing how they are activated in response to specific stimuli and are sometimes overlapping. In-depth knowledge of the cellular mechanisms of apoptosis is becoming more and more important not only in the field of cellular and molecular biology but also for its translational potential in several pathologies, including neurodegeneration and cancer.","container-title":"The Biochemical Journal","DOI":"10.1042/BCJ20210854","ISSN":"1470-8728","issue":"3","journalAbbreviation":"Biochem J","language":"eng","note":"PMID: 35147165","page":"357-384","source":"PubMed","title":"The concept of intrinsic versus extrinsic apoptosis","volume":"479","author":[{"family":"Lossi","given":"Laura"}],"issued":{"date-parts":[["2022",2,11]]}}}],"schema":"https://github.com/citation-style-language/schema/raw/master/csl-citation.json"}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(Lossi, 2022)</w:t>
      </w:r>
      <w:r w:rsidR="003D4B1C">
        <w:rPr>
          <w:rFonts w:ascii="Times New Roman" w:eastAsia="Times New Roman" w:hAnsi="Times New Roman" w:cs="Times New Roman"/>
          <w:sz w:val="24"/>
          <w:szCs w:val="24"/>
        </w:rPr>
        <w:fldChar w:fldCharType="end"/>
      </w:r>
      <w:r w:rsidR="00F565EE"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In contrast to the </w:t>
      </w:r>
      <w:r w:rsidR="00F565EE" w:rsidRPr="00DA4F60">
        <w:rPr>
          <w:rFonts w:ascii="Times New Roman" w:eastAsia="Times New Roman" w:hAnsi="Times New Roman" w:cs="Times New Roman"/>
          <w:sz w:val="24"/>
          <w:szCs w:val="24"/>
        </w:rPr>
        <w:t>IP</w:t>
      </w:r>
      <w:r w:rsidRPr="00DA4F60">
        <w:rPr>
          <w:rFonts w:ascii="Times New Roman" w:eastAsia="Times New Roman" w:hAnsi="Times New Roman" w:cs="Times New Roman"/>
          <w:sz w:val="24"/>
          <w:szCs w:val="24"/>
        </w:rPr>
        <w:t>, which is triggered by internal cellular stress, the EP is activated when specific death ligands attach to their associated death receptors on the cell surface. These ligands include tumor necrosis factor (TNF), TNF-related apoptosis-inducing ligand (TRAIL), and FAS ligand (APO1). Upon ligand binding, the death receptors trimerize and aggregate within the cell membrane, which is a critical step for recruiting downstream signaling molecules</w:t>
      </w:r>
      <w:r w:rsidR="00D809B2">
        <w:rPr>
          <w:rFonts w:ascii="Times New Roman" w:eastAsia="Times New Roman" w:hAnsi="Times New Roman" w:cs="Times New Roman"/>
          <w:sz w:val="24"/>
          <w:szCs w:val="24"/>
        </w:rPr>
        <w:t xml:space="preserve"> </w:t>
      </w:r>
      <w:r w:rsidR="00D809B2" w:rsidRPr="00D809B2">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{"citationID":"Dhs2K5Kw","properties":{"formattedCitation":"(He et al., 2024)","plainCitation":"(He et al., 2024)","noteIndex":0},"citationItems":[{"id":394,"uris":["http://zotero.org/users/15444919/items/2X3QDUNV"],"itemData":{"id":394,"type":"article-journal","abstract":"Cell death is a fundamental part of life for metazoans. To maintain the balance between cell proliferation and metabolism of human bodies, a certain number of cells need to be removed regularly. Hence, the mechanisms of cell death have been preserved during the evolution of multicellular organisms. Tumorigenesis is closely related with exceptional inhibition of cell death. Mutations or defects in cell death-related genes block the elimination of abnormal cells and enhance the resistance of malignant cells to chemotherapy. Therefore, the investigation of cell death mechanisms enables the development of drugs that directly induce tumor cell death. In the guidelines updated by the Cell Death Nomenclature Committee (NCCD) in 2018, cell death was classified into 12 types according to morphological, biochemical and functional classification, including intrinsic apoptosis, extrinsic apoptosis, mitochondrial permeability transition (MPT)-driven necrosis, necroptosis, ferroptosis, pyroptosis, PARP-1 parthanatos, entotic cell death, NETotic cell death, lysosome-dependent cell death, autophagy-dependent cell death, immunogenic cell death, cellular senescence and mitotic catastrophe. The mechanistic relationships between epigenetic controls and cell death in cancer progression were previously unclear. In this review, we will summarize the mechanisms of cell death pathways and corresponding epigenetic regulations. Also, we will explore the extensive interactions between these pathways and discuss the mechanisms of cell death in epigenetics which bring benefits to tumor therapy.","container-title":"Molecular Cancer","DOI":"10.1186/s12943-024-02172-y","ISSN":"1476-4598","issue":"1","journalAbbreviation":"Molecular Cancer","page":"267","source":"BioMed Central","title":"Mechanisms and cross-talk of regulated cell death and their epigenetic modifications in tumor progression","volume":"23","author":[{"family":"He","given":"Ruimin"},{"family":"Liu","given":"Yifan"},{"family":"Fu","given":"Weijie"},{"family":"He","given":"Xuan"},{"family":"Liu","given":"Shuang"},{"family":"Xiao","given":"Desheng"},{"family":"Tao","given":"Yongguang"}],"issued":{"date-parts":[["2024",11,29]]}}}],"schema":"https://github.com/citation-style-language/schema/raw/master/csl-citation.json"} </w:instrText>
      </w:r>
      <w:r w:rsidR="00D809B2" w:rsidRPr="00D809B2">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(He et al., 2024)</w:t>
      </w:r>
      <w:r w:rsidR="00D809B2" w:rsidRPr="00D809B2">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xml:space="preserve">. The intracellular </w:t>
      </w:r>
      <w:r w:rsidRPr="00DA4F60">
        <w:rPr>
          <w:rFonts w:ascii="Times New Roman" w:eastAsia="Times New Roman" w:hAnsi="Times New Roman" w:cs="Times New Roman"/>
          <w:sz w:val="24"/>
          <w:szCs w:val="24"/>
        </w:rPr>
        <w:lastRenderedPageBreak/>
        <w:t xml:space="preserve">death domain of the death receptor recruits adaptor proteins, such as the </w:t>
      </w:r>
      <w:proofErr w:type="spellStart"/>
      <w:r w:rsidRPr="00DA4F60">
        <w:rPr>
          <w:rFonts w:ascii="Times New Roman" w:eastAsia="Times New Roman" w:hAnsi="Times New Roman" w:cs="Times New Roman"/>
          <w:sz w:val="24"/>
          <w:szCs w:val="24"/>
        </w:rPr>
        <w:t>Fas</w:t>
      </w:r>
      <w:proofErr w:type="spellEnd"/>
      <w:r w:rsidRPr="00DA4F60">
        <w:rPr>
          <w:rFonts w:ascii="Times New Roman" w:eastAsia="Times New Roman" w:hAnsi="Times New Roman" w:cs="Times New Roman"/>
          <w:sz w:val="24"/>
          <w:szCs w:val="24"/>
        </w:rPr>
        <w:t xml:space="preserve">-associated death domain (FADD). This adaptor protein, in turn, </w:t>
      </w:r>
      <w:proofErr w:type="gramStart"/>
      <w:r w:rsidR="001A2D4E">
        <w:rPr>
          <w:rFonts w:ascii="Times New Roman" w:eastAsia="Times New Roman" w:hAnsi="Times New Roman" w:cs="Times New Roman"/>
          <w:sz w:val="24"/>
          <w:szCs w:val="24"/>
        </w:rPr>
        <w:t>recruits</w:t>
      </w:r>
      <w:proofErr w:type="gramEnd"/>
      <w:r w:rsidRPr="00DA4F60">
        <w:rPr>
          <w:rFonts w:ascii="Times New Roman" w:eastAsia="Times New Roman" w:hAnsi="Times New Roman" w:cs="Times New Roman"/>
          <w:sz w:val="24"/>
          <w:szCs w:val="24"/>
        </w:rPr>
        <w:t xml:space="preserve"> procaspase-8. The assembly of the receptor, adaptor protein, and procaspases form a multi-protein complex known as a death-inducing signaling complex (DISC)</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{"citationID":"J9dXxq4X","properties":{"formattedCitation":"(Annibaldi &amp; Walczak, 2020)","plainCitation":"(Annibaldi &amp; Walczak, 2020)","noteIndex":0},"citationItems":[{"id":238,"uris":["http://zotero.org/users/15444919/items/V37H7DPP"],"itemData":{"id":238,"type":"article-journal","abstract":"On binding to their cognate ligands, death receptors can initiate a cascade of events that can result in two distinct outcomes: gene expression and cell death. The study of three different death receptor-ligand systems, the tumor necrosis factor (TNF)-TNF receptor 1 (TNFR1), the CD95L-CD95, and the TNF-related apoptosis-inducing ligand (TRAIL)-TRAIL-R1/2 system, has drawn the attention of generations of scientists over the past 50 years. This scientific journey, as often happens in science, has been anything but a straight line to success and discoveries in this field were often made by serendipity, catching the scientists by surprise. However, as Louis Pasteur pointed out, luck prefers the prepared mind. It is therefore not surprising that the most impactful discovery of the field to date, the fact that TNF inhibition serves as an effective treatment for several inflammatory and autoimmune diseases, has been like this. Luckily, the scientists who made this discovery were prepared and, most importantly, determined to harness their discovery for therapeutic benefit. Today's research on these death receptor-ligand systems has led to the discovery of a causal link between cell death induced by a variety of these systems and inflammation. In this review, we explain why we predict that therapeutic exploitation of this discovery may profoundly impact the future treatment of inflammatory disease and cancer.","container-title":"Cold Spring Harbor Perspectives in Biology","DOI":"10.1101/cshperspect.a036384","ISSN":"1943-0264","issue":"9","journalAbbreviation":"Cold Spring Harb Perspect Biol","language":"eng","note":"PMID: 31988141\nPMCID: PMC7461759","page":"a036384","source":"PubMed","title":"Death Receptors and Their Ligands in Inflammatory Disease and Cancer","volume":"12","author":[{"family":"Annibaldi","given":"Alessandro"},{"family":"Walczak","given":"Henning"}],"issued":{"date-parts":[["2020",9,1]]}}}],"schema":"https://github.com/citation-style-language/schema/raw/master/csl-citation.json"}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(Annibaldi &amp; Walczak, 2020)</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This complex serves as a platform for activating caspases, particularly caspase-8 and caspase-10, which are essential proteolytic enzymes in the cell death machinery. The activation of these caspases triggers a cascade that ultimately activates executioner caspases like caspase-3 (CASP3) and caspase-7 (CASP7)</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{"citationID":"rFTgUct5","properties":{"formattedCitation":"(Carneiro &amp; El-Deiry, 2020)","plainCitation":"(Carneiro &amp; El-Deiry, 2020)","noteIndex":0},"citationItems":[{"id":155,"uris":["http://zotero.org/users/15444919/items/K82YFRXX"],"itemData":{"id":155,"type":"article-journal","abstract":"Effective elimination of cancer cells by programmed cell death or apoptosis has been a mainstay and goal of clinical cancer therapy for over 3 decades. Clinical translation of effective proapoptotic agents includes drug discovery, bioavailability and stability, tumor penetration, acute or chronic normal tissue toxicity, drug interactions, off-target effects, tumor heterogeneity and evolution with emergence of resistant clones. The pathways of apoptosis include cell intrinsic and extrinsic processes triggered by cellular stress, DNA damage, and immune surveillance mechanisms. While tumor cell death can lead to therapy response, the selection, growth and dissemination of therapyresistant cells makes tumors lethal, leading to patient mortality. We focus on apoptosis pathways, signaling pathways that impact on them as well as molecular targets, strategies, therapeutics in clinical translation and known resistance mechanisms.","container-title":"Nature Reviews Clinical Oncology","DOI":"10.1038/s41571-020-0341-y","ISSN":"1759-4774, 1759-4782","issue":"7","journalAbbreviation":"Nat Rev Clin Oncol","language":"en","page":"395-417","source":"DOI.org (Crossref)","title":"Targeting apoptosis in cancer therapy","volume":"17","author":[{"family":"Carneiro","given":"Benedito A."},{"family":"El-Deiry","given":"Wafik S."}],"issued":{"date-parts":[["2020",7]]}}}],"schema":"https://github.com/citation-style-language/schema/raw/master/csl-citation.json"}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(Carneiro &amp; El-Deiry, 2020)</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w:t>
      </w:r>
      <w:r w:rsidR="001A2D4E" w:rsidRPr="001A2D4E">
        <w:rPr>
          <w:rFonts w:ascii="Times New Roman" w:eastAsia="Times New Roman" w:hAnsi="Times New Roman" w:cs="Times New Roman"/>
          <w:sz w:val="24"/>
          <w:szCs w:val="24"/>
        </w:rPr>
        <w:t xml:space="preserve">As shown in </w:t>
      </w:r>
      <w:r w:rsidR="001A2D4E" w:rsidRPr="001A2D4E">
        <w:rPr>
          <w:rFonts w:ascii="Times New Roman" w:eastAsia="Times New Roman" w:hAnsi="Times New Roman" w:cs="Times New Roman"/>
          <w:b/>
          <w:bCs/>
          <w:sz w:val="24"/>
          <w:szCs w:val="24"/>
        </w:rPr>
        <w:t>Figure 1</w:t>
      </w:r>
      <w:r w:rsidR="001A2D4E" w:rsidRPr="001A2D4E">
        <w:rPr>
          <w:rFonts w:ascii="Times New Roman" w:eastAsia="Times New Roman" w:hAnsi="Times New Roman" w:cs="Times New Roman"/>
          <w:sz w:val="24"/>
          <w:szCs w:val="24"/>
        </w:rPr>
        <w:t>, these executioner caspases are essential for both intrinsic and extrinsic pathways that ultimately result in cell death (</w:t>
      </w:r>
      <w:r w:rsidR="001A2D4E" w:rsidRPr="001A2D4E">
        <w:rPr>
          <w:rFonts w:ascii="Times New Roman" w:eastAsia="Times New Roman" w:hAnsi="Times New Roman" w:cs="Times New Roman"/>
          <w:sz w:val="24"/>
          <w:szCs w:val="24"/>
          <w:highlight w:val="yellow"/>
        </w:rPr>
        <w:t>Asadi et al., 2022).</w:t>
      </w:r>
      <w:r w:rsidR="001A2D4E" w:rsidRPr="001A2D4E">
        <w:rPr>
          <w:rFonts w:ascii="Times New Roman" w:eastAsia="Times New Roman" w:hAnsi="Times New Roman" w:cs="Times New Roman"/>
          <w:sz w:val="24"/>
          <w:szCs w:val="24"/>
        </w:rPr>
        <w:t xml:space="preserve"> </w:t>
      </w:r>
    </w:p>
    <w:p w14:paraId="00000028" w14:textId="3FFD1B59" w:rsidR="00C14A47" w:rsidRPr="00DA4F60" w:rsidRDefault="00BF4936" w:rsidP="001A2D4E">
      <w:pPr>
        <w:spacing w:after="0" w:line="360" w:lineRule="auto"/>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3. Dysregulation of Apoptotic Pathways in Cancer Progression</w:t>
      </w:r>
    </w:p>
    <w:p w14:paraId="00000029" w14:textId="77777777" w:rsidR="00C14A47" w:rsidRPr="00DA4F60" w:rsidRDefault="00BF4936"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3.1</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Role of Inhibitor of Apoptosis Proteins</w:t>
      </w:r>
    </w:p>
    <w:p w14:paraId="0000002A" w14:textId="3BE00427" w:rsidR="00C14A47" w:rsidRPr="00DA4F60" w:rsidRDefault="0027784E"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Inhibitors of Apoptosis Proteins (IAPs) play an important role in cancer progression because they influence cancer cell survival and proliferation. These proteins largely prevent apoptosis, allowing cancer cells to avoid death</w:t>
      </w:r>
      <w:r w:rsidR="006665B8">
        <w:rPr>
          <w:rFonts w:ascii="Times New Roman" w:eastAsia="Times New Roman" w:hAnsi="Times New Roman" w:cs="Times New Roman"/>
          <w:sz w:val="24"/>
          <w:szCs w:val="24"/>
        </w:rPr>
        <w:t xml:space="preserve"> </w:t>
      </w:r>
      <w:r w:rsidR="006665B8">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{"citationID":"2VozHv3h","properties":{"formattedCitation":"(Goldar et al., 2015)","plainCitation":"(Goldar et al., 2015)","noteIndex":0},"citationItems":[{"id":403,"uris":["http://zotero.org/users/15444919/items/YHI372Z2"],"itemData":{"id":403,"type":"article-journal","abstract":"Programmed cell death (PCD) or apoptosis is a mechanism which is crucial for all multicellular organisms to control cell proliferation and maintain tissue homeostasis as well as eliminate harmful or unnecessary cells from an organism. Defects in the physiological mechanisms of apoptosis may contribute to different human diseases like cancer. Identification of the mechanisms of apoptosis and its effector proteins as well as the genes responsible for apoptosis has provided a new opportunity to discover and develop novel agents that can increase the sensitivity of cancer cells to undergo apoptosis or reset their apoptotic threshold. These novel targeted therapies include those targeting anti-apoptotic Bcl-2 family members, p53, the extrinsic pathway, FLICE-inhibitory protein (c-FLIP), inhibitor of apoptosis (IAP) proteins, and the caspases. In recent years a number of these novel agents have been assessed in preclinical and clinical trials. In this review, we introduce some of the key regulatory molecules that control the apoptotic pathways, extrinsic and intrinsic death receptors, discuss how defects in apoptotic pathways contribute to cancer, and list several agents being developed to target apoptosis.","container-title":"Asian Pacific journal of cancer prevention: APJCP","DOI":"10.7314/apjcp.2015.16.6.2129","ISSN":"2476-762X","issue":"6","journalAbbreviation":"Asian Pac J Cancer Prev","language":"eng","note":"PMID: 25824729","page":"2129-2144","source":"PubMed","title":"Molecular mechanisms of apoptosis and roles in cancer development and treatment","volume":"16","author":[{"family":"Goldar","given":"Samira"},{"family":"Khaniani","given":"Mahmoud Shekari"},{"family":"Derakhshan","given":"Sima Mansoori"},{"family":"Baradaran","given":"Behzad"}],"issued":{"date-parts":[["2015"]]}}}],"schema":"https://github.com/citation-style-language/schema/raw/master/csl-citation.json"} </w:instrText>
      </w:r>
      <w:r w:rsidR="006665B8">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highlight w:val="yellow"/>
        </w:rPr>
        <w:t>(Goldar et al., 2015)</w:t>
      </w:r>
      <w:r w:rsidR="006665B8">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This evasion leads to increased cell survival and tumor growth. The ability to escape apoptosis is a hallmark of cancer. Overexpression of IAPs has been seen in numerous types of malignancies, including both haematological and solid tumors</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{"citationID":"T5qNVhIL","properties":{"formattedCitation":"(Wong-Rolle et al., 2021)","plainCitation":"(Wong-Rolle et al., 2021)","noteIndex":0},"citationItems":[{"id":422,"uris":["http://zotero.org/users/15444919/items/KW3TBPWU"],"itemData":{"id":422,"type":"article-journal","abstract":"Although intestinal microbiome have been established as an important biomarker and regulator of cancer development and therapeutic response, less is known about the role of microbiome at other body sites in cancer. Emerging evidence has revealed that the local microbiota make up an important part of the tumor microenvironment across many types of cancer, especially in cancers arising from mucosal sites, including the lung, skin and gastrointestinal tract. The populations of bacteria that reside specifically within tumors have been found to be tumor-type specific, and mechanistic studies have demonstrated that tumor-associated microbiota may directly regulate cancer initiation, progression and responses to chemo- or immuno-therapies. This review aims to provide a comprehensive review of the important literature on the microbiota in the cancerous tissue, and their function and mechanism of action in cancer development and treatment.","container-title":"Protein &amp; Cell","DOI":"10.1007/s13238-020-00813-8","ISSN":"1674-8018","issue":"5","journalAbbreviation":"Protein Cell","language":"eng","note":"PMID: 33296049\nPMCID: PMC8106554","page":"426-435","source":"PubMed","title":"Unexpected guests in the tumor microenvironment: microbiome in cancer","title-short":"Unexpected guests in the tumor microenvironment","volume":"12","author":[{"family":"Wong-Rolle","given":"Abigail"},{"family":"Wei","given":"Haohan Karen"},{"family":"Zhao","given":"Chen"},{"family":"Jin","given":"Chengcheng"}],"issued":{"date-parts":[["2021",5]]}}}],"schema":"https://github.com/citation-style-language/schema/raw/master/csl-citation.json"}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(Wong-Rolle et al., 2021)</w:t>
      </w:r>
      <w:r w:rsidR="003D4B1C">
        <w:rPr>
          <w:rFonts w:ascii="Times New Roman" w:eastAsia="Times New Roman" w:hAnsi="Times New Roman" w:cs="Times New Roman"/>
          <w:sz w:val="24"/>
          <w:szCs w:val="24"/>
        </w:rPr>
        <w:fldChar w:fldCharType="end"/>
      </w:r>
      <w:r w:rsidR="003D4B1C">
        <w:rPr>
          <w:rFonts w:ascii="Times New Roman" w:eastAsia="Times New Roman" w:hAnsi="Times New Roman" w:cs="Times New Roman"/>
          <w:sz w:val="24"/>
          <w:szCs w:val="24"/>
        </w:rPr>
        <w:t xml:space="preserve">. </w:t>
      </w:r>
      <w:r w:rsidR="00222536" w:rsidRPr="00DA4F60">
        <w:rPr>
          <w:rFonts w:ascii="Times New Roman" w:eastAsia="Times New Roman" w:hAnsi="Times New Roman" w:cs="Times New Roman"/>
          <w:sz w:val="24"/>
          <w:szCs w:val="24"/>
        </w:rPr>
        <w:t>IAPs' primary role is to prevent apoptosis by inhibiting the activation of caspases, the enzymes that cause apoptosis. For example, one of the most well-studied IAPs is XIAP (X-linked inhibitor of apoptosis protein), which inhibits both initiator and executioner caspases</w:t>
      </w:r>
      <w:r w:rsidRPr="00DA4F60">
        <w:rPr>
          <w:rFonts w:ascii="Times New Roman" w:eastAsia="Times New Roman" w:hAnsi="Times New Roman" w:cs="Times New Roman"/>
          <w:sz w:val="24"/>
          <w:szCs w:val="24"/>
        </w:rPr>
        <w:t>. In cancer cells, the overexpression of XIAP and other IAPs, such as cIAP1 and cIAP2, allows these cells to escape apoptosis</w:t>
      </w:r>
      <w:r w:rsidR="006665B8">
        <w:rPr>
          <w:rFonts w:ascii="Times New Roman" w:eastAsia="Times New Roman" w:hAnsi="Times New Roman" w:cs="Times New Roman"/>
          <w:sz w:val="24"/>
          <w:szCs w:val="24"/>
        </w:rPr>
        <w:t xml:space="preserve"> </w:t>
      </w:r>
      <w:r w:rsidR="006665B8">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{"citationID":"CSlvLKn8","properties":{"formattedCitation":"(Hughes et al., 2023)","plainCitation":"(Hughes et al., 2023)","noteIndex":0},"citationItems":[{"id":408,"uris":["http://zotero.org/users/15444919/items/U6PGAH8C"],"itemData":{"id":408,"type":"article-journal","abstract":"Genetic lesions in X-linked inhibitor of apoptosis (XIAP) pre-dispose humans to cell death-associated inflammatory diseases, although the underlying mechanisms remain unclear. Here, we report that two patients with XIAP deficiency-associated inflammatory bowel disease display increased inflammatory IL-1β maturation as well as cell death-associated caspase-8 and Gasdermin D (GSDMD) processing in diseased tissue, which is reduced upon patient treatment. Loss of XIAP leads to caspase-8-driven cell death and bioactive IL-1β release that is only abrogated by combined deletion of the apoptotic and pyroptotic cell death machinery. Namely, extrinsic apoptotic caspase-8 promotes pyroptotic GSDMD processing that kills macrophages lacking both inflammasome and apoptosis signalling components (caspase-1, -3, -7, -11 and BID), while caspase-8 can still cause cell death in the absence of both GSDMD and GSDME when caspase-3 and caspase-7 are present. Neither caspase-3 and caspase-7-mediated activation of the pannexin-1 channel, or GSDMD loss, prevented NLRP3 inflammasome assembly and consequent caspase-1 and IL-1β maturation downstream of XIAP inhibition and caspase-8 activation, even though the pannexin-1 channel was required for NLRP3 triggering upon mitochondrial apoptosis. These findings uncouple the mechanisms of cell death and NLRP3 activation resulting from extrinsic and intrinsic apoptosis signalling, reveal how XIAP loss can co-opt dual cell death programs, and uncover strategies for targeting the cell death and inflammatory pathways that result from XIAP deficiency.","container-title":"The EMBO journal","DOI":"10.15252/embj.2021110468","ISSN":"1460-2075","issue":"5","journalAbbreviation":"EMBO J","language":"eng","note":"PMID: 36647737\nPMCID: PMC9975961","page":"e110468","source":"PubMed","title":"Caspase-8-driven apoptotic and pyroptotic crosstalk causes cell death and IL-1β release in X-linked inhibitor of apoptosis (XIAP) deficiency","volume":"42","author":[{"family":"Hughes","given":"Sebastian A."},{"family":"Lin","given":"Meng"},{"family":"Weir","given":"Ashley"},{"family":"Huang","given":"Bing"},{"family":"Xiong","given":"Liya"},{"family":"Chua","given":"Ngee Kiat"},{"family":"Pang","given":"Jiyi"},{"family":"Santavanond","given":"Jascinta P."},{"family":"Tixeira","given":"Rochelle"},{"family":"Doerflinger","given":"Marcel"},{"family":"Deng","given":"Yexuan"},{"family":"Yu","given":"Chien-Hsiung"},{"family":"Silke","given":"Natasha"},{"family":"Conos","given":"Stephanie A."},{"family":"Frank","given":"Daniel"},{"family":"Simpson","given":"Daniel S."},{"family":"Murphy","given":"James M."},{"family":"Lawlor","given":"Kate E."},{"family":"Pearson","given":"Jaclyn S."},{"family":"Silke","given":"John"},{"family":"Pellegrini","given":"Marc"},{"family":"Herold","given":"Marco J."},{"family":"Poon","given":"Ivan K. H."},{"family":"Masters","given":"Seth L."},{"family":"Li","given":"Mingsong"},{"family":"Tang","given":"Qin"},{"family":"Zhang","given":"Yuxia"},{"family":"Rashidi","given":"Maryam"},{"family":"Geng","given":"Lanlan"},{"family":"Vince","given":"James E."}],"issued":{"date-parts":[["2023",3,1]]}}}],"schema":"https://github.com/citation-style-language/schema/raw/master/csl-citation.json"} </w:instrText>
      </w:r>
      <w:r w:rsidR="006665B8">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highlight w:val="yellow"/>
        </w:rPr>
        <w:t>(Hughes et al., 2023)</w:t>
      </w:r>
      <w:r w:rsidR="006665B8">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Furthermore, IAPs modulate critical signaling pathways that contribute to cancer progression, including the NF-kB pathway, which is essential for cell survival and proliferation. By influencing these pathways, IAPs not only promote the survival of cancer cells but also contribute to the inflammatory environment that supports tumor growth</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{"citationID":"W3NEHbwp","properties":{"formattedCitation":"(Kocab &amp; Duckett, 2016)","plainCitation":"(Kocab &amp; Duckett, 2016)","noteIndex":0},"citationItems":[{"id":248,"uris":["http://zotero.org/users/15444919/items/6WD4JXHA"],"itemData":{"id":248,"type":"article-journal","abstract":"The inhibitor of apoptosis (IAP) proteins have often been considered inhibitors of cell death due to early studies describing their ability to directly bind and inhibit caspases, the primary factors that implement apoptosis. However, a greater understanding is evolving for the vital roles played by the IAPs as transduction intermediates in a diverse set of signaling cascades that have been associated with functions ranging from the innate immune response to cell migration to cell cycle regulation. In this review, we discuss the functions of the IAPs in signaling, focusing primarily on the cellular IAP (c-IAP) proteins. The c-IAPs are important components in the TNF receptor superfamily signaling cascades, which include the activation of the NF-κB transcription factor family. Since these receptors can modulate cell proliferation and cell death, the roles of the c-IAPs in these pathways provide additional means of controlling cellular fate beyond simply inhibiting caspase activity. Additionally, IAP binding proteins, such as Smac and caspases, which have been described as having cell death-independent roles, may impact c-IAP activity in intracellular signaling. Collectively, the multifaceted functions and complex regulation of the c-IAPs illustrate the importance of the c-IAPs as intracellular signaling intermediates.","container-title":"The FEBS journal","DOI":"10.1111/febs.13554","ISSN":"1742-464X","issue":"2","journalAbbreviation":"FEBS J","note":"PMID: 26462035\nPMCID: PMC4767650","page":"221-231","source":"PubMed Central","title":"INHIBITOR OF APOPTOSIS PROTEINS AS INTRACELLULAR SIGNALING INTERMEDIATES","volume":"283","author":[{"family":"Kocab","given":"Andrew J."},{"family":"Duckett","given":"Colin S."}],"issued":{"date-parts":[["2016",1]]}}}],"schema":"https://github.com/citation-style-language/schema/raw/master/csl-citation.json"}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(Kocab &amp; Duckett, 2016)</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Additionally, IAPs interact with various molecules in the tumor microenvironment, such as tumor necrosis factor-α (TNF-α), creating a complex interplay that further enhances cancer cell survival. This interaction can initiate a positive feedback loop that supports both inflammation and tumor progression. The resistance to chemotherapy often seen in cancers with high IAP expression underscores their role in cancer advancement, as these proteins can render traditional therapies ineffective</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{"citationID":"w2g9TiWF","properties":{"formattedCitation":"(Sahoo et al., 2023)","plainCitation":"(Sahoo et al., 2023)","noteIndex":0},"citationItems":[{"id":304,"uris":["http://zotero.org/users/15444919/items/T9C8LBKQ"],"itemData":{"id":304,"type":"article-journal","abstract":"Caspases are proteolytic enzymes that belong to the cysteine protease family and play a crucial role in homeostasis and programmed cell death. Caspases have been broadly classified by their known roles in apoptosis (caspase-3, caspase-6, caspase-7, caspase-8, and caspase-9 in mammals) and in inflammation (caspase-1, caspase-4, caspase-5, and caspase-12 in humans, and caspase-1, caspase-11, and caspase-12 in mice). Caspases involved in apoptosis have been subclassified by their mechanism of action as either initiator caspases (caspase-8 and caspase-9) or executioner caspases (caspase-3, caspase-6, and caspase-7). Caspases that participate in apoptosis are inhibited by proteins known as inhibitors of apoptosis (IAPs). In addition to apoptosis, caspases play a role in necroptosis, pyroptosis, and autophagy, which are non-apoptotic cell death processes. Dysregulation of caspases features prominently in many human diseases, including cancer, autoimmunity, and neurodegenerative disorders, and increasing evidence shows that altering caspase activity can confer therapeutic benefits. This review covers the different types of caspases, their functions, and their physiological and biological activities and roles in different organisms.","container-title":"Molecular Neurobiology","DOI":"10.1007/s12035-023-03433-5","ISSN":"1559-1182","issue":"10","journalAbbreviation":"Mol Neurobiol","language":"eng","note":"PMID: 37349620","page":"5805-5837","source":"PubMed","title":"A Review on Caspases: Key Regulators of Biological Activities and Apoptosis","title-short":"A Review on Caspases","volume":"60","author":[{"family":"Sahoo","given":"Gayatri"},{"family":"Samal","given":"Dibyaranjan"},{"family":"Khandayataray","given":"Pratima"},{"family":"Murthy","given":"Meesala Krishna"}],"issued":{"date-parts":[["2023",10]]}}}],"schema":"https://github.com/citation-style-language/schema/raw/master/csl-citation.json"}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(Sahoo et al., 2023)</w:t>
      </w:r>
      <w:r w:rsidR="003D4B1C">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Consequently, targeting IAPs has emerged as a promising therapeutic strategy. Approaches such as </w:t>
      </w:r>
      <w:proofErr w:type="spellStart"/>
      <w:r w:rsidRPr="00DA4F60">
        <w:rPr>
          <w:rFonts w:ascii="Times New Roman" w:eastAsia="Times New Roman" w:hAnsi="Times New Roman" w:cs="Times New Roman"/>
          <w:sz w:val="24"/>
          <w:szCs w:val="24"/>
        </w:rPr>
        <w:t>Smac</w:t>
      </w:r>
      <w:proofErr w:type="spellEnd"/>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lastRenderedPageBreak/>
        <w:t>mimetics are being developed to inhibit their function and re-sensitize cancer cells to apoptosis</w:t>
      </w:r>
      <w:r w:rsidR="00A93B2F">
        <w:rPr>
          <w:rFonts w:ascii="Times New Roman" w:eastAsia="Times New Roman" w:hAnsi="Times New Roman" w:cs="Times New Roman"/>
          <w:sz w:val="24"/>
          <w:szCs w:val="24"/>
        </w:rPr>
        <w:t xml:space="preserve"> </w:t>
      </w:r>
      <w:r w:rsidR="00A93B2F" w:rsidRPr="00A93B2F">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{"citationID":"hkdIbxec","properties":{"formattedCitation":"(Boice &amp; Bouchier-Hayes, 2020)","plainCitation":"(Boice &amp; Bouchier-Hayes, 2020)","noteIndex":0},"citationItems":[{"id":412,"uris":["http://zotero.org/users/15444919/items/YHDAMGR4"],"itemData":{"id":412,"type":"article-journal","abstract":"Members of the caspase family of proteases play essential roles in the initiation and execution of apoptosis. These caspases are divided into two groups: the initiator caspases (caspase-2, -8, -9 and -10), which are the first to be activated in response to a signal, and the executioner caspases (caspase-3, -6, and -7) that carry out the demolition phase of apoptosis. Many conventional cancer therapies induce apoptosis to remove the cancer cell by engaging these caspases indirectly. Newer therapeutic applications have been designed, including those that specifically activate individual caspases using gene therapy approaches and small molecules that repress natural inhibitors of caspases already present in the cell. For such approaches to have maximal clinical efficacy, emerging insights into non-apoptotic roles of these caspases need to be considered. This review will discuss the roles of caspases as safeguards against cancer in the context of the advantages and potential limitations of targeting apoptotic caspases for the treatment of cancer.","container-title":"Biochimica Et Biophysica Acta. Molecular Cell Research","DOI":"10.1016/j.bbamcr.2020.118688","ISSN":"1879-2596","issue":"6","journalAbbreviation":"Biochim Biophys Acta Mol Cell Res","language":"eng","note":"PMID: 32087180\nPMCID: PMC7155770","page":"118688","source":"PubMed","title":"Targeting apoptotic caspases in cancer","volume":"1867","author":[{"family":"Boice","given":"Ashley"},{"family":"Bouchier-Hayes","given":"Lisa"}],"issued":{"date-parts":[["2020",6]]}}}],"schema":"https://github.com/citation-style-language/schema/raw/master/csl-citation.json"} </w:instrText>
      </w:r>
      <w:r w:rsidR="00A93B2F" w:rsidRPr="00A93B2F">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(Boice &amp; Bouchier-Hayes, 2020)</w:t>
      </w:r>
      <w:r w:rsidR="00A93B2F" w:rsidRPr="00A93B2F">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Overall, the multifaceted roles of IAPs in promoting cell survival, modulating signalling pathways, and contributing to treatment resistance highlight their critical involvement in cancer progression and their potential as therapeutic targets</w:t>
      </w:r>
      <w:r w:rsidR="003D4B1C">
        <w:rPr>
          <w:rFonts w:ascii="Times New Roman" w:eastAsia="Times New Roman" w:hAnsi="Times New Roman" w:cs="Times New Roman"/>
          <w:sz w:val="24"/>
          <w:szCs w:val="24"/>
        </w:rPr>
        <w:t xml:space="preserve"> </w:t>
      </w:r>
      <w:r w:rsidR="003D4B1C">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{"citationID":"PSuf4g7I","properties":{"formattedCitation":"(Rathore et al., 2017)","plainCitation":"(Rathore et al., 2017)","noteIndex":0},"citationItems":[{"id":253,"uris":["http://zotero.org/users/15444919/items/9NKT3BA7"],"itemData":{"id":253,"type":"article-journal","abstract":"Inhibitors of apoptosis (IAPs) are a family of proteins that play a significant role in the control of programmed cell death (PCD). PCD is essential to maintain healthy cell turnover within tissue but also to fight disease or infection. Uninhibited, IAPs can suppress apoptosis and promote cell cycle progression. Therefore, it is unsurprising that cancer cells demonstrate significantly elevated expression levels of IAPs, resulting in improved cell survival, enhanced tumor growth and subsequent metastasis. Therapies to target IAPs in cancer has garnered substantial scientific interest and as resistance to anti-cancer agents becomes more prevalent, targeting IAPs has become an increasingly attractive strategy to re-sensitize cancer cells to chemotherapies, antibody based-therapies and TRAIL therapy. Antagonism strategies to modulate the actions of XIAP, cIAP1/2 and survivin are the central focus of current research and this review highlights advances within this field with particular emphasis upon the development and specificity of second mitochondria-derived activator of caspase (SMAC) mimetics (synthetic analogs of endogenously expressed inhibitors of IAPs SMAC/DIABLO). While we highlight the potential of SMAC mimetics as effective single agent or combinatory therapies to treat cancer we also discuss the likely clinical implications of resistance to SMAC mimetic therapy, occasionally observed in cancer cell lines.","container-title":"Apoptosis","DOI":"10.1007/s10495-017-1375-1","ISSN":"1360-8185","issue":"7","journalAbbreviation":"Apoptosis","note":"PMID: 28424988\nPMCID: PMC5486846","page":"898-919","source":"PubMed Central","title":"Overcoming chemotherapy drug resistance by targeting inhibitors of apoptosis proteins (IAPs)","volume":"22","author":[{"family":"Rathore","given":"Rama"},{"family":"McCallum","given":"Jennifer E."},{"family":"Varghese","given":"Elizabeth"},{"family":"Florea","given":"Ana-Maria"},{"family":"Büsselberg","given":"Dietrich"}],"issued":{"date-parts":[["2017"]]}}}],"schema":"https://github.com/citation-style-language/schema/raw/master/csl-citation.json"} </w:instrText>
      </w:r>
      <w:r w:rsidR="003D4B1C">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(Rathore et al., 2017)</w:t>
      </w:r>
      <w:r w:rsidR="003D4B1C">
        <w:rPr>
          <w:rFonts w:ascii="Times New Roman" w:eastAsia="Times New Roman" w:hAnsi="Times New Roman" w:cs="Times New Roman"/>
          <w:sz w:val="24"/>
          <w:szCs w:val="24"/>
        </w:rPr>
        <w:fldChar w:fldCharType="end"/>
      </w:r>
      <w:r w:rsidR="003D4B1C">
        <w:rPr>
          <w:rFonts w:ascii="Times New Roman" w:eastAsia="Times New Roman" w:hAnsi="Times New Roman" w:cs="Times New Roman"/>
          <w:sz w:val="24"/>
          <w:szCs w:val="24"/>
        </w:rPr>
        <w:t>.</w:t>
      </w:r>
      <w:r w:rsidR="00FC085A">
        <w:rPr>
          <w:rFonts w:ascii="Times New Roman" w:eastAsia="Times New Roman" w:hAnsi="Times New Roman" w:cs="Times New Roman"/>
          <w:sz w:val="24"/>
          <w:szCs w:val="24"/>
        </w:rPr>
        <w:t xml:space="preserve"> </w:t>
      </w:r>
    </w:p>
    <w:p w14:paraId="0000002B" w14:textId="10ACC413" w:rsidR="00C14A47" w:rsidRPr="00DA4F60" w:rsidRDefault="00DA4F60"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3.2 Role of BCL-2 in Cancer Progression</w:t>
      </w:r>
    </w:p>
    <w:p w14:paraId="4C67AB2A" w14:textId="38909841" w:rsidR="00222536" w:rsidRPr="00DA4F60" w:rsidRDefault="00BF4936"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BCL-2 plays a crucial role in cancer progression by regulating apoptosis, a vital process that maintains cellular balance. </w:t>
      </w:r>
      <w:r w:rsidR="00222536" w:rsidRPr="00DA4F60">
        <w:rPr>
          <w:rFonts w:ascii="Times New Roman" w:eastAsia="Times New Roman" w:hAnsi="Times New Roman" w:cs="Times New Roman"/>
          <w:sz w:val="24"/>
          <w:szCs w:val="24"/>
        </w:rPr>
        <w:t>In normal cells, apoptosis is required to eliminate damaged or undesired cells</w:t>
      </w:r>
      <w:r w:rsidR="00A93B2F">
        <w:rPr>
          <w:rFonts w:ascii="Times New Roman" w:eastAsia="Times New Roman" w:hAnsi="Times New Roman" w:cs="Times New Roman"/>
          <w:sz w:val="24"/>
          <w:szCs w:val="24"/>
        </w:rPr>
        <w:t xml:space="preserve"> </w:t>
      </w:r>
      <w:r w:rsidR="00A93B2F" w:rsidRPr="00A93B2F">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{"citationID":"Dj8ESFyx","properties":{"formattedCitation":"(Ashkenazi et al., 2017)","plainCitation":"(Ashkenazi et al., 2017)","noteIndex":0},"citationItems":[{"id":415,"uris":["http://zotero.org/users/15444919/items/6B28B5TI"],"itemData":{"id":415,"type":"article-journal","abstract":"Members of the B cell lymphoma 2 (BCL-2) gene family have a central role in regulating programmed cell death by controlling pro-apoptotic and anti-apoptotic intracellular signals. In cancer, apoptosis evasion through dysregulation of specific BCL-2 family genes is a recurring event; accordingly, selective inhibition of specific anti-apoptotic BCL-2 family proteins represents an exciting therapeutic opportunity. A combination of nuclear magnetic resonance (NMR)-based screening and structure-based drug design has yielded the first bona fide BCL-2 homology 3 (BH3) mimetics, including the BCL-2 and BCL-XL dual antagonist navitoclax, which is the first BCL-2 family inhibitor to show efficacy in patients with cancer. Clinical experience with navitoclax prompted the generation of the highly selective BCL-2 inhibitor venetoclax, which is now approved in the United States for the treatment of patients with chronic lymphocytic leukaemia with 17p deletion who have received at least one prior therapy. Recent advances have also been made in the development of potent and selective inhibitors of BCL-XL and myeloid cell leukaemia 1 (MCL1), which are additional BCL-2 family members with established anti-apoptotic roles in cancer. Here we review the latest progress in direct and selective targeting of BCL-2 family proteins for cancer therapy.","container-title":"Nature Reviews. Drug Discovery","DOI":"10.1038/nrd.2016.253","ISSN":"1474-1784","issue":"4","journalAbbreviation":"Nat Rev Drug Discov","language":"eng","note":"PMID: 28209992","page":"273-284","source":"PubMed","title":"From basic apoptosis discoveries to advanced selective BCL-2 family inhibitors","volume":"16","author":[{"family":"Ashkenazi","given":"Avi"},{"family":"Fairbrother","given":"Wayne J."},{"family":"Leverson","given":"Joel D."},{"family":"Souers","given":"Andrew J."}],"issued":{"date-parts":[["2017",4]]}}}],"schema":"https://github.com/citation-style-language/schema/raw/master/csl-citation.json"} </w:instrText>
      </w:r>
      <w:r w:rsidR="00A93B2F" w:rsidRPr="00A93B2F">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(Ashkenazi et al., 2017)</w:t>
      </w:r>
      <w:r w:rsidR="00A93B2F" w:rsidRPr="00A93B2F">
        <w:rPr>
          <w:rFonts w:ascii="Times New Roman" w:eastAsia="Times New Roman" w:hAnsi="Times New Roman" w:cs="Times New Roman"/>
          <w:sz w:val="24"/>
          <w:szCs w:val="24"/>
          <w:highlight w:val="yellow"/>
        </w:rPr>
        <w:fldChar w:fldCharType="end"/>
      </w:r>
      <w:r w:rsidR="00222536" w:rsidRPr="00DA4F60">
        <w:rPr>
          <w:rFonts w:ascii="Times New Roman" w:eastAsia="Times New Roman" w:hAnsi="Times New Roman" w:cs="Times New Roman"/>
          <w:sz w:val="24"/>
          <w:szCs w:val="24"/>
        </w:rPr>
        <w:t>. However, cancer cells frequently exploit the anti-apoptotic features of BCL-2 to avoid cell death, allowing them to persist and grow uncontrollably</w:t>
      </w:r>
      <w:r w:rsidRPr="00DA4F60">
        <w:rPr>
          <w:rFonts w:ascii="Times New Roman" w:eastAsia="Times New Roman" w:hAnsi="Times New Roman" w:cs="Times New Roman"/>
          <w:sz w:val="24"/>
          <w:szCs w:val="24"/>
        </w:rPr>
        <w:t xml:space="preserve">. The dysregulation of </w:t>
      </w:r>
      <w:r w:rsidRPr="00DA4F60">
        <w:rPr>
          <w:rFonts w:ascii="Times New Roman" w:eastAsia="Times New Roman" w:hAnsi="Times New Roman" w:cs="Times New Roman"/>
          <w:sz w:val="24"/>
          <w:szCs w:val="24"/>
        </w:rPr>
        <w:t>apoptosis pathways, particularly through the overexpression of BCL-2, contributes to the resistance of cancer cells against standard therapies like chemotherapy, which rely on inducing apoptosis to kill malignant cells</w:t>
      </w:r>
      <w:r w:rsidR="000333C3">
        <w:rPr>
          <w:rFonts w:ascii="Times New Roman" w:eastAsia="Times New Roman" w:hAnsi="Times New Roman" w:cs="Times New Roman"/>
          <w:sz w:val="24"/>
          <w:szCs w:val="24"/>
        </w:rPr>
        <w:t xml:space="preserve"> </w:t>
      </w:r>
      <w:r w:rsidR="000333C3">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{"citationID":"jclHYAx2","properties":{"formattedCitation":"(Kaloni et al., 2023)","plainCitation":"(Kaloni et al., 2023)","noteIndex":0},"citationItems":[{"id":257,"uris":["http://zotero.org/users/15444919/items/XSYCS5TN"],"itemData":{"id":257,"type":"article-journal","abstract":"Acquired resistance to cell death is a hallmark of cancer. The BCL-2 protein family members play important roles in controlling apoptotic cell death. Abnormal over-expression of pro-survival BCL-2 family members or abnormal reduction of pro-apoptotic BCL-2 family proteins, both resulting in the inhibition of apoptosis, are frequently detected in diverse malignancies. The critical role of the pro-survival and pro-apoptotic BCL-2 family proteins in the regulation of apoptosis makes them attractive targets for the development of agents for the treatment of cancer. This review describes the roles of the various pro-survival and pro-apoptotic members of the BCL-2 protein family in normal development and organismal function and how defects in the control of apoptosis promote the development and therapy resistance of cancer. Finally, we discuss the development of inhibitors of pro-survival BCL-2 proteins, termed BH3-mimetic drugs, as novel agents for cancer therapy.","container-title":"Apoptosis: An International Journal on Programmed Cell Death","DOI":"10.1007/s10495-022-01780-7","ISSN":"1573-675X","issue":"1-2","journalAbbreviation":"Apoptosis","language":"eng","note":"PMID: 36342579\nPMCID: PMC9950219","page":"20-38","source":"PubMed","title":"BCL-2 protein family: attractive targets for cancer therapy","title-short":"BCL-2 protein family","volume":"28","author":[{"family":"Kaloni","given":"Deeksha"},{"family":"Diepstraten","given":"Sarah T."},{"family":"Strasser","given":"Andreas"},{"family":"Kelly","given":"Gemma L."}],"issued":{"date-parts":[["2023",2]]}}}],"schema":"https://github.com/citation-style-language/schema/raw/master/csl-citation.json"} </w:instrText>
      </w:r>
      <w:r w:rsidR="000333C3">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(Kaloni et al., 2023)</w:t>
      </w:r>
      <w:r w:rsidR="000333C3">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w:t>
      </w:r>
      <w:r w:rsidR="00222536" w:rsidRPr="00DA4F60">
        <w:rPr>
          <w:rFonts w:ascii="Times New Roman" w:eastAsia="Times New Roman" w:hAnsi="Times New Roman" w:cs="Times New Roman"/>
          <w:sz w:val="24"/>
          <w:szCs w:val="24"/>
        </w:rPr>
        <w:t xml:space="preserve">This avoidance of apoptosis not only promotes tumor growth but also contributes to the formation of residual tumors and recurrent metastatic illness, complicating treatment outcomes. </w:t>
      </w:r>
    </w:p>
    <w:p w14:paraId="0000002C" w14:textId="409095C4" w:rsidR="00C14A47" w:rsidRPr="00DA4F60" w:rsidRDefault="00BF4936"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Moreover, BCL-2 interacts with various growth factors and signaling pathways, which enhances tumor progression. The dysregulation of these path</w:t>
      </w:r>
      <w:r w:rsidRPr="00DA4F60">
        <w:rPr>
          <w:rFonts w:ascii="Times New Roman" w:eastAsia="Times New Roman" w:hAnsi="Times New Roman" w:cs="Times New Roman"/>
          <w:sz w:val="24"/>
          <w:szCs w:val="24"/>
        </w:rPr>
        <w:t xml:space="preserve">ways often leads to compensatory survival mechanisms, such as autophagy, which further supports cancer cell </w:t>
      </w:r>
      <w:r w:rsidRPr="00CF134A">
        <w:rPr>
          <w:rFonts w:ascii="Times New Roman" w:eastAsia="Times New Roman" w:hAnsi="Times New Roman" w:cs="Times New Roman"/>
          <w:sz w:val="24"/>
          <w:szCs w:val="24"/>
          <w:highlight w:val="yellow"/>
        </w:rPr>
        <w:t>survival</w:t>
      </w:r>
      <w:r w:rsidR="00CF134A" w:rsidRPr="00CF134A">
        <w:rPr>
          <w:rFonts w:ascii="Times New Roman" w:eastAsia="Times New Roman" w:hAnsi="Times New Roman" w:cs="Times New Roman"/>
          <w:sz w:val="24"/>
          <w:szCs w:val="24"/>
          <w:highlight w:val="yellow"/>
        </w:rPr>
        <w:t xml:space="preserve"> </w:t>
      </w:r>
      <w:r w:rsidR="00CF134A" w:rsidRPr="00CF134A">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{"citationID":"hcHaedH7","properties":{"formattedCitation":"(Elnaggar et al., 2021)","plainCitation":"(Elnaggar et al., 2021)","noteIndex":0},"citationItems":[{"id":417,"uris":["http://zotero.org/users/15444919/items/LRU3JTKI"],"itemData":{"id":417,"type":"article-journal","abstract":"OBJECTIVE: Lung cancer is one of the most prevalent cancers and the leading cause of cancer-related deaths worldwide. MicroRNAs regulate more than 60% of human genes, including tumor suppressor genes and oncogenes. Accordingly, they can affect cancer risk. This study aimed to evaluate the role of serum miR-148a as a non-invasive biomarker in non-small cell lung cancer (NSCLC) patients and to assess the correlation between miR-148a and Bcl-2, as one of its target proteins.\nMATERIALS AND METHODS: A total of 50 newly diagnosed NSCLC cases and 30 apparently healthy controls were recruited in this study. MiR-148a level was measured by TaqMan- Real time RT-PCR assay and Bcl-2 level was measured by ELISA.\nRESULTS: Significant lower expression of serum miR-148a and higher serum Bcl-2 levels were observed in NSCLC patients as compared to the control group (p.","container-title":"Asian Pacific journal of cancer prevention: APJCP","DOI":"10.31557/APJCP.2021.22.6.1949","ISSN":"2476-762X","issue":"6","journalAbbreviation":"Asian Pac J Cancer Prev","language":"eng","note":"PMID: 34181356\nPMCID: PMC8418855","page":"1949-1955","source":"PubMed","title":"Micro RNA-148a Targets Bcl-2 in Patients with Non-Small Cell Lung Cancer","volume":"22","author":[{"family":"Elnaggar","given":"Ghada Nabil"},{"family":"El-Hifnawi","given":"Niveen M."},{"family":"Ismail","given":"Abeer"},{"family":"Yahia","given":"Maha"},{"family":"Elshimy","given":"Reham A. A."}],"issued":{"date-parts":[["2021",6,1]]}}}],"schema":"https://github.com/citation-style-language/schema/raw/master/csl-citation.json"} </w:instrText>
      </w:r>
      <w:r w:rsidR="00CF134A" w:rsidRPr="00CF134A">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(Elnaggar et al., 2021)</w:t>
      </w:r>
      <w:r w:rsidR="00CF134A" w:rsidRPr="00CF134A">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The balance between pro-apoptotic and anti-apoptotic signals is crucial; when BCL-2 is overexpressed, it shift</w:t>
      </w:r>
      <w:r w:rsidRPr="00DA4F60">
        <w:rPr>
          <w:rFonts w:ascii="Times New Roman" w:eastAsia="Times New Roman" w:hAnsi="Times New Roman" w:cs="Times New Roman"/>
          <w:sz w:val="24"/>
          <w:szCs w:val="24"/>
        </w:rPr>
        <w:t xml:space="preserve">s this balance toward survival, allowing cancer cells to thrive even in challenging conditions. </w:t>
      </w:r>
      <w:r w:rsidR="00222536" w:rsidRPr="00DA4F60">
        <w:rPr>
          <w:rFonts w:ascii="Times New Roman" w:eastAsia="Times New Roman" w:hAnsi="Times New Roman" w:cs="Times New Roman"/>
          <w:sz w:val="24"/>
          <w:szCs w:val="24"/>
        </w:rPr>
        <w:t xml:space="preserve">Targeting BCL-2 and its family members has emerged as a viable technique in cancer therapy, </w:t>
      </w:r>
      <w:r w:rsidR="008B7567">
        <w:rPr>
          <w:rFonts w:ascii="Times New Roman" w:eastAsia="Times New Roman" w:hAnsi="Times New Roman" w:cs="Times New Roman"/>
          <w:sz w:val="24"/>
          <w:szCs w:val="24"/>
        </w:rPr>
        <w:t>to restore the apoptotic process and improve</w:t>
      </w:r>
      <w:r w:rsidR="00222536" w:rsidRPr="00DA4F60">
        <w:rPr>
          <w:rFonts w:ascii="Times New Roman" w:eastAsia="Times New Roman" w:hAnsi="Times New Roman" w:cs="Times New Roman"/>
          <w:sz w:val="24"/>
          <w:szCs w:val="24"/>
        </w:rPr>
        <w:t xml:space="preserve"> therapeutic success</w:t>
      </w:r>
      <w:r w:rsidR="000333C3">
        <w:rPr>
          <w:rFonts w:ascii="Times New Roman" w:eastAsia="Times New Roman" w:hAnsi="Times New Roman" w:cs="Times New Roman"/>
          <w:sz w:val="24"/>
          <w:szCs w:val="24"/>
        </w:rPr>
        <w:t xml:space="preserve"> </w:t>
      </w:r>
      <w:r w:rsidR="000333C3">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{"citationID":"NKYhdtxW","properties":{"formattedCitation":"(Zheng et al., 2020)","plainCitation":"(Zheng et al., 2020)","noteIndex":0},"citationItems":[{"id":260,"uris":["http://zotero.org/users/15444919/items/QHTXRV9W"],"itemData":{"id":260,"type":"article-journal","abstract":"In the body, millions of cells die and proliferate each day to maintain normal function and cooperation of all tissues, organs, and systems. Thus, programmed cell death, or apoptosis, is critical to sustain growth, development, and body health. The vital role of B-cell leukemia/lymphoma-2 (BCL-2) family proteins in apoptosis has been identified. The BCL-2 family includes both pro- and antiapoptotic proteins, which are structurally and functionally related, containing up to four BCL-2 homology (BH) motifs (BH1-4). There are also some nutritional factors that regulate apoptosis via the BCL-2 family proteins. In this review, the BCL-2 family proteins and their apoptosis-inducing mechanism have been discussed, along with the nutrient factors that regulate apoptosis through the BCL-2 family proteins.","container-title":"Current Protein &amp; Peptide Science","DOI":"10.2174/1389203721666191227122252","ISSN":"1875-5550","issue":"8","journalAbbreviation":"Curr Protein Pept Sci","language":"eng","note":"PMID: 31880257","page":"799-806","source":"PubMed","title":"Role of BCL-2 Family Proteins in Apoptosis and its Regulation by Nutrients","volume":"21","author":[{"family":"Zheng","given":"Chen"},{"family":"Liu","given":"Ting"},{"family":"Liu","given":"Huihui"},{"family":"Wang","given":"Jing"}],"issued":{"date-parts":[["2020"]]}}}],"schema":"https://github.com/citation-style-language/schema/raw/master/csl-citation.json"} </w:instrText>
      </w:r>
      <w:r w:rsidR="000333C3">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(Zheng et al., 2020)</w:t>
      </w:r>
      <w:r w:rsidR="000333C3">
        <w:rPr>
          <w:rFonts w:ascii="Times New Roman" w:eastAsia="Times New Roman" w:hAnsi="Times New Roman" w:cs="Times New Roman"/>
          <w:sz w:val="24"/>
          <w:szCs w:val="24"/>
        </w:rPr>
        <w:fldChar w:fldCharType="end"/>
      </w:r>
      <w:r w:rsidR="000333C3">
        <w:rPr>
          <w:rFonts w:ascii="Times New Roman" w:eastAsia="Times New Roman" w:hAnsi="Times New Roman" w:cs="Times New Roman"/>
          <w:sz w:val="24"/>
          <w:szCs w:val="24"/>
        </w:rPr>
        <w:t>.</w:t>
      </w:r>
      <w:r w:rsidR="00551C46">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Overall, the role of BCL-2 </w:t>
      </w:r>
      <w:r w:rsidR="00DD5B89">
        <w:rPr>
          <w:rFonts w:ascii="Times New Roman" w:eastAsia="Times New Roman" w:hAnsi="Times New Roman" w:cs="Times New Roman"/>
          <w:sz w:val="24"/>
          <w:szCs w:val="24"/>
        </w:rPr>
        <w:t>(</w:t>
      </w:r>
      <w:r w:rsidR="00DD5B89" w:rsidRPr="00DA4F60">
        <w:rPr>
          <w:rFonts w:ascii="Times New Roman" w:eastAsia="Times New Roman" w:hAnsi="Times New Roman" w:cs="Times New Roman"/>
          <w:b/>
          <w:sz w:val="24"/>
          <w:szCs w:val="24"/>
        </w:rPr>
        <w:t>Fi</w:t>
      </w:r>
      <w:r w:rsidR="00DD5B89">
        <w:rPr>
          <w:rFonts w:ascii="Times New Roman" w:eastAsia="Times New Roman" w:hAnsi="Times New Roman" w:cs="Times New Roman"/>
          <w:b/>
          <w:sz w:val="24"/>
          <w:szCs w:val="24"/>
        </w:rPr>
        <w:t>g</w:t>
      </w:r>
      <w:r w:rsidR="008B7567">
        <w:rPr>
          <w:rFonts w:ascii="Times New Roman" w:eastAsia="Times New Roman" w:hAnsi="Times New Roman" w:cs="Times New Roman"/>
          <w:b/>
          <w:sz w:val="24"/>
          <w:szCs w:val="24"/>
        </w:rPr>
        <w:t>ure</w:t>
      </w:r>
      <w:r w:rsidR="00DD5B89">
        <w:rPr>
          <w:rFonts w:ascii="Times New Roman" w:eastAsia="Times New Roman" w:hAnsi="Times New Roman" w:cs="Times New Roman"/>
          <w:b/>
          <w:sz w:val="24"/>
          <w:szCs w:val="24"/>
        </w:rPr>
        <w:t xml:space="preserve"> </w:t>
      </w:r>
      <w:r w:rsidR="00DD5B89" w:rsidRPr="00DA4F60">
        <w:rPr>
          <w:rFonts w:ascii="Times New Roman" w:eastAsia="Times New Roman" w:hAnsi="Times New Roman" w:cs="Times New Roman"/>
          <w:b/>
          <w:sz w:val="24"/>
          <w:szCs w:val="24"/>
        </w:rPr>
        <w:t>1</w:t>
      </w:r>
      <w:r w:rsidR="00DD5B89">
        <w:rPr>
          <w:rFonts w:ascii="Times New Roman" w:eastAsia="Times New Roman" w:hAnsi="Times New Roman" w:cs="Times New Roman"/>
          <w:b/>
          <w:sz w:val="24"/>
          <w:szCs w:val="24"/>
        </w:rPr>
        <w:t xml:space="preserve">) </w:t>
      </w:r>
      <w:r w:rsidRPr="00DA4F60">
        <w:rPr>
          <w:rFonts w:ascii="Times New Roman" w:eastAsia="Times New Roman" w:hAnsi="Times New Roman" w:cs="Times New Roman"/>
          <w:sz w:val="24"/>
          <w:szCs w:val="24"/>
        </w:rPr>
        <w:t>in cancer progression underscores the importance of regulating apoptosis for maintaining cellular integrity and emphasizes the potential for therapeutic interventions that effectively target this pathway</w:t>
      </w:r>
      <w:r w:rsidR="00551C46">
        <w:rPr>
          <w:rFonts w:ascii="Times New Roman" w:eastAsia="Times New Roman" w:hAnsi="Times New Roman" w:cs="Times New Roman"/>
          <w:sz w:val="24"/>
          <w:szCs w:val="24"/>
        </w:rPr>
        <w:t xml:space="preserve"> </w:t>
      </w:r>
      <w:r w:rsidR="00551C46">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{"citationID":"ywTC5rWl","properties":{"formattedCitation":"(Blum et al., 2023)","plainCitation":"(Blum et al., 2023)","noteIndex":0},"citationItems":[{"id":262,"uris":["http://zotero.org/users/15444919/items/6XPIGDDC"],"itemData":{"id":262,"type":"article-journal","abstract":"Myelodysplasic syndromes (MDS) are diseases occurring mainly in the elderly population. Although hematopoietic stem cell transplantation is the only hope for cure, a majority of the patients suffering from MDS are too old or frail for intensive treatment regimens such as intensive chemotherapy and transplantation. The gold standard for those patients is currently treatment with hypomethylating agents, although real-life data could not reproduce the overall survival rates reported for the pivotal azacitidine phase III study. MDS treatment is often inspired by treatment for acute myeloid leukemia (AML). The new gold standard for elderly and frail patients not able to undergo intensive treatment regimens in AML is the combination of hypomethylating agents with venetoclax, a BCL-2 inhibitor that also showed excellent treatment outcomes in other hematological malignancies. In this review, we explain the rationale for the use of venetoclax in hematological malignancies, study outcomes available so far and the current knowledge of its use in MDS.","container-title":"International Journal of Cancer","DOI":"10.1002/ijc.34377","ISSN":"1097-0215","issue":"8","journalAbbreviation":"Int J Cancer","language":"eng","note":"PMID: 36444492","page":"1526-1535","source":"PubMed","title":"Role of Bcl-2 inhibition in myelodysplastic syndromes","volume":"152","author":[{"family":"Blum","given":"Sabine"},{"family":"Tsilimidos","given":"Gerasimos"},{"family":"Bresser","given":"Helena"},{"family":"Lübbert","given":"Michael"}],"issued":{"date-parts":[["2023",4,15]]}}}],"schema":"https://github.com/citation-style-language/schema/raw/master/csl-citation.json"} </w:instrText>
      </w:r>
      <w:r w:rsidR="00551C46">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(Blum et al., 2023)</w:t>
      </w:r>
      <w:r w:rsidR="00551C46">
        <w:rPr>
          <w:rFonts w:ascii="Times New Roman" w:eastAsia="Times New Roman" w:hAnsi="Times New Roman" w:cs="Times New Roman"/>
          <w:sz w:val="24"/>
          <w:szCs w:val="24"/>
        </w:rPr>
        <w:fldChar w:fldCharType="end"/>
      </w:r>
      <w:r w:rsidR="000333C3">
        <w:rPr>
          <w:rFonts w:ascii="Times New Roman" w:eastAsia="Times New Roman" w:hAnsi="Times New Roman" w:cs="Times New Roman"/>
          <w:sz w:val="24"/>
          <w:szCs w:val="24"/>
        </w:rPr>
        <w:t>.</w:t>
      </w:r>
    </w:p>
    <w:p w14:paraId="0000002D" w14:textId="77777777" w:rsidR="00C14A47" w:rsidRPr="00DA4F60" w:rsidRDefault="00BF4936"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4. Role of Apoptosis in Tumor Microenvironment Dynamics</w:t>
      </w:r>
    </w:p>
    <w:p w14:paraId="43853808" w14:textId="77777777" w:rsidR="001A2D4E" w:rsidRDefault="00222536" w:rsidP="001A2D4E">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The tumor microenvironment (TME) plays an important role in cancer growth and progression, as well as apoptosis</w:t>
      </w:r>
      <w:r w:rsidR="00CF134A">
        <w:rPr>
          <w:rFonts w:ascii="Times New Roman" w:eastAsia="Times New Roman" w:hAnsi="Times New Roman" w:cs="Times New Roman"/>
          <w:sz w:val="24"/>
          <w:szCs w:val="24"/>
        </w:rPr>
        <w:t xml:space="preserve"> </w:t>
      </w:r>
      <w:r w:rsidR="00CF134A" w:rsidRPr="00CF134A">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{"citationID":"BP24qlCL","properties":{"formattedCitation":"(Wang et al., 2018)","plainCitation":"(Wang et al., 2018)","noteIndex":0},"citationItems":[{"id":420,"uris":["http://zotero.org/users/15444919/items/ANWC9U6Q"],"itemData":{"id":420,"type":"article-journal","abstract":"This is a review regarding different types of cancer treatments. We aimed at analyzing the tumor microenvironment and the recent trends for the therapeutic applications and effectiveness for several kinds of cancers. Traditionally the cancer treatment was based on the neoplastic cells. Methods such as surgery, radiation, chemotherapy, and immunotherapy, which were targeted on the highly proliferating mutated tumor cells, have been investigated. The tumor microenvironment describes the non-cancerous cells in the tumor and has enabled to investigate the behavior and response of the cancer cells to a treatment process; it consists in a tissue that may have a predictive significance for tumor behavior and response to therapy. These include fibroblasts, immune cells and cells that comprise the blood vessels. It also includes the proteins produced by all of the cells present in the tumor that support the growth of the cancer cells. By monitoring changes in the tumor microenvironment using its molecular and cellular profiles as the tumor progresses will be vital for identifying cell or protein targets for the cancer prevention and its therapeutic purposes.","container-title":"European Review for Medical and Pharmacological Sciences","DOI":"10.26355/eurrev_201806_15270","ISSN":"2284-0729","issue":"12","journalAbbreviation":"Eur Rev Med Pharmacol Sci","language":"eng","note":"PMID: 29949179","page":"3855-3864","source":"PubMed","title":"Tumor microenvironment: recent advances in various cancer treatments","title-short":"Tumor microenvironment","volume":"22","author":[{"family":"Wang","given":"J.-J."},{"family":"Lei","given":"K.-F."},{"family":"Han","given":"F."}],"issued":{"date-parts":[["2018",6]]}}}],"schema":"https://github.com/citation-style-language/schema/raw/master/csl-citation.json"} </w:instrText>
      </w:r>
      <w:r w:rsidR="00CF134A" w:rsidRPr="00CF134A">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(Wang et al., 2018)</w:t>
      </w:r>
      <w:r w:rsidR="00CF134A" w:rsidRPr="00CF134A">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xml:space="preserve">. It consists of various cellular and non-cellular elements that dynamically interact with tumor cells to affect their </w:t>
      </w:r>
      <w:proofErr w:type="spellStart"/>
      <w:r w:rsidRPr="00DA4F60">
        <w:rPr>
          <w:rFonts w:ascii="Times New Roman" w:eastAsia="Times New Roman" w:hAnsi="Times New Roman" w:cs="Times New Roman"/>
          <w:sz w:val="24"/>
          <w:szCs w:val="24"/>
        </w:rPr>
        <w:t>behavior</w:t>
      </w:r>
      <w:proofErr w:type="spellEnd"/>
      <w:r w:rsidRPr="00DA4F60">
        <w:rPr>
          <w:rFonts w:ascii="Times New Roman" w:eastAsia="Times New Roman" w:hAnsi="Times New Roman" w:cs="Times New Roman"/>
          <w:sz w:val="24"/>
          <w:szCs w:val="24"/>
        </w:rPr>
        <w:t xml:space="preserve"> and results. Stromal cells (CAFs), immunological cells, endothelial cells, and the extracellular matrix (ECM) are all part </w:t>
      </w:r>
      <w:r w:rsidRPr="00DA4F60">
        <w:rPr>
          <w:rFonts w:ascii="Times New Roman" w:eastAsia="Times New Roman" w:hAnsi="Times New Roman" w:cs="Times New Roman"/>
          <w:sz w:val="24"/>
          <w:szCs w:val="24"/>
        </w:rPr>
        <w:lastRenderedPageBreak/>
        <w:t xml:space="preserve">of the TME. Together, these factors form a </w:t>
      </w:r>
      <w:proofErr w:type="spellStart"/>
      <w:r w:rsidRPr="00DA4F60">
        <w:rPr>
          <w:rFonts w:ascii="Times New Roman" w:eastAsia="Times New Roman" w:hAnsi="Times New Roman" w:cs="Times New Roman"/>
          <w:sz w:val="24"/>
          <w:szCs w:val="24"/>
        </w:rPr>
        <w:t>favorable</w:t>
      </w:r>
      <w:proofErr w:type="spellEnd"/>
      <w:r w:rsidRPr="00DA4F60">
        <w:rPr>
          <w:rFonts w:ascii="Times New Roman" w:eastAsia="Times New Roman" w:hAnsi="Times New Roman" w:cs="Times New Roman"/>
          <w:sz w:val="24"/>
          <w:szCs w:val="24"/>
        </w:rPr>
        <w:t xml:space="preserve"> environment for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and spread</w:t>
      </w:r>
      <w:r w:rsidR="00896A6F">
        <w:rPr>
          <w:rFonts w:ascii="Times New Roman" w:eastAsia="Times New Roman" w:hAnsi="Times New Roman" w:cs="Times New Roman"/>
          <w:sz w:val="24"/>
          <w:szCs w:val="24"/>
        </w:rPr>
        <w:t xml:space="preserve"> </w:t>
      </w:r>
      <w:r w:rsidR="00896A6F" w:rsidRPr="00896A6F">
        <w:rPr>
          <w:rFonts w:ascii="Times New Roman" w:eastAsia="Times New Roman" w:hAnsi="Times New Roman" w:cs="Times New Roman"/>
          <w:sz w:val="24"/>
          <w:szCs w:val="24"/>
        </w:rPr>
        <w:t>(36)</w:t>
      </w:r>
      <w:r w:rsidRPr="00DA4F60">
        <w:rPr>
          <w:rFonts w:ascii="Times New Roman" w:eastAsia="Times New Roman" w:hAnsi="Times New Roman" w:cs="Times New Roman"/>
          <w:sz w:val="24"/>
          <w:szCs w:val="24"/>
        </w:rPr>
        <w:t>. One of the key functions of the TME is to provide biochemical and physical signals that regulate tumor initiation and progression. These signals can promote cancer cell proliferation, survival, and invasion, contributing to the hallmarks of cancer. For example, tumor-associated stromal cells secrete various growth factors, cytokines, and chemokines that not only enhance cancer cell survival but also facilitate angiogenesis and inflammation, further promoting tumor growth</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{"citationID":"GFI3Cn9p","properties":{"formattedCitation":"(Tufail, 2023)","plainCitation":"(Tufail, 2023)","noteIndex":0},"citationItems":[{"id":302,"uris":["http://zotero.org/users/15444919/items/66MZ4UHN"],"itemData":{"id":302,"type":"article-journal","abstract":"The tumor microenvironment (TME) holds a crucial role in the progression of cancer. Epithelial-derived tumors share common traits in shaping the TME. The Warburg effect is a notable phenomenon wherein tumor cells exhibit resistance to apoptosis and an increased reliance on anaerobic glycolysis for energy production. Recognizing the pivotal role of the TME in controlling tumor growth and influencing responses to chemotherapy, researchers have focused on developing potential cancer treatment strategies. A wide array of therapies, including immunotherapies, antiangiogenic agents, interventions targeting cancer-associated fibroblasts (CAF), and therapies directed at the extracellular matrix, have been under investigation and have demonstrated efficacy. Additionally, innovative techniques such as tumor tissue explants, \"tumor-on-a-chip\" models, and multicellular tumor spheres have been explored in laboratory research. This comprehensive review aims to provide insights into the intricate cross-talk between cancer-associated signaling pathways and the TME in cancer progression, current therapeutic approaches targeting the TME, the immune landscape within solid tumors, the role of the viral TME, and cancer cell metabolism.","container-title":"Pathology, Research and Practice","DOI":"10.1016/j.prp.2023.154846","ISSN":"1618-0631","journalAbbreviation":"Pathol Res Pract","language":"eng","note":"PMID: 37837860","page":"154846","source":"PubMed","title":"Unlocking the potential of the tumor microenvironment for cancer therapy","volume":"251","author":[{"family":"Tufail","given":"Muhammad"}],"issued":{"date-parts":[["2023",11]]}}}],"schema":"https://github.com/citation-style-language/schema/raw/master/csl-citation.json"}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(Tufail, 2023)</w:t>
      </w:r>
      <w:r w:rsidR="004E293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The presence of low oxygen levels and an acidic pH within the TME creates local stress, which can activate stromal cells and facilitate the infiltration of immune cells. </w:t>
      </w:r>
      <w:r w:rsidR="007F68E1" w:rsidRPr="00DA4F60">
        <w:rPr>
          <w:rFonts w:ascii="Times New Roman" w:eastAsia="Times New Roman" w:hAnsi="Times New Roman" w:cs="Times New Roman"/>
          <w:sz w:val="24"/>
          <w:szCs w:val="24"/>
        </w:rPr>
        <w:t>The interaction between immune cells and the TME can either repress or accelerate tumor growth, depending on the specific setting and the types of immune cells involved</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{"citationID":"65xOZLay","properties":{"formattedCitation":"(de Visser &amp; Joyce, 2023)","plainCitation":"(de Visser &amp; Joyce, 2023)","noteIndex":0},"citationItems":[{"id":267,"uris":["http://zotero.org/users/15444919/items/MG2ICRFT"],"itemData":{"id":267,"type":"article-journal","abstract":"Cancers represent complex ecosystems comprising tumor cells and a multitude of non-cancerous cells, embedded in an altered extracellular matrix. The tumor microenvironment (TME) includes diverse immune cell types, cancer-associated fibroblasts, endothelial cells, pericytes, and various additional tissue-resident cell types. These host cells were once considered bystanders of tumorigenesis but are now known to play critical roles in the pathogenesis of cancer. The cellular composition and functional state of the TME can differ extensively depending on the organ in which the tumor arises, the intrinsic features of cancer cells, the tumor stage, and patient characteristics. Here, we review the importance of the TME in each stage of cancer progression, from tumor initiation, progression, invasion, and intravasation to metastatic dissemination and outgrowth. Understanding the complex interplay between tumor cell-intrinsic, cell-extrinsic, and systemic mediators of disease progression is critical for the rational development of effective anti-cancer treatments.","container-title":"Cancer Cell","DOI":"10.1016/j.ccell.2023.02.016","ISSN":"1878-3686","issue":"3","journalAbbreviation":"Cancer Cell","language":"eng","note":"PMID: 36917948","page":"374-403","source":"PubMed","title":"The evolving tumor microenvironment: From cancer initiation to metastatic outgrowth","title-short":"The evolving tumor microenvironment","volume":"41","author":[{"family":"Visser","given":"Karin E.","non-dropping-particle":"de"},{"family":"Joyce","given":"Johanna A."}],"issued":{"date-parts":[["2023",3,13]]}}}],"schema":"https://github.com/citation-style-language/schema/raw/master/csl-citation.json"}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(de Visser &amp; Joyce, 2023)</w:t>
      </w:r>
      <w:r w:rsidR="004E293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w:t>
      </w:r>
      <w:r w:rsidR="00CF134A">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Additionally, the </w:t>
      </w:r>
      <w:r w:rsidR="00DD5B89">
        <w:rPr>
          <w:rFonts w:ascii="Times New Roman" w:eastAsia="Times New Roman" w:hAnsi="Times New Roman" w:cs="Times New Roman"/>
          <w:sz w:val="24"/>
          <w:szCs w:val="24"/>
        </w:rPr>
        <w:t xml:space="preserve">local and distant microbiome (collection of trillions of microorganisms, living in and on the living body) </w:t>
      </w:r>
      <w:r w:rsidRPr="00DA4F60">
        <w:rPr>
          <w:rFonts w:ascii="Times New Roman" w:eastAsia="Times New Roman" w:hAnsi="Times New Roman" w:cs="Times New Roman"/>
          <w:sz w:val="24"/>
          <w:szCs w:val="24"/>
        </w:rPr>
        <w:t xml:space="preserve">plays </w:t>
      </w:r>
      <w:r w:rsidR="00DA4F60" w:rsidRPr="00DA4F60">
        <w:rPr>
          <w:rFonts w:ascii="Times New Roman" w:eastAsia="Times New Roman" w:hAnsi="Times New Roman" w:cs="Times New Roman"/>
          <w:sz w:val="24"/>
          <w:szCs w:val="24"/>
        </w:rPr>
        <w:t>an</w:t>
      </w:r>
      <w:r w:rsidRPr="00DA4F60">
        <w:rPr>
          <w:rFonts w:ascii="Times New Roman" w:eastAsia="Times New Roman" w:hAnsi="Times New Roman" w:cs="Times New Roman"/>
          <w:sz w:val="24"/>
          <w:szCs w:val="24"/>
        </w:rPr>
        <w:t xml:space="preserve"> </w:t>
      </w:r>
      <w:r w:rsidR="007F68E1" w:rsidRPr="00DA4F60">
        <w:rPr>
          <w:rFonts w:ascii="Times New Roman" w:eastAsia="Times New Roman" w:hAnsi="Times New Roman" w:cs="Times New Roman"/>
          <w:sz w:val="24"/>
          <w:szCs w:val="24"/>
        </w:rPr>
        <w:t>important</w:t>
      </w:r>
      <w:r w:rsidRPr="00DA4F60">
        <w:rPr>
          <w:rFonts w:ascii="Times New Roman" w:eastAsia="Times New Roman" w:hAnsi="Times New Roman" w:cs="Times New Roman"/>
          <w:sz w:val="24"/>
          <w:szCs w:val="24"/>
        </w:rPr>
        <w:t xml:space="preserve"> role in modulating the TME</w:t>
      </w:r>
      <w:r w:rsidR="00CF134A">
        <w:rPr>
          <w:rFonts w:ascii="Times New Roman" w:eastAsia="Times New Roman" w:hAnsi="Times New Roman" w:cs="Times New Roman"/>
          <w:sz w:val="24"/>
          <w:szCs w:val="24"/>
        </w:rPr>
        <w:t xml:space="preserve"> </w:t>
      </w:r>
      <w:r w:rsidR="00CF134A" w:rsidRPr="00CF134A">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{"citationID":"9OQWQLH2","properties":{"formattedCitation":"(Wong-Rolle et al., 2021)","plainCitation":"(Wong-Rolle et al., 2021)","noteIndex":0},"citationItems":[{"id":422,"uris":["http://zotero.org/users/15444919/items/KW3TBPWU"],"itemData":{"id":422,"type":"article-journal","abstract":"Although intestinal microbiome have been established as an important biomarker and regulator of cancer development and therapeutic response, less is known about the role of microbiome at other body sites in cancer. Emerging evidence has revealed that the local microbiota make up an important part of the tumor microenvironment across many types of cancer, especially in cancers arising from mucosal sites, including the lung, skin and gastrointestinal tract. The populations of bacteria that reside specifically within tumors have been found to be tumor-type specific, and mechanistic studies have demonstrated that tumor-associated microbiota may directly regulate cancer initiation, progression and responses to chemo- or immuno-therapies. This review aims to provide a comprehensive review of the important literature on the microbiota in the cancerous tissue, and their function and mechanism of action in cancer development and treatment.","container-title":"Protein &amp; Cell","DOI":"10.1007/s13238-020-00813-8","ISSN":"1674-8018","issue":"5","journalAbbreviation":"Protein Cell","language":"eng","note":"PMID: 33296049\nPMCID: PMC8106554","page":"426-435","source":"PubMed","title":"Unexpected guests in the tumor microenvironment: microbiome in cancer","title-short":"Unexpected guests in the tumor microenvironment","volume":"12","author":[{"family":"Wong-Rolle","given":"Abigail"},{"family":"Wei","given":"Haohan Karen"},{"family":"Zhao","given":"Chen"},{"family":"Jin","given":"Chengcheng"}],"issued":{"date-parts":[["2021",5]]}}}],"schema":"https://github.com/citation-style-language/schema/raw/master/csl-citation.json"} </w:instrText>
      </w:r>
      <w:r w:rsidR="00CF134A" w:rsidRPr="00CF134A">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(Wong-Rolle et al., 2021)</w:t>
      </w:r>
      <w:r w:rsidR="00CF134A" w:rsidRPr="00CF134A">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xml:space="preserve">. </w:t>
      </w:r>
      <w:r w:rsidR="007F68E1" w:rsidRPr="00DA4F60">
        <w:rPr>
          <w:rFonts w:ascii="Times New Roman" w:eastAsia="Times New Roman" w:hAnsi="Times New Roman" w:cs="Times New Roman"/>
          <w:sz w:val="24"/>
          <w:szCs w:val="24"/>
        </w:rPr>
        <w:t>Research</w:t>
      </w:r>
      <w:r w:rsidR="00CF134A">
        <w:rPr>
          <w:rFonts w:ascii="Times New Roman" w:eastAsia="Times New Roman" w:hAnsi="Times New Roman" w:cs="Times New Roman"/>
          <w:sz w:val="24"/>
          <w:szCs w:val="24"/>
        </w:rPr>
        <w:t xml:space="preserve"> </w:t>
      </w:r>
      <w:r w:rsidR="007F68E1" w:rsidRPr="00DA4F60">
        <w:rPr>
          <w:rFonts w:ascii="Times New Roman" w:eastAsia="Times New Roman" w:hAnsi="Times New Roman" w:cs="Times New Roman"/>
          <w:sz w:val="24"/>
          <w:szCs w:val="24"/>
        </w:rPr>
        <w:t>has identified the human microbiome as a crucial area of interest in the pathophysiology of several human diseases, including cancer development, progression, and disease prognosis</w:t>
      </w:r>
      <w:r w:rsidR="00CF134A">
        <w:rPr>
          <w:rFonts w:ascii="Times New Roman" w:eastAsia="Times New Roman" w:hAnsi="Times New Roman" w:cs="Times New Roman"/>
          <w:sz w:val="24"/>
          <w:szCs w:val="24"/>
        </w:rPr>
        <w:t xml:space="preserve"> </w:t>
      </w:r>
      <w:r w:rsidR="00CF134A">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{"citationID":"ctG4pCRW","properties":{"formattedCitation":"(Tang et al., 2021)","plainCitation":"(Tang et al., 2021)","noteIndex":0},"citationItems":[{"id":427,"uris":["http://zotero.org/users/15444919/items/RFYVN8NM"],"itemData":{"id":427,"type":"article-journal","abstract":"Despite great success in cancer immunotherapy, immune checkpoint-targeting drugs are not the most popular weapon in the armory of cancer therapy. Accumulating evidence suggests that the tumor immune microenvironment plays a critical role in anti-cancer immunity, which may result in immune checkpoint blockade therapy being ineffective, in addition to other novel immunotherapies in cancer patients. In the present review, we discuss the deficiencies of current cancer immunotherapies. More importantly, we highlight the critical role of tumor immune microenvironment regulators in tumor immune surveillance, immunological evasion, and the potential for their further translation into clinical practice. Based on their general targetability in clinical therapy, we believe that tumor immune microenvironment regulators are promising cancer immunotherapeutic targets. Targeting the tumor immune microenvironment, alone or in combination with immune checkpoint-targeting drugs, might benefit cancer patients in the future.","container-title":"Signal Transduction and Targeted Therapy","DOI":"10.1038/s41392-020-00449-4","ISSN":"2059-3635","issue":"1","journalAbbreviation":"Signal Transduct Target Ther","language":"eng","note":"PMID: 33608497\nPMCID: PMC7896069","page":"72","source":"PubMed","title":"Advantages of targeting the tumor immune microenvironment over blocking immune checkpoint in cancer immunotherapy","volume":"6","author":[{"family":"Tang","given":"Tianyu"},{"family":"Huang","given":"Xing"},{"family":"Zhang","given":"Gang"},{"family":"Hong","given":"Zhengtao"},{"family":"Bai","given":"Xueli"},{"family":"Liang","given":"Tingbo"}],"issued":{"date-parts":[["2021",2,20]]}}}],"schema":"https://github.com/citation-style-language/schema/raw/master/csl-citation.json"} </w:instrText>
      </w:r>
      <w:r w:rsidR="00CF134A">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highlight w:val="yellow"/>
        </w:rPr>
        <w:t>(Tang et al., 2021)</w:t>
      </w:r>
      <w:r w:rsidR="00CF134A">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w:t>
      </w:r>
    </w:p>
    <w:p w14:paraId="0000002F" w14:textId="399E9A11" w:rsidR="00C14A47" w:rsidRPr="00DA4F60" w:rsidRDefault="001A2D4E" w:rsidP="001A2D4E">
      <w:pPr>
        <w:spacing w:after="0" w:line="360" w:lineRule="auto"/>
        <w:jc w:val="both"/>
        <w:rPr>
          <w:rFonts w:ascii="Times New Roman" w:eastAsia="Times New Roman" w:hAnsi="Times New Roman" w:cs="Times New Roman"/>
          <w:sz w:val="24"/>
          <w:szCs w:val="24"/>
        </w:rPr>
      </w:pPr>
      <w:r w:rsidRPr="001A2D4E">
        <w:rPr>
          <w:rFonts w:ascii="Times New Roman" w:eastAsia="Times New Roman" w:hAnsi="Times New Roman" w:cs="Times New Roman"/>
          <w:sz w:val="24"/>
          <w:szCs w:val="24"/>
        </w:rPr>
        <w:t>Research suggests that the microbiota may be involved in about 20% of cancer cases. The progress of cancer and the efficacy of treatment are impacted by the significant differences in microbiome makeup between normal and malignant tissues (</w:t>
      </w:r>
      <w:proofErr w:type="spellStart"/>
      <w:r w:rsidRPr="001A2D4E">
        <w:rPr>
          <w:rFonts w:ascii="Times New Roman" w:eastAsia="Times New Roman" w:hAnsi="Times New Roman" w:cs="Times New Roman"/>
          <w:sz w:val="24"/>
          <w:szCs w:val="24"/>
        </w:rPr>
        <w:t>Doocey</w:t>
      </w:r>
      <w:proofErr w:type="spellEnd"/>
      <w:r w:rsidRPr="001A2D4E">
        <w:rPr>
          <w:rFonts w:ascii="Times New Roman" w:eastAsia="Times New Roman" w:hAnsi="Times New Roman" w:cs="Times New Roman"/>
          <w:sz w:val="24"/>
          <w:szCs w:val="24"/>
        </w:rPr>
        <w:t xml:space="preserve"> et al., 2022). For example, some bacterial species have been linked to better outcomes from immunotherapy and chemotherapy, highlighting the possibility of using the microbiome as a therapeutic target.</w:t>
      </w:r>
      <w:r>
        <w:rPr>
          <w:rFonts w:ascii="Times New Roman" w:eastAsia="Times New Roman" w:hAnsi="Times New Roman" w:cs="Times New Roman"/>
          <w:sz w:val="24"/>
          <w:szCs w:val="24"/>
        </w:rPr>
        <w:t xml:space="preserve"> </w:t>
      </w:r>
      <w:r w:rsidR="007F68E1" w:rsidRPr="00DA4F60">
        <w:rPr>
          <w:rFonts w:ascii="Times New Roman" w:eastAsia="Times New Roman" w:hAnsi="Times New Roman" w:cs="Times New Roman"/>
          <w:sz w:val="24"/>
          <w:szCs w:val="24"/>
        </w:rPr>
        <w:t>Understanding the various interactions inside the TME is important for creating successful cancer medicines</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{"citationID":"jfNmDJz5","properties":{"formattedCitation":"(Deepak et al., 2020)","plainCitation":"(Deepak et al., 2020)","noteIndex":0},"citationItems":[{"id":269,"uris":["http://zotero.org/users/15444919/items/62JP2TQC"],"itemData":{"id":269,"type":"article-journal","abstract":"Triple negative breast cancer (TNBC) is most aggressive subtype of breast cancers with high probability of metastasis as well as lack of specific targets and targeted therapeutics. TNBC is characterized with unique tumor microenvironment (TME), which differs from other subtypes. TME is associated with induction of proliferation, angiogenesis, inhibition of apoptosis and immune system suppression, and drug resistance. Exosomes are promising nanovesicles, which orchestrate the TME by communicating with different cells within TME. The components of TME including transformed ECM, soluble factors, immune suppressive cells, epigenetic modifications and re-programmed fibroblasts together hamper antitumor response and helps progression and metastasis of TNBCs. Therefore, TME could be a therapeutic target of TNBC. The current review presents latest updates on the role of exosomes in modulation of TME, approaches for targeting TME and combination of immune checkpoint inhibitors and target chemotherapeutics. Finally, we also discussed various phytochemicals that alter genetic, transcriptomic and proteomic profiles of TME along with current challenges and future implications. Thus, as TME is associated with the hallmarks of TNBC, the understanding of the impact of different components can improve the clinical benefits of TNBC patients.","container-title":"Pharmacological Research","DOI":"10.1016/j.phrs.2020.104683","ISSN":"1096-1186","journalAbbreviation":"Pharmacol Res","language":"eng","note":"PMID: 32050092","page":"104683","source":"PubMed","title":"Tumor microenvironment: Challenges and opportunities in targeting metastasis of triple negative breast cancer","title-short":"Tumor microenvironment","volume":"153","author":[{"family":"Deepak","given":"K. G. K."},{"family":"Vempati","given":"Rahul"},{"family":"Nagaraju","given":"Ganji Purnachandra"},{"family":"Dasari","given":"Venkata Ramesh"},{"family":"S","given":"Nagini"},{"family":"Rao","given":"D. N."},{"family":"Malla","given":"Rama Rao"}],"issued":{"date-parts":[["2020",3]]}}}],"schema":"https://github.com/citation-style-language/schema/raw/master/csl-citation.json"}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(Deepak et al., 2020)</w:t>
      </w:r>
      <w:r w:rsidR="004E293B">
        <w:rPr>
          <w:rFonts w:ascii="Times New Roman" w:eastAsia="Times New Roman" w:hAnsi="Times New Roman" w:cs="Times New Roman"/>
          <w:sz w:val="24"/>
          <w:szCs w:val="24"/>
        </w:rPr>
        <w:fldChar w:fldCharType="end"/>
      </w:r>
      <w:r w:rsidR="00222536" w:rsidRPr="00DA4F60">
        <w:rPr>
          <w:rFonts w:ascii="Times New Roman" w:eastAsia="Times New Roman" w:hAnsi="Times New Roman" w:cs="Times New Roman"/>
          <w:sz w:val="24"/>
          <w:szCs w:val="24"/>
        </w:rPr>
        <w:t xml:space="preserve">. Targeting specific components of the TME, such as stromal cells or the extracellular matrix (ECM), has shown promise in clinical trials, suggesting that a more comprehensive approach to cancer treatment could enhance patient outcomes. </w:t>
      </w:r>
      <w:r w:rsidR="007F68E1" w:rsidRPr="00DA4F60">
        <w:rPr>
          <w:rFonts w:ascii="Times New Roman" w:eastAsia="Times New Roman" w:hAnsi="Times New Roman" w:cs="Times New Roman"/>
          <w:sz w:val="24"/>
          <w:szCs w:val="24"/>
        </w:rPr>
        <w:t xml:space="preserve">Overall, the TME is not only a passive environment for tumor growth; it actively modifies the </w:t>
      </w:r>
      <w:proofErr w:type="spellStart"/>
      <w:r w:rsidR="007F68E1" w:rsidRPr="00DA4F60">
        <w:rPr>
          <w:rFonts w:ascii="Times New Roman" w:eastAsia="Times New Roman" w:hAnsi="Times New Roman" w:cs="Times New Roman"/>
          <w:sz w:val="24"/>
          <w:szCs w:val="24"/>
        </w:rPr>
        <w:t>behavior</w:t>
      </w:r>
      <w:proofErr w:type="spellEnd"/>
      <w:r w:rsidR="007F68E1" w:rsidRPr="00DA4F60">
        <w:rPr>
          <w:rFonts w:ascii="Times New Roman" w:eastAsia="Times New Roman" w:hAnsi="Times New Roman" w:cs="Times New Roman"/>
          <w:sz w:val="24"/>
          <w:szCs w:val="24"/>
        </w:rPr>
        <w:t xml:space="preserve"> of cancer cells and determines their responses to treatment, making it an important field of research in oncology</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{"citationID":"b9hiFbY8","properties":{"formattedCitation":"(Jarosz-Biej et al., 2019)","plainCitation":"(Jarosz-Biej et al., 2019)","noteIndex":0},"citationItems":[{"id":271,"uris":["http://zotero.org/users/15444919/items/GKHV43GX"],"itemData":{"id":271,"type":"article-journal","abstract":"Radiotherapy (RT), besides cancer cells, also affects the tumor microenvironment (TME): tumor blood vessels and cells of the immune system. It damages endothelial cells and causes radiation-induced inflammation. Damaged vessels inhibit the infiltration of CD8+ T lymphocytes into tumors, and immunosuppressive pathways are activated. They lead to the accumulation of radioresistant suppressor cells, including tumor-associated macrophages (TAMs) with the M2 phenotype, myeloid-derived suppressor cells (MDSCs), and regulatory T cells (Tregs). The area of tumor hypoxia increases. Hypoxia reduces oxygen-dependent DNA damage and weakens the anti-cancer RT effect. It activates the formation of new blood vessels and leads to cancer relapse after irradiation. Irradiation may also activate the immune response through immunogenic cell death induction. This leads to the \"in situ\" vaccination effect. In this article, we review how changes in the TME affect radiation-induced anticancer efficacy. There is a very delicate balance between the activation of the immune system and the immunosuppression induced by RT. The effects of RT doses on immune system reactions and also on tumor vascularization remain unclear. A better understanding of these interactions will contribute to the optimization of RT treatment, which may prevent the recurrence of cancer.","container-title":"International Journal of Molecular Sciences","DOI":"10.3390/ijms20133212","ISSN":"1422-0067","issue":"13","journalAbbreviation":"Int J Mol Sci","language":"eng","note":"PMID: 31261963\nPMCID: PMC6650939","page":"3212","source":"PubMed","title":"Tumor Microenvironment as A \"Game Changer\" in Cancer Radiotherapy","volume":"20","author":[{"family":"Jarosz-Biej","given":"Magdalena"},{"family":"Smolarczyk","given":"Ryszard"},{"family":"Cichoń","given":"Tomasz"},{"family":"Kułach","given":"Natalia"}],"issued":{"date-parts":[["2019",6,29]]}}}],"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(Jarosz-Biej et al., 2019)</w:t>
      </w:r>
      <w:r w:rsidR="004E293B">
        <w:rPr>
          <w:rFonts w:ascii="Times New Roman" w:eastAsia="Times New Roman" w:hAnsi="Times New Roman" w:cs="Times New Roman"/>
          <w:sz w:val="24"/>
          <w:szCs w:val="24"/>
        </w:rPr>
        <w:fldChar w:fldCharType="end"/>
      </w:r>
      <w:r w:rsidR="00222536" w:rsidRPr="00DA4F60">
        <w:rPr>
          <w:rFonts w:ascii="Times New Roman" w:eastAsia="Times New Roman" w:hAnsi="Times New Roman" w:cs="Times New Roman"/>
          <w:sz w:val="24"/>
          <w:szCs w:val="24"/>
        </w:rPr>
        <w:t>.</w:t>
      </w:r>
    </w:p>
    <w:p w14:paraId="00000030" w14:textId="77777777" w:rsidR="00C14A47" w:rsidRPr="00DA4F60" w:rsidRDefault="00BF4936"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5.</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Hallmark of cancer in tumor microenvironment</w:t>
      </w:r>
    </w:p>
    <w:p w14:paraId="3C6E2E46" w14:textId="7CF6CCD0" w:rsidR="00E2213F" w:rsidRPr="00DA4F60" w:rsidRDefault="00BF4936" w:rsidP="00E2213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Cancer cells possess essential characteristics that enable them to spread and multiply, known as the hallmarks of cancer. </w:t>
      </w:r>
      <w:r w:rsidR="007F68E1" w:rsidRPr="00DA4F60">
        <w:rPr>
          <w:rFonts w:ascii="Times New Roman" w:eastAsia="Times New Roman" w:hAnsi="Times New Roman" w:cs="Times New Roman"/>
          <w:sz w:val="24"/>
          <w:szCs w:val="24"/>
        </w:rPr>
        <w:t>These hallmarks include sustaining proliferative signals, avoiding growth suppressors, resisting cell death, allowing replicative immortality, initiating angiogenesis, and triggering invasion and metastasis</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{"citationID":"Kc2PnNmS","properties":{"formattedCitation":"(Hanahan, 2022)","plainCitation":"(Hanahan, 2022)","noteIndex":0},"citationItems":[{"id":274,"uris":["http://zotero.org/users/15444919/items/2K886MTJ"],"itemData":{"id":274,"type":"article-journal","abstract":"The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medicine.","container-title":"Cancer Discovery","DOI":"10.1158/2159-8290.CD-21-1059","ISSN":"2159-8290","issue":"1","journalAbbreviation":"Cancer Discov","language":"eng","note":"PMID: 35022204","page":"31-46","source":"PubMed","title":"Hallmarks of Cancer: New Dimensions","title-short":"Hallmarks of Cancer","volume":"12","author":[{"family":"Hanahan","given":"Douglas"}],"issued":{"date-parts":[["2022",1]]}}}],"schema":"https://github.com/citation-style-language/schema/raw/master/csl-citation.json"}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(Hanahan, 2022)</w:t>
      </w:r>
      <w:r w:rsidR="004E293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The tumor microenvironment (TME) plays a crucial role in supporting these hallmarks. For example, </w:t>
      </w:r>
      <w:r w:rsidRPr="00DA4F60">
        <w:rPr>
          <w:rFonts w:ascii="Times New Roman" w:eastAsia="Times New Roman" w:hAnsi="Times New Roman" w:cs="Times New Roman"/>
          <w:sz w:val="24"/>
          <w:szCs w:val="24"/>
        </w:rPr>
        <w:lastRenderedPageBreak/>
        <w:t>stromal cells within the TME can enhance cancer cell prol</w:t>
      </w:r>
      <w:r w:rsidRPr="00DA4F60">
        <w:rPr>
          <w:rFonts w:ascii="Times New Roman" w:eastAsia="Times New Roman" w:hAnsi="Times New Roman" w:cs="Times New Roman"/>
          <w:sz w:val="24"/>
          <w:szCs w:val="24"/>
        </w:rPr>
        <w:t>iferation by providing mitogenic signals, thereby sustaining proliferative signaling</w:t>
      </w:r>
      <w:r w:rsidR="00216D2B">
        <w:rPr>
          <w:rFonts w:ascii="Times New Roman" w:eastAsia="Times New Roman" w:hAnsi="Times New Roman" w:cs="Times New Roman"/>
          <w:sz w:val="24"/>
          <w:szCs w:val="24"/>
        </w:rPr>
        <w:t xml:space="preserve"> </w:t>
      </w:r>
      <w:r w:rsidR="00216D2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{"citationID":"r3utbHs7","properties":{"formattedCitation":"(Park et al., 2020)","plainCitation":"(Park et al., 2020)","noteIndex":0},"citationItems":[{"id":430,"uris":["http://zotero.org/users/15444919/items/6CLEHWAS"],"itemData":{"id":430,"type":"article-journal","abstract":"Aberrant metabolism is a major hallmark of cancer. Abnormal cancer metabolism, such as aerobic glycolysis and increased anabolic pathways, has important roles in tumorigenesis, metastasis, drug resistance, and cancer stem cells. Well-known oncogenic signaling pathways, such as phosphoinositide 3-kinase (PI3K)/AKT, Myc, and Hippo pathway, mediate metabolic gene expression and increase metabolic enzyme activities. Vice versa, deregulated metabolic pathways contribute to defects in cellular signal transduction pathways, which in turn provide energy, building blocks, and redox potentials for unrestrained cancer cell proliferation. Studies and clinical trials are being performed that focus on the inhibition of metabolic enzymes by small molecules or dietary interventions (e.g., fasting, calorie restriction, and intermittent fasting). Similar to genetic heterogeneity, the metabolic phenotypes of cancers are highly heterogeneous. This heterogeneity results from diverse cues in the tumor microenvironment and genetic mutations. Hence, overcoming metabolic plasticity is an important goal of modern cancer therapeutics. This review highlights recent findings on the metabolic phenotypes of cancer and elucidates the interactions between signal transduction pathways and metabolic pathways. We also provide novel rationales for designing the next-generation cancer metabolism drugs.","container-title":"Cells","DOI":"10.3390/cells9102308","ISSN":"2073-4409","issue":"10","journalAbbreviation":"Cells","language":"eng","note":"PMID: 33081387\nPMCID: PMC7602974","page":"2308","source":"PubMed","title":"Cancer Metabolism: Phenotype, Signaling and Therapeutic Targets","title-short":"Cancer Metabolism","volume":"9","author":[{"family":"Park","given":"Jae Hyung"},{"family":"Pyun","given":"Woo Yang"},{"family":"Park","given":"Hyun Woo"}],"issued":{"date-parts":[["2020",10,16]]}}}],"schema":"https://github.com/citation-style-language/schema/raw/master/csl-citation.json"} </w:instrText>
      </w:r>
      <w:r w:rsidR="00216D2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highlight w:val="yellow"/>
        </w:rPr>
        <w:t>(Park et al., 2020)</w:t>
      </w:r>
      <w:r w:rsidR="00216D2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Additionally, TME components can help cancer cells resist cell death by secreting survival factors, complicating treatment efforts. The TME also contributes to </w:t>
      </w:r>
      <w:r w:rsidRPr="00DA4F60">
        <w:rPr>
          <w:rFonts w:ascii="Times New Roman" w:eastAsia="Times New Roman" w:hAnsi="Times New Roman" w:cs="Times New Roman"/>
          <w:sz w:val="24"/>
          <w:szCs w:val="24"/>
        </w:rPr>
        <w:t>replicative immortality by influencing telomerase activity, which is essential for cancer cells to avoid senescence</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{"citationID":"n1LfXxgx","properties":{"formattedCitation":"(Pavlova et al., 2022)","plainCitation":"(Pavlova et al., 2022)","noteIndex":0},"citationItems":[{"id":277,"uris":["http://zotero.org/users/15444919/items/3WZAJEEA"],"itemData":{"id":277,"type":"article-journal","abstract":"Metabolism of cancer cells is geared toward biomass production and proliferation. Since the metabolic resources within the local tissue are finite, this can lead to nutrient depletion and accumulation of metabolic waste. To maintain growth in these conditions, cancer cells employ a variety of metabolic adaptations, the nature of which is collectively determined by the physiology of their cell of origin, the identity of transforming lesions, and the tissue in which cancer cells reside. Furthermore, select metabolites not only serve as substrates for energy and biomass generation, but can also regulate gene and protein expression and influence the behavior of non-transformed cells in the tumor vicinity. As they grow and metastasize, tumors can also affect and be affected by the nutrient distribution within the body. In this hallmark update, recent advances are incorporated into a conceptual framework that may help guide further research efforts in exploring cancer cell metabolism.","container-title":"Cell Metabolism","DOI":"10.1016/j.cmet.2022.01.007","ISSN":"1932-7420","issue":"3","journalAbbreviation":"Cell Metab","language":"eng","note":"PMID: 35123658\nPMCID: PMC8891094","page":"355-377","source":"PubMed","title":"The hallmarks of cancer metabolism: Still emerging","title-short":"The hallmarks of cancer metabolism","volume":"34","author":[{"family":"Pavlova","given":"Natalya N."},{"family":"Zhu","given":"Jiajun"},{"family":"Thompson","given":"Craig B."}],"issued":{"date-parts":[["2022",3,1]]}}}],"schema":"https://github.com/citation-style-language/schema/raw/master/csl-citation.json"}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(Pavlova et al., 2022)</w:t>
      </w:r>
      <w:r w:rsidR="004E293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Moreover, the TME can modulate tumor growth by affecting cell cycle checkpoints and promoting inflammation, both of which are vital for cancer progression</w:t>
      </w:r>
      <w:r w:rsidR="00216D2B">
        <w:rPr>
          <w:rFonts w:ascii="Times New Roman" w:eastAsia="Times New Roman" w:hAnsi="Times New Roman" w:cs="Times New Roman"/>
          <w:sz w:val="24"/>
          <w:szCs w:val="24"/>
        </w:rPr>
        <w:t xml:space="preserve"> </w:t>
      </w:r>
      <w:r w:rsidR="00216D2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{"citationID":"sOuBMn2Y","properties":{"formattedCitation":"(El-Tanani et al., 2024)","plainCitation":"(El-Tanani et al., 2024)","noteIndex":0},"citationItems":[{"id":434,"uris":["http://zotero.org/users/15444919/items/4456GG23"],"itemData":{"id":434,"type":"article-journal","abstract":"This comprehensive review delves into the pivotal role of the tumor microenvironment (TME) in cancer metastasis and therapeutic response, offering fresh insights into the intricate interplay between cancer cells and their surrounding milieu. The TME, a dynamic ecosystem comprising diverse cellular and acellular elements, not only fosters tumor progression but also profoundly affects the efficacy of conventional and emerging cancer therapies. Through nuanced exploration, this review illuminates the multifaceted nature of the TME, elucidating its capacity to engender drug resistance via mechanisms such as hypoxia, immune evasion, and the establishment of physical barriers to drug delivery. Moreover, it investigates innovative therapeutic approaches aimed at targeting the TME, including stromal reprogramming, immune microenvironment modulation, extracellular matrix (ECM)-targeting agents, and personalized medicine strategies, highlighting their potential to augment treatment outcomes. Furthermore, this review critically evaluates the challenges posed by the complexity and heterogeneity of the TME, which contribute to variable therapeutic responses and potentially unintended consequences. This underscores the need to identify robust biomarkers and advance predictive models to anticipate treatment outcomes, as well as advocate for combination therapies that address multiple facets of the TME. Finally, the review emphasizes the necessity of an interdisciplinary approach and the integration of cutting-edge technologies to unravel the intricacies of the TME, thereby facilitating the development of more effective, adaptable, and personalized cancer treatments. By providing critical insights into the current state of TME research and its implications for the future of oncology, this review highlights the dynamic and evolving landscape of this field.","container-title":"Cancer Letters","DOI":"10.1016/j.canlet.2024.216894","ISSN":"0304-3835","journalAbbreviation":"Cancer Letters","page":"216894","source":"ScienceDirect","title":"Unraveling the tumor microenvironment: Insights into cancer metastasis and therapeutic strategies","title-short":"Unraveling the tumor microenvironment","volume":"591","author":[{"family":"El-Tanani","given":"Mohamed"},{"family":"Rabbani","given":"Syed Arman"},{"family":"Babiker","given":"Rasha"},{"family":"Rangraze","given":"Imran"},{"family":"Kapre","given":"Sumedha"},{"family":"Palakurthi","given":"Sushesh Srivastsa"},{"family":"Alnuqaydan","given":"Abdullah M."},{"family":"Aljabali","given":"Alaa A."},{"family":"Rizzo","given":"Manfredi"},{"family":"El-Tanani","given":"Yahia"},{"family":"Tambuwala","given":"Murtaza M."}],"issued":{"date-parts":[["2024",6,1]]}}}],"schema":"https://github.com/citation-style-language/schema/raw/master/csl-citation.json"} </w:instrText>
      </w:r>
      <w:r w:rsidR="00216D2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highlight w:val="yellow"/>
        </w:rPr>
        <w:t>(El-Tanani et al., 2024)</w:t>
      </w:r>
      <w:r w:rsidR="00216D2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The dynamic interactions between cancer cells and TME components are considered a hallmark of cancer, as they facilitate tumor initiation, progression, and metastasis, </w:t>
      </w:r>
      <w:r w:rsidR="00291737">
        <w:rPr>
          <w:rFonts w:ascii="Times New Roman" w:eastAsia="Times New Roman" w:hAnsi="Times New Roman" w:cs="Times New Roman"/>
          <w:b/>
          <w:bCs/>
          <w:sz w:val="24"/>
          <w:szCs w:val="24"/>
        </w:rPr>
        <w:t>Fig</w:t>
      </w:r>
      <w:r w:rsidR="008B7567">
        <w:rPr>
          <w:rFonts w:ascii="Times New Roman" w:eastAsia="Times New Roman" w:hAnsi="Times New Roman" w:cs="Times New Roman"/>
          <w:b/>
          <w:bCs/>
          <w:sz w:val="24"/>
          <w:szCs w:val="24"/>
        </w:rPr>
        <w:t>ure</w:t>
      </w:r>
      <w:r w:rsidR="00DA4F60" w:rsidRPr="00DA4F60">
        <w:rPr>
          <w:rFonts w:ascii="Times New Roman" w:eastAsia="Times New Roman" w:hAnsi="Times New Roman" w:cs="Times New Roman"/>
          <w:b/>
          <w:bCs/>
          <w:sz w:val="24"/>
          <w:szCs w:val="24"/>
        </w:rPr>
        <w:t xml:space="preserve"> </w:t>
      </w:r>
      <w:r w:rsidR="00E57120" w:rsidRPr="00DA4F60">
        <w:rPr>
          <w:rFonts w:ascii="Times New Roman" w:eastAsia="Times New Roman" w:hAnsi="Times New Roman" w:cs="Times New Roman"/>
          <w:b/>
          <w:bCs/>
          <w:sz w:val="24"/>
          <w:szCs w:val="24"/>
        </w:rPr>
        <w:t>2</w:t>
      </w:r>
      <w:r w:rsidR="00E57120" w:rsidRPr="00DA4F60">
        <w:rPr>
          <w:rFonts w:ascii="Times New Roman" w:eastAsia="Times New Roman" w:hAnsi="Times New Roman" w:cs="Times New Roman"/>
          <w:sz w:val="24"/>
          <w:szCs w:val="24"/>
        </w:rPr>
        <w:t xml:space="preserve"> depicts various cancer-related hallmarks in the tumor microenvironment and their component</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{"citationID":"PWoafd7B","properties":{"formattedCitation":"(Baghban et al., 2020)","plainCitation":"(Baghban et al., 2020)","noteIndex":0},"citationItems":[{"id":327,"uris":["http://zotero.org/users/15444919/items/E33M29UF"],"itemData":{"id":327,"type":"article-journal","abstract":"The dynamic interactions of cancer cells with their microenvironment consisting of stromal cells (cellular part) and extracellular matrix (ECM) components (non-cellular) is essential to stimulate the heterogeneity of cancer cell, clonal evolution and to increase the multidrug resistance ending in cancer cell progression and metastasis. The reciprocal cell-cell/ECM interaction and tumor cell hijacking of non-malignant cells force stromal cells to lose their function and acquire new phenotypes that promote development and invasion of tumor cells. Understanding the underlying cellular and molecular mechanisms governing these interactions can be used as a novel strategy to indirectly disrupt cancer cell interplay and contribute to the development of efficient and safe therapeutic strategies to fight cancer. Furthermore, the tumor-derived circulating materials can also be used as cancer diagnostic tools to precisely predict and monitor the outcome of therapy. This review evaluates such potentials in various advanced cancer models, with a focus on 3D systems as well as lab-on-chip devices.","container-title":"Cell Communication and Signaling","DOI":"10.1186/s12964-020-0530-4","ISSN":"1478-811X","issue":"1","journalAbbreviation":"Cell Communication and Signaling","page":"59","source":"BioMed Central","title":"Tumor microenvironment complexity and therapeutic implications at a glance","volume":"18","author":[{"family":"Baghban","given":"Roghayyeh"},{"family":"Roshangar","given":"Leila"},{"family":"Jahanban-Esfahlan","given":"Rana"},{"family":"Seidi","given":"Khaled"},{"family":"Ebrahimi-Kalan","given":"Abbas"},{"family":"Jaymand","given":"Mehdi"},{"family":"Kolahian","given":"Saeed"},{"family":"Javaheri","given":"Tahereh"},{"family":"Zare","given":"Peyman"}],"issued":{"date-parts":[["2020",4,7]]}}}],"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(Baghban et al., 2020)</w:t>
      </w:r>
      <w:r w:rsidR="004E293B">
        <w:rPr>
          <w:rFonts w:ascii="Times New Roman" w:eastAsia="Times New Roman" w:hAnsi="Times New Roman" w:cs="Times New Roman"/>
          <w:sz w:val="24"/>
          <w:szCs w:val="24"/>
        </w:rPr>
        <w:fldChar w:fldCharType="end"/>
      </w:r>
      <w:r w:rsidR="00E57120" w:rsidRPr="00DA4F60">
        <w:rPr>
          <w:rFonts w:ascii="Times New Roman" w:eastAsia="Times New Roman" w:hAnsi="Times New Roman" w:cs="Times New Roman"/>
          <w:sz w:val="24"/>
          <w:szCs w:val="24"/>
        </w:rPr>
        <w:t>. Understanding these interactions is critical for creating tailored medicines that successfully fight cancer and improve patient outcomes</w:t>
      </w:r>
      <w:r w:rsidRPr="00DA4F60">
        <w:rPr>
          <w:rFonts w:ascii="Times New Roman" w:eastAsia="Times New Roman" w:hAnsi="Times New Roman" w:cs="Times New Roman"/>
          <w:sz w:val="24"/>
          <w:szCs w:val="24"/>
        </w:rPr>
        <w:t>. By focusing on the molecular features of TME components and their influen</w:t>
      </w:r>
      <w:r w:rsidRPr="00DA4F60">
        <w:rPr>
          <w:rFonts w:ascii="Times New Roman" w:eastAsia="Times New Roman" w:hAnsi="Times New Roman" w:cs="Times New Roman"/>
          <w:sz w:val="24"/>
          <w:szCs w:val="24"/>
        </w:rPr>
        <w:t>ce on cancer hallmarks, researchers aim to identify new therapeutic strategies to overcome treatment resistance and enhance the efficacy of existing therapies</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{"citationID":"K8GDsbXa","properties":{"formattedCitation":"(Pavlova et al., 2022)","plainCitation":"(Pavlova et al., 2022)","noteIndex":0},"citationItems":[{"id":277,"uris":["http://zotero.org/users/15444919/items/3WZAJEEA"],"itemData":{"id":277,"type":"article-journal","abstract":"Metabolism of cancer cells is geared toward biomass production and proliferation. Since the metabolic resources within the local tissue are finite, this can lead to nutrient depletion and accumulation of metabolic waste. To maintain growth in these conditions, cancer cells employ a variety of metabolic adaptations, the nature of which is collectively determined by the physiology of their cell of origin, the identity of transforming lesions, and the tissue in which cancer cells reside. Furthermore, select metabolites not only serve as substrates for energy and biomass generation, but can also regulate gene and protein expression and influence the behavior of non-transformed cells in the tumor vicinity. As they grow and metastasize, tumors can also affect and be affected by the nutrient distribution within the body. In this hallmark update, recent advances are incorporated into a conceptual framework that may help guide further research efforts in exploring cancer cell metabolism.","container-title":"Cell Metabolism","DOI":"10.1016/j.cmet.2022.01.007","ISSN":"1932-7420","issue":"3","journalAbbreviation":"Cell Metab","language":"eng","note":"PMID: 35123658\nPMCID: PMC8891094","page":"355-377","source":"PubMed","title":"The hallmarks of cancer metabolism: Still emerging","title-short":"The hallmarks of cancer metabolism","volume":"34","author":[{"family":"Pavlova","given":"Natalya N."},{"family":"Zhu","given":"Jiajun"},{"family":"Thompson","given":"Craig B."}],"issued":{"date-parts":[["2022",3,1]]}}}],"schema":"https://github.com/citation-style-language/schema/raw/master/csl-citation.json"}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(Pavlova et al., 2022)</w:t>
      </w:r>
      <w:r w:rsidR="004E293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w:t>
      </w:r>
    </w:p>
    <w:p w14:paraId="03BFF300" w14:textId="7D9446D4" w:rsidR="00E9533F" w:rsidRPr="00DA4F60" w:rsidRDefault="00E2213F" w:rsidP="00DD5B89">
      <w:pPr>
        <w:spacing w:line="360" w:lineRule="auto"/>
        <w:ind w:left="-426"/>
        <w:jc w:val="both"/>
        <w:rPr>
          <w:rFonts w:ascii="Times New Roman" w:eastAsia="Times New Roman" w:hAnsi="Times New Roman" w:cs="Times New Roman"/>
          <w:sz w:val="24"/>
          <w:szCs w:val="24"/>
        </w:rPr>
      </w:pPr>
      <w:r w:rsidRPr="00DA4F60">
        <w:rPr>
          <w:rFonts w:ascii="Times New Roman" w:eastAsia="Times New Roman" w:hAnsi="Times New Roman" w:cs="Times New Roman"/>
          <w:noProof/>
          <w:sz w:val="24"/>
          <w:szCs w:val="24"/>
        </w:rPr>
        <w:drawing>
          <wp:inline distT="0" distB="0" distL="0" distR="0" wp14:anchorId="0D7473BD" wp14:editId="6A02EE79">
            <wp:extent cx="6331888" cy="4449445"/>
            <wp:effectExtent l="0" t="0" r="0" b="8255"/>
            <wp:docPr id="389951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1611" name="Picture 389951611"/>
                    <pic:cNvPicPr/>
                  </pic:nvPicPr>
                  <pic:blipFill>
                    <a:blip r:embed="rId9">
                      <a:extLst>
                        <a:ext uri="{28A0092B-C50C-407E-A947-70E740481C1C}">
                          <a14:useLocalDpi xmlns:a14="http://schemas.microsoft.com/office/drawing/2010/main" val="0"/>
                        </a:ext>
                      </a:extLst>
                    </a:blip>
                    <a:stretch>
                      <a:fillRect/>
                    </a:stretch>
                  </pic:blipFill>
                  <pic:spPr>
                    <a:xfrm>
                      <a:off x="0" y="0"/>
                      <a:ext cx="6367730" cy="4474631"/>
                    </a:xfrm>
                    <a:prstGeom prst="rect">
                      <a:avLst/>
                    </a:prstGeom>
                  </pic:spPr>
                </pic:pic>
              </a:graphicData>
            </a:graphic>
          </wp:inline>
        </w:drawing>
      </w:r>
    </w:p>
    <w:p w14:paraId="00000032" w14:textId="5F50D37D" w:rsidR="00C14A47" w:rsidRDefault="00E9533F" w:rsidP="00DA4F60">
      <w:pPr>
        <w:spacing w:line="240" w:lineRule="auto"/>
        <w:ind w:right="-46"/>
        <w:jc w:val="both"/>
        <w:rPr>
          <w:rFonts w:ascii="Times New Roman" w:hAnsi="Times New Roman" w:cs="Times New Roman"/>
          <w:sz w:val="20"/>
          <w:szCs w:val="20"/>
        </w:rPr>
      </w:pPr>
      <w:r w:rsidRPr="00DA4F60">
        <w:rPr>
          <w:rFonts w:ascii="Times New Roman" w:hAnsi="Times New Roman" w:cs="Times New Roman"/>
          <w:b/>
          <w:bCs/>
          <w:sz w:val="20"/>
          <w:szCs w:val="20"/>
        </w:rPr>
        <w:lastRenderedPageBreak/>
        <w:t>Fig</w:t>
      </w:r>
      <w:r w:rsidR="001A2D4E">
        <w:rPr>
          <w:rFonts w:ascii="Times New Roman" w:hAnsi="Times New Roman" w:cs="Times New Roman"/>
          <w:b/>
          <w:bCs/>
          <w:sz w:val="20"/>
          <w:szCs w:val="20"/>
        </w:rPr>
        <w:t>ure</w:t>
      </w:r>
      <w:r w:rsidRPr="00DA4F60">
        <w:rPr>
          <w:rFonts w:ascii="Times New Roman" w:hAnsi="Times New Roman" w:cs="Times New Roman"/>
          <w:b/>
          <w:bCs/>
          <w:sz w:val="20"/>
          <w:szCs w:val="20"/>
        </w:rPr>
        <w:t xml:space="preserve"> 2</w:t>
      </w:r>
      <w:r w:rsidRPr="00DA4F60">
        <w:rPr>
          <w:rFonts w:ascii="Times New Roman" w:hAnsi="Times New Roman" w:cs="Times New Roman"/>
          <w:sz w:val="20"/>
          <w:szCs w:val="20"/>
        </w:rPr>
        <w:t>. Different types of hallmarks of cancer in the tumour microenvironment are shown. (</w:t>
      </w:r>
      <w:r w:rsidRPr="00DA4F60">
        <w:rPr>
          <w:rFonts w:ascii="Times New Roman" w:hAnsi="Times New Roman" w:cs="Times New Roman"/>
          <w:b/>
          <w:bCs/>
          <w:sz w:val="20"/>
          <w:szCs w:val="20"/>
        </w:rPr>
        <w:t>a)</w:t>
      </w:r>
      <w:r w:rsidRPr="00DA4F60">
        <w:rPr>
          <w:rFonts w:ascii="Times New Roman" w:hAnsi="Times New Roman" w:cs="Times New Roman"/>
          <w:sz w:val="20"/>
          <w:szCs w:val="20"/>
        </w:rPr>
        <w:t xml:space="preserve"> Tumour promoting inflammation, (</w:t>
      </w:r>
      <w:r w:rsidRPr="00DA4F60">
        <w:rPr>
          <w:rFonts w:ascii="Times New Roman" w:hAnsi="Times New Roman" w:cs="Times New Roman"/>
          <w:b/>
          <w:bCs/>
          <w:sz w:val="20"/>
          <w:szCs w:val="20"/>
        </w:rPr>
        <w:t>b)</w:t>
      </w:r>
      <w:r w:rsidRPr="00DA4F60">
        <w:rPr>
          <w:rFonts w:ascii="Times New Roman" w:hAnsi="Times New Roman" w:cs="Times New Roman"/>
          <w:sz w:val="20"/>
          <w:szCs w:val="20"/>
        </w:rPr>
        <w:t xml:space="preserve"> Evasion of immune destruction, (</w:t>
      </w:r>
      <w:r w:rsidRPr="00DA4F60">
        <w:rPr>
          <w:rFonts w:ascii="Times New Roman" w:hAnsi="Times New Roman" w:cs="Times New Roman"/>
          <w:b/>
          <w:bCs/>
          <w:sz w:val="20"/>
          <w:szCs w:val="20"/>
        </w:rPr>
        <w:t>c</w:t>
      </w:r>
      <w:r w:rsidRPr="00DA4F60">
        <w:rPr>
          <w:rFonts w:ascii="Times New Roman" w:hAnsi="Times New Roman" w:cs="Times New Roman"/>
          <w:sz w:val="20"/>
          <w:szCs w:val="20"/>
        </w:rPr>
        <w:t>) Replicative immortality,</w:t>
      </w:r>
      <w:r w:rsidRPr="00DA4F60">
        <w:rPr>
          <w:rFonts w:ascii="Times New Roman" w:hAnsi="Times New Roman" w:cs="Times New Roman"/>
          <w:b/>
          <w:bCs/>
          <w:sz w:val="20"/>
          <w:szCs w:val="20"/>
        </w:rPr>
        <w:t xml:space="preserve"> (d</w:t>
      </w:r>
      <w:r w:rsidRPr="00DA4F60">
        <w:rPr>
          <w:rFonts w:ascii="Times New Roman" w:hAnsi="Times New Roman" w:cs="Times New Roman"/>
          <w:sz w:val="20"/>
          <w:szCs w:val="20"/>
        </w:rPr>
        <w:t>) Angiogenesis, (</w:t>
      </w:r>
      <w:r w:rsidRPr="00DA4F60">
        <w:rPr>
          <w:rFonts w:ascii="Times New Roman" w:hAnsi="Times New Roman" w:cs="Times New Roman"/>
          <w:b/>
          <w:bCs/>
          <w:sz w:val="20"/>
          <w:szCs w:val="20"/>
        </w:rPr>
        <w:t>e)</w:t>
      </w:r>
      <w:r w:rsidRPr="00DA4F60">
        <w:rPr>
          <w:rFonts w:ascii="Times New Roman" w:hAnsi="Times New Roman" w:cs="Times New Roman"/>
          <w:sz w:val="20"/>
          <w:szCs w:val="20"/>
        </w:rPr>
        <w:t xml:space="preserve"> Invasion and Metastasis, (</w:t>
      </w:r>
      <w:r w:rsidRPr="00DA4F60">
        <w:rPr>
          <w:rFonts w:ascii="Times New Roman" w:hAnsi="Times New Roman" w:cs="Times New Roman"/>
          <w:b/>
          <w:bCs/>
          <w:sz w:val="20"/>
          <w:szCs w:val="20"/>
        </w:rPr>
        <w:t>f</w:t>
      </w:r>
      <w:r w:rsidRPr="00DA4F60">
        <w:rPr>
          <w:rFonts w:ascii="Times New Roman" w:hAnsi="Times New Roman" w:cs="Times New Roman"/>
          <w:sz w:val="20"/>
          <w:szCs w:val="20"/>
        </w:rPr>
        <w:t>) Resistance to cell death,</w:t>
      </w:r>
      <w:r w:rsidRPr="00DA4F60">
        <w:rPr>
          <w:rFonts w:ascii="Times New Roman" w:hAnsi="Times New Roman" w:cs="Times New Roman"/>
          <w:b/>
          <w:bCs/>
          <w:sz w:val="20"/>
          <w:szCs w:val="20"/>
        </w:rPr>
        <w:t xml:space="preserve"> (g)</w:t>
      </w:r>
      <w:r w:rsidRPr="00DA4F60">
        <w:rPr>
          <w:rFonts w:ascii="Times New Roman" w:hAnsi="Times New Roman" w:cs="Times New Roman"/>
          <w:sz w:val="20"/>
          <w:szCs w:val="20"/>
        </w:rPr>
        <w:t xml:space="preserve"> Evasion of growth suppressors, (</w:t>
      </w:r>
      <w:r w:rsidRPr="00DA4F60">
        <w:rPr>
          <w:rFonts w:ascii="Times New Roman" w:hAnsi="Times New Roman" w:cs="Times New Roman"/>
          <w:b/>
          <w:bCs/>
          <w:sz w:val="20"/>
          <w:szCs w:val="20"/>
        </w:rPr>
        <w:t>h)</w:t>
      </w:r>
      <w:r w:rsidRPr="00DA4F60">
        <w:rPr>
          <w:rFonts w:ascii="Times New Roman" w:hAnsi="Times New Roman" w:cs="Times New Roman"/>
          <w:sz w:val="20"/>
          <w:szCs w:val="20"/>
        </w:rPr>
        <w:t xml:space="preserve"> Sustained proliferative signalling.</w:t>
      </w:r>
    </w:p>
    <w:p w14:paraId="237EAF9A" w14:textId="60E27401" w:rsidR="00F405D6" w:rsidRPr="00F405D6" w:rsidRDefault="00F405D6" w:rsidP="00F405D6">
      <w:pPr>
        <w:spacing w:line="240" w:lineRule="auto"/>
        <w:ind w:right="-46"/>
        <w:jc w:val="both"/>
        <w:rPr>
          <w:rFonts w:ascii="Times New Roman" w:hAnsi="Times New Roman" w:cs="Times New Roman"/>
          <w:b/>
          <w:sz w:val="20"/>
          <w:szCs w:val="20"/>
        </w:rPr>
      </w:pPr>
      <w:r w:rsidRPr="00F405D6">
        <w:rPr>
          <w:rFonts w:ascii="Times New Roman" w:hAnsi="Times New Roman" w:cs="Times New Roman"/>
          <w:b/>
          <w:sz w:val="20"/>
          <w:szCs w:val="20"/>
        </w:rPr>
        <w:t>Conclusion</w:t>
      </w:r>
      <w:bookmarkStart w:id="0" w:name="_GoBack"/>
      <w:bookmarkEnd w:id="0"/>
    </w:p>
    <w:p w14:paraId="3ACE3DD3" w14:textId="4E2367D5" w:rsidR="00F405D6" w:rsidRPr="00DA4F60" w:rsidRDefault="00F405D6" w:rsidP="00F405D6">
      <w:pPr>
        <w:spacing w:line="240" w:lineRule="auto"/>
        <w:ind w:right="-46"/>
        <w:jc w:val="both"/>
        <w:rPr>
          <w:rFonts w:ascii="Times New Roman" w:hAnsi="Times New Roman" w:cs="Times New Roman"/>
          <w:sz w:val="20"/>
          <w:szCs w:val="20"/>
        </w:rPr>
      </w:pPr>
      <w:r w:rsidRPr="00F405D6">
        <w:rPr>
          <w:rFonts w:ascii="Times New Roman" w:hAnsi="Times New Roman" w:cs="Times New Roman"/>
          <w:sz w:val="20"/>
          <w:szCs w:val="20"/>
        </w:rPr>
        <w:t xml:space="preserve">Apoptosis is essential for eliminating unwanted cells, and additionally, which could potentially become cancerous due to genetic damage, or the stress caused by treatments. It plays a crucial role in preventing the progression of cancer. However, many cancer cells have developed apoptosis evasion methods, allowing them to survive and multiply in the face of therapeutic therapies. This evasion is a significant factor contributing to cancer progression and resistance to treatment. IAPs play a particularly important role in this process, as they prevent apoptosis, leading to increased cell survival and </w:t>
      </w:r>
      <w:proofErr w:type="spellStart"/>
      <w:r w:rsidRPr="00F405D6">
        <w:rPr>
          <w:rFonts w:ascii="Times New Roman" w:hAnsi="Times New Roman" w:cs="Times New Roman"/>
          <w:sz w:val="20"/>
          <w:szCs w:val="20"/>
        </w:rPr>
        <w:t>tumor</w:t>
      </w:r>
      <w:proofErr w:type="spellEnd"/>
      <w:r w:rsidRPr="00F405D6">
        <w:rPr>
          <w:rFonts w:ascii="Times New Roman" w:hAnsi="Times New Roman" w:cs="Times New Roman"/>
          <w:sz w:val="20"/>
          <w:szCs w:val="20"/>
        </w:rPr>
        <w:t xml:space="preserve"> growth. Targeting IAPs has emerged as a possible therapeutic method to overcome treatment resistance. Targeting IAPs has emerged as a potential therapeutic approach for overcoming treatment resistance. Future research should aim to overcome apoptosis resistance by targeting critical regulators such as Bcl-2 family proteins and IAPs. Moreover, developing therapies that specifically target apoptotic pathways within the TME is crucial for improving cancer treatment outcomes.</w:t>
      </w:r>
    </w:p>
    <w:p w14:paraId="00000033" w14:textId="0EA36256" w:rsidR="00C14A47" w:rsidRPr="00DA4F60" w:rsidRDefault="00BF4936"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Future Directions in Apoptosis Research</w:t>
      </w:r>
    </w:p>
    <w:p w14:paraId="00000034" w14:textId="48E7462D" w:rsidR="00C14A47" w:rsidRPr="00DA4F60" w:rsidRDefault="00BF4936"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The apoptotic pathways and the tumor microenviro</w:t>
      </w:r>
      <w:r w:rsidRPr="00DA4F60">
        <w:rPr>
          <w:rFonts w:ascii="Times New Roman" w:eastAsia="Times New Roman" w:hAnsi="Times New Roman" w:cs="Times New Roman"/>
          <w:sz w:val="24"/>
          <w:szCs w:val="24"/>
        </w:rPr>
        <w:t>nment are critical areas of research in cancer biology</w:t>
      </w:r>
      <w:r w:rsidR="00896A6F">
        <w:rPr>
          <w:rFonts w:ascii="Times New Roman" w:eastAsia="Times New Roman" w:hAnsi="Times New Roman" w:cs="Times New Roman"/>
          <w:sz w:val="24"/>
          <w:szCs w:val="24"/>
        </w:rPr>
        <w:t xml:space="preserve"> </w:t>
      </w:r>
      <w:r w:rsidR="00896A6F" w:rsidRPr="00896A6F">
        <w:rPr>
          <w:rFonts w:ascii="Times New Roman" w:eastAsia="Times New Roman" w:hAnsi="Times New Roman" w:cs="Times New Roman"/>
          <w:sz w:val="24"/>
          <w:szCs w:val="24"/>
          <w:highlight w:val="yellow"/>
        </w:rPr>
        <w:fldChar w:fldCharType="begin"/>
      </w:r>
      <w:r w:rsidR="00C73CF6">
        <w:rPr>
          <w:rFonts w:ascii="Times New Roman" w:eastAsia="Times New Roman" w:hAnsi="Times New Roman" w:cs="Times New Roman"/>
          <w:sz w:val="24"/>
          <w:szCs w:val="24"/>
          <w:highlight w:val="yellow"/>
        </w:rPr>
        <w:instrText xml:space="preserve"> ADDIN ZOTERO_ITEM CSL_CITATION {"citationID":"dlerO6LZ","properties":{"formattedCitation":"(Mosadegh et al., 2025b)","plainCitation":"(Mosadegh et al., 2025b)","noteIndex":0},"citationItems":[{"id":477,"uris":["http://zotero.org/users/15444919/items/T25QQ8UU"],"itemData":{"id":477,"type":"article-journal","abstract":"Apoptosis, or programmed cell death, is a fundamental biological process essential for maintaining tissue homeostasis. Dysregulation of apoptosis is implicated in a variety of diseases, including cancer, neurodegenerative disorders, and autoimmune conditions. This review provides an in-depth insight into the molecular mechanisms and signaling pathways that regulate apoptosis, highlighting both intrinsic and extrinsic pathways. Additionally, the review explains the tumor microenvironment's influence on apoptosis and its implications for cancer therapy resistance. Understanding the complex interplay between apoptotic signaling and cellular responses is crucial for developing targeted therapies that can effectively manage diseases associated with apoptosis dysregulation. The effects of conventional therapeutics and alternative substances with natural sources such as herbal compounds, alongside vitamins, minerals, and trace elements on cellular homeostasis and disease pathogenesis have been thoroughly investigated. Moreover, recent advances in therapeutic strategies aimed at modulating apoptosis are discussed, with a focus on novel interventions such as nutrition bio shield dietary supplement. These emerging approaches offer potential benefits beyond conventional treatments by selectively targeting apoptotic pathways to inhibit cancer progression and metastasis. By integrating insights from recent studies, this review aims to enhance our understanding of apoptosis and guide future research in developing innovative therapeutic approaches.","container-title":"Cancer Investigation","DOI":"10.1080/07357907.2024.2445528","ISSN":"1532-4192","issue":"1","journalAbbreviation":"Cancer Invest","language":"eng","note":"PMID: 39760426","page":"33-58","source":"PubMed","title":"A Comprehensive Insight into Apoptosis: Molecular Mechanisms, Signaling Pathways, and Modulating Therapeutics","title-short":"A Comprehensive Insight into Apoptosis","volume":"43","author":[{"family":"Mosadegh","given":"Mehrdad"},{"family":"Noori Goodarzi","given":"Narjes"},{"family":"Erfani","given":"Yousef"}],"issued":{"date-parts":[["2025",1]]}}}],"schema":"https://github.com/citation-style-language/schema/raw/master/csl-citation.json"} </w:instrText>
      </w:r>
      <w:r w:rsidR="00896A6F" w:rsidRPr="00896A6F">
        <w:rPr>
          <w:rFonts w:ascii="Times New Roman" w:eastAsia="Times New Roman" w:hAnsi="Times New Roman" w:cs="Times New Roman"/>
          <w:sz w:val="24"/>
          <w:szCs w:val="24"/>
          <w:highlight w:val="yellow"/>
        </w:rPr>
        <w:fldChar w:fldCharType="separate"/>
      </w:r>
      <w:r w:rsidR="00C73CF6" w:rsidRPr="00C73CF6">
        <w:rPr>
          <w:rFonts w:ascii="Times New Roman" w:hAnsi="Times New Roman" w:cs="Times New Roman"/>
          <w:sz w:val="24"/>
          <w:highlight w:val="yellow"/>
        </w:rPr>
        <w:t>(Mosadegh et al., 2025b)</w:t>
      </w:r>
      <w:r w:rsidR="00896A6F" w:rsidRPr="00896A6F">
        <w:rPr>
          <w:rFonts w:ascii="Times New Roman" w:eastAsia="Times New Roman" w:hAnsi="Times New Roman" w:cs="Times New Roman"/>
          <w:sz w:val="24"/>
          <w:szCs w:val="24"/>
          <w:highlight w:val="yellow"/>
        </w:rPr>
        <w:fldChar w:fldCharType="end"/>
      </w:r>
      <w:r w:rsidRPr="00DA4F60">
        <w:rPr>
          <w:rFonts w:ascii="Times New Roman" w:eastAsia="Times New Roman" w:hAnsi="Times New Roman" w:cs="Times New Roman"/>
          <w:sz w:val="24"/>
          <w:szCs w:val="24"/>
        </w:rPr>
        <w:t xml:space="preserve">. </w:t>
      </w:r>
      <w:r w:rsidR="00E57120" w:rsidRPr="00DA4F60">
        <w:rPr>
          <w:rFonts w:ascii="Times New Roman" w:eastAsia="Times New Roman" w:hAnsi="Times New Roman" w:cs="Times New Roman"/>
          <w:sz w:val="24"/>
          <w:szCs w:val="24"/>
        </w:rPr>
        <w:t xml:space="preserve">One intriguing path for the future is the development of treatments that selectively target apoptotic pathways within the tumor </w:t>
      </w:r>
      <w:r w:rsidR="00216D2B" w:rsidRPr="00DA4F60">
        <w:rPr>
          <w:rFonts w:ascii="Times New Roman" w:eastAsia="Times New Roman" w:hAnsi="Times New Roman" w:cs="Times New Roman"/>
          <w:sz w:val="24"/>
          <w:szCs w:val="24"/>
        </w:rPr>
        <w:t>microenvironment</w:t>
      </w:r>
      <w:r w:rsidR="00216D2B">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w:t>
      </w:r>
      <w:r w:rsidR="00A05777" w:rsidRPr="00DA4F60">
        <w:rPr>
          <w:rFonts w:ascii="Times New Roman" w:eastAsia="Times New Roman" w:hAnsi="Times New Roman" w:cs="Times New Roman"/>
          <w:sz w:val="24"/>
          <w:szCs w:val="24"/>
        </w:rPr>
        <w:t xml:space="preserve">Conventional cancer therapies, such </w:t>
      </w:r>
      <w:r w:rsidR="00291737">
        <w:rPr>
          <w:rFonts w:ascii="Times New Roman" w:eastAsia="Times New Roman" w:hAnsi="Times New Roman" w:cs="Times New Roman"/>
          <w:sz w:val="24"/>
          <w:szCs w:val="24"/>
        </w:rPr>
        <w:t xml:space="preserve">as </w:t>
      </w:r>
      <w:r w:rsidR="00A05777" w:rsidRPr="00DA4F60">
        <w:rPr>
          <w:rFonts w:ascii="Times New Roman" w:eastAsia="Times New Roman" w:hAnsi="Times New Roman" w:cs="Times New Roman"/>
          <w:sz w:val="24"/>
          <w:szCs w:val="24"/>
        </w:rPr>
        <w:t xml:space="preserve">radiation and chemotherapy, aim to cause cancer cells to undergo apoptosis; however, resistance to treatment is a major </w:t>
      </w:r>
      <w:r w:rsidR="004E293B">
        <w:rPr>
          <w:rFonts w:ascii="Times New Roman" w:eastAsia="Times New Roman" w:hAnsi="Times New Roman" w:cs="Times New Roman"/>
          <w:sz w:val="24"/>
          <w:szCs w:val="24"/>
        </w:rPr>
        <w:t>i</w:t>
      </w:r>
      <w:r w:rsidR="00A05777" w:rsidRPr="00DA4F60">
        <w:rPr>
          <w:rFonts w:ascii="Times New Roman" w:eastAsia="Times New Roman" w:hAnsi="Times New Roman" w:cs="Times New Roman"/>
          <w:sz w:val="24"/>
          <w:szCs w:val="24"/>
        </w:rPr>
        <w:t>ssue</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{"citationID":"KoYAJgxa","properties":{"formattedCitation":"(Liu et al., 2024)","plainCitation":"(Liu et al., 2024)","noteIndex":0},"citationItems":[{"id":329,"uris":["http://zotero.org/users/15444919/items/A8QZU85M"],"itemData":{"id":329,"type":"article-journal","abstract":"Traditional therapeutic approaches such as chemotherapy and radiation therapy have burdened cancer patients with onerous physical and psychological challenges. Encouragingly, the landscape of tumor treatment has undergone a comprehensive and remarkable transformation. Emerging as fervently pursued modalities are small molecule targeted agents, antibody-drug conjugates (ADCs), cell-based therapies, and gene therapy. These cutting-edge treatment modalities not only afford personalized and precise tumor targeting, but also provide patients with enhanced therapeutic comfort and the potential to impede disease progression. Nonetheless, it is acknowledged that these therapeutic strategies still harbour untapped potential for further advancement. Gaining a comprehensive understanding of the merits and limitations of these treatment modalities holds the promise of offering novel perspectives for clinical practice and foundational research endeavours. In this review, we discussed the different treatment modalities, including small molecule targeted drugs, peptide drugs, antibody drugs, cell therapy, and gene therapy. It will provide a detailed explanation of each method, addressing their status of development, clinical challenges, and potential solutions. The aim is to assist clinicians and researchers in gaining a deeper understanding of these diverse treatment options, enabling them to carry out effective treatment and advance their research more efficiently.","container-title":"Signal Transduction and Targeted Therapy","DOI":"10.1038/s41392-024-01856-7","ISSN":"2059-3635","issue":"1","journalAbbreviation":"Sig Transduct Target Ther","language":"en","license":"2024 The Author(s)","note":"publisher: Nature Publishing Group","page":"1-44","source":"www.nature.com","title":"Exploring treatment options in cancer: tumor treatment strategies","title-short":"Exploring treatment options in cancer","volume":"9","author":[{"family":"Liu","given":"Beilei"},{"family":"Zhou","given":"Hongyu"},{"family":"Tan","given":"Licheng"},{"family":"Siu","given":"Kin To Hugo"},{"family":"Guan","given":"Xin-Yuan"}],"issued":{"date-parts":[["2024",7,17]]}}}],"schema":"https://github.com/citation-style-language/schema/raw/master/csl-citation.json"}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(Liu et al., 2024)</w:t>
      </w:r>
      <w:r w:rsidR="004E293B">
        <w:rPr>
          <w:rFonts w:ascii="Times New Roman" w:eastAsia="Times New Roman" w:hAnsi="Times New Roman" w:cs="Times New Roman"/>
          <w:sz w:val="24"/>
          <w:szCs w:val="24"/>
        </w:rPr>
        <w:fldChar w:fldCharType="end"/>
      </w:r>
      <w:r w:rsidR="00E5712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Future research should focus on overcoming this resistance by targ</w:t>
      </w:r>
      <w:r w:rsidRPr="00DA4F60">
        <w:rPr>
          <w:rFonts w:ascii="Times New Roman" w:eastAsia="Times New Roman" w:hAnsi="Times New Roman" w:cs="Times New Roman"/>
          <w:sz w:val="24"/>
          <w:szCs w:val="24"/>
        </w:rPr>
        <w:t>eting key regulators of apoptosis, including BCL-2 family proteins, inhibitors of Apoptosis Proteins (IAPs), and caspases</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{"citationID":"cCGagkTK","properties":{"formattedCitation":"(Carneiro &amp; El-Deiry, 2020)","plainCitation":"(Carneiro &amp; El-Deiry, 2020)","noteIndex":0},"citationItems":[{"id":155,"uris":["http://zotero.org/users/15444919/items/K82YFRXX"],"itemData":{"id":155,"type":"article-journal","abstract":"Effective elimination of cancer cells by programmed cell death or apoptosis has been a mainstay and goal of clinical cancer therapy for over 3 decades. Clinical translation of effective proapoptotic agents includes drug discovery, bioavailability and stability, tumor penetration, acute or chronic normal tissue toxicity, drug interactions, off-target effects, tumor heterogeneity and evolution with emergence of resistant clones. The pathways of apoptosis include cell intrinsic and extrinsic processes triggered by cellular stress, DNA damage, and immune surveillance mechanisms. While tumor cell death can lead to therapy response, the selection, growth and dissemination of therapyresistant cells makes tumors lethal, leading to patient mortality. We focus on apoptosis pathways, signaling pathways that impact on them as well as molecular targets, strategies, therapeutics in clinical translation and known resistance mechanisms.","container-title":"Nature Reviews Clinical Oncology","DOI":"10.1038/s41571-020-0341-y","ISSN":"1759-4774, 1759-4782","issue":"7","journalAbbreviation":"Nat Rev Clin Oncol","language":"en","page":"395-417","source":"DOI.org (Crossref)","title":"Targeting apoptosis in cancer therapy","volume":"17","author":[{"family":"Carneiro","given":"Benedito A."},{"family":"El-Deiry","given":"Wafik S."}],"issued":{"date-parts":[["2020",7]]}}}],"schema":"https://github.com/citation-style-language/schema/raw/master/csl-citation.json"}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(Carneiro &amp; El-Deiry, 2020)</w:t>
      </w:r>
      <w:r w:rsidR="004E293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 xml:space="preserve">. Currently, small molecule inhibitors like BH3 mimetics and </w:t>
      </w:r>
      <w:proofErr w:type="spellStart"/>
      <w:r w:rsidRPr="00DA4F60">
        <w:rPr>
          <w:rFonts w:ascii="Times New Roman" w:eastAsia="Times New Roman" w:hAnsi="Times New Roman" w:cs="Times New Roman"/>
          <w:sz w:val="24"/>
          <w:szCs w:val="24"/>
        </w:rPr>
        <w:t>Smac</w:t>
      </w:r>
      <w:proofErr w:type="spellEnd"/>
      <w:r w:rsidRPr="00DA4F60">
        <w:rPr>
          <w:rFonts w:ascii="Times New Roman" w:eastAsia="Times New Roman" w:hAnsi="Times New Roman" w:cs="Times New Roman"/>
          <w:sz w:val="24"/>
          <w:szCs w:val="24"/>
        </w:rPr>
        <w:t xml:space="preserve"> mimetics are being explored in clinical tria</w:t>
      </w:r>
      <w:r w:rsidRPr="00DA4F60">
        <w:rPr>
          <w:rFonts w:ascii="Times New Roman" w:eastAsia="Times New Roman" w:hAnsi="Times New Roman" w:cs="Times New Roman"/>
          <w:sz w:val="24"/>
          <w:szCs w:val="24"/>
        </w:rPr>
        <w:t>ls</w:t>
      </w:r>
      <w:r w:rsidR="004E293B">
        <w:rPr>
          <w:rFonts w:ascii="Times New Roman" w:eastAsia="Times New Roman" w:hAnsi="Times New Roman" w:cs="Times New Roman"/>
          <w:sz w:val="24"/>
          <w:szCs w:val="24"/>
        </w:rPr>
        <w:t xml:space="preserve"> </w:t>
      </w:r>
      <w:r w:rsidR="004E293B">
        <w:rPr>
          <w:rFonts w:ascii="Times New Roman" w:eastAsia="Times New Roman" w:hAnsi="Times New Roman" w:cs="Times New Roman"/>
          <w:sz w:val="24"/>
          <w:szCs w:val="24"/>
        </w:rPr>
        <w:fldChar w:fldCharType="begin"/>
      </w:r>
      <w:r w:rsidR="00C73CF6">
        <w:rPr>
          <w:rFonts w:ascii="Times New Roman" w:eastAsia="Times New Roman" w:hAnsi="Times New Roman" w:cs="Times New Roman"/>
          <w:sz w:val="24"/>
          <w:szCs w:val="24"/>
        </w:rPr>
        <w:instrText xml:space="preserve"> ADDIN ZOTERO_ITEM CSL_CITATION {"citationID":"vANUPMZV","properties":{"formattedCitation":"(Townsend et al., 2021)","plainCitation":"(Townsend et al., 2021)","noteIndex":0},"citationItems":[{"id":310,"uris":["http://zotero.org/users/15444919/items/5DVM8XVN"],"itemData":{"id":310,"type":"article-journal","abstract":"The hopeful outcomes from 30 years of research in BH3-mimetics have indeed served a number of solid paradigms for targeting intermediates from the apoptosis pathway in a variety of diseased states. Not only have such rational approaches in drug design yielded several key therapeutics, such outputs have also offered insights into the integrated mechanistic aspects of basic and clinical research at the genetics level for the future. In no other area of medical research have the effects of such work been felt, than in cancer research, through targeting the BAX-Bcl-2 protein-protein interactions. With these promising outputs in mind, several mimetics, and their potential therapeutic applications, have also been developed for several other pathological conditions, such as cardiovascular disease and tissue fibrosis, thus highlighting the universal importance of the intrinsic arm of the apoptosis pathway and its input to general tissue homeostasis. Considering such recent developments, and in a field that has generated so much scientific interest, we take stock of how the broadening area of BH3-mimetics has developed and diversified, with a focus on their uses in single and combined cancer treatment regimens and recently explored therapeutic delivery methods that may aid the development of future therapeutics of this nature.","container-title":"Journal of Experimental &amp; Clinical Cancer Research","DOI":"10.1186/s13046-021-02157-5","ISSN":"1756-9966","issue":"1","journalAbbreviation":"Journal of Experimental &amp; Clinical Cancer Research","page":"355","source":"BioMed Central","title":"BH3-mimetics: recent developments in cancer therapy","title-short":"BH3-mimetics","volume":"40","author":[{"family":"Townsend","given":"Paul A."},{"family":"Kozhevnikova","given":"Maria V."},{"family":"Cexus","given":"Olivier N. F."},{"family":"Zamyatnin","given":"Andrey A."},{"family":"Soond","given":"Surinder M."}],"issued":{"date-parts":[["2021",11,9]]}}}],"schema":"https://github.com/citation-style-language/schema/raw/master/csl-citation.json"} </w:instrText>
      </w:r>
      <w:r w:rsidR="004E293B">
        <w:rPr>
          <w:rFonts w:ascii="Times New Roman" w:eastAsia="Times New Roman" w:hAnsi="Times New Roman" w:cs="Times New Roman"/>
          <w:sz w:val="24"/>
          <w:szCs w:val="24"/>
        </w:rPr>
        <w:fldChar w:fldCharType="separate"/>
      </w:r>
      <w:r w:rsidR="00C73CF6" w:rsidRPr="00C73CF6">
        <w:rPr>
          <w:rFonts w:ascii="Times New Roman" w:hAnsi="Times New Roman" w:cs="Times New Roman"/>
          <w:sz w:val="24"/>
        </w:rPr>
        <w:t>(Townsend et al., 2021)</w:t>
      </w:r>
      <w:r w:rsidR="004E293B">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w:t>
      </w:r>
    </w:p>
    <w:p w14:paraId="63807582" w14:textId="3D30A9B9" w:rsidR="00501EAB" w:rsidRPr="00DA4F60" w:rsidRDefault="00501EAB" w:rsidP="00DA4F60">
      <w:pPr>
        <w:spacing w:line="360" w:lineRule="auto"/>
        <w:jc w:val="both"/>
        <w:rPr>
          <w:rFonts w:ascii="Times New Roman" w:eastAsia="Times New Roman" w:hAnsi="Times New Roman" w:cs="Times New Roman"/>
          <w:b/>
          <w:bCs/>
          <w:sz w:val="24"/>
          <w:szCs w:val="24"/>
        </w:rPr>
      </w:pPr>
      <w:r w:rsidRPr="00DA4F60">
        <w:rPr>
          <w:rFonts w:ascii="Times New Roman" w:eastAsia="Times New Roman" w:hAnsi="Times New Roman" w:cs="Times New Roman"/>
          <w:b/>
          <w:bCs/>
          <w:sz w:val="24"/>
          <w:szCs w:val="24"/>
        </w:rPr>
        <w:t>Disclaimer (artificial intelligence)</w:t>
      </w:r>
    </w:p>
    <w:p w14:paraId="6A0E90F2" w14:textId="164372B9" w:rsidR="00501EAB" w:rsidRPr="00DA4F60" w:rsidRDefault="00501EAB" w:rsidP="00DA4F60">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Author(s) hereby </w:t>
      </w:r>
      <w:r w:rsidR="00DA4F60" w:rsidRPr="00DA4F60">
        <w:rPr>
          <w:rFonts w:ascii="Times New Roman" w:eastAsia="Times New Roman" w:hAnsi="Times New Roman" w:cs="Times New Roman"/>
          <w:sz w:val="24"/>
          <w:szCs w:val="24"/>
        </w:rPr>
        <w:t>declares</w:t>
      </w:r>
      <w:r w:rsidRPr="00DA4F60">
        <w:rPr>
          <w:rFonts w:ascii="Times New Roman" w:eastAsia="Times New Roman" w:hAnsi="Times New Roman" w:cs="Times New Roman"/>
          <w:sz w:val="24"/>
          <w:szCs w:val="24"/>
        </w:rPr>
        <w:t xml:space="preserve"> that NO generative AI technologies </w:t>
      </w:r>
      <w:r w:rsidR="00DA4F60" w:rsidRPr="00DA4F60">
        <w:rPr>
          <w:rFonts w:ascii="Times New Roman" w:eastAsia="Times New Roman" w:hAnsi="Times New Roman" w:cs="Times New Roman"/>
          <w:sz w:val="24"/>
          <w:szCs w:val="24"/>
        </w:rPr>
        <w:t>such as</w:t>
      </w:r>
      <w:r w:rsidRPr="00DA4F60">
        <w:rPr>
          <w:rFonts w:ascii="Times New Roman" w:eastAsia="Times New Roman" w:hAnsi="Times New Roman" w:cs="Times New Roman"/>
          <w:sz w:val="24"/>
          <w:szCs w:val="24"/>
        </w:rPr>
        <w:t xml:space="preserve"> Large Language Models</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(ChatGPT,</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COPILOT,</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etc.)</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and</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text-to-image generators have been used during the writing or editing of this manuscript. </w:t>
      </w:r>
    </w:p>
    <w:p w14:paraId="2031113F" w14:textId="77777777" w:rsidR="007D70E2" w:rsidRDefault="00BF4936" w:rsidP="007D70E2">
      <w:pPr>
        <w:pStyle w:val="Bibliography"/>
        <w:rPr>
          <w:rFonts w:eastAsia="Times New Roman"/>
          <w:b/>
          <w:sz w:val="24"/>
          <w:szCs w:val="24"/>
        </w:rPr>
      </w:pPr>
      <w:r w:rsidRPr="00DA4F60">
        <w:rPr>
          <w:rFonts w:eastAsia="Times New Roman"/>
          <w:b/>
          <w:sz w:val="24"/>
          <w:szCs w:val="24"/>
        </w:rPr>
        <w:t>Referenc</w:t>
      </w:r>
      <w:r w:rsidR="00DD5B89">
        <w:rPr>
          <w:rFonts w:eastAsia="Times New Roman"/>
          <w:b/>
          <w:sz w:val="24"/>
          <w:szCs w:val="24"/>
        </w:rPr>
        <w:t>es:</w:t>
      </w:r>
    </w:p>
    <w:p w14:paraId="79B67985" w14:textId="77777777" w:rsidR="00C73CF6" w:rsidRPr="00C73CF6" w:rsidRDefault="007D70E2" w:rsidP="00C73CF6">
      <w:pPr>
        <w:pStyle w:val="Bibliography"/>
        <w:rPr>
          <w:rFonts w:ascii="Times New Roman" w:hAnsi="Times New Roman" w:cs="Times New Roman"/>
          <w:sz w:val="24"/>
        </w:rPr>
      </w:pPr>
      <w:r>
        <w:rPr>
          <w:rFonts w:eastAsia="Times New Roman"/>
          <w:b/>
          <w:sz w:val="24"/>
          <w:szCs w:val="24"/>
        </w:rPr>
        <w:fldChar w:fldCharType="begin"/>
      </w:r>
      <w:r w:rsidR="00C73CF6">
        <w:rPr>
          <w:rFonts w:eastAsia="Times New Roman"/>
          <w:b/>
          <w:sz w:val="24"/>
          <w:szCs w:val="24"/>
        </w:rPr>
        <w:instrText xml:space="preserve"> ADDIN ZOTERO_BIBL {"uncited":[],"omitted":[],"custom":[]} CSL_BIBLIOGRAPHY </w:instrText>
      </w:r>
      <w:r>
        <w:rPr>
          <w:rFonts w:eastAsia="Times New Roman"/>
          <w:b/>
          <w:sz w:val="24"/>
          <w:szCs w:val="24"/>
        </w:rPr>
        <w:fldChar w:fldCharType="separate"/>
      </w:r>
      <w:r w:rsidR="00C73CF6" w:rsidRPr="00C73CF6">
        <w:rPr>
          <w:rFonts w:ascii="Times New Roman" w:hAnsi="Times New Roman" w:cs="Times New Roman"/>
          <w:sz w:val="24"/>
        </w:rPr>
        <w:t xml:space="preserve">Akhtar, F., &amp; Bokhari, S. R. A. (2025). Apoptosis. In </w:t>
      </w:r>
      <w:r w:rsidR="00C73CF6" w:rsidRPr="00C73CF6">
        <w:rPr>
          <w:rFonts w:ascii="Times New Roman" w:hAnsi="Times New Roman" w:cs="Times New Roman"/>
          <w:i/>
          <w:iCs/>
          <w:sz w:val="24"/>
        </w:rPr>
        <w:t>StatPearls</w:t>
      </w:r>
      <w:r w:rsidR="00C73CF6" w:rsidRPr="00C73CF6">
        <w:rPr>
          <w:rFonts w:ascii="Times New Roman" w:hAnsi="Times New Roman" w:cs="Times New Roman"/>
          <w:sz w:val="24"/>
        </w:rPr>
        <w:t>. StatPearls Publishing. http://www.ncbi.nlm.nih.gov/books/NBK499821/</w:t>
      </w:r>
    </w:p>
    <w:p w14:paraId="6860CDA3"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Annibaldi, A., &amp; Walczak, H. (2020). Death Receptors and Their Ligands in Inflammatory Disease and Cancer. </w:t>
      </w:r>
      <w:r w:rsidRPr="00C73CF6">
        <w:rPr>
          <w:rFonts w:ascii="Times New Roman" w:hAnsi="Times New Roman" w:cs="Times New Roman"/>
          <w:i/>
          <w:iCs/>
          <w:sz w:val="24"/>
        </w:rPr>
        <w:t>Cold Spring Harbor Perspectives in Biology</w:t>
      </w:r>
      <w:r w:rsidRPr="00C73CF6">
        <w:rPr>
          <w:rFonts w:ascii="Times New Roman" w:hAnsi="Times New Roman" w:cs="Times New Roman"/>
          <w:sz w:val="24"/>
        </w:rPr>
        <w:t xml:space="preserve">, </w:t>
      </w:r>
      <w:r w:rsidRPr="00C73CF6">
        <w:rPr>
          <w:rFonts w:ascii="Times New Roman" w:hAnsi="Times New Roman" w:cs="Times New Roman"/>
          <w:i/>
          <w:iCs/>
          <w:sz w:val="24"/>
        </w:rPr>
        <w:t>12</w:t>
      </w:r>
      <w:r w:rsidRPr="00C73CF6">
        <w:rPr>
          <w:rFonts w:ascii="Times New Roman" w:hAnsi="Times New Roman" w:cs="Times New Roman"/>
          <w:sz w:val="24"/>
        </w:rPr>
        <w:t>(9), a036384. https://doi.org/10.1101/cshperspect.a036384</w:t>
      </w:r>
    </w:p>
    <w:p w14:paraId="64BDDCD3"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lastRenderedPageBreak/>
        <w:t xml:space="preserve">Asadi, M., Taghizadeh, S., Kaviani, E., Vakili, O., Taheri-Anganeh, M., Tahamtan, M., &amp; Savardashtaki, A. (2022). Caspase-3: Structure, function, and biotechnological aspects. </w:t>
      </w:r>
      <w:r w:rsidRPr="00C73CF6">
        <w:rPr>
          <w:rFonts w:ascii="Times New Roman" w:hAnsi="Times New Roman" w:cs="Times New Roman"/>
          <w:i/>
          <w:iCs/>
          <w:sz w:val="24"/>
        </w:rPr>
        <w:t>Biotechnology and Applied Biochemistry</w:t>
      </w:r>
      <w:r w:rsidRPr="00C73CF6">
        <w:rPr>
          <w:rFonts w:ascii="Times New Roman" w:hAnsi="Times New Roman" w:cs="Times New Roman"/>
          <w:sz w:val="24"/>
        </w:rPr>
        <w:t xml:space="preserve">, </w:t>
      </w:r>
      <w:r w:rsidRPr="00C73CF6">
        <w:rPr>
          <w:rFonts w:ascii="Times New Roman" w:hAnsi="Times New Roman" w:cs="Times New Roman"/>
          <w:i/>
          <w:iCs/>
          <w:sz w:val="24"/>
        </w:rPr>
        <w:t>69</w:t>
      </w:r>
      <w:r w:rsidRPr="00C73CF6">
        <w:rPr>
          <w:rFonts w:ascii="Times New Roman" w:hAnsi="Times New Roman" w:cs="Times New Roman"/>
          <w:sz w:val="24"/>
        </w:rPr>
        <w:t>(4), 1633–1645. https://doi.org/10.1002/bab.2233</w:t>
      </w:r>
    </w:p>
    <w:p w14:paraId="62CD7918"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Ashkenazi, A., Fairbrother, W. J., Leverson, J. D., &amp; Souers, A. J. (2017). From basic apoptosis discoveries to advanced selective BCL-2 family inhibitors. </w:t>
      </w:r>
      <w:r w:rsidRPr="00C73CF6">
        <w:rPr>
          <w:rFonts w:ascii="Times New Roman" w:hAnsi="Times New Roman" w:cs="Times New Roman"/>
          <w:i/>
          <w:iCs/>
          <w:sz w:val="24"/>
        </w:rPr>
        <w:t>Nature Reviews. Drug Discovery</w:t>
      </w:r>
      <w:r w:rsidRPr="00C73CF6">
        <w:rPr>
          <w:rFonts w:ascii="Times New Roman" w:hAnsi="Times New Roman" w:cs="Times New Roman"/>
          <w:sz w:val="24"/>
        </w:rPr>
        <w:t xml:space="preserve">, </w:t>
      </w:r>
      <w:r w:rsidRPr="00C73CF6">
        <w:rPr>
          <w:rFonts w:ascii="Times New Roman" w:hAnsi="Times New Roman" w:cs="Times New Roman"/>
          <w:i/>
          <w:iCs/>
          <w:sz w:val="24"/>
        </w:rPr>
        <w:t>16</w:t>
      </w:r>
      <w:r w:rsidRPr="00C73CF6">
        <w:rPr>
          <w:rFonts w:ascii="Times New Roman" w:hAnsi="Times New Roman" w:cs="Times New Roman"/>
          <w:sz w:val="24"/>
        </w:rPr>
        <w:t>(4), 273–284. https://doi.org/10.1038/nrd.2016.253</w:t>
      </w:r>
    </w:p>
    <w:p w14:paraId="7FAB83E1"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Baghban, R., Roshangar, L., Jahanban-Esfahlan, R., Seidi, K., Ebrahimi-Kalan, A., Jaymand, M., Kolahian, S., Javaheri, T., &amp; Zare, P. (2020). Tumor microenvironment complexity and therapeutic implications at a glance. </w:t>
      </w:r>
      <w:r w:rsidRPr="00C73CF6">
        <w:rPr>
          <w:rFonts w:ascii="Times New Roman" w:hAnsi="Times New Roman" w:cs="Times New Roman"/>
          <w:i/>
          <w:iCs/>
          <w:sz w:val="24"/>
        </w:rPr>
        <w:t>Cell Communication and Signaling</w:t>
      </w:r>
      <w:r w:rsidRPr="00C73CF6">
        <w:rPr>
          <w:rFonts w:ascii="Times New Roman" w:hAnsi="Times New Roman" w:cs="Times New Roman"/>
          <w:sz w:val="24"/>
        </w:rPr>
        <w:t xml:space="preserve">, </w:t>
      </w:r>
      <w:r w:rsidRPr="00C73CF6">
        <w:rPr>
          <w:rFonts w:ascii="Times New Roman" w:hAnsi="Times New Roman" w:cs="Times New Roman"/>
          <w:i/>
          <w:iCs/>
          <w:sz w:val="24"/>
        </w:rPr>
        <w:t>18</w:t>
      </w:r>
      <w:r w:rsidRPr="00C73CF6">
        <w:rPr>
          <w:rFonts w:ascii="Times New Roman" w:hAnsi="Times New Roman" w:cs="Times New Roman"/>
          <w:sz w:val="24"/>
        </w:rPr>
        <w:t>(1), 59. https://doi.org/10.1186/s12964-020-0530-4</w:t>
      </w:r>
    </w:p>
    <w:p w14:paraId="71EF39BC"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Blum, S., Tsilimidos, G., Bresser, H., &amp; Lübbert, M. (2023). Role of Bcl-2 inhibition in myelodysplastic syndromes. </w:t>
      </w:r>
      <w:r w:rsidRPr="00C73CF6">
        <w:rPr>
          <w:rFonts w:ascii="Times New Roman" w:hAnsi="Times New Roman" w:cs="Times New Roman"/>
          <w:i/>
          <w:iCs/>
          <w:sz w:val="24"/>
        </w:rPr>
        <w:t>International Journal of Cancer</w:t>
      </w:r>
      <w:r w:rsidRPr="00C73CF6">
        <w:rPr>
          <w:rFonts w:ascii="Times New Roman" w:hAnsi="Times New Roman" w:cs="Times New Roman"/>
          <w:sz w:val="24"/>
        </w:rPr>
        <w:t xml:space="preserve">, </w:t>
      </w:r>
      <w:r w:rsidRPr="00C73CF6">
        <w:rPr>
          <w:rFonts w:ascii="Times New Roman" w:hAnsi="Times New Roman" w:cs="Times New Roman"/>
          <w:i/>
          <w:iCs/>
          <w:sz w:val="24"/>
        </w:rPr>
        <w:t>152</w:t>
      </w:r>
      <w:r w:rsidRPr="00C73CF6">
        <w:rPr>
          <w:rFonts w:ascii="Times New Roman" w:hAnsi="Times New Roman" w:cs="Times New Roman"/>
          <w:sz w:val="24"/>
        </w:rPr>
        <w:t>(8), 1526–1535. https://doi.org/10.1002/ijc.34377</w:t>
      </w:r>
    </w:p>
    <w:p w14:paraId="0186C9D3"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Boice, A., &amp; Bouchier-Hayes, L. (2020). Targeting apoptotic caspases in cancer. </w:t>
      </w:r>
      <w:r w:rsidRPr="00C73CF6">
        <w:rPr>
          <w:rFonts w:ascii="Times New Roman" w:hAnsi="Times New Roman" w:cs="Times New Roman"/>
          <w:i/>
          <w:iCs/>
          <w:sz w:val="24"/>
        </w:rPr>
        <w:t>Biochimica Et Biophysica Acta. Molecular Cell Research</w:t>
      </w:r>
      <w:r w:rsidRPr="00C73CF6">
        <w:rPr>
          <w:rFonts w:ascii="Times New Roman" w:hAnsi="Times New Roman" w:cs="Times New Roman"/>
          <w:sz w:val="24"/>
        </w:rPr>
        <w:t xml:space="preserve">, </w:t>
      </w:r>
      <w:r w:rsidRPr="00C73CF6">
        <w:rPr>
          <w:rFonts w:ascii="Times New Roman" w:hAnsi="Times New Roman" w:cs="Times New Roman"/>
          <w:i/>
          <w:iCs/>
          <w:sz w:val="24"/>
        </w:rPr>
        <w:t>1867</w:t>
      </w:r>
      <w:r w:rsidRPr="00C73CF6">
        <w:rPr>
          <w:rFonts w:ascii="Times New Roman" w:hAnsi="Times New Roman" w:cs="Times New Roman"/>
          <w:sz w:val="24"/>
        </w:rPr>
        <w:t>(6), 118688. https://doi.org/10.1016/j.bbamcr.2020.118688</w:t>
      </w:r>
    </w:p>
    <w:p w14:paraId="2AF9661E"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Carneiro, B. A., &amp; El-Deiry, W. S. (2020). Targeting apoptosis in cancer therapy. </w:t>
      </w:r>
      <w:r w:rsidRPr="00C73CF6">
        <w:rPr>
          <w:rFonts w:ascii="Times New Roman" w:hAnsi="Times New Roman" w:cs="Times New Roman"/>
          <w:i/>
          <w:iCs/>
          <w:sz w:val="24"/>
        </w:rPr>
        <w:t>Nature Reviews Clinical Oncology</w:t>
      </w:r>
      <w:r w:rsidRPr="00C73CF6">
        <w:rPr>
          <w:rFonts w:ascii="Times New Roman" w:hAnsi="Times New Roman" w:cs="Times New Roman"/>
          <w:sz w:val="24"/>
        </w:rPr>
        <w:t xml:space="preserve">, </w:t>
      </w:r>
      <w:r w:rsidRPr="00C73CF6">
        <w:rPr>
          <w:rFonts w:ascii="Times New Roman" w:hAnsi="Times New Roman" w:cs="Times New Roman"/>
          <w:i/>
          <w:iCs/>
          <w:sz w:val="24"/>
        </w:rPr>
        <w:t>17</w:t>
      </w:r>
      <w:r w:rsidRPr="00C73CF6">
        <w:rPr>
          <w:rFonts w:ascii="Times New Roman" w:hAnsi="Times New Roman" w:cs="Times New Roman"/>
          <w:sz w:val="24"/>
        </w:rPr>
        <w:t>(7), 395–417. https://doi.org/10.1038/s41571-020-0341-y</w:t>
      </w:r>
    </w:p>
    <w:p w14:paraId="3CCF44CC"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Costigan, A., Hollville, E., &amp; Martin, S. J. (2023). Discriminating Between Apoptosis, Necrosis, Necroptosis, and Ferroptosis by Microscopy and Flow Cytometry. </w:t>
      </w:r>
      <w:r w:rsidRPr="00C73CF6">
        <w:rPr>
          <w:rFonts w:ascii="Times New Roman" w:hAnsi="Times New Roman" w:cs="Times New Roman"/>
          <w:i/>
          <w:iCs/>
          <w:sz w:val="24"/>
        </w:rPr>
        <w:t>Current Protocols</w:t>
      </w:r>
      <w:r w:rsidRPr="00C73CF6">
        <w:rPr>
          <w:rFonts w:ascii="Times New Roman" w:hAnsi="Times New Roman" w:cs="Times New Roman"/>
          <w:sz w:val="24"/>
        </w:rPr>
        <w:t xml:space="preserve">, </w:t>
      </w:r>
      <w:r w:rsidRPr="00C73CF6">
        <w:rPr>
          <w:rFonts w:ascii="Times New Roman" w:hAnsi="Times New Roman" w:cs="Times New Roman"/>
          <w:i/>
          <w:iCs/>
          <w:sz w:val="24"/>
        </w:rPr>
        <w:t>3</w:t>
      </w:r>
      <w:r w:rsidRPr="00C73CF6">
        <w:rPr>
          <w:rFonts w:ascii="Times New Roman" w:hAnsi="Times New Roman" w:cs="Times New Roman"/>
          <w:sz w:val="24"/>
        </w:rPr>
        <w:t>(12), e951. https://doi.org/10.1002/cpz1.951</w:t>
      </w:r>
    </w:p>
    <w:p w14:paraId="768F186A"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lastRenderedPageBreak/>
        <w:t xml:space="preserve">Czabotar, P. E., &amp; Garcia-Saez, A. J. (2023). Mechanisms of BCL-2 family proteins in mitochondrial apoptosis. </w:t>
      </w:r>
      <w:r w:rsidRPr="00C73CF6">
        <w:rPr>
          <w:rFonts w:ascii="Times New Roman" w:hAnsi="Times New Roman" w:cs="Times New Roman"/>
          <w:i/>
          <w:iCs/>
          <w:sz w:val="24"/>
        </w:rPr>
        <w:t>Nature Reviews Molecular Cell Biology</w:t>
      </w:r>
      <w:r w:rsidRPr="00C73CF6">
        <w:rPr>
          <w:rFonts w:ascii="Times New Roman" w:hAnsi="Times New Roman" w:cs="Times New Roman"/>
          <w:sz w:val="24"/>
        </w:rPr>
        <w:t xml:space="preserve">, </w:t>
      </w:r>
      <w:r w:rsidRPr="00C73CF6">
        <w:rPr>
          <w:rFonts w:ascii="Times New Roman" w:hAnsi="Times New Roman" w:cs="Times New Roman"/>
          <w:i/>
          <w:iCs/>
          <w:sz w:val="24"/>
        </w:rPr>
        <w:t>24</w:t>
      </w:r>
      <w:r w:rsidRPr="00C73CF6">
        <w:rPr>
          <w:rFonts w:ascii="Times New Roman" w:hAnsi="Times New Roman" w:cs="Times New Roman"/>
          <w:sz w:val="24"/>
        </w:rPr>
        <w:t>(10), 732–748. https://doi.org/10.1038/s41580-023-00629-4</w:t>
      </w:r>
    </w:p>
    <w:p w14:paraId="6AA89BFB"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D’Arcy, M. S. (2019). Cell death: A review of the major forms of apoptosis, necrosis and autophagy. </w:t>
      </w:r>
      <w:r w:rsidRPr="00C73CF6">
        <w:rPr>
          <w:rFonts w:ascii="Times New Roman" w:hAnsi="Times New Roman" w:cs="Times New Roman"/>
          <w:i/>
          <w:iCs/>
          <w:sz w:val="24"/>
        </w:rPr>
        <w:t>Cell Biology International</w:t>
      </w:r>
      <w:r w:rsidRPr="00C73CF6">
        <w:rPr>
          <w:rFonts w:ascii="Times New Roman" w:hAnsi="Times New Roman" w:cs="Times New Roman"/>
          <w:sz w:val="24"/>
        </w:rPr>
        <w:t xml:space="preserve">, </w:t>
      </w:r>
      <w:r w:rsidRPr="00C73CF6">
        <w:rPr>
          <w:rFonts w:ascii="Times New Roman" w:hAnsi="Times New Roman" w:cs="Times New Roman"/>
          <w:i/>
          <w:iCs/>
          <w:sz w:val="24"/>
        </w:rPr>
        <w:t>43</w:t>
      </w:r>
      <w:r w:rsidRPr="00C73CF6">
        <w:rPr>
          <w:rFonts w:ascii="Times New Roman" w:hAnsi="Times New Roman" w:cs="Times New Roman"/>
          <w:sz w:val="24"/>
        </w:rPr>
        <w:t>(6), 582–592. https://doi.org/10.1002/cbin.11137</w:t>
      </w:r>
    </w:p>
    <w:p w14:paraId="6174E797"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de Visser, K. E., &amp; Joyce, J. A. (2023). The evolving tumor microenvironment: From cancer initiation to metastatic outgrowth. </w:t>
      </w:r>
      <w:r w:rsidRPr="00C73CF6">
        <w:rPr>
          <w:rFonts w:ascii="Times New Roman" w:hAnsi="Times New Roman" w:cs="Times New Roman"/>
          <w:i/>
          <w:iCs/>
          <w:sz w:val="24"/>
        </w:rPr>
        <w:t>Cancer Cell</w:t>
      </w:r>
      <w:r w:rsidRPr="00C73CF6">
        <w:rPr>
          <w:rFonts w:ascii="Times New Roman" w:hAnsi="Times New Roman" w:cs="Times New Roman"/>
          <w:sz w:val="24"/>
        </w:rPr>
        <w:t xml:space="preserve">, </w:t>
      </w:r>
      <w:r w:rsidRPr="00C73CF6">
        <w:rPr>
          <w:rFonts w:ascii="Times New Roman" w:hAnsi="Times New Roman" w:cs="Times New Roman"/>
          <w:i/>
          <w:iCs/>
          <w:sz w:val="24"/>
        </w:rPr>
        <w:t>41</w:t>
      </w:r>
      <w:r w:rsidRPr="00C73CF6">
        <w:rPr>
          <w:rFonts w:ascii="Times New Roman" w:hAnsi="Times New Roman" w:cs="Times New Roman"/>
          <w:sz w:val="24"/>
        </w:rPr>
        <w:t>(3), 374–403. https://doi.org/10.1016/j.ccell.2023.02.016</w:t>
      </w:r>
    </w:p>
    <w:p w14:paraId="5CE56BE9"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Deepak, K. G. K., Vempati, R., Nagaraju, G. P., Dasari, V. R., S, N., Rao, D. N., &amp; Malla, R. R. (2020). Tumor microenvironment: Challenges and opportunities in targeting metastasis of triple negative breast cancer. </w:t>
      </w:r>
      <w:r w:rsidRPr="00C73CF6">
        <w:rPr>
          <w:rFonts w:ascii="Times New Roman" w:hAnsi="Times New Roman" w:cs="Times New Roman"/>
          <w:i/>
          <w:iCs/>
          <w:sz w:val="24"/>
        </w:rPr>
        <w:t>Pharmacological Research</w:t>
      </w:r>
      <w:r w:rsidRPr="00C73CF6">
        <w:rPr>
          <w:rFonts w:ascii="Times New Roman" w:hAnsi="Times New Roman" w:cs="Times New Roman"/>
          <w:sz w:val="24"/>
        </w:rPr>
        <w:t xml:space="preserve">, </w:t>
      </w:r>
      <w:r w:rsidRPr="00C73CF6">
        <w:rPr>
          <w:rFonts w:ascii="Times New Roman" w:hAnsi="Times New Roman" w:cs="Times New Roman"/>
          <w:i/>
          <w:iCs/>
          <w:sz w:val="24"/>
        </w:rPr>
        <w:t>153</w:t>
      </w:r>
      <w:r w:rsidRPr="00C73CF6">
        <w:rPr>
          <w:rFonts w:ascii="Times New Roman" w:hAnsi="Times New Roman" w:cs="Times New Roman"/>
          <w:sz w:val="24"/>
        </w:rPr>
        <w:t>, 104683. https://doi.org/10.1016/j.phrs.2020.104683</w:t>
      </w:r>
    </w:p>
    <w:p w14:paraId="6869C49A"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Doocey, C. M., Finn, K., Murphy, C., &amp; Guinane, C. M. (2022). The impact of the human microbiome in tumorigenesis, cancer progression, and biotherapeutic development. </w:t>
      </w:r>
      <w:r w:rsidRPr="00C73CF6">
        <w:rPr>
          <w:rFonts w:ascii="Times New Roman" w:hAnsi="Times New Roman" w:cs="Times New Roman"/>
          <w:i/>
          <w:iCs/>
          <w:sz w:val="24"/>
        </w:rPr>
        <w:t>BMC Microbiology</w:t>
      </w:r>
      <w:r w:rsidRPr="00C73CF6">
        <w:rPr>
          <w:rFonts w:ascii="Times New Roman" w:hAnsi="Times New Roman" w:cs="Times New Roman"/>
          <w:sz w:val="24"/>
        </w:rPr>
        <w:t xml:space="preserve">, </w:t>
      </w:r>
      <w:r w:rsidRPr="00C73CF6">
        <w:rPr>
          <w:rFonts w:ascii="Times New Roman" w:hAnsi="Times New Roman" w:cs="Times New Roman"/>
          <w:i/>
          <w:iCs/>
          <w:sz w:val="24"/>
        </w:rPr>
        <w:t>22</w:t>
      </w:r>
      <w:r w:rsidRPr="00C73CF6">
        <w:rPr>
          <w:rFonts w:ascii="Times New Roman" w:hAnsi="Times New Roman" w:cs="Times New Roman"/>
          <w:sz w:val="24"/>
        </w:rPr>
        <w:t>(1), 53. https://doi.org/10.1186/s12866-022-02465-6</w:t>
      </w:r>
    </w:p>
    <w:p w14:paraId="3CA8248F"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Elnaggar, G. N., El-Hifnawi, N. M., Ismail, A., Yahia, M., &amp; Elshimy, R. A. A. (2021). Micro RNA-148a Targets Bcl-2 in Patients with Non-Small Cell Lung Cancer. </w:t>
      </w:r>
      <w:r w:rsidRPr="00C73CF6">
        <w:rPr>
          <w:rFonts w:ascii="Times New Roman" w:hAnsi="Times New Roman" w:cs="Times New Roman"/>
          <w:i/>
          <w:iCs/>
          <w:sz w:val="24"/>
        </w:rPr>
        <w:t>Asian Pacific Journal of Cancer Prevention: APJCP</w:t>
      </w:r>
      <w:r w:rsidRPr="00C73CF6">
        <w:rPr>
          <w:rFonts w:ascii="Times New Roman" w:hAnsi="Times New Roman" w:cs="Times New Roman"/>
          <w:sz w:val="24"/>
        </w:rPr>
        <w:t xml:space="preserve">, </w:t>
      </w:r>
      <w:r w:rsidRPr="00C73CF6">
        <w:rPr>
          <w:rFonts w:ascii="Times New Roman" w:hAnsi="Times New Roman" w:cs="Times New Roman"/>
          <w:i/>
          <w:iCs/>
          <w:sz w:val="24"/>
        </w:rPr>
        <w:t>22</w:t>
      </w:r>
      <w:r w:rsidRPr="00C73CF6">
        <w:rPr>
          <w:rFonts w:ascii="Times New Roman" w:hAnsi="Times New Roman" w:cs="Times New Roman"/>
          <w:sz w:val="24"/>
        </w:rPr>
        <w:t>(6), 1949–1955. https://doi.org/10.31557/APJCP.2021.22.6.1949</w:t>
      </w:r>
    </w:p>
    <w:p w14:paraId="198F48E9"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El-Tanani, M., Rabbani, S. A., Babiker, R., Rangraze, I., Kapre, S., Palakurthi, S. S., Alnuqaydan, A. M., Aljabali, A. A., Rizzo, M., El-Tanani, Y., &amp; Tambuwala, M. M. (2024). Unraveling the tumor microenvironment: Insights into cancer metastasis and therapeutic strategies. </w:t>
      </w:r>
      <w:r w:rsidRPr="00C73CF6">
        <w:rPr>
          <w:rFonts w:ascii="Times New Roman" w:hAnsi="Times New Roman" w:cs="Times New Roman"/>
          <w:i/>
          <w:iCs/>
          <w:sz w:val="24"/>
        </w:rPr>
        <w:t>Cancer Letters</w:t>
      </w:r>
      <w:r w:rsidRPr="00C73CF6">
        <w:rPr>
          <w:rFonts w:ascii="Times New Roman" w:hAnsi="Times New Roman" w:cs="Times New Roman"/>
          <w:sz w:val="24"/>
        </w:rPr>
        <w:t xml:space="preserve">, </w:t>
      </w:r>
      <w:r w:rsidRPr="00C73CF6">
        <w:rPr>
          <w:rFonts w:ascii="Times New Roman" w:hAnsi="Times New Roman" w:cs="Times New Roman"/>
          <w:i/>
          <w:iCs/>
          <w:sz w:val="24"/>
        </w:rPr>
        <w:t>591</w:t>
      </w:r>
      <w:r w:rsidRPr="00C73CF6">
        <w:rPr>
          <w:rFonts w:ascii="Times New Roman" w:hAnsi="Times New Roman" w:cs="Times New Roman"/>
          <w:sz w:val="24"/>
        </w:rPr>
        <w:t>, 216894. https://doi.org/10.1016/j.canlet.2024.216894</w:t>
      </w:r>
    </w:p>
    <w:p w14:paraId="28ECC6A6"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lastRenderedPageBreak/>
        <w:t xml:space="preserve">Goldar, S., Khaniani, M. S., Derakhshan, S. M., &amp; Baradaran, B. (2015). Molecular mechanisms of apoptosis and roles in cancer development and treatment. </w:t>
      </w:r>
      <w:r w:rsidRPr="00C73CF6">
        <w:rPr>
          <w:rFonts w:ascii="Times New Roman" w:hAnsi="Times New Roman" w:cs="Times New Roman"/>
          <w:i/>
          <w:iCs/>
          <w:sz w:val="24"/>
        </w:rPr>
        <w:t>Asian Pacific Journal of Cancer Prevention: APJCP</w:t>
      </w:r>
      <w:r w:rsidRPr="00C73CF6">
        <w:rPr>
          <w:rFonts w:ascii="Times New Roman" w:hAnsi="Times New Roman" w:cs="Times New Roman"/>
          <w:sz w:val="24"/>
        </w:rPr>
        <w:t xml:space="preserve">, </w:t>
      </w:r>
      <w:r w:rsidRPr="00C73CF6">
        <w:rPr>
          <w:rFonts w:ascii="Times New Roman" w:hAnsi="Times New Roman" w:cs="Times New Roman"/>
          <w:i/>
          <w:iCs/>
          <w:sz w:val="24"/>
        </w:rPr>
        <w:t>16</w:t>
      </w:r>
      <w:r w:rsidRPr="00C73CF6">
        <w:rPr>
          <w:rFonts w:ascii="Times New Roman" w:hAnsi="Times New Roman" w:cs="Times New Roman"/>
          <w:sz w:val="24"/>
        </w:rPr>
        <w:t>(6), 2129–2144. https://doi.org/10.7314/apjcp.2015.16.6.2129</w:t>
      </w:r>
    </w:p>
    <w:p w14:paraId="1E8D8408"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Hanahan, D. (2022). Hallmarks of Cancer: New Dimensions. </w:t>
      </w:r>
      <w:r w:rsidRPr="00C73CF6">
        <w:rPr>
          <w:rFonts w:ascii="Times New Roman" w:hAnsi="Times New Roman" w:cs="Times New Roman"/>
          <w:i/>
          <w:iCs/>
          <w:sz w:val="24"/>
        </w:rPr>
        <w:t>Cancer Discovery</w:t>
      </w:r>
      <w:r w:rsidRPr="00C73CF6">
        <w:rPr>
          <w:rFonts w:ascii="Times New Roman" w:hAnsi="Times New Roman" w:cs="Times New Roman"/>
          <w:sz w:val="24"/>
        </w:rPr>
        <w:t xml:space="preserve">, </w:t>
      </w:r>
      <w:r w:rsidRPr="00C73CF6">
        <w:rPr>
          <w:rFonts w:ascii="Times New Roman" w:hAnsi="Times New Roman" w:cs="Times New Roman"/>
          <w:i/>
          <w:iCs/>
          <w:sz w:val="24"/>
        </w:rPr>
        <w:t>12</w:t>
      </w:r>
      <w:r w:rsidRPr="00C73CF6">
        <w:rPr>
          <w:rFonts w:ascii="Times New Roman" w:hAnsi="Times New Roman" w:cs="Times New Roman"/>
          <w:sz w:val="24"/>
        </w:rPr>
        <w:t>(1), 31–46. https://doi.org/10.1158/2159-8290.CD-21-1059</w:t>
      </w:r>
    </w:p>
    <w:p w14:paraId="360EE373"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He, R., Liu, Y., Fu, W., He, X., Liu, S., Xiao, D., &amp; Tao, Y. (2024). Mechanisms and cross-talk of regulated cell death and their epigenetic modifications in tumor progression. </w:t>
      </w:r>
      <w:r w:rsidRPr="00C73CF6">
        <w:rPr>
          <w:rFonts w:ascii="Times New Roman" w:hAnsi="Times New Roman" w:cs="Times New Roman"/>
          <w:i/>
          <w:iCs/>
          <w:sz w:val="24"/>
        </w:rPr>
        <w:t>Molecular Cancer</w:t>
      </w:r>
      <w:r w:rsidRPr="00C73CF6">
        <w:rPr>
          <w:rFonts w:ascii="Times New Roman" w:hAnsi="Times New Roman" w:cs="Times New Roman"/>
          <w:sz w:val="24"/>
        </w:rPr>
        <w:t xml:space="preserve">, </w:t>
      </w:r>
      <w:r w:rsidRPr="00C73CF6">
        <w:rPr>
          <w:rFonts w:ascii="Times New Roman" w:hAnsi="Times New Roman" w:cs="Times New Roman"/>
          <w:i/>
          <w:iCs/>
          <w:sz w:val="24"/>
        </w:rPr>
        <w:t>23</w:t>
      </w:r>
      <w:r w:rsidRPr="00C73CF6">
        <w:rPr>
          <w:rFonts w:ascii="Times New Roman" w:hAnsi="Times New Roman" w:cs="Times New Roman"/>
          <w:sz w:val="24"/>
        </w:rPr>
        <w:t>(1), 267. https://doi.org/10.1186/s12943-024-02172-y</w:t>
      </w:r>
    </w:p>
    <w:p w14:paraId="7438839F"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Hughes, S. A., Lin, M., Weir, A., Huang, B., Xiong, L., Chua, N. K., Pang, J., Santavanond, J. P., Tixeira, R., Doerflinger, M., Deng, Y., Yu, C.-H., Silke, N., Conos, S. A., Frank, D., Simpson, D. S., Murphy, J. M., Lawlor, K. E., Pearson, J. S., … Vince, J. E. (2023). Caspase-8-driven apoptotic and pyroptotic crosstalk causes cell death and IL-1β release in X-linked inhibitor of apoptosis (XIAP) deficiency. </w:t>
      </w:r>
      <w:r w:rsidRPr="00C73CF6">
        <w:rPr>
          <w:rFonts w:ascii="Times New Roman" w:hAnsi="Times New Roman" w:cs="Times New Roman"/>
          <w:i/>
          <w:iCs/>
          <w:sz w:val="24"/>
        </w:rPr>
        <w:t>The EMBO Journal</w:t>
      </w:r>
      <w:r w:rsidRPr="00C73CF6">
        <w:rPr>
          <w:rFonts w:ascii="Times New Roman" w:hAnsi="Times New Roman" w:cs="Times New Roman"/>
          <w:sz w:val="24"/>
        </w:rPr>
        <w:t xml:space="preserve">, </w:t>
      </w:r>
      <w:r w:rsidRPr="00C73CF6">
        <w:rPr>
          <w:rFonts w:ascii="Times New Roman" w:hAnsi="Times New Roman" w:cs="Times New Roman"/>
          <w:i/>
          <w:iCs/>
          <w:sz w:val="24"/>
        </w:rPr>
        <w:t>42</w:t>
      </w:r>
      <w:r w:rsidRPr="00C73CF6">
        <w:rPr>
          <w:rFonts w:ascii="Times New Roman" w:hAnsi="Times New Roman" w:cs="Times New Roman"/>
          <w:sz w:val="24"/>
        </w:rPr>
        <w:t>(5), e110468. https://doi.org/10.15252/embj.2021110468</w:t>
      </w:r>
    </w:p>
    <w:p w14:paraId="371E6A97"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Jan, R., &amp; Chaudhry, G.-S. (2019). Understanding Apoptosis and Apoptotic Pathways Targeted Cancer Therapeutics. </w:t>
      </w:r>
      <w:r w:rsidRPr="00C73CF6">
        <w:rPr>
          <w:rFonts w:ascii="Times New Roman" w:hAnsi="Times New Roman" w:cs="Times New Roman"/>
          <w:i/>
          <w:iCs/>
          <w:sz w:val="24"/>
        </w:rPr>
        <w:t>Advanced Pharmaceutical Bulletin</w:t>
      </w:r>
      <w:r w:rsidRPr="00C73CF6">
        <w:rPr>
          <w:rFonts w:ascii="Times New Roman" w:hAnsi="Times New Roman" w:cs="Times New Roman"/>
          <w:sz w:val="24"/>
        </w:rPr>
        <w:t xml:space="preserve">, </w:t>
      </w:r>
      <w:r w:rsidRPr="00C73CF6">
        <w:rPr>
          <w:rFonts w:ascii="Times New Roman" w:hAnsi="Times New Roman" w:cs="Times New Roman"/>
          <w:i/>
          <w:iCs/>
          <w:sz w:val="24"/>
        </w:rPr>
        <w:t>9</w:t>
      </w:r>
      <w:r w:rsidRPr="00C73CF6">
        <w:rPr>
          <w:rFonts w:ascii="Times New Roman" w:hAnsi="Times New Roman" w:cs="Times New Roman"/>
          <w:sz w:val="24"/>
        </w:rPr>
        <w:t>(2), 205–218. https://doi.org/10.15171/apb.2019.024</w:t>
      </w:r>
    </w:p>
    <w:p w14:paraId="24EBF833"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Jarosz-Biej, M., Smolarczyk, R., Cichoń, T., &amp; Kułach, N. (2019). Tumor Microenvironment as A “Game Changer” in Cancer Radiotherapy. </w:t>
      </w:r>
      <w:r w:rsidRPr="00C73CF6">
        <w:rPr>
          <w:rFonts w:ascii="Times New Roman" w:hAnsi="Times New Roman" w:cs="Times New Roman"/>
          <w:i/>
          <w:iCs/>
          <w:sz w:val="24"/>
        </w:rPr>
        <w:t>International Journal of Molecular Sciences</w:t>
      </w:r>
      <w:r w:rsidRPr="00C73CF6">
        <w:rPr>
          <w:rFonts w:ascii="Times New Roman" w:hAnsi="Times New Roman" w:cs="Times New Roman"/>
          <w:sz w:val="24"/>
        </w:rPr>
        <w:t xml:space="preserve">, </w:t>
      </w:r>
      <w:r w:rsidRPr="00C73CF6">
        <w:rPr>
          <w:rFonts w:ascii="Times New Roman" w:hAnsi="Times New Roman" w:cs="Times New Roman"/>
          <w:i/>
          <w:iCs/>
          <w:sz w:val="24"/>
        </w:rPr>
        <w:t>20</w:t>
      </w:r>
      <w:r w:rsidRPr="00C73CF6">
        <w:rPr>
          <w:rFonts w:ascii="Times New Roman" w:hAnsi="Times New Roman" w:cs="Times New Roman"/>
          <w:sz w:val="24"/>
        </w:rPr>
        <w:t>(13), 3212. https://doi.org/10.3390/ijms20133212</w:t>
      </w:r>
    </w:p>
    <w:p w14:paraId="0B9D9219"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Kaloni, D., Diepstraten, S. T., Strasser, A., &amp; Kelly, G. L. (2023). BCL-2 protein family: Attractive targets for cancer therapy. </w:t>
      </w:r>
      <w:r w:rsidRPr="00C73CF6">
        <w:rPr>
          <w:rFonts w:ascii="Times New Roman" w:hAnsi="Times New Roman" w:cs="Times New Roman"/>
          <w:i/>
          <w:iCs/>
          <w:sz w:val="24"/>
        </w:rPr>
        <w:t>Apoptosis: An International Journal on Programmed Cell Death</w:t>
      </w:r>
      <w:r w:rsidRPr="00C73CF6">
        <w:rPr>
          <w:rFonts w:ascii="Times New Roman" w:hAnsi="Times New Roman" w:cs="Times New Roman"/>
          <w:sz w:val="24"/>
        </w:rPr>
        <w:t xml:space="preserve">, </w:t>
      </w:r>
      <w:r w:rsidRPr="00C73CF6">
        <w:rPr>
          <w:rFonts w:ascii="Times New Roman" w:hAnsi="Times New Roman" w:cs="Times New Roman"/>
          <w:i/>
          <w:iCs/>
          <w:sz w:val="24"/>
        </w:rPr>
        <w:t>28</w:t>
      </w:r>
      <w:r w:rsidRPr="00C73CF6">
        <w:rPr>
          <w:rFonts w:ascii="Times New Roman" w:hAnsi="Times New Roman" w:cs="Times New Roman"/>
          <w:sz w:val="24"/>
        </w:rPr>
        <w:t>(1–2), 20–38. https://doi.org/10.1007/s10495-022-01780-7</w:t>
      </w:r>
    </w:p>
    <w:p w14:paraId="36FA8D31"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lastRenderedPageBreak/>
        <w:t xml:space="preserve">Kashyap, D., Garg, V. K., &amp; Goel, N. (2021). Chapter Four - Intrinsic and extrinsic pathways of apoptosis: Role in cancer development and prognosis. In R. Donev (Ed.), </w:t>
      </w:r>
      <w:r w:rsidRPr="00C73CF6">
        <w:rPr>
          <w:rFonts w:ascii="Times New Roman" w:hAnsi="Times New Roman" w:cs="Times New Roman"/>
          <w:i/>
          <w:iCs/>
          <w:sz w:val="24"/>
        </w:rPr>
        <w:t>Advances in Protein Chemistry and Structural Biology</w:t>
      </w:r>
      <w:r w:rsidRPr="00C73CF6">
        <w:rPr>
          <w:rFonts w:ascii="Times New Roman" w:hAnsi="Times New Roman" w:cs="Times New Roman"/>
          <w:sz w:val="24"/>
        </w:rPr>
        <w:t xml:space="preserve"> (Vol. 125, pp. 73–120). Academic Press. https://doi.org/10.1016/bs.apcsb.2021.01.003</w:t>
      </w:r>
    </w:p>
    <w:p w14:paraId="45076EE9"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Kocab, A. J., &amp; Duckett, C. S. (2016). INHIBITOR OF APOPTOSIS PROTEINS AS INTRACELLULAR SIGNALING INTERMEDIATES. </w:t>
      </w:r>
      <w:r w:rsidRPr="00C73CF6">
        <w:rPr>
          <w:rFonts w:ascii="Times New Roman" w:hAnsi="Times New Roman" w:cs="Times New Roman"/>
          <w:i/>
          <w:iCs/>
          <w:sz w:val="24"/>
        </w:rPr>
        <w:t>The FEBS Journal</w:t>
      </w:r>
      <w:r w:rsidRPr="00C73CF6">
        <w:rPr>
          <w:rFonts w:ascii="Times New Roman" w:hAnsi="Times New Roman" w:cs="Times New Roman"/>
          <w:sz w:val="24"/>
        </w:rPr>
        <w:t xml:space="preserve">, </w:t>
      </w:r>
      <w:r w:rsidRPr="00C73CF6">
        <w:rPr>
          <w:rFonts w:ascii="Times New Roman" w:hAnsi="Times New Roman" w:cs="Times New Roman"/>
          <w:i/>
          <w:iCs/>
          <w:sz w:val="24"/>
        </w:rPr>
        <w:t>283</w:t>
      </w:r>
      <w:r w:rsidRPr="00C73CF6">
        <w:rPr>
          <w:rFonts w:ascii="Times New Roman" w:hAnsi="Times New Roman" w:cs="Times New Roman"/>
          <w:sz w:val="24"/>
        </w:rPr>
        <w:t>(2), 221–231. https://doi.org/10.1111/febs.13554</w:t>
      </w:r>
    </w:p>
    <w:p w14:paraId="4936BFE1"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Liu, B., Zhou, H., Tan, L., Siu, K. T. H., &amp; Guan, X.-Y. (2024). Exploring treatment options in cancer: Tumor treatment strategies. </w:t>
      </w:r>
      <w:r w:rsidRPr="00C73CF6">
        <w:rPr>
          <w:rFonts w:ascii="Times New Roman" w:hAnsi="Times New Roman" w:cs="Times New Roman"/>
          <w:i/>
          <w:iCs/>
          <w:sz w:val="24"/>
        </w:rPr>
        <w:t>Signal Transduction and Targeted Therapy</w:t>
      </w:r>
      <w:r w:rsidRPr="00C73CF6">
        <w:rPr>
          <w:rFonts w:ascii="Times New Roman" w:hAnsi="Times New Roman" w:cs="Times New Roman"/>
          <w:sz w:val="24"/>
        </w:rPr>
        <w:t xml:space="preserve">, </w:t>
      </w:r>
      <w:r w:rsidRPr="00C73CF6">
        <w:rPr>
          <w:rFonts w:ascii="Times New Roman" w:hAnsi="Times New Roman" w:cs="Times New Roman"/>
          <w:i/>
          <w:iCs/>
          <w:sz w:val="24"/>
        </w:rPr>
        <w:t>9</w:t>
      </w:r>
      <w:r w:rsidRPr="00C73CF6">
        <w:rPr>
          <w:rFonts w:ascii="Times New Roman" w:hAnsi="Times New Roman" w:cs="Times New Roman"/>
          <w:sz w:val="24"/>
        </w:rPr>
        <w:t>(1), 1–44. https://doi.org/10.1038/s41392-024-01856-7</w:t>
      </w:r>
    </w:p>
    <w:p w14:paraId="546BEF68"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Lossi, L. (2022). The concept of intrinsic versus extrinsic apoptosis. </w:t>
      </w:r>
      <w:r w:rsidRPr="00C73CF6">
        <w:rPr>
          <w:rFonts w:ascii="Times New Roman" w:hAnsi="Times New Roman" w:cs="Times New Roman"/>
          <w:i/>
          <w:iCs/>
          <w:sz w:val="24"/>
        </w:rPr>
        <w:t>The Biochemical Journal</w:t>
      </w:r>
      <w:r w:rsidRPr="00C73CF6">
        <w:rPr>
          <w:rFonts w:ascii="Times New Roman" w:hAnsi="Times New Roman" w:cs="Times New Roman"/>
          <w:sz w:val="24"/>
        </w:rPr>
        <w:t xml:space="preserve">, </w:t>
      </w:r>
      <w:r w:rsidRPr="00C73CF6">
        <w:rPr>
          <w:rFonts w:ascii="Times New Roman" w:hAnsi="Times New Roman" w:cs="Times New Roman"/>
          <w:i/>
          <w:iCs/>
          <w:sz w:val="24"/>
        </w:rPr>
        <w:t>479</w:t>
      </w:r>
      <w:r w:rsidRPr="00C73CF6">
        <w:rPr>
          <w:rFonts w:ascii="Times New Roman" w:hAnsi="Times New Roman" w:cs="Times New Roman"/>
          <w:sz w:val="24"/>
        </w:rPr>
        <w:t>(3), 357–384. https://doi.org/10.1042/BCJ20210854</w:t>
      </w:r>
    </w:p>
    <w:p w14:paraId="4BCC4C5C"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Mosadegh, M., Noori Goodarzi, N., &amp; Erfani, Y. (2025a). A Comprehensive Insight into Apoptosis: Molecular Mechanisms, Signaling Pathways, and Modulating Therapeutics. </w:t>
      </w:r>
      <w:r w:rsidRPr="00C73CF6">
        <w:rPr>
          <w:rFonts w:ascii="Times New Roman" w:hAnsi="Times New Roman" w:cs="Times New Roman"/>
          <w:i/>
          <w:iCs/>
          <w:sz w:val="24"/>
        </w:rPr>
        <w:t>Cancer Investigation</w:t>
      </w:r>
      <w:r w:rsidRPr="00C73CF6">
        <w:rPr>
          <w:rFonts w:ascii="Times New Roman" w:hAnsi="Times New Roman" w:cs="Times New Roman"/>
          <w:sz w:val="24"/>
        </w:rPr>
        <w:t xml:space="preserve">, </w:t>
      </w:r>
      <w:r w:rsidRPr="00C73CF6">
        <w:rPr>
          <w:rFonts w:ascii="Times New Roman" w:hAnsi="Times New Roman" w:cs="Times New Roman"/>
          <w:i/>
          <w:iCs/>
          <w:sz w:val="24"/>
        </w:rPr>
        <w:t>43</w:t>
      </w:r>
      <w:r w:rsidRPr="00C73CF6">
        <w:rPr>
          <w:rFonts w:ascii="Times New Roman" w:hAnsi="Times New Roman" w:cs="Times New Roman"/>
          <w:sz w:val="24"/>
        </w:rPr>
        <w:t>(1), 33–58. https://doi.org/10.1080/07357907.2024.2445528</w:t>
      </w:r>
    </w:p>
    <w:p w14:paraId="779A4E9E"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Mosadegh, M., Noori Goodarzi, N., &amp; Erfani, Y. (2025b). A Comprehensive Insight into Apoptosis: Molecular Mechanisms, Signaling Pathways, and Modulating Therapeutics. </w:t>
      </w:r>
      <w:r w:rsidRPr="00C73CF6">
        <w:rPr>
          <w:rFonts w:ascii="Times New Roman" w:hAnsi="Times New Roman" w:cs="Times New Roman"/>
          <w:i/>
          <w:iCs/>
          <w:sz w:val="24"/>
        </w:rPr>
        <w:t>Cancer Investigation</w:t>
      </w:r>
      <w:r w:rsidRPr="00C73CF6">
        <w:rPr>
          <w:rFonts w:ascii="Times New Roman" w:hAnsi="Times New Roman" w:cs="Times New Roman"/>
          <w:sz w:val="24"/>
        </w:rPr>
        <w:t xml:space="preserve">, </w:t>
      </w:r>
      <w:r w:rsidRPr="00C73CF6">
        <w:rPr>
          <w:rFonts w:ascii="Times New Roman" w:hAnsi="Times New Roman" w:cs="Times New Roman"/>
          <w:i/>
          <w:iCs/>
          <w:sz w:val="24"/>
        </w:rPr>
        <w:t>43</w:t>
      </w:r>
      <w:r w:rsidRPr="00C73CF6">
        <w:rPr>
          <w:rFonts w:ascii="Times New Roman" w:hAnsi="Times New Roman" w:cs="Times New Roman"/>
          <w:sz w:val="24"/>
        </w:rPr>
        <w:t>(1), 33–58. https://doi.org/10.1080/07357907.2024.2445528</w:t>
      </w:r>
    </w:p>
    <w:p w14:paraId="75C7047F"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Moyer, A., Tanaka, K., &amp; Cheng, E. H. (2025). Apoptosis in Cancer Biology and Therapy. </w:t>
      </w:r>
      <w:r w:rsidRPr="00C73CF6">
        <w:rPr>
          <w:rFonts w:ascii="Times New Roman" w:hAnsi="Times New Roman" w:cs="Times New Roman"/>
          <w:i/>
          <w:iCs/>
          <w:sz w:val="24"/>
        </w:rPr>
        <w:t>Annual Review of Pathology</w:t>
      </w:r>
      <w:r w:rsidRPr="00C73CF6">
        <w:rPr>
          <w:rFonts w:ascii="Times New Roman" w:hAnsi="Times New Roman" w:cs="Times New Roman"/>
          <w:sz w:val="24"/>
        </w:rPr>
        <w:t xml:space="preserve">, </w:t>
      </w:r>
      <w:r w:rsidRPr="00C73CF6">
        <w:rPr>
          <w:rFonts w:ascii="Times New Roman" w:hAnsi="Times New Roman" w:cs="Times New Roman"/>
          <w:i/>
          <w:iCs/>
          <w:sz w:val="24"/>
        </w:rPr>
        <w:t>20</w:t>
      </w:r>
      <w:r w:rsidRPr="00C73CF6">
        <w:rPr>
          <w:rFonts w:ascii="Times New Roman" w:hAnsi="Times New Roman" w:cs="Times New Roman"/>
          <w:sz w:val="24"/>
        </w:rPr>
        <w:t>(1), 303–328. https://doi.org/10.1146/annurev-pathmechdis-051222-115023</w:t>
      </w:r>
    </w:p>
    <w:p w14:paraId="6F047B23"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Mustafa, M., Ahmad, R., Tantry, I. Q., Ahmad, W., Siddiqui, S., Alam, M., Abbas, K., Moinuddin, Hassan, Md. I., Habib, S., &amp; Islam, S. (2024). Apoptosis: A </w:t>
      </w:r>
      <w:r w:rsidRPr="00C73CF6">
        <w:rPr>
          <w:rFonts w:ascii="Times New Roman" w:hAnsi="Times New Roman" w:cs="Times New Roman"/>
          <w:sz w:val="24"/>
        </w:rPr>
        <w:lastRenderedPageBreak/>
        <w:t xml:space="preserve">Comprehensive Overview of Signaling Pathways, Morphological Changes, and Physiological Significance and Therapeutic Implications. </w:t>
      </w:r>
      <w:r w:rsidRPr="00C73CF6">
        <w:rPr>
          <w:rFonts w:ascii="Times New Roman" w:hAnsi="Times New Roman" w:cs="Times New Roman"/>
          <w:i/>
          <w:iCs/>
          <w:sz w:val="24"/>
        </w:rPr>
        <w:t>Cells</w:t>
      </w:r>
      <w:r w:rsidRPr="00C73CF6">
        <w:rPr>
          <w:rFonts w:ascii="Times New Roman" w:hAnsi="Times New Roman" w:cs="Times New Roman"/>
          <w:sz w:val="24"/>
        </w:rPr>
        <w:t xml:space="preserve">, </w:t>
      </w:r>
      <w:r w:rsidRPr="00C73CF6">
        <w:rPr>
          <w:rFonts w:ascii="Times New Roman" w:hAnsi="Times New Roman" w:cs="Times New Roman"/>
          <w:i/>
          <w:iCs/>
          <w:sz w:val="24"/>
        </w:rPr>
        <w:t>13</w:t>
      </w:r>
      <w:r w:rsidRPr="00C73CF6">
        <w:rPr>
          <w:rFonts w:ascii="Times New Roman" w:hAnsi="Times New Roman" w:cs="Times New Roman"/>
          <w:sz w:val="24"/>
        </w:rPr>
        <w:t>(22), 1838. https://doi.org/10.3390/cells13221838</w:t>
      </w:r>
    </w:p>
    <w:p w14:paraId="19F4E96D"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Newton, K., Strasser, A., Kayagaki, N., &amp; Dixit, V. M. (2024). Cell death. </w:t>
      </w:r>
      <w:r w:rsidRPr="00C73CF6">
        <w:rPr>
          <w:rFonts w:ascii="Times New Roman" w:hAnsi="Times New Roman" w:cs="Times New Roman"/>
          <w:i/>
          <w:iCs/>
          <w:sz w:val="24"/>
        </w:rPr>
        <w:t>Cell</w:t>
      </w:r>
      <w:r w:rsidRPr="00C73CF6">
        <w:rPr>
          <w:rFonts w:ascii="Times New Roman" w:hAnsi="Times New Roman" w:cs="Times New Roman"/>
          <w:sz w:val="24"/>
        </w:rPr>
        <w:t xml:space="preserve">, </w:t>
      </w:r>
      <w:r w:rsidRPr="00C73CF6">
        <w:rPr>
          <w:rFonts w:ascii="Times New Roman" w:hAnsi="Times New Roman" w:cs="Times New Roman"/>
          <w:i/>
          <w:iCs/>
          <w:sz w:val="24"/>
        </w:rPr>
        <w:t>187</w:t>
      </w:r>
      <w:r w:rsidRPr="00C73CF6">
        <w:rPr>
          <w:rFonts w:ascii="Times New Roman" w:hAnsi="Times New Roman" w:cs="Times New Roman"/>
          <w:sz w:val="24"/>
        </w:rPr>
        <w:t>(2), 235–256. https://doi.org/10.1016/j.cell.2023.11.044</w:t>
      </w:r>
    </w:p>
    <w:p w14:paraId="63ABA9E0"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Park, J. H., Pyun, W. Y., &amp; Park, H. W. (2020). Cancer Metabolism: Phenotype, Signaling and Therapeutic Targets. </w:t>
      </w:r>
      <w:r w:rsidRPr="00C73CF6">
        <w:rPr>
          <w:rFonts w:ascii="Times New Roman" w:hAnsi="Times New Roman" w:cs="Times New Roman"/>
          <w:i/>
          <w:iCs/>
          <w:sz w:val="24"/>
        </w:rPr>
        <w:t>Cells</w:t>
      </w:r>
      <w:r w:rsidRPr="00C73CF6">
        <w:rPr>
          <w:rFonts w:ascii="Times New Roman" w:hAnsi="Times New Roman" w:cs="Times New Roman"/>
          <w:sz w:val="24"/>
        </w:rPr>
        <w:t xml:space="preserve">, </w:t>
      </w:r>
      <w:r w:rsidRPr="00C73CF6">
        <w:rPr>
          <w:rFonts w:ascii="Times New Roman" w:hAnsi="Times New Roman" w:cs="Times New Roman"/>
          <w:i/>
          <w:iCs/>
          <w:sz w:val="24"/>
        </w:rPr>
        <w:t>9</w:t>
      </w:r>
      <w:r w:rsidRPr="00C73CF6">
        <w:rPr>
          <w:rFonts w:ascii="Times New Roman" w:hAnsi="Times New Roman" w:cs="Times New Roman"/>
          <w:sz w:val="24"/>
        </w:rPr>
        <w:t>(10), 2308. https://doi.org/10.3390/cells9102308</w:t>
      </w:r>
    </w:p>
    <w:p w14:paraId="4BA0E7D1"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Pavlova, N. N., Zhu, J., &amp; Thompson, C. B. (2022). The hallmarks of cancer metabolism: Still emerging. </w:t>
      </w:r>
      <w:r w:rsidRPr="00C73CF6">
        <w:rPr>
          <w:rFonts w:ascii="Times New Roman" w:hAnsi="Times New Roman" w:cs="Times New Roman"/>
          <w:i/>
          <w:iCs/>
          <w:sz w:val="24"/>
        </w:rPr>
        <w:t>Cell Metabolism</w:t>
      </w:r>
      <w:r w:rsidRPr="00C73CF6">
        <w:rPr>
          <w:rFonts w:ascii="Times New Roman" w:hAnsi="Times New Roman" w:cs="Times New Roman"/>
          <w:sz w:val="24"/>
        </w:rPr>
        <w:t xml:space="preserve">, </w:t>
      </w:r>
      <w:r w:rsidRPr="00C73CF6">
        <w:rPr>
          <w:rFonts w:ascii="Times New Roman" w:hAnsi="Times New Roman" w:cs="Times New Roman"/>
          <w:i/>
          <w:iCs/>
          <w:sz w:val="24"/>
        </w:rPr>
        <w:t>34</w:t>
      </w:r>
      <w:r w:rsidRPr="00C73CF6">
        <w:rPr>
          <w:rFonts w:ascii="Times New Roman" w:hAnsi="Times New Roman" w:cs="Times New Roman"/>
          <w:sz w:val="24"/>
        </w:rPr>
        <w:t>(3), 355–377. https://doi.org/10.1016/j.cmet.2022.01.007</w:t>
      </w:r>
    </w:p>
    <w:p w14:paraId="76EA16E9"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Peng, F., Liao, M., Qin, R., Zhu, S., Peng, C., Fu, L., Chen, Y., &amp; Han, B. (2022). Regulated cell death (RCD) in cancer: Key pathways and targeted therapies. </w:t>
      </w:r>
      <w:r w:rsidRPr="00C73CF6">
        <w:rPr>
          <w:rFonts w:ascii="Times New Roman" w:hAnsi="Times New Roman" w:cs="Times New Roman"/>
          <w:i/>
          <w:iCs/>
          <w:sz w:val="24"/>
        </w:rPr>
        <w:t>Signal Transduction and Targeted Therapy</w:t>
      </w:r>
      <w:r w:rsidRPr="00C73CF6">
        <w:rPr>
          <w:rFonts w:ascii="Times New Roman" w:hAnsi="Times New Roman" w:cs="Times New Roman"/>
          <w:sz w:val="24"/>
        </w:rPr>
        <w:t xml:space="preserve">, </w:t>
      </w:r>
      <w:r w:rsidRPr="00C73CF6">
        <w:rPr>
          <w:rFonts w:ascii="Times New Roman" w:hAnsi="Times New Roman" w:cs="Times New Roman"/>
          <w:i/>
          <w:iCs/>
          <w:sz w:val="24"/>
        </w:rPr>
        <w:t>7</w:t>
      </w:r>
      <w:r w:rsidRPr="00C73CF6">
        <w:rPr>
          <w:rFonts w:ascii="Times New Roman" w:hAnsi="Times New Roman" w:cs="Times New Roman"/>
          <w:sz w:val="24"/>
        </w:rPr>
        <w:t>(1), 286. https://doi.org/10.1038/s41392-022-01110-y</w:t>
      </w:r>
    </w:p>
    <w:p w14:paraId="0D7DEE9F"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Qian, S., Long, Y., Tan, G., Li, X., Xiang, B., Tao, Y., Xie, Z., &amp; Zhang, X. (2024). Programmed cell death: Molecular mechanisms, biological functions, diseases, and therapeutic targets. </w:t>
      </w:r>
      <w:r w:rsidRPr="00C73CF6">
        <w:rPr>
          <w:rFonts w:ascii="Times New Roman" w:hAnsi="Times New Roman" w:cs="Times New Roman"/>
          <w:i/>
          <w:iCs/>
          <w:sz w:val="24"/>
        </w:rPr>
        <w:t>MedComm</w:t>
      </w:r>
      <w:r w:rsidRPr="00C73CF6">
        <w:rPr>
          <w:rFonts w:ascii="Times New Roman" w:hAnsi="Times New Roman" w:cs="Times New Roman"/>
          <w:sz w:val="24"/>
        </w:rPr>
        <w:t xml:space="preserve">, </w:t>
      </w:r>
      <w:r w:rsidRPr="00C73CF6">
        <w:rPr>
          <w:rFonts w:ascii="Times New Roman" w:hAnsi="Times New Roman" w:cs="Times New Roman"/>
          <w:i/>
          <w:iCs/>
          <w:sz w:val="24"/>
        </w:rPr>
        <w:t>5</w:t>
      </w:r>
      <w:r w:rsidRPr="00C73CF6">
        <w:rPr>
          <w:rFonts w:ascii="Times New Roman" w:hAnsi="Times New Roman" w:cs="Times New Roman"/>
          <w:sz w:val="24"/>
        </w:rPr>
        <w:t>(12), e70024. https://doi.org/10.1002/mco2.70024</w:t>
      </w:r>
    </w:p>
    <w:p w14:paraId="3337F48C"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Rathore, R., McCallum, J. E., Varghese, E., Florea, A.-M., &amp; Büsselberg, D. (2017). Overcoming chemotherapy drug resistance by targeting inhibitors of apoptosis proteins (IAPs). </w:t>
      </w:r>
      <w:r w:rsidRPr="00C73CF6">
        <w:rPr>
          <w:rFonts w:ascii="Times New Roman" w:hAnsi="Times New Roman" w:cs="Times New Roman"/>
          <w:i/>
          <w:iCs/>
          <w:sz w:val="24"/>
        </w:rPr>
        <w:t>Apoptosis</w:t>
      </w:r>
      <w:r w:rsidRPr="00C73CF6">
        <w:rPr>
          <w:rFonts w:ascii="Times New Roman" w:hAnsi="Times New Roman" w:cs="Times New Roman"/>
          <w:sz w:val="24"/>
        </w:rPr>
        <w:t xml:space="preserve">, </w:t>
      </w:r>
      <w:r w:rsidRPr="00C73CF6">
        <w:rPr>
          <w:rFonts w:ascii="Times New Roman" w:hAnsi="Times New Roman" w:cs="Times New Roman"/>
          <w:i/>
          <w:iCs/>
          <w:sz w:val="24"/>
        </w:rPr>
        <w:t>22</w:t>
      </w:r>
      <w:r w:rsidRPr="00C73CF6">
        <w:rPr>
          <w:rFonts w:ascii="Times New Roman" w:hAnsi="Times New Roman" w:cs="Times New Roman"/>
          <w:sz w:val="24"/>
        </w:rPr>
        <w:t>(7), 898–919. https://doi.org/10.1007/s10495-017-1375-1</w:t>
      </w:r>
    </w:p>
    <w:p w14:paraId="04AD6DD6"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Sahoo, G., Samal, D., Khandayataray, P., &amp; Murthy, M. K. (2023). A Review on Caspases: Key Regulators of Biological Activities and Apoptosis. </w:t>
      </w:r>
      <w:r w:rsidRPr="00C73CF6">
        <w:rPr>
          <w:rFonts w:ascii="Times New Roman" w:hAnsi="Times New Roman" w:cs="Times New Roman"/>
          <w:i/>
          <w:iCs/>
          <w:sz w:val="24"/>
        </w:rPr>
        <w:t>Molecular Neurobiology</w:t>
      </w:r>
      <w:r w:rsidRPr="00C73CF6">
        <w:rPr>
          <w:rFonts w:ascii="Times New Roman" w:hAnsi="Times New Roman" w:cs="Times New Roman"/>
          <w:sz w:val="24"/>
        </w:rPr>
        <w:t xml:space="preserve">, </w:t>
      </w:r>
      <w:r w:rsidRPr="00C73CF6">
        <w:rPr>
          <w:rFonts w:ascii="Times New Roman" w:hAnsi="Times New Roman" w:cs="Times New Roman"/>
          <w:i/>
          <w:iCs/>
          <w:sz w:val="24"/>
        </w:rPr>
        <w:t>60</w:t>
      </w:r>
      <w:r w:rsidRPr="00C73CF6">
        <w:rPr>
          <w:rFonts w:ascii="Times New Roman" w:hAnsi="Times New Roman" w:cs="Times New Roman"/>
          <w:sz w:val="24"/>
        </w:rPr>
        <w:t>(10), 5805–5837. https://doi.org/10.1007/s12035-023-03433-5</w:t>
      </w:r>
    </w:p>
    <w:p w14:paraId="0C5B6F74"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lastRenderedPageBreak/>
        <w:t xml:space="preserve">Saleem, S. (2021). Apoptosis, Autophagy, Necrosis and Their Multi Galore Crosstalk in Neurodegeneration. </w:t>
      </w:r>
      <w:r w:rsidRPr="00C73CF6">
        <w:rPr>
          <w:rFonts w:ascii="Times New Roman" w:hAnsi="Times New Roman" w:cs="Times New Roman"/>
          <w:i/>
          <w:iCs/>
          <w:sz w:val="24"/>
        </w:rPr>
        <w:t>Neuroscience</w:t>
      </w:r>
      <w:r w:rsidRPr="00C73CF6">
        <w:rPr>
          <w:rFonts w:ascii="Times New Roman" w:hAnsi="Times New Roman" w:cs="Times New Roman"/>
          <w:sz w:val="24"/>
        </w:rPr>
        <w:t xml:space="preserve">, </w:t>
      </w:r>
      <w:r w:rsidRPr="00C73CF6">
        <w:rPr>
          <w:rFonts w:ascii="Times New Roman" w:hAnsi="Times New Roman" w:cs="Times New Roman"/>
          <w:i/>
          <w:iCs/>
          <w:sz w:val="24"/>
        </w:rPr>
        <w:t>469</w:t>
      </w:r>
      <w:r w:rsidRPr="00C73CF6">
        <w:rPr>
          <w:rFonts w:ascii="Times New Roman" w:hAnsi="Times New Roman" w:cs="Times New Roman"/>
          <w:sz w:val="24"/>
        </w:rPr>
        <w:t>, 162–174. https://doi.org/10.1016/j.neuroscience.2021.06.023</w:t>
      </w:r>
    </w:p>
    <w:p w14:paraId="2ACF7E46"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Shakeri, R., Kheirollahi, A., &amp; Davoodi, J. (2017). Apaf-1: Regulation and function in cell death. </w:t>
      </w:r>
      <w:r w:rsidRPr="00C73CF6">
        <w:rPr>
          <w:rFonts w:ascii="Times New Roman" w:hAnsi="Times New Roman" w:cs="Times New Roman"/>
          <w:i/>
          <w:iCs/>
          <w:sz w:val="24"/>
        </w:rPr>
        <w:t>Biochimie</w:t>
      </w:r>
      <w:r w:rsidRPr="00C73CF6">
        <w:rPr>
          <w:rFonts w:ascii="Times New Roman" w:hAnsi="Times New Roman" w:cs="Times New Roman"/>
          <w:sz w:val="24"/>
        </w:rPr>
        <w:t xml:space="preserve">, </w:t>
      </w:r>
      <w:r w:rsidRPr="00C73CF6">
        <w:rPr>
          <w:rFonts w:ascii="Times New Roman" w:hAnsi="Times New Roman" w:cs="Times New Roman"/>
          <w:i/>
          <w:iCs/>
          <w:sz w:val="24"/>
        </w:rPr>
        <w:t>135</w:t>
      </w:r>
      <w:r w:rsidRPr="00C73CF6">
        <w:rPr>
          <w:rFonts w:ascii="Times New Roman" w:hAnsi="Times New Roman" w:cs="Times New Roman"/>
          <w:sz w:val="24"/>
        </w:rPr>
        <w:t>, 111–125. https://doi.org/10.1016/j.biochi.2017.02.001</w:t>
      </w:r>
    </w:p>
    <w:p w14:paraId="752C01B1"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Shamas-Din, A., Kale, J., Leber, B., &amp; Andrews, D. W. (2013). Mechanisms of Action of Bcl-2 Family Proteins. </w:t>
      </w:r>
      <w:r w:rsidRPr="00C73CF6">
        <w:rPr>
          <w:rFonts w:ascii="Times New Roman" w:hAnsi="Times New Roman" w:cs="Times New Roman"/>
          <w:i/>
          <w:iCs/>
          <w:sz w:val="24"/>
        </w:rPr>
        <w:t>Cold Spring Harbor Perspectives in Biology</w:t>
      </w:r>
      <w:r w:rsidRPr="00C73CF6">
        <w:rPr>
          <w:rFonts w:ascii="Times New Roman" w:hAnsi="Times New Roman" w:cs="Times New Roman"/>
          <w:sz w:val="24"/>
        </w:rPr>
        <w:t xml:space="preserve">, </w:t>
      </w:r>
      <w:r w:rsidRPr="00C73CF6">
        <w:rPr>
          <w:rFonts w:ascii="Times New Roman" w:hAnsi="Times New Roman" w:cs="Times New Roman"/>
          <w:i/>
          <w:iCs/>
          <w:sz w:val="24"/>
        </w:rPr>
        <w:t>5</w:t>
      </w:r>
      <w:r w:rsidRPr="00C73CF6">
        <w:rPr>
          <w:rFonts w:ascii="Times New Roman" w:hAnsi="Times New Roman" w:cs="Times New Roman"/>
          <w:sz w:val="24"/>
        </w:rPr>
        <w:t>(4), a008714. https://doi.org/10.1101/cshperspect.a008714</w:t>
      </w:r>
    </w:p>
    <w:p w14:paraId="3449E155"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Sun, G. (2024). Death and survival from executioner caspase activation. </w:t>
      </w:r>
      <w:r w:rsidRPr="00C73CF6">
        <w:rPr>
          <w:rFonts w:ascii="Times New Roman" w:hAnsi="Times New Roman" w:cs="Times New Roman"/>
          <w:i/>
          <w:iCs/>
          <w:sz w:val="24"/>
        </w:rPr>
        <w:t>Seminars in Cell &amp; Developmental Biology</w:t>
      </w:r>
      <w:r w:rsidRPr="00C73CF6">
        <w:rPr>
          <w:rFonts w:ascii="Times New Roman" w:hAnsi="Times New Roman" w:cs="Times New Roman"/>
          <w:sz w:val="24"/>
        </w:rPr>
        <w:t xml:space="preserve">, </w:t>
      </w:r>
      <w:r w:rsidRPr="00C73CF6">
        <w:rPr>
          <w:rFonts w:ascii="Times New Roman" w:hAnsi="Times New Roman" w:cs="Times New Roman"/>
          <w:i/>
          <w:iCs/>
          <w:sz w:val="24"/>
        </w:rPr>
        <w:t>156</w:t>
      </w:r>
      <w:r w:rsidRPr="00C73CF6">
        <w:rPr>
          <w:rFonts w:ascii="Times New Roman" w:hAnsi="Times New Roman" w:cs="Times New Roman"/>
          <w:sz w:val="24"/>
        </w:rPr>
        <w:t>, 66–73. https://doi.org/10.1016/j.semcdb.2023.07.005</w:t>
      </w:r>
    </w:p>
    <w:p w14:paraId="11564170"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Tang, T., Huang, X., Zhang, G., Hong, Z., Bai, X., &amp; Liang, T. (2021). Advantages of targeting the tumor immune microenvironment over blocking immune checkpoint in cancer immunotherapy. </w:t>
      </w:r>
      <w:r w:rsidRPr="00C73CF6">
        <w:rPr>
          <w:rFonts w:ascii="Times New Roman" w:hAnsi="Times New Roman" w:cs="Times New Roman"/>
          <w:i/>
          <w:iCs/>
          <w:sz w:val="24"/>
        </w:rPr>
        <w:t>Signal Transduction and Targeted Therapy</w:t>
      </w:r>
      <w:r w:rsidRPr="00C73CF6">
        <w:rPr>
          <w:rFonts w:ascii="Times New Roman" w:hAnsi="Times New Roman" w:cs="Times New Roman"/>
          <w:sz w:val="24"/>
        </w:rPr>
        <w:t xml:space="preserve">, </w:t>
      </w:r>
      <w:r w:rsidRPr="00C73CF6">
        <w:rPr>
          <w:rFonts w:ascii="Times New Roman" w:hAnsi="Times New Roman" w:cs="Times New Roman"/>
          <w:i/>
          <w:iCs/>
          <w:sz w:val="24"/>
        </w:rPr>
        <w:t>6</w:t>
      </w:r>
      <w:r w:rsidRPr="00C73CF6">
        <w:rPr>
          <w:rFonts w:ascii="Times New Roman" w:hAnsi="Times New Roman" w:cs="Times New Roman"/>
          <w:sz w:val="24"/>
        </w:rPr>
        <w:t>(1), 72. https://doi.org/10.1038/s41392-020-00449-4</w:t>
      </w:r>
    </w:p>
    <w:p w14:paraId="35192B12"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Townsend, P. A., Kozhevnikova, M. V., Cexus, O. N. F., Zamyatnin, A. A., &amp; Soond, S. M. (2021). BH3-mimetics: Recent developments in cancer therapy. </w:t>
      </w:r>
      <w:r w:rsidRPr="00C73CF6">
        <w:rPr>
          <w:rFonts w:ascii="Times New Roman" w:hAnsi="Times New Roman" w:cs="Times New Roman"/>
          <w:i/>
          <w:iCs/>
          <w:sz w:val="24"/>
        </w:rPr>
        <w:t>Journal of Experimental &amp; Clinical Cancer Research</w:t>
      </w:r>
      <w:r w:rsidRPr="00C73CF6">
        <w:rPr>
          <w:rFonts w:ascii="Times New Roman" w:hAnsi="Times New Roman" w:cs="Times New Roman"/>
          <w:sz w:val="24"/>
        </w:rPr>
        <w:t xml:space="preserve">, </w:t>
      </w:r>
      <w:r w:rsidRPr="00C73CF6">
        <w:rPr>
          <w:rFonts w:ascii="Times New Roman" w:hAnsi="Times New Roman" w:cs="Times New Roman"/>
          <w:i/>
          <w:iCs/>
          <w:sz w:val="24"/>
        </w:rPr>
        <w:t>40</w:t>
      </w:r>
      <w:r w:rsidRPr="00C73CF6">
        <w:rPr>
          <w:rFonts w:ascii="Times New Roman" w:hAnsi="Times New Roman" w:cs="Times New Roman"/>
          <w:sz w:val="24"/>
        </w:rPr>
        <w:t>(1), 355. https://doi.org/10.1186/s13046-021-02157-5</w:t>
      </w:r>
    </w:p>
    <w:p w14:paraId="21963306"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Tufail, M. (2023). Unlocking the potential of the tumor microenvironment for cancer therapy. </w:t>
      </w:r>
      <w:r w:rsidRPr="00C73CF6">
        <w:rPr>
          <w:rFonts w:ascii="Times New Roman" w:hAnsi="Times New Roman" w:cs="Times New Roman"/>
          <w:i/>
          <w:iCs/>
          <w:sz w:val="24"/>
        </w:rPr>
        <w:t>Pathology, Research and Practice</w:t>
      </w:r>
      <w:r w:rsidRPr="00C73CF6">
        <w:rPr>
          <w:rFonts w:ascii="Times New Roman" w:hAnsi="Times New Roman" w:cs="Times New Roman"/>
          <w:sz w:val="24"/>
        </w:rPr>
        <w:t xml:space="preserve">, </w:t>
      </w:r>
      <w:r w:rsidRPr="00C73CF6">
        <w:rPr>
          <w:rFonts w:ascii="Times New Roman" w:hAnsi="Times New Roman" w:cs="Times New Roman"/>
          <w:i/>
          <w:iCs/>
          <w:sz w:val="24"/>
        </w:rPr>
        <w:t>251</w:t>
      </w:r>
      <w:r w:rsidRPr="00C73CF6">
        <w:rPr>
          <w:rFonts w:ascii="Times New Roman" w:hAnsi="Times New Roman" w:cs="Times New Roman"/>
          <w:sz w:val="24"/>
        </w:rPr>
        <w:t>, 154846. https://doi.org/10.1016/j.prp.2023.154846</w:t>
      </w:r>
    </w:p>
    <w:p w14:paraId="1A302CB9"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Vesela, B., Killinger, M., Rihova, K., Benes, P., Svandová, E., Kratochvilová, A., Trcka, F., Kleparnik, K., &amp; Matalova, E. (2022). Caspase-8 Deficient Osteoblastic Cells Display Alterations in Non-Apoptotic Pathways. </w:t>
      </w:r>
      <w:r w:rsidRPr="00C73CF6">
        <w:rPr>
          <w:rFonts w:ascii="Times New Roman" w:hAnsi="Times New Roman" w:cs="Times New Roman"/>
          <w:i/>
          <w:iCs/>
          <w:sz w:val="24"/>
        </w:rPr>
        <w:t>Frontiers in Cell and Developmental Biology</w:t>
      </w:r>
      <w:r w:rsidRPr="00C73CF6">
        <w:rPr>
          <w:rFonts w:ascii="Times New Roman" w:hAnsi="Times New Roman" w:cs="Times New Roman"/>
          <w:sz w:val="24"/>
        </w:rPr>
        <w:t xml:space="preserve">, </w:t>
      </w:r>
      <w:r w:rsidRPr="00C73CF6">
        <w:rPr>
          <w:rFonts w:ascii="Times New Roman" w:hAnsi="Times New Roman" w:cs="Times New Roman"/>
          <w:i/>
          <w:iCs/>
          <w:sz w:val="24"/>
        </w:rPr>
        <w:t>10</w:t>
      </w:r>
      <w:r w:rsidRPr="00C73CF6">
        <w:rPr>
          <w:rFonts w:ascii="Times New Roman" w:hAnsi="Times New Roman" w:cs="Times New Roman"/>
          <w:sz w:val="24"/>
        </w:rPr>
        <w:t>, 794407. https://doi.org/10.3389/fcell.2022.794407</w:t>
      </w:r>
    </w:p>
    <w:p w14:paraId="453069E2"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lastRenderedPageBreak/>
        <w:t xml:space="preserve">Wang, J.-J., Lei, K.-F., &amp; Han, F. (2018). Tumor microenvironment: Recent advances in various cancer treatments. </w:t>
      </w:r>
      <w:r w:rsidRPr="00C73CF6">
        <w:rPr>
          <w:rFonts w:ascii="Times New Roman" w:hAnsi="Times New Roman" w:cs="Times New Roman"/>
          <w:i/>
          <w:iCs/>
          <w:sz w:val="24"/>
        </w:rPr>
        <w:t>European Review for Medical and Pharmacological Sciences</w:t>
      </w:r>
      <w:r w:rsidRPr="00C73CF6">
        <w:rPr>
          <w:rFonts w:ascii="Times New Roman" w:hAnsi="Times New Roman" w:cs="Times New Roman"/>
          <w:sz w:val="24"/>
        </w:rPr>
        <w:t xml:space="preserve">, </w:t>
      </w:r>
      <w:r w:rsidRPr="00C73CF6">
        <w:rPr>
          <w:rFonts w:ascii="Times New Roman" w:hAnsi="Times New Roman" w:cs="Times New Roman"/>
          <w:i/>
          <w:iCs/>
          <w:sz w:val="24"/>
        </w:rPr>
        <w:t>22</w:t>
      </w:r>
      <w:r w:rsidRPr="00C73CF6">
        <w:rPr>
          <w:rFonts w:ascii="Times New Roman" w:hAnsi="Times New Roman" w:cs="Times New Roman"/>
          <w:sz w:val="24"/>
        </w:rPr>
        <w:t>(12), 3855–3864. https://doi.org/10.26355/eurrev_201806_15270</w:t>
      </w:r>
    </w:p>
    <w:p w14:paraId="6D5AD12D"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Wong-Rolle, A., Wei, H. K., Zhao, C., &amp; Jin, C. (2021). Unexpected guests in the tumor microenvironment: Microbiome in cancer. </w:t>
      </w:r>
      <w:r w:rsidRPr="00C73CF6">
        <w:rPr>
          <w:rFonts w:ascii="Times New Roman" w:hAnsi="Times New Roman" w:cs="Times New Roman"/>
          <w:i/>
          <w:iCs/>
          <w:sz w:val="24"/>
        </w:rPr>
        <w:t>Protein &amp; Cell</w:t>
      </w:r>
      <w:r w:rsidRPr="00C73CF6">
        <w:rPr>
          <w:rFonts w:ascii="Times New Roman" w:hAnsi="Times New Roman" w:cs="Times New Roman"/>
          <w:sz w:val="24"/>
        </w:rPr>
        <w:t xml:space="preserve">, </w:t>
      </w:r>
      <w:r w:rsidRPr="00C73CF6">
        <w:rPr>
          <w:rFonts w:ascii="Times New Roman" w:hAnsi="Times New Roman" w:cs="Times New Roman"/>
          <w:i/>
          <w:iCs/>
          <w:sz w:val="24"/>
        </w:rPr>
        <w:t>12</w:t>
      </w:r>
      <w:r w:rsidRPr="00C73CF6">
        <w:rPr>
          <w:rFonts w:ascii="Times New Roman" w:hAnsi="Times New Roman" w:cs="Times New Roman"/>
          <w:sz w:val="24"/>
        </w:rPr>
        <w:t>(5), 426–435. https://doi.org/10.1007/s13238-020-00813-8</w:t>
      </w:r>
    </w:p>
    <w:p w14:paraId="50178F87" w14:textId="77777777" w:rsidR="00C73CF6" w:rsidRPr="00C73CF6" w:rsidRDefault="00C73CF6" w:rsidP="00C73CF6">
      <w:pPr>
        <w:pStyle w:val="Bibliography"/>
        <w:rPr>
          <w:rFonts w:ascii="Times New Roman" w:hAnsi="Times New Roman" w:cs="Times New Roman"/>
          <w:sz w:val="24"/>
        </w:rPr>
      </w:pPr>
      <w:r w:rsidRPr="00C73CF6">
        <w:rPr>
          <w:rFonts w:ascii="Times New Roman" w:hAnsi="Times New Roman" w:cs="Times New Roman"/>
          <w:sz w:val="24"/>
        </w:rPr>
        <w:t xml:space="preserve">Zheng, C., Liu, T., Liu, H., &amp; Wang, J. (2020). Role of BCL-2 Family Proteins in Apoptosis and its Regulation by Nutrients. </w:t>
      </w:r>
      <w:r w:rsidRPr="00C73CF6">
        <w:rPr>
          <w:rFonts w:ascii="Times New Roman" w:hAnsi="Times New Roman" w:cs="Times New Roman"/>
          <w:i/>
          <w:iCs/>
          <w:sz w:val="24"/>
        </w:rPr>
        <w:t>Current Protein &amp; Peptide Science</w:t>
      </w:r>
      <w:r w:rsidRPr="00C73CF6">
        <w:rPr>
          <w:rFonts w:ascii="Times New Roman" w:hAnsi="Times New Roman" w:cs="Times New Roman"/>
          <w:sz w:val="24"/>
        </w:rPr>
        <w:t xml:space="preserve">, </w:t>
      </w:r>
      <w:r w:rsidRPr="00C73CF6">
        <w:rPr>
          <w:rFonts w:ascii="Times New Roman" w:hAnsi="Times New Roman" w:cs="Times New Roman"/>
          <w:i/>
          <w:iCs/>
          <w:sz w:val="24"/>
        </w:rPr>
        <w:t>21</w:t>
      </w:r>
      <w:r w:rsidRPr="00C73CF6">
        <w:rPr>
          <w:rFonts w:ascii="Times New Roman" w:hAnsi="Times New Roman" w:cs="Times New Roman"/>
          <w:sz w:val="24"/>
        </w:rPr>
        <w:t>(8), 799–806. https://doi.org/10.2174/1389203721666191227122252</w:t>
      </w:r>
    </w:p>
    <w:p w14:paraId="00000037" w14:textId="56688458" w:rsidR="00C14A47" w:rsidRPr="00DA4F60" w:rsidRDefault="007D70E2" w:rsidP="00C73CF6">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14:paraId="0000005B" w14:textId="77777777" w:rsidR="00C14A47" w:rsidRPr="00DA4F60" w:rsidRDefault="00C14A47" w:rsidP="0031131F">
      <w:pPr>
        <w:spacing w:line="360" w:lineRule="auto"/>
        <w:jc w:val="both"/>
        <w:rPr>
          <w:rFonts w:ascii="Times New Roman" w:hAnsi="Times New Roman" w:cs="Times New Roman"/>
          <w:sz w:val="24"/>
          <w:szCs w:val="24"/>
        </w:rPr>
      </w:pPr>
    </w:p>
    <w:sectPr w:rsidR="00C14A47" w:rsidRPr="00DA4F6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DEC68" w14:textId="77777777" w:rsidR="00BF4936" w:rsidRDefault="00BF4936" w:rsidP="00E9533F">
      <w:pPr>
        <w:spacing w:after="0" w:line="240" w:lineRule="auto"/>
      </w:pPr>
      <w:r>
        <w:separator/>
      </w:r>
    </w:p>
  </w:endnote>
  <w:endnote w:type="continuationSeparator" w:id="0">
    <w:p w14:paraId="795FD995" w14:textId="77777777" w:rsidR="00BF4936" w:rsidRDefault="00BF4936" w:rsidP="00E95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9FDCD" w14:textId="77777777" w:rsidR="00BF4936" w:rsidRDefault="00BF4936" w:rsidP="00E9533F">
      <w:pPr>
        <w:spacing w:after="0" w:line="240" w:lineRule="auto"/>
      </w:pPr>
      <w:r>
        <w:separator/>
      </w:r>
    </w:p>
  </w:footnote>
  <w:footnote w:type="continuationSeparator" w:id="0">
    <w:p w14:paraId="3652110C" w14:textId="77777777" w:rsidR="00BF4936" w:rsidRDefault="00BF4936" w:rsidP="00E953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414FD"/>
    <w:multiLevelType w:val="hybridMultilevel"/>
    <w:tmpl w:val="D5C80C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2B3A61"/>
    <w:multiLevelType w:val="multilevel"/>
    <w:tmpl w:val="D1FA063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47"/>
    <w:rsid w:val="000333C3"/>
    <w:rsid w:val="00052531"/>
    <w:rsid w:val="000955F1"/>
    <w:rsid w:val="000D1B12"/>
    <w:rsid w:val="000D4B5F"/>
    <w:rsid w:val="000F0E8F"/>
    <w:rsid w:val="001135A1"/>
    <w:rsid w:val="001A2D4E"/>
    <w:rsid w:val="001C1545"/>
    <w:rsid w:val="001E5CEB"/>
    <w:rsid w:val="001F042B"/>
    <w:rsid w:val="002033C4"/>
    <w:rsid w:val="00210CEF"/>
    <w:rsid w:val="00216D2B"/>
    <w:rsid w:val="00222536"/>
    <w:rsid w:val="0027784E"/>
    <w:rsid w:val="00291737"/>
    <w:rsid w:val="002B1310"/>
    <w:rsid w:val="002C236A"/>
    <w:rsid w:val="002C2535"/>
    <w:rsid w:val="002C5090"/>
    <w:rsid w:val="0031131F"/>
    <w:rsid w:val="00330FC7"/>
    <w:rsid w:val="003D4B1C"/>
    <w:rsid w:val="004E293B"/>
    <w:rsid w:val="004F30BB"/>
    <w:rsid w:val="00501EAB"/>
    <w:rsid w:val="00551C46"/>
    <w:rsid w:val="005C5990"/>
    <w:rsid w:val="0064114F"/>
    <w:rsid w:val="006665B8"/>
    <w:rsid w:val="007A6739"/>
    <w:rsid w:val="007D70E2"/>
    <w:rsid w:val="007F68E1"/>
    <w:rsid w:val="00896A6F"/>
    <w:rsid w:val="008B7567"/>
    <w:rsid w:val="008F7E7A"/>
    <w:rsid w:val="009967E9"/>
    <w:rsid w:val="009E3C92"/>
    <w:rsid w:val="009F1E4E"/>
    <w:rsid w:val="00A03B3C"/>
    <w:rsid w:val="00A05777"/>
    <w:rsid w:val="00A269D8"/>
    <w:rsid w:val="00A61871"/>
    <w:rsid w:val="00A93B2F"/>
    <w:rsid w:val="00AD019E"/>
    <w:rsid w:val="00BF4936"/>
    <w:rsid w:val="00BF50F0"/>
    <w:rsid w:val="00C14A47"/>
    <w:rsid w:val="00C63566"/>
    <w:rsid w:val="00C73CF6"/>
    <w:rsid w:val="00C85B2E"/>
    <w:rsid w:val="00CA0F99"/>
    <w:rsid w:val="00CF134A"/>
    <w:rsid w:val="00D51619"/>
    <w:rsid w:val="00D809B2"/>
    <w:rsid w:val="00DA4F60"/>
    <w:rsid w:val="00DD5B89"/>
    <w:rsid w:val="00E2213F"/>
    <w:rsid w:val="00E477EB"/>
    <w:rsid w:val="00E57120"/>
    <w:rsid w:val="00E92A1D"/>
    <w:rsid w:val="00E9533F"/>
    <w:rsid w:val="00EA49DF"/>
    <w:rsid w:val="00F405D6"/>
    <w:rsid w:val="00F565EE"/>
    <w:rsid w:val="00FB68DB"/>
    <w:rsid w:val="00FC085A"/>
    <w:rsid w:val="00FD7A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28233B"/>
  <w15:docId w15:val="{65C9DF5D-3BDB-478D-BADE-9A57B95D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F565EE"/>
    <w:pPr>
      <w:ind w:left="720"/>
      <w:contextualSpacing/>
    </w:pPr>
    <w:rPr>
      <w:rFonts w:asciiTheme="minorHAnsi" w:eastAsiaTheme="minorHAnsi" w:hAnsiTheme="minorHAnsi" w:cstheme="minorBidi"/>
      <w:kern w:val="2"/>
      <w:lang w:eastAsia="en-US"/>
      <w14:ligatures w14:val="standardContextual"/>
    </w:rPr>
  </w:style>
  <w:style w:type="paragraph" w:styleId="Header">
    <w:name w:val="header"/>
    <w:basedOn w:val="Normal"/>
    <w:link w:val="HeaderChar"/>
    <w:uiPriority w:val="99"/>
    <w:unhideWhenUsed/>
    <w:rsid w:val="00E95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33F"/>
  </w:style>
  <w:style w:type="paragraph" w:styleId="Footer">
    <w:name w:val="footer"/>
    <w:basedOn w:val="Normal"/>
    <w:link w:val="FooterChar"/>
    <w:uiPriority w:val="99"/>
    <w:unhideWhenUsed/>
    <w:rsid w:val="00E95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33F"/>
  </w:style>
  <w:style w:type="character" w:styleId="Hyperlink">
    <w:name w:val="Hyperlink"/>
    <w:basedOn w:val="DefaultParagraphFont"/>
    <w:uiPriority w:val="99"/>
    <w:unhideWhenUsed/>
    <w:rsid w:val="00501EAB"/>
    <w:rPr>
      <w:color w:val="0000FF" w:themeColor="hyperlink"/>
      <w:u w:val="single"/>
    </w:rPr>
  </w:style>
  <w:style w:type="paragraph" w:styleId="BodyText">
    <w:name w:val="Body Text"/>
    <w:link w:val="BodyTextChar"/>
    <w:rsid w:val="00501EAB"/>
    <w:pPr>
      <w:widowControl w:val="0"/>
      <w:pBdr>
        <w:top w:val="nil"/>
        <w:left w:val="nil"/>
        <w:bottom w:val="nil"/>
        <w:right w:val="nil"/>
        <w:between w:val="nil"/>
        <w:bar w:val="nil"/>
      </w:pBdr>
      <w:spacing w:after="0" w:line="240" w:lineRule="auto"/>
      <w:ind w:right="257"/>
      <w:jc w:val="both"/>
    </w:pPr>
    <w:rPr>
      <w:rFonts w:ascii="Times New Roman" w:eastAsia="Times New Roman" w:hAnsi="Times New Roman" w:cs="Times New Roman"/>
      <w:color w:val="000000"/>
      <w:sz w:val="24"/>
      <w:szCs w:val="24"/>
      <w:u w:color="000000"/>
      <w:bdr w:val="nil"/>
      <w:lang w:val="en-US"/>
    </w:rPr>
  </w:style>
  <w:style w:type="character" w:customStyle="1" w:styleId="BodyTextChar">
    <w:name w:val="Body Text Char"/>
    <w:basedOn w:val="DefaultParagraphFont"/>
    <w:link w:val="BodyText"/>
    <w:rsid w:val="00501EAB"/>
    <w:rPr>
      <w:rFonts w:ascii="Times New Roman" w:eastAsia="Times New Roman" w:hAnsi="Times New Roman" w:cs="Times New Roman"/>
      <w:color w:val="000000"/>
      <w:sz w:val="24"/>
      <w:szCs w:val="24"/>
      <w:u w:color="000000"/>
      <w:bdr w:val="nil"/>
      <w:lang w:val="en-US"/>
    </w:rPr>
  </w:style>
  <w:style w:type="character" w:customStyle="1" w:styleId="NoneA">
    <w:name w:val="None A"/>
    <w:rsid w:val="00501EAB"/>
    <w:rPr>
      <w:lang w:val="en-US"/>
    </w:rPr>
  </w:style>
  <w:style w:type="paragraph" w:styleId="Bibliography">
    <w:name w:val="Bibliography"/>
    <w:basedOn w:val="Normal"/>
    <w:next w:val="Normal"/>
    <w:uiPriority w:val="37"/>
    <w:unhideWhenUsed/>
    <w:rsid w:val="007D70E2"/>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4530">
      <w:bodyDiv w:val="1"/>
      <w:marLeft w:val="0"/>
      <w:marRight w:val="0"/>
      <w:marTop w:val="0"/>
      <w:marBottom w:val="0"/>
      <w:divBdr>
        <w:top w:val="none" w:sz="0" w:space="0" w:color="auto"/>
        <w:left w:val="none" w:sz="0" w:space="0" w:color="auto"/>
        <w:bottom w:val="none" w:sz="0" w:space="0" w:color="auto"/>
        <w:right w:val="none" w:sz="0" w:space="0" w:color="auto"/>
      </w:divBdr>
    </w:div>
    <w:div w:id="58410011">
      <w:bodyDiv w:val="1"/>
      <w:marLeft w:val="0"/>
      <w:marRight w:val="0"/>
      <w:marTop w:val="0"/>
      <w:marBottom w:val="0"/>
      <w:divBdr>
        <w:top w:val="none" w:sz="0" w:space="0" w:color="auto"/>
        <w:left w:val="none" w:sz="0" w:space="0" w:color="auto"/>
        <w:bottom w:val="none" w:sz="0" w:space="0" w:color="auto"/>
        <w:right w:val="none" w:sz="0" w:space="0" w:color="auto"/>
      </w:divBdr>
    </w:div>
    <w:div w:id="119539891">
      <w:bodyDiv w:val="1"/>
      <w:marLeft w:val="0"/>
      <w:marRight w:val="0"/>
      <w:marTop w:val="0"/>
      <w:marBottom w:val="0"/>
      <w:divBdr>
        <w:top w:val="none" w:sz="0" w:space="0" w:color="auto"/>
        <w:left w:val="none" w:sz="0" w:space="0" w:color="auto"/>
        <w:bottom w:val="none" w:sz="0" w:space="0" w:color="auto"/>
        <w:right w:val="none" w:sz="0" w:space="0" w:color="auto"/>
      </w:divBdr>
    </w:div>
    <w:div w:id="127477957">
      <w:bodyDiv w:val="1"/>
      <w:marLeft w:val="0"/>
      <w:marRight w:val="0"/>
      <w:marTop w:val="0"/>
      <w:marBottom w:val="0"/>
      <w:divBdr>
        <w:top w:val="none" w:sz="0" w:space="0" w:color="auto"/>
        <w:left w:val="none" w:sz="0" w:space="0" w:color="auto"/>
        <w:bottom w:val="none" w:sz="0" w:space="0" w:color="auto"/>
        <w:right w:val="none" w:sz="0" w:space="0" w:color="auto"/>
      </w:divBdr>
    </w:div>
    <w:div w:id="206719484">
      <w:bodyDiv w:val="1"/>
      <w:marLeft w:val="0"/>
      <w:marRight w:val="0"/>
      <w:marTop w:val="0"/>
      <w:marBottom w:val="0"/>
      <w:divBdr>
        <w:top w:val="none" w:sz="0" w:space="0" w:color="auto"/>
        <w:left w:val="none" w:sz="0" w:space="0" w:color="auto"/>
        <w:bottom w:val="none" w:sz="0" w:space="0" w:color="auto"/>
        <w:right w:val="none" w:sz="0" w:space="0" w:color="auto"/>
      </w:divBdr>
    </w:div>
    <w:div w:id="206723451">
      <w:bodyDiv w:val="1"/>
      <w:marLeft w:val="0"/>
      <w:marRight w:val="0"/>
      <w:marTop w:val="0"/>
      <w:marBottom w:val="0"/>
      <w:divBdr>
        <w:top w:val="none" w:sz="0" w:space="0" w:color="auto"/>
        <w:left w:val="none" w:sz="0" w:space="0" w:color="auto"/>
        <w:bottom w:val="none" w:sz="0" w:space="0" w:color="auto"/>
        <w:right w:val="none" w:sz="0" w:space="0" w:color="auto"/>
      </w:divBdr>
    </w:div>
    <w:div w:id="214241341">
      <w:bodyDiv w:val="1"/>
      <w:marLeft w:val="0"/>
      <w:marRight w:val="0"/>
      <w:marTop w:val="0"/>
      <w:marBottom w:val="0"/>
      <w:divBdr>
        <w:top w:val="none" w:sz="0" w:space="0" w:color="auto"/>
        <w:left w:val="none" w:sz="0" w:space="0" w:color="auto"/>
        <w:bottom w:val="none" w:sz="0" w:space="0" w:color="auto"/>
        <w:right w:val="none" w:sz="0" w:space="0" w:color="auto"/>
      </w:divBdr>
    </w:div>
    <w:div w:id="261689902">
      <w:bodyDiv w:val="1"/>
      <w:marLeft w:val="0"/>
      <w:marRight w:val="0"/>
      <w:marTop w:val="0"/>
      <w:marBottom w:val="0"/>
      <w:divBdr>
        <w:top w:val="none" w:sz="0" w:space="0" w:color="auto"/>
        <w:left w:val="none" w:sz="0" w:space="0" w:color="auto"/>
        <w:bottom w:val="none" w:sz="0" w:space="0" w:color="auto"/>
        <w:right w:val="none" w:sz="0" w:space="0" w:color="auto"/>
      </w:divBdr>
    </w:div>
    <w:div w:id="276060298">
      <w:bodyDiv w:val="1"/>
      <w:marLeft w:val="0"/>
      <w:marRight w:val="0"/>
      <w:marTop w:val="0"/>
      <w:marBottom w:val="0"/>
      <w:divBdr>
        <w:top w:val="none" w:sz="0" w:space="0" w:color="auto"/>
        <w:left w:val="none" w:sz="0" w:space="0" w:color="auto"/>
        <w:bottom w:val="none" w:sz="0" w:space="0" w:color="auto"/>
        <w:right w:val="none" w:sz="0" w:space="0" w:color="auto"/>
      </w:divBdr>
    </w:div>
    <w:div w:id="279263563">
      <w:bodyDiv w:val="1"/>
      <w:marLeft w:val="0"/>
      <w:marRight w:val="0"/>
      <w:marTop w:val="0"/>
      <w:marBottom w:val="0"/>
      <w:divBdr>
        <w:top w:val="none" w:sz="0" w:space="0" w:color="auto"/>
        <w:left w:val="none" w:sz="0" w:space="0" w:color="auto"/>
        <w:bottom w:val="none" w:sz="0" w:space="0" w:color="auto"/>
        <w:right w:val="none" w:sz="0" w:space="0" w:color="auto"/>
      </w:divBdr>
    </w:div>
    <w:div w:id="290478114">
      <w:bodyDiv w:val="1"/>
      <w:marLeft w:val="0"/>
      <w:marRight w:val="0"/>
      <w:marTop w:val="0"/>
      <w:marBottom w:val="0"/>
      <w:divBdr>
        <w:top w:val="none" w:sz="0" w:space="0" w:color="auto"/>
        <w:left w:val="none" w:sz="0" w:space="0" w:color="auto"/>
        <w:bottom w:val="none" w:sz="0" w:space="0" w:color="auto"/>
        <w:right w:val="none" w:sz="0" w:space="0" w:color="auto"/>
      </w:divBdr>
    </w:div>
    <w:div w:id="327948164">
      <w:bodyDiv w:val="1"/>
      <w:marLeft w:val="0"/>
      <w:marRight w:val="0"/>
      <w:marTop w:val="0"/>
      <w:marBottom w:val="0"/>
      <w:divBdr>
        <w:top w:val="none" w:sz="0" w:space="0" w:color="auto"/>
        <w:left w:val="none" w:sz="0" w:space="0" w:color="auto"/>
        <w:bottom w:val="none" w:sz="0" w:space="0" w:color="auto"/>
        <w:right w:val="none" w:sz="0" w:space="0" w:color="auto"/>
      </w:divBdr>
    </w:div>
    <w:div w:id="344287976">
      <w:bodyDiv w:val="1"/>
      <w:marLeft w:val="0"/>
      <w:marRight w:val="0"/>
      <w:marTop w:val="0"/>
      <w:marBottom w:val="0"/>
      <w:divBdr>
        <w:top w:val="none" w:sz="0" w:space="0" w:color="auto"/>
        <w:left w:val="none" w:sz="0" w:space="0" w:color="auto"/>
        <w:bottom w:val="none" w:sz="0" w:space="0" w:color="auto"/>
        <w:right w:val="none" w:sz="0" w:space="0" w:color="auto"/>
      </w:divBdr>
    </w:div>
    <w:div w:id="406149660">
      <w:bodyDiv w:val="1"/>
      <w:marLeft w:val="0"/>
      <w:marRight w:val="0"/>
      <w:marTop w:val="0"/>
      <w:marBottom w:val="0"/>
      <w:divBdr>
        <w:top w:val="none" w:sz="0" w:space="0" w:color="auto"/>
        <w:left w:val="none" w:sz="0" w:space="0" w:color="auto"/>
        <w:bottom w:val="none" w:sz="0" w:space="0" w:color="auto"/>
        <w:right w:val="none" w:sz="0" w:space="0" w:color="auto"/>
      </w:divBdr>
    </w:div>
    <w:div w:id="421030284">
      <w:bodyDiv w:val="1"/>
      <w:marLeft w:val="0"/>
      <w:marRight w:val="0"/>
      <w:marTop w:val="0"/>
      <w:marBottom w:val="0"/>
      <w:divBdr>
        <w:top w:val="none" w:sz="0" w:space="0" w:color="auto"/>
        <w:left w:val="none" w:sz="0" w:space="0" w:color="auto"/>
        <w:bottom w:val="none" w:sz="0" w:space="0" w:color="auto"/>
        <w:right w:val="none" w:sz="0" w:space="0" w:color="auto"/>
      </w:divBdr>
    </w:div>
    <w:div w:id="716709784">
      <w:bodyDiv w:val="1"/>
      <w:marLeft w:val="0"/>
      <w:marRight w:val="0"/>
      <w:marTop w:val="0"/>
      <w:marBottom w:val="0"/>
      <w:divBdr>
        <w:top w:val="none" w:sz="0" w:space="0" w:color="auto"/>
        <w:left w:val="none" w:sz="0" w:space="0" w:color="auto"/>
        <w:bottom w:val="none" w:sz="0" w:space="0" w:color="auto"/>
        <w:right w:val="none" w:sz="0" w:space="0" w:color="auto"/>
      </w:divBdr>
    </w:div>
    <w:div w:id="814448501">
      <w:bodyDiv w:val="1"/>
      <w:marLeft w:val="0"/>
      <w:marRight w:val="0"/>
      <w:marTop w:val="0"/>
      <w:marBottom w:val="0"/>
      <w:divBdr>
        <w:top w:val="none" w:sz="0" w:space="0" w:color="auto"/>
        <w:left w:val="none" w:sz="0" w:space="0" w:color="auto"/>
        <w:bottom w:val="none" w:sz="0" w:space="0" w:color="auto"/>
        <w:right w:val="none" w:sz="0" w:space="0" w:color="auto"/>
      </w:divBdr>
    </w:div>
    <w:div w:id="814681148">
      <w:bodyDiv w:val="1"/>
      <w:marLeft w:val="0"/>
      <w:marRight w:val="0"/>
      <w:marTop w:val="0"/>
      <w:marBottom w:val="0"/>
      <w:divBdr>
        <w:top w:val="none" w:sz="0" w:space="0" w:color="auto"/>
        <w:left w:val="none" w:sz="0" w:space="0" w:color="auto"/>
        <w:bottom w:val="none" w:sz="0" w:space="0" w:color="auto"/>
        <w:right w:val="none" w:sz="0" w:space="0" w:color="auto"/>
      </w:divBdr>
    </w:div>
    <w:div w:id="826629474">
      <w:bodyDiv w:val="1"/>
      <w:marLeft w:val="0"/>
      <w:marRight w:val="0"/>
      <w:marTop w:val="0"/>
      <w:marBottom w:val="0"/>
      <w:divBdr>
        <w:top w:val="none" w:sz="0" w:space="0" w:color="auto"/>
        <w:left w:val="none" w:sz="0" w:space="0" w:color="auto"/>
        <w:bottom w:val="none" w:sz="0" w:space="0" w:color="auto"/>
        <w:right w:val="none" w:sz="0" w:space="0" w:color="auto"/>
      </w:divBdr>
    </w:div>
    <w:div w:id="971784416">
      <w:bodyDiv w:val="1"/>
      <w:marLeft w:val="0"/>
      <w:marRight w:val="0"/>
      <w:marTop w:val="0"/>
      <w:marBottom w:val="0"/>
      <w:divBdr>
        <w:top w:val="none" w:sz="0" w:space="0" w:color="auto"/>
        <w:left w:val="none" w:sz="0" w:space="0" w:color="auto"/>
        <w:bottom w:val="none" w:sz="0" w:space="0" w:color="auto"/>
        <w:right w:val="none" w:sz="0" w:space="0" w:color="auto"/>
      </w:divBdr>
    </w:div>
    <w:div w:id="992293577">
      <w:bodyDiv w:val="1"/>
      <w:marLeft w:val="0"/>
      <w:marRight w:val="0"/>
      <w:marTop w:val="0"/>
      <w:marBottom w:val="0"/>
      <w:divBdr>
        <w:top w:val="none" w:sz="0" w:space="0" w:color="auto"/>
        <w:left w:val="none" w:sz="0" w:space="0" w:color="auto"/>
        <w:bottom w:val="none" w:sz="0" w:space="0" w:color="auto"/>
        <w:right w:val="none" w:sz="0" w:space="0" w:color="auto"/>
      </w:divBdr>
    </w:div>
    <w:div w:id="1059717466">
      <w:bodyDiv w:val="1"/>
      <w:marLeft w:val="0"/>
      <w:marRight w:val="0"/>
      <w:marTop w:val="0"/>
      <w:marBottom w:val="0"/>
      <w:divBdr>
        <w:top w:val="none" w:sz="0" w:space="0" w:color="auto"/>
        <w:left w:val="none" w:sz="0" w:space="0" w:color="auto"/>
        <w:bottom w:val="none" w:sz="0" w:space="0" w:color="auto"/>
        <w:right w:val="none" w:sz="0" w:space="0" w:color="auto"/>
      </w:divBdr>
    </w:div>
    <w:div w:id="1059745524">
      <w:bodyDiv w:val="1"/>
      <w:marLeft w:val="0"/>
      <w:marRight w:val="0"/>
      <w:marTop w:val="0"/>
      <w:marBottom w:val="0"/>
      <w:divBdr>
        <w:top w:val="none" w:sz="0" w:space="0" w:color="auto"/>
        <w:left w:val="none" w:sz="0" w:space="0" w:color="auto"/>
        <w:bottom w:val="none" w:sz="0" w:space="0" w:color="auto"/>
        <w:right w:val="none" w:sz="0" w:space="0" w:color="auto"/>
      </w:divBdr>
    </w:div>
    <w:div w:id="1150561115">
      <w:bodyDiv w:val="1"/>
      <w:marLeft w:val="0"/>
      <w:marRight w:val="0"/>
      <w:marTop w:val="0"/>
      <w:marBottom w:val="0"/>
      <w:divBdr>
        <w:top w:val="none" w:sz="0" w:space="0" w:color="auto"/>
        <w:left w:val="none" w:sz="0" w:space="0" w:color="auto"/>
        <w:bottom w:val="none" w:sz="0" w:space="0" w:color="auto"/>
        <w:right w:val="none" w:sz="0" w:space="0" w:color="auto"/>
      </w:divBdr>
    </w:div>
    <w:div w:id="1187674040">
      <w:bodyDiv w:val="1"/>
      <w:marLeft w:val="0"/>
      <w:marRight w:val="0"/>
      <w:marTop w:val="0"/>
      <w:marBottom w:val="0"/>
      <w:divBdr>
        <w:top w:val="none" w:sz="0" w:space="0" w:color="auto"/>
        <w:left w:val="none" w:sz="0" w:space="0" w:color="auto"/>
        <w:bottom w:val="none" w:sz="0" w:space="0" w:color="auto"/>
        <w:right w:val="none" w:sz="0" w:space="0" w:color="auto"/>
      </w:divBdr>
    </w:div>
    <w:div w:id="1204292844">
      <w:bodyDiv w:val="1"/>
      <w:marLeft w:val="0"/>
      <w:marRight w:val="0"/>
      <w:marTop w:val="0"/>
      <w:marBottom w:val="0"/>
      <w:divBdr>
        <w:top w:val="none" w:sz="0" w:space="0" w:color="auto"/>
        <w:left w:val="none" w:sz="0" w:space="0" w:color="auto"/>
        <w:bottom w:val="none" w:sz="0" w:space="0" w:color="auto"/>
        <w:right w:val="none" w:sz="0" w:space="0" w:color="auto"/>
      </w:divBdr>
    </w:div>
    <w:div w:id="1259295936">
      <w:bodyDiv w:val="1"/>
      <w:marLeft w:val="0"/>
      <w:marRight w:val="0"/>
      <w:marTop w:val="0"/>
      <w:marBottom w:val="0"/>
      <w:divBdr>
        <w:top w:val="none" w:sz="0" w:space="0" w:color="auto"/>
        <w:left w:val="none" w:sz="0" w:space="0" w:color="auto"/>
        <w:bottom w:val="none" w:sz="0" w:space="0" w:color="auto"/>
        <w:right w:val="none" w:sz="0" w:space="0" w:color="auto"/>
      </w:divBdr>
    </w:div>
    <w:div w:id="1337340976">
      <w:bodyDiv w:val="1"/>
      <w:marLeft w:val="0"/>
      <w:marRight w:val="0"/>
      <w:marTop w:val="0"/>
      <w:marBottom w:val="0"/>
      <w:divBdr>
        <w:top w:val="none" w:sz="0" w:space="0" w:color="auto"/>
        <w:left w:val="none" w:sz="0" w:space="0" w:color="auto"/>
        <w:bottom w:val="none" w:sz="0" w:space="0" w:color="auto"/>
        <w:right w:val="none" w:sz="0" w:space="0" w:color="auto"/>
      </w:divBdr>
    </w:div>
    <w:div w:id="1349942117">
      <w:bodyDiv w:val="1"/>
      <w:marLeft w:val="0"/>
      <w:marRight w:val="0"/>
      <w:marTop w:val="0"/>
      <w:marBottom w:val="0"/>
      <w:divBdr>
        <w:top w:val="none" w:sz="0" w:space="0" w:color="auto"/>
        <w:left w:val="none" w:sz="0" w:space="0" w:color="auto"/>
        <w:bottom w:val="none" w:sz="0" w:space="0" w:color="auto"/>
        <w:right w:val="none" w:sz="0" w:space="0" w:color="auto"/>
      </w:divBdr>
    </w:div>
    <w:div w:id="1512329637">
      <w:bodyDiv w:val="1"/>
      <w:marLeft w:val="0"/>
      <w:marRight w:val="0"/>
      <w:marTop w:val="0"/>
      <w:marBottom w:val="0"/>
      <w:divBdr>
        <w:top w:val="none" w:sz="0" w:space="0" w:color="auto"/>
        <w:left w:val="none" w:sz="0" w:space="0" w:color="auto"/>
        <w:bottom w:val="none" w:sz="0" w:space="0" w:color="auto"/>
        <w:right w:val="none" w:sz="0" w:space="0" w:color="auto"/>
      </w:divBdr>
    </w:div>
    <w:div w:id="1551068735">
      <w:bodyDiv w:val="1"/>
      <w:marLeft w:val="0"/>
      <w:marRight w:val="0"/>
      <w:marTop w:val="0"/>
      <w:marBottom w:val="0"/>
      <w:divBdr>
        <w:top w:val="none" w:sz="0" w:space="0" w:color="auto"/>
        <w:left w:val="none" w:sz="0" w:space="0" w:color="auto"/>
        <w:bottom w:val="none" w:sz="0" w:space="0" w:color="auto"/>
        <w:right w:val="none" w:sz="0" w:space="0" w:color="auto"/>
      </w:divBdr>
    </w:div>
    <w:div w:id="1560021150">
      <w:bodyDiv w:val="1"/>
      <w:marLeft w:val="0"/>
      <w:marRight w:val="0"/>
      <w:marTop w:val="0"/>
      <w:marBottom w:val="0"/>
      <w:divBdr>
        <w:top w:val="none" w:sz="0" w:space="0" w:color="auto"/>
        <w:left w:val="none" w:sz="0" w:space="0" w:color="auto"/>
        <w:bottom w:val="none" w:sz="0" w:space="0" w:color="auto"/>
        <w:right w:val="none" w:sz="0" w:space="0" w:color="auto"/>
      </w:divBdr>
    </w:div>
    <w:div w:id="1616399613">
      <w:bodyDiv w:val="1"/>
      <w:marLeft w:val="0"/>
      <w:marRight w:val="0"/>
      <w:marTop w:val="0"/>
      <w:marBottom w:val="0"/>
      <w:divBdr>
        <w:top w:val="none" w:sz="0" w:space="0" w:color="auto"/>
        <w:left w:val="none" w:sz="0" w:space="0" w:color="auto"/>
        <w:bottom w:val="none" w:sz="0" w:space="0" w:color="auto"/>
        <w:right w:val="none" w:sz="0" w:space="0" w:color="auto"/>
      </w:divBdr>
    </w:div>
    <w:div w:id="1628587093">
      <w:bodyDiv w:val="1"/>
      <w:marLeft w:val="0"/>
      <w:marRight w:val="0"/>
      <w:marTop w:val="0"/>
      <w:marBottom w:val="0"/>
      <w:divBdr>
        <w:top w:val="none" w:sz="0" w:space="0" w:color="auto"/>
        <w:left w:val="none" w:sz="0" w:space="0" w:color="auto"/>
        <w:bottom w:val="none" w:sz="0" w:space="0" w:color="auto"/>
        <w:right w:val="none" w:sz="0" w:space="0" w:color="auto"/>
      </w:divBdr>
    </w:div>
    <w:div w:id="1895964329">
      <w:bodyDiv w:val="1"/>
      <w:marLeft w:val="0"/>
      <w:marRight w:val="0"/>
      <w:marTop w:val="0"/>
      <w:marBottom w:val="0"/>
      <w:divBdr>
        <w:top w:val="none" w:sz="0" w:space="0" w:color="auto"/>
        <w:left w:val="none" w:sz="0" w:space="0" w:color="auto"/>
        <w:bottom w:val="none" w:sz="0" w:space="0" w:color="auto"/>
        <w:right w:val="none" w:sz="0" w:space="0" w:color="auto"/>
      </w:divBdr>
    </w:div>
    <w:div w:id="1911040156">
      <w:bodyDiv w:val="1"/>
      <w:marLeft w:val="0"/>
      <w:marRight w:val="0"/>
      <w:marTop w:val="0"/>
      <w:marBottom w:val="0"/>
      <w:divBdr>
        <w:top w:val="none" w:sz="0" w:space="0" w:color="auto"/>
        <w:left w:val="none" w:sz="0" w:space="0" w:color="auto"/>
        <w:bottom w:val="none" w:sz="0" w:space="0" w:color="auto"/>
        <w:right w:val="none" w:sz="0" w:space="0" w:color="auto"/>
      </w:divBdr>
    </w:div>
    <w:div w:id="1954359788">
      <w:bodyDiv w:val="1"/>
      <w:marLeft w:val="0"/>
      <w:marRight w:val="0"/>
      <w:marTop w:val="0"/>
      <w:marBottom w:val="0"/>
      <w:divBdr>
        <w:top w:val="none" w:sz="0" w:space="0" w:color="auto"/>
        <w:left w:val="none" w:sz="0" w:space="0" w:color="auto"/>
        <w:bottom w:val="none" w:sz="0" w:space="0" w:color="auto"/>
        <w:right w:val="none" w:sz="0" w:space="0" w:color="auto"/>
      </w:divBdr>
    </w:div>
    <w:div w:id="1964579864">
      <w:bodyDiv w:val="1"/>
      <w:marLeft w:val="0"/>
      <w:marRight w:val="0"/>
      <w:marTop w:val="0"/>
      <w:marBottom w:val="0"/>
      <w:divBdr>
        <w:top w:val="none" w:sz="0" w:space="0" w:color="auto"/>
        <w:left w:val="none" w:sz="0" w:space="0" w:color="auto"/>
        <w:bottom w:val="none" w:sz="0" w:space="0" w:color="auto"/>
        <w:right w:val="none" w:sz="0" w:space="0" w:color="auto"/>
      </w:divBdr>
    </w:div>
    <w:div w:id="1997025103">
      <w:bodyDiv w:val="1"/>
      <w:marLeft w:val="0"/>
      <w:marRight w:val="0"/>
      <w:marTop w:val="0"/>
      <w:marBottom w:val="0"/>
      <w:divBdr>
        <w:top w:val="none" w:sz="0" w:space="0" w:color="auto"/>
        <w:left w:val="none" w:sz="0" w:space="0" w:color="auto"/>
        <w:bottom w:val="none" w:sz="0" w:space="0" w:color="auto"/>
        <w:right w:val="none" w:sz="0" w:space="0" w:color="auto"/>
      </w:divBdr>
    </w:div>
    <w:div w:id="2015719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A57E8F-9ACE-4F8D-9295-FBF0959114A8}">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BA15B-EBFE-44FE-8950-995B1876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23325</Words>
  <Characters>132954</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Saqib Zameer</dc:creator>
  <cp:lastModifiedBy>SDI 1183</cp:lastModifiedBy>
  <cp:revision>8</cp:revision>
  <dcterms:created xsi:type="dcterms:W3CDTF">2025-03-14T03:09:00Z</dcterms:created>
  <dcterms:modified xsi:type="dcterms:W3CDTF">2025-03-17T11:55:00Z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zotero-version="7.0.14"&gt;&lt;session id="vl9RlzzE"/&gt;&lt;style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43c44005b76574292582b4fe6984848108e73792aa71ebd7405ea4033b3faab0</vt:lpwstr>
  </property>
</Properties>
</file>